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宋体" w:eastAsia="仿宋_GB2312"/>
          <w:sz w:val="32"/>
          <w:szCs w:val="32"/>
        </w:rPr>
      </w:pPr>
      <w:r>
        <w:rPr>
          <w:rFonts w:ascii="仿宋_GB2312" w:hAnsi="宋体" w:eastAsia="仿宋_GB2312"/>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hAnsi="宋体" w:eastAsia="仿宋_GB2312"/>
          <w:sz w:val="32"/>
          <w:szCs w:val="32"/>
        </w:rPr>
        <w:instrText xml:space="preserve">ADDIN CNKISM.UserStyle</w:instrText>
      </w:r>
      <w:r>
        <w:rPr>
          <w:rFonts w:ascii="仿宋_GB2312" w:hAnsi="宋体" w:eastAsia="仿宋_GB2312"/>
          <w:sz w:val="32"/>
          <w:szCs w:val="32"/>
        </w:rPr>
        <w:fldChar w:fldCharType="end"/>
      </w:r>
    </w:p>
    <w:p>
      <w:pPr>
        <w:spacing w:line="600" w:lineRule="exact"/>
        <w:jc w:val="center"/>
        <w:rPr>
          <w:rFonts w:ascii="仿宋_GB2312" w:hAnsi="宋体" w:eastAsia="仿宋_GB2312"/>
          <w:sz w:val="32"/>
          <w:szCs w:val="32"/>
        </w:rPr>
      </w:pPr>
    </w:p>
    <w:p>
      <w:pPr>
        <w:spacing w:before="156" w:beforeLines="50"/>
        <w:jc w:val="center"/>
        <w:rPr>
          <w:rFonts w:ascii="仿宋_GB2312" w:hAnsi="宋体" w:eastAsia="仿宋_GB2312"/>
          <w:b/>
          <w:sz w:val="48"/>
          <w:szCs w:val="48"/>
        </w:rPr>
      </w:pPr>
    </w:p>
    <w:p>
      <w:pPr>
        <w:spacing w:before="156" w:beforeLines="50"/>
        <w:jc w:val="center"/>
        <w:rPr>
          <w:rFonts w:ascii="华文新魏" w:hAnsi="宋体" w:eastAsia="华文新魏"/>
          <w:sz w:val="72"/>
          <w:szCs w:val="72"/>
        </w:rPr>
      </w:pPr>
      <w:r>
        <w:rPr>
          <w:rFonts w:hint="eastAsia" w:ascii="华文新魏" w:hAnsi="宋体" w:eastAsia="华文新魏"/>
          <w:sz w:val="72"/>
          <w:szCs w:val="72"/>
        </w:rPr>
        <w:t>公开招标文件</w:t>
      </w:r>
    </w:p>
    <w:p>
      <w:pPr>
        <w:snapToGrid w:val="0"/>
        <w:spacing w:before="156" w:beforeLines="50" w:line="360" w:lineRule="auto"/>
        <w:rPr>
          <w:rFonts w:ascii="仿宋_GB2312" w:hAnsi="宋体" w:eastAsia="仿宋_GB2312"/>
          <w:sz w:val="30"/>
          <w:szCs w:val="72"/>
        </w:rPr>
      </w:pPr>
    </w:p>
    <w:p>
      <w:pPr>
        <w:snapToGrid w:val="0"/>
        <w:spacing w:before="156" w:beforeLines="50" w:line="360" w:lineRule="auto"/>
        <w:rPr>
          <w:rFonts w:ascii="仿宋_GB2312" w:hAnsi="宋体" w:eastAsia="仿宋_GB2312"/>
          <w:sz w:val="30"/>
          <w:szCs w:val="72"/>
        </w:rPr>
      </w:pPr>
    </w:p>
    <w:p>
      <w:pPr>
        <w:snapToGrid w:val="0"/>
        <w:spacing w:before="156" w:beforeLines="50" w:line="360" w:lineRule="auto"/>
        <w:ind w:firstLine="707" w:firstLineChars="247"/>
        <w:rPr>
          <w:rFonts w:ascii="仿宋" w:hAnsi="仿宋" w:eastAsia="仿宋" w:cs="Courier New"/>
          <w:b/>
          <w:bCs/>
          <w:w w:val="95"/>
          <w:sz w:val="30"/>
          <w:szCs w:val="30"/>
        </w:rPr>
      </w:pPr>
    </w:p>
    <w:p>
      <w:pPr>
        <w:snapToGrid w:val="0"/>
        <w:spacing w:before="156" w:beforeLines="50" w:line="360" w:lineRule="auto"/>
        <w:ind w:firstLine="707" w:firstLineChars="247"/>
        <w:rPr>
          <w:rFonts w:ascii="仿宋" w:hAnsi="仿宋" w:eastAsia="仿宋" w:cs="Courier New"/>
          <w:b/>
          <w:bCs/>
          <w:w w:val="95"/>
          <w:sz w:val="30"/>
          <w:szCs w:val="30"/>
        </w:rPr>
      </w:pPr>
    </w:p>
    <w:p>
      <w:pPr>
        <w:tabs>
          <w:tab w:val="left" w:pos="7697"/>
        </w:tabs>
        <w:snapToGrid w:val="0"/>
        <w:spacing w:before="156" w:beforeLines="50" w:line="360" w:lineRule="auto"/>
        <w:ind w:firstLine="707" w:firstLineChars="247"/>
        <w:rPr>
          <w:rFonts w:hint="eastAsia" w:ascii="仿宋" w:hAnsi="仿宋" w:eastAsia="仿宋" w:cs="Courier New"/>
          <w:b/>
          <w:bCs/>
          <w:w w:val="95"/>
          <w:sz w:val="30"/>
          <w:szCs w:val="30"/>
          <w:lang w:eastAsia="zh-CN"/>
        </w:rPr>
      </w:pPr>
      <w:r>
        <w:rPr>
          <w:rFonts w:hint="eastAsia" w:ascii="仿宋" w:hAnsi="仿宋" w:eastAsia="仿宋" w:cs="Courier New"/>
          <w:b/>
          <w:bCs/>
          <w:w w:val="95"/>
          <w:sz w:val="30"/>
          <w:szCs w:val="30"/>
          <w:lang w:eastAsia="zh-CN"/>
        </w:rPr>
        <w:tab/>
      </w:r>
    </w:p>
    <w:p>
      <w:pPr>
        <w:snapToGrid w:val="0"/>
        <w:spacing w:before="156" w:beforeLines="50" w:line="360" w:lineRule="auto"/>
        <w:ind w:left="1" w:right="197" w:rightChars="94"/>
        <w:jc w:val="center"/>
        <w:rPr>
          <w:rFonts w:ascii="宋体" w:hAnsi="宋体" w:cs="Courier New"/>
          <w:b/>
          <w:bCs/>
          <w:w w:val="95"/>
          <w:sz w:val="30"/>
          <w:szCs w:val="30"/>
        </w:rPr>
      </w:pPr>
      <w:r>
        <w:rPr>
          <w:rFonts w:hint="eastAsia" w:ascii="宋体" w:hAnsi="宋体" w:cs="Courier New"/>
          <w:b/>
          <w:bCs/>
          <w:w w:val="95"/>
          <w:sz w:val="30"/>
          <w:szCs w:val="30"/>
        </w:rPr>
        <w:t>项目名称：</w:t>
      </w:r>
      <w:r>
        <w:rPr>
          <w:rFonts w:hint="eastAsia" w:ascii="宋体" w:hAnsi="宋体" w:cs="Courier New"/>
          <w:b/>
          <w:bCs/>
          <w:w w:val="95"/>
          <w:sz w:val="30"/>
          <w:szCs w:val="30"/>
          <w:lang w:eastAsia="zh-CN"/>
        </w:rPr>
        <w:t>博白县</w:t>
      </w:r>
      <w:r>
        <w:rPr>
          <w:rFonts w:hint="eastAsia" w:ascii="宋体" w:hAnsi="宋体" w:cs="Courier New"/>
          <w:b/>
          <w:bCs/>
          <w:w w:val="95"/>
          <w:sz w:val="30"/>
          <w:szCs w:val="30"/>
        </w:rPr>
        <w:t>矿石行业监管和税收共治平台</w:t>
      </w:r>
    </w:p>
    <w:p>
      <w:pPr>
        <w:pStyle w:val="27"/>
        <w:snapToGrid w:val="0"/>
        <w:spacing w:before="120" w:after="120" w:line="360" w:lineRule="auto"/>
        <w:ind w:firstLine="1145" w:firstLineChars="400"/>
        <w:rPr>
          <w:rFonts w:hint="default" w:hAnsi="宋体" w:eastAsia="宋体"/>
          <w:b/>
          <w:bCs/>
          <w:w w:val="95"/>
          <w:sz w:val="30"/>
          <w:szCs w:val="30"/>
          <w:lang w:val="en-US" w:eastAsia="zh-CN"/>
        </w:rPr>
      </w:pPr>
      <w:r>
        <w:rPr>
          <w:rFonts w:hint="eastAsia" w:hAnsi="宋体"/>
          <w:b/>
          <w:bCs/>
          <w:w w:val="95"/>
          <w:sz w:val="30"/>
          <w:szCs w:val="30"/>
        </w:rPr>
        <w:t>项目编号：</w:t>
      </w:r>
      <w:r>
        <w:rPr>
          <w:rFonts w:hAnsi="宋体"/>
          <w:b/>
          <w:bCs/>
          <w:w w:val="95"/>
          <w:sz w:val="30"/>
          <w:szCs w:val="30"/>
        </w:rPr>
        <w:t>YLZC20</w:t>
      </w:r>
      <w:r>
        <w:rPr>
          <w:rFonts w:hint="eastAsia" w:hAnsi="宋体"/>
          <w:b/>
          <w:bCs/>
          <w:w w:val="95"/>
          <w:sz w:val="30"/>
          <w:szCs w:val="30"/>
        </w:rPr>
        <w:t>20</w:t>
      </w:r>
      <w:r>
        <w:rPr>
          <w:rFonts w:hAnsi="宋体"/>
          <w:b/>
          <w:bCs/>
          <w:w w:val="95"/>
          <w:sz w:val="30"/>
          <w:szCs w:val="30"/>
        </w:rPr>
        <w:t>-G3-</w:t>
      </w:r>
      <w:r>
        <w:rPr>
          <w:rFonts w:hint="eastAsia" w:hAnsi="宋体"/>
          <w:b/>
          <w:bCs/>
          <w:w w:val="95"/>
          <w:sz w:val="30"/>
          <w:szCs w:val="30"/>
          <w:lang w:val="en-US" w:eastAsia="zh-CN"/>
        </w:rPr>
        <w:t>230138</w:t>
      </w:r>
      <w:r>
        <w:rPr>
          <w:rFonts w:hint="eastAsia" w:hAnsi="宋体"/>
          <w:b/>
          <w:bCs/>
          <w:w w:val="95"/>
          <w:sz w:val="30"/>
          <w:szCs w:val="30"/>
        </w:rPr>
        <w:t>-</w:t>
      </w:r>
      <w:r>
        <w:rPr>
          <w:rFonts w:hint="eastAsia" w:hAnsi="宋体"/>
          <w:b/>
          <w:bCs/>
          <w:w w:val="95"/>
          <w:sz w:val="30"/>
          <w:szCs w:val="30"/>
          <w:lang w:val="en-US" w:eastAsia="zh-CN"/>
        </w:rPr>
        <w:t>GXZJ</w:t>
      </w:r>
    </w:p>
    <w:p>
      <w:pPr>
        <w:pStyle w:val="27"/>
        <w:snapToGrid w:val="0"/>
        <w:spacing w:before="120" w:after="120" w:line="360" w:lineRule="auto"/>
        <w:ind w:firstLine="1125" w:firstLineChars="393"/>
        <w:rPr>
          <w:rFonts w:ascii="仿宋" w:hAnsi="仿宋" w:eastAsia="仿宋"/>
          <w:b/>
          <w:bCs/>
          <w:w w:val="95"/>
          <w:sz w:val="30"/>
          <w:szCs w:val="30"/>
        </w:rPr>
      </w:pPr>
    </w:p>
    <w:p>
      <w:pPr>
        <w:pStyle w:val="27"/>
        <w:snapToGrid w:val="0"/>
        <w:spacing w:before="120" w:after="120" w:line="360" w:lineRule="auto"/>
        <w:ind w:firstLine="750" w:firstLineChars="393"/>
        <w:rPr>
          <w:rFonts w:ascii="仿宋" w:hAnsi="仿宋" w:eastAsia="仿宋"/>
          <w:b/>
          <w:bCs/>
          <w:w w:val="95"/>
        </w:rPr>
      </w:pPr>
    </w:p>
    <w:p>
      <w:pPr>
        <w:pStyle w:val="27"/>
        <w:snapToGrid w:val="0"/>
        <w:spacing w:before="120" w:after="120" w:line="360" w:lineRule="auto"/>
        <w:rPr>
          <w:rFonts w:ascii="仿宋" w:hAnsi="仿宋" w:eastAsia="仿宋"/>
          <w:b/>
          <w:bCs/>
          <w:w w:val="95"/>
          <w:sz w:val="30"/>
          <w:szCs w:val="30"/>
        </w:rPr>
      </w:pPr>
    </w:p>
    <w:p>
      <w:pPr>
        <w:pStyle w:val="27"/>
        <w:snapToGrid w:val="0"/>
        <w:spacing w:before="120" w:after="120" w:line="360" w:lineRule="auto"/>
        <w:jc w:val="center"/>
        <w:rPr>
          <w:rFonts w:hAnsi="宋体"/>
          <w:b/>
          <w:bCs/>
          <w:w w:val="95"/>
          <w:sz w:val="30"/>
          <w:szCs w:val="30"/>
        </w:rPr>
      </w:pPr>
      <w:r>
        <w:rPr>
          <w:rFonts w:hint="eastAsia" w:hAnsi="宋体"/>
          <w:b/>
          <w:bCs/>
          <w:w w:val="95"/>
          <w:sz w:val="30"/>
          <w:szCs w:val="30"/>
        </w:rPr>
        <w:t>采 购 人:</w:t>
      </w:r>
      <w:r>
        <w:rPr>
          <w:rFonts w:hint="eastAsia"/>
        </w:rPr>
        <w:t xml:space="preserve"> </w:t>
      </w:r>
      <w:r>
        <w:rPr>
          <w:rFonts w:hint="eastAsia" w:hAnsi="宋体"/>
          <w:b/>
          <w:bCs/>
          <w:w w:val="95"/>
          <w:sz w:val="30"/>
          <w:szCs w:val="30"/>
        </w:rPr>
        <w:t>博白县自然资源局</w:t>
      </w:r>
    </w:p>
    <w:p>
      <w:pPr>
        <w:pStyle w:val="27"/>
        <w:snapToGrid w:val="0"/>
        <w:spacing w:before="120" w:after="120" w:line="360" w:lineRule="auto"/>
        <w:jc w:val="center"/>
        <w:rPr>
          <w:rFonts w:hAnsi="宋体"/>
          <w:b/>
          <w:bCs/>
          <w:w w:val="95"/>
          <w:sz w:val="30"/>
          <w:szCs w:val="30"/>
        </w:rPr>
      </w:pPr>
      <w:r>
        <w:rPr>
          <w:rFonts w:hint="eastAsia" w:hAnsi="宋体"/>
          <w:b/>
          <w:bCs/>
          <w:w w:val="95"/>
          <w:sz w:val="30"/>
          <w:szCs w:val="30"/>
        </w:rPr>
        <w:t>采购代理机构：广西中竟达建设工程咨询有限公司</w:t>
      </w:r>
    </w:p>
    <w:p>
      <w:pPr>
        <w:pStyle w:val="27"/>
        <w:snapToGrid w:val="0"/>
        <w:spacing w:before="120" w:after="120" w:line="360" w:lineRule="auto"/>
        <w:jc w:val="center"/>
        <w:rPr>
          <w:rFonts w:hAnsi="宋体"/>
          <w:b/>
          <w:bCs/>
          <w:w w:val="95"/>
          <w:sz w:val="30"/>
          <w:szCs w:val="30"/>
        </w:rPr>
      </w:pPr>
      <w:r>
        <w:rPr>
          <w:rFonts w:hint="eastAsia" w:hAnsi="宋体"/>
          <w:b/>
          <w:bCs/>
          <w:w w:val="95"/>
          <w:sz w:val="30"/>
          <w:szCs w:val="30"/>
        </w:rPr>
        <w:t>二〇二〇年</w:t>
      </w:r>
      <w:r>
        <w:rPr>
          <w:rFonts w:hint="eastAsia" w:hAnsi="宋体"/>
          <w:b/>
          <w:bCs/>
          <w:w w:val="95"/>
          <w:sz w:val="30"/>
          <w:szCs w:val="30"/>
          <w:lang w:eastAsia="zh-CN"/>
        </w:rPr>
        <w:t>八</w:t>
      </w:r>
      <w:r>
        <w:rPr>
          <w:rFonts w:hint="eastAsia" w:hAnsi="宋体"/>
          <w:b/>
          <w:bCs/>
          <w:w w:val="95"/>
          <w:sz w:val="30"/>
          <w:szCs w:val="30"/>
        </w:rPr>
        <w:t>月</w:t>
      </w:r>
    </w:p>
    <w:p>
      <w:pPr>
        <w:pStyle w:val="27"/>
        <w:snapToGrid w:val="0"/>
        <w:spacing w:before="120" w:after="120" w:line="360" w:lineRule="auto"/>
        <w:jc w:val="center"/>
        <w:rPr>
          <w:rFonts w:hAnsi="宋体"/>
        </w:rPr>
      </w:pPr>
    </w:p>
    <w:p>
      <w:pPr>
        <w:pStyle w:val="27"/>
        <w:snapToGrid w:val="0"/>
        <w:spacing w:before="120" w:after="120" w:line="360" w:lineRule="auto"/>
        <w:jc w:val="center"/>
        <w:rPr>
          <w:rFonts w:hAnsi="宋体"/>
        </w:rPr>
      </w:pPr>
    </w:p>
    <w:p>
      <w:pPr>
        <w:pStyle w:val="27"/>
        <w:spacing w:before="120" w:after="120" w:line="360" w:lineRule="auto"/>
        <w:jc w:val="center"/>
        <w:rPr>
          <w:rFonts w:hAnsi="宋体"/>
          <w:b/>
          <w:sz w:val="32"/>
          <w:szCs w:val="32"/>
        </w:rPr>
      </w:pPr>
    </w:p>
    <w:p>
      <w:pPr>
        <w:pStyle w:val="27"/>
        <w:spacing w:before="120" w:after="120" w:line="360" w:lineRule="auto"/>
        <w:jc w:val="center"/>
        <w:rPr>
          <w:rFonts w:hAnsi="宋体"/>
          <w:b/>
          <w:sz w:val="32"/>
          <w:szCs w:val="32"/>
        </w:rPr>
      </w:pPr>
      <w:r>
        <w:rPr>
          <w:rFonts w:hint="eastAsia" w:hAnsi="宋体"/>
          <w:b/>
          <w:sz w:val="32"/>
          <w:szCs w:val="32"/>
        </w:rPr>
        <w:t>目    录</w:t>
      </w:r>
    </w:p>
    <w:p>
      <w:pPr>
        <w:pStyle w:val="43"/>
        <w:tabs>
          <w:tab w:val="right" w:leader="dot" w:pos="9072"/>
        </w:tabs>
        <w:spacing w:line="600" w:lineRule="auto"/>
        <w:rPr>
          <w:b/>
          <w:sz w:val="22"/>
          <w:szCs w:val="22"/>
        </w:rPr>
      </w:pPr>
      <w:r>
        <w:rPr>
          <w:rFonts w:ascii="仿宋_GB2312" w:hAnsi="宋体" w:eastAsia="仿宋_GB2312"/>
          <w:b/>
          <w:sz w:val="28"/>
        </w:rPr>
        <w:fldChar w:fldCharType="begin"/>
      </w:r>
      <w:r>
        <w:rPr>
          <w:rFonts w:ascii="仿宋_GB2312" w:hAnsi="宋体" w:eastAsia="仿宋_GB2312"/>
          <w:b/>
          <w:sz w:val="28"/>
        </w:rPr>
        <w:instrText xml:space="preserve"> </w:instrText>
      </w:r>
      <w:r>
        <w:rPr>
          <w:rFonts w:hint="eastAsia" w:ascii="仿宋_GB2312" w:hAnsi="宋体" w:eastAsia="仿宋_GB2312"/>
          <w:b/>
          <w:sz w:val="28"/>
        </w:rPr>
        <w:instrText xml:space="preserve">TOC \o "1-2" \h \z \u</w:instrText>
      </w:r>
      <w:r>
        <w:rPr>
          <w:rFonts w:ascii="仿宋_GB2312" w:hAnsi="宋体" w:eastAsia="仿宋_GB2312"/>
          <w:b/>
          <w:sz w:val="28"/>
        </w:rPr>
        <w:instrText xml:space="preserve"> </w:instrText>
      </w:r>
      <w:r>
        <w:rPr>
          <w:rFonts w:ascii="仿宋_GB2312" w:hAnsi="宋体" w:eastAsia="仿宋_GB2312"/>
          <w:b/>
          <w:sz w:val="28"/>
        </w:rPr>
        <w:fldChar w:fldCharType="separate"/>
      </w:r>
      <w:r>
        <w:fldChar w:fldCharType="begin"/>
      </w:r>
      <w:r>
        <w:instrText xml:space="preserve"> HYPERLINK \l "_Toc24366216" </w:instrText>
      </w:r>
      <w:r>
        <w:fldChar w:fldCharType="separate"/>
      </w:r>
      <w:r>
        <w:rPr>
          <w:rStyle w:val="63"/>
          <w:rFonts w:hint="eastAsia"/>
          <w:b/>
          <w:color w:val="auto"/>
          <w:sz w:val="22"/>
        </w:rPr>
        <w:t>第一章</w:t>
      </w:r>
      <w:r>
        <w:rPr>
          <w:rStyle w:val="63"/>
          <w:b/>
          <w:color w:val="auto"/>
          <w:sz w:val="22"/>
        </w:rPr>
        <w:t xml:space="preserve">  </w:t>
      </w:r>
      <w:r>
        <w:rPr>
          <w:rStyle w:val="63"/>
          <w:rFonts w:hint="eastAsia"/>
          <w:b/>
          <w:color w:val="auto"/>
          <w:sz w:val="22"/>
        </w:rPr>
        <w:t>招标公告</w:t>
      </w:r>
      <w:r>
        <w:rPr>
          <w:b/>
          <w:sz w:val="22"/>
        </w:rPr>
        <w:tab/>
      </w:r>
      <w:r>
        <w:rPr>
          <w:b/>
          <w:sz w:val="22"/>
        </w:rPr>
        <w:fldChar w:fldCharType="begin"/>
      </w:r>
      <w:r>
        <w:rPr>
          <w:b/>
          <w:sz w:val="22"/>
        </w:rPr>
        <w:instrText xml:space="preserve"> PAGEREF _Toc24366216 \h </w:instrText>
      </w:r>
      <w:r>
        <w:rPr>
          <w:b/>
          <w:sz w:val="22"/>
        </w:rPr>
        <w:fldChar w:fldCharType="separate"/>
      </w:r>
      <w:r>
        <w:rPr>
          <w:b/>
          <w:sz w:val="22"/>
        </w:rPr>
        <w:t>3</w:t>
      </w:r>
      <w:r>
        <w:rPr>
          <w:b/>
          <w:sz w:val="22"/>
        </w:rPr>
        <w:fldChar w:fldCharType="end"/>
      </w:r>
      <w:r>
        <w:rPr>
          <w:b/>
          <w:sz w:val="22"/>
        </w:rPr>
        <w:fldChar w:fldCharType="end"/>
      </w:r>
    </w:p>
    <w:p>
      <w:pPr>
        <w:pStyle w:val="43"/>
        <w:tabs>
          <w:tab w:val="right" w:leader="dot" w:pos="9072"/>
        </w:tabs>
        <w:spacing w:line="600" w:lineRule="auto"/>
        <w:rPr>
          <w:b/>
          <w:sz w:val="22"/>
          <w:szCs w:val="22"/>
        </w:rPr>
      </w:pPr>
      <w:r>
        <w:fldChar w:fldCharType="begin"/>
      </w:r>
      <w:r>
        <w:instrText xml:space="preserve"> HYPERLINK \l "_Toc24366217" </w:instrText>
      </w:r>
      <w:r>
        <w:fldChar w:fldCharType="separate"/>
      </w:r>
      <w:r>
        <w:rPr>
          <w:rStyle w:val="63"/>
          <w:rFonts w:hint="eastAsia"/>
          <w:b/>
          <w:color w:val="auto"/>
          <w:sz w:val="22"/>
        </w:rPr>
        <w:t>第二章</w:t>
      </w:r>
      <w:r>
        <w:rPr>
          <w:rStyle w:val="63"/>
          <w:b/>
          <w:color w:val="auto"/>
          <w:sz w:val="22"/>
        </w:rPr>
        <w:t xml:space="preserve">  </w:t>
      </w:r>
      <w:r>
        <w:rPr>
          <w:rStyle w:val="63"/>
          <w:rFonts w:hint="eastAsia"/>
          <w:b/>
          <w:color w:val="auto"/>
          <w:sz w:val="22"/>
        </w:rPr>
        <w:t>采购需求</w:t>
      </w:r>
      <w:r>
        <w:rPr>
          <w:b/>
          <w:sz w:val="22"/>
        </w:rPr>
        <w:tab/>
      </w:r>
      <w:r>
        <w:rPr>
          <w:b/>
          <w:sz w:val="22"/>
        </w:rPr>
        <w:fldChar w:fldCharType="begin"/>
      </w:r>
      <w:r>
        <w:rPr>
          <w:b/>
          <w:sz w:val="22"/>
        </w:rPr>
        <w:instrText xml:space="preserve"> PAGEREF _Toc24366217 \h </w:instrText>
      </w:r>
      <w:r>
        <w:rPr>
          <w:b/>
          <w:sz w:val="22"/>
        </w:rPr>
        <w:fldChar w:fldCharType="separate"/>
      </w:r>
      <w:r>
        <w:rPr>
          <w:b/>
          <w:sz w:val="22"/>
        </w:rPr>
        <w:t>6</w:t>
      </w:r>
      <w:r>
        <w:rPr>
          <w:b/>
          <w:sz w:val="22"/>
        </w:rPr>
        <w:fldChar w:fldCharType="end"/>
      </w:r>
      <w:r>
        <w:rPr>
          <w:b/>
          <w:sz w:val="22"/>
        </w:rPr>
        <w:fldChar w:fldCharType="end"/>
      </w:r>
    </w:p>
    <w:p>
      <w:pPr>
        <w:pStyle w:val="43"/>
        <w:tabs>
          <w:tab w:val="right" w:leader="dot" w:pos="9072"/>
        </w:tabs>
        <w:spacing w:line="600" w:lineRule="auto"/>
        <w:rPr>
          <w:b/>
          <w:sz w:val="22"/>
          <w:szCs w:val="22"/>
        </w:rPr>
      </w:pPr>
      <w:r>
        <w:fldChar w:fldCharType="begin"/>
      </w:r>
      <w:r>
        <w:instrText xml:space="preserve"> HYPERLINK \l "_Toc24366219" </w:instrText>
      </w:r>
      <w:r>
        <w:fldChar w:fldCharType="separate"/>
      </w:r>
      <w:r>
        <w:rPr>
          <w:rStyle w:val="63"/>
          <w:rFonts w:hint="eastAsia"/>
          <w:b/>
          <w:color w:val="auto"/>
          <w:sz w:val="22"/>
        </w:rPr>
        <w:t>第三章</w:t>
      </w:r>
      <w:r>
        <w:rPr>
          <w:rStyle w:val="63"/>
          <w:b/>
          <w:color w:val="auto"/>
          <w:sz w:val="22"/>
        </w:rPr>
        <w:t xml:space="preserve">  </w:t>
      </w:r>
      <w:r>
        <w:rPr>
          <w:rStyle w:val="63"/>
          <w:rFonts w:hint="eastAsia"/>
          <w:b/>
          <w:color w:val="auto"/>
          <w:sz w:val="22"/>
        </w:rPr>
        <w:t>投标人须知</w:t>
      </w:r>
      <w:r>
        <w:rPr>
          <w:b/>
          <w:sz w:val="22"/>
        </w:rPr>
        <w:tab/>
      </w:r>
      <w:r>
        <w:rPr>
          <w:b/>
          <w:sz w:val="22"/>
        </w:rPr>
        <w:fldChar w:fldCharType="begin"/>
      </w:r>
      <w:r>
        <w:rPr>
          <w:b/>
          <w:sz w:val="22"/>
        </w:rPr>
        <w:instrText xml:space="preserve"> PAGEREF _Toc24366219 \h </w:instrText>
      </w:r>
      <w:r>
        <w:rPr>
          <w:b/>
          <w:sz w:val="22"/>
        </w:rPr>
        <w:fldChar w:fldCharType="separate"/>
      </w:r>
      <w:r>
        <w:rPr>
          <w:b/>
          <w:sz w:val="22"/>
        </w:rPr>
        <w:t>9</w:t>
      </w:r>
      <w:r>
        <w:rPr>
          <w:b/>
          <w:sz w:val="22"/>
        </w:rPr>
        <w:fldChar w:fldCharType="end"/>
      </w:r>
      <w:r>
        <w:rPr>
          <w:b/>
          <w:sz w:val="22"/>
        </w:rPr>
        <w:fldChar w:fldCharType="end"/>
      </w:r>
    </w:p>
    <w:p>
      <w:pPr>
        <w:pStyle w:val="43"/>
        <w:tabs>
          <w:tab w:val="right" w:leader="dot" w:pos="9072"/>
        </w:tabs>
        <w:spacing w:line="600" w:lineRule="auto"/>
        <w:rPr>
          <w:b/>
          <w:sz w:val="22"/>
          <w:szCs w:val="22"/>
        </w:rPr>
      </w:pPr>
      <w:r>
        <w:fldChar w:fldCharType="begin"/>
      </w:r>
      <w:r>
        <w:instrText xml:space="preserve"> HYPERLINK \l "_Toc24366220" </w:instrText>
      </w:r>
      <w:r>
        <w:fldChar w:fldCharType="separate"/>
      </w:r>
      <w:r>
        <w:rPr>
          <w:rStyle w:val="63"/>
          <w:rFonts w:hint="eastAsia"/>
          <w:b/>
          <w:color w:val="auto"/>
          <w:sz w:val="22"/>
        </w:rPr>
        <w:t>第四章</w:t>
      </w:r>
      <w:r>
        <w:rPr>
          <w:rStyle w:val="63"/>
          <w:b/>
          <w:color w:val="auto"/>
          <w:sz w:val="22"/>
        </w:rPr>
        <w:t xml:space="preserve">  </w:t>
      </w:r>
      <w:r>
        <w:rPr>
          <w:rStyle w:val="63"/>
          <w:rFonts w:hint="eastAsia"/>
          <w:b/>
          <w:color w:val="auto"/>
          <w:sz w:val="22"/>
        </w:rPr>
        <w:t>评标办法及评分标准</w:t>
      </w:r>
      <w:r>
        <w:rPr>
          <w:b/>
          <w:sz w:val="22"/>
        </w:rPr>
        <w:tab/>
      </w:r>
      <w:r>
        <w:rPr>
          <w:b/>
          <w:sz w:val="22"/>
        </w:rPr>
        <w:fldChar w:fldCharType="begin"/>
      </w:r>
      <w:r>
        <w:rPr>
          <w:b/>
          <w:sz w:val="22"/>
        </w:rPr>
        <w:instrText xml:space="preserve"> PAGEREF _Toc24366220 \h </w:instrText>
      </w:r>
      <w:r>
        <w:rPr>
          <w:b/>
          <w:sz w:val="22"/>
        </w:rPr>
        <w:fldChar w:fldCharType="separate"/>
      </w:r>
      <w:r>
        <w:rPr>
          <w:b/>
          <w:sz w:val="22"/>
        </w:rPr>
        <w:t>27</w:t>
      </w:r>
      <w:r>
        <w:rPr>
          <w:b/>
          <w:sz w:val="22"/>
        </w:rPr>
        <w:fldChar w:fldCharType="end"/>
      </w:r>
      <w:r>
        <w:rPr>
          <w:b/>
          <w:sz w:val="22"/>
        </w:rPr>
        <w:fldChar w:fldCharType="end"/>
      </w:r>
    </w:p>
    <w:p>
      <w:pPr>
        <w:pStyle w:val="43"/>
        <w:tabs>
          <w:tab w:val="right" w:leader="dot" w:pos="9072"/>
        </w:tabs>
        <w:spacing w:line="600" w:lineRule="auto"/>
        <w:rPr>
          <w:b/>
          <w:sz w:val="22"/>
          <w:szCs w:val="22"/>
        </w:rPr>
      </w:pPr>
      <w:r>
        <w:fldChar w:fldCharType="begin"/>
      </w:r>
      <w:r>
        <w:instrText xml:space="preserve"> HYPERLINK \l "_Toc24366221" </w:instrText>
      </w:r>
      <w:r>
        <w:fldChar w:fldCharType="separate"/>
      </w:r>
      <w:r>
        <w:rPr>
          <w:rStyle w:val="63"/>
          <w:rFonts w:hint="eastAsia" w:hAnsi="宋体"/>
          <w:b/>
          <w:color w:val="auto"/>
          <w:sz w:val="22"/>
        </w:rPr>
        <w:t>评标办法及评分标准</w:t>
      </w:r>
      <w:r>
        <w:rPr>
          <w:b/>
          <w:sz w:val="22"/>
        </w:rPr>
        <w:tab/>
      </w:r>
      <w:r>
        <w:rPr>
          <w:b/>
          <w:sz w:val="22"/>
        </w:rPr>
        <w:fldChar w:fldCharType="begin"/>
      </w:r>
      <w:r>
        <w:rPr>
          <w:b/>
          <w:sz w:val="22"/>
        </w:rPr>
        <w:instrText xml:space="preserve"> PAGEREF _Toc24366221 \h </w:instrText>
      </w:r>
      <w:r>
        <w:rPr>
          <w:b/>
          <w:sz w:val="22"/>
        </w:rPr>
        <w:fldChar w:fldCharType="separate"/>
      </w:r>
      <w:r>
        <w:rPr>
          <w:b/>
          <w:sz w:val="22"/>
        </w:rPr>
        <w:t>28</w:t>
      </w:r>
      <w:r>
        <w:rPr>
          <w:b/>
          <w:sz w:val="22"/>
        </w:rPr>
        <w:fldChar w:fldCharType="end"/>
      </w:r>
      <w:r>
        <w:rPr>
          <w:b/>
          <w:sz w:val="22"/>
        </w:rPr>
        <w:fldChar w:fldCharType="end"/>
      </w:r>
    </w:p>
    <w:p>
      <w:pPr>
        <w:pStyle w:val="43"/>
        <w:tabs>
          <w:tab w:val="right" w:leader="dot" w:pos="9072"/>
        </w:tabs>
        <w:spacing w:line="600" w:lineRule="auto"/>
        <w:rPr>
          <w:b/>
          <w:sz w:val="22"/>
          <w:szCs w:val="22"/>
        </w:rPr>
      </w:pPr>
      <w:r>
        <w:fldChar w:fldCharType="begin"/>
      </w:r>
      <w:r>
        <w:instrText xml:space="preserve"> HYPERLINK \l "_Toc24366222" </w:instrText>
      </w:r>
      <w:r>
        <w:fldChar w:fldCharType="separate"/>
      </w:r>
      <w:r>
        <w:rPr>
          <w:rStyle w:val="63"/>
          <w:rFonts w:hint="eastAsia"/>
          <w:b/>
          <w:color w:val="auto"/>
          <w:sz w:val="22"/>
        </w:rPr>
        <w:t>第五章</w:t>
      </w:r>
      <w:r>
        <w:rPr>
          <w:rStyle w:val="63"/>
          <w:b/>
          <w:color w:val="auto"/>
          <w:sz w:val="22"/>
        </w:rPr>
        <w:t xml:space="preserve">  </w:t>
      </w:r>
      <w:r>
        <w:rPr>
          <w:rStyle w:val="63"/>
          <w:rFonts w:hint="eastAsia"/>
          <w:b/>
          <w:color w:val="auto"/>
          <w:sz w:val="22"/>
        </w:rPr>
        <w:t>合同主要条款格式</w:t>
      </w:r>
      <w:r>
        <w:rPr>
          <w:b/>
          <w:sz w:val="22"/>
        </w:rPr>
        <w:tab/>
      </w:r>
      <w:r>
        <w:rPr>
          <w:b/>
          <w:sz w:val="22"/>
        </w:rPr>
        <w:fldChar w:fldCharType="begin"/>
      </w:r>
      <w:r>
        <w:rPr>
          <w:b/>
          <w:sz w:val="22"/>
        </w:rPr>
        <w:instrText xml:space="preserve"> PAGEREF _Toc24366222 \h </w:instrText>
      </w:r>
      <w:r>
        <w:rPr>
          <w:b/>
          <w:sz w:val="22"/>
        </w:rPr>
        <w:fldChar w:fldCharType="separate"/>
      </w:r>
      <w:r>
        <w:rPr>
          <w:b/>
          <w:sz w:val="22"/>
        </w:rPr>
        <w:t>31</w:t>
      </w:r>
      <w:r>
        <w:rPr>
          <w:b/>
          <w:sz w:val="22"/>
        </w:rPr>
        <w:fldChar w:fldCharType="end"/>
      </w:r>
      <w:r>
        <w:rPr>
          <w:b/>
          <w:sz w:val="22"/>
        </w:rPr>
        <w:fldChar w:fldCharType="end"/>
      </w:r>
    </w:p>
    <w:p>
      <w:pPr>
        <w:pStyle w:val="43"/>
        <w:tabs>
          <w:tab w:val="right" w:leader="dot" w:pos="9072"/>
        </w:tabs>
        <w:spacing w:line="600" w:lineRule="auto"/>
        <w:rPr>
          <w:b/>
          <w:sz w:val="22"/>
          <w:szCs w:val="22"/>
        </w:rPr>
      </w:pPr>
      <w:r>
        <w:fldChar w:fldCharType="begin"/>
      </w:r>
      <w:r>
        <w:instrText xml:space="preserve"> HYPERLINK \l "_Toc24366223" </w:instrText>
      </w:r>
      <w:r>
        <w:fldChar w:fldCharType="separate"/>
      </w:r>
      <w:r>
        <w:rPr>
          <w:rStyle w:val="63"/>
          <w:rFonts w:hint="eastAsia"/>
          <w:b/>
          <w:color w:val="auto"/>
          <w:sz w:val="22"/>
        </w:rPr>
        <w:t>第六章　投标文件格式</w:t>
      </w:r>
      <w:r>
        <w:rPr>
          <w:b/>
          <w:sz w:val="22"/>
        </w:rPr>
        <w:tab/>
      </w:r>
      <w:r>
        <w:rPr>
          <w:b/>
          <w:sz w:val="22"/>
        </w:rPr>
        <w:fldChar w:fldCharType="begin"/>
      </w:r>
      <w:r>
        <w:rPr>
          <w:b/>
          <w:sz w:val="22"/>
        </w:rPr>
        <w:instrText xml:space="preserve"> PAGEREF _Toc24366223 \h </w:instrText>
      </w:r>
      <w:r>
        <w:rPr>
          <w:b/>
          <w:sz w:val="22"/>
        </w:rPr>
        <w:fldChar w:fldCharType="separate"/>
      </w:r>
      <w:r>
        <w:rPr>
          <w:b/>
          <w:sz w:val="22"/>
        </w:rPr>
        <w:t>37</w:t>
      </w:r>
      <w:r>
        <w:rPr>
          <w:b/>
          <w:sz w:val="22"/>
        </w:rPr>
        <w:fldChar w:fldCharType="end"/>
      </w:r>
      <w:r>
        <w:rPr>
          <w:b/>
          <w:sz w:val="22"/>
        </w:rPr>
        <w:fldChar w:fldCharType="end"/>
      </w:r>
    </w:p>
    <w:p>
      <w:pPr>
        <w:pStyle w:val="43"/>
        <w:tabs>
          <w:tab w:val="right" w:leader="dot" w:pos="9072"/>
        </w:tabs>
        <w:spacing w:line="600" w:lineRule="auto"/>
        <w:rPr>
          <w:b/>
          <w:sz w:val="22"/>
          <w:szCs w:val="22"/>
        </w:rPr>
      </w:pPr>
      <w:r>
        <w:fldChar w:fldCharType="begin"/>
      </w:r>
      <w:r>
        <w:instrText xml:space="preserve"> HYPERLINK \l "_Toc24366224" </w:instrText>
      </w:r>
      <w:r>
        <w:fldChar w:fldCharType="separate"/>
      </w:r>
      <w:r>
        <w:rPr>
          <w:rStyle w:val="63"/>
          <w:rFonts w:hint="eastAsia" w:ascii="宋体" w:hAnsi="宋体"/>
          <w:b/>
          <w:bCs/>
          <w:color w:val="auto"/>
          <w:sz w:val="22"/>
        </w:rPr>
        <w:t>一、投标文件外层包装封面格式</w:t>
      </w:r>
      <w:r>
        <w:rPr>
          <w:b/>
          <w:sz w:val="22"/>
        </w:rPr>
        <w:tab/>
      </w:r>
      <w:r>
        <w:rPr>
          <w:b/>
          <w:sz w:val="22"/>
        </w:rPr>
        <w:fldChar w:fldCharType="begin"/>
      </w:r>
      <w:r>
        <w:rPr>
          <w:b/>
          <w:sz w:val="22"/>
        </w:rPr>
        <w:instrText xml:space="preserve"> PAGEREF _Toc24366224 \h </w:instrText>
      </w:r>
      <w:r>
        <w:rPr>
          <w:b/>
          <w:sz w:val="22"/>
        </w:rPr>
        <w:fldChar w:fldCharType="separate"/>
      </w:r>
      <w:r>
        <w:rPr>
          <w:b/>
          <w:sz w:val="22"/>
        </w:rPr>
        <w:t>38</w:t>
      </w:r>
      <w:r>
        <w:rPr>
          <w:b/>
          <w:sz w:val="22"/>
        </w:rPr>
        <w:fldChar w:fldCharType="end"/>
      </w:r>
      <w:r>
        <w:rPr>
          <w:b/>
          <w:sz w:val="22"/>
        </w:rPr>
        <w:fldChar w:fldCharType="end"/>
      </w:r>
    </w:p>
    <w:p>
      <w:pPr>
        <w:pStyle w:val="43"/>
        <w:tabs>
          <w:tab w:val="right" w:leader="dot" w:pos="9072"/>
        </w:tabs>
        <w:spacing w:line="600" w:lineRule="auto"/>
        <w:rPr>
          <w:b/>
          <w:sz w:val="22"/>
          <w:szCs w:val="22"/>
        </w:rPr>
      </w:pPr>
      <w:r>
        <w:fldChar w:fldCharType="begin"/>
      </w:r>
      <w:r>
        <w:instrText xml:space="preserve"> HYPERLINK \l "_Toc24366225" </w:instrText>
      </w:r>
      <w:r>
        <w:fldChar w:fldCharType="separate"/>
      </w:r>
      <w:r>
        <w:rPr>
          <w:rStyle w:val="63"/>
          <w:rFonts w:hint="eastAsia" w:ascii="宋体" w:hAnsi="宋体"/>
          <w:b/>
          <w:bCs/>
          <w:color w:val="auto"/>
          <w:sz w:val="22"/>
        </w:rPr>
        <w:t>二、报价文件格式</w:t>
      </w:r>
      <w:r>
        <w:rPr>
          <w:b/>
          <w:sz w:val="22"/>
        </w:rPr>
        <w:tab/>
      </w:r>
      <w:r>
        <w:rPr>
          <w:b/>
          <w:sz w:val="22"/>
        </w:rPr>
        <w:fldChar w:fldCharType="begin"/>
      </w:r>
      <w:r>
        <w:rPr>
          <w:b/>
          <w:sz w:val="22"/>
        </w:rPr>
        <w:instrText xml:space="preserve"> PAGEREF _Toc24366225 \h </w:instrText>
      </w:r>
      <w:r>
        <w:rPr>
          <w:b/>
          <w:sz w:val="22"/>
        </w:rPr>
        <w:fldChar w:fldCharType="separate"/>
      </w:r>
      <w:r>
        <w:rPr>
          <w:b/>
          <w:sz w:val="22"/>
        </w:rPr>
        <w:t>39</w:t>
      </w:r>
      <w:r>
        <w:rPr>
          <w:b/>
          <w:sz w:val="22"/>
        </w:rPr>
        <w:fldChar w:fldCharType="end"/>
      </w:r>
      <w:r>
        <w:rPr>
          <w:b/>
          <w:sz w:val="22"/>
        </w:rPr>
        <w:fldChar w:fldCharType="end"/>
      </w:r>
    </w:p>
    <w:p>
      <w:pPr>
        <w:pStyle w:val="43"/>
        <w:tabs>
          <w:tab w:val="right" w:leader="dot" w:pos="9072"/>
        </w:tabs>
        <w:spacing w:line="600" w:lineRule="auto"/>
        <w:rPr>
          <w:b/>
          <w:sz w:val="22"/>
          <w:szCs w:val="22"/>
        </w:rPr>
      </w:pPr>
      <w:r>
        <w:fldChar w:fldCharType="begin"/>
      </w:r>
      <w:r>
        <w:instrText xml:space="preserve"> HYPERLINK \l "_Toc24366226" </w:instrText>
      </w:r>
      <w:r>
        <w:fldChar w:fldCharType="separate"/>
      </w:r>
      <w:r>
        <w:rPr>
          <w:rStyle w:val="63"/>
          <w:rFonts w:hint="eastAsia" w:ascii="宋体" w:hAnsi="宋体"/>
          <w:b/>
          <w:bCs/>
          <w:color w:val="auto"/>
          <w:sz w:val="22"/>
        </w:rPr>
        <w:t>三、资格证明文件</w:t>
      </w:r>
      <w:r>
        <w:rPr>
          <w:b/>
          <w:sz w:val="22"/>
        </w:rPr>
        <w:tab/>
      </w:r>
      <w:r>
        <w:rPr>
          <w:b/>
          <w:sz w:val="22"/>
        </w:rPr>
        <w:fldChar w:fldCharType="begin"/>
      </w:r>
      <w:r>
        <w:rPr>
          <w:b/>
          <w:sz w:val="22"/>
        </w:rPr>
        <w:instrText xml:space="preserve"> PAGEREF _Toc24366226 \h </w:instrText>
      </w:r>
      <w:r>
        <w:rPr>
          <w:b/>
          <w:sz w:val="22"/>
        </w:rPr>
        <w:fldChar w:fldCharType="separate"/>
      </w:r>
      <w:r>
        <w:rPr>
          <w:b/>
          <w:sz w:val="22"/>
        </w:rPr>
        <w:t>43</w:t>
      </w:r>
      <w:r>
        <w:rPr>
          <w:b/>
          <w:sz w:val="22"/>
        </w:rPr>
        <w:fldChar w:fldCharType="end"/>
      </w:r>
      <w:r>
        <w:rPr>
          <w:b/>
          <w:sz w:val="22"/>
        </w:rPr>
        <w:fldChar w:fldCharType="end"/>
      </w:r>
    </w:p>
    <w:p>
      <w:pPr>
        <w:pStyle w:val="43"/>
        <w:tabs>
          <w:tab w:val="right" w:leader="dot" w:pos="9072"/>
        </w:tabs>
        <w:spacing w:line="600" w:lineRule="auto"/>
        <w:rPr>
          <w:b/>
          <w:sz w:val="22"/>
          <w:szCs w:val="22"/>
        </w:rPr>
      </w:pPr>
      <w:r>
        <w:fldChar w:fldCharType="begin"/>
      </w:r>
      <w:r>
        <w:instrText xml:space="preserve"> HYPERLINK \l "_Toc24366227" </w:instrText>
      </w:r>
      <w:r>
        <w:fldChar w:fldCharType="separate"/>
      </w:r>
      <w:r>
        <w:rPr>
          <w:rStyle w:val="63"/>
          <w:rFonts w:hint="eastAsia" w:ascii="宋体" w:hAnsi="宋体"/>
          <w:b/>
          <w:bCs/>
          <w:color w:val="auto"/>
          <w:sz w:val="22"/>
        </w:rPr>
        <w:t>四、商务文件</w:t>
      </w:r>
      <w:r>
        <w:rPr>
          <w:b/>
          <w:sz w:val="22"/>
        </w:rPr>
        <w:tab/>
      </w:r>
      <w:r>
        <w:rPr>
          <w:b/>
          <w:sz w:val="22"/>
        </w:rPr>
        <w:fldChar w:fldCharType="begin"/>
      </w:r>
      <w:r>
        <w:rPr>
          <w:b/>
          <w:sz w:val="22"/>
        </w:rPr>
        <w:instrText xml:space="preserve"> PAGEREF _Toc24366227 \h </w:instrText>
      </w:r>
      <w:r>
        <w:rPr>
          <w:b/>
          <w:sz w:val="22"/>
        </w:rPr>
        <w:fldChar w:fldCharType="separate"/>
      </w:r>
      <w:r>
        <w:rPr>
          <w:b/>
          <w:sz w:val="22"/>
        </w:rPr>
        <w:t>47</w:t>
      </w:r>
      <w:r>
        <w:rPr>
          <w:b/>
          <w:sz w:val="22"/>
        </w:rPr>
        <w:fldChar w:fldCharType="end"/>
      </w:r>
      <w:r>
        <w:rPr>
          <w:b/>
          <w:sz w:val="22"/>
        </w:rPr>
        <w:fldChar w:fldCharType="end"/>
      </w:r>
    </w:p>
    <w:p>
      <w:pPr>
        <w:pStyle w:val="43"/>
        <w:tabs>
          <w:tab w:val="right" w:leader="dot" w:pos="9072"/>
        </w:tabs>
        <w:spacing w:line="600" w:lineRule="auto"/>
        <w:rPr>
          <w:b/>
          <w:sz w:val="22"/>
          <w:szCs w:val="22"/>
        </w:rPr>
      </w:pPr>
      <w:r>
        <w:fldChar w:fldCharType="begin"/>
      </w:r>
      <w:r>
        <w:instrText xml:space="preserve"> HYPERLINK \l "_Toc24366228" </w:instrText>
      </w:r>
      <w:r>
        <w:fldChar w:fldCharType="separate"/>
      </w:r>
      <w:r>
        <w:rPr>
          <w:rStyle w:val="63"/>
          <w:rFonts w:hint="eastAsia" w:ascii="宋体" w:hAnsi="宋体"/>
          <w:b/>
          <w:color w:val="auto"/>
          <w:sz w:val="22"/>
        </w:rPr>
        <w:t>五、技术文件格式</w:t>
      </w:r>
      <w:r>
        <w:rPr>
          <w:b/>
          <w:sz w:val="22"/>
        </w:rPr>
        <w:tab/>
      </w:r>
      <w:r>
        <w:rPr>
          <w:b/>
          <w:sz w:val="22"/>
        </w:rPr>
        <w:fldChar w:fldCharType="begin"/>
      </w:r>
      <w:r>
        <w:rPr>
          <w:b/>
          <w:sz w:val="22"/>
        </w:rPr>
        <w:instrText xml:space="preserve"> PAGEREF _Toc24366228 \h </w:instrText>
      </w:r>
      <w:r>
        <w:rPr>
          <w:b/>
          <w:sz w:val="22"/>
        </w:rPr>
        <w:fldChar w:fldCharType="separate"/>
      </w:r>
      <w:r>
        <w:rPr>
          <w:b/>
          <w:sz w:val="22"/>
        </w:rPr>
        <w:t>54</w:t>
      </w:r>
      <w:r>
        <w:rPr>
          <w:b/>
          <w:sz w:val="22"/>
        </w:rPr>
        <w:fldChar w:fldCharType="end"/>
      </w:r>
      <w:r>
        <w:rPr>
          <w:b/>
          <w:sz w:val="22"/>
        </w:rPr>
        <w:fldChar w:fldCharType="end"/>
      </w:r>
    </w:p>
    <w:p>
      <w:pPr>
        <w:pStyle w:val="43"/>
        <w:tabs>
          <w:tab w:val="right" w:leader="dot" w:pos="9072"/>
        </w:tabs>
        <w:spacing w:line="600" w:lineRule="auto"/>
        <w:rPr>
          <w:b/>
          <w:sz w:val="22"/>
          <w:szCs w:val="22"/>
        </w:rPr>
      </w:pPr>
      <w:r>
        <w:fldChar w:fldCharType="begin"/>
      </w:r>
      <w:r>
        <w:instrText xml:space="preserve"> HYPERLINK \l "_Toc24366229" </w:instrText>
      </w:r>
      <w:r>
        <w:fldChar w:fldCharType="separate"/>
      </w:r>
      <w:r>
        <w:rPr>
          <w:rStyle w:val="63"/>
          <w:rFonts w:hint="eastAsia" w:ascii="宋体" w:hAnsi="宋体"/>
          <w:b/>
          <w:bCs/>
          <w:color w:val="auto"/>
          <w:sz w:val="22"/>
        </w:rPr>
        <w:t>六、其他文书、文件格式</w:t>
      </w:r>
      <w:r>
        <w:rPr>
          <w:b/>
          <w:sz w:val="22"/>
        </w:rPr>
        <w:tab/>
      </w:r>
      <w:r>
        <w:rPr>
          <w:b/>
          <w:sz w:val="22"/>
        </w:rPr>
        <w:fldChar w:fldCharType="begin"/>
      </w:r>
      <w:r>
        <w:rPr>
          <w:b/>
          <w:sz w:val="22"/>
        </w:rPr>
        <w:instrText xml:space="preserve"> PAGEREF _Toc24366229 \h </w:instrText>
      </w:r>
      <w:r>
        <w:rPr>
          <w:b/>
          <w:sz w:val="22"/>
        </w:rPr>
        <w:fldChar w:fldCharType="separate"/>
      </w:r>
      <w:r>
        <w:rPr>
          <w:b/>
          <w:sz w:val="22"/>
        </w:rPr>
        <w:t>62</w:t>
      </w:r>
      <w:r>
        <w:rPr>
          <w:b/>
          <w:sz w:val="22"/>
        </w:rPr>
        <w:fldChar w:fldCharType="end"/>
      </w:r>
      <w:r>
        <w:rPr>
          <w:b/>
          <w:sz w:val="22"/>
        </w:rPr>
        <w:fldChar w:fldCharType="end"/>
      </w:r>
    </w:p>
    <w:p>
      <w:pPr>
        <w:spacing w:before="156" w:beforeLines="50" w:line="600" w:lineRule="auto"/>
        <w:rPr>
          <w:rFonts w:ascii="仿宋_GB2312" w:hAnsi="宋体" w:eastAsia="仿宋_GB2312"/>
          <w:b/>
          <w:sz w:val="28"/>
        </w:rPr>
      </w:pPr>
      <w:r>
        <w:rPr>
          <w:rFonts w:ascii="仿宋_GB2312" w:hAnsi="宋体" w:eastAsia="仿宋_GB2312"/>
          <w:b/>
          <w:sz w:val="28"/>
        </w:rPr>
        <w:fldChar w:fldCharType="end"/>
      </w:r>
    </w:p>
    <w:p>
      <w:pPr>
        <w:spacing w:before="156" w:beforeLines="50" w:line="480" w:lineRule="exact"/>
        <w:rPr>
          <w:rFonts w:ascii="仿宋_GB2312" w:hAnsi="宋体" w:eastAsia="仿宋_GB2312"/>
          <w:sz w:val="30"/>
        </w:rPr>
      </w:pPr>
    </w:p>
    <w:p/>
    <w:p>
      <w:pPr>
        <w:spacing w:before="156" w:beforeLines="50" w:line="480" w:lineRule="exact"/>
        <w:rPr>
          <w:rFonts w:ascii="仿宋_GB2312" w:hAnsi="宋体" w:eastAsia="仿宋_GB2312"/>
          <w:sz w:val="30"/>
        </w:rPr>
      </w:pPr>
    </w:p>
    <w:p>
      <w:pPr>
        <w:spacing w:before="156" w:beforeLines="50" w:line="480" w:lineRule="exact"/>
        <w:rPr>
          <w:rFonts w:ascii="仿宋_GB2312" w:hAnsi="宋体" w:eastAsia="仿宋_GB2312"/>
          <w:sz w:val="30"/>
        </w:rPr>
      </w:pPr>
      <w:r>
        <w:rPr>
          <w:rFonts w:ascii="仿宋_GB2312" w:hAnsi="宋体" w:eastAsia="仿宋_GB2312"/>
          <w:sz w:val="30"/>
        </w:rPr>
        <w:br w:type="page"/>
      </w:r>
      <w:bookmarkStart w:id="0" w:name="_Toc254970630"/>
      <w:bookmarkStart w:id="1" w:name="_Toc254970489"/>
    </w:p>
    <w:p>
      <w:pPr>
        <w:spacing w:before="156" w:beforeLines="50" w:line="480" w:lineRule="exact"/>
        <w:rPr>
          <w:rFonts w:ascii="仿宋_GB2312" w:hAnsi="宋体" w:eastAsia="仿宋_GB2312"/>
          <w:sz w:val="30"/>
        </w:rPr>
      </w:pPr>
    </w:p>
    <w:p>
      <w:pPr>
        <w:spacing w:before="156" w:beforeLines="50" w:line="480" w:lineRule="exact"/>
        <w:rPr>
          <w:rFonts w:ascii="仿宋_GB2312" w:hAnsi="宋体" w:eastAsia="仿宋_GB2312"/>
          <w:sz w:val="30"/>
        </w:rPr>
      </w:pPr>
    </w:p>
    <w:p>
      <w:pPr>
        <w:spacing w:before="156" w:beforeLines="50" w:line="480" w:lineRule="exact"/>
        <w:rPr>
          <w:rFonts w:ascii="仿宋_GB2312" w:hAnsi="宋体" w:eastAsia="仿宋_GB2312"/>
          <w:sz w:val="30"/>
        </w:rPr>
      </w:pPr>
    </w:p>
    <w:p>
      <w:pPr>
        <w:spacing w:before="156" w:beforeLines="50" w:line="480" w:lineRule="exact"/>
        <w:rPr>
          <w:rFonts w:ascii="仿宋_GB2312" w:hAnsi="宋体" w:eastAsia="仿宋_GB2312"/>
          <w:sz w:val="30"/>
        </w:rPr>
      </w:pPr>
    </w:p>
    <w:p>
      <w:pPr>
        <w:spacing w:before="156" w:beforeLines="50" w:line="480" w:lineRule="exact"/>
        <w:rPr>
          <w:rFonts w:ascii="仿宋_GB2312" w:hAnsi="宋体" w:eastAsia="仿宋_GB2312"/>
          <w:sz w:val="30"/>
        </w:rPr>
      </w:pPr>
    </w:p>
    <w:p>
      <w:pPr>
        <w:spacing w:before="156" w:beforeLines="50" w:line="480" w:lineRule="exact"/>
        <w:rPr>
          <w:rFonts w:ascii="仿宋_GB2312" w:hAnsi="宋体" w:eastAsia="仿宋_GB2312"/>
          <w:sz w:val="30"/>
        </w:rPr>
      </w:pPr>
    </w:p>
    <w:p>
      <w:pPr>
        <w:spacing w:before="156" w:beforeLines="50" w:line="480" w:lineRule="exact"/>
        <w:rPr>
          <w:rFonts w:ascii="仿宋_GB2312" w:hAnsi="宋体" w:eastAsia="仿宋_GB2312"/>
          <w:sz w:val="30"/>
        </w:rPr>
      </w:pPr>
    </w:p>
    <w:p>
      <w:pPr>
        <w:spacing w:before="156" w:beforeLines="50" w:line="480" w:lineRule="exact"/>
        <w:rPr>
          <w:rFonts w:ascii="仿宋_GB2312" w:hAnsi="宋体" w:eastAsia="仿宋_GB2312"/>
          <w:sz w:val="30"/>
        </w:rPr>
      </w:pPr>
    </w:p>
    <w:p>
      <w:pPr>
        <w:pStyle w:val="4"/>
        <w:jc w:val="center"/>
      </w:pPr>
      <w:bookmarkStart w:id="2" w:name="_Toc24366216"/>
      <w:r>
        <w:rPr>
          <w:rFonts w:hint="eastAsia"/>
        </w:rPr>
        <w:t>第一章  招标公告</w:t>
      </w:r>
      <w:bookmarkEnd w:id="0"/>
      <w:bookmarkEnd w:id="1"/>
      <w:bookmarkEnd w:id="2"/>
    </w:p>
    <w:p>
      <w:pPr>
        <w:widowControl/>
        <w:shd w:val="clear" w:color="auto" w:fill="FFFFFF"/>
        <w:spacing w:line="360" w:lineRule="exact"/>
        <w:ind w:firstLine="465"/>
        <w:jc w:val="center"/>
        <w:rPr>
          <w:rFonts w:hAnsi="宋体" w:cs="宋体"/>
          <w:b/>
          <w:kern w:val="0"/>
          <w:sz w:val="24"/>
        </w:rPr>
      </w:pPr>
      <w:r>
        <w:rPr>
          <w:rFonts w:ascii="宋体" w:hAnsi="宋体" w:cs="宋体"/>
          <w:b/>
          <w:kern w:val="0"/>
          <w:sz w:val="24"/>
        </w:rPr>
        <w:br w:type="page"/>
      </w:r>
      <w:r>
        <w:rPr>
          <w:rFonts w:hint="eastAsia" w:hAnsi="宋体" w:cs="宋体"/>
          <w:b/>
          <w:kern w:val="0"/>
          <w:sz w:val="24"/>
        </w:rPr>
        <w:t>广西中竟达建设工程咨询有限公司</w:t>
      </w:r>
    </w:p>
    <w:p>
      <w:pPr>
        <w:widowControl/>
        <w:shd w:val="clear" w:color="auto" w:fill="FFFFFF"/>
        <w:spacing w:line="360" w:lineRule="exact"/>
        <w:jc w:val="center"/>
        <w:rPr>
          <w:rFonts w:hint="eastAsia" w:hAnsi="宋体" w:eastAsia="宋体"/>
          <w:b/>
          <w:bCs/>
          <w:sz w:val="24"/>
          <w:lang w:eastAsia="zh-CN"/>
        </w:rPr>
      </w:pPr>
      <w:r>
        <w:rPr>
          <w:rFonts w:hAnsi="宋体"/>
          <w:b/>
          <w:bCs/>
          <w:sz w:val="24"/>
        </w:rPr>
        <w:tab/>
      </w:r>
      <w:r>
        <w:rPr>
          <w:rFonts w:hint="eastAsia" w:hAnsi="宋体"/>
          <w:b/>
          <w:bCs/>
          <w:sz w:val="24"/>
          <w:lang w:eastAsia="zh-CN"/>
        </w:rPr>
        <w:t>博白县矿石行业监管和税收共治平台</w:t>
      </w:r>
    </w:p>
    <w:p>
      <w:pPr>
        <w:widowControl/>
        <w:shd w:val="clear" w:color="auto" w:fill="FFFFFF"/>
        <w:spacing w:line="360" w:lineRule="exact"/>
        <w:ind w:right="-512" w:rightChars="-244" w:firstLine="465"/>
        <w:jc w:val="center"/>
        <w:rPr>
          <w:rFonts w:hAnsi="宋体"/>
          <w:b/>
          <w:bCs/>
          <w:sz w:val="24"/>
        </w:rPr>
      </w:pPr>
      <w:r>
        <w:rPr>
          <w:rFonts w:hint="eastAsia" w:hAnsi="宋体"/>
          <w:b/>
          <w:bCs/>
          <w:sz w:val="24"/>
        </w:rPr>
        <w:t>[项目编号:</w:t>
      </w:r>
      <w:r>
        <w:rPr>
          <w:rFonts w:hAnsi="宋体"/>
          <w:b/>
          <w:bCs/>
          <w:sz w:val="24"/>
        </w:rPr>
        <w:t xml:space="preserve"> </w:t>
      </w:r>
      <w:r>
        <w:rPr>
          <w:rFonts w:hint="eastAsia" w:hAnsi="宋体"/>
          <w:b/>
          <w:bCs/>
          <w:sz w:val="24"/>
          <w:lang w:eastAsia="zh-CN"/>
        </w:rPr>
        <w:t>YLZC2020-G3-230138-GXZJ</w:t>
      </w:r>
      <w:r>
        <w:rPr>
          <w:rFonts w:hint="eastAsia" w:hAnsi="宋体"/>
          <w:b/>
          <w:bCs/>
          <w:sz w:val="24"/>
        </w:rPr>
        <w:t>]公开招标公告</w:t>
      </w:r>
    </w:p>
    <w:p>
      <w:pPr>
        <w:widowControl/>
        <w:shd w:val="clear" w:color="auto" w:fill="FFFFFF"/>
        <w:spacing w:line="360" w:lineRule="exact"/>
        <w:ind w:firstLine="465"/>
        <w:jc w:val="center"/>
        <w:rPr>
          <w:rFonts w:hAnsi="宋体" w:cs="宋体"/>
          <w:b/>
          <w:kern w:val="0"/>
          <w:sz w:val="24"/>
        </w:rPr>
      </w:pPr>
    </w:p>
    <w:p>
      <w:pPr>
        <w:widowControl/>
        <w:shd w:val="clear" w:color="auto" w:fill="FFFFFF"/>
        <w:spacing w:line="320" w:lineRule="exact"/>
        <w:ind w:firstLine="420" w:firstLineChars="200"/>
        <w:jc w:val="left"/>
        <w:rPr>
          <w:rFonts w:ascii="宋体" w:hAnsi="宋体" w:cs="宋体"/>
          <w:kern w:val="0"/>
          <w:szCs w:val="21"/>
        </w:rPr>
      </w:pPr>
      <w:r>
        <w:rPr>
          <w:rFonts w:hint="eastAsia" w:ascii="宋体" w:hAnsi="宋体" w:cs="宋体"/>
          <w:kern w:val="0"/>
          <w:szCs w:val="21"/>
        </w:rPr>
        <w:t>广西中竟达建设工程咨询有限公司受</w:t>
      </w:r>
      <w:r>
        <w:rPr>
          <w:rFonts w:hint="eastAsia" w:ascii="宋体" w:hAnsi="宋体"/>
          <w:kern w:val="0"/>
          <w:szCs w:val="21"/>
        </w:rPr>
        <w:t>博白县自然资源局</w:t>
      </w:r>
      <w:r>
        <w:rPr>
          <w:rFonts w:hint="eastAsia" w:ascii="宋体" w:hAnsi="宋体" w:cs="宋体"/>
          <w:kern w:val="0"/>
          <w:szCs w:val="21"/>
        </w:rPr>
        <w:t>的委托，根据《中华人民共和国政府采购法》、《中华人民共和国政府采购法实施条例》、《政府采购货物和服务招标投标管理办法》等规定，现对</w:t>
      </w:r>
      <w:r>
        <w:rPr>
          <w:rFonts w:hint="eastAsia" w:ascii="宋体" w:hAnsi="宋体" w:cs="宋体"/>
          <w:kern w:val="0"/>
          <w:szCs w:val="21"/>
          <w:lang w:eastAsia="zh-CN"/>
        </w:rPr>
        <w:t>博白县矿石行业监管和税收共治平台</w:t>
      </w:r>
      <w:r>
        <w:rPr>
          <w:rFonts w:hint="eastAsia" w:ascii="宋体" w:hAnsi="宋体" w:cs="宋体"/>
          <w:kern w:val="0"/>
          <w:szCs w:val="21"/>
        </w:rPr>
        <w:t xml:space="preserve">进行公开招标，欢迎符合条件的供应商前来投标。现将本次公开招标有关事项公告如下： </w:t>
      </w:r>
    </w:p>
    <w:p>
      <w:pPr>
        <w:widowControl/>
        <w:shd w:val="clear" w:color="auto" w:fill="FFFFFF"/>
        <w:spacing w:line="320" w:lineRule="exact"/>
        <w:ind w:left="2263" w:leftChars="199" w:hanging="1845" w:hangingChars="875"/>
        <w:jc w:val="left"/>
        <w:rPr>
          <w:rFonts w:hint="eastAsia" w:ascii="宋体" w:hAnsi="宋体" w:eastAsia="宋体" w:cs="宋体"/>
          <w:kern w:val="0"/>
          <w:szCs w:val="21"/>
          <w:lang w:eastAsia="zh-CN"/>
        </w:rPr>
      </w:pPr>
      <w:r>
        <w:rPr>
          <w:rFonts w:hint="eastAsia" w:ascii="宋体" w:hAnsi="宋体" w:cs="宋体"/>
          <w:b/>
          <w:kern w:val="0"/>
          <w:szCs w:val="21"/>
        </w:rPr>
        <w:t>一、采购项目名称</w:t>
      </w:r>
      <w:r>
        <w:rPr>
          <w:rFonts w:hint="eastAsia" w:ascii="宋体" w:hAnsi="宋体" w:cs="宋体"/>
          <w:kern w:val="0"/>
          <w:szCs w:val="21"/>
        </w:rPr>
        <w:t>：</w:t>
      </w:r>
      <w:r>
        <w:rPr>
          <w:rFonts w:hint="eastAsia" w:ascii="宋体" w:hAnsi="宋体" w:cs="宋体"/>
          <w:kern w:val="0"/>
          <w:szCs w:val="21"/>
          <w:lang w:eastAsia="zh-CN"/>
        </w:rPr>
        <w:t>博白县矿石行业监管和税收共治平台</w:t>
      </w:r>
    </w:p>
    <w:p>
      <w:pPr>
        <w:widowControl/>
        <w:shd w:val="clear" w:color="auto" w:fill="FFFFFF"/>
        <w:spacing w:line="320" w:lineRule="exact"/>
        <w:ind w:firstLine="422" w:firstLineChars="200"/>
        <w:jc w:val="left"/>
        <w:rPr>
          <w:rFonts w:hint="eastAsia" w:ascii="宋体" w:hAnsi="宋体" w:cs="宋体"/>
          <w:kern w:val="0"/>
          <w:szCs w:val="21"/>
          <w:lang w:eastAsia="zh-CN"/>
        </w:rPr>
      </w:pPr>
      <w:r>
        <w:rPr>
          <w:rFonts w:hint="eastAsia" w:ascii="宋体" w:hAnsi="宋体" w:cs="宋体"/>
          <w:b/>
          <w:kern w:val="0"/>
          <w:szCs w:val="21"/>
        </w:rPr>
        <w:t>二、采购项目编号：</w:t>
      </w:r>
      <w:r>
        <w:rPr>
          <w:rFonts w:hint="eastAsia" w:ascii="宋体" w:hAnsi="宋体" w:cs="宋体"/>
          <w:kern w:val="0"/>
          <w:szCs w:val="21"/>
          <w:lang w:eastAsia="zh-CN"/>
        </w:rPr>
        <w:t>YLZC2020-G3-230138-GXZJ</w:t>
      </w:r>
    </w:p>
    <w:p>
      <w:pPr>
        <w:pStyle w:val="2"/>
        <w:rPr>
          <w:rFonts w:hint="default"/>
          <w:lang w:val="en-US" w:eastAsia="zh-CN"/>
        </w:rPr>
      </w:pPr>
      <w:r>
        <w:rPr>
          <w:rFonts w:hint="eastAsia" w:ascii="宋体" w:hAnsi="宋体" w:cs="宋体"/>
          <w:kern w:val="0"/>
          <w:szCs w:val="21"/>
          <w:lang w:val="en-US" w:eastAsia="zh-CN"/>
        </w:rPr>
        <w:t xml:space="preserve">       </w:t>
      </w:r>
      <w:r>
        <w:rPr>
          <w:rFonts w:hint="eastAsia" w:ascii="宋体" w:hAnsi="宋体" w:cs="宋体"/>
          <w:b/>
          <w:bCs/>
          <w:kern w:val="0"/>
          <w:sz w:val="21"/>
          <w:szCs w:val="21"/>
          <w:lang w:val="en-US" w:eastAsia="zh-CN"/>
        </w:rPr>
        <w:t>采购计划文号：</w:t>
      </w:r>
      <w:r>
        <w:rPr>
          <w:rFonts w:hint="eastAsia" w:ascii="宋体" w:hAnsi="宋体" w:cs="宋体"/>
          <w:b w:val="0"/>
          <w:bCs w:val="0"/>
          <w:kern w:val="0"/>
          <w:sz w:val="21"/>
          <w:szCs w:val="21"/>
          <w:lang w:val="en-US" w:eastAsia="zh-CN"/>
        </w:rPr>
        <w:t>YLZC2020-G3-62287-001</w:t>
      </w:r>
    </w:p>
    <w:p>
      <w:pPr>
        <w:widowControl/>
        <w:shd w:val="clear" w:color="auto" w:fill="FFFFFF"/>
        <w:spacing w:line="320" w:lineRule="exact"/>
        <w:ind w:firstLine="422" w:firstLineChars="200"/>
        <w:jc w:val="left"/>
        <w:rPr>
          <w:rFonts w:ascii="宋体" w:hAnsi="宋体" w:cs="Arial"/>
          <w:b/>
          <w:bCs/>
          <w:szCs w:val="21"/>
        </w:rPr>
      </w:pPr>
      <w:r>
        <w:rPr>
          <w:rFonts w:hint="eastAsia" w:ascii="宋体" w:hAnsi="宋体" w:cs="宋体"/>
          <w:b/>
          <w:kern w:val="0"/>
          <w:szCs w:val="21"/>
        </w:rPr>
        <w:t>三、采购内容：</w:t>
      </w:r>
      <w:r>
        <w:rPr>
          <w:rFonts w:hint="eastAsia" w:ascii="宋体" w:hAnsi="宋体" w:cs="Arial"/>
          <w:b/>
          <w:bCs/>
          <w:szCs w:val="21"/>
        </w:rPr>
        <w:t>（具体内容详见第二章采购需求）</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842"/>
        <w:gridCol w:w="4678"/>
        <w:gridCol w:w="709"/>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Arial"/>
                <w:b/>
                <w:bCs/>
                <w:szCs w:val="21"/>
              </w:rPr>
            </w:pPr>
            <w:r>
              <w:rPr>
                <w:rFonts w:hint="eastAsia" w:ascii="宋体" w:hAnsi="宋体" w:cs="Arial"/>
                <w:b/>
                <w:bCs/>
                <w:szCs w:val="21"/>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Arial"/>
                <w:b/>
                <w:bCs/>
                <w:szCs w:val="21"/>
              </w:rPr>
            </w:pPr>
            <w:r>
              <w:rPr>
                <w:rFonts w:hint="eastAsia" w:ascii="宋体" w:hAnsi="宋体" w:cs="Arial"/>
                <w:b/>
                <w:bCs/>
                <w:szCs w:val="21"/>
              </w:rPr>
              <w:t>服务名称</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Arial"/>
                <w:b/>
                <w:bCs/>
                <w:szCs w:val="21"/>
              </w:rPr>
            </w:pPr>
            <w:r>
              <w:rPr>
                <w:rFonts w:hint="eastAsia" w:ascii="宋体" w:hAnsi="宋体" w:cs="Arial"/>
                <w:b/>
                <w:bCs/>
                <w:szCs w:val="21"/>
              </w:rPr>
              <w:t>服务内容</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Arial"/>
                <w:b/>
                <w:bCs/>
                <w:szCs w:val="21"/>
              </w:rPr>
            </w:pPr>
            <w:r>
              <w:rPr>
                <w:rFonts w:hint="eastAsia" w:ascii="宋体" w:hAnsi="宋体" w:cs="Arial"/>
                <w:b/>
                <w:bCs/>
                <w:szCs w:val="21"/>
              </w:rPr>
              <w:t>数量</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Arial"/>
                <w:b/>
                <w:bCs/>
                <w:szCs w:val="21"/>
              </w:rPr>
            </w:pPr>
            <w:r>
              <w:rPr>
                <w:rFonts w:hint="eastAsia" w:ascii="宋体" w:hAnsi="宋体" w:cs="宋体"/>
                <w:b/>
                <w:kern w:val="0"/>
                <w:szCs w:val="21"/>
              </w:rPr>
              <w:t>采购预算金额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851" w:type="dxa"/>
            <w:tcBorders>
              <w:top w:val="single" w:color="auto" w:sz="4" w:space="0"/>
              <w:left w:val="single" w:color="auto" w:sz="4" w:space="0"/>
              <w:right w:val="single" w:color="auto" w:sz="4" w:space="0"/>
            </w:tcBorders>
            <w:vAlign w:val="center"/>
          </w:tcPr>
          <w:p>
            <w:pPr>
              <w:snapToGrid w:val="0"/>
              <w:spacing w:line="320" w:lineRule="exact"/>
              <w:jc w:val="center"/>
              <w:rPr>
                <w:rFonts w:ascii="宋体" w:hAnsi="宋体" w:cs="Arial"/>
                <w:bCs/>
                <w:szCs w:val="21"/>
              </w:rPr>
            </w:pPr>
            <w:r>
              <w:rPr>
                <w:rFonts w:hint="eastAsia" w:ascii="宋体" w:hAnsi="宋体" w:cs="Arial"/>
                <w:bCs/>
                <w:szCs w:val="21"/>
              </w:rPr>
              <w:t>1</w:t>
            </w:r>
          </w:p>
        </w:tc>
        <w:tc>
          <w:tcPr>
            <w:tcW w:w="1842" w:type="dxa"/>
            <w:tcBorders>
              <w:top w:val="single" w:color="auto" w:sz="4" w:space="0"/>
              <w:left w:val="single" w:color="auto" w:sz="4" w:space="0"/>
              <w:right w:val="single" w:color="auto" w:sz="4" w:space="0"/>
            </w:tcBorders>
            <w:vAlign w:val="center"/>
          </w:tcPr>
          <w:p>
            <w:pPr>
              <w:snapToGrid w:val="0"/>
              <w:spacing w:line="320" w:lineRule="exact"/>
              <w:rPr>
                <w:rFonts w:hint="eastAsia" w:ascii="宋体" w:hAnsi="宋体" w:eastAsia="宋体" w:cs="Arial"/>
                <w:bCs/>
                <w:szCs w:val="21"/>
                <w:lang w:eastAsia="zh-CN"/>
              </w:rPr>
            </w:pPr>
            <w:r>
              <w:rPr>
                <w:rFonts w:hint="eastAsia" w:ascii="宋体" w:hAnsi="宋体"/>
                <w:kern w:val="0"/>
                <w:szCs w:val="21"/>
                <w:lang w:eastAsia="zh-CN"/>
              </w:rPr>
              <w:t>博白县矿石行业监管和税收共治平台</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kern w:val="0"/>
                <w:szCs w:val="21"/>
              </w:rPr>
            </w:pPr>
            <w:r>
              <w:rPr>
                <w:rFonts w:hint="eastAsia" w:ascii="宋体" w:hAnsi="宋体"/>
                <w:kern w:val="0"/>
                <w:szCs w:val="21"/>
              </w:rPr>
              <w:t>1.建设博白县矿石行业监管和税收共治平台；</w:t>
            </w:r>
          </w:p>
          <w:p>
            <w:pPr>
              <w:snapToGrid w:val="0"/>
              <w:spacing w:line="320" w:lineRule="exact"/>
              <w:rPr>
                <w:rFonts w:ascii="宋体" w:hAnsi="宋体"/>
                <w:kern w:val="0"/>
                <w:szCs w:val="21"/>
              </w:rPr>
            </w:pPr>
            <w:r>
              <w:rPr>
                <w:rFonts w:hint="eastAsia" w:ascii="宋体" w:hAnsi="宋体"/>
                <w:kern w:val="0"/>
                <w:szCs w:val="21"/>
              </w:rPr>
              <w:t>2.对接实施</w:t>
            </w:r>
            <w:r>
              <w:rPr>
                <w:rFonts w:ascii="宋体" w:hAnsi="宋体"/>
                <w:kern w:val="0"/>
                <w:szCs w:val="21"/>
              </w:rPr>
              <w:t>25</w:t>
            </w:r>
            <w:r>
              <w:rPr>
                <w:rFonts w:hint="eastAsia" w:ascii="宋体" w:hAnsi="宋体"/>
                <w:kern w:val="0"/>
                <w:szCs w:val="21"/>
              </w:rPr>
              <w:t>家石场企业，实施部署物联网智慧界桩、视频监控采集、汇总、分析行业数据，同时部署视频监控系统。</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Arial"/>
                <w:bCs/>
                <w:szCs w:val="21"/>
              </w:rPr>
            </w:pPr>
            <w:r>
              <w:rPr>
                <w:rFonts w:hint="eastAsia" w:ascii="宋体" w:hAnsi="宋体" w:cs="Arial"/>
                <w:bCs/>
                <w:szCs w:val="21"/>
              </w:rPr>
              <w:t>1项</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s="Arial"/>
                <w:bCs/>
                <w:szCs w:val="21"/>
              </w:rPr>
            </w:pPr>
            <w:r>
              <w:rPr>
                <w:rFonts w:ascii="宋体" w:hAnsi="宋体" w:cs="宋体"/>
                <w:kern w:val="0"/>
                <w:szCs w:val="21"/>
              </w:rPr>
              <w:t>3710000</w:t>
            </w:r>
            <w:r>
              <w:rPr>
                <w:rFonts w:hint="eastAsia" w:ascii="宋体" w:hAnsi="宋体" w:cs="宋体"/>
                <w:kern w:val="0"/>
                <w:szCs w:val="21"/>
                <w:lang w:val="en-US" w:eastAsia="zh-CN"/>
              </w:rPr>
              <w:t>.00</w:t>
            </w:r>
          </w:p>
        </w:tc>
      </w:tr>
    </w:tbl>
    <w:p>
      <w:pPr>
        <w:widowControl/>
        <w:shd w:val="clear" w:color="auto" w:fill="FFFFFF"/>
        <w:spacing w:line="320" w:lineRule="exact"/>
        <w:ind w:firstLine="422" w:firstLineChars="200"/>
        <w:jc w:val="left"/>
        <w:rPr>
          <w:rFonts w:ascii="宋体" w:hAnsi="宋体" w:cs="宋体"/>
          <w:kern w:val="0"/>
          <w:szCs w:val="21"/>
        </w:rPr>
      </w:pPr>
      <w:r>
        <w:rPr>
          <w:rFonts w:hint="eastAsia" w:ascii="宋体" w:hAnsi="宋体" w:cs="宋体"/>
          <w:b/>
          <w:kern w:val="0"/>
          <w:szCs w:val="21"/>
        </w:rPr>
        <w:t>四、采购政策</w:t>
      </w:r>
      <w:r>
        <w:rPr>
          <w:rFonts w:hint="eastAsia" w:ascii="宋体" w:hAnsi="宋体" w:cs="宋体"/>
          <w:kern w:val="0"/>
          <w:szCs w:val="21"/>
        </w:rPr>
        <w:t>：</w:t>
      </w:r>
    </w:p>
    <w:p>
      <w:pPr>
        <w:widowControl/>
        <w:shd w:val="clear" w:color="auto" w:fill="FFFFFF"/>
        <w:spacing w:line="320" w:lineRule="exact"/>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szCs w:val="21"/>
        </w:rPr>
        <w:t xml:space="preserve"> </w:t>
      </w:r>
      <w:r>
        <w:rPr>
          <w:rFonts w:hint="eastAsia" w:ascii="宋体" w:hAnsi="宋体" w:cs="宋体"/>
          <w:kern w:val="0"/>
          <w:szCs w:val="21"/>
        </w:rPr>
        <w:t>政府采购促进中小企业发展。</w:t>
      </w:r>
    </w:p>
    <w:p>
      <w:pPr>
        <w:widowControl/>
        <w:shd w:val="clear" w:color="auto" w:fill="FFFFFF"/>
        <w:spacing w:line="320" w:lineRule="exact"/>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szCs w:val="21"/>
        </w:rPr>
        <w:t xml:space="preserve"> </w:t>
      </w:r>
      <w:r>
        <w:rPr>
          <w:rFonts w:hint="eastAsia" w:ascii="宋体" w:hAnsi="宋体" w:cs="宋体"/>
          <w:kern w:val="0"/>
          <w:szCs w:val="21"/>
        </w:rPr>
        <w:t>政府采购促进残疾人就业政策。</w:t>
      </w:r>
    </w:p>
    <w:p>
      <w:pPr>
        <w:widowControl/>
        <w:shd w:val="clear" w:color="auto" w:fill="FFFFFF"/>
        <w:spacing w:line="320" w:lineRule="exact"/>
        <w:ind w:firstLine="420" w:firstLineChars="200"/>
        <w:jc w:val="left"/>
        <w:rPr>
          <w:rFonts w:ascii="宋体" w:hAnsi="宋体" w:cs="宋体"/>
          <w:kern w:val="0"/>
          <w:szCs w:val="21"/>
        </w:rPr>
      </w:pPr>
      <w:r>
        <w:rPr>
          <w:rFonts w:hint="eastAsia" w:ascii="宋体" w:hAnsi="宋体" w:cs="宋体"/>
          <w:kern w:val="0"/>
          <w:szCs w:val="21"/>
        </w:rPr>
        <w:t>3.</w:t>
      </w:r>
      <w:r>
        <w:rPr>
          <w:rFonts w:hint="eastAsia" w:ascii="宋体" w:hAnsi="宋体"/>
          <w:szCs w:val="21"/>
        </w:rPr>
        <w:t xml:space="preserve"> </w:t>
      </w:r>
      <w:r>
        <w:rPr>
          <w:rFonts w:hint="eastAsia" w:ascii="宋体" w:hAnsi="宋体" w:cs="宋体"/>
          <w:kern w:val="0"/>
          <w:szCs w:val="21"/>
        </w:rPr>
        <w:t>政府采购支持监狱企业发展。</w:t>
      </w:r>
    </w:p>
    <w:p>
      <w:pPr>
        <w:widowControl/>
        <w:shd w:val="clear" w:color="auto" w:fill="FFFFFF"/>
        <w:spacing w:line="320" w:lineRule="exact"/>
        <w:ind w:firstLine="420" w:firstLineChars="200"/>
        <w:jc w:val="left"/>
        <w:rPr>
          <w:rFonts w:ascii="宋体" w:hAnsi="宋体" w:cs="宋体"/>
          <w:kern w:val="0"/>
          <w:szCs w:val="21"/>
        </w:rPr>
      </w:pPr>
      <w:r>
        <w:rPr>
          <w:rFonts w:hint="eastAsia" w:ascii="宋体" w:hAnsi="宋体" w:cs="宋体"/>
          <w:kern w:val="0"/>
          <w:szCs w:val="21"/>
        </w:rPr>
        <w:t>4.</w:t>
      </w:r>
      <w:r>
        <w:rPr>
          <w:rFonts w:hint="eastAsia" w:ascii="宋体" w:hAnsi="宋体"/>
          <w:szCs w:val="21"/>
        </w:rPr>
        <w:t xml:space="preserve"> </w:t>
      </w:r>
      <w:r>
        <w:rPr>
          <w:rFonts w:hint="eastAsia" w:ascii="宋体" w:hAnsi="宋体" w:cs="宋体"/>
          <w:kern w:val="0"/>
          <w:szCs w:val="21"/>
        </w:rPr>
        <w:t>政府采购扶持不发达地区和少数民族地区。</w:t>
      </w:r>
    </w:p>
    <w:p>
      <w:pPr>
        <w:widowControl/>
        <w:shd w:val="clear" w:color="auto" w:fill="FFFFFF"/>
        <w:spacing w:line="320" w:lineRule="exact"/>
        <w:ind w:firstLine="422" w:firstLineChars="200"/>
        <w:jc w:val="left"/>
        <w:rPr>
          <w:rFonts w:ascii="宋体" w:hAnsi="宋体" w:cs="宋体"/>
          <w:b/>
          <w:kern w:val="0"/>
          <w:szCs w:val="21"/>
        </w:rPr>
      </w:pPr>
      <w:r>
        <w:rPr>
          <w:rFonts w:hint="eastAsia" w:ascii="宋体" w:hAnsi="宋体" w:cs="宋体"/>
          <w:b/>
          <w:kern w:val="0"/>
          <w:szCs w:val="21"/>
        </w:rPr>
        <w:t>五、投标人资格要求：</w:t>
      </w:r>
    </w:p>
    <w:p>
      <w:pPr>
        <w:snapToGrid w:val="0"/>
        <w:spacing w:line="320" w:lineRule="exact"/>
        <w:ind w:firstLine="420" w:firstLineChars="200"/>
        <w:rPr>
          <w:rFonts w:ascii="宋体" w:hAnsi="宋体"/>
        </w:rPr>
      </w:pPr>
      <w:r>
        <w:rPr>
          <w:rFonts w:hint="eastAsia" w:ascii="宋体" w:hAnsi="宋体" w:cs="Arial"/>
          <w:szCs w:val="21"/>
        </w:rPr>
        <w:t>1.</w:t>
      </w:r>
      <w:r>
        <w:rPr>
          <w:rFonts w:hint="eastAsia" w:ascii="宋体" w:hAnsi="宋体"/>
        </w:rPr>
        <w:t>具有独立承担民事责任的能力；</w:t>
      </w:r>
    </w:p>
    <w:p>
      <w:pPr>
        <w:snapToGrid w:val="0"/>
        <w:spacing w:line="320" w:lineRule="exact"/>
        <w:ind w:firstLine="420" w:firstLineChars="200"/>
        <w:rPr>
          <w:rFonts w:ascii="宋体" w:hAnsi="宋体"/>
        </w:rPr>
      </w:pPr>
      <w:r>
        <w:rPr>
          <w:rFonts w:hint="eastAsia" w:ascii="宋体" w:hAnsi="宋体"/>
        </w:rPr>
        <w:t>2.具有良好的商业信誉和健全的财务会计制度；</w:t>
      </w:r>
    </w:p>
    <w:p>
      <w:pPr>
        <w:snapToGrid w:val="0"/>
        <w:spacing w:line="320" w:lineRule="exact"/>
        <w:ind w:firstLine="420" w:firstLineChars="200"/>
        <w:rPr>
          <w:rFonts w:ascii="宋体" w:hAnsi="宋体"/>
        </w:rPr>
      </w:pPr>
      <w:r>
        <w:rPr>
          <w:rFonts w:hint="eastAsia" w:ascii="宋体" w:hAnsi="宋体"/>
        </w:rPr>
        <w:t>3.具有履行合同所必需的设备和专业技术能力；</w:t>
      </w:r>
    </w:p>
    <w:p>
      <w:pPr>
        <w:snapToGrid w:val="0"/>
        <w:spacing w:line="320" w:lineRule="exact"/>
        <w:ind w:firstLine="420" w:firstLineChars="200"/>
        <w:rPr>
          <w:rFonts w:ascii="宋体" w:hAnsi="宋体"/>
        </w:rPr>
      </w:pPr>
      <w:r>
        <w:rPr>
          <w:rFonts w:hint="eastAsia" w:ascii="宋体" w:hAnsi="宋体"/>
        </w:rPr>
        <w:t>4.有依法缴纳税收和社会保障资金的良好记录；</w:t>
      </w:r>
    </w:p>
    <w:p>
      <w:pPr>
        <w:snapToGrid w:val="0"/>
        <w:spacing w:line="320" w:lineRule="exact"/>
        <w:ind w:firstLine="420" w:firstLineChars="200"/>
        <w:rPr>
          <w:rFonts w:ascii="宋体" w:hAnsi="宋体"/>
        </w:rPr>
      </w:pPr>
      <w:r>
        <w:rPr>
          <w:rFonts w:hint="eastAsia" w:ascii="宋体" w:hAnsi="宋体"/>
        </w:rPr>
        <w:t>5.参加政府采购活动前三年内，在经营活动中没有重大违法记录；</w:t>
      </w:r>
    </w:p>
    <w:p>
      <w:pPr>
        <w:spacing w:line="320" w:lineRule="exact"/>
        <w:ind w:firstLine="420"/>
        <w:jc w:val="left"/>
        <w:rPr>
          <w:rFonts w:ascii="宋体" w:hAnsi="宋体"/>
          <w:szCs w:val="21"/>
        </w:rPr>
      </w:pPr>
      <w:r>
        <w:rPr>
          <w:rFonts w:hint="eastAsia" w:ascii="宋体" w:hAnsi="宋体" w:cs="宋体"/>
          <w:kern w:val="0"/>
          <w:szCs w:val="21"/>
        </w:rPr>
        <w:t>6.单位负责人为同一人或者存在直接控股、管理关系的不同供应商，不得参加同一合同项下的政府采购活动。除单一来源采购项目外，为采购项目提供整体设计、规范编制或者项目管理等服务的供应商，不得再参加该采购项目的其他采购活动；</w:t>
      </w:r>
    </w:p>
    <w:p>
      <w:pPr>
        <w:spacing w:line="320" w:lineRule="exact"/>
        <w:ind w:firstLine="420"/>
        <w:jc w:val="left"/>
        <w:rPr>
          <w:rFonts w:ascii="宋体" w:hAnsi="宋体" w:cs="宋体"/>
          <w:kern w:val="0"/>
          <w:szCs w:val="21"/>
        </w:rPr>
      </w:pPr>
      <w:r>
        <w:rPr>
          <w:rFonts w:hint="eastAsia" w:ascii="宋体" w:hAnsi="宋体"/>
          <w:szCs w:val="21"/>
        </w:rPr>
        <w:t>7.</w:t>
      </w:r>
      <w:r>
        <w:rPr>
          <w:rFonts w:hint="eastAsia" w:ascii="宋体" w:hAnsi="宋体" w:cs="宋体"/>
          <w:kern w:val="0"/>
          <w:szCs w:val="21"/>
        </w:rPr>
        <w:t>对在“信用中国”网站(www.creditchina.gov.cn)、中国政府采购网(</w:t>
      </w:r>
      <w:r>
        <w:rPr>
          <w:rFonts w:hint="eastAsia" w:ascii="宋体" w:hAnsi="宋体"/>
        </w:rPr>
        <w:t>www.ccgp.gov.cn</w:t>
      </w:r>
      <w:r>
        <w:rPr>
          <w:rFonts w:hint="eastAsia" w:ascii="宋体" w:hAnsi="宋体" w:cs="宋体"/>
          <w:kern w:val="0"/>
          <w:szCs w:val="21"/>
        </w:rPr>
        <w:t>)被列入失信被执行人、重大税收违法案件当事人名单、政府采购严重违法失信行为记录名单及其他不符合《中华人民共和国政府采购法》第二十二条规定条件的供应商，不得参与政府采购活动；</w:t>
      </w:r>
    </w:p>
    <w:p>
      <w:pPr>
        <w:widowControl/>
        <w:shd w:val="clear" w:color="auto" w:fill="FFFFFF"/>
        <w:spacing w:line="320" w:lineRule="exact"/>
        <w:ind w:firstLine="420" w:firstLineChars="200"/>
        <w:jc w:val="left"/>
        <w:rPr>
          <w:rFonts w:ascii="宋体" w:hAnsi="宋体" w:cs="Arial"/>
          <w:szCs w:val="21"/>
        </w:rPr>
      </w:pPr>
      <w:r>
        <w:rPr>
          <w:rFonts w:hint="eastAsia" w:ascii="宋体" w:hAnsi="宋体" w:cs="Arial"/>
          <w:szCs w:val="21"/>
        </w:rPr>
        <w:t>8.</w:t>
      </w:r>
      <w:r>
        <w:rPr>
          <w:rFonts w:hint="eastAsia"/>
        </w:rPr>
        <w:t xml:space="preserve"> </w:t>
      </w:r>
      <w:r>
        <w:rPr>
          <w:rFonts w:hint="eastAsia" w:ascii="宋体" w:hAnsi="宋体" w:cs="Arial"/>
          <w:szCs w:val="21"/>
        </w:rPr>
        <w:t>本项目不接受联合体投标；</w:t>
      </w:r>
    </w:p>
    <w:p>
      <w:pPr>
        <w:snapToGrid w:val="0"/>
        <w:spacing w:line="320" w:lineRule="exact"/>
        <w:ind w:firstLine="420" w:firstLineChars="200"/>
        <w:rPr>
          <w:rFonts w:ascii="宋体" w:hAnsi="宋体" w:cs="Arial"/>
          <w:szCs w:val="21"/>
        </w:rPr>
      </w:pPr>
      <w:r>
        <w:rPr>
          <w:rFonts w:hint="eastAsia" w:ascii="宋体" w:hAnsi="宋体" w:cs="Arial"/>
          <w:szCs w:val="21"/>
        </w:rPr>
        <w:t>9.本项目不接受未按招标文件规定的方式获取本招标文件的投标人参与投标。</w:t>
      </w:r>
    </w:p>
    <w:p>
      <w:pPr>
        <w:widowControl/>
        <w:shd w:val="clear" w:color="auto" w:fill="FFFFFF"/>
        <w:spacing w:line="320" w:lineRule="exact"/>
        <w:ind w:firstLine="422" w:firstLineChars="200"/>
        <w:jc w:val="left"/>
        <w:rPr>
          <w:rFonts w:ascii="宋体" w:hAnsi="宋体" w:cs="宋体"/>
          <w:kern w:val="0"/>
          <w:szCs w:val="21"/>
        </w:rPr>
      </w:pPr>
      <w:r>
        <w:rPr>
          <w:rFonts w:hint="eastAsia" w:ascii="宋体" w:hAnsi="宋体" w:cs="宋体"/>
          <w:b/>
          <w:kern w:val="0"/>
          <w:szCs w:val="21"/>
        </w:rPr>
        <w:t>六、招标文件的获取</w:t>
      </w:r>
      <w:r>
        <w:rPr>
          <w:rFonts w:hint="eastAsia" w:ascii="宋体" w:hAnsi="宋体" w:cs="宋体"/>
          <w:kern w:val="0"/>
          <w:szCs w:val="21"/>
        </w:rPr>
        <w:t>：</w:t>
      </w:r>
    </w:p>
    <w:p>
      <w:pPr>
        <w:snapToGrid w:val="0"/>
        <w:spacing w:line="320" w:lineRule="exact"/>
        <w:ind w:firstLine="420" w:firstLineChars="200"/>
        <w:rPr>
          <w:rFonts w:ascii="宋体" w:hAnsi="宋体" w:cs="Arial"/>
          <w:szCs w:val="21"/>
        </w:rPr>
      </w:pPr>
      <w:r>
        <w:rPr>
          <w:rFonts w:hint="eastAsia" w:ascii="宋体" w:hAnsi="宋体" w:cs="Arial"/>
          <w:szCs w:val="21"/>
        </w:rPr>
        <w:t>1.获取时间：2020年</w:t>
      </w:r>
      <w:r>
        <w:rPr>
          <w:rFonts w:hint="eastAsia" w:ascii="宋体" w:hAnsi="宋体" w:cs="Arial"/>
          <w:szCs w:val="21"/>
          <w:lang w:val="en-US" w:eastAsia="zh-CN"/>
        </w:rPr>
        <w:t>8</w:t>
      </w:r>
      <w:r>
        <w:rPr>
          <w:rFonts w:hint="eastAsia" w:ascii="宋体" w:hAnsi="宋体" w:cs="Arial"/>
          <w:szCs w:val="21"/>
        </w:rPr>
        <w:t>月</w:t>
      </w:r>
      <w:r>
        <w:rPr>
          <w:rFonts w:hint="eastAsia" w:ascii="宋体" w:hAnsi="宋体" w:cs="Arial"/>
          <w:szCs w:val="21"/>
          <w:lang w:val="en-US" w:eastAsia="zh-CN"/>
        </w:rPr>
        <w:t>11</w:t>
      </w:r>
      <w:r>
        <w:rPr>
          <w:rFonts w:hint="eastAsia" w:ascii="宋体" w:hAnsi="宋体" w:cs="Arial"/>
          <w:szCs w:val="21"/>
        </w:rPr>
        <w:t xml:space="preserve">日至 2020年 </w:t>
      </w:r>
      <w:r>
        <w:rPr>
          <w:rFonts w:hint="eastAsia" w:ascii="宋体" w:hAnsi="宋体" w:cs="Arial"/>
          <w:szCs w:val="21"/>
          <w:lang w:val="en-US" w:eastAsia="zh-CN"/>
        </w:rPr>
        <w:t>8</w:t>
      </w:r>
      <w:r>
        <w:rPr>
          <w:rFonts w:hint="eastAsia" w:ascii="宋体" w:hAnsi="宋体" w:cs="Arial"/>
          <w:szCs w:val="21"/>
        </w:rPr>
        <w:t xml:space="preserve"> 月 </w:t>
      </w:r>
      <w:r>
        <w:rPr>
          <w:rFonts w:hint="eastAsia" w:ascii="宋体" w:hAnsi="宋体" w:cs="Arial"/>
          <w:szCs w:val="21"/>
          <w:lang w:val="en-US" w:eastAsia="zh-CN"/>
        </w:rPr>
        <w:t>17</w:t>
      </w:r>
      <w:r>
        <w:rPr>
          <w:rFonts w:hint="eastAsia" w:ascii="宋体" w:hAnsi="宋体" w:cs="Arial"/>
          <w:szCs w:val="21"/>
        </w:rPr>
        <w:t xml:space="preserve"> 日止（工作日）。</w:t>
      </w:r>
    </w:p>
    <w:p>
      <w:pPr>
        <w:snapToGrid w:val="0"/>
        <w:spacing w:line="320" w:lineRule="exact"/>
        <w:ind w:firstLine="420" w:firstLineChars="200"/>
        <w:rPr>
          <w:rFonts w:ascii="宋体" w:hAnsi="宋体" w:cs="Arial"/>
          <w:szCs w:val="21"/>
        </w:rPr>
      </w:pPr>
      <w:r>
        <w:rPr>
          <w:rFonts w:hint="eastAsia" w:ascii="宋体" w:hAnsi="宋体" w:cs="Arial"/>
          <w:szCs w:val="21"/>
        </w:rPr>
        <w:t>2.获取地点：</w:t>
      </w:r>
      <w:r>
        <w:rPr>
          <w:rFonts w:hint="eastAsia" w:ascii="宋体" w:hAnsi="宋体" w:cs="宋体"/>
          <w:kern w:val="0"/>
          <w:szCs w:val="21"/>
        </w:rPr>
        <w:t>供应商须登录政采云平台（https://www.zcygov.cn/）在线办理并自行下载招标文件，未注册的供应商可在政采云平台完成注册后再进行报名，如在操作过程中遇到问题或需要技术支持，请致电政采云客服热线：400-881-7190。</w:t>
      </w:r>
    </w:p>
    <w:p>
      <w:pPr>
        <w:widowControl/>
        <w:shd w:val="clear" w:color="auto" w:fill="FFFFFF"/>
        <w:spacing w:line="300" w:lineRule="exact"/>
        <w:ind w:firstLine="422" w:firstLineChars="200"/>
        <w:jc w:val="left"/>
        <w:rPr>
          <w:rFonts w:ascii="宋体" w:hAnsi="宋体" w:cs="宋体"/>
          <w:b/>
          <w:kern w:val="0"/>
          <w:szCs w:val="21"/>
        </w:rPr>
      </w:pPr>
      <w:r>
        <w:rPr>
          <w:rFonts w:hint="eastAsia" w:ascii="宋体" w:hAnsi="宋体" w:cs="宋体"/>
          <w:b/>
          <w:kern w:val="0"/>
          <w:szCs w:val="21"/>
        </w:rPr>
        <w:t>七、投标保证金（人民币）</w:t>
      </w:r>
      <w:r>
        <w:rPr>
          <w:rFonts w:hint="eastAsia" w:ascii="宋体" w:hAnsi="宋体" w:cs="宋体"/>
          <w:kern w:val="0"/>
          <w:szCs w:val="21"/>
        </w:rPr>
        <w:t>：本项目不收取投标保证金。</w:t>
      </w:r>
    </w:p>
    <w:p>
      <w:pPr>
        <w:widowControl/>
        <w:shd w:val="clear" w:color="auto" w:fill="FFFFFF"/>
        <w:spacing w:line="300" w:lineRule="exact"/>
        <w:ind w:firstLine="422" w:firstLineChars="200"/>
        <w:jc w:val="left"/>
        <w:rPr>
          <w:rFonts w:ascii="宋体" w:hAnsi="宋体" w:cs="Arial"/>
          <w:szCs w:val="21"/>
          <w:u w:val="single"/>
        </w:rPr>
      </w:pPr>
      <w:r>
        <w:rPr>
          <w:rFonts w:hint="eastAsia" w:ascii="宋体" w:hAnsi="宋体" w:cs="宋体"/>
          <w:b/>
          <w:kern w:val="0"/>
          <w:szCs w:val="21"/>
        </w:rPr>
        <w:t>八、投标截止时间和地点：</w:t>
      </w:r>
    </w:p>
    <w:p>
      <w:pPr>
        <w:snapToGrid w:val="0"/>
        <w:spacing w:line="300" w:lineRule="exact"/>
        <w:ind w:firstLine="420" w:firstLineChars="200"/>
        <w:jc w:val="left"/>
        <w:rPr>
          <w:rFonts w:ascii="宋体" w:hAnsi="宋体" w:cs="Arial"/>
          <w:szCs w:val="21"/>
        </w:rPr>
      </w:pPr>
      <w:r>
        <w:rPr>
          <w:rFonts w:hint="eastAsia" w:ascii="宋体" w:hAnsi="宋体"/>
          <w:szCs w:val="21"/>
        </w:rPr>
        <w:t>投标截止时间</w:t>
      </w:r>
      <w:r>
        <w:rPr>
          <w:rFonts w:hint="eastAsia" w:ascii="宋体" w:hAnsi="宋体"/>
          <w:szCs w:val="21"/>
          <w:u w:val="none"/>
        </w:rPr>
        <w:t>：</w:t>
      </w:r>
      <w:r>
        <w:rPr>
          <w:rFonts w:hint="eastAsia" w:ascii="宋体" w:hAnsi="宋体" w:cs="Arial"/>
          <w:szCs w:val="21"/>
          <w:u w:val="none"/>
        </w:rPr>
        <w:t xml:space="preserve"> 2020</w:t>
      </w:r>
      <w:r>
        <w:rPr>
          <w:rFonts w:hint="eastAsia" w:ascii="宋体" w:hAnsi="宋体" w:cs="Arial"/>
          <w:szCs w:val="21"/>
        </w:rPr>
        <w:t>年</w:t>
      </w:r>
      <w:r>
        <w:rPr>
          <w:rFonts w:hint="eastAsia" w:ascii="宋体" w:hAnsi="宋体" w:cs="Arial"/>
          <w:szCs w:val="21"/>
          <w:lang w:val="en-US" w:eastAsia="zh-CN"/>
        </w:rPr>
        <w:t>8</w:t>
      </w:r>
      <w:r>
        <w:rPr>
          <w:rFonts w:hint="eastAsia" w:ascii="宋体" w:hAnsi="宋体" w:cs="Arial"/>
          <w:szCs w:val="21"/>
        </w:rPr>
        <w:t xml:space="preserve"> 月</w:t>
      </w:r>
      <w:r>
        <w:rPr>
          <w:rFonts w:hint="eastAsia" w:ascii="宋体" w:hAnsi="宋体" w:cs="Arial"/>
          <w:szCs w:val="21"/>
          <w:lang w:val="en-US" w:eastAsia="zh-CN"/>
        </w:rPr>
        <w:t>31</w:t>
      </w:r>
      <w:r>
        <w:rPr>
          <w:rFonts w:hint="eastAsia" w:ascii="宋体" w:hAnsi="宋体" w:cs="Arial"/>
          <w:szCs w:val="21"/>
        </w:rPr>
        <w:t>日</w:t>
      </w:r>
      <w:r>
        <w:rPr>
          <w:rFonts w:hint="eastAsia" w:ascii="宋体" w:hAnsi="宋体" w:cs="Arial"/>
          <w:szCs w:val="21"/>
          <w:lang w:val="en-US" w:eastAsia="zh-CN"/>
        </w:rPr>
        <w:t>10</w:t>
      </w:r>
      <w:r>
        <w:rPr>
          <w:rFonts w:hint="eastAsia" w:ascii="宋体" w:hAnsi="宋体" w:cs="Arial"/>
          <w:szCs w:val="21"/>
        </w:rPr>
        <w:t>时</w:t>
      </w:r>
      <w:r>
        <w:rPr>
          <w:rFonts w:hint="eastAsia" w:ascii="宋体" w:hAnsi="宋体" w:cs="Arial"/>
          <w:szCs w:val="21"/>
          <w:lang w:val="en-US" w:eastAsia="zh-CN"/>
        </w:rPr>
        <w:t>00</w:t>
      </w:r>
      <w:r>
        <w:rPr>
          <w:rFonts w:hint="eastAsia" w:ascii="宋体" w:hAnsi="宋体" w:cs="Arial"/>
          <w:szCs w:val="21"/>
        </w:rPr>
        <w:t>分</w:t>
      </w:r>
    </w:p>
    <w:p>
      <w:pPr>
        <w:snapToGrid w:val="0"/>
        <w:spacing w:line="300" w:lineRule="exact"/>
        <w:ind w:firstLine="420" w:firstLineChars="200"/>
        <w:jc w:val="left"/>
        <w:rPr>
          <w:rFonts w:ascii="宋体" w:hAnsi="宋体" w:cs="宋体"/>
          <w:kern w:val="0"/>
          <w:szCs w:val="21"/>
        </w:rPr>
      </w:pPr>
      <w:r>
        <w:rPr>
          <w:rFonts w:hint="eastAsia" w:ascii="宋体" w:hAnsi="宋体"/>
          <w:szCs w:val="21"/>
        </w:rPr>
        <w:t>投标地点：</w:t>
      </w:r>
      <w:r>
        <w:rPr>
          <w:rFonts w:hint="eastAsia" w:ascii="宋体" w:hAnsi="宋体" w:cs="Arial"/>
          <w:szCs w:val="21"/>
        </w:rPr>
        <w:t>(博白县博白镇锦绣东路，博白县政务服务中心六楼(博白县博白镇锦绣东路，博白县政务服务中心六楼)</w:t>
      </w:r>
    </w:p>
    <w:p>
      <w:pPr>
        <w:widowControl/>
        <w:shd w:val="clear" w:color="auto" w:fill="FFFFFF"/>
        <w:spacing w:line="300" w:lineRule="exact"/>
        <w:ind w:firstLine="420" w:firstLineChars="200"/>
        <w:jc w:val="left"/>
        <w:rPr>
          <w:rFonts w:ascii="宋体" w:hAnsi="宋体"/>
          <w:szCs w:val="21"/>
        </w:rPr>
      </w:pPr>
      <w:r>
        <w:rPr>
          <w:rFonts w:hint="eastAsia" w:ascii="宋体" w:hAnsi="宋体"/>
          <w:szCs w:val="21"/>
        </w:rPr>
        <w:t>投标人应在投标文件提交起止时间内，将投标文件密封送达投标地点，未在规定时间内送达或未按照招标文件要求密封的投标文件，将予以拒收。</w:t>
      </w:r>
    </w:p>
    <w:p>
      <w:pPr>
        <w:widowControl/>
        <w:shd w:val="clear" w:color="auto" w:fill="FFFFFF"/>
        <w:spacing w:line="300" w:lineRule="exact"/>
        <w:ind w:firstLine="422" w:firstLineChars="200"/>
        <w:jc w:val="left"/>
        <w:rPr>
          <w:rFonts w:ascii="宋体" w:hAnsi="宋体" w:cs="宋体"/>
          <w:b/>
          <w:kern w:val="0"/>
          <w:szCs w:val="21"/>
        </w:rPr>
      </w:pPr>
      <w:r>
        <w:rPr>
          <w:rFonts w:hint="eastAsia" w:ascii="宋体" w:hAnsi="宋体" w:cs="宋体"/>
          <w:b/>
          <w:kern w:val="0"/>
          <w:szCs w:val="21"/>
        </w:rPr>
        <w:t>九、开标时间及地点：</w:t>
      </w:r>
    </w:p>
    <w:p>
      <w:pPr>
        <w:snapToGrid w:val="0"/>
        <w:spacing w:line="300" w:lineRule="exact"/>
        <w:ind w:firstLine="422" w:firstLineChars="200"/>
        <w:rPr>
          <w:rFonts w:ascii="宋体" w:hAnsi="宋体" w:cs="Arial"/>
          <w:b/>
          <w:bCs/>
          <w:szCs w:val="21"/>
        </w:rPr>
      </w:pPr>
      <w:r>
        <w:rPr>
          <w:rFonts w:hint="eastAsia" w:ascii="宋体" w:hAnsi="宋体" w:cs="Arial"/>
          <w:b/>
          <w:bCs/>
          <w:szCs w:val="21"/>
        </w:rPr>
        <w:t>开标时间：</w:t>
      </w:r>
      <w:r>
        <w:rPr>
          <w:rFonts w:hint="eastAsia" w:ascii="宋体" w:hAnsi="宋体" w:cs="Arial"/>
          <w:szCs w:val="21"/>
        </w:rPr>
        <w:t xml:space="preserve"> 2020年 </w:t>
      </w:r>
      <w:r>
        <w:rPr>
          <w:rFonts w:hint="eastAsia" w:ascii="宋体" w:hAnsi="宋体" w:cs="Arial"/>
          <w:szCs w:val="21"/>
          <w:lang w:val="en-US" w:eastAsia="zh-CN"/>
        </w:rPr>
        <w:t>8</w:t>
      </w:r>
      <w:r>
        <w:rPr>
          <w:rFonts w:hint="eastAsia" w:ascii="宋体" w:hAnsi="宋体" w:cs="Arial"/>
          <w:szCs w:val="21"/>
        </w:rPr>
        <w:t xml:space="preserve"> 月 </w:t>
      </w:r>
      <w:r>
        <w:rPr>
          <w:rFonts w:hint="eastAsia" w:ascii="宋体" w:hAnsi="宋体" w:cs="Arial"/>
          <w:szCs w:val="21"/>
          <w:lang w:val="en-US" w:eastAsia="zh-CN"/>
        </w:rPr>
        <w:t>31</w:t>
      </w:r>
      <w:r>
        <w:rPr>
          <w:rFonts w:hint="eastAsia" w:ascii="宋体" w:hAnsi="宋体" w:cs="Arial"/>
          <w:szCs w:val="21"/>
        </w:rPr>
        <w:t xml:space="preserve"> 日 </w:t>
      </w:r>
      <w:r>
        <w:rPr>
          <w:rFonts w:hint="eastAsia" w:ascii="宋体" w:hAnsi="宋体" w:cs="Arial"/>
          <w:szCs w:val="21"/>
          <w:lang w:val="en-US" w:eastAsia="zh-CN"/>
        </w:rPr>
        <w:t>10</w:t>
      </w:r>
      <w:r>
        <w:rPr>
          <w:rFonts w:hint="eastAsia" w:ascii="宋体" w:hAnsi="宋体" w:cs="Arial"/>
          <w:szCs w:val="21"/>
        </w:rPr>
        <w:t xml:space="preserve"> 时 </w:t>
      </w:r>
      <w:r>
        <w:rPr>
          <w:rFonts w:hint="eastAsia" w:ascii="宋体" w:hAnsi="宋体" w:cs="Arial"/>
          <w:szCs w:val="21"/>
          <w:lang w:val="en-US" w:eastAsia="zh-CN"/>
        </w:rPr>
        <w:t>00</w:t>
      </w:r>
      <w:r>
        <w:rPr>
          <w:rFonts w:hint="eastAsia" w:ascii="宋体" w:hAnsi="宋体" w:cs="Arial"/>
          <w:szCs w:val="21"/>
        </w:rPr>
        <w:t xml:space="preserve"> 分</w:t>
      </w:r>
    </w:p>
    <w:p>
      <w:pPr>
        <w:widowControl/>
        <w:shd w:val="clear" w:color="auto" w:fill="FFFFFF"/>
        <w:spacing w:line="300" w:lineRule="exact"/>
        <w:ind w:firstLine="422" w:firstLineChars="200"/>
        <w:jc w:val="left"/>
        <w:rPr>
          <w:rFonts w:ascii="宋体" w:hAnsi="宋体" w:cs="宋体"/>
          <w:kern w:val="0"/>
          <w:szCs w:val="21"/>
        </w:rPr>
      </w:pPr>
      <w:r>
        <w:rPr>
          <w:rFonts w:hint="eastAsia" w:ascii="宋体" w:hAnsi="宋体" w:cs="Arial"/>
          <w:b/>
          <w:bCs/>
          <w:szCs w:val="21"/>
        </w:rPr>
        <w:t>开标地点：</w:t>
      </w:r>
      <w:r>
        <w:rPr>
          <w:rFonts w:hint="eastAsia" w:ascii="宋体" w:hAnsi="宋体" w:cs="Arial"/>
          <w:szCs w:val="21"/>
        </w:rPr>
        <w:t>博白县公共资源交易中心开标室(博白县博白镇锦绣东路，博白县政务服务中心六楼)</w:t>
      </w:r>
    </w:p>
    <w:p>
      <w:pPr>
        <w:widowControl/>
        <w:shd w:val="clear" w:color="auto" w:fill="FFFFFF"/>
        <w:spacing w:line="300" w:lineRule="exact"/>
        <w:ind w:firstLine="422" w:firstLineChars="200"/>
        <w:rPr>
          <w:rFonts w:ascii="宋体" w:hAnsi="宋体" w:cs="宋体"/>
          <w:kern w:val="0"/>
          <w:szCs w:val="21"/>
        </w:rPr>
      </w:pPr>
      <w:r>
        <w:rPr>
          <w:rFonts w:hint="eastAsia" w:ascii="宋体" w:hAnsi="宋体" w:cs="宋体"/>
          <w:b/>
          <w:kern w:val="0"/>
          <w:szCs w:val="21"/>
        </w:rPr>
        <w:t>十、网上公告媒体查询：</w:t>
      </w:r>
      <w:r>
        <w:rPr>
          <w:rFonts w:hint="eastAsia" w:ascii="宋体" w:hAnsi="宋体"/>
          <w:szCs w:val="21"/>
        </w:rPr>
        <w:t>中国政府采购网（www.ccgp.gov.cn）、广西壮族自治区政府采购网（</w:t>
      </w:r>
      <w:r>
        <w:rPr>
          <w:rFonts w:ascii="宋体" w:hAnsi="宋体"/>
          <w:szCs w:val="21"/>
        </w:rPr>
        <w:t>zfcg.gxzf.gov.cn</w:t>
      </w:r>
      <w:r>
        <w:rPr>
          <w:rFonts w:hint="eastAsia" w:ascii="宋体" w:hAnsi="宋体"/>
          <w:szCs w:val="21"/>
        </w:rPr>
        <w:t>）</w:t>
      </w:r>
    </w:p>
    <w:p>
      <w:pPr>
        <w:widowControl/>
        <w:shd w:val="clear" w:color="auto" w:fill="FFFFFF"/>
        <w:spacing w:line="300" w:lineRule="exact"/>
        <w:ind w:firstLine="422" w:firstLineChars="200"/>
        <w:jc w:val="left"/>
        <w:rPr>
          <w:rFonts w:ascii="宋体" w:hAnsi="宋体" w:cs="宋体"/>
          <w:b/>
          <w:kern w:val="0"/>
          <w:szCs w:val="21"/>
        </w:rPr>
      </w:pPr>
      <w:r>
        <w:rPr>
          <w:rFonts w:hint="eastAsia" w:ascii="宋体" w:hAnsi="宋体" w:cs="宋体"/>
          <w:b/>
          <w:kern w:val="0"/>
          <w:szCs w:val="21"/>
        </w:rPr>
        <w:t>十一、联系事项：</w:t>
      </w:r>
    </w:p>
    <w:p>
      <w:pPr>
        <w:widowControl/>
        <w:shd w:val="clear" w:color="auto" w:fill="FFFFFF"/>
        <w:spacing w:line="300" w:lineRule="exact"/>
        <w:ind w:firstLine="480"/>
        <w:jc w:val="left"/>
        <w:rPr>
          <w:rFonts w:ascii="宋体" w:hAnsi="宋体" w:cs="宋体"/>
          <w:kern w:val="0"/>
          <w:szCs w:val="21"/>
        </w:rPr>
      </w:pPr>
      <w:r>
        <w:rPr>
          <w:rFonts w:hint="eastAsia" w:ascii="宋体" w:hAnsi="宋体" w:cs="宋体"/>
          <w:kern w:val="0"/>
          <w:szCs w:val="21"/>
        </w:rPr>
        <w:t>1.采购人名称：博白县自然资源局</w:t>
      </w:r>
    </w:p>
    <w:p>
      <w:pPr>
        <w:keepNext w:val="0"/>
        <w:keepLines w:val="0"/>
        <w:widowControl/>
        <w:suppressLineNumbers w:val="0"/>
        <w:spacing w:before="0" w:beforeAutospacing="0" w:after="0" w:afterAutospacing="0" w:line="360" w:lineRule="auto"/>
        <w:ind w:left="0" w:right="0" w:firstLine="420" w:firstLineChars="200"/>
        <w:jc w:val="left"/>
        <w:rPr>
          <w:rFonts w:ascii="宋体" w:hAnsi="宋体" w:cs="宋体"/>
          <w:kern w:val="0"/>
          <w:szCs w:val="21"/>
        </w:rPr>
      </w:pPr>
      <w:r>
        <w:rPr>
          <w:rFonts w:hint="eastAsia" w:ascii="宋体" w:hAnsi="宋体" w:cs="宋体"/>
          <w:kern w:val="0"/>
          <w:szCs w:val="21"/>
        </w:rPr>
        <w:t>地址：</w:t>
      </w:r>
      <w:r>
        <w:rPr>
          <w:rFonts w:hint="eastAsia" w:ascii="宋体" w:hAnsi="宋体" w:eastAsia="宋体" w:cs="宋体"/>
          <w:kern w:val="2"/>
          <w:sz w:val="21"/>
          <w:szCs w:val="21"/>
          <w:lang w:val="en-US" w:eastAsia="zh-CN" w:bidi="ar"/>
        </w:rPr>
        <w:t>博白县博白镇绿珠大道东路</w:t>
      </w:r>
      <w:r>
        <w:rPr>
          <w:rFonts w:hint="eastAsia" w:ascii="宋体" w:hAnsi="宋体" w:eastAsia="宋体" w:cs="Courier New"/>
          <w:kern w:val="2"/>
          <w:sz w:val="21"/>
          <w:szCs w:val="21"/>
          <w:lang w:val="en-US" w:eastAsia="zh-CN" w:bidi="ar"/>
        </w:rPr>
        <w:t>036号</w:t>
      </w:r>
    </w:p>
    <w:p>
      <w:pPr>
        <w:widowControl/>
        <w:shd w:val="clear" w:color="auto" w:fill="FFFFFF"/>
        <w:spacing w:line="300" w:lineRule="exact"/>
        <w:ind w:firstLine="480"/>
        <w:jc w:val="left"/>
        <w:rPr>
          <w:rFonts w:hint="default" w:ascii="宋体" w:hAnsi="宋体" w:eastAsia="宋体" w:cs="宋体"/>
          <w:kern w:val="0"/>
          <w:szCs w:val="21"/>
          <w:lang w:val="en-US" w:eastAsia="zh-CN"/>
        </w:rPr>
      </w:pPr>
      <w:r>
        <w:rPr>
          <w:rFonts w:hint="eastAsia" w:ascii="宋体" w:hAnsi="宋体" w:cs="宋体"/>
          <w:kern w:val="0"/>
          <w:szCs w:val="21"/>
        </w:rPr>
        <w:t>联系人及电话：</w:t>
      </w:r>
      <w:r>
        <w:rPr>
          <w:rFonts w:hint="eastAsia" w:ascii="宋体" w:hAnsi="宋体" w:cs="宋体"/>
          <w:kern w:val="0"/>
          <w:szCs w:val="21"/>
          <w:lang w:eastAsia="zh-CN"/>
        </w:rPr>
        <w:t>吴文蔚</w:t>
      </w:r>
      <w:r>
        <w:rPr>
          <w:rFonts w:hint="eastAsia" w:ascii="宋体" w:hAnsi="宋体" w:cs="宋体"/>
          <w:kern w:val="0"/>
          <w:szCs w:val="21"/>
        </w:rPr>
        <w:t xml:space="preserve">  </w:t>
      </w:r>
      <w:r>
        <w:rPr>
          <w:rFonts w:hint="eastAsia" w:ascii="宋体" w:hAnsi="宋体" w:cs="宋体"/>
          <w:kern w:val="0"/>
          <w:szCs w:val="21"/>
          <w:lang w:val="en-US" w:eastAsia="zh-CN"/>
        </w:rPr>
        <w:t>13669457737</w:t>
      </w:r>
    </w:p>
    <w:p>
      <w:pPr>
        <w:widowControl/>
        <w:shd w:val="clear" w:color="auto" w:fill="FFFFFF"/>
        <w:spacing w:line="300" w:lineRule="exact"/>
        <w:ind w:firstLine="480"/>
        <w:jc w:val="left"/>
        <w:rPr>
          <w:rFonts w:ascii="宋体" w:hAnsi="宋体" w:cs="宋体"/>
          <w:kern w:val="0"/>
          <w:szCs w:val="21"/>
        </w:rPr>
      </w:pPr>
      <w:r>
        <w:rPr>
          <w:rFonts w:hint="eastAsia" w:ascii="宋体" w:hAnsi="宋体" w:cs="宋体"/>
          <w:kern w:val="0"/>
          <w:szCs w:val="21"/>
        </w:rPr>
        <w:t>2.采购代理机构名称：广西中竟达建设工程咨询有限公司</w:t>
      </w:r>
    </w:p>
    <w:p>
      <w:pPr>
        <w:snapToGrid w:val="0"/>
        <w:spacing w:line="300" w:lineRule="exact"/>
        <w:ind w:firstLine="420"/>
        <w:rPr>
          <w:rFonts w:ascii="宋体" w:hAnsi="宋体" w:cs="宋体"/>
          <w:kern w:val="0"/>
          <w:szCs w:val="21"/>
        </w:rPr>
      </w:pPr>
      <w:r>
        <w:rPr>
          <w:rFonts w:hint="eastAsia" w:ascii="宋体" w:hAnsi="宋体" w:cs="宋体"/>
          <w:kern w:val="0"/>
          <w:szCs w:val="21"/>
        </w:rPr>
        <w:t>联系人：冯工；联系电话：</w:t>
      </w:r>
      <w:r>
        <w:rPr>
          <w:rFonts w:ascii="宋体" w:hAnsi="宋体" w:cs="宋体"/>
          <w:kern w:val="0"/>
          <w:szCs w:val="21"/>
        </w:rPr>
        <w:t>0775-</w:t>
      </w:r>
      <w:r>
        <w:rPr>
          <w:rFonts w:hint="eastAsia" w:ascii="宋体" w:hAnsi="宋体" w:cs="宋体"/>
          <w:kern w:val="0"/>
          <w:szCs w:val="21"/>
        </w:rPr>
        <w:t>8669903</w:t>
      </w:r>
    </w:p>
    <w:p>
      <w:pPr>
        <w:widowControl/>
        <w:shd w:val="clear" w:color="auto" w:fill="FFFFFF"/>
        <w:spacing w:line="300" w:lineRule="exact"/>
        <w:ind w:firstLine="480"/>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监督管理部门：博白县政府采购管理办公室，联系电话：</w:t>
      </w:r>
      <w:r>
        <w:rPr>
          <w:rFonts w:ascii="宋体" w:hAnsi="宋体" w:cs="宋体"/>
          <w:kern w:val="0"/>
          <w:szCs w:val="21"/>
        </w:rPr>
        <w:t>0775-</w:t>
      </w:r>
      <w:r>
        <w:rPr>
          <w:rFonts w:hint="eastAsia" w:ascii="宋体" w:hAnsi="宋体" w:cs="宋体"/>
          <w:kern w:val="0"/>
          <w:szCs w:val="21"/>
        </w:rPr>
        <w:t>8331612</w:t>
      </w:r>
    </w:p>
    <w:p>
      <w:pPr>
        <w:widowControl/>
        <w:shd w:val="clear" w:color="auto" w:fill="FFFFFF"/>
        <w:spacing w:line="300" w:lineRule="exact"/>
        <w:ind w:firstLine="480"/>
        <w:jc w:val="left"/>
        <w:rPr>
          <w:rFonts w:ascii="宋体" w:hAnsi="宋体" w:cs="Arial"/>
          <w:b/>
          <w:bCs/>
          <w:szCs w:val="21"/>
        </w:rPr>
      </w:pPr>
      <w:r>
        <w:rPr>
          <w:rFonts w:hint="eastAsia" w:ascii="宋体" w:hAnsi="宋体" w:cs="宋体"/>
          <w:b/>
          <w:kern w:val="0"/>
          <w:szCs w:val="21"/>
        </w:rPr>
        <w:t>十二、</w:t>
      </w:r>
      <w:r>
        <w:rPr>
          <w:rFonts w:hint="eastAsia" w:ascii="宋体" w:hAnsi="宋体" w:cs="Arial"/>
          <w:b/>
          <w:szCs w:val="21"/>
        </w:rPr>
        <w:t>公告期限：自本公告发布之日起5个工作日</w:t>
      </w:r>
    </w:p>
    <w:p>
      <w:pPr>
        <w:widowControl/>
        <w:shd w:val="clear" w:color="auto" w:fill="FFFFFF"/>
        <w:spacing w:line="320" w:lineRule="exact"/>
        <w:ind w:left="105" w:right="-734" w:firstLine="480"/>
        <w:jc w:val="right"/>
        <w:rPr>
          <w:rFonts w:ascii="宋体" w:hAnsi="宋体" w:cs="宋体"/>
          <w:kern w:val="0"/>
          <w:szCs w:val="21"/>
        </w:rPr>
      </w:pPr>
      <w:r>
        <w:rPr>
          <w:rFonts w:hint="eastAsia" w:ascii="宋体" w:hAnsi="宋体" w:cs="宋体"/>
          <w:kern w:val="0"/>
          <w:szCs w:val="21"/>
        </w:rPr>
        <w:t xml:space="preserve">                                                </w:t>
      </w:r>
    </w:p>
    <w:p>
      <w:pPr>
        <w:widowControl/>
        <w:shd w:val="clear" w:color="auto" w:fill="FFFFFF"/>
        <w:spacing w:line="320" w:lineRule="exact"/>
        <w:ind w:left="105" w:right="-734" w:firstLine="480"/>
        <w:jc w:val="right"/>
        <w:rPr>
          <w:rFonts w:ascii="宋体" w:hAnsi="宋体" w:cs="宋体"/>
          <w:kern w:val="0"/>
          <w:szCs w:val="21"/>
        </w:rPr>
      </w:pPr>
    </w:p>
    <w:p>
      <w:pPr>
        <w:widowControl/>
        <w:shd w:val="clear" w:color="auto" w:fill="FFFFFF"/>
        <w:spacing w:line="320" w:lineRule="exact"/>
        <w:ind w:left="105" w:right="-734" w:firstLine="480"/>
        <w:jc w:val="right"/>
        <w:rPr>
          <w:rFonts w:ascii="宋体" w:hAnsi="宋体" w:cs="宋体"/>
          <w:kern w:val="0"/>
          <w:szCs w:val="21"/>
        </w:rPr>
      </w:pPr>
    </w:p>
    <w:p>
      <w:pPr>
        <w:widowControl/>
        <w:shd w:val="clear" w:color="auto" w:fill="FFFFFF"/>
        <w:spacing w:line="320" w:lineRule="exact"/>
        <w:ind w:left="105" w:right="-734" w:firstLine="480"/>
        <w:jc w:val="right"/>
        <w:rPr>
          <w:rFonts w:ascii="宋体" w:hAnsi="宋体" w:cs="宋体"/>
          <w:kern w:val="0"/>
          <w:szCs w:val="21"/>
        </w:rPr>
      </w:pPr>
    </w:p>
    <w:p>
      <w:pPr>
        <w:widowControl/>
        <w:shd w:val="clear" w:color="auto" w:fill="FFFFFF"/>
        <w:spacing w:line="320" w:lineRule="exact"/>
        <w:ind w:left="105" w:right="-734" w:firstLine="480"/>
        <w:jc w:val="right"/>
        <w:rPr>
          <w:rFonts w:ascii="宋体" w:hAnsi="宋体" w:cs="宋体"/>
          <w:kern w:val="0"/>
          <w:szCs w:val="21"/>
        </w:rPr>
      </w:pPr>
      <w:r>
        <w:rPr>
          <w:rFonts w:hint="eastAsia" w:ascii="宋体" w:hAnsi="宋体" w:cs="宋体"/>
          <w:kern w:val="0"/>
          <w:szCs w:val="21"/>
        </w:rPr>
        <w:t xml:space="preserve"> 广西中竟达建设工程咨询有限公司</w:t>
      </w:r>
    </w:p>
    <w:p>
      <w:pPr>
        <w:widowControl/>
        <w:shd w:val="clear" w:color="auto" w:fill="FFFFFF"/>
        <w:spacing w:line="320" w:lineRule="exact"/>
        <w:ind w:left="105" w:right="105"/>
        <w:jc w:val="right"/>
        <w:rPr>
          <w:rFonts w:ascii="宋体" w:hAnsi="宋体"/>
          <w:szCs w:val="21"/>
        </w:rPr>
      </w:pPr>
      <w:r>
        <w:rPr>
          <w:rFonts w:hint="eastAsia" w:ascii="宋体" w:hAnsi="宋体" w:cs="宋体"/>
          <w:szCs w:val="21"/>
        </w:rPr>
        <w:t xml:space="preserve">                                                </w:t>
      </w:r>
      <w:r>
        <w:rPr>
          <w:rFonts w:hint="eastAsia" w:ascii="宋体" w:hAnsi="宋体" w:cs="宋体"/>
          <w:kern w:val="0"/>
          <w:szCs w:val="21"/>
        </w:rPr>
        <w:t xml:space="preserve">2020年 </w:t>
      </w:r>
      <w:r>
        <w:rPr>
          <w:rFonts w:hint="eastAsia" w:ascii="宋体" w:hAnsi="宋体" w:cs="宋体"/>
          <w:kern w:val="0"/>
          <w:szCs w:val="21"/>
          <w:lang w:val="en-US" w:eastAsia="zh-CN"/>
        </w:rPr>
        <w:t>8</w:t>
      </w:r>
      <w:r>
        <w:rPr>
          <w:rFonts w:hint="eastAsia" w:ascii="宋体" w:hAnsi="宋体" w:cs="宋体"/>
          <w:kern w:val="0"/>
          <w:szCs w:val="21"/>
        </w:rPr>
        <w:t xml:space="preserve">月 </w:t>
      </w:r>
      <w:r>
        <w:rPr>
          <w:rFonts w:hint="eastAsia" w:ascii="宋体" w:hAnsi="宋体" w:cs="宋体"/>
          <w:kern w:val="0"/>
          <w:szCs w:val="21"/>
          <w:lang w:val="en-US" w:eastAsia="zh-CN"/>
        </w:rPr>
        <w:t>10</w:t>
      </w:r>
      <w:r>
        <w:rPr>
          <w:rFonts w:hint="eastAsia" w:ascii="宋体" w:hAnsi="宋体" w:cs="宋体"/>
          <w:kern w:val="0"/>
          <w:szCs w:val="21"/>
        </w:rPr>
        <w:t xml:space="preserve"> 日</w:t>
      </w:r>
    </w:p>
    <w:p>
      <w:pPr>
        <w:pStyle w:val="4"/>
        <w:spacing w:before="100" w:beforeAutospacing="1" w:after="100" w:afterAutospacing="1" w:line="240" w:lineRule="exact"/>
        <w:jc w:val="center"/>
      </w:pPr>
      <w:r>
        <w:br w:type="page"/>
      </w:r>
      <w:bookmarkStart w:id="3" w:name="_Toc24366217"/>
      <w:r>
        <w:rPr>
          <w:rFonts w:hint="eastAsia"/>
        </w:rPr>
        <w:t>第二章  采购需求</w:t>
      </w:r>
      <w:bookmarkEnd w:id="3"/>
    </w:p>
    <w:p>
      <w:pPr>
        <w:jc w:val="left"/>
      </w:pPr>
      <w:r>
        <w:rPr>
          <w:rFonts w:hint="eastAsia"/>
        </w:rPr>
        <w:t>说明：</w:t>
      </w:r>
    </w:p>
    <w:p>
      <w:pPr>
        <w:ind w:firstLine="424" w:firstLineChars="202"/>
        <w:jc w:val="left"/>
        <w:rPr>
          <w:rFonts w:ascii="宋体" w:hAnsi="宋体"/>
        </w:rPr>
      </w:pPr>
      <w:r>
        <w:rPr>
          <w:rFonts w:ascii="宋体" w:hAnsi="宋体"/>
        </w:rPr>
        <w:t>1.</w:t>
      </w:r>
      <w:r>
        <w:rPr>
          <w:rFonts w:hint="eastAsia" w:ascii="宋体" w:hAnsi="宋体"/>
        </w:rPr>
        <w:t>本招标文件所称中小企业必须符合《政府采购促进中小企业发展暂行办法》第二条规定。</w:t>
      </w:r>
    </w:p>
    <w:p>
      <w:pPr>
        <w:ind w:firstLine="424" w:firstLineChars="202"/>
        <w:jc w:val="left"/>
        <w:rPr>
          <w:rFonts w:ascii="宋体" w:hAnsi="宋体"/>
        </w:rPr>
      </w:pPr>
      <w:r>
        <w:rPr>
          <w:rFonts w:ascii="宋体" w:hAnsi="宋体"/>
        </w:rPr>
        <w:t>2.</w:t>
      </w:r>
      <w:r>
        <w:rPr>
          <w:rFonts w:hint="eastAsia" w:ascii="宋体" w:hAnsi="宋体"/>
        </w:rPr>
        <w:t>小型和微型企业产品的价格给予</w:t>
      </w:r>
      <w:r>
        <w:rPr>
          <w:rFonts w:ascii="宋体" w:hAnsi="宋体"/>
        </w:rPr>
        <w:t>6%-10%</w:t>
      </w:r>
      <w:r>
        <w:rPr>
          <w:rFonts w:hint="eastAsia" w:ascii="宋体" w:hAnsi="宋体"/>
        </w:rPr>
        <w:t>的扣除，用扣除后的价格参与评审，具体扣除比例请以第四章《评标办法及评标标准》的规定为准。</w:t>
      </w:r>
    </w:p>
    <w:p>
      <w:pPr>
        <w:ind w:firstLine="424" w:firstLineChars="202"/>
        <w:jc w:val="left"/>
        <w:rPr>
          <w:rFonts w:ascii="宋体" w:hAnsi="宋体"/>
        </w:rPr>
      </w:pPr>
      <w:r>
        <w:rPr>
          <w:rFonts w:ascii="宋体" w:hAnsi="宋体"/>
        </w:rPr>
        <w:t>3.</w:t>
      </w:r>
      <w:r>
        <w:rPr>
          <w:rFonts w:hint="eastAsia" w:ascii="宋体" w:hAnsi="宋体"/>
        </w:rPr>
        <w:t>小型、微型企业提供中型企业制造的货物的，视同为中型企业。</w:t>
      </w:r>
    </w:p>
    <w:p>
      <w:pPr>
        <w:ind w:firstLine="424" w:firstLineChars="202"/>
        <w:jc w:val="left"/>
        <w:rPr>
          <w:rFonts w:ascii="宋体" w:hAnsi="宋体"/>
        </w:rPr>
      </w:pPr>
      <w:r>
        <w:rPr>
          <w:rFonts w:ascii="宋体" w:hAnsi="宋体"/>
        </w:rPr>
        <w:t>4.</w:t>
      </w:r>
      <w:r>
        <w:rPr>
          <w:rFonts w:hint="eastAsia" w:ascii="宋体" w:hAnsi="宋体"/>
        </w:rPr>
        <w:t>小型、微型企业提供大型企业制造的货物的，视同为大型企业。</w:t>
      </w:r>
    </w:p>
    <w:p>
      <w:pPr>
        <w:ind w:firstLine="424" w:firstLineChars="202"/>
        <w:jc w:val="left"/>
        <w:rPr>
          <w:rFonts w:ascii="宋体" w:hAnsi="宋体"/>
        </w:rPr>
      </w:pPr>
    </w:p>
    <w:tbl>
      <w:tblPr>
        <w:tblStyle w:val="55"/>
        <w:tblW w:w="5875" w:type="pct"/>
        <w:tblInd w:w="-676" w:type="dxa"/>
        <w:tblLayout w:type="fixed"/>
        <w:tblCellMar>
          <w:top w:w="0" w:type="dxa"/>
          <w:left w:w="0" w:type="dxa"/>
          <w:bottom w:w="0" w:type="dxa"/>
          <w:right w:w="0" w:type="dxa"/>
        </w:tblCellMar>
      </w:tblPr>
      <w:tblGrid>
        <w:gridCol w:w="562"/>
        <w:gridCol w:w="1324"/>
        <w:gridCol w:w="6422"/>
        <w:gridCol w:w="621"/>
        <w:gridCol w:w="866"/>
      </w:tblGrid>
      <w:tr>
        <w:tblPrEx>
          <w:tblCellMar>
            <w:top w:w="0" w:type="dxa"/>
            <w:left w:w="0" w:type="dxa"/>
            <w:bottom w:w="0" w:type="dxa"/>
            <w:right w:w="0" w:type="dxa"/>
          </w:tblCellMar>
        </w:tblPrEx>
        <w:trPr>
          <w:trHeight w:val="375" w:hRule="atLeast"/>
        </w:trPr>
        <w:tc>
          <w:tcPr>
            <w:tcW w:w="287" w:type="pc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序号</w:t>
            </w:r>
          </w:p>
        </w:tc>
        <w:tc>
          <w:tcPr>
            <w:tcW w:w="676" w:type="pct"/>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名称</w:t>
            </w:r>
          </w:p>
        </w:tc>
        <w:tc>
          <w:tcPr>
            <w:tcW w:w="3278" w:type="pct"/>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规格参数</w:t>
            </w:r>
          </w:p>
        </w:tc>
        <w:tc>
          <w:tcPr>
            <w:tcW w:w="317" w:type="pct"/>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单位</w:t>
            </w:r>
          </w:p>
        </w:tc>
        <w:tc>
          <w:tcPr>
            <w:tcW w:w="440" w:type="pct"/>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数量</w:t>
            </w:r>
          </w:p>
        </w:tc>
      </w:tr>
      <w:tr>
        <w:tblPrEx>
          <w:tblCellMar>
            <w:top w:w="0" w:type="dxa"/>
            <w:left w:w="0" w:type="dxa"/>
            <w:bottom w:w="0" w:type="dxa"/>
            <w:right w:w="0" w:type="dxa"/>
          </w:tblCellMar>
        </w:tblPrEx>
        <w:trPr>
          <w:trHeight w:val="262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矿石监管与税收共治平台</w:t>
            </w:r>
          </w:p>
        </w:tc>
        <w:tc>
          <w:tcPr>
            <w:tcW w:w="3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lang w:bidi="ar"/>
              </w:rPr>
              <w:t>为了加强和规范矿产资源管理，营造公平、公正的发展环境，促进矿产资源的有序开采，实现矿产资源税费的应收尽收。按照统一规划充分利用信息技术手段加强对矿产资源的管理工作，实现以销控税、源头控管的目的。平台主要功能模块内容如下：</w:t>
            </w:r>
            <w:r>
              <w:rPr>
                <w:rFonts w:hint="eastAsia" w:ascii="宋体" w:hAnsi="宋体" w:cs="宋体"/>
                <w:kern w:val="0"/>
                <w:szCs w:val="21"/>
                <w:lang w:bidi="ar"/>
              </w:rPr>
              <w:br w:type="textWrapping"/>
            </w:r>
            <w:r>
              <w:rPr>
                <w:rFonts w:hint="eastAsia" w:ascii="宋体" w:hAnsi="宋体" w:cs="宋体"/>
                <w:kern w:val="0"/>
                <w:szCs w:val="21"/>
                <w:lang w:bidi="ar"/>
              </w:rPr>
              <w:t>系统管理、用户管理、组织管理、授权管理、菜单管理、矿种管理、接口管理、矿企管理、界桩管理、车辆管理、准运卡管理、规费管理、查询管理等。</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0" w:type="dxa"/>
            <w:bottom w:w="0" w:type="dxa"/>
            <w:right w:w="0" w:type="dxa"/>
          </w:tblCellMar>
        </w:tblPrEx>
        <w:trPr>
          <w:trHeight w:val="187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过磅系统</w:t>
            </w:r>
          </w:p>
        </w:tc>
        <w:tc>
          <w:tcPr>
            <w:tcW w:w="3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lang w:bidi="ar"/>
              </w:rPr>
              <w:t>1、无缝对接地磅仪表数据、可满足企业对矿石销售称重过磅需要，集合视频抓拍，实现对各个矿石企业进行实时监管。</w:t>
            </w:r>
            <w:r>
              <w:rPr>
                <w:rFonts w:hint="eastAsia" w:ascii="宋体" w:hAnsi="宋体" w:cs="宋体"/>
                <w:kern w:val="0"/>
                <w:szCs w:val="21"/>
                <w:lang w:bidi="ar"/>
              </w:rPr>
              <w:br w:type="textWrapping"/>
            </w:r>
            <w:r>
              <w:rPr>
                <w:rFonts w:hint="eastAsia" w:ascii="宋体" w:hAnsi="宋体" w:cs="宋体"/>
                <w:kern w:val="0"/>
                <w:szCs w:val="21"/>
                <w:lang w:bidi="ar"/>
              </w:rPr>
              <w:t>▲2、系统支持断网使用，通网数据自动同步上传或下传</w:t>
            </w:r>
            <w:r>
              <w:rPr>
                <w:rFonts w:hint="eastAsia" w:ascii="宋体" w:hAnsi="宋体" w:cs="宋体"/>
                <w:kern w:val="0"/>
                <w:szCs w:val="21"/>
                <w:lang w:bidi="ar"/>
              </w:rPr>
              <w:br w:type="textWrapping"/>
            </w:r>
            <w:r>
              <w:rPr>
                <w:rFonts w:hint="eastAsia" w:ascii="宋体" w:hAnsi="宋体" w:cs="宋体"/>
                <w:kern w:val="0"/>
                <w:szCs w:val="21"/>
                <w:lang w:bidi="ar"/>
              </w:rPr>
              <w:t>▲3、支持</w:t>
            </w:r>
            <w:r>
              <w:rPr>
                <w:rFonts w:hint="eastAsia" w:ascii="宋体" w:hAnsi="宋体" w:cs="宋体"/>
                <w:kern w:val="0"/>
                <w:szCs w:val="21"/>
                <w:lang w:eastAsia="zh-CN" w:bidi="ar"/>
              </w:rPr>
              <w:t>国内主流品牌</w:t>
            </w:r>
            <w:r>
              <w:rPr>
                <w:rFonts w:hint="eastAsia" w:ascii="宋体" w:hAnsi="宋体" w:cs="宋体"/>
                <w:kern w:val="0"/>
                <w:szCs w:val="21"/>
                <w:lang w:bidi="ar"/>
              </w:rPr>
              <w:t>视频监控画面的显示及车牌识别功能</w:t>
            </w:r>
            <w:r>
              <w:rPr>
                <w:rFonts w:hint="eastAsia" w:ascii="宋体" w:hAnsi="宋体" w:cs="宋体"/>
                <w:kern w:val="0"/>
                <w:szCs w:val="21"/>
                <w:lang w:bidi="ar"/>
              </w:rPr>
              <w:br w:type="textWrapping"/>
            </w:r>
            <w:r>
              <w:rPr>
                <w:rFonts w:hint="eastAsia" w:ascii="宋体" w:hAnsi="宋体" w:cs="宋体"/>
                <w:kern w:val="0"/>
                <w:szCs w:val="21"/>
                <w:lang w:bidi="ar"/>
              </w:rPr>
              <w:t>▲4、支持单据自定义设计及相关数据读取关联</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w:t>
            </w:r>
          </w:p>
        </w:tc>
      </w:tr>
      <w:tr>
        <w:tblPrEx>
          <w:tblCellMar>
            <w:top w:w="0" w:type="dxa"/>
            <w:left w:w="0" w:type="dxa"/>
            <w:bottom w:w="0" w:type="dxa"/>
            <w:right w:w="0" w:type="dxa"/>
          </w:tblCellMar>
        </w:tblPrEx>
        <w:trPr>
          <w:trHeight w:val="112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企业服务端</w:t>
            </w:r>
          </w:p>
        </w:tc>
        <w:tc>
          <w:tcPr>
            <w:tcW w:w="3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lang w:bidi="ar"/>
              </w:rPr>
              <w:t>1、无缝对接企业过磅销售数据，包含流水、统计及日报表、月报表、自定义报表等功能</w:t>
            </w:r>
            <w:r>
              <w:rPr>
                <w:rFonts w:hint="eastAsia" w:ascii="宋体" w:hAnsi="宋体" w:cs="宋体"/>
                <w:kern w:val="0"/>
                <w:szCs w:val="21"/>
                <w:lang w:bidi="ar"/>
              </w:rPr>
              <w:br w:type="textWrapping"/>
            </w:r>
            <w:r>
              <w:rPr>
                <w:rFonts w:hint="eastAsia" w:ascii="宋体" w:hAnsi="宋体" w:cs="宋体"/>
                <w:kern w:val="0"/>
                <w:szCs w:val="21"/>
                <w:lang w:bidi="ar"/>
              </w:rPr>
              <w:t>▲2、对客户预存、车辆进行管理，无缝同步过磅系统</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w:t>
            </w:r>
          </w:p>
        </w:tc>
      </w:tr>
      <w:tr>
        <w:tblPrEx>
          <w:tblCellMar>
            <w:top w:w="0" w:type="dxa"/>
            <w:left w:w="0" w:type="dxa"/>
            <w:bottom w:w="0" w:type="dxa"/>
            <w:right w:w="0" w:type="dxa"/>
          </w:tblCellMar>
        </w:tblPrEx>
        <w:trPr>
          <w:trHeight w:val="75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微信小程序</w:t>
            </w:r>
          </w:p>
        </w:tc>
        <w:tc>
          <w:tcPr>
            <w:tcW w:w="3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lang w:bidi="ar"/>
              </w:rPr>
              <w:t>▲1、支持监管端数据查询汇总功能</w:t>
            </w:r>
            <w:r>
              <w:rPr>
                <w:rFonts w:hint="eastAsia" w:ascii="宋体" w:hAnsi="宋体" w:cs="宋体"/>
                <w:kern w:val="0"/>
                <w:szCs w:val="21"/>
                <w:lang w:bidi="ar"/>
              </w:rPr>
              <w:br w:type="textWrapping"/>
            </w:r>
            <w:r>
              <w:rPr>
                <w:rFonts w:hint="eastAsia" w:ascii="宋体" w:hAnsi="宋体" w:cs="宋体"/>
                <w:kern w:val="0"/>
                <w:szCs w:val="21"/>
                <w:lang w:bidi="ar"/>
              </w:rPr>
              <w:t>▲2、支持企业服务端功能</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w:t>
            </w:r>
          </w:p>
        </w:tc>
      </w:tr>
      <w:tr>
        <w:tblPrEx>
          <w:tblCellMar>
            <w:top w:w="0" w:type="dxa"/>
            <w:left w:w="0" w:type="dxa"/>
            <w:bottom w:w="0" w:type="dxa"/>
            <w:right w:w="0" w:type="dxa"/>
          </w:tblCellMar>
        </w:tblPrEx>
        <w:trPr>
          <w:trHeight w:val="75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文件收发子系统</w:t>
            </w:r>
          </w:p>
        </w:tc>
        <w:tc>
          <w:tcPr>
            <w:tcW w:w="3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lang w:bidi="ar"/>
              </w:rPr>
              <w:t>▲可分类管理及下发管理通知、行政公文等，通过矿山过磅系统或微信小程序的签收等及时了解相关公文收发状态。</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w:t>
            </w:r>
          </w:p>
        </w:tc>
      </w:tr>
      <w:tr>
        <w:tblPrEx>
          <w:tblCellMar>
            <w:top w:w="0" w:type="dxa"/>
            <w:left w:w="0" w:type="dxa"/>
            <w:bottom w:w="0" w:type="dxa"/>
            <w:right w:w="0" w:type="dxa"/>
          </w:tblCellMar>
        </w:tblPrEx>
        <w:trPr>
          <w:trHeight w:val="37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界桩监管子系统</w:t>
            </w:r>
          </w:p>
        </w:tc>
        <w:tc>
          <w:tcPr>
            <w:tcW w:w="3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lang w:bidi="ar"/>
              </w:rPr>
              <w:t>▲界桩管理、报警统计、地图展示等，对界桩位移、倾斜等状态进行预警</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0" w:type="dxa"/>
            <w:bottom w:w="0" w:type="dxa"/>
            <w:right w:w="0" w:type="dxa"/>
          </w:tblCellMar>
        </w:tblPrEx>
        <w:trPr>
          <w:trHeight w:val="150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物联网智慧界桩</w:t>
            </w:r>
          </w:p>
        </w:tc>
        <w:tc>
          <w:tcPr>
            <w:tcW w:w="3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▲根据拐点坐标进行安装埋设，对界桩状态进行预警，无线通讯、电池供电2-3年</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根</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227</w:t>
            </w:r>
          </w:p>
        </w:tc>
      </w:tr>
      <w:tr>
        <w:tblPrEx>
          <w:tblCellMar>
            <w:top w:w="0" w:type="dxa"/>
            <w:left w:w="0" w:type="dxa"/>
            <w:bottom w:w="0" w:type="dxa"/>
            <w:right w:w="0" w:type="dxa"/>
          </w:tblCellMar>
        </w:tblPrEx>
        <w:trPr>
          <w:trHeight w:val="37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网络空间租用</w:t>
            </w:r>
          </w:p>
        </w:tc>
        <w:tc>
          <w:tcPr>
            <w:tcW w:w="3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lang w:bidi="ar"/>
              </w:rPr>
              <w:t>机房服务器、网络租用，租期两年</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年</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r>
      <w:tr>
        <w:tblPrEx>
          <w:tblCellMar>
            <w:top w:w="0" w:type="dxa"/>
            <w:left w:w="0" w:type="dxa"/>
            <w:bottom w:w="0" w:type="dxa"/>
            <w:right w:w="0" w:type="dxa"/>
          </w:tblCellMar>
        </w:tblPrEx>
        <w:trPr>
          <w:trHeight w:val="112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65寸电视机</w:t>
            </w:r>
          </w:p>
        </w:tc>
        <w:tc>
          <w:tcPr>
            <w:tcW w:w="3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lang w:bidi="ar"/>
              </w:rPr>
              <w:t>1、屏幕尺寸：≥</w:t>
            </w:r>
            <w:r>
              <w:rPr>
                <w:rFonts w:hint="eastAsia" w:ascii="宋体" w:hAnsi="宋体" w:cs="宋体"/>
                <w:kern w:val="0"/>
                <w:szCs w:val="21"/>
                <w:lang w:val="en-US" w:eastAsia="zh-CN" w:bidi="ar"/>
              </w:rPr>
              <w:t>65</w:t>
            </w:r>
            <w:r>
              <w:rPr>
                <w:rFonts w:hint="eastAsia" w:ascii="宋体" w:hAnsi="宋体" w:cs="宋体"/>
                <w:kern w:val="0"/>
                <w:szCs w:val="21"/>
                <w:lang w:bidi="ar"/>
              </w:rPr>
              <w:t>英寸</w:t>
            </w:r>
            <w:r>
              <w:rPr>
                <w:rFonts w:hint="eastAsia" w:ascii="宋体" w:hAnsi="宋体" w:cs="宋体"/>
                <w:kern w:val="0"/>
                <w:szCs w:val="21"/>
                <w:lang w:bidi="ar"/>
              </w:rPr>
              <w:br w:type="textWrapping"/>
            </w:r>
            <w:r>
              <w:rPr>
                <w:rFonts w:hint="eastAsia" w:ascii="宋体" w:hAnsi="宋体" w:cs="宋体"/>
                <w:kern w:val="0"/>
                <w:szCs w:val="21"/>
                <w:lang w:bidi="ar"/>
              </w:rPr>
              <w:t>2、分辨率：≥1920*1080</w:t>
            </w:r>
            <w:r>
              <w:rPr>
                <w:rFonts w:hint="eastAsia" w:ascii="宋体" w:hAnsi="宋体" w:cs="宋体"/>
                <w:kern w:val="0"/>
                <w:szCs w:val="21"/>
                <w:lang w:bidi="ar"/>
              </w:rPr>
              <w:br w:type="textWrapping"/>
            </w:r>
            <w:r>
              <w:rPr>
                <w:rFonts w:hint="eastAsia" w:ascii="宋体" w:hAnsi="宋体" w:cs="宋体"/>
                <w:kern w:val="0"/>
                <w:szCs w:val="21"/>
                <w:lang w:bidi="ar"/>
              </w:rPr>
              <w:t>3、背光源：LED</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0" w:type="dxa"/>
            <w:bottom w:w="0" w:type="dxa"/>
            <w:right w:w="0" w:type="dxa"/>
          </w:tblCellMar>
        </w:tblPrEx>
        <w:trPr>
          <w:trHeight w:val="75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管理电脑</w:t>
            </w:r>
          </w:p>
        </w:tc>
        <w:tc>
          <w:tcPr>
            <w:tcW w:w="3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lang w:bidi="ar"/>
              </w:rPr>
              <w:t>i5/ 8GB /1T硬盘/集成网卡/集成显卡/键盘/ USB光电鼠标 //Windows/标配21.5寸显示器</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0" w:type="dxa"/>
            <w:bottom w:w="0" w:type="dxa"/>
            <w:right w:w="0" w:type="dxa"/>
          </w:tblCellMar>
        </w:tblPrEx>
        <w:trPr>
          <w:trHeight w:val="150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录像机</w:t>
            </w:r>
          </w:p>
        </w:tc>
        <w:tc>
          <w:tcPr>
            <w:tcW w:w="3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lang w:bidi="ar"/>
              </w:rPr>
              <w:t>1.支持6MP摄像机接入</w:t>
            </w:r>
            <w:r>
              <w:rPr>
                <w:rFonts w:hint="eastAsia" w:ascii="宋体" w:hAnsi="宋体" w:cs="宋体"/>
                <w:kern w:val="0"/>
                <w:szCs w:val="21"/>
                <w:lang w:bidi="ar"/>
              </w:rPr>
              <w:br w:type="textWrapping"/>
            </w:r>
            <w:r>
              <w:rPr>
                <w:rFonts w:hint="eastAsia" w:ascii="宋体" w:hAnsi="宋体" w:cs="宋体"/>
                <w:kern w:val="0"/>
                <w:szCs w:val="21"/>
                <w:lang w:bidi="ar"/>
              </w:rPr>
              <w:t>2.支持H.265视频编码码流，支持H.265、H.264、IP设备混合接入；</w:t>
            </w:r>
            <w:r>
              <w:rPr>
                <w:rFonts w:hint="eastAsia" w:ascii="宋体" w:hAnsi="宋体" w:cs="宋体"/>
                <w:kern w:val="0"/>
                <w:szCs w:val="21"/>
                <w:lang w:bidi="ar"/>
              </w:rPr>
              <w:br w:type="textWrapping"/>
            </w:r>
            <w:r>
              <w:rPr>
                <w:rFonts w:hint="eastAsia" w:ascii="宋体" w:hAnsi="宋体" w:cs="宋体"/>
                <w:kern w:val="0"/>
                <w:szCs w:val="21"/>
                <w:lang w:bidi="ar"/>
              </w:rPr>
              <w:t>3.支持HDMI与VGA同源输出，支持VGA接口高清4.1080p显示输出；</w:t>
            </w:r>
            <w:r>
              <w:rPr>
                <w:rFonts w:hint="eastAsia" w:ascii="宋体" w:hAnsi="宋体" w:cs="宋体"/>
                <w:kern w:val="0"/>
                <w:szCs w:val="21"/>
                <w:lang w:bidi="ar"/>
              </w:rPr>
              <w:br w:type="textWrapping"/>
            </w:r>
            <w:r>
              <w:rPr>
                <w:rFonts w:hint="eastAsia" w:ascii="宋体" w:hAnsi="宋体" w:cs="宋体"/>
                <w:kern w:val="0"/>
                <w:szCs w:val="21"/>
                <w:lang w:bidi="ar"/>
              </w:rPr>
              <w:t>4.支持2SATA，每个硬盘支持最大6T</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25</w:t>
            </w:r>
          </w:p>
        </w:tc>
      </w:tr>
      <w:tr>
        <w:tblPrEx>
          <w:tblCellMar>
            <w:top w:w="0" w:type="dxa"/>
            <w:left w:w="0" w:type="dxa"/>
            <w:bottom w:w="0" w:type="dxa"/>
            <w:right w:w="0" w:type="dxa"/>
          </w:tblCellMar>
        </w:tblPrEx>
        <w:trPr>
          <w:trHeight w:val="150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高清摄像头</w:t>
            </w:r>
          </w:p>
        </w:tc>
        <w:tc>
          <w:tcPr>
            <w:tcW w:w="3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lang w:bidi="ar"/>
              </w:rPr>
              <w:t>1、200万像素CMOS传感器；</w:t>
            </w:r>
            <w:r>
              <w:rPr>
                <w:rFonts w:hint="eastAsia" w:ascii="宋体" w:hAnsi="宋体" w:cs="宋体"/>
                <w:kern w:val="0"/>
                <w:szCs w:val="21"/>
                <w:lang w:bidi="ar"/>
              </w:rPr>
              <w:br w:type="textWrapping"/>
            </w:r>
            <w:r>
              <w:rPr>
                <w:rFonts w:hint="eastAsia" w:ascii="宋体" w:hAnsi="宋体" w:cs="宋体"/>
                <w:kern w:val="0"/>
                <w:szCs w:val="21"/>
                <w:lang w:bidi="ar"/>
              </w:rPr>
              <w:t>2、支持POE供电；</w:t>
            </w:r>
            <w:r>
              <w:rPr>
                <w:rFonts w:hint="eastAsia" w:ascii="宋体" w:hAnsi="宋体" w:cs="宋体"/>
                <w:kern w:val="0"/>
                <w:szCs w:val="21"/>
                <w:lang w:bidi="ar"/>
              </w:rPr>
              <w:br w:type="textWrapping"/>
            </w:r>
            <w:r>
              <w:rPr>
                <w:rFonts w:hint="eastAsia" w:ascii="宋体" w:hAnsi="宋体" w:cs="宋体"/>
                <w:kern w:val="0"/>
                <w:szCs w:val="21"/>
                <w:lang w:bidi="ar"/>
              </w:rPr>
              <w:t>3、IP67防尘防水设计。</w:t>
            </w:r>
            <w:r>
              <w:rPr>
                <w:rFonts w:hint="eastAsia" w:ascii="宋体" w:hAnsi="宋体" w:cs="宋体"/>
                <w:kern w:val="0"/>
                <w:szCs w:val="21"/>
                <w:lang w:bidi="ar"/>
              </w:rPr>
              <w:br w:type="textWrapping"/>
            </w:r>
            <w:r>
              <w:rPr>
                <w:rFonts w:hint="eastAsia" w:ascii="宋体" w:hAnsi="宋体" w:cs="宋体"/>
                <w:kern w:val="0"/>
                <w:szCs w:val="21"/>
                <w:lang w:bidi="ar"/>
              </w:rPr>
              <w:t>4、支持智能报警：越界侦测,区域入侵侦测</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100</w:t>
            </w:r>
          </w:p>
        </w:tc>
      </w:tr>
      <w:tr>
        <w:tblPrEx>
          <w:tblCellMar>
            <w:top w:w="0" w:type="dxa"/>
            <w:left w:w="0" w:type="dxa"/>
            <w:bottom w:w="0" w:type="dxa"/>
            <w:right w:w="0" w:type="dxa"/>
          </w:tblCellMar>
        </w:tblPrEx>
        <w:trPr>
          <w:trHeight w:val="150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交换机</w:t>
            </w:r>
          </w:p>
        </w:tc>
        <w:tc>
          <w:tcPr>
            <w:tcW w:w="3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lang w:bidi="ar"/>
              </w:rPr>
              <w:t>1、网络标准：</w:t>
            </w:r>
            <w:r>
              <w:rPr>
                <w:rFonts w:hint="eastAsia" w:ascii="宋体" w:hAnsi="宋体" w:cs="宋体"/>
                <w:kern w:val="0"/>
                <w:szCs w:val="21"/>
                <w:lang w:bidi="ar"/>
              </w:rPr>
              <w:br w:type="textWrapping"/>
            </w:r>
            <w:r>
              <w:rPr>
                <w:rFonts w:hint="eastAsia" w:ascii="宋体" w:hAnsi="宋体" w:cs="宋体"/>
                <w:kern w:val="0"/>
                <w:szCs w:val="21"/>
                <w:lang w:bidi="ar"/>
              </w:rPr>
              <w:t>IEEE 802.3、IEEE 802.3u、IEEE 802.3ab、IEEE 802.3x</w:t>
            </w:r>
            <w:r>
              <w:rPr>
                <w:rFonts w:hint="eastAsia" w:ascii="宋体" w:hAnsi="宋体" w:cs="宋体"/>
                <w:kern w:val="0"/>
                <w:szCs w:val="21"/>
                <w:lang w:bidi="ar"/>
              </w:rPr>
              <w:br w:type="textWrapping"/>
            </w:r>
            <w:r>
              <w:rPr>
                <w:rFonts w:hint="eastAsia" w:ascii="宋体" w:hAnsi="宋体" w:cs="宋体"/>
                <w:kern w:val="0"/>
                <w:szCs w:val="21"/>
                <w:lang w:bidi="ar"/>
              </w:rPr>
              <w:t>2、端口：</w:t>
            </w:r>
            <w:r>
              <w:rPr>
                <w:rFonts w:hint="eastAsia" w:ascii="宋体" w:hAnsi="宋体" w:cs="宋体"/>
                <w:kern w:val="0"/>
                <w:szCs w:val="21"/>
                <w:lang w:bidi="ar"/>
              </w:rPr>
              <w:br w:type="textWrapping"/>
            </w:r>
            <w:r>
              <w:rPr>
                <w:rFonts w:hint="eastAsia" w:ascii="宋体" w:hAnsi="宋体" w:cs="宋体"/>
                <w:kern w:val="0"/>
                <w:szCs w:val="21"/>
                <w:lang w:bidi="ar"/>
              </w:rPr>
              <w:t>8个10/100/1000M自适应 RJ45端口（Auto MDI/MDIX）</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25</w:t>
            </w:r>
          </w:p>
        </w:tc>
      </w:tr>
      <w:tr>
        <w:tblPrEx>
          <w:tblCellMar>
            <w:top w:w="0" w:type="dxa"/>
            <w:left w:w="0" w:type="dxa"/>
            <w:bottom w:w="0" w:type="dxa"/>
            <w:right w:w="0" w:type="dxa"/>
          </w:tblCellMar>
        </w:tblPrEx>
        <w:trPr>
          <w:trHeight w:val="37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摄像头立杆</w:t>
            </w:r>
          </w:p>
        </w:tc>
        <w:tc>
          <w:tcPr>
            <w:tcW w:w="3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lang w:bidi="ar"/>
              </w:rPr>
              <w:t>1-3米</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根</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25</w:t>
            </w:r>
          </w:p>
        </w:tc>
      </w:tr>
      <w:tr>
        <w:tblPrEx>
          <w:tblCellMar>
            <w:top w:w="0" w:type="dxa"/>
            <w:left w:w="0" w:type="dxa"/>
            <w:bottom w:w="0" w:type="dxa"/>
            <w:right w:w="0" w:type="dxa"/>
          </w:tblCellMar>
        </w:tblPrEx>
        <w:trPr>
          <w:trHeight w:val="75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视频安装、调试、对接</w:t>
            </w:r>
          </w:p>
        </w:tc>
        <w:tc>
          <w:tcPr>
            <w:tcW w:w="3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lang w:bidi="ar"/>
              </w:rPr>
              <w:t>监控摄像头的安装、调试与平台进行对接</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25</w:t>
            </w:r>
          </w:p>
        </w:tc>
      </w:tr>
      <w:tr>
        <w:tblPrEx>
          <w:tblCellMar>
            <w:top w:w="0" w:type="dxa"/>
            <w:left w:w="0" w:type="dxa"/>
            <w:bottom w:w="0" w:type="dxa"/>
            <w:right w:w="0" w:type="dxa"/>
          </w:tblCellMar>
        </w:tblPrEx>
        <w:trPr>
          <w:trHeight w:val="75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地磅调试、对接</w:t>
            </w:r>
          </w:p>
        </w:tc>
        <w:tc>
          <w:tcPr>
            <w:tcW w:w="3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lang w:bidi="ar"/>
              </w:rPr>
              <w:t>地磅仪表的调试、将仪表接入平台称重客户端，确保平台可读取、存储地磅称重信息</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25</w:t>
            </w:r>
          </w:p>
        </w:tc>
      </w:tr>
      <w:tr>
        <w:tblPrEx>
          <w:tblCellMar>
            <w:top w:w="0" w:type="dxa"/>
            <w:left w:w="0" w:type="dxa"/>
            <w:bottom w:w="0" w:type="dxa"/>
            <w:right w:w="0" w:type="dxa"/>
          </w:tblCellMar>
        </w:tblPrEx>
        <w:trPr>
          <w:trHeight w:val="37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17</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客户端安装部署</w:t>
            </w:r>
          </w:p>
        </w:tc>
        <w:tc>
          <w:tcPr>
            <w:tcW w:w="3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lang w:bidi="ar"/>
              </w:rPr>
              <w:t>客户端在矿山企业得安装部署培训</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25</w:t>
            </w:r>
          </w:p>
        </w:tc>
      </w:tr>
      <w:tr>
        <w:tblPrEx>
          <w:tblCellMar>
            <w:top w:w="0" w:type="dxa"/>
            <w:left w:w="0" w:type="dxa"/>
            <w:bottom w:w="0" w:type="dxa"/>
            <w:right w:w="0" w:type="dxa"/>
          </w:tblCellMar>
        </w:tblPrEx>
        <w:trPr>
          <w:trHeight w:val="37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18</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辅材</w:t>
            </w:r>
          </w:p>
        </w:tc>
        <w:tc>
          <w:tcPr>
            <w:tcW w:w="3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lang w:bidi="ar"/>
              </w:rPr>
              <w:t>包含各个管理站实施安装所需的各类辅材，如线缆、配件等</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批</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25</w:t>
            </w:r>
          </w:p>
        </w:tc>
      </w:tr>
      <w:tr>
        <w:tblPrEx>
          <w:tblCellMar>
            <w:top w:w="0" w:type="dxa"/>
            <w:left w:w="0" w:type="dxa"/>
            <w:bottom w:w="0" w:type="dxa"/>
            <w:right w:w="0" w:type="dxa"/>
          </w:tblCellMar>
        </w:tblPrEx>
        <w:trPr>
          <w:trHeight w:val="75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19</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平台运维培训</w:t>
            </w:r>
          </w:p>
        </w:tc>
        <w:tc>
          <w:tcPr>
            <w:tcW w:w="3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lang w:bidi="ar"/>
              </w:rPr>
              <w:t>系统平台的运维服务，对系统及矿山企业日常使用情况进行日常维护，确保系统正常运行</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年</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r>
      <w:tr>
        <w:tblPrEx>
          <w:tblCellMar>
            <w:top w:w="0" w:type="dxa"/>
            <w:left w:w="0" w:type="dxa"/>
            <w:bottom w:w="0" w:type="dxa"/>
            <w:right w:w="0" w:type="dxa"/>
          </w:tblCellMar>
        </w:tblPrEx>
        <w:trPr>
          <w:trHeight w:val="45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kern w:val="0"/>
                <w:szCs w:val="21"/>
                <w:lang w:bidi="ar"/>
              </w:rPr>
            </w:pPr>
            <w:r>
              <w:rPr>
                <w:rFonts w:hint="eastAsia" w:ascii="宋体" w:hAnsi="宋体" w:cs="宋体"/>
                <w:b/>
                <w:bCs/>
                <w:kern w:val="0"/>
                <w:sz w:val="24"/>
                <w:lang w:bidi="ar"/>
              </w:rPr>
              <w:t>商务条款：</w:t>
            </w:r>
          </w:p>
        </w:tc>
      </w:tr>
      <w:tr>
        <w:tblPrEx>
          <w:tblCellMar>
            <w:top w:w="0" w:type="dxa"/>
            <w:left w:w="0" w:type="dxa"/>
            <w:bottom w:w="0" w:type="dxa"/>
            <w:right w:w="0" w:type="dxa"/>
          </w:tblCellMar>
        </w:tblPrEx>
        <w:trPr>
          <w:trHeight w:val="750"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00" w:lineRule="exact"/>
              <w:jc w:val="center"/>
              <w:rPr>
                <w:rFonts w:ascii="宋体" w:hAnsi="宋体" w:cs="宋体"/>
                <w:kern w:val="0"/>
                <w:szCs w:val="21"/>
                <w:lang w:bidi="ar"/>
              </w:rPr>
            </w:pPr>
            <w:r>
              <w:rPr>
                <w:rFonts w:hint="eastAsia" w:ascii="宋体" w:hAnsi="宋体"/>
                <w:szCs w:val="21"/>
              </w:rPr>
              <w:t>成果交付期及地点</w:t>
            </w:r>
          </w:p>
        </w:tc>
        <w:tc>
          <w:tcPr>
            <w:tcW w:w="40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300" w:lineRule="exact"/>
              <w:rPr>
                <w:rFonts w:ascii="宋体" w:hAnsi="宋体" w:cs="Courier New"/>
                <w:szCs w:val="21"/>
              </w:rPr>
            </w:pPr>
            <w:r>
              <w:rPr>
                <w:rFonts w:hint="eastAsia" w:ascii="宋体" w:hAnsi="宋体" w:cs="Courier New"/>
                <w:szCs w:val="21"/>
              </w:rPr>
              <w:t>1.成果交付期：自签订合同之日起30天内。</w:t>
            </w:r>
          </w:p>
          <w:p>
            <w:pPr>
              <w:adjustRightInd w:val="0"/>
              <w:snapToGrid w:val="0"/>
              <w:spacing w:line="300" w:lineRule="exact"/>
              <w:rPr>
                <w:rFonts w:ascii="宋体" w:hAnsi="宋体" w:cs="宋体"/>
                <w:kern w:val="0"/>
                <w:szCs w:val="21"/>
                <w:lang w:bidi="ar"/>
              </w:rPr>
            </w:pPr>
            <w:r>
              <w:rPr>
                <w:rFonts w:hint="eastAsia" w:ascii="宋体" w:hAnsi="宋体" w:cs="Courier New"/>
                <w:szCs w:val="21"/>
              </w:rPr>
              <w:t>2.交付地点：采购人指定地点。</w:t>
            </w:r>
          </w:p>
        </w:tc>
      </w:tr>
      <w:tr>
        <w:tblPrEx>
          <w:tblCellMar>
            <w:top w:w="0" w:type="dxa"/>
            <w:left w:w="0" w:type="dxa"/>
            <w:bottom w:w="0" w:type="dxa"/>
            <w:right w:w="0" w:type="dxa"/>
          </w:tblCellMar>
        </w:tblPrEx>
        <w:trPr>
          <w:trHeight w:val="750"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00" w:lineRule="exact"/>
              <w:jc w:val="center"/>
              <w:rPr>
                <w:rFonts w:ascii="宋体" w:hAnsi="宋体" w:cs="宋体"/>
                <w:kern w:val="0"/>
                <w:szCs w:val="21"/>
                <w:lang w:bidi="ar"/>
              </w:rPr>
            </w:pPr>
            <w:r>
              <w:rPr>
                <w:rFonts w:hint="eastAsia" w:ascii="宋体" w:hAnsi="宋体"/>
                <w:szCs w:val="21"/>
              </w:rPr>
              <w:t>付款条件</w:t>
            </w:r>
          </w:p>
        </w:tc>
        <w:tc>
          <w:tcPr>
            <w:tcW w:w="40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ascii="宋体" w:hAnsi="宋体" w:cs="宋体"/>
                <w:kern w:val="0"/>
                <w:szCs w:val="21"/>
                <w:lang w:bidi="ar"/>
              </w:rPr>
            </w:pPr>
            <w:r>
              <w:rPr>
                <w:rFonts w:hint="eastAsia"/>
              </w:rPr>
              <w:t>签署本合同后</w:t>
            </w:r>
            <w:r>
              <w:t>7</w:t>
            </w:r>
            <w:r>
              <w:rPr>
                <w:rFonts w:hint="eastAsia"/>
              </w:rPr>
              <w:t>个工作日内，甲方向乙方支付合同总金额3</w:t>
            </w:r>
            <w:r>
              <w:t>0%</w:t>
            </w:r>
            <w:r>
              <w:rPr>
                <w:rFonts w:hint="eastAsia"/>
              </w:rPr>
              <w:t>的预付款；本合同项下所有设备到货并经甲方签字确认后，</w:t>
            </w:r>
            <w:r>
              <w:t>7</w:t>
            </w:r>
            <w:r>
              <w:rPr>
                <w:rFonts w:hint="eastAsia"/>
              </w:rPr>
              <w:t>个工作日内甲方向乙方支付合同总金额的5</w:t>
            </w:r>
            <w:r>
              <w:t>0%</w:t>
            </w:r>
            <w:r>
              <w:rPr>
                <w:rFonts w:hint="eastAsia"/>
              </w:rPr>
              <w:t>；系统正式上线经甲方验收合格（以甲方签字确认的验收报告为准）后</w:t>
            </w:r>
            <w:r>
              <w:t>7</w:t>
            </w:r>
            <w:r>
              <w:rPr>
                <w:rFonts w:hint="eastAsia"/>
              </w:rPr>
              <w:t>个工作日内，甲方向乙方支付合同总金额的</w:t>
            </w:r>
            <w:r>
              <w:t>15%</w:t>
            </w:r>
            <w:r>
              <w:rPr>
                <w:rFonts w:hint="eastAsia"/>
              </w:rPr>
              <w:t>；合同总金额的</w:t>
            </w:r>
            <w:r>
              <w:t>5%</w:t>
            </w:r>
            <w:r>
              <w:rPr>
                <w:rFonts w:hint="eastAsia"/>
              </w:rPr>
              <w:t>作为质保金，质保期满后，由乙方向甲方提出申请后</w:t>
            </w:r>
            <w:r>
              <w:t>7</w:t>
            </w:r>
            <w:r>
              <w:rPr>
                <w:rFonts w:hint="eastAsia"/>
              </w:rPr>
              <w:t>个工作日内，甲方向乙方结清余款。</w:t>
            </w:r>
          </w:p>
        </w:tc>
      </w:tr>
      <w:tr>
        <w:tblPrEx>
          <w:tblCellMar>
            <w:top w:w="0" w:type="dxa"/>
            <w:left w:w="0" w:type="dxa"/>
            <w:bottom w:w="0" w:type="dxa"/>
            <w:right w:w="0" w:type="dxa"/>
          </w:tblCellMar>
        </w:tblPrEx>
        <w:trPr>
          <w:trHeight w:val="750"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cs="宋体"/>
                <w:kern w:val="0"/>
                <w:szCs w:val="21"/>
                <w:lang w:bidi="ar"/>
              </w:rPr>
            </w:pPr>
            <w:r>
              <w:rPr>
                <w:rFonts w:hint="eastAsia" w:ascii="宋体" w:hAnsi="宋体"/>
                <w:szCs w:val="21"/>
              </w:rPr>
              <w:t>售后服务要求</w:t>
            </w:r>
          </w:p>
        </w:tc>
        <w:tc>
          <w:tcPr>
            <w:tcW w:w="40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3580"/>
              </w:tabs>
              <w:spacing w:line="360" w:lineRule="auto"/>
              <w:rPr>
                <w:rFonts w:ascii="宋体" w:hAnsi="宋体"/>
                <w:szCs w:val="21"/>
              </w:rPr>
            </w:pPr>
            <w:r>
              <w:rPr>
                <w:rFonts w:ascii="宋体" w:hAnsi="宋体"/>
                <w:szCs w:val="21"/>
              </w:rPr>
              <w:t>1</w:t>
            </w:r>
            <w:r>
              <w:rPr>
                <w:rFonts w:hint="eastAsia" w:ascii="宋体" w:hAnsi="宋体"/>
                <w:szCs w:val="21"/>
              </w:rPr>
              <w:t>.质量保证期</w:t>
            </w:r>
            <w:r>
              <w:rPr>
                <w:rFonts w:ascii="宋体" w:hAnsi="宋体"/>
                <w:szCs w:val="21"/>
              </w:rPr>
              <w:t>1</w:t>
            </w:r>
            <w:r>
              <w:rPr>
                <w:rFonts w:hint="eastAsia" w:ascii="宋体" w:hAnsi="宋体"/>
                <w:szCs w:val="21"/>
              </w:rPr>
              <w:t>年（自提交服务成果并验收合格之日起计）。</w:t>
            </w:r>
          </w:p>
          <w:p>
            <w:pPr>
              <w:tabs>
                <w:tab w:val="left" w:pos="3580"/>
              </w:tabs>
              <w:spacing w:line="360" w:lineRule="auto"/>
              <w:rPr>
                <w:rFonts w:ascii="宋体" w:hAnsi="宋体" w:cs="宋体"/>
                <w:kern w:val="0"/>
                <w:szCs w:val="21"/>
                <w:lang w:bidi="ar"/>
              </w:rPr>
            </w:pPr>
            <w:r>
              <w:rPr>
                <w:rFonts w:ascii="宋体" w:hAnsi="宋体"/>
                <w:szCs w:val="21"/>
              </w:rPr>
              <w:t>2</w:t>
            </w:r>
            <w:r>
              <w:rPr>
                <w:rFonts w:hint="eastAsia" w:ascii="宋体" w:hAnsi="宋体"/>
                <w:szCs w:val="21"/>
              </w:rPr>
              <w:t>.处理问题响应时间：接到采购人处理问题通知后4小时内到达采购人指定现场。</w:t>
            </w:r>
          </w:p>
        </w:tc>
      </w:tr>
      <w:tr>
        <w:tblPrEx>
          <w:tblCellMar>
            <w:top w:w="0" w:type="dxa"/>
            <w:left w:w="0" w:type="dxa"/>
            <w:bottom w:w="0" w:type="dxa"/>
            <w:right w:w="0" w:type="dxa"/>
          </w:tblCellMar>
        </w:tblPrEx>
        <w:trPr>
          <w:trHeight w:val="750"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szCs w:val="21"/>
              </w:rPr>
            </w:pPr>
            <w:r>
              <w:rPr>
                <w:rFonts w:hint="eastAsia" w:ascii="宋体" w:hAnsi="宋体"/>
                <w:b/>
                <w:szCs w:val="21"/>
              </w:rPr>
              <w:t>▲</w:t>
            </w:r>
            <w:r>
              <w:rPr>
                <w:rFonts w:hint="eastAsia" w:ascii="宋体" w:hAnsi="宋体"/>
                <w:szCs w:val="21"/>
              </w:rPr>
              <w:t>其他要求：</w:t>
            </w:r>
          </w:p>
          <w:p>
            <w:pPr>
              <w:adjustRightInd w:val="0"/>
              <w:snapToGrid w:val="0"/>
              <w:spacing w:line="300" w:lineRule="exact"/>
              <w:jc w:val="center"/>
              <w:rPr>
                <w:rFonts w:ascii="宋体" w:hAnsi="宋体" w:cs="宋体"/>
                <w:kern w:val="0"/>
                <w:szCs w:val="21"/>
                <w:lang w:bidi="ar"/>
              </w:rPr>
            </w:pPr>
          </w:p>
        </w:tc>
        <w:tc>
          <w:tcPr>
            <w:tcW w:w="40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ascii="宋体" w:hAnsi="宋体"/>
                <w:szCs w:val="21"/>
              </w:rPr>
            </w:pPr>
            <w:r>
              <w:rPr>
                <w:rFonts w:hint="eastAsia" w:ascii="宋体" w:hAnsi="宋体"/>
                <w:szCs w:val="21"/>
              </w:rPr>
              <w:t>1.系统开发的需求认定经采购方评审后，因有新文件、新政策发布造成的新增需求，中标人应承诺在项目投标的总工作量</w:t>
            </w:r>
            <w:r>
              <w:rPr>
                <w:rFonts w:ascii="宋体" w:hAnsi="宋体"/>
                <w:szCs w:val="21"/>
              </w:rPr>
              <w:t>5</w:t>
            </w:r>
            <w:r>
              <w:rPr>
                <w:rFonts w:hint="eastAsia" w:ascii="宋体" w:hAnsi="宋体"/>
                <w:szCs w:val="21"/>
              </w:rPr>
              <w:t>％以内的新增和变更需求免费提供服务，超出部分双方另行协商议定。新增的工作量以双方新增需求分析认定。</w:t>
            </w:r>
          </w:p>
          <w:p>
            <w:pPr>
              <w:spacing w:line="400" w:lineRule="exact"/>
              <w:rPr>
                <w:rFonts w:ascii="宋体" w:hAnsi="宋体" w:cs="宋体"/>
                <w:kern w:val="0"/>
                <w:szCs w:val="21"/>
                <w:lang w:bidi="ar"/>
              </w:rPr>
            </w:pPr>
            <w:r>
              <w:rPr>
                <w:rFonts w:hint="eastAsia" w:ascii="宋体" w:hAnsi="宋体" w:cs="宋体"/>
                <w:szCs w:val="21"/>
              </w:rPr>
              <w:t>2.为防止虚假应标、保证本项目顺利实施运行，交付时采购人有权要求中标人提供本项目中指定功能模块到采购人处进行技术与功能验证，如不参与验证以及验证不达到招标文件要求的，则不予以验收，保留追加给采购人造成经济与行政上损失的权利。功能测试所产生的费用由中标供应商自行承担。</w:t>
            </w:r>
          </w:p>
        </w:tc>
      </w:tr>
    </w:tbl>
    <w:p>
      <w:pPr>
        <w:ind w:firstLine="424" w:firstLineChars="202"/>
        <w:jc w:val="left"/>
        <w:rPr>
          <w:rFonts w:ascii="宋体" w:hAnsi="宋体"/>
        </w:rPr>
      </w:pPr>
    </w:p>
    <w:p>
      <w:pPr>
        <w:adjustRightInd w:val="0"/>
        <w:snapToGrid w:val="0"/>
        <w:spacing w:line="360" w:lineRule="exact"/>
        <w:ind w:firstLine="422" w:firstLineChars="200"/>
        <w:rPr>
          <w:rFonts w:ascii="宋体" w:hAnsi="宋体"/>
          <w:b/>
          <w:szCs w:val="21"/>
        </w:rPr>
      </w:pPr>
    </w:p>
    <w:p>
      <w:pPr>
        <w:adjustRightInd w:val="0"/>
        <w:snapToGrid w:val="0"/>
        <w:spacing w:line="360" w:lineRule="exact"/>
        <w:ind w:firstLine="422" w:firstLineChars="200"/>
        <w:rPr>
          <w:rFonts w:ascii="宋体" w:hAnsi="宋体"/>
          <w:b/>
          <w:szCs w:val="21"/>
        </w:rPr>
      </w:pPr>
    </w:p>
    <w:p>
      <w:pPr>
        <w:adjustRightInd w:val="0"/>
        <w:snapToGrid w:val="0"/>
        <w:spacing w:line="360" w:lineRule="exact"/>
        <w:ind w:firstLine="422" w:firstLineChars="200"/>
        <w:rPr>
          <w:rFonts w:ascii="宋体" w:hAnsi="宋体"/>
          <w:b/>
          <w:szCs w:val="21"/>
        </w:rPr>
      </w:pPr>
    </w:p>
    <w:p>
      <w:pPr>
        <w:adjustRightInd w:val="0"/>
        <w:snapToGrid w:val="0"/>
        <w:spacing w:line="360" w:lineRule="exact"/>
        <w:ind w:firstLine="422" w:firstLineChars="200"/>
        <w:rPr>
          <w:rFonts w:ascii="宋体" w:hAnsi="宋体"/>
          <w:b/>
          <w:szCs w:val="21"/>
        </w:rPr>
      </w:pPr>
    </w:p>
    <w:p>
      <w:pPr>
        <w:adjustRightInd w:val="0"/>
        <w:snapToGrid w:val="0"/>
        <w:spacing w:line="360" w:lineRule="exact"/>
        <w:ind w:firstLine="422" w:firstLineChars="200"/>
        <w:rPr>
          <w:rFonts w:ascii="宋体" w:hAnsi="宋体"/>
          <w:b/>
          <w:szCs w:val="21"/>
        </w:rPr>
      </w:pPr>
    </w:p>
    <w:p>
      <w:pPr>
        <w:adjustRightInd w:val="0"/>
        <w:snapToGrid w:val="0"/>
        <w:spacing w:line="360" w:lineRule="exact"/>
        <w:ind w:firstLine="422" w:firstLineChars="200"/>
        <w:rPr>
          <w:rFonts w:ascii="宋体" w:hAnsi="宋体"/>
          <w:b/>
          <w:szCs w:val="21"/>
        </w:rPr>
      </w:pPr>
    </w:p>
    <w:p>
      <w:pPr>
        <w:adjustRightInd w:val="0"/>
        <w:snapToGrid w:val="0"/>
        <w:spacing w:line="360" w:lineRule="exact"/>
        <w:ind w:firstLine="422" w:firstLineChars="200"/>
        <w:rPr>
          <w:rFonts w:ascii="宋体" w:hAnsi="宋体"/>
          <w:b/>
          <w:szCs w:val="21"/>
        </w:rPr>
      </w:pPr>
    </w:p>
    <w:p>
      <w:pPr>
        <w:adjustRightInd w:val="0"/>
        <w:snapToGrid w:val="0"/>
        <w:spacing w:line="360" w:lineRule="exact"/>
        <w:ind w:firstLine="422" w:firstLineChars="200"/>
        <w:rPr>
          <w:rFonts w:ascii="宋体" w:hAnsi="宋体"/>
          <w:b/>
          <w:szCs w:val="21"/>
        </w:rPr>
      </w:pPr>
    </w:p>
    <w:p>
      <w:pPr>
        <w:adjustRightInd w:val="0"/>
        <w:snapToGrid w:val="0"/>
        <w:spacing w:line="360" w:lineRule="exact"/>
        <w:ind w:firstLine="422" w:firstLineChars="200"/>
        <w:rPr>
          <w:rFonts w:ascii="宋体" w:hAnsi="宋体"/>
          <w:b/>
          <w:szCs w:val="21"/>
        </w:rPr>
      </w:pPr>
    </w:p>
    <w:p>
      <w:pPr>
        <w:adjustRightInd w:val="0"/>
        <w:snapToGrid w:val="0"/>
        <w:spacing w:line="360" w:lineRule="exact"/>
        <w:ind w:firstLine="422" w:firstLineChars="200"/>
        <w:rPr>
          <w:rFonts w:ascii="宋体" w:hAnsi="宋体"/>
          <w:b/>
          <w:szCs w:val="21"/>
        </w:rPr>
      </w:pPr>
    </w:p>
    <w:p>
      <w:pPr>
        <w:adjustRightInd w:val="0"/>
        <w:snapToGrid w:val="0"/>
        <w:spacing w:line="360" w:lineRule="exact"/>
        <w:ind w:firstLine="422" w:firstLineChars="200"/>
        <w:rPr>
          <w:rFonts w:ascii="宋体" w:hAnsi="宋体"/>
          <w:b/>
          <w:szCs w:val="21"/>
        </w:rPr>
      </w:pPr>
    </w:p>
    <w:p>
      <w:pPr>
        <w:adjustRightInd w:val="0"/>
        <w:snapToGrid w:val="0"/>
        <w:spacing w:line="360" w:lineRule="exact"/>
        <w:ind w:firstLine="422" w:firstLineChars="200"/>
        <w:rPr>
          <w:rFonts w:ascii="宋体" w:hAnsi="宋体"/>
          <w:b/>
          <w:szCs w:val="21"/>
        </w:rPr>
      </w:pPr>
    </w:p>
    <w:p>
      <w:pPr>
        <w:adjustRightInd w:val="0"/>
        <w:snapToGrid w:val="0"/>
        <w:spacing w:line="360" w:lineRule="exact"/>
        <w:ind w:firstLine="422" w:firstLineChars="200"/>
        <w:rPr>
          <w:rFonts w:ascii="宋体" w:hAnsi="宋体"/>
          <w:b/>
          <w:szCs w:val="21"/>
        </w:rPr>
      </w:pPr>
    </w:p>
    <w:p>
      <w:pPr>
        <w:adjustRightInd w:val="0"/>
        <w:snapToGrid w:val="0"/>
        <w:spacing w:line="360" w:lineRule="exact"/>
        <w:ind w:firstLine="422" w:firstLineChars="200"/>
        <w:rPr>
          <w:rFonts w:ascii="宋体" w:hAnsi="宋体"/>
          <w:b/>
          <w:szCs w:val="21"/>
        </w:rPr>
      </w:pPr>
    </w:p>
    <w:p>
      <w:pPr>
        <w:adjustRightInd w:val="0"/>
        <w:snapToGrid w:val="0"/>
        <w:spacing w:line="360" w:lineRule="exact"/>
        <w:ind w:firstLine="422" w:firstLineChars="200"/>
        <w:rPr>
          <w:rFonts w:ascii="宋体" w:hAnsi="宋体"/>
          <w:b/>
          <w:szCs w:val="21"/>
        </w:rPr>
      </w:pPr>
    </w:p>
    <w:p>
      <w:pPr>
        <w:adjustRightInd w:val="0"/>
        <w:snapToGrid w:val="0"/>
        <w:spacing w:line="360" w:lineRule="exact"/>
        <w:ind w:firstLine="422" w:firstLineChars="200"/>
        <w:rPr>
          <w:rFonts w:ascii="宋体" w:hAnsi="宋体"/>
          <w:b/>
          <w:szCs w:val="21"/>
        </w:rPr>
      </w:pPr>
    </w:p>
    <w:p>
      <w:pPr>
        <w:adjustRightInd w:val="0"/>
        <w:snapToGrid w:val="0"/>
        <w:spacing w:line="360" w:lineRule="exact"/>
        <w:ind w:firstLine="422" w:firstLineChars="200"/>
        <w:rPr>
          <w:rFonts w:ascii="宋体" w:hAnsi="宋体"/>
          <w:b/>
          <w:szCs w:val="21"/>
        </w:rPr>
      </w:pPr>
    </w:p>
    <w:p>
      <w:pPr>
        <w:adjustRightInd w:val="0"/>
        <w:snapToGrid w:val="0"/>
        <w:spacing w:line="360" w:lineRule="exact"/>
        <w:ind w:firstLine="422" w:firstLineChars="200"/>
        <w:rPr>
          <w:rFonts w:ascii="宋体" w:hAnsi="宋体"/>
          <w:b/>
          <w:szCs w:val="21"/>
        </w:rPr>
      </w:pPr>
    </w:p>
    <w:p>
      <w:pPr>
        <w:adjustRightInd w:val="0"/>
        <w:snapToGrid w:val="0"/>
        <w:spacing w:line="360" w:lineRule="exact"/>
        <w:ind w:firstLine="422" w:firstLineChars="200"/>
        <w:rPr>
          <w:rFonts w:ascii="宋体" w:hAnsi="宋体"/>
          <w:b/>
          <w:szCs w:val="21"/>
        </w:rPr>
      </w:pPr>
    </w:p>
    <w:p>
      <w:pPr>
        <w:adjustRightInd w:val="0"/>
        <w:snapToGrid w:val="0"/>
        <w:spacing w:line="360" w:lineRule="exact"/>
        <w:ind w:firstLine="422" w:firstLineChars="200"/>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adjustRightInd w:val="0"/>
        <w:snapToGrid w:val="0"/>
        <w:spacing w:line="360" w:lineRule="exact"/>
        <w:ind w:firstLine="420" w:firstLineChars="200"/>
        <w:rPr>
          <w:rFonts w:ascii="宋体" w:hAnsi="宋体"/>
          <w:szCs w:val="21"/>
        </w:rPr>
      </w:pPr>
    </w:p>
    <w:p>
      <w:pPr>
        <w:adjustRightInd w:val="0"/>
        <w:snapToGrid w:val="0"/>
        <w:spacing w:line="360" w:lineRule="exact"/>
        <w:ind w:firstLine="420" w:firstLineChars="200"/>
        <w:rPr>
          <w:rFonts w:ascii="宋体" w:hAnsi="宋体"/>
          <w:szCs w:val="21"/>
        </w:rPr>
      </w:pPr>
    </w:p>
    <w:p>
      <w:pPr>
        <w:pStyle w:val="4"/>
        <w:spacing w:line="400" w:lineRule="exact"/>
        <w:ind w:firstLine="588"/>
        <w:jc w:val="center"/>
      </w:pPr>
      <w:bookmarkStart w:id="4" w:name="_Toc24366219"/>
      <w:r>
        <w:rPr>
          <w:rFonts w:hint="eastAsia"/>
        </w:rPr>
        <w:t>第三章  投标人须知</w:t>
      </w:r>
      <w:bookmarkEnd w:id="4"/>
    </w:p>
    <w:p>
      <w:pPr>
        <w:jc w:val="center"/>
        <w:rPr>
          <w:sz w:val="36"/>
          <w:szCs w:val="36"/>
        </w:rPr>
      </w:pPr>
      <w:bookmarkStart w:id="5" w:name="_Toc254970526"/>
      <w:bookmarkStart w:id="6" w:name="_Toc254970667"/>
      <w:r>
        <w:rPr>
          <w:rFonts w:hint="eastAsia"/>
          <w:sz w:val="36"/>
          <w:szCs w:val="36"/>
        </w:rPr>
        <w:t>投标人须知前附表</w:t>
      </w:r>
    </w:p>
    <w:tbl>
      <w:tblPr>
        <w:tblStyle w:val="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8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pacing w:val="-6"/>
                <w:szCs w:val="21"/>
              </w:rPr>
              <w:t>条款号</w:t>
            </w:r>
          </w:p>
        </w:tc>
        <w:tc>
          <w:tcPr>
            <w:tcW w:w="88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7" w:name="_5"/>
            <w:bookmarkEnd w:id="7"/>
            <w:r>
              <w:rPr>
                <w:rFonts w:hint="eastAsia" w:ascii="宋体" w:hAnsi="宋体"/>
              </w:rPr>
              <w:t>5</w:t>
            </w:r>
          </w:p>
        </w:tc>
        <w:tc>
          <w:tcPr>
            <w:tcW w:w="88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投标费用：投标人投标期间与投标有关的全部费用（招标文件有相关规定的除外），不论投标结果如何， 均应自行承担。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8" w:name="_9.2"/>
            <w:bookmarkEnd w:id="8"/>
            <w:bookmarkStart w:id="9" w:name="_8.1"/>
            <w:bookmarkEnd w:id="9"/>
            <w:r>
              <w:rPr>
                <w:rFonts w:hint="eastAsia" w:ascii="宋体" w:hAnsi="宋体"/>
              </w:rPr>
              <w:t>6.1</w:t>
            </w:r>
          </w:p>
        </w:tc>
        <w:tc>
          <w:tcPr>
            <w:tcW w:w="8833" w:type="dxa"/>
            <w:tcBorders>
              <w:top w:val="single" w:color="auto" w:sz="4" w:space="0"/>
              <w:left w:val="single" w:color="auto" w:sz="4" w:space="0"/>
              <w:bottom w:val="single" w:color="auto" w:sz="4" w:space="0"/>
              <w:right w:val="single" w:color="auto" w:sz="4" w:space="0"/>
            </w:tcBorders>
            <w:vAlign w:val="center"/>
          </w:tcPr>
          <w:p>
            <w:pPr>
              <w:pStyle w:val="19"/>
              <w:rPr>
                <w:rFonts w:ascii="宋体" w:hAnsi="宋体"/>
              </w:rPr>
            </w:pPr>
            <w:r>
              <w:rPr>
                <w:rFonts w:hint="eastAsia" w:ascii="宋体" w:hAnsi="宋体"/>
              </w:rPr>
              <w:t>□接受联合体投标</w:t>
            </w:r>
          </w:p>
          <w:p>
            <w:pPr>
              <w:pStyle w:val="19"/>
              <w:rPr>
                <w:rFonts w:ascii="宋体" w:hAnsi="宋体"/>
              </w:rPr>
            </w:pPr>
            <w:r>
              <w:rPr>
                <w:rFonts w:hint="eastAsia" w:ascii="宋体" w:hAnsi="宋体"/>
              </w:rPr>
              <w:t>√不接受联合体投标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7.2</w:t>
            </w:r>
          </w:p>
        </w:tc>
        <w:tc>
          <w:tcPr>
            <w:tcW w:w="8833" w:type="dxa"/>
            <w:tcBorders>
              <w:top w:val="single" w:color="auto" w:sz="4" w:space="0"/>
              <w:left w:val="single" w:color="auto" w:sz="4" w:space="0"/>
              <w:bottom w:val="single" w:color="auto" w:sz="4" w:space="0"/>
              <w:right w:val="single" w:color="auto" w:sz="4" w:space="0"/>
            </w:tcBorders>
            <w:vAlign w:val="center"/>
          </w:tcPr>
          <w:p>
            <w:pPr>
              <w:pStyle w:val="19"/>
              <w:rPr>
                <w:rFonts w:ascii="宋体" w:hAnsi="宋体"/>
              </w:rPr>
            </w:pPr>
            <w:r>
              <w:rPr>
                <w:rFonts w:hint="eastAsia" w:ascii="宋体" w:hAnsi="宋体"/>
              </w:rPr>
              <w:t>√不允许分包</w:t>
            </w:r>
          </w:p>
          <w:p>
            <w:pPr>
              <w:pStyle w:val="19"/>
              <w:rPr>
                <w:rFonts w:ascii="宋体" w:hAnsi="宋体"/>
              </w:rPr>
            </w:pPr>
            <w:r>
              <w:rPr>
                <w:rFonts w:hint="eastAsia" w:ascii="宋体" w:hAnsi="宋体"/>
              </w:rPr>
              <w:t>□允许分包</w:t>
            </w:r>
          </w:p>
          <w:p>
            <w:pPr>
              <w:pStyle w:val="19"/>
              <w:rPr>
                <w:rFonts w:ascii="宋体" w:hAnsi="宋体"/>
              </w:rPr>
            </w:pPr>
            <w:r>
              <w:rPr>
                <w:rFonts w:hint="eastAsia" w:ascii="宋体" w:hAnsi="宋体"/>
              </w:rPr>
              <w:t>如允许分包，本项目主体部分为</w:t>
            </w:r>
            <w:r>
              <w:rPr>
                <w:rFonts w:hint="eastAsia" w:ascii="宋体" w:hAnsi="宋体"/>
                <w:u w:val="single"/>
              </w:rPr>
              <w:t xml:space="preserve">           ；</w:t>
            </w:r>
            <w:r>
              <w:rPr>
                <w:rFonts w:hint="eastAsia" w:ascii="宋体" w:hAnsi="宋体"/>
              </w:rPr>
              <w:t>分包履行的具体内容、金额或者比例如下：</w:t>
            </w:r>
          </w:p>
          <w:p>
            <w:pPr>
              <w:pStyle w:val="19"/>
              <w:rPr>
                <w:rFonts w:ascii="宋体" w:hAnsi="宋体"/>
                <w:u w:val="single"/>
              </w:rPr>
            </w:pPr>
            <w:r>
              <w:rPr>
                <w:rFonts w:hint="eastAsia" w:ascii="宋体" w:hAnsi="宋体"/>
              </w:rPr>
              <w:t>具体内容：</w:t>
            </w:r>
            <w:r>
              <w:rPr>
                <w:rFonts w:hint="eastAsia" w:ascii="宋体" w:hAnsi="宋体"/>
                <w:u w:val="single"/>
              </w:rPr>
              <w:t xml:space="preserve">                                     。</w:t>
            </w:r>
          </w:p>
          <w:p>
            <w:pPr>
              <w:pStyle w:val="19"/>
              <w:jc w:val="both"/>
              <w:rPr>
                <w:rFonts w:ascii="宋体" w:hAnsi="宋体"/>
                <w:u w:val="single"/>
              </w:rPr>
            </w:pPr>
            <w:r>
              <w:rPr>
                <w:rFonts w:hint="eastAsia" w:ascii="宋体" w:hAnsi="宋体"/>
              </w:rPr>
              <w:t>具体金额：</w:t>
            </w:r>
            <w:r>
              <w:rPr>
                <w:rFonts w:hint="eastAsia" w:ascii="宋体" w:hAnsi="宋体"/>
                <w:u w:val="single"/>
              </w:rPr>
              <w:t xml:space="preserve">                                     。</w:t>
            </w:r>
          </w:p>
          <w:p>
            <w:pPr>
              <w:pStyle w:val="19"/>
              <w:rPr>
                <w:rFonts w:ascii="宋体" w:hAnsi="宋体"/>
                <w:u w:val="single"/>
              </w:rPr>
            </w:pPr>
            <w:r>
              <w:rPr>
                <w:rFonts w:hint="eastAsia" w:ascii="宋体" w:hAnsi="宋体"/>
              </w:rPr>
              <w:t>具体比例：</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9.2</w:t>
            </w:r>
          </w:p>
        </w:tc>
        <w:tc>
          <w:tcPr>
            <w:tcW w:w="88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递交质疑函方式：</w:t>
            </w:r>
            <w:r>
              <w:rPr>
                <w:rFonts w:hint="eastAsia" w:ascii="宋体" w:hAnsi="宋体"/>
              </w:rPr>
              <w:t>以书面形式</w:t>
            </w:r>
          </w:p>
          <w:p>
            <w:pPr>
              <w:snapToGrid w:val="0"/>
              <w:rPr>
                <w:rFonts w:ascii="宋体" w:hAnsi="宋体"/>
                <w:szCs w:val="21"/>
              </w:rPr>
            </w:pPr>
            <w:r>
              <w:rPr>
                <w:rFonts w:hint="eastAsia" w:ascii="宋体" w:hAnsi="宋体"/>
                <w:szCs w:val="21"/>
              </w:rPr>
              <w:t>质疑联系部门及联系方式：广西中竟达建设工程咨询有限公司</w:t>
            </w:r>
          </w:p>
          <w:p>
            <w:pPr>
              <w:snapToGrid w:val="0"/>
              <w:rPr>
                <w:rFonts w:ascii="宋体" w:hAnsi="宋体"/>
                <w:szCs w:val="21"/>
              </w:rPr>
            </w:pPr>
            <w:r>
              <w:rPr>
                <w:rFonts w:hint="eastAsia" w:ascii="宋体" w:hAnsi="宋体"/>
                <w:szCs w:val="21"/>
              </w:rPr>
              <w:t>联系电话：0775-8669903</w:t>
            </w:r>
          </w:p>
          <w:p>
            <w:pPr>
              <w:snapToGrid w:val="0"/>
              <w:rPr>
                <w:rFonts w:ascii="宋体" w:hAnsi="宋体"/>
                <w:szCs w:val="21"/>
              </w:rPr>
            </w:pPr>
            <w:r>
              <w:rPr>
                <w:rFonts w:hint="eastAsia" w:ascii="宋体" w:hAnsi="宋体"/>
                <w:szCs w:val="21"/>
              </w:rPr>
              <w:t>通讯地址</w:t>
            </w:r>
            <w:r>
              <w:rPr>
                <w:rFonts w:hint="eastAsia" w:ascii="宋体" w:hAnsi="宋体" w:cs="Helvetica"/>
                <w:sz w:val="28"/>
                <w:szCs w:val="28"/>
              </w:rPr>
              <w:t>：</w:t>
            </w:r>
            <w:r>
              <w:rPr>
                <w:rFonts w:hint="eastAsia" w:ascii="宋体" w:hAnsi="宋体"/>
                <w:szCs w:val="21"/>
              </w:rPr>
              <w:t>博白县大转盘工商银行三楼；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10" w:name="_13.1"/>
            <w:bookmarkEnd w:id="10"/>
            <w:r>
              <w:rPr>
                <w:rFonts w:hint="eastAsia" w:ascii="宋体" w:hAnsi="宋体"/>
              </w:rPr>
              <w:t>13.</w:t>
            </w:r>
            <w:bookmarkStart w:id="11" w:name="_Hlt19632543"/>
            <w:r>
              <w:rPr>
                <w:rFonts w:hint="eastAsia" w:ascii="宋体" w:hAnsi="宋体"/>
              </w:rPr>
              <w:t>1</w:t>
            </w:r>
            <w:bookmarkEnd w:id="11"/>
          </w:p>
        </w:tc>
        <w:tc>
          <w:tcPr>
            <w:tcW w:w="883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Courier New"/>
                <w:b/>
                <w:szCs w:val="21"/>
              </w:rPr>
            </w:pPr>
            <w:r>
              <w:rPr>
                <w:rFonts w:hint="eastAsia" w:ascii="宋体" w:hAnsi="宋体" w:cs="Courier New"/>
                <w:b/>
                <w:szCs w:val="21"/>
              </w:rPr>
              <w:t>报价文件</w:t>
            </w:r>
            <w:r>
              <w:rPr>
                <w:rFonts w:hint="eastAsia" w:ascii="微软雅黑" w:hAnsi="微软雅黑" w:eastAsia="微软雅黑" w:cs="Courier New"/>
                <w:b/>
                <w:sz w:val="24"/>
              </w:rPr>
              <w:t>：</w:t>
            </w:r>
          </w:p>
          <w:p>
            <w:pPr>
              <w:numPr>
                <w:ilvl w:val="0"/>
                <w:numId w:val="6"/>
              </w:numPr>
              <w:tabs>
                <w:tab w:val="left" w:pos="459"/>
              </w:tabs>
              <w:snapToGrid w:val="0"/>
              <w:ind w:left="459" w:hanging="39"/>
              <w:jc w:val="left"/>
              <w:rPr>
                <w:rFonts w:ascii="宋体" w:hAnsi="宋体"/>
                <w:szCs w:val="21"/>
              </w:rPr>
            </w:pPr>
            <w:r>
              <w:rPr>
                <w:rFonts w:hint="eastAsia" w:ascii="宋体" w:hAnsi="宋体"/>
                <w:szCs w:val="21"/>
              </w:rPr>
              <w:t>投标函（格式后附）；</w:t>
            </w:r>
            <w:r>
              <w:rPr>
                <w:rFonts w:hint="eastAsia" w:ascii="宋体" w:hAnsi="宋体"/>
                <w:b/>
                <w:szCs w:val="21"/>
              </w:rPr>
              <w:t>（必须提供，否则作无效投标处理）</w:t>
            </w:r>
          </w:p>
          <w:p>
            <w:pPr>
              <w:numPr>
                <w:ilvl w:val="0"/>
                <w:numId w:val="6"/>
              </w:numPr>
              <w:tabs>
                <w:tab w:val="left" w:pos="459"/>
              </w:tabs>
              <w:snapToGrid w:val="0"/>
              <w:ind w:left="459" w:hanging="39"/>
              <w:jc w:val="left"/>
              <w:rPr>
                <w:rFonts w:ascii="宋体" w:hAnsi="宋体"/>
                <w:szCs w:val="21"/>
              </w:rPr>
            </w:pPr>
            <w:r>
              <w:rPr>
                <w:rFonts w:hint="eastAsia" w:ascii="宋体" w:hAnsi="宋体"/>
                <w:szCs w:val="21"/>
              </w:rPr>
              <w:t>开标一览表（格式后附）； （</w:t>
            </w:r>
            <w:r>
              <w:rPr>
                <w:rFonts w:hint="eastAsia" w:ascii="宋体" w:hAnsi="宋体"/>
                <w:b/>
                <w:szCs w:val="21"/>
              </w:rPr>
              <w:t>必须提供，否则作无效投标处理</w:t>
            </w:r>
            <w:r>
              <w:rPr>
                <w:rFonts w:hint="eastAsia" w:ascii="宋体" w:hAnsi="宋体"/>
                <w:szCs w:val="21"/>
              </w:rPr>
              <w:t>）</w:t>
            </w:r>
          </w:p>
          <w:p>
            <w:pPr>
              <w:numPr>
                <w:ilvl w:val="0"/>
                <w:numId w:val="6"/>
              </w:numPr>
              <w:tabs>
                <w:tab w:val="left" w:pos="459"/>
              </w:tabs>
              <w:snapToGrid w:val="0"/>
              <w:ind w:left="459" w:hanging="39"/>
              <w:jc w:val="left"/>
              <w:rPr>
                <w:rFonts w:ascii="宋体" w:hAnsi="宋体"/>
                <w:szCs w:val="21"/>
              </w:rPr>
            </w:pPr>
            <w:r>
              <w:rPr>
                <w:rFonts w:hint="eastAsia" w:ascii="宋体" w:hAnsi="宋体"/>
                <w:szCs w:val="21"/>
              </w:rPr>
              <w:t>投标人针对报价需要说明的其他文件和说明（格式自拟）。</w:t>
            </w:r>
          </w:p>
          <w:p>
            <w:pPr>
              <w:snapToGrid w:val="0"/>
              <w:ind w:firstLine="420"/>
              <w:jc w:val="left"/>
              <w:rPr>
                <w:rFonts w:ascii="微软雅黑" w:hAnsi="微软雅黑" w:eastAsia="微软雅黑"/>
                <w:sz w:val="24"/>
              </w:rPr>
            </w:pPr>
            <w:r>
              <w:rPr>
                <w:rFonts w:hint="eastAsia" w:ascii="微软雅黑" w:hAnsi="微软雅黑" w:eastAsia="微软雅黑"/>
                <w:b/>
                <w:bCs/>
                <w:sz w:val="24"/>
              </w:rPr>
              <w:t>注：投标函、开标一览表必须由法定代表人（负责人或自然人）或委托代理人在规定签章处逐一签字或签章并加盖投标人公章，否则</w:t>
            </w:r>
            <w:r>
              <w:rPr>
                <w:rFonts w:hint="eastAsia" w:ascii="微软雅黑" w:hAnsi="微软雅黑" w:eastAsia="微软雅黑" w:cs="Courier New"/>
                <w:b/>
                <w:sz w:val="24"/>
              </w:rPr>
              <w:t>作无效投标处理</w:t>
            </w:r>
            <w:r>
              <w:rPr>
                <w:rFonts w:hint="eastAsia" w:ascii="微软雅黑" w:hAnsi="微软雅黑" w:eastAsia="微软雅黑"/>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12" w:name="_13.2"/>
            <w:bookmarkEnd w:id="12"/>
            <w:r>
              <w:rPr>
                <w:rFonts w:hint="eastAsia" w:ascii="宋体" w:hAnsi="宋体"/>
              </w:rPr>
              <w:t>13</w:t>
            </w:r>
            <w:bookmarkStart w:id="13" w:name="_Hlt19632532"/>
            <w:bookmarkStart w:id="14" w:name="_Hlt19632533"/>
            <w:r>
              <w:rPr>
                <w:rFonts w:hint="eastAsia" w:ascii="宋体" w:hAnsi="宋体"/>
              </w:rPr>
              <w:t>.</w:t>
            </w:r>
            <w:bookmarkEnd w:id="13"/>
            <w:bookmarkEnd w:id="14"/>
            <w:r>
              <w:rPr>
                <w:rFonts w:hint="eastAsia" w:ascii="宋体" w:hAnsi="宋体"/>
              </w:rPr>
              <w:t>2</w:t>
            </w:r>
          </w:p>
        </w:tc>
        <w:tc>
          <w:tcPr>
            <w:tcW w:w="883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Courier New"/>
                <w:b/>
                <w:szCs w:val="21"/>
              </w:rPr>
            </w:pPr>
            <w:r>
              <w:rPr>
                <w:rFonts w:hint="eastAsia" w:ascii="宋体" w:hAnsi="宋体" w:cs="Courier New"/>
                <w:b/>
                <w:szCs w:val="21"/>
              </w:rPr>
              <w:t>资格证明文件</w:t>
            </w:r>
          </w:p>
          <w:p>
            <w:pPr>
              <w:snapToGrid w:val="0"/>
              <w:ind w:firstLine="411" w:firstLineChars="196"/>
              <w:jc w:val="left"/>
              <w:rPr>
                <w:rFonts w:ascii="宋体" w:hAnsi="宋体"/>
                <w:szCs w:val="21"/>
              </w:rPr>
            </w:pPr>
            <w:r>
              <w:rPr>
                <w:rFonts w:hint="eastAsia" w:ascii="宋体" w:hAnsi="宋体"/>
                <w:szCs w:val="21"/>
              </w:rPr>
              <w:t>1.投标人合法的主体资格证明（如营业执照、事业单位法人证书、执业许可证等）复印件（原件备查）；（必须提供，否则作无效投标处理）</w:t>
            </w:r>
          </w:p>
          <w:p>
            <w:pPr>
              <w:snapToGrid w:val="0"/>
              <w:ind w:firstLine="411" w:firstLineChars="196"/>
              <w:jc w:val="left"/>
              <w:rPr>
                <w:rFonts w:ascii="宋体" w:hAnsi="宋体"/>
                <w:szCs w:val="21"/>
              </w:rPr>
            </w:pPr>
            <w:r>
              <w:rPr>
                <w:rFonts w:hint="eastAsia" w:ascii="宋体" w:hAnsi="宋体"/>
                <w:szCs w:val="21"/>
              </w:rPr>
              <w:t>2.法定代表人身份证正反面复印件；（必须提供，否则作无效投标处理）</w:t>
            </w:r>
          </w:p>
          <w:p>
            <w:pPr>
              <w:snapToGrid w:val="0"/>
              <w:ind w:firstLine="411" w:firstLineChars="196"/>
              <w:jc w:val="left"/>
              <w:rPr>
                <w:rFonts w:ascii="宋体" w:hAnsi="宋体"/>
                <w:szCs w:val="21"/>
              </w:rPr>
            </w:pPr>
            <w:r>
              <w:rPr>
                <w:rFonts w:hint="eastAsia" w:ascii="宋体" w:hAnsi="宋体"/>
                <w:szCs w:val="21"/>
              </w:rPr>
              <w:t>3.投标人投标截止之日前半年内连续 3个月的依法缴纳税费的凭据复印件；无纳税记录的，应提供由投标人所在地的税务部门出具的免税证明复印件。从取得营业执照时间起到投标截止时间为止不足要求月数的，只需提供从取得营业执照起的依法缴纳税费或依法免缴税费的凭据复印件。（原件备查）；（必须提供，否则作无效投标处理）</w:t>
            </w:r>
          </w:p>
          <w:p>
            <w:pPr>
              <w:snapToGrid w:val="0"/>
              <w:ind w:firstLine="411" w:firstLineChars="196"/>
              <w:jc w:val="left"/>
              <w:rPr>
                <w:rFonts w:ascii="宋体" w:hAnsi="宋体"/>
                <w:szCs w:val="21"/>
              </w:rPr>
            </w:pPr>
            <w:r>
              <w:rPr>
                <w:rFonts w:hint="eastAsia" w:ascii="宋体" w:hAnsi="宋体"/>
                <w:szCs w:val="21"/>
              </w:rPr>
              <w:t>4.投标人投标截止之日前半年内投标人连续 3个月的依法缴纳社保费的缴费凭证（专用收据或社会保险缴纳清单）复印件；无缴费记录的，应提供由投标人所在地行政主管部门出具的依法免缴社保费证明复印件。从取得营业执照时间起到投标截止时间为止不足要求月数的只需提供从取得营业执照起的依法缴纳社保费的缴费凭证（专用收据或社会保险缴纳清单）复印件。（原件备查）；（必须提供，否则作无效投标处理）</w:t>
            </w:r>
          </w:p>
          <w:p>
            <w:pPr>
              <w:snapToGrid w:val="0"/>
              <w:ind w:firstLine="411" w:firstLineChars="196"/>
              <w:jc w:val="left"/>
              <w:rPr>
                <w:rFonts w:ascii="宋体" w:hAnsi="宋体"/>
                <w:szCs w:val="21"/>
              </w:rPr>
            </w:pPr>
            <w:r>
              <w:rPr>
                <w:rFonts w:hint="eastAsia" w:ascii="宋体" w:hAnsi="宋体"/>
                <w:szCs w:val="21"/>
              </w:rPr>
              <w:t>5. 投标人2019年财务状况报告复印件【供应商是法人的，应提供财务报告或财政部门认可的政府采购专业银行、保险机构出具的投标保函；从取得营业执照时间起到投标截止时间为止不足要求月数的只需提供从取得营业执照起的证明材料。供应商是其他组织和自然人的，提供财务报告或者银行出具的资信证明，财务报告必须包含现金流量表  利润表  资产负债表】。（必须提供，否则作无效投标处理）</w:t>
            </w:r>
          </w:p>
          <w:p>
            <w:pPr>
              <w:snapToGrid w:val="0"/>
              <w:ind w:firstLine="411" w:firstLineChars="196"/>
              <w:jc w:val="left"/>
              <w:rPr>
                <w:rFonts w:ascii="宋体" w:hAnsi="宋体"/>
                <w:szCs w:val="21"/>
              </w:rPr>
            </w:pPr>
            <w:r>
              <w:rPr>
                <w:rFonts w:hint="eastAsia" w:ascii="宋体" w:hAnsi="宋体"/>
                <w:szCs w:val="21"/>
              </w:rPr>
              <w:t>6.投标声明（格式后附）；（必须提供，否则作无效投标处理）</w:t>
            </w:r>
          </w:p>
          <w:p>
            <w:pPr>
              <w:snapToGrid w:val="0"/>
              <w:ind w:firstLine="411" w:firstLineChars="196"/>
              <w:jc w:val="left"/>
              <w:rPr>
                <w:rFonts w:ascii="宋体" w:hAnsi="宋体"/>
                <w:szCs w:val="21"/>
              </w:rPr>
            </w:pPr>
            <w:r>
              <w:rPr>
                <w:rFonts w:hint="eastAsia" w:ascii="宋体" w:hAnsi="宋体"/>
                <w:szCs w:val="21"/>
              </w:rPr>
              <w:t>7.投标人直接控股、管理关系信息表（格式后附）；（必须提供，否则作无效投标处理）</w:t>
            </w:r>
          </w:p>
          <w:p>
            <w:pPr>
              <w:snapToGrid w:val="0"/>
              <w:ind w:firstLine="411" w:firstLineChars="196"/>
              <w:jc w:val="left"/>
              <w:rPr>
                <w:rFonts w:ascii="宋体" w:hAnsi="宋体"/>
                <w:szCs w:val="21"/>
              </w:rPr>
            </w:pPr>
            <w:r>
              <w:rPr>
                <w:rFonts w:hint="eastAsia" w:ascii="宋体" w:hAnsi="宋体"/>
                <w:szCs w:val="21"/>
                <w:lang w:val="en-US" w:eastAsia="zh-CN"/>
              </w:rPr>
              <w:t>8</w:t>
            </w:r>
            <w:r>
              <w:rPr>
                <w:rFonts w:hint="eastAsia" w:ascii="宋体" w:hAnsi="宋体"/>
                <w:szCs w:val="21"/>
              </w:rPr>
              <w:t>.联合体协议书（格式后附）；（联合体投标时必须提供，否则作无效投标处理）</w:t>
            </w:r>
          </w:p>
          <w:p>
            <w:pPr>
              <w:snapToGrid w:val="0"/>
              <w:ind w:firstLine="411" w:firstLineChars="196"/>
              <w:jc w:val="left"/>
              <w:rPr>
                <w:rFonts w:ascii="宋体" w:hAnsi="宋体"/>
                <w:szCs w:val="21"/>
              </w:rPr>
            </w:pPr>
            <w:r>
              <w:rPr>
                <w:rFonts w:hint="eastAsia" w:ascii="宋体" w:hAnsi="宋体"/>
                <w:szCs w:val="21"/>
                <w:lang w:val="en-US" w:eastAsia="zh-CN"/>
              </w:rPr>
              <w:t>9</w:t>
            </w:r>
            <w:r>
              <w:rPr>
                <w:rFonts w:hint="eastAsia" w:ascii="宋体" w:hAnsi="宋体"/>
                <w:szCs w:val="21"/>
              </w:rPr>
              <w:t>.除招标文件规定必须提供以外，投标人认为需要提供的其他证明材料。</w:t>
            </w:r>
          </w:p>
          <w:p>
            <w:pPr>
              <w:snapToGrid w:val="0"/>
              <w:ind w:left="79" w:firstLine="283"/>
              <w:jc w:val="left"/>
              <w:rPr>
                <w:rFonts w:ascii="微软雅黑" w:hAnsi="微软雅黑" w:eastAsia="微软雅黑" w:cs="Courier New"/>
                <w:b/>
                <w:sz w:val="24"/>
              </w:rPr>
            </w:pPr>
            <w:r>
              <w:rPr>
                <w:rFonts w:hint="eastAsia" w:ascii="微软雅黑" w:hAnsi="微软雅黑" w:eastAsia="微软雅黑"/>
                <w:b/>
                <w:bCs/>
                <w:sz w:val="24"/>
              </w:rPr>
              <w:t>注：1.以上材料属于复印件的，必须加盖投标人公章，否则</w:t>
            </w:r>
            <w:r>
              <w:rPr>
                <w:rFonts w:hint="eastAsia" w:ascii="微软雅黑" w:hAnsi="微软雅黑" w:eastAsia="微软雅黑" w:cs="Courier New"/>
                <w:b/>
                <w:sz w:val="24"/>
              </w:rPr>
              <w:t>作无效投标处理。</w:t>
            </w:r>
          </w:p>
          <w:p>
            <w:pPr>
              <w:snapToGrid w:val="0"/>
              <w:ind w:left="79" w:firstLine="480" w:firstLineChars="200"/>
              <w:jc w:val="left"/>
              <w:rPr>
                <w:rFonts w:ascii="微软雅黑" w:hAnsi="微软雅黑" w:eastAsia="微软雅黑"/>
                <w:b/>
                <w:bCs/>
                <w:sz w:val="24"/>
              </w:rPr>
            </w:pPr>
            <w:r>
              <w:rPr>
                <w:rFonts w:hint="eastAsia" w:ascii="微软雅黑" w:hAnsi="微软雅黑" w:eastAsia="微软雅黑" w:cs="Courier New"/>
                <w:b/>
                <w:sz w:val="24"/>
              </w:rPr>
              <w:t>2.</w:t>
            </w:r>
            <w:r>
              <w:rPr>
                <w:rFonts w:hint="eastAsia" w:ascii="微软雅黑" w:hAnsi="微软雅黑" w:eastAsia="微软雅黑"/>
                <w:b/>
                <w:bCs/>
                <w:sz w:val="24"/>
              </w:rPr>
              <w:t>投标声明必须由法定代表人（负责人或自然人）在规定签章处逐一签字或签章并加盖投标人公章，否则作无效投标处理。</w:t>
            </w:r>
          </w:p>
          <w:p>
            <w:pPr>
              <w:snapToGrid w:val="0"/>
              <w:ind w:left="79" w:firstLine="480" w:firstLineChars="200"/>
              <w:jc w:val="left"/>
              <w:rPr>
                <w:rFonts w:hAnsi="宋体"/>
                <w:bCs/>
              </w:rPr>
            </w:pPr>
            <w:r>
              <w:rPr>
                <w:rFonts w:hint="eastAsia" w:ascii="微软雅黑" w:hAnsi="微软雅黑" w:eastAsia="微软雅黑"/>
                <w:b/>
                <w:bCs/>
                <w:sz w:val="24"/>
              </w:rPr>
              <w:t>4.</w:t>
            </w:r>
            <w:r>
              <w:t xml:space="preserve"> </w:t>
            </w:r>
            <w:r>
              <w:rPr>
                <w:rFonts w:hint="eastAsia" w:ascii="微软雅黑" w:hAnsi="微软雅黑" w:eastAsia="微软雅黑"/>
                <w:b/>
                <w:bCs/>
                <w:sz w:val="24"/>
              </w:rPr>
              <w:t>联合体投标时，联合体各方均必须分别提供1-7项资格证明文件，否则作无效投标处理。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15" w:name="_13.3"/>
            <w:bookmarkEnd w:id="15"/>
            <w:r>
              <w:rPr>
                <w:rFonts w:hint="eastAsia" w:ascii="宋体" w:hAnsi="宋体"/>
              </w:rPr>
              <w:t>13.3</w:t>
            </w:r>
          </w:p>
        </w:tc>
        <w:tc>
          <w:tcPr>
            <w:tcW w:w="883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微软雅黑" w:hAnsi="微软雅黑" w:eastAsia="微软雅黑" w:cs="Courier New"/>
                <w:b/>
                <w:sz w:val="24"/>
              </w:rPr>
            </w:pPr>
            <w:r>
              <w:rPr>
                <w:rFonts w:hint="eastAsia" w:ascii="宋体" w:hAnsi="宋体" w:cs="Courier New"/>
                <w:b/>
                <w:szCs w:val="21"/>
              </w:rPr>
              <w:t>商务文件</w:t>
            </w:r>
            <w:r>
              <w:rPr>
                <w:rFonts w:hint="eastAsia" w:ascii="微软雅黑" w:hAnsi="微软雅黑" w:eastAsia="微软雅黑" w:cs="Courier New"/>
                <w:b/>
                <w:sz w:val="24"/>
              </w:rPr>
              <w:t>：</w:t>
            </w:r>
          </w:p>
          <w:p>
            <w:pPr>
              <w:snapToGrid w:val="0"/>
              <w:ind w:firstLine="361" w:firstLineChars="172"/>
              <w:jc w:val="left"/>
              <w:rPr>
                <w:rFonts w:ascii="宋体" w:hAnsi="宋体"/>
                <w:szCs w:val="21"/>
              </w:rPr>
            </w:pPr>
            <w:r>
              <w:rPr>
                <w:rFonts w:hint="eastAsia" w:ascii="宋体" w:hAnsi="宋体"/>
                <w:szCs w:val="21"/>
              </w:rPr>
              <w:t>1.供应商参加本项目无围标串标行为的承诺函（格式后附）；（必须提供，否则作无效投标处理）</w:t>
            </w:r>
          </w:p>
          <w:p>
            <w:pPr>
              <w:snapToGrid w:val="0"/>
              <w:ind w:firstLine="411" w:firstLineChars="196"/>
              <w:jc w:val="left"/>
              <w:rPr>
                <w:rFonts w:ascii="宋体" w:hAnsi="宋体"/>
              </w:rPr>
            </w:pPr>
            <w:r>
              <w:rPr>
                <w:rFonts w:hint="eastAsia" w:ascii="宋体" w:hAnsi="宋体"/>
                <w:szCs w:val="21"/>
              </w:rPr>
              <w:t>2.商务条款偏离表（格式后附）；（</w:t>
            </w:r>
            <w:r>
              <w:rPr>
                <w:rFonts w:hint="eastAsia" w:ascii="宋体" w:hAnsi="宋体"/>
                <w:b/>
                <w:szCs w:val="21"/>
              </w:rPr>
              <w:t>必须提供，否则作无效投标处理</w:t>
            </w:r>
            <w:r>
              <w:rPr>
                <w:rFonts w:hint="eastAsia" w:ascii="宋体" w:hAnsi="宋体"/>
                <w:szCs w:val="21"/>
              </w:rPr>
              <w:t>）</w:t>
            </w:r>
          </w:p>
          <w:p>
            <w:pPr>
              <w:snapToGrid w:val="0"/>
              <w:ind w:firstLine="411" w:firstLineChars="196"/>
              <w:jc w:val="left"/>
              <w:rPr>
                <w:rFonts w:ascii="宋体" w:hAnsi="宋体"/>
              </w:rPr>
            </w:pPr>
            <w:r>
              <w:rPr>
                <w:rFonts w:hint="eastAsia" w:ascii="宋体" w:hAnsi="宋体"/>
                <w:szCs w:val="21"/>
              </w:rPr>
              <w:t>3.法定代表人(负责人或自然人)身份证明及法定代表人(负责人或自然人)有效身份证正反面复印件（格式后附）；（</w:t>
            </w:r>
            <w:r>
              <w:rPr>
                <w:rFonts w:hint="eastAsia" w:ascii="宋体" w:hAnsi="宋体"/>
                <w:b/>
                <w:szCs w:val="21"/>
              </w:rPr>
              <w:t>必须提供，否则作无效投标处理</w:t>
            </w:r>
            <w:r>
              <w:rPr>
                <w:rFonts w:hint="eastAsia" w:ascii="宋体" w:hAnsi="宋体"/>
                <w:szCs w:val="21"/>
              </w:rPr>
              <w:t>）</w:t>
            </w:r>
          </w:p>
          <w:p>
            <w:pPr>
              <w:snapToGrid w:val="0"/>
              <w:ind w:firstLine="411" w:firstLineChars="196"/>
              <w:jc w:val="left"/>
              <w:rPr>
                <w:rFonts w:ascii="宋体" w:hAnsi="宋体"/>
                <w:szCs w:val="21"/>
              </w:rPr>
            </w:pPr>
            <w:r>
              <w:rPr>
                <w:rFonts w:hint="eastAsia" w:ascii="宋体" w:hAnsi="宋体"/>
                <w:szCs w:val="21"/>
              </w:rPr>
              <w:t>4.法定代表人(负责人或自然人)授权委托书及委托代理人有效身份证正反面复印件（格式后附）；（</w:t>
            </w:r>
            <w:r>
              <w:rPr>
                <w:rFonts w:hint="eastAsia" w:ascii="宋体" w:hAnsi="宋体"/>
                <w:b/>
                <w:szCs w:val="21"/>
              </w:rPr>
              <w:t>委托时必须提供，否则作无效投标处理</w:t>
            </w:r>
            <w:r>
              <w:rPr>
                <w:rFonts w:hint="eastAsia" w:ascii="宋体" w:hAnsi="宋体"/>
                <w:szCs w:val="21"/>
              </w:rPr>
              <w:t>）</w:t>
            </w:r>
          </w:p>
          <w:p>
            <w:pPr>
              <w:snapToGrid w:val="0"/>
              <w:ind w:firstLine="411" w:firstLineChars="196"/>
              <w:jc w:val="left"/>
              <w:rPr>
                <w:rFonts w:ascii="宋体" w:hAnsi="宋体"/>
                <w:szCs w:val="21"/>
              </w:rPr>
            </w:pPr>
            <w:r>
              <w:rPr>
                <w:rFonts w:hint="eastAsia" w:ascii="宋体" w:hAnsi="宋体"/>
                <w:szCs w:val="21"/>
              </w:rPr>
              <w:t>5.投标人情况介绍（格式自拟）；</w:t>
            </w:r>
          </w:p>
          <w:p>
            <w:pPr>
              <w:snapToGrid w:val="0"/>
              <w:ind w:firstLine="411" w:firstLineChars="196"/>
              <w:jc w:val="left"/>
              <w:rPr>
                <w:rFonts w:ascii="宋体" w:hAnsi="宋体"/>
                <w:szCs w:val="21"/>
              </w:rPr>
            </w:pPr>
            <w:r>
              <w:rPr>
                <w:rFonts w:hint="eastAsia" w:ascii="宋体" w:hAnsi="宋体"/>
                <w:szCs w:val="21"/>
              </w:rPr>
              <w:t>6.除招标文件规定必须提供以外，投标人认为需要提供的其他证明材料（格式自拟）。（投标人根据本招标文件第二章采购需求及第四章评标办法及评分标准提供有关证明材料）；</w:t>
            </w:r>
          </w:p>
          <w:p>
            <w:pPr>
              <w:snapToGrid w:val="0"/>
              <w:jc w:val="left"/>
              <w:rPr>
                <w:rFonts w:ascii="微软雅黑" w:hAnsi="微软雅黑" w:eastAsia="微软雅黑"/>
                <w:b/>
                <w:bCs/>
                <w:sz w:val="24"/>
              </w:rPr>
            </w:pPr>
            <w:r>
              <w:rPr>
                <w:rFonts w:hint="eastAsia" w:ascii="微软雅黑" w:hAnsi="微软雅黑" w:eastAsia="微软雅黑"/>
                <w:b/>
                <w:bCs/>
                <w:sz w:val="24"/>
              </w:rPr>
              <w:t>注： 1.法定代表人（负责人或自然人）授权委托书必须由法定代表人（负责人或自然人）及委托代理人签字或签章，并加盖投标人公章，否则作无效投标处理。</w:t>
            </w:r>
          </w:p>
          <w:p>
            <w:pPr>
              <w:snapToGrid w:val="0"/>
              <w:ind w:firstLine="480" w:firstLineChars="200"/>
              <w:jc w:val="left"/>
              <w:rPr>
                <w:rFonts w:ascii="宋体" w:hAnsi="宋体" w:cs="Courier New"/>
                <w:b/>
                <w:szCs w:val="21"/>
              </w:rPr>
            </w:pPr>
            <w:r>
              <w:rPr>
                <w:rFonts w:hint="eastAsia" w:ascii="微软雅黑" w:hAnsi="微软雅黑" w:eastAsia="微软雅黑"/>
                <w:b/>
                <w:bCs/>
                <w:sz w:val="24"/>
              </w:rPr>
              <w:t>2.以上材料属于复印件的，必须加盖投标人公章，否则</w:t>
            </w:r>
            <w:r>
              <w:rPr>
                <w:rFonts w:hint="eastAsia" w:ascii="微软雅黑" w:hAnsi="微软雅黑" w:eastAsia="微软雅黑" w:cs="Courier New"/>
                <w:b/>
                <w:sz w:val="24"/>
              </w:rPr>
              <w:t>作无效投标处理</w:t>
            </w:r>
            <w:r>
              <w:rPr>
                <w:rFonts w:hint="eastAsia" w:ascii="微软雅黑" w:hAnsi="微软雅黑" w:eastAsia="微软雅黑"/>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16" w:name="_13.4"/>
            <w:bookmarkEnd w:id="16"/>
            <w:r>
              <w:rPr>
                <w:rFonts w:hint="eastAsia" w:ascii="宋体" w:hAnsi="宋体"/>
              </w:rPr>
              <w:t>13.4</w:t>
            </w:r>
          </w:p>
        </w:tc>
        <w:tc>
          <w:tcPr>
            <w:tcW w:w="883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微软雅黑" w:hAnsi="微软雅黑" w:eastAsia="微软雅黑" w:cs="Courier New"/>
                <w:b/>
                <w:sz w:val="24"/>
              </w:rPr>
            </w:pPr>
            <w:r>
              <w:rPr>
                <w:rFonts w:hint="eastAsia" w:ascii="宋体" w:hAnsi="宋体" w:cs="Courier New"/>
                <w:b/>
                <w:szCs w:val="21"/>
              </w:rPr>
              <w:t>技术文件</w:t>
            </w:r>
            <w:r>
              <w:rPr>
                <w:rFonts w:hint="eastAsia" w:ascii="微软雅黑" w:hAnsi="微软雅黑" w:eastAsia="微软雅黑" w:cs="Courier New"/>
                <w:b/>
                <w:sz w:val="24"/>
              </w:rPr>
              <w:t>：</w:t>
            </w:r>
          </w:p>
          <w:p>
            <w:pPr>
              <w:snapToGrid w:val="0"/>
              <w:ind w:left="420"/>
              <w:jc w:val="left"/>
              <w:rPr>
                <w:rFonts w:ascii="宋体" w:hAnsi="宋体"/>
                <w:szCs w:val="21"/>
              </w:rPr>
            </w:pPr>
            <w:r>
              <w:rPr>
                <w:rFonts w:hint="eastAsia" w:ascii="宋体" w:hAnsi="宋体"/>
                <w:szCs w:val="21"/>
              </w:rPr>
              <w:t>1.技术偏离表（格式后附）；（</w:t>
            </w:r>
            <w:r>
              <w:rPr>
                <w:rFonts w:hint="eastAsia" w:ascii="宋体" w:hAnsi="宋体"/>
                <w:b/>
                <w:szCs w:val="21"/>
              </w:rPr>
              <w:t>必须提供，否则作无效投标处理</w:t>
            </w:r>
            <w:r>
              <w:rPr>
                <w:rFonts w:hint="eastAsia" w:ascii="宋体" w:hAnsi="宋体"/>
                <w:szCs w:val="21"/>
              </w:rPr>
              <w:t>）</w:t>
            </w:r>
          </w:p>
          <w:p>
            <w:pPr>
              <w:snapToGrid w:val="0"/>
              <w:ind w:left="420"/>
              <w:jc w:val="left"/>
              <w:rPr>
                <w:rFonts w:ascii="宋体" w:hAnsi="宋体"/>
                <w:szCs w:val="21"/>
              </w:rPr>
            </w:pPr>
            <w:r>
              <w:rPr>
                <w:rFonts w:hint="eastAsia" w:ascii="宋体" w:hAnsi="宋体"/>
                <w:szCs w:val="21"/>
              </w:rPr>
              <w:t>2.项目实施人员一览表；（</w:t>
            </w:r>
            <w:r>
              <w:rPr>
                <w:rFonts w:hint="eastAsia" w:ascii="宋体" w:hAnsi="宋体"/>
                <w:b/>
                <w:szCs w:val="21"/>
              </w:rPr>
              <w:t>必须提供，否则作无效投标处理</w:t>
            </w:r>
            <w:r>
              <w:rPr>
                <w:rFonts w:hint="eastAsia" w:ascii="宋体" w:hAnsi="宋体"/>
                <w:szCs w:val="21"/>
              </w:rPr>
              <w:t>）</w:t>
            </w:r>
          </w:p>
          <w:p>
            <w:pPr>
              <w:snapToGrid w:val="0"/>
              <w:ind w:left="420"/>
              <w:jc w:val="left"/>
              <w:rPr>
                <w:rFonts w:ascii="宋体" w:hAnsi="宋体"/>
                <w:szCs w:val="21"/>
              </w:rPr>
            </w:pPr>
            <w:r>
              <w:rPr>
                <w:rFonts w:hint="eastAsia" w:ascii="宋体" w:hAnsi="宋体"/>
                <w:szCs w:val="21"/>
              </w:rPr>
              <w:t>3.项目实施方案（格式自拟）；（</w:t>
            </w:r>
            <w:r>
              <w:rPr>
                <w:rFonts w:hint="eastAsia" w:ascii="宋体" w:hAnsi="宋体"/>
                <w:b/>
                <w:szCs w:val="21"/>
              </w:rPr>
              <w:t>必须提供，否则作无效投标处理</w:t>
            </w:r>
            <w:r>
              <w:rPr>
                <w:rFonts w:hint="eastAsia" w:ascii="宋体" w:hAnsi="宋体"/>
                <w:szCs w:val="21"/>
              </w:rPr>
              <w:t>）</w:t>
            </w:r>
          </w:p>
          <w:p>
            <w:pPr>
              <w:snapToGrid w:val="0"/>
              <w:ind w:left="420"/>
              <w:jc w:val="left"/>
              <w:rPr>
                <w:rFonts w:ascii="宋体" w:hAnsi="宋体"/>
                <w:szCs w:val="21"/>
              </w:rPr>
            </w:pPr>
            <w:r>
              <w:rPr>
                <w:rFonts w:hint="eastAsia" w:ascii="宋体" w:hAnsi="宋体"/>
                <w:szCs w:val="21"/>
              </w:rPr>
              <w:t>4.</w:t>
            </w:r>
            <w:r>
              <w:rPr>
                <w:rFonts w:hint="eastAsia"/>
              </w:rPr>
              <w:t xml:space="preserve"> </w:t>
            </w:r>
            <w:r>
              <w:rPr>
                <w:rFonts w:hint="eastAsia" w:ascii="宋体" w:hAnsi="宋体"/>
                <w:szCs w:val="21"/>
              </w:rPr>
              <w:t>质量保证及服务承诺方案；（</w:t>
            </w:r>
            <w:r>
              <w:rPr>
                <w:rFonts w:hint="eastAsia" w:ascii="宋体" w:hAnsi="宋体"/>
                <w:b/>
                <w:szCs w:val="21"/>
              </w:rPr>
              <w:t>必须提供，否则作无效投标处理</w:t>
            </w:r>
            <w:r>
              <w:rPr>
                <w:rFonts w:hint="eastAsia" w:ascii="宋体" w:hAnsi="宋体"/>
                <w:szCs w:val="21"/>
              </w:rPr>
              <w:t>）</w:t>
            </w:r>
          </w:p>
          <w:p>
            <w:pPr>
              <w:snapToGrid w:val="0"/>
              <w:ind w:left="420"/>
              <w:jc w:val="left"/>
              <w:rPr>
                <w:rFonts w:ascii="宋体" w:hAnsi="宋体"/>
                <w:szCs w:val="21"/>
              </w:rPr>
            </w:pPr>
            <w:r>
              <w:rPr>
                <w:rFonts w:hint="eastAsia" w:ascii="宋体" w:hAnsi="宋体"/>
                <w:szCs w:val="21"/>
              </w:rPr>
              <w:t>5.业绩（业绩汇总及证明）及信誉资料；（格式自拟）；</w:t>
            </w:r>
          </w:p>
          <w:p>
            <w:pPr>
              <w:snapToGrid w:val="0"/>
              <w:ind w:left="420"/>
              <w:jc w:val="left"/>
              <w:rPr>
                <w:rFonts w:ascii="宋体" w:hAnsi="宋体"/>
                <w:szCs w:val="21"/>
              </w:rPr>
            </w:pPr>
            <w:r>
              <w:rPr>
                <w:rFonts w:hint="eastAsia" w:ascii="宋体" w:hAnsi="宋体"/>
                <w:szCs w:val="21"/>
              </w:rPr>
              <w:t>6.投标人对本项目的合理化建议和改进措施；</w:t>
            </w:r>
          </w:p>
          <w:p>
            <w:pPr>
              <w:snapToGrid w:val="0"/>
              <w:ind w:left="420"/>
              <w:jc w:val="left"/>
              <w:rPr>
                <w:rFonts w:ascii="宋体" w:hAnsi="宋体"/>
                <w:bCs/>
              </w:rPr>
            </w:pPr>
            <w:r>
              <w:rPr>
                <w:rFonts w:hint="eastAsia" w:ascii="宋体" w:hAnsi="宋体"/>
                <w:szCs w:val="21"/>
              </w:rPr>
              <w:t>7.除招标文件规定必须提供以外，投标人需要说明的其他文件和说明（格式自拟）。</w:t>
            </w:r>
          </w:p>
          <w:p>
            <w:pPr>
              <w:snapToGrid w:val="0"/>
              <w:jc w:val="left"/>
              <w:rPr>
                <w:rFonts w:ascii="微软雅黑" w:hAnsi="微软雅黑" w:eastAsia="微软雅黑"/>
                <w:b/>
                <w:bCs/>
                <w:sz w:val="24"/>
              </w:rPr>
            </w:pPr>
            <w:r>
              <w:rPr>
                <w:rFonts w:hint="eastAsia" w:ascii="微软雅黑" w:hAnsi="微软雅黑" w:eastAsia="微软雅黑"/>
                <w:b/>
                <w:bCs/>
                <w:sz w:val="24"/>
              </w:rPr>
              <w:t>注： 以上材料属于复印件的，必须加盖投标人公章，否则</w:t>
            </w:r>
            <w:r>
              <w:rPr>
                <w:rFonts w:hint="eastAsia" w:ascii="微软雅黑" w:hAnsi="微软雅黑" w:eastAsia="微软雅黑" w:cs="Courier New"/>
                <w:b/>
                <w:sz w:val="24"/>
              </w:rPr>
              <w:t>作无效投标处理</w:t>
            </w:r>
            <w:r>
              <w:rPr>
                <w:rFonts w:hint="eastAsia" w:ascii="微软雅黑" w:hAnsi="微软雅黑" w:eastAsia="微软雅黑"/>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17" w:name="_13.5"/>
            <w:bookmarkEnd w:id="17"/>
            <w:r>
              <w:rPr>
                <w:rFonts w:hint="eastAsia" w:ascii="宋体" w:hAnsi="宋体"/>
              </w:rPr>
              <w:t>13.5</w:t>
            </w:r>
          </w:p>
        </w:tc>
        <w:tc>
          <w:tcPr>
            <w:tcW w:w="883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Courier New"/>
                <w:szCs w:val="21"/>
              </w:rPr>
            </w:pPr>
            <w:r>
              <w:rPr>
                <w:rFonts w:hint="eastAsia" w:ascii="宋体" w:hAnsi="宋体" w:cs="Courier New"/>
                <w:szCs w:val="21"/>
              </w:rPr>
              <w:t>投标文件电子版。投标人在递交投标文件时，同时递交投标文件电子版。</w:t>
            </w:r>
          </w:p>
          <w:p>
            <w:pPr>
              <w:snapToGrid w:val="0"/>
              <w:ind w:left="459"/>
              <w:jc w:val="left"/>
              <w:rPr>
                <w:rFonts w:ascii="宋体" w:hAnsi="宋体" w:cs="Courier New"/>
                <w:szCs w:val="21"/>
              </w:rPr>
            </w:pPr>
            <w:r>
              <w:rPr>
                <w:rFonts w:hint="eastAsia" w:ascii="宋体" w:hAnsi="宋体" w:cs="Courier New"/>
                <w:szCs w:val="21"/>
              </w:rPr>
              <w:t>1.投标文件电子版内容：与纸质投标文件全部内容一致。</w:t>
            </w:r>
          </w:p>
          <w:p>
            <w:pPr>
              <w:snapToGrid w:val="0"/>
              <w:ind w:left="459"/>
              <w:jc w:val="left"/>
              <w:rPr>
                <w:rFonts w:ascii="宋体" w:hAnsi="宋体" w:cs="Courier New"/>
                <w:szCs w:val="21"/>
              </w:rPr>
            </w:pPr>
            <w:r>
              <w:rPr>
                <w:rFonts w:hint="eastAsia" w:ascii="宋体" w:hAnsi="宋体" w:cs="Courier New"/>
                <w:szCs w:val="21"/>
              </w:rPr>
              <w:t>2.投标文件电子版形式：可编辑的word文档格式1份。</w:t>
            </w:r>
          </w:p>
          <w:p>
            <w:pPr>
              <w:snapToGrid w:val="0"/>
              <w:ind w:left="459"/>
              <w:jc w:val="left"/>
              <w:rPr>
                <w:rFonts w:ascii="宋体" w:hAnsi="宋体" w:cs="Courier New"/>
                <w:szCs w:val="21"/>
              </w:rPr>
            </w:pPr>
            <w:r>
              <w:rPr>
                <w:rFonts w:hint="eastAsia" w:ascii="宋体" w:hAnsi="宋体" w:cs="Courier New"/>
                <w:szCs w:val="21"/>
              </w:rPr>
              <w:t>3.投标文件电子版密封方式：投标文件电子版光盘（或U盘）与纸质版投标文件一并装入投标文件袋中。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18" w:name="_16.2"/>
            <w:bookmarkEnd w:id="18"/>
            <w:r>
              <w:rPr>
                <w:rFonts w:hint="eastAsia" w:ascii="宋体" w:hAnsi="宋体"/>
              </w:rPr>
              <w:t>16</w:t>
            </w:r>
            <w:bookmarkStart w:id="19" w:name="_Hlt19194066"/>
            <w:bookmarkStart w:id="20" w:name="_Hlt19194067"/>
            <w:bookmarkStart w:id="21" w:name="_Hlt19693758"/>
            <w:bookmarkStart w:id="22" w:name="_Hlt19693759"/>
            <w:r>
              <w:rPr>
                <w:rFonts w:hint="eastAsia" w:ascii="宋体" w:hAnsi="宋体"/>
              </w:rPr>
              <w:t>.</w:t>
            </w:r>
            <w:bookmarkEnd w:id="19"/>
            <w:bookmarkEnd w:id="20"/>
            <w:bookmarkEnd w:id="21"/>
            <w:bookmarkEnd w:id="22"/>
            <w:r>
              <w:rPr>
                <w:rFonts w:hint="eastAsia" w:ascii="宋体" w:hAnsi="宋体"/>
              </w:rPr>
              <w:t>2</w:t>
            </w:r>
          </w:p>
        </w:tc>
        <w:tc>
          <w:tcPr>
            <w:tcW w:w="88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b/>
              </w:rPr>
            </w:pPr>
            <w:r>
              <w:rPr>
                <w:rFonts w:hint="eastAsia" w:ascii="宋体" w:hAnsi="宋体"/>
              </w:rPr>
              <w:t>本项目以固定价格报价。中标价格是履行合同的最终价格，包括了实施和完成服务所需的劳务费、技术服务费、交通、通讯、办公场地、管理费、税费和利润等费用和政策性文件规定及合同包含的所有风险、责任等各项应有的费用。除非上述费率在合同中另有说明。合同期内，费率不再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23" w:name="_17.1"/>
            <w:bookmarkEnd w:id="23"/>
            <w:r>
              <w:rPr>
                <w:rFonts w:hint="eastAsia" w:ascii="宋体" w:hAnsi="宋体"/>
              </w:rPr>
              <w:t>17.1</w:t>
            </w:r>
          </w:p>
        </w:tc>
        <w:tc>
          <w:tcPr>
            <w:tcW w:w="88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投标有效期：120日。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24" w:name="_18"/>
            <w:bookmarkEnd w:id="24"/>
            <w:r>
              <w:rPr>
                <w:rFonts w:hint="eastAsia" w:ascii="宋体" w:hAnsi="宋体"/>
              </w:rPr>
              <w:t>18</w:t>
            </w:r>
          </w:p>
        </w:tc>
        <w:tc>
          <w:tcPr>
            <w:tcW w:w="88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rPr>
            </w:pPr>
            <w:r>
              <w:rPr>
                <w:rFonts w:hint="eastAsia" w:ascii="宋体" w:hAnsi="宋体"/>
              </w:rPr>
              <w:t>投标保证金的交纳方式：银行转账、支票、汇票、本票或者银行、保险机构出具的保函，禁止采用现钞方式。</w:t>
            </w:r>
          </w:p>
          <w:p>
            <w:pPr>
              <w:widowControl/>
              <w:shd w:val="clear" w:color="auto" w:fill="FFFFFF"/>
              <w:spacing w:line="300" w:lineRule="exact"/>
              <w:jc w:val="left"/>
              <w:rPr>
                <w:rFonts w:ascii="微软雅黑" w:hAnsi="微软雅黑" w:eastAsia="微软雅黑"/>
                <w:b/>
                <w:sz w:val="24"/>
              </w:rPr>
            </w:pPr>
            <w:r>
              <w:rPr>
                <w:rFonts w:hint="eastAsia" w:ascii="宋体" w:hAnsi="宋体"/>
              </w:rPr>
              <w:t>投标保证金的金额:本项目不收取投标保证金。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25" w:name="_19.2"/>
            <w:bookmarkEnd w:id="25"/>
            <w:r>
              <w:rPr>
                <w:rFonts w:hint="eastAsia" w:ascii="宋体" w:hAnsi="宋体"/>
              </w:rPr>
              <w:t>19.2</w:t>
            </w:r>
          </w:p>
        </w:tc>
        <w:tc>
          <w:tcPr>
            <w:tcW w:w="883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szCs w:val="21"/>
              </w:rPr>
            </w:pPr>
            <w:r>
              <w:rPr>
                <w:rFonts w:hint="eastAsia" w:ascii="宋体" w:hAnsi="宋体"/>
                <w:szCs w:val="21"/>
              </w:rPr>
              <w:t>投标文件正副本份数：</w:t>
            </w:r>
            <w:r>
              <w:rPr>
                <w:rFonts w:hint="eastAsia" w:ascii="宋体" w:hAnsi="宋体" w:cs="Arial"/>
                <w:szCs w:val="21"/>
              </w:rPr>
              <w:t>报价文件</w:t>
            </w:r>
            <w:r>
              <w:rPr>
                <w:rFonts w:hint="eastAsia" w:ascii="宋体" w:hAnsi="宋体"/>
                <w:szCs w:val="21"/>
              </w:rPr>
              <w:t>正本</w:t>
            </w:r>
            <w:r>
              <w:rPr>
                <w:rFonts w:hint="eastAsia" w:ascii="宋体" w:hAnsi="宋体" w:cs="Arial"/>
                <w:szCs w:val="21"/>
                <w:u w:val="single"/>
              </w:rPr>
              <w:t>一</w:t>
            </w:r>
            <w:r>
              <w:rPr>
                <w:rFonts w:hint="eastAsia" w:ascii="宋体" w:hAnsi="宋体"/>
                <w:szCs w:val="21"/>
              </w:rPr>
              <w:t>份、副本</w:t>
            </w:r>
            <w:r>
              <w:rPr>
                <w:rFonts w:hint="eastAsia" w:ascii="宋体" w:hAnsi="宋体" w:cs="Arial"/>
                <w:szCs w:val="21"/>
                <w:u w:val="single"/>
              </w:rPr>
              <w:t xml:space="preserve"> 五 </w:t>
            </w:r>
            <w:r>
              <w:rPr>
                <w:rFonts w:hint="eastAsia" w:ascii="宋体" w:hAnsi="宋体"/>
                <w:szCs w:val="21"/>
              </w:rPr>
              <w:t>份；</w:t>
            </w:r>
          </w:p>
          <w:p>
            <w:pPr>
              <w:autoSpaceDE w:val="0"/>
              <w:autoSpaceDN w:val="0"/>
              <w:snapToGrid w:val="0"/>
              <w:ind w:firstLine="1470" w:firstLineChars="700"/>
              <w:textAlignment w:val="bottom"/>
              <w:rPr>
                <w:rFonts w:ascii="宋体" w:hAnsi="宋体"/>
                <w:szCs w:val="21"/>
              </w:rPr>
            </w:pPr>
            <w:r>
              <w:rPr>
                <w:rFonts w:hint="eastAsia" w:ascii="宋体" w:hAnsi="宋体"/>
                <w:szCs w:val="21"/>
              </w:rPr>
              <w:t xml:space="preserve">      资格证明文件正本</w:t>
            </w:r>
            <w:r>
              <w:rPr>
                <w:rFonts w:hint="eastAsia" w:ascii="宋体" w:hAnsi="宋体" w:cs="Arial"/>
                <w:szCs w:val="21"/>
                <w:u w:val="single"/>
              </w:rPr>
              <w:t>一</w:t>
            </w:r>
            <w:r>
              <w:rPr>
                <w:rFonts w:hint="eastAsia" w:ascii="宋体" w:hAnsi="宋体"/>
                <w:szCs w:val="21"/>
              </w:rPr>
              <w:t>份、副本</w:t>
            </w:r>
            <w:r>
              <w:rPr>
                <w:rFonts w:hint="eastAsia" w:ascii="宋体" w:hAnsi="宋体" w:cs="Arial"/>
                <w:szCs w:val="21"/>
                <w:u w:val="single"/>
              </w:rPr>
              <w:t xml:space="preserve"> 五 </w:t>
            </w:r>
            <w:r>
              <w:rPr>
                <w:rFonts w:hint="eastAsia" w:ascii="宋体" w:hAnsi="宋体"/>
                <w:szCs w:val="21"/>
              </w:rPr>
              <w:t>份；</w:t>
            </w:r>
          </w:p>
          <w:p>
            <w:pPr>
              <w:autoSpaceDE w:val="0"/>
              <w:autoSpaceDN w:val="0"/>
              <w:snapToGrid w:val="0"/>
              <w:ind w:firstLine="1470" w:firstLineChars="700"/>
              <w:textAlignment w:val="bottom"/>
              <w:rPr>
                <w:rFonts w:ascii="宋体" w:hAnsi="宋体"/>
                <w:szCs w:val="21"/>
              </w:rPr>
            </w:pPr>
            <w:r>
              <w:rPr>
                <w:rFonts w:hint="eastAsia" w:ascii="宋体" w:hAnsi="宋体"/>
                <w:szCs w:val="21"/>
              </w:rPr>
              <w:t xml:space="preserve">      商务文件和技术文件合并装订成册，正本</w:t>
            </w:r>
            <w:r>
              <w:rPr>
                <w:rFonts w:hint="eastAsia" w:ascii="宋体" w:hAnsi="宋体"/>
                <w:szCs w:val="21"/>
                <w:u w:val="single"/>
              </w:rPr>
              <w:t>一</w:t>
            </w:r>
            <w:r>
              <w:rPr>
                <w:rFonts w:hint="eastAsia" w:ascii="宋体" w:hAnsi="宋体"/>
                <w:szCs w:val="21"/>
              </w:rPr>
              <w:t>份、副本</w:t>
            </w:r>
            <w:r>
              <w:rPr>
                <w:rFonts w:hint="eastAsia" w:ascii="宋体" w:hAnsi="宋体" w:cs="Arial"/>
                <w:szCs w:val="21"/>
                <w:u w:val="single"/>
              </w:rPr>
              <w:t xml:space="preserve"> 五 </w:t>
            </w:r>
            <w:r>
              <w:rPr>
                <w:rFonts w:hint="eastAsia" w:ascii="宋体" w:hAnsi="宋体"/>
                <w:szCs w:val="21"/>
              </w:rPr>
              <w:t>份</w:t>
            </w:r>
            <w:r>
              <w:rPr>
                <w:rFonts w:hint="eastAsia" w:ascii="宋体" w:hAnsi="宋体" w:cs="Arial"/>
                <w:szCs w:val="21"/>
              </w:rPr>
              <w:t>；</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7" w:hRule="atLeast"/>
        </w:trPr>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26" w:name="_21.1"/>
            <w:bookmarkEnd w:id="26"/>
            <w:r>
              <w:rPr>
                <w:rFonts w:hint="eastAsia" w:ascii="宋体" w:hAnsi="宋体"/>
              </w:rPr>
              <w:t>21.1</w:t>
            </w:r>
          </w:p>
        </w:tc>
        <w:tc>
          <w:tcPr>
            <w:tcW w:w="88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u w:val="single"/>
              </w:rPr>
            </w:pPr>
            <w:r>
              <w:rPr>
                <w:rFonts w:hint="eastAsia" w:ascii="宋体" w:hAnsi="宋体"/>
                <w:szCs w:val="21"/>
              </w:rPr>
              <w:t>1.投标截止时间：</w:t>
            </w:r>
            <w:r>
              <w:rPr>
                <w:rFonts w:hint="eastAsia" w:ascii="宋体" w:hAnsi="宋体" w:cs="Arial"/>
                <w:szCs w:val="21"/>
              </w:rPr>
              <w:t xml:space="preserve">2020年 </w:t>
            </w:r>
            <w:r>
              <w:rPr>
                <w:rFonts w:hint="eastAsia" w:ascii="宋体" w:hAnsi="宋体" w:cs="Arial"/>
                <w:szCs w:val="21"/>
                <w:lang w:val="en-US" w:eastAsia="zh-CN"/>
              </w:rPr>
              <w:t>8</w:t>
            </w:r>
            <w:r>
              <w:rPr>
                <w:rFonts w:hint="eastAsia" w:ascii="宋体" w:hAnsi="宋体" w:cs="Arial"/>
                <w:szCs w:val="21"/>
              </w:rPr>
              <w:t>月</w:t>
            </w:r>
            <w:r>
              <w:rPr>
                <w:rFonts w:hint="eastAsia" w:ascii="宋体" w:hAnsi="宋体" w:cs="Arial"/>
                <w:szCs w:val="21"/>
                <w:lang w:val="en-US" w:eastAsia="zh-CN"/>
              </w:rPr>
              <w:t>31</w:t>
            </w:r>
            <w:r>
              <w:rPr>
                <w:rFonts w:hint="eastAsia" w:ascii="宋体" w:hAnsi="宋体" w:cs="Arial"/>
                <w:szCs w:val="21"/>
              </w:rPr>
              <w:t xml:space="preserve"> 日 </w:t>
            </w:r>
            <w:r>
              <w:rPr>
                <w:rFonts w:hint="eastAsia" w:ascii="宋体" w:hAnsi="宋体" w:cs="Arial"/>
                <w:szCs w:val="21"/>
                <w:lang w:val="en-US" w:eastAsia="zh-CN"/>
              </w:rPr>
              <w:t>10</w:t>
            </w:r>
            <w:r>
              <w:rPr>
                <w:rFonts w:hint="eastAsia" w:ascii="宋体" w:hAnsi="宋体" w:cs="Arial"/>
                <w:szCs w:val="21"/>
              </w:rPr>
              <w:t>时</w:t>
            </w:r>
            <w:r>
              <w:rPr>
                <w:rFonts w:hint="eastAsia" w:ascii="宋体" w:hAnsi="宋体" w:cs="Arial"/>
                <w:szCs w:val="21"/>
                <w:lang w:val="en-US" w:eastAsia="zh-CN"/>
              </w:rPr>
              <w:t>00</w:t>
            </w:r>
            <w:r>
              <w:rPr>
                <w:rFonts w:hint="eastAsia" w:ascii="宋体" w:hAnsi="宋体" w:cs="Arial"/>
                <w:szCs w:val="21"/>
              </w:rPr>
              <w:t xml:space="preserve"> 分</w:t>
            </w:r>
          </w:p>
          <w:p>
            <w:pPr>
              <w:snapToGrid w:val="0"/>
              <w:rPr>
                <w:rFonts w:ascii="宋体" w:hAnsi="宋体" w:cs="Arial"/>
                <w:szCs w:val="21"/>
              </w:rPr>
            </w:pPr>
            <w:r>
              <w:rPr>
                <w:rFonts w:hint="eastAsia" w:ascii="宋体" w:hAnsi="宋体"/>
                <w:szCs w:val="21"/>
              </w:rPr>
              <w:t>2.投标文件提交起止时间：</w:t>
            </w:r>
            <w:r>
              <w:rPr>
                <w:rFonts w:hint="eastAsia" w:ascii="宋体" w:hAnsi="宋体" w:cs="Arial"/>
                <w:szCs w:val="21"/>
              </w:rPr>
              <w:t xml:space="preserve">2020年 </w:t>
            </w:r>
            <w:r>
              <w:rPr>
                <w:rFonts w:hint="eastAsia" w:ascii="宋体" w:hAnsi="宋体" w:cs="Arial"/>
                <w:szCs w:val="21"/>
                <w:lang w:val="en-US" w:eastAsia="zh-CN"/>
              </w:rPr>
              <w:t>8</w:t>
            </w:r>
            <w:r>
              <w:rPr>
                <w:rFonts w:hint="eastAsia" w:ascii="宋体" w:hAnsi="宋体" w:cs="Arial"/>
                <w:szCs w:val="21"/>
              </w:rPr>
              <w:t xml:space="preserve"> 月  </w:t>
            </w:r>
            <w:r>
              <w:rPr>
                <w:rFonts w:hint="eastAsia" w:ascii="宋体" w:hAnsi="宋体" w:cs="Arial"/>
                <w:szCs w:val="21"/>
                <w:lang w:val="en-US" w:eastAsia="zh-CN"/>
              </w:rPr>
              <w:t>31</w:t>
            </w:r>
            <w:r>
              <w:rPr>
                <w:rFonts w:hint="eastAsia" w:ascii="宋体" w:hAnsi="宋体" w:cs="Arial"/>
                <w:szCs w:val="21"/>
              </w:rPr>
              <w:t xml:space="preserve"> 日 </w:t>
            </w:r>
            <w:r>
              <w:rPr>
                <w:rFonts w:hint="eastAsia" w:ascii="宋体" w:hAnsi="宋体" w:cs="Arial"/>
                <w:szCs w:val="21"/>
                <w:lang w:val="en-US" w:eastAsia="zh-CN"/>
              </w:rPr>
              <w:t>10</w:t>
            </w:r>
            <w:r>
              <w:rPr>
                <w:rFonts w:hint="eastAsia" w:ascii="宋体" w:hAnsi="宋体" w:cs="Arial"/>
                <w:szCs w:val="21"/>
              </w:rPr>
              <w:t xml:space="preserve"> 时 </w:t>
            </w:r>
            <w:r>
              <w:rPr>
                <w:rFonts w:hint="eastAsia" w:ascii="宋体" w:hAnsi="宋体" w:cs="Arial"/>
                <w:szCs w:val="21"/>
                <w:lang w:val="en-US" w:eastAsia="zh-CN"/>
              </w:rPr>
              <w:t>00</w:t>
            </w:r>
            <w:r>
              <w:rPr>
                <w:rFonts w:hint="eastAsia" w:ascii="宋体" w:hAnsi="宋体" w:cs="Arial"/>
                <w:szCs w:val="21"/>
              </w:rPr>
              <w:t xml:space="preserve"> 分</w:t>
            </w:r>
          </w:p>
          <w:p>
            <w:pPr>
              <w:snapToGrid w:val="0"/>
              <w:rPr>
                <w:rFonts w:ascii="宋体" w:hAnsi="宋体" w:cs="宋体"/>
                <w:kern w:val="0"/>
                <w:szCs w:val="21"/>
              </w:rPr>
            </w:pPr>
            <w:r>
              <w:rPr>
                <w:rFonts w:hint="eastAsia" w:ascii="宋体" w:hAnsi="宋体"/>
                <w:szCs w:val="21"/>
              </w:rPr>
              <w:t>3.投标地点：</w:t>
            </w:r>
            <w:r>
              <w:rPr>
                <w:rFonts w:hint="eastAsia" w:ascii="宋体" w:hAnsi="宋体" w:cs="宋体"/>
                <w:kern w:val="0"/>
                <w:szCs w:val="21"/>
              </w:rPr>
              <w:t>博白县公共资源交易中心开标室(博白县博白镇锦绣东路，博白县政务服务中心六楼)</w:t>
            </w:r>
          </w:p>
          <w:p>
            <w:pPr>
              <w:snapToGrid w:val="0"/>
              <w:rPr>
                <w:rFonts w:ascii="宋体" w:hAnsi="宋体"/>
                <w:szCs w:val="21"/>
              </w:rPr>
            </w:pPr>
            <w:r>
              <w:rPr>
                <w:rFonts w:hint="eastAsia" w:ascii="宋体" w:hAnsi="宋体"/>
                <w:szCs w:val="21"/>
              </w:rPr>
              <w:t>4.提交投标文件时须提供的材料：</w:t>
            </w:r>
          </w:p>
          <w:p>
            <w:pPr>
              <w:snapToGrid w:val="0"/>
              <w:rPr>
                <w:rFonts w:ascii="宋体" w:hAnsi="宋体"/>
                <w:szCs w:val="21"/>
              </w:rPr>
            </w:pPr>
            <w:r>
              <w:rPr>
                <w:rFonts w:hint="eastAsia" w:ascii="宋体" w:hAnsi="宋体"/>
                <w:szCs w:val="21"/>
              </w:rPr>
              <w:t>投标人法定代表人（负责人或自然人）提交投标文件的，须提供身份证原件与法定代表人（负责人或自然人）身份证明原件（格式后附）；投标人委托代理人提交投标文件的，须提供身份证原件和法定代表人（负责人或自然人）授权委托书原件。</w:t>
            </w:r>
            <w:r>
              <w:rPr>
                <w:rFonts w:hint="eastAsia" w:ascii="微软雅黑" w:hAnsi="微软雅黑" w:eastAsia="微软雅黑"/>
                <w:b/>
                <w:sz w:val="24"/>
              </w:rPr>
              <w:t>对于材料不全或无效的，采购代理机构应当拒收。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27" w:name="_23"/>
            <w:bookmarkEnd w:id="27"/>
            <w:r>
              <w:rPr>
                <w:rFonts w:hint="eastAsia" w:ascii="宋体" w:hAnsi="宋体"/>
              </w:rPr>
              <w:t>23</w:t>
            </w:r>
          </w:p>
        </w:tc>
        <w:tc>
          <w:tcPr>
            <w:tcW w:w="88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1.开标时间：</w:t>
            </w:r>
            <w:r>
              <w:rPr>
                <w:rFonts w:hint="eastAsia" w:ascii="宋体" w:hAnsi="宋体"/>
              </w:rPr>
              <w:t>同投标文件递交截止时间</w:t>
            </w:r>
          </w:p>
          <w:p>
            <w:pPr>
              <w:snapToGrid w:val="0"/>
              <w:rPr>
                <w:rFonts w:ascii="宋体" w:hAnsi="宋体"/>
                <w:szCs w:val="21"/>
              </w:rPr>
            </w:pPr>
            <w:r>
              <w:rPr>
                <w:rFonts w:hint="eastAsia" w:ascii="宋体" w:hAnsi="宋体"/>
                <w:szCs w:val="21"/>
              </w:rPr>
              <w:t>2.开标地点：</w:t>
            </w:r>
            <w:r>
              <w:rPr>
                <w:rFonts w:hint="eastAsia" w:ascii="宋体" w:hAnsi="宋体" w:cs="Arial"/>
                <w:szCs w:val="21"/>
              </w:rPr>
              <w:t>同</w:t>
            </w:r>
            <w:r>
              <w:rPr>
                <w:rFonts w:hint="eastAsia" w:ascii="宋体" w:hAnsi="宋体"/>
                <w:szCs w:val="21"/>
              </w:rPr>
              <w:t>投标地点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28" w:name="_25.3"/>
            <w:bookmarkEnd w:id="28"/>
            <w:r>
              <w:rPr>
                <w:rFonts w:hint="eastAsia" w:ascii="宋体" w:hAnsi="宋体"/>
              </w:rPr>
              <w:t>25.3</w:t>
            </w:r>
          </w:p>
        </w:tc>
        <w:tc>
          <w:tcPr>
            <w:tcW w:w="88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rPr>
            </w:pPr>
            <w:r>
              <w:rPr>
                <w:rFonts w:hint="eastAsia" w:ascii="宋体" w:hAnsi="宋体"/>
              </w:rPr>
              <w:t>采购人或采购代理机构对投标人进行信用查询：</w:t>
            </w:r>
          </w:p>
          <w:p>
            <w:pPr>
              <w:snapToGrid w:val="0"/>
              <w:rPr>
                <w:rFonts w:ascii="宋体" w:hAnsi="宋体"/>
              </w:rPr>
            </w:pPr>
            <w:r>
              <w:rPr>
                <w:rFonts w:hint="eastAsia" w:ascii="宋体" w:hAnsi="宋体"/>
              </w:rPr>
              <w:t>查询渠道：“信用中国”网站(www.creditchina.gov.cn) 、中国政府采购网(www.ccgp.gov.cn)</w:t>
            </w:r>
          </w:p>
          <w:p>
            <w:pPr>
              <w:snapToGrid w:val="0"/>
              <w:rPr>
                <w:rFonts w:ascii="宋体" w:hAnsi="宋体"/>
              </w:rPr>
            </w:pPr>
            <w:r>
              <w:rPr>
                <w:rFonts w:hint="eastAsia" w:ascii="宋体" w:hAnsi="宋体"/>
              </w:rPr>
              <w:t>信用查询时间：资格审查时。</w:t>
            </w:r>
          </w:p>
          <w:p>
            <w:pPr>
              <w:snapToGrid w:val="0"/>
              <w:rPr>
                <w:rFonts w:ascii="宋体" w:hAnsi="宋体"/>
              </w:rPr>
            </w:pPr>
            <w:r>
              <w:rPr>
                <w:rFonts w:hint="eastAsia" w:ascii="宋体" w:hAnsi="宋体"/>
              </w:rPr>
              <w:t>查询记录和证据留存方式：在查询网站中直接打印查询记录，打印材料作为评审资料保存。</w:t>
            </w:r>
          </w:p>
          <w:p>
            <w:pPr>
              <w:snapToGrid w:val="0"/>
              <w:rPr>
                <w:rFonts w:ascii="宋体" w:hAnsi="宋体"/>
                <w:b/>
                <w:sz w:val="24"/>
              </w:rPr>
            </w:pPr>
            <w:r>
              <w:rPr>
                <w:rFonts w:hint="eastAsia" w:ascii="宋体" w:hAnsi="宋体"/>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29" w:name="_26"/>
            <w:bookmarkEnd w:id="29"/>
            <w:r>
              <w:rPr>
                <w:rFonts w:hint="eastAsia" w:ascii="宋体" w:hAnsi="宋体"/>
              </w:rPr>
              <w:t>26</w:t>
            </w:r>
          </w:p>
        </w:tc>
        <w:tc>
          <w:tcPr>
            <w:tcW w:w="883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szCs w:val="21"/>
              </w:rPr>
            </w:pPr>
            <w:r>
              <w:rPr>
                <w:rFonts w:hint="eastAsia" w:ascii="宋体" w:hAnsi="宋体"/>
              </w:rPr>
              <w:t>评标委员会的人数：</w:t>
            </w:r>
            <w:r>
              <w:rPr>
                <w:rFonts w:hint="eastAsia" w:ascii="宋体" w:hAnsi="宋体"/>
                <w:u w:val="single"/>
              </w:rPr>
              <w:t xml:space="preserve"> 5 </w:t>
            </w:r>
            <w:r>
              <w:rPr>
                <w:rFonts w:hint="eastAsia" w:ascii="宋体" w:hAnsi="宋体"/>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30" w:name="_28.3"/>
            <w:bookmarkEnd w:id="30"/>
            <w:r>
              <w:rPr>
                <w:rFonts w:hint="eastAsia" w:ascii="宋体" w:hAnsi="宋体"/>
              </w:rPr>
              <w:t>28.3</w:t>
            </w:r>
          </w:p>
        </w:tc>
        <w:tc>
          <w:tcPr>
            <w:tcW w:w="883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rPr>
            </w:pPr>
            <w:r>
              <w:rPr>
                <w:rFonts w:hint="eastAsia" w:ascii="宋体" w:hAnsi="宋体"/>
              </w:rPr>
              <w:t>评标方法：</w:t>
            </w:r>
          </w:p>
          <w:p>
            <w:pPr>
              <w:autoSpaceDE w:val="0"/>
              <w:autoSpaceDN w:val="0"/>
              <w:snapToGrid w:val="0"/>
              <w:textAlignment w:val="bottom"/>
              <w:rPr>
                <w:rFonts w:ascii="宋体" w:hAnsi="宋体"/>
              </w:rPr>
            </w:pPr>
            <w:r>
              <w:rPr>
                <w:rFonts w:hint="eastAsia" w:ascii="宋体" w:hAnsi="宋体"/>
              </w:rPr>
              <w:t>√综合评分法</w:t>
            </w:r>
          </w:p>
          <w:p>
            <w:pPr>
              <w:autoSpaceDE w:val="0"/>
              <w:autoSpaceDN w:val="0"/>
              <w:snapToGrid w:val="0"/>
              <w:textAlignment w:val="bottom"/>
              <w:rPr>
                <w:rFonts w:ascii="宋体" w:hAnsi="宋体"/>
              </w:rPr>
            </w:pPr>
            <w:r>
              <w:rPr>
                <w:rFonts w:hint="eastAsia" w:ascii="宋体" w:hAnsi="宋体"/>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31" w:name="_29.2.2（2）"/>
            <w:bookmarkEnd w:id="31"/>
            <w:r>
              <w:rPr>
                <w:rFonts w:hint="eastAsia" w:ascii="宋体" w:hAnsi="宋体"/>
              </w:rPr>
              <w:t>29.2.2</w:t>
            </w:r>
          </w:p>
        </w:tc>
        <w:tc>
          <w:tcPr>
            <w:tcW w:w="88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rPr>
            </w:pPr>
            <w:r>
              <w:rPr>
                <w:rFonts w:hint="eastAsia" w:ascii="宋体" w:hAnsi="宋体"/>
              </w:rPr>
              <w:t>配套服务其他要求评审中允许负偏离的项目数为</w:t>
            </w:r>
            <w:r>
              <w:rPr>
                <w:rFonts w:hint="eastAsia" w:ascii="宋体" w:hAnsi="宋体"/>
                <w:u w:val="single"/>
              </w:rPr>
              <w:t xml:space="preserve"> 0</w:t>
            </w:r>
            <w:r>
              <w:rPr>
                <w:rFonts w:hint="eastAsia" w:ascii="宋体" w:hAnsi="宋体"/>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29.2.4</w:t>
            </w:r>
          </w:p>
        </w:tc>
        <w:tc>
          <w:tcPr>
            <w:tcW w:w="88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rPr>
            </w:pPr>
            <w:r>
              <w:rPr>
                <w:rFonts w:hint="eastAsia" w:ascii="宋体" w:hAnsi="宋体"/>
              </w:rPr>
              <w:t>技术评审中允许负偏离的项目数为</w:t>
            </w:r>
            <w:r>
              <w:rPr>
                <w:rFonts w:hint="eastAsia" w:ascii="宋体" w:hAnsi="宋体"/>
                <w:u w:val="single"/>
              </w:rPr>
              <w:t xml:space="preserve"> 0 </w:t>
            </w:r>
            <w:r>
              <w:rPr>
                <w:rFonts w:hint="eastAsia" w:ascii="宋体" w:hAnsi="宋体"/>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30</w:t>
            </w:r>
          </w:p>
        </w:tc>
        <w:tc>
          <w:tcPr>
            <w:tcW w:w="883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rPr>
            </w:pPr>
            <w:r>
              <w:rPr>
                <w:rFonts w:hint="eastAsia" w:ascii="宋体" w:hAnsi="宋体"/>
              </w:rPr>
              <w:t>采购人确定中标人时，出现中标候选人并列的情形，采购人按以下的方式确定中标人：</w:t>
            </w:r>
          </w:p>
          <w:p>
            <w:pPr>
              <w:autoSpaceDE w:val="0"/>
              <w:autoSpaceDN w:val="0"/>
              <w:snapToGrid w:val="0"/>
              <w:textAlignment w:val="bottom"/>
              <w:rPr>
                <w:rFonts w:ascii="宋体" w:hAnsi="宋体"/>
              </w:rPr>
            </w:pPr>
            <w:r>
              <w:rPr>
                <w:rFonts w:hint="eastAsia" w:ascii="宋体" w:hAnsi="宋体"/>
              </w:rPr>
              <w:t xml:space="preserve">□政策分得分高的优先、技术评分高的优先、商务评分高的优先、响应时间短优先的顺序； </w:t>
            </w:r>
          </w:p>
          <w:p>
            <w:pPr>
              <w:snapToGrid w:val="0"/>
              <w:rPr>
                <w:rFonts w:ascii="宋体" w:hAnsi="宋体"/>
                <w:b/>
                <w:szCs w:val="21"/>
              </w:rPr>
            </w:pPr>
            <w:r>
              <w:rPr>
                <w:rFonts w:hint="eastAsia" w:ascii="宋体" w:hAnsi="宋体"/>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32" w:name="_39.1"/>
            <w:bookmarkEnd w:id="32"/>
            <w:r>
              <w:rPr>
                <w:rFonts w:hint="eastAsia" w:ascii="宋体" w:hAnsi="宋体"/>
              </w:rPr>
              <w:t>35</w:t>
            </w:r>
          </w:p>
        </w:tc>
        <w:tc>
          <w:tcPr>
            <w:tcW w:w="883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40" w:lineRule="exact"/>
              <w:textAlignment w:val="bottom"/>
              <w:rPr>
                <w:rFonts w:ascii="宋体" w:hAnsi="宋体" w:cs="宋体"/>
                <w:kern w:val="0"/>
                <w:sz w:val="24"/>
              </w:rPr>
            </w:pPr>
            <w:r>
              <w:rPr>
                <w:rFonts w:hint="eastAsia" w:ascii="宋体" w:hAnsi="宋体"/>
              </w:rPr>
              <w:t>履约保证金金额：</w:t>
            </w:r>
            <w:r>
              <w:rPr>
                <w:rFonts w:hint="eastAsia" w:hAnsi="宋体"/>
                <w:bCs/>
                <w:kern w:val="0"/>
                <w:szCs w:val="21"/>
                <w:u w:val="single"/>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33" w:name="_40.1"/>
            <w:bookmarkEnd w:id="33"/>
            <w:r>
              <w:rPr>
                <w:rFonts w:hint="eastAsia" w:ascii="宋体" w:hAnsi="宋体"/>
              </w:rPr>
              <w:t>36.1</w:t>
            </w:r>
          </w:p>
        </w:tc>
        <w:tc>
          <w:tcPr>
            <w:tcW w:w="883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szCs w:val="21"/>
              </w:rPr>
            </w:pPr>
            <w:r>
              <w:rPr>
                <w:rFonts w:hint="eastAsia" w:ascii="宋体" w:hAnsi="宋体"/>
                <w:szCs w:val="21"/>
              </w:rPr>
              <w:t xml:space="preserve">签订合同携带的资格证件： </w:t>
            </w:r>
          </w:p>
          <w:p>
            <w:pPr>
              <w:autoSpaceDE w:val="0"/>
              <w:autoSpaceDN w:val="0"/>
              <w:snapToGrid w:val="0"/>
              <w:textAlignment w:val="bottom"/>
              <w:rPr>
                <w:rFonts w:ascii="宋体" w:hAnsi="宋体"/>
                <w:szCs w:val="21"/>
              </w:rPr>
            </w:pPr>
            <w:r>
              <w:rPr>
                <w:rFonts w:hint="eastAsia" w:ascii="宋体" w:hAnsi="宋体"/>
                <w:szCs w:val="21"/>
              </w:rPr>
              <w:t>委托代理人负责签订合同的，须携带授权委托书及委托代理人身份证原件等其它资格证件。</w:t>
            </w:r>
          </w:p>
          <w:p>
            <w:pPr>
              <w:autoSpaceDE w:val="0"/>
              <w:autoSpaceDN w:val="0"/>
              <w:snapToGrid w:val="0"/>
              <w:textAlignment w:val="bottom"/>
              <w:rPr>
                <w:rFonts w:ascii="宋体" w:hAnsi="宋体"/>
                <w:szCs w:val="21"/>
              </w:rPr>
            </w:pPr>
            <w:r>
              <w:rPr>
                <w:rFonts w:hint="eastAsia" w:ascii="宋体" w:hAnsi="宋体"/>
                <w:szCs w:val="21"/>
              </w:rPr>
              <w:t>法定代表人（负责人或自然人）负责签订合同的，须携带法定代表人（负责人或自然人）身份证明原件及身份证原件等其它资格证件。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34" w:name="_41"/>
            <w:bookmarkEnd w:id="34"/>
            <w:r>
              <w:rPr>
                <w:rFonts w:hint="eastAsia" w:ascii="宋体" w:hAnsi="宋体"/>
              </w:rPr>
              <w:t>37</w:t>
            </w:r>
          </w:p>
        </w:tc>
        <w:tc>
          <w:tcPr>
            <w:tcW w:w="8833" w:type="dxa"/>
            <w:tcBorders>
              <w:top w:val="single" w:color="auto" w:sz="4" w:space="0"/>
              <w:left w:val="single" w:color="auto" w:sz="4" w:space="0"/>
              <w:bottom w:val="single" w:color="auto" w:sz="4" w:space="0"/>
              <w:right w:val="single" w:color="auto" w:sz="4" w:space="0"/>
            </w:tcBorders>
            <w:vAlign w:val="center"/>
          </w:tcPr>
          <w:p>
            <w:pPr>
              <w:pStyle w:val="27"/>
              <w:snapToGrid w:val="0"/>
              <w:ind w:firstLine="420" w:firstLineChars="200"/>
              <w:rPr>
                <w:rFonts w:hAnsi="宋体"/>
                <w:kern w:val="2"/>
                <w:sz w:val="21"/>
              </w:rPr>
            </w:pPr>
            <w:r>
              <w:rPr>
                <w:rFonts w:hint="eastAsia" w:hAnsi="宋体"/>
                <w:kern w:val="2"/>
                <w:sz w:val="21"/>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35" w:name="_42"/>
            <w:bookmarkEnd w:id="35"/>
            <w:bookmarkStart w:id="36" w:name="_Hlt17709148"/>
            <w:r>
              <w:rPr>
                <w:rFonts w:hint="eastAsia" w:ascii="宋体" w:hAnsi="宋体"/>
              </w:rPr>
              <w:t>38</w:t>
            </w:r>
            <w:bookmarkEnd w:id="36"/>
          </w:p>
        </w:tc>
        <w:tc>
          <w:tcPr>
            <w:tcW w:w="8833" w:type="dxa"/>
            <w:tcBorders>
              <w:top w:val="single" w:color="auto" w:sz="4" w:space="0"/>
              <w:left w:val="single" w:color="auto" w:sz="4" w:space="0"/>
              <w:bottom w:val="single" w:color="auto" w:sz="4" w:space="0"/>
              <w:right w:val="single" w:color="auto" w:sz="4" w:space="0"/>
            </w:tcBorders>
            <w:vAlign w:val="center"/>
          </w:tcPr>
          <w:p>
            <w:pPr>
              <w:pStyle w:val="27"/>
              <w:snapToGrid w:val="0"/>
              <w:rPr>
                <w:rFonts w:hAnsi="宋体"/>
                <w:kern w:val="2"/>
                <w:sz w:val="21"/>
              </w:rPr>
            </w:pPr>
            <w:r>
              <w:rPr>
                <w:rFonts w:hint="eastAsia" w:hAnsi="宋体"/>
                <w:kern w:val="2"/>
                <w:sz w:val="21"/>
              </w:rPr>
              <w:t>代理服务费</w:t>
            </w:r>
          </w:p>
          <w:p>
            <w:pPr>
              <w:pStyle w:val="27"/>
              <w:snapToGrid w:val="0"/>
              <w:ind w:firstLine="420" w:firstLineChars="200"/>
              <w:rPr>
                <w:rFonts w:hAnsi="宋体"/>
                <w:kern w:val="2"/>
                <w:sz w:val="21"/>
              </w:rPr>
            </w:pPr>
            <w:r>
              <w:rPr>
                <w:rFonts w:hint="eastAsia" w:hAnsi="宋体"/>
                <w:kern w:val="2"/>
                <w:sz w:val="21"/>
              </w:rPr>
              <w:t>收费标准：本项目的代理服务费按成交金额的1.</w:t>
            </w:r>
            <w:r>
              <w:rPr>
                <w:rFonts w:hint="eastAsia" w:hAnsi="宋体"/>
                <w:kern w:val="2"/>
                <w:sz w:val="21"/>
                <w:lang w:val="en-US" w:eastAsia="zh-CN"/>
              </w:rPr>
              <w:t>5</w:t>
            </w:r>
            <w:bookmarkStart w:id="92" w:name="_GoBack"/>
            <w:bookmarkEnd w:id="92"/>
            <w:r>
              <w:rPr>
                <w:rFonts w:hint="eastAsia" w:hAnsi="宋体"/>
                <w:kern w:val="2"/>
                <w:sz w:val="21"/>
              </w:rPr>
              <w:t>%收取。</w:t>
            </w:r>
          </w:p>
          <w:p>
            <w:pPr>
              <w:pStyle w:val="27"/>
              <w:snapToGrid w:val="0"/>
              <w:ind w:firstLine="400" w:firstLineChars="200"/>
              <w:rPr>
                <w:rFonts w:hAnsi="宋体"/>
                <w:kern w:val="2"/>
                <w:sz w:val="21"/>
              </w:rPr>
            </w:pPr>
            <w:r>
              <w:rPr>
                <w:rFonts w:hint="eastAsia" w:hAnsi="宋体"/>
              </w:rPr>
              <w:t>√</w:t>
            </w:r>
            <w:r>
              <w:rPr>
                <w:rFonts w:hint="eastAsia" w:hAnsi="宋体"/>
                <w:kern w:val="2"/>
                <w:sz w:val="21"/>
              </w:rPr>
              <w:t>中标人支付：由中标人支付的，中标人应当在领取中标通知书前，向采购代理机构一次付清代理服务费。</w:t>
            </w:r>
          </w:p>
          <w:p>
            <w:pPr>
              <w:pStyle w:val="27"/>
              <w:snapToGrid w:val="0"/>
              <w:ind w:firstLine="420" w:firstLineChars="200"/>
              <w:rPr>
                <w:rFonts w:hAnsi="宋体"/>
              </w:rPr>
            </w:pPr>
            <w:r>
              <w:rPr>
                <w:rFonts w:hint="eastAsia" w:hAnsi="宋体"/>
                <w:kern w:val="2"/>
                <w:sz w:val="21"/>
              </w:rPr>
              <w:t>□采购人支付。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p>
        </w:tc>
        <w:tc>
          <w:tcPr>
            <w:tcW w:w="88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解释：本招标文件的解释权属于采购代理机构。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p>
        </w:tc>
        <w:tc>
          <w:tcPr>
            <w:tcW w:w="8833"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rPr>
                <w:rFonts w:ascii="宋体" w:hAnsi="宋体" w:cs="宋体"/>
                <w:szCs w:val="21"/>
              </w:rPr>
            </w:pPr>
            <w:r>
              <w:rPr>
                <w:rFonts w:hint="eastAsia" w:ascii="宋体" w:hAnsi="宋体" w:cs="宋体"/>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widowControl/>
              <w:ind w:firstLine="420" w:firstLineChars="200"/>
              <w:jc w:val="left"/>
              <w:rPr>
                <w:rFonts w:ascii="宋体" w:hAnsi="宋体" w:cs="宋体"/>
                <w:szCs w:val="21"/>
              </w:rPr>
            </w:pPr>
            <w:r>
              <w:rPr>
                <w:rFonts w:hint="eastAsia" w:ascii="宋体" w:hAnsi="宋体"/>
                <w:szCs w:val="21"/>
              </w:rPr>
              <w:t>2.</w:t>
            </w:r>
            <w:r>
              <w:rPr>
                <w:rFonts w:hint="eastAsia" w:ascii="宋体" w:hAnsi="宋体" w:cs="宋体"/>
                <w:szCs w:val="21"/>
              </w:rPr>
              <w:t>本招标文件中描述投标人的“签字”是指投标人的法定代表人（负责人或自然人）或委托代理人亲自在招标文件规定签字处亲笔写上个人名字的行为，私章、签字章、印鉴、影印等其它形式均不能代替亲笔签字。如招标文件规定签字处不得</w:t>
            </w:r>
            <w:r>
              <w:rPr>
                <w:rFonts w:hint="eastAsia" w:ascii="宋体" w:hAnsi="宋体"/>
              </w:rPr>
              <w:t>以法人私章代替。</w:t>
            </w:r>
          </w:p>
          <w:p>
            <w:pPr>
              <w:widowControl/>
              <w:ind w:firstLine="420" w:firstLineChars="200"/>
              <w:jc w:val="left"/>
              <w:rPr>
                <w:rFonts w:ascii="宋体" w:hAnsi="宋体"/>
                <w:szCs w:val="21"/>
              </w:rPr>
            </w:pPr>
            <w:r>
              <w:rPr>
                <w:rFonts w:hint="eastAsia" w:ascii="宋体" w:hAnsi="宋体" w:cs="宋体"/>
                <w:szCs w:val="21"/>
              </w:rPr>
              <w:t>3.自然人投标的，招标文件规定盖章的地方自然人可以</w:t>
            </w:r>
            <w:r>
              <w:rPr>
                <w:rFonts w:hint="eastAsia" w:ascii="宋体" w:hAnsi="宋体"/>
              </w:rPr>
              <w:t>加盖手指指印。</w:t>
            </w:r>
          </w:p>
        </w:tc>
      </w:tr>
      <w:bookmarkEnd w:id="5"/>
      <w:bookmarkEnd w:id="6"/>
    </w:tbl>
    <w:p>
      <w:pPr>
        <w:snapToGrid w:val="0"/>
        <w:rPr>
          <w:rFonts w:ascii="宋体" w:hAnsi="宋体"/>
          <w:sz w:val="24"/>
          <w:szCs w:val="20"/>
        </w:rPr>
      </w:pPr>
    </w:p>
    <w:p>
      <w:pPr>
        <w:snapToGrid w:val="0"/>
        <w:rPr>
          <w:rFonts w:ascii="宋体" w:hAnsi="宋体"/>
          <w:sz w:val="24"/>
          <w:szCs w:val="20"/>
        </w:rPr>
      </w:pPr>
      <w:r>
        <w:rPr>
          <w:rFonts w:ascii="宋体" w:hAnsi="宋体"/>
          <w:sz w:val="24"/>
          <w:szCs w:val="20"/>
        </w:rPr>
        <w:br w:type="page"/>
      </w:r>
    </w:p>
    <w:p>
      <w:pPr>
        <w:pStyle w:val="5"/>
        <w:spacing w:after="60" w:line="415" w:lineRule="auto"/>
        <w:jc w:val="center"/>
      </w:pPr>
      <w:r>
        <w:rPr>
          <w:rFonts w:hint="eastAsia"/>
        </w:rPr>
        <w:t>投标人须知正文</w:t>
      </w:r>
    </w:p>
    <w:p>
      <w:pPr>
        <w:jc w:val="center"/>
        <w:rPr>
          <w:b/>
        </w:rPr>
      </w:pPr>
      <w:r>
        <w:rPr>
          <w:rFonts w:hint="eastAsia"/>
          <w:b/>
        </w:rPr>
        <w:t>一、总则</w:t>
      </w:r>
    </w:p>
    <w:p>
      <w:pPr>
        <w:jc w:val="center"/>
        <w:rPr>
          <w:b/>
        </w:rPr>
      </w:pPr>
    </w:p>
    <w:p>
      <w:pPr>
        <w:pStyle w:val="7"/>
        <w:spacing w:before="0" w:after="0" w:line="240" w:lineRule="auto"/>
        <w:ind w:left="420" w:leftChars="200"/>
        <w:rPr>
          <w:rFonts w:ascii="宋体" w:hAnsi="宋体"/>
          <w:sz w:val="21"/>
          <w:szCs w:val="21"/>
        </w:rPr>
      </w:pPr>
      <w:r>
        <w:rPr>
          <w:rFonts w:hint="eastAsia" w:ascii="宋体" w:hAnsi="宋体"/>
          <w:sz w:val="21"/>
          <w:szCs w:val="21"/>
        </w:rPr>
        <w:t>1.适用范围</w:t>
      </w:r>
    </w:p>
    <w:p>
      <w:pPr>
        <w:snapToGrid w:val="0"/>
        <w:ind w:firstLine="420" w:firstLineChars="200"/>
        <w:jc w:val="left"/>
        <w:rPr>
          <w:rFonts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ind w:firstLine="420" w:firstLineChars="200"/>
        <w:jc w:val="left"/>
        <w:rPr>
          <w:rFonts w:ascii="宋体" w:hAnsi="宋体"/>
          <w:szCs w:val="21"/>
        </w:rPr>
      </w:pPr>
      <w:r>
        <w:rPr>
          <w:rFonts w:hint="eastAsia" w:ascii="宋体" w:hAnsi="宋体"/>
          <w:szCs w:val="21"/>
        </w:rPr>
        <w:t>1.2本招标文件适用于</w:t>
      </w:r>
      <w:r>
        <w:rPr>
          <w:rFonts w:hint="eastAsia" w:ascii="宋体" w:hAnsi="宋体" w:cs="Arial"/>
          <w:szCs w:val="21"/>
        </w:rPr>
        <w:t>本</w:t>
      </w:r>
      <w:r>
        <w:rPr>
          <w:rFonts w:hint="eastAsia" w:ascii="宋体" w:hAnsi="宋体"/>
          <w:szCs w:val="21"/>
        </w:rPr>
        <w:t>项目的招标、投标、开标、评标、定标、合同签订等行为（法律、法规另有规定的，从其规定）。</w:t>
      </w:r>
    </w:p>
    <w:p>
      <w:pPr>
        <w:pStyle w:val="7"/>
        <w:spacing w:before="0" w:after="0" w:line="240" w:lineRule="auto"/>
        <w:ind w:left="420" w:leftChars="200"/>
        <w:rPr>
          <w:rFonts w:ascii="宋体" w:hAnsi="宋体"/>
          <w:sz w:val="21"/>
          <w:szCs w:val="21"/>
        </w:rPr>
      </w:pPr>
      <w:r>
        <w:rPr>
          <w:rFonts w:hint="eastAsia" w:ascii="宋体" w:hAnsi="宋体"/>
          <w:sz w:val="21"/>
          <w:szCs w:val="21"/>
        </w:rPr>
        <w:t>2.定义</w:t>
      </w:r>
    </w:p>
    <w:p>
      <w:pPr>
        <w:pStyle w:val="7"/>
        <w:spacing w:before="0" w:after="0" w:line="240" w:lineRule="auto"/>
        <w:ind w:left="420" w:leftChars="200"/>
        <w:rPr>
          <w:rFonts w:ascii="宋体" w:hAnsi="宋体"/>
          <w:b w:val="0"/>
          <w:sz w:val="21"/>
          <w:szCs w:val="21"/>
        </w:rPr>
      </w:pPr>
      <w:r>
        <w:rPr>
          <w:rFonts w:hint="eastAsia" w:ascii="宋体" w:hAnsi="宋体"/>
          <w:b w:val="0"/>
          <w:sz w:val="21"/>
          <w:szCs w:val="21"/>
        </w:rPr>
        <w:t>2.1“采购人”是指依法进行政府采购的国家机关、事业单位、团体组织。</w:t>
      </w:r>
    </w:p>
    <w:p>
      <w:pPr>
        <w:pStyle w:val="7"/>
        <w:spacing w:before="0" w:after="0" w:line="240" w:lineRule="auto"/>
        <w:ind w:left="420" w:leftChars="200"/>
        <w:rPr>
          <w:rFonts w:ascii="宋体" w:hAnsi="宋体"/>
          <w:b w:val="0"/>
          <w:sz w:val="21"/>
          <w:szCs w:val="21"/>
        </w:rPr>
      </w:pPr>
      <w:r>
        <w:rPr>
          <w:rFonts w:hint="eastAsia" w:ascii="宋体" w:hAnsi="宋体"/>
          <w:b w:val="0"/>
          <w:sz w:val="21"/>
          <w:szCs w:val="21"/>
        </w:rPr>
        <w:t>2.2“采购代理机构”系指广西中竟达建设工程咨询有限公司。</w:t>
      </w:r>
    </w:p>
    <w:p>
      <w:pPr>
        <w:pStyle w:val="7"/>
        <w:spacing w:before="0" w:after="0" w:line="240" w:lineRule="auto"/>
        <w:ind w:left="420" w:leftChars="200"/>
        <w:rPr>
          <w:rFonts w:ascii="宋体" w:hAnsi="宋体"/>
          <w:b w:val="0"/>
          <w:sz w:val="21"/>
          <w:szCs w:val="21"/>
        </w:rPr>
      </w:pPr>
      <w:r>
        <w:rPr>
          <w:rFonts w:hint="eastAsia" w:ascii="宋体" w:hAnsi="宋体"/>
          <w:b w:val="0"/>
          <w:sz w:val="21"/>
          <w:szCs w:val="21"/>
        </w:rPr>
        <w:t>2.3“供应商”是指向采购人提供货物、工程或者服务的法人、其他组织或者自然人。</w:t>
      </w:r>
    </w:p>
    <w:p>
      <w:pPr>
        <w:pStyle w:val="8"/>
        <w:rPr>
          <w:rFonts w:ascii="宋体" w:hAnsi="宋体"/>
          <w:szCs w:val="21"/>
        </w:rPr>
      </w:pPr>
      <w:r>
        <w:rPr>
          <w:rFonts w:hint="eastAsia" w:ascii="宋体" w:hAnsi="宋体"/>
          <w:szCs w:val="21"/>
        </w:rPr>
        <w:t>2.4“投标人”是指响应招标、参加投标竞争的法人、非法人组织或者自然人。</w:t>
      </w:r>
    </w:p>
    <w:p>
      <w:pPr>
        <w:pStyle w:val="7"/>
        <w:spacing w:before="0" w:after="0" w:line="240" w:lineRule="auto"/>
        <w:ind w:firstLine="420" w:firstLineChars="200"/>
        <w:rPr>
          <w:rFonts w:ascii="宋体" w:hAnsi="宋体"/>
          <w:b w:val="0"/>
          <w:sz w:val="21"/>
          <w:szCs w:val="21"/>
        </w:rPr>
      </w:pPr>
      <w:r>
        <w:rPr>
          <w:rFonts w:hint="eastAsia" w:ascii="宋体" w:hAnsi="宋体"/>
          <w:b w:val="0"/>
          <w:sz w:val="21"/>
          <w:szCs w:val="21"/>
        </w:rPr>
        <w:t>2.5“货物”是指各种形态和种类的物品，包括原材料、燃料、设备、产品等。</w:t>
      </w:r>
    </w:p>
    <w:p>
      <w:pPr>
        <w:pStyle w:val="7"/>
        <w:spacing w:before="0" w:after="0" w:line="240" w:lineRule="auto"/>
        <w:ind w:firstLine="420" w:firstLineChars="200"/>
        <w:rPr>
          <w:rFonts w:ascii="宋体" w:hAnsi="宋体"/>
          <w:b w:val="0"/>
          <w:sz w:val="21"/>
          <w:szCs w:val="21"/>
        </w:rPr>
      </w:pPr>
      <w:r>
        <w:rPr>
          <w:rFonts w:hint="eastAsia" w:ascii="宋体" w:hAnsi="宋体"/>
          <w:b w:val="0"/>
          <w:sz w:val="21"/>
          <w:szCs w:val="21"/>
        </w:rPr>
        <w:t>2.6“配套服务” 是指包含但不限于投标人须承担的备品备件、包装、运输、装卸、保险、货到就位以及安装、调试、培训、保修以及其他类似的义务。</w:t>
      </w:r>
    </w:p>
    <w:p>
      <w:pPr>
        <w:pStyle w:val="7"/>
        <w:spacing w:before="0" w:after="0" w:line="240" w:lineRule="auto"/>
        <w:rPr>
          <w:rFonts w:ascii="宋体" w:hAnsi="宋体"/>
          <w:b w:val="0"/>
          <w:sz w:val="21"/>
          <w:szCs w:val="21"/>
        </w:rPr>
      </w:pPr>
      <w:r>
        <w:rPr>
          <w:rFonts w:hint="eastAsia" w:ascii="宋体" w:hAnsi="宋体"/>
          <w:b w:val="0"/>
          <w:sz w:val="21"/>
          <w:szCs w:val="21"/>
        </w:rPr>
        <w:t xml:space="preserve">    2.7“书面形式”是指合同书、信件和数据电文（包括电报、电传、传真、电子数据交换和电子邮件）等可以有形地表现所载内容的形式。</w:t>
      </w:r>
    </w:p>
    <w:p>
      <w:pPr>
        <w:pStyle w:val="7"/>
        <w:spacing w:before="0" w:after="0" w:line="240" w:lineRule="auto"/>
        <w:ind w:firstLine="420" w:firstLineChars="200"/>
        <w:rPr>
          <w:rFonts w:ascii="宋体" w:hAnsi="宋体"/>
          <w:b w:val="0"/>
          <w:sz w:val="21"/>
          <w:szCs w:val="21"/>
        </w:rPr>
      </w:pPr>
      <w:r>
        <w:rPr>
          <w:rFonts w:hint="eastAsia" w:ascii="宋体" w:hAnsi="宋体"/>
          <w:b w:val="0"/>
          <w:sz w:val="21"/>
          <w:szCs w:val="21"/>
        </w:rPr>
        <w:t>2.8“▲”是指“采购需求”中实质性要求。</w:t>
      </w:r>
    </w:p>
    <w:p>
      <w:pPr>
        <w:snapToGrid w:val="0"/>
        <w:ind w:firstLine="420" w:firstLineChars="200"/>
        <w:jc w:val="left"/>
        <w:rPr>
          <w:rFonts w:ascii="宋体" w:hAnsi="宋体"/>
          <w:szCs w:val="21"/>
        </w:rPr>
      </w:pPr>
      <w:r>
        <w:rPr>
          <w:rFonts w:hint="eastAsia" w:ascii="宋体" w:hAnsi="宋体"/>
          <w:szCs w:val="21"/>
        </w:rPr>
        <w:t>2.9 “正偏离”，是指投标文件对招标文件“采购需求”中有关条款作出优于条款要求并有利于采购人的响应情形；“负偏离”，是指投标文件对招标文件“采购需求”中有关条款作出的响应不满足条款要求导致采购人要求不能得到满足的情形。“满足”是指投标文件对招标文件“采购需求”中有关条款作出无“负偏离”或“正偏离”的情形。</w:t>
      </w:r>
    </w:p>
    <w:p>
      <w:pPr>
        <w:snapToGrid w:val="0"/>
        <w:ind w:firstLine="420" w:firstLineChars="200"/>
        <w:jc w:val="left"/>
        <w:rPr>
          <w:rFonts w:ascii="宋体" w:hAnsi="宋体"/>
          <w:szCs w:val="21"/>
        </w:rPr>
      </w:pPr>
      <w:r>
        <w:rPr>
          <w:rFonts w:hint="eastAsia" w:ascii="宋体" w:hAnsi="宋体"/>
          <w:szCs w:val="21"/>
        </w:rPr>
        <w:t>2.10 “允许负偏离的项目” 是指“采购需求”中不带“▲”的项目条款。</w:t>
      </w:r>
    </w:p>
    <w:p>
      <w:pPr>
        <w:snapToGrid w:val="0"/>
        <w:ind w:firstLine="396" w:firstLineChars="200"/>
        <w:jc w:val="left"/>
        <w:rPr>
          <w:rFonts w:ascii="宋体" w:hAnsi="宋体"/>
          <w:spacing w:val="-6"/>
          <w:szCs w:val="21"/>
        </w:rPr>
      </w:pPr>
      <w:r>
        <w:rPr>
          <w:rFonts w:hint="eastAsia" w:ascii="宋体" w:hAnsi="宋体"/>
          <w:spacing w:val="-6"/>
          <w:szCs w:val="21"/>
        </w:rPr>
        <w:t>2.11投标文件对招标文件中的实质性条款应当作出无偏离或正偏离响应，实质性条款不允许负偏离。</w:t>
      </w:r>
    </w:p>
    <w:p>
      <w:pPr>
        <w:snapToGrid w:val="0"/>
        <w:ind w:firstLine="420" w:firstLineChars="200"/>
        <w:jc w:val="left"/>
        <w:rPr>
          <w:rFonts w:ascii="宋体" w:hAnsi="宋体"/>
          <w:szCs w:val="21"/>
        </w:rPr>
      </w:pPr>
      <w:r>
        <w:rPr>
          <w:rFonts w:hint="eastAsia" w:ascii="宋体" w:hAnsi="宋体"/>
          <w:szCs w:val="21"/>
        </w:rPr>
        <w:t>2.12技术参数或配置缺项漏项的，或商务条款未承诺的视同为该项负偏离。</w:t>
      </w:r>
    </w:p>
    <w:p>
      <w:pPr>
        <w:pStyle w:val="7"/>
        <w:spacing w:before="0" w:after="0" w:line="240" w:lineRule="auto"/>
        <w:ind w:left="420" w:leftChars="200"/>
        <w:rPr>
          <w:rFonts w:ascii="宋体" w:hAnsi="宋体"/>
          <w:sz w:val="21"/>
          <w:szCs w:val="21"/>
        </w:rPr>
      </w:pPr>
      <w:r>
        <w:rPr>
          <w:rFonts w:hint="eastAsia" w:ascii="宋体" w:hAnsi="宋体"/>
          <w:sz w:val="21"/>
          <w:szCs w:val="21"/>
        </w:rPr>
        <w:t>3.招标方式</w:t>
      </w:r>
    </w:p>
    <w:p>
      <w:pPr>
        <w:snapToGrid w:val="0"/>
        <w:ind w:firstLine="420" w:firstLineChars="200"/>
        <w:jc w:val="left"/>
        <w:rPr>
          <w:rFonts w:ascii="宋体" w:hAnsi="宋体"/>
          <w:szCs w:val="21"/>
        </w:rPr>
      </w:pPr>
      <w:r>
        <w:rPr>
          <w:rFonts w:hint="eastAsia" w:ascii="宋体" w:hAnsi="宋体"/>
          <w:szCs w:val="21"/>
        </w:rPr>
        <w:t>公开招标方式。</w:t>
      </w:r>
    </w:p>
    <w:p>
      <w:pPr>
        <w:pStyle w:val="7"/>
        <w:spacing w:before="0" w:after="0" w:line="240" w:lineRule="auto"/>
        <w:ind w:left="420" w:leftChars="200"/>
        <w:rPr>
          <w:rFonts w:ascii="宋体" w:hAnsi="宋体"/>
          <w:sz w:val="21"/>
          <w:szCs w:val="21"/>
        </w:rPr>
      </w:pPr>
      <w:r>
        <w:rPr>
          <w:rFonts w:hint="eastAsia" w:ascii="宋体" w:hAnsi="宋体"/>
          <w:sz w:val="21"/>
          <w:szCs w:val="21"/>
        </w:rPr>
        <w:t>4.投标委托</w:t>
      </w:r>
    </w:p>
    <w:p>
      <w:pPr>
        <w:snapToGrid w:val="0"/>
        <w:ind w:firstLine="420" w:firstLineChars="200"/>
        <w:jc w:val="left"/>
        <w:rPr>
          <w:rFonts w:ascii="宋体" w:hAnsi="宋体"/>
          <w:szCs w:val="21"/>
        </w:rPr>
      </w:pPr>
      <w:r>
        <w:rPr>
          <w:rFonts w:hint="eastAsia" w:ascii="宋体" w:hAnsi="宋体"/>
          <w:szCs w:val="21"/>
        </w:rPr>
        <w:t>投标人代表须携带个人有效身份证件。如投标人代表不是法定代表人（负责人或自然人本人），须有法定代表人（负责人或自然人本人）出具的授权委托书（正本用原件，副本用复印件，按第六章要求格式填写）。</w:t>
      </w:r>
    </w:p>
    <w:p>
      <w:pPr>
        <w:pStyle w:val="7"/>
        <w:spacing w:before="0" w:after="0" w:line="240" w:lineRule="auto"/>
        <w:ind w:left="420" w:leftChars="200"/>
        <w:rPr>
          <w:rFonts w:ascii="宋体" w:hAnsi="宋体"/>
          <w:sz w:val="21"/>
          <w:szCs w:val="21"/>
        </w:rPr>
      </w:pPr>
      <w:bookmarkStart w:id="37" w:name="_5.投标费用"/>
      <w:bookmarkEnd w:id="37"/>
      <w:r>
        <w:rPr>
          <w:rFonts w:hint="eastAsia" w:ascii="宋体" w:hAnsi="宋体"/>
          <w:sz w:val="21"/>
          <w:szCs w:val="21"/>
        </w:rPr>
        <w:t>5.投标费用</w:t>
      </w:r>
    </w:p>
    <w:p>
      <w:pPr>
        <w:snapToGrid w:val="0"/>
        <w:ind w:firstLine="420" w:firstLineChars="200"/>
        <w:jc w:val="left"/>
        <w:rPr>
          <w:rFonts w:ascii="宋体" w:hAnsi="宋体"/>
          <w:szCs w:val="21"/>
        </w:rPr>
      </w:pPr>
      <w:r>
        <w:rPr>
          <w:rFonts w:hint="eastAsia" w:ascii="宋体" w:hAnsi="宋体"/>
          <w:szCs w:val="21"/>
        </w:rPr>
        <w:t>投标费用具体定义见“投标人须知前附表”。</w:t>
      </w:r>
    </w:p>
    <w:p>
      <w:pPr>
        <w:pStyle w:val="7"/>
        <w:spacing w:before="0" w:after="0" w:line="240" w:lineRule="auto"/>
        <w:ind w:left="420" w:leftChars="200"/>
        <w:rPr>
          <w:rFonts w:ascii="宋体" w:hAnsi="宋体"/>
          <w:sz w:val="21"/>
          <w:szCs w:val="21"/>
        </w:rPr>
      </w:pPr>
      <w:r>
        <w:rPr>
          <w:rFonts w:hint="eastAsia" w:ascii="宋体" w:hAnsi="宋体"/>
          <w:sz w:val="21"/>
          <w:szCs w:val="21"/>
        </w:rPr>
        <w:t>6.联合体投标</w:t>
      </w:r>
    </w:p>
    <w:p>
      <w:pPr>
        <w:snapToGrid w:val="0"/>
        <w:ind w:firstLine="420" w:firstLineChars="200"/>
        <w:jc w:val="left"/>
        <w:rPr>
          <w:rFonts w:ascii="宋体" w:hAnsi="宋体"/>
          <w:szCs w:val="21"/>
        </w:rPr>
      </w:pPr>
      <w:r>
        <w:rPr>
          <w:rFonts w:hint="eastAsia" w:ascii="宋体" w:hAnsi="宋体"/>
          <w:szCs w:val="21"/>
        </w:rPr>
        <w:t>6.1本项目是否接受联合体投标，详见“投标人须知前附表”。</w:t>
      </w:r>
    </w:p>
    <w:p>
      <w:pPr>
        <w:pStyle w:val="7"/>
        <w:spacing w:before="0" w:after="0" w:line="240" w:lineRule="auto"/>
        <w:ind w:left="420" w:leftChars="200"/>
        <w:rPr>
          <w:rFonts w:ascii="宋体" w:hAnsi="宋体"/>
          <w:b w:val="0"/>
          <w:sz w:val="21"/>
          <w:szCs w:val="21"/>
        </w:rPr>
      </w:pPr>
      <w:r>
        <w:rPr>
          <w:rFonts w:hint="eastAsia" w:ascii="宋体" w:hAnsi="宋体"/>
          <w:b w:val="0"/>
          <w:sz w:val="21"/>
          <w:szCs w:val="21"/>
        </w:rPr>
        <w:t>6.2联合体投标要求:</w:t>
      </w:r>
    </w:p>
    <w:p>
      <w:pPr>
        <w:snapToGrid w:val="0"/>
        <w:ind w:firstLine="420"/>
        <w:jc w:val="left"/>
        <w:rPr>
          <w:rFonts w:ascii="宋体" w:hAnsi="宋体"/>
          <w:szCs w:val="21"/>
        </w:rPr>
      </w:pPr>
      <w:r>
        <w:rPr>
          <w:rFonts w:hint="eastAsia" w:ascii="宋体" w:hAnsi="宋体"/>
          <w:szCs w:val="21"/>
        </w:rPr>
        <w:t>（1）两个以上的自然人、法人或者其他组织可以组成一个联合体，以一个投标人的身份共同参加投标。</w:t>
      </w:r>
    </w:p>
    <w:p>
      <w:pPr>
        <w:snapToGrid w:val="0"/>
        <w:ind w:firstLine="420"/>
        <w:jc w:val="left"/>
        <w:rPr>
          <w:rFonts w:ascii="宋体" w:hAnsi="宋体"/>
          <w:szCs w:val="21"/>
        </w:rPr>
      </w:pPr>
      <w:r>
        <w:rPr>
          <w:rFonts w:hint="eastAsia" w:ascii="宋体" w:hAnsi="宋体"/>
          <w:szCs w:val="21"/>
        </w:rPr>
        <w:t>（2）以联合体形式参加投标的，联合体各方均应当具备《中华人民共和国政府采购法》第二十二条规定的条件。本项目有特殊要求规定投标人特定条件的，联合体各方中至少应当有一方符合招标文件规定的特定条件。</w:t>
      </w:r>
    </w:p>
    <w:p>
      <w:pPr>
        <w:snapToGrid w:val="0"/>
        <w:ind w:firstLine="420"/>
        <w:jc w:val="left"/>
        <w:rPr>
          <w:rFonts w:ascii="宋体" w:hAnsi="宋体"/>
          <w:szCs w:val="21"/>
        </w:rPr>
      </w:pPr>
      <w:r>
        <w:rPr>
          <w:rFonts w:hint="eastAsia" w:ascii="宋体" w:hAnsi="宋体"/>
          <w:szCs w:val="21"/>
        </w:rPr>
        <w:t>（3）联合体各方之间应当签订联合投标协议，协议书应当明确主体方（或牵头方）并明确约定联合体各方承担的工作和相应的责任（各方承担责任与义务的分工应当符合采购需求，涉及行政许可范围的内容应由具有相应资质的成员承担；</w:t>
      </w:r>
      <w:r>
        <w:rPr>
          <w:rFonts w:hint="eastAsia" w:ascii="宋体" w:hAnsi="宋体" w:eastAsia="宋体" w:cs="宋体"/>
          <w:b w:val="0"/>
          <w:bCs/>
          <w:sz w:val="21"/>
          <w:szCs w:val="21"/>
        </w:rPr>
        <w:t>否则，联合体投标无效）</w:t>
      </w:r>
      <w:r>
        <w:rPr>
          <w:rFonts w:hint="eastAsia" w:ascii="宋体" w:hAnsi="宋体"/>
          <w:szCs w:val="21"/>
        </w:rPr>
        <w:t>，并将联合投标协议连同投标文件一并提交采购代理机构。联合体各方应当共同与采购人签订采购合同，就采购合同约定的事项对采购人承担连带责任。</w:t>
      </w:r>
    </w:p>
    <w:p>
      <w:pPr>
        <w:snapToGrid w:val="0"/>
        <w:ind w:firstLine="420"/>
        <w:jc w:val="left"/>
        <w:rPr>
          <w:rFonts w:ascii="宋体" w:hAnsi="宋体"/>
          <w:szCs w:val="21"/>
        </w:rPr>
      </w:pPr>
      <w:r>
        <w:rPr>
          <w:rFonts w:hint="eastAsia" w:ascii="宋体" w:hAnsi="宋体"/>
          <w:szCs w:val="21"/>
        </w:rPr>
        <w:t>（4）以联合体形式参加政府采购活动的，联合体各方不得再单独参加或者与其他供应商另外组成联合体参加同一合同项下的政府采购活动。</w:t>
      </w:r>
    </w:p>
    <w:p>
      <w:pPr>
        <w:snapToGrid w:val="0"/>
        <w:ind w:firstLine="420"/>
        <w:jc w:val="left"/>
        <w:rPr>
          <w:rFonts w:ascii="宋体" w:hAnsi="宋体"/>
          <w:szCs w:val="21"/>
        </w:rPr>
      </w:pPr>
      <w:r>
        <w:rPr>
          <w:rFonts w:hint="eastAsia" w:ascii="宋体" w:hAnsi="宋体"/>
          <w:szCs w:val="21"/>
        </w:rPr>
        <w:t>（5）联合体中有同类资质的供应商按照联合体分工承担相同工作的，应当按照资质等级较低的供应商确定资质等级。</w:t>
      </w:r>
    </w:p>
    <w:p>
      <w:pPr>
        <w:snapToGrid w:val="0"/>
        <w:ind w:firstLine="420"/>
        <w:jc w:val="left"/>
        <w:rPr>
          <w:rFonts w:ascii="宋体" w:hAnsi="宋体"/>
          <w:szCs w:val="21"/>
        </w:rPr>
      </w:pPr>
      <w:r>
        <w:rPr>
          <w:rFonts w:hint="eastAsia" w:ascii="宋体" w:hAnsi="宋体"/>
          <w:szCs w:val="21"/>
        </w:rPr>
        <w:t>（6）联合体投标业绩、履约能力计算，按照联合体其中较高的一方认定并计算。</w:t>
      </w:r>
    </w:p>
    <w:p>
      <w:pPr>
        <w:snapToGrid w:val="0"/>
        <w:ind w:firstLine="420"/>
        <w:jc w:val="left"/>
        <w:rPr>
          <w:rFonts w:ascii="宋体" w:hAnsi="宋体"/>
          <w:szCs w:val="21"/>
        </w:rPr>
      </w:pPr>
      <w:r>
        <w:rPr>
          <w:rFonts w:hint="eastAsia" w:ascii="宋体" w:hAnsi="宋体"/>
          <w:szCs w:val="21"/>
        </w:rPr>
        <w:t>（7）联合体投标的，须提供《联合体投标协议》（格式后附）。</w:t>
      </w:r>
    </w:p>
    <w:p>
      <w:pPr>
        <w:snapToGrid w:val="0"/>
        <w:ind w:firstLine="420"/>
        <w:jc w:val="left"/>
        <w:rPr>
          <w:rFonts w:ascii="宋体" w:hAnsi="宋体"/>
          <w:szCs w:val="21"/>
        </w:rPr>
      </w:pPr>
      <w:r>
        <w:rPr>
          <w:rFonts w:hint="eastAsia" w:ascii="宋体" w:hAnsi="宋体"/>
          <w:szCs w:val="21"/>
        </w:rPr>
        <w:t>（8）联合体各方均应按照招标文件的规定分别提交资格证明文件。</w:t>
      </w:r>
    </w:p>
    <w:p>
      <w:pPr>
        <w:pStyle w:val="7"/>
        <w:spacing w:before="0" w:after="0" w:line="240" w:lineRule="auto"/>
        <w:ind w:firstLine="315" w:firstLineChars="150"/>
        <w:rPr>
          <w:rFonts w:ascii="宋体" w:hAnsi="宋体"/>
          <w:b w:val="0"/>
          <w:sz w:val="21"/>
          <w:szCs w:val="21"/>
        </w:rPr>
      </w:pPr>
      <w:r>
        <w:rPr>
          <w:rFonts w:hint="eastAsia" w:ascii="宋体" w:hAnsi="宋体"/>
          <w:b w:val="0"/>
          <w:sz w:val="21"/>
          <w:szCs w:val="21"/>
        </w:rPr>
        <w:t xml:space="preserve"> 6.3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pPr>
        <w:pStyle w:val="7"/>
        <w:spacing w:before="0" w:after="0" w:line="240" w:lineRule="auto"/>
        <w:ind w:left="420" w:leftChars="200"/>
        <w:rPr>
          <w:rFonts w:ascii="宋体" w:hAnsi="宋体"/>
          <w:sz w:val="21"/>
          <w:szCs w:val="21"/>
        </w:rPr>
      </w:pPr>
      <w:r>
        <w:rPr>
          <w:rFonts w:hint="eastAsia" w:ascii="宋体" w:hAnsi="宋体"/>
          <w:sz w:val="21"/>
          <w:szCs w:val="21"/>
        </w:rPr>
        <w:t xml:space="preserve">7.转包与分包             </w:t>
      </w:r>
    </w:p>
    <w:p>
      <w:pPr>
        <w:pStyle w:val="7"/>
        <w:spacing w:before="0" w:after="0" w:line="240" w:lineRule="auto"/>
        <w:ind w:left="420" w:leftChars="200"/>
        <w:rPr>
          <w:rFonts w:ascii="宋体" w:hAnsi="宋体"/>
          <w:b w:val="0"/>
          <w:sz w:val="21"/>
          <w:szCs w:val="21"/>
        </w:rPr>
      </w:pPr>
      <w:r>
        <w:rPr>
          <w:rFonts w:hint="eastAsia" w:ascii="宋体" w:hAnsi="宋体"/>
          <w:b w:val="0"/>
          <w:sz w:val="21"/>
          <w:szCs w:val="21"/>
        </w:rPr>
        <w:t>7.1本项目不允许转包。</w:t>
      </w:r>
    </w:p>
    <w:p>
      <w:pPr>
        <w:pStyle w:val="7"/>
        <w:spacing w:before="0" w:after="0" w:line="240" w:lineRule="auto"/>
        <w:ind w:left="420" w:leftChars="200"/>
        <w:rPr>
          <w:rFonts w:ascii="宋体" w:hAnsi="宋体"/>
          <w:b w:val="0"/>
          <w:sz w:val="21"/>
          <w:szCs w:val="21"/>
        </w:rPr>
      </w:pPr>
      <w:r>
        <w:rPr>
          <w:rFonts w:hint="eastAsia" w:ascii="宋体" w:hAnsi="宋体"/>
          <w:b w:val="0"/>
          <w:sz w:val="21"/>
          <w:szCs w:val="21"/>
        </w:rPr>
        <w:t>7.2本项目是否允许分包详见“投标人须知前附表”。</w:t>
      </w:r>
    </w:p>
    <w:p>
      <w:pPr>
        <w:pStyle w:val="7"/>
        <w:spacing w:before="0" w:after="0" w:line="240" w:lineRule="auto"/>
        <w:ind w:left="420" w:leftChars="200"/>
        <w:rPr>
          <w:rFonts w:ascii="微软雅黑" w:hAnsi="微软雅黑" w:eastAsia="微软雅黑"/>
          <w:sz w:val="24"/>
        </w:rPr>
      </w:pPr>
      <w:r>
        <w:rPr>
          <w:rFonts w:hint="eastAsia" w:ascii="微软雅黑" w:hAnsi="微软雅黑" w:eastAsia="微软雅黑"/>
          <w:sz w:val="24"/>
        </w:rPr>
        <w:t>8.特别说明：</w:t>
      </w:r>
    </w:p>
    <w:p>
      <w:pPr>
        <w:pStyle w:val="7"/>
        <w:spacing w:before="0" w:after="0" w:line="240" w:lineRule="auto"/>
        <w:ind w:firstLine="480" w:firstLineChars="200"/>
        <w:rPr>
          <w:rFonts w:ascii="微软雅黑" w:hAnsi="微软雅黑" w:eastAsia="微软雅黑"/>
          <w:sz w:val="24"/>
        </w:rPr>
      </w:pPr>
      <w:bookmarkStart w:id="38" w:name="_8.1提供相同品牌产品且通过资格审查、符合性审查的不同投标人参加同一合"/>
      <w:bookmarkEnd w:id="38"/>
      <w:r>
        <w:rPr>
          <w:rFonts w:ascii="微软雅黑" w:hAnsi="微软雅黑" w:eastAsia="微软雅黑"/>
          <w:sz w:val="24"/>
        </w:rPr>
        <w:fldChar w:fldCharType="begin"/>
      </w:r>
      <w:r>
        <w:rPr>
          <w:rFonts w:ascii="微软雅黑" w:hAnsi="微软雅黑" w:eastAsia="微软雅黑"/>
          <w:sz w:val="24"/>
        </w:rPr>
        <w:instrText xml:space="preserve"> HYPERLINK  \l "_8.1" </w:instrText>
      </w:r>
      <w:r>
        <w:rPr>
          <w:rFonts w:ascii="微软雅黑" w:hAnsi="微软雅黑" w:eastAsia="微软雅黑"/>
          <w:sz w:val="24"/>
        </w:rPr>
        <w:fldChar w:fldCharType="separate"/>
      </w:r>
      <w:r>
        <w:rPr>
          <w:rFonts w:hint="eastAsia" w:ascii="微软雅黑" w:hAnsi="微软雅黑" w:eastAsia="微软雅黑"/>
          <w:sz w:val="24"/>
        </w:rPr>
        <w:t>8.1</w:t>
      </w:r>
      <w:r>
        <w:rPr>
          <w:rFonts w:ascii="微软雅黑" w:hAnsi="微软雅黑" w:eastAsia="微软雅黑"/>
          <w:sz w:val="24"/>
        </w:rPr>
        <w:fldChar w:fldCharType="end"/>
      </w:r>
      <w:r>
        <w:rPr>
          <w:rFonts w:hint="eastAsia" w:ascii="微软雅黑" w:hAnsi="微软雅黑" w:eastAsia="微软雅黑"/>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pPr>
        <w:pStyle w:val="27"/>
        <w:snapToGrid w:val="0"/>
        <w:ind w:left="2" w:leftChars="1" w:firstLine="480" w:firstLineChars="200"/>
        <w:rPr>
          <w:rFonts w:ascii="微软雅黑" w:hAnsi="微软雅黑" w:eastAsia="微软雅黑"/>
          <w:b/>
          <w:kern w:val="2"/>
          <w:sz w:val="24"/>
          <w:szCs w:val="24"/>
        </w:rPr>
      </w:pPr>
      <w:r>
        <w:rPr>
          <w:rFonts w:hint="eastAsia" w:ascii="微软雅黑" w:hAnsi="微软雅黑" w:eastAsia="微软雅黑"/>
          <w:b/>
          <w:kern w:val="2"/>
          <w:sz w:val="24"/>
          <w:szCs w:val="24"/>
        </w:rPr>
        <w:t>非单一产品采购项目，多家投标人提供的核心产品品牌相同的，按前款规定处理。</w:t>
      </w:r>
    </w:p>
    <w:p>
      <w:pPr>
        <w:pStyle w:val="7"/>
        <w:keepNext w:val="0"/>
        <w:keepLines w:val="0"/>
        <w:pageBreakBefore w:val="0"/>
        <w:widowControl w:val="0"/>
        <w:kinsoku/>
        <w:wordWrap/>
        <w:overflowPunct/>
        <w:topLinePunct w:val="0"/>
        <w:autoSpaceDE/>
        <w:autoSpaceDN/>
        <w:bidi w:val="0"/>
        <w:adjustRightInd/>
        <w:spacing w:before="0" w:after="0" w:line="240" w:lineRule="auto"/>
        <w:ind w:firstLine="420" w:firstLineChars="175"/>
        <w:textAlignment w:val="auto"/>
        <w:rPr>
          <w:rFonts w:ascii="微软雅黑" w:hAnsi="微软雅黑" w:eastAsia="微软雅黑"/>
          <w:sz w:val="24"/>
        </w:rPr>
      </w:pPr>
      <w:r>
        <w:rPr>
          <w:rFonts w:hint="eastAsia" w:ascii="微软雅黑" w:hAnsi="微软雅黑" w:eastAsia="微软雅黑"/>
          <w:sz w:val="24"/>
        </w:rPr>
        <w:t>8.2投标人投标所使用的资格、信誉、荣誉、业绩与企业认证必须为投标人所拥有。</w:t>
      </w:r>
    </w:p>
    <w:p>
      <w:pPr>
        <w:pStyle w:val="7"/>
        <w:keepNext w:val="0"/>
        <w:keepLines w:val="0"/>
        <w:pageBreakBefore w:val="0"/>
        <w:widowControl w:val="0"/>
        <w:kinsoku/>
        <w:wordWrap/>
        <w:overflowPunct/>
        <w:topLinePunct w:val="0"/>
        <w:autoSpaceDE/>
        <w:autoSpaceDN/>
        <w:bidi w:val="0"/>
        <w:adjustRightInd/>
        <w:spacing w:before="0" w:after="0" w:line="240" w:lineRule="auto"/>
        <w:ind w:firstLine="420" w:firstLineChars="175"/>
        <w:textAlignment w:val="auto"/>
        <w:rPr>
          <w:rFonts w:ascii="微软雅黑" w:hAnsi="微软雅黑" w:eastAsia="微软雅黑"/>
          <w:sz w:val="24"/>
        </w:rPr>
      </w:pPr>
      <w:r>
        <w:rPr>
          <w:rFonts w:hint="eastAsia" w:ascii="微软雅黑" w:hAnsi="微软雅黑" w:eastAsia="微软雅黑"/>
          <w:sz w:val="24"/>
        </w:rPr>
        <w:t>8.3投标人应仔细阅读招标文件的所有内容，按照招标文件的要求提交投标文件，并对所提供的全部资料的真实性承担法律责任。</w:t>
      </w:r>
    </w:p>
    <w:p>
      <w:pPr>
        <w:pStyle w:val="7"/>
        <w:keepNext w:val="0"/>
        <w:keepLines w:val="0"/>
        <w:pageBreakBefore w:val="0"/>
        <w:widowControl w:val="0"/>
        <w:kinsoku/>
        <w:wordWrap/>
        <w:overflowPunct/>
        <w:topLinePunct w:val="0"/>
        <w:autoSpaceDE/>
        <w:autoSpaceDN/>
        <w:bidi w:val="0"/>
        <w:adjustRightInd/>
        <w:spacing w:before="0" w:after="0" w:line="240" w:lineRule="auto"/>
        <w:ind w:firstLine="420" w:firstLineChars="175"/>
        <w:textAlignment w:val="auto"/>
        <w:rPr>
          <w:rFonts w:ascii="微软雅黑" w:hAnsi="微软雅黑" w:eastAsia="微软雅黑"/>
          <w:sz w:val="24"/>
        </w:rPr>
      </w:pPr>
      <w:r>
        <w:rPr>
          <w:rFonts w:hint="eastAsia" w:ascii="微软雅黑" w:hAnsi="微软雅黑" w:eastAsia="微软雅黑"/>
          <w:sz w:val="24"/>
        </w:rPr>
        <w:t>8.4投标人在投标活动中提供任何虚假材料,其投标无效，并报监管部门查处；中标后发现的,中标人须依照《中华人民共和国消费者权益保护法》规定赔偿采购人，且民事赔偿并不免除违法投标人的行政与刑事责任。</w:t>
      </w:r>
    </w:p>
    <w:p>
      <w:pPr>
        <w:pStyle w:val="7"/>
        <w:keepNext w:val="0"/>
        <w:keepLines w:val="0"/>
        <w:pageBreakBefore w:val="0"/>
        <w:widowControl w:val="0"/>
        <w:kinsoku/>
        <w:wordWrap/>
        <w:overflowPunct/>
        <w:topLinePunct w:val="0"/>
        <w:autoSpaceDE/>
        <w:autoSpaceDN/>
        <w:bidi w:val="0"/>
        <w:adjustRightInd/>
        <w:spacing w:before="0" w:after="0" w:line="240" w:lineRule="auto"/>
        <w:ind w:firstLine="420" w:firstLineChars="175"/>
        <w:textAlignment w:val="auto"/>
        <w:rPr>
          <w:rFonts w:ascii="微软雅黑" w:hAnsi="微软雅黑" w:eastAsia="微软雅黑"/>
          <w:sz w:val="24"/>
        </w:rPr>
      </w:pPr>
      <w:r>
        <w:rPr>
          <w:rFonts w:hint="eastAsia" w:ascii="微软雅黑" w:hAnsi="微软雅黑" w:eastAsia="微软雅黑"/>
          <w:sz w:val="24"/>
        </w:rPr>
        <w:t>8.5</w:t>
      </w:r>
      <w:r>
        <w:rPr>
          <w:rFonts w:ascii="微软雅黑" w:hAnsi="微软雅黑" w:eastAsia="微软雅黑"/>
          <w:sz w:val="24"/>
        </w:rPr>
        <w:t>在政府采购活动中，采购人员及相关人员与</w:t>
      </w:r>
      <w:r>
        <w:rPr>
          <w:rFonts w:hint="eastAsia" w:ascii="微软雅黑" w:hAnsi="微软雅黑" w:eastAsia="微软雅黑"/>
          <w:sz w:val="24"/>
        </w:rPr>
        <w:t>投标人</w:t>
      </w:r>
      <w:r>
        <w:rPr>
          <w:rFonts w:ascii="微软雅黑" w:hAnsi="微软雅黑" w:eastAsia="微软雅黑"/>
          <w:sz w:val="24"/>
        </w:rPr>
        <w:t>有下列利害关系之一的，应当回避：</w:t>
      </w:r>
    </w:p>
    <w:p>
      <w:pPr>
        <w:pStyle w:val="27"/>
        <w:keepNext w:val="0"/>
        <w:keepLines w:val="0"/>
        <w:pageBreakBefore w:val="0"/>
        <w:widowControl w:val="0"/>
        <w:kinsoku/>
        <w:wordWrap/>
        <w:overflowPunct/>
        <w:topLinePunct w:val="0"/>
        <w:autoSpaceDE/>
        <w:autoSpaceDN/>
        <w:bidi w:val="0"/>
        <w:adjustRightInd/>
        <w:snapToGrid w:val="0"/>
        <w:ind w:left="2" w:leftChars="1" w:firstLine="480" w:firstLineChars="200"/>
        <w:textAlignment w:val="auto"/>
        <w:rPr>
          <w:rFonts w:ascii="微软雅黑" w:hAnsi="微软雅黑" w:eastAsia="微软雅黑"/>
          <w:b/>
          <w:kern w:val="2"/>
          <w:sz w:val="24"/>
          <w:szCs w:val="24"/>
        </w:rPr>
      </w:pPr>
      <w:r>
        <w:rPr>
          <w:rFonts w:ascii="微软雅黑" w:hAnsi="微软雅黑" w:eastAsia="微软雅黑"/>
          <w:b/>
          <w:kern w:val="2"/>
          <w:sz w:val="24"/>
          <w:szCs w:val="24"/>
        </w:rPr>
        <w:t>（</w:t>
      </w:r>
      <w:r>
        <w:rPr>
          <w:rFonts w:hint="eastAsia" w:ascii="微软雅黑" w:hAnsi="微软雅黑" w:eastAsia="微软雅黑"/>
          <w:b/>
          <w:kern w:val="2"/>
          <w:sz w:val="24"/>
          <w:szCs w:val="24"/>
        </w:rPr>
        <w:t>1</w:t>
      </w:r>
      <w:r>
        <w:rPr>
          <w:rFonts w:ascii="微软雅黑" w:hAnsi="微软雅黑" w:eastAsia="微软雅黑"/>
          <w:b/>
          <w:kern w:val="2"/>
          <w:sz w:val="24"/>
          <w:szCs w:val="24"/>
        </w:rPr>
        <w:t>）参加采购活动前3年内与</w:t>
      </w:r>
      <w:r>
        <w:rPr>
          <w:rFonts w:hint="eastAsia" w:ascii="微软雅黑" w:hAnsi="微软雅黑" w:eastAsia="微软雅黑"/>
          <w:b/>
          <w:kern w:val="2"/>
          <w:sz w:val="24"/>
          <w:szCs w:val="24"/>
        </w:rPr>
        <w:t>投标人</w:t>
      </w:r>
      <w:r>
        <w:rPr>
          <w:rFonts w:ascii="微软雅黑" w:hAnsi="微软雅黑" w:eastAsia="微软雅黑"/>
          <w:b/>
          <w:kern w:val="2"/>
          <w:sz w:val="24"/>
          <w:szCs w:val="24"/>
        </w:rPr>
        <w:t>存在劳动关系；</w:t>
      </w:r>
    </w:p>
    <w:p>
      <w:pPr>
        <w:pStyle w:val="27"/>
        <w:keepNext w:val="0"/>
        <w:keepLines w:val="0"/>
        <w:pageBreakBefore w:val="0"/>
        <w:widowControl w:val="0"/>
        <w:kinsoku/>
        <w:wordWrap/>
        <w:overflowPunct/>
        <w:topLinePunct w:val="0"/>
        <w:autoSpaceDE/>
        <w:autoSpaceDN/>
        <w:bidi w:val="0"/>
        <w:adjustRightInd/>
        <w:snapToGrid w:val="0"/>
        <w:ind w:left="2" w:leftChars="1" w:firstLine="480" w:firstLineChars="200"/>
        <w:textAlignment w:val="auto"/>
        <w:rPr>
          <w:rFonts w:ascii="微软雅黑" w:hAnsi="微软雅黑" w:eastAsia="微软雅黑"/>
          <w:b/>
          <w:kern w:val="2"/>
          <w:sz w:val="24"/>
          <w:szCs w:val="24"/>
        </w:rPr>
      </w:pPr>
      <w:r>
        <w:rPr>
          <w:rFonts w:ascii="微软雅黑" w:hAnsi="微软雅黑" w:eastAsia="微软雅黑"/>
          <w:b/>
          <w:kern w:val="2"/>
          <w:sz w:val="24"/>
          <w:szCs w:val="24"/>
        </w:rPr>
        <w:t>（</w:t>
      </w:r>
      <w:r>
        <w:rPr>
          <w:rFonts w:hint="eastAsia" w:ascii="微软雅黑" w:hAnsi="微软雅黑" w:eastAsia="微软雅黑"/>
          <w:b/>
          <w:kern w:val="2"/>
          <w:sz w:val="24"/>
          <w:szCs w:val="24"/>
        </w:rPr>
        <w:t>2</w:t>
      </w:r>
      <w:r>
        <w:rPr>
          <w:rFonts w:ascii="微软雅黑" w:hAnsi="微软雅黑" w:eastAsia="微软雅黑"/>
          <w:b/>
          <w:kern w:val="2"/>
          <w:sz w:val="24"/>
          <w:szCs w:val="24"/>
        </w:rPr>
        <w:t>）参加采购活动前3年内担任</w:t>
      </w:r>
      <w:r>
        <w:rPr>
          <w:rFonts w:hint="eastAsia" w:ascii="微软雅黑" w:hAnsi="微软雅黑" w:eastAsia="微软雅黑"/>
          <w:b/>
          <w:kern w:val="2"/>
          <w:sz w:val="24"/>
          <w:szCs w:val="24"/>
        </w:rPr>
        <w:t>投标人</w:t>
      </w:r>
      <w:r>
        <w:rPr>
          <w:rFonts w:ascii="微软雅黑" w:hAnsi="微软雅黑" w:eastAsia="微软雅黑"/>
          <w:b/>
          <w:kern w:val="2"/>
          <w:sz w:val="24"/>
          <w:szCs w:val="24"/>
        </w:rPr>
        <w:t>的董事、监事；</w:t>
      </w:r>
    </w:p>
    <w:p>
      <w:pPr>
        <w:pStyle w:val="27"/>
        <w:keepNext w:val="0"/>
        <w:keepLines w:val="0"/>
        <w:pageBreakBefore w:val="0"/>
        <w:widowControl w:val="0"/>
        <w:kinsoku/>
        <w:wordWrap/>
        <w:overflowPunct/>
        <w:topLinePunct w:val="0"/>
        <w:autoSpaceDE/>
        <w:autoSpaceDN/>
        <w:bidi w:val="0"/>
        <w:adjustRightInd/>
        <w:snapToGrid w:val="0"/>
        <w:ind w:left="2" w:leftChars="1" w:firstLine="480" w:firstLineChars="200"/>
        <w:textAlignment w:val="auto"/>
        <w:rPr>
          <w:rFonts w:ascii="微软雅黑" w:hAnsi="微软雅黑" w:eastAsia="微软雅黑"/>
          <w:b/>
          <w:kern w:val="2"/>
          <w:sz w:val="24"/>
          <w:szCs w:val="24"/>
        </w:rPr>
      </w:pPr>
      <w:r>
        <w:rPr>
          <w:rFonts w:ascii="微软雅黑" w:hAnsi="微软雅黑" w:eastAsia="微软雅黑"/>
          <w:b/>
          <w:kern w:val="2"/>
          <w:sz w:val="24"/>
          <w:szCs w:val="24"/>
        </w:rPr>
        <w:t>（</w:t>
      </w:r>
      <w:r>
        <w:rPr>
          <w:rFonts w:hint="eastAsia" w:ascii="微软雅黑" w:hAnsi="微软雅黑" w:eastAsia="微软雅黑"/>
          <w:b/>
          <w:kern w:val="2"/>
          <w:sz w:val="24"/>
          <w:szCs w:val="24"/>
        </w:rPr>
        <w:t>3</w:t>
      </w:r>
      <w:r>
        <w:rPr>
          <w:rFonts w:ascii="微软雅黑" w:hAnsi="微软雅黑" w:eastAsia="微软雅黑"/>
          <w:b/>
          <w:kern w:val="2"/>
          <w:sz w:val="24"/>
          <w:szCs w:val="24"/>
        </w:rPr>
        <w:t>）参加采购活动前3年内是</w:t>
      </w:r>
      <w:r>
        <w:rPr>
          <w:rFonts w:hint="eastAsia" w:ascii="微软雅黑" w:hAnsi="微软雅黑" w:eastAsia="微软雅黑"/>
          <w:b/>
          <w:kern w:val="2"/>
          <w:sz w:val="24"/>
          <w:szCs w:val="24"/>
        </w:rPr>
        <w:t>投标人</w:t>
      </w:r>
      <w:r>
        <w:rPr>
          <w:rFonts w:ascii="微软雅黑" w:hAnsi="微软雅黑" w:eastAsia="微软雅黑"/>
          <w:b/>
          <w:kern w:val="2"/>
          <w:sz w:val="24"/>
          <w:szCs w:val="24"/>
        </w:rPr>
        <w:t>的控股股东或者实际控制人；</w:t>
      </w:r>
    </w:p>
    <w:p>
      <w:pPr>
        <w:pStyle w:val="27"/>
        <w:keepNext w:val="0"/>
        <w:keepLines w:val="0"/>
        <w:pageBreakBefore w:val="0"/>
        <w:widowControl w:val="0"/>
        <w:kinsoku/>
        <w:wordWrap/>
        <w:overflowPunct/>
        <w:topLinePunct w:val="0"/>
        <w:autoSpaceDE/>
        <w:autoSpaceDN/>
        <w:bidi w:val="0"/>
        <w:adjustRightInd/>
        <w:snapToGrid w:val="0"/>
        <w:ind w:left="2" w:leftChars="1" w:firstLine="480" w:firstLineChars="200"/>
        <w:textAlignment w:val="auto"/>
        <w:rPr>
          <w:rFonts w:ascii="微软雅黑" w:hAnsi="微软雅黑" w:eastAsia="微软雅黑"/>
          <w:b/>
          <w:kern w:val="2"/>
          <w:sz w:val="24"/>
          <w:szCs w:val="24"/>
        </w:rPr>
      </w:pPr>
      <w:r>
        <w:rPr>
          <w:rFonts w:ascii="微软雅黑" w:hAnsi="微软雅黑" w:eastAsia="微软雅黑"/>
          <w:b/>
          <w:kern w:val="2"/>
          <w:sz w:val="24"/>
          <w:szCs w:val="24"/>
        </w:rPr>
        <w:t>（</w:t>
      </w:r>
      <w:r>
        <w:rPr>
          <w:rFonts w:hint="eastAsia" w:ascii="微软雅黑" w:hAnsi="微软雅黑" w:eastAsia="微软雅黑"/>
          <w:b/>
          <w:kern w:val="2"/>
          <w:sz w:val="24"/>
          <w:szCs w:val="24"/>
        </w:rPr>
        <w:t>4</w:t>
      </w:r>
      <w:r>
        <w:rPr>
          <w:rFonts w:ascii="微软雅黑" w:hAnsi="微软雅黑" w:eastAsia="微软雅黑"/>
          <w:b/>
          <w:kern w:val="2"/>
          <w:sz w:val="24"/>
          <w:szCs w:val="24"/>
        </w:rPr>
        <w:t>）与</w:t>
      </w:r>
      <w:r>
        <w:rPr>
          <w:rFonts w:hint="eastAsia" w:ascii="微软雅黑" w:hAnsi="微软雅黑" w:eastAsia="微软雅黑"/>
          <w:b/>
          <w:kern w:val="2"/>
          <w:sz w:val="24"/>
          <w:szCs w:val="24"/>
        </w:rPr>
        <w:t>投标人</w:t>
      </w:r>
      <w:r>
        <w:rPr>
          <w:rFonts w:ascii="微软雅黑" w:hAnsi="微软雅黑" w:eastAsia="微软雅黑"/>
          <w:b/>
          <w:kern w:val="2"/>
          <w:sz w:val="24"/>
          <w:szCs w:val="24"/>
        </w:rPr>
        <w:t>的法定代表人（负责人或自然人）或者负责人有夫妻、直系血亲、三代以内旁系血亲或者近姻亲关系；</w:t>
      </w:r>
    </w:p>
    <w:p>
      <w:pPr>
        <w:pStyle w:val="27"/>
        <w:keepNext w:val="0"/>
        <w:keepLines w:val="0"/>
        <w:pageBreakBefore w:val="0"/>
        <w:widowControl w:val="0"/>
        <w:kinsoku/>
        <w:wordWrap/>
        <w:overflowPunct/>
        <w:topLinePunct w:val="0"/>
        <w:autoSpaceDE/>
        <w:autoSpaceDN/>
        <w:bidi w:val="0"/>
        <w:adjustRightInd/>
        <w:snapToGrid w:val="0"/>
        <w:ind w:left="2" w:leftChars="1" w:firstLine="480" w:firstLineChars="200"/>
        <w:textAlignment w:val="auto"/>
        <w:rPr>
          <w:rFonts w:ascii="微软雅黑" w:hAnsi="微软雅黑" w:eastAsia="微软雅黑"/>
          <w:b/>
          <w:kern w:val="2"/>
          <w:sz w:val="24"/>
          <w:szCs w:val="24"/>
        </w:rPr>
      </w:pPr>
      <w:r>
        <w:rPr>
          <w:rFonts w:ascii="微软雅黑" w:hAnsi="微软雅黑" w:eastAsia="微软雅黑"/>
          <w:b/>
          <w:kern w:val="2"/>
          <w:sz w:val="24"/>
          <w:szCs w:val="24"/>
        </w:rPr>
        <w:t>（</w:t>
      </w:r>
      <w:r>
        <w:rPr>
          <w:rFonts w:hint="eastAsia" w:ascii="微软雅黑" w:hAnsi="微软雅黑" w:eastAsia="微软雅黑"/>
          <w:b/>
          <w:kern w:val="2"/>
          <w:sz w:val="24"/>
          <w:szCs w:val="24"/>
        </w:rPr>
        <w:t>5</w:t>
      </w:r>
      <w:r>
        <w:rPr>
          <w:rFonts w:ascii="微软雅黑" w:hAnsi="微软雅黑" w:eastAsia="微软雅黑"/>
          <w:b/>
          <w:kern w:val="2"/>
          <w:sz w:val="24"/>
          <w:szCs w:val="24"/>
        </w:rPr>
        <w:t>）与</w:t>
      </w:r>
      <w:r>
        <w:rPr>
          <w:rFonts w:hint="eastAsia" w:ascii="微软雅黑" w:hAnsi="微软雅黑" w:eastAsia="微软雅黑"/>
          <w:b/>
          <w:kern w:val="2"/>
          <w:sz w:val="24"/>
          <w:szCs w:val="24"/>
        </w:rPr>
        <w:t>投标人</w:t>
      </w:r>
      <w:r>
        <w:rPr>
          <w:rFonts w:ascii="微软雅黑" w:hAnsi="微软雅黑" w:eastAsia="微软雅黑"/>
          <w:b/>
          <w:kern w:val="2"/>
          <w:sz w:val="24"/>
          <w:szCs w:val="24"/>
        </w:rPr>
        <w:t>有其他可能影响政府采购活动公平、公正进行的关系。</w:t>
      </w:r>
    </w:p>
    <w:p>
      <w:pPr>
        <w:pStyle w:val="27"/>
        <w:keepNext w:val="0"/>
        <w:keepLines w:val="0"/>
        <w:pageBreakBefore w:val="0"/>
        <w:widowControl w:val="0"/>
        <w:kinsoku/>
        <w:wordWrap/>
        <w:overflowPunct/>
        <w:topLinePunct w:val="0"/>
        <w:autoSpaceDE/>
        <w:autoSpaceDN/>
        <w:bidi w:val="0"/>
        <w:adjustRightInd/>
        <w:snapToGrid w:val="0"/>
        <w:ind w:left="2" w:leftChars="1" w:firstLine="480" w:firstLineChars="200"/>
        <w:textAlignment w:val="auto"/>
        <w:rPr>
          <w:rFonts w:ascii="微软雅黑" w:hAnsi="微软雅黑" w:eastAsia="微软雅黑"/>
          <w:b/>
          <w:kern w:val="2"/>
          <w:sz w:val="24"/>
          <w:szCs w:val="24"/>
        </w:rPr>
      </w:pPr>
      <w:r>
        <w:rPr>
          <w:rFonts w:hint="eastAsia" w:ascii="微软雅黑" w:hAnsi="微软雅黑" w:eastAsia="微软雅黑"/>
          <w:b/>
          <w:kern w:val="2"/>
          <w:sz w:val="24"/>
          <w:szCs w:val="24"/>
        </w:rPr>
        <w:t>投标人</w:t>
      </w:r>
      <w:r>
        <w:rPr>
          <w:rFonts w:ascii="微软雅黑" w:hAnsi="微软雅黑" w:eastAsia="微软雅黑"/>
          <w:b/>
          <w:kern w:val="2"/>
          <w:sz w:val="24"/>
          <w:szCs w:val="24"/>
        </w:rPr>
        <w:t>认为采购人员及相关人员与其他</w:t>
      </w:r>
      <w:r>
        <w:rPr>
          <w:rFonts w:hint="eastAsia" w:ascii="微软雅黑" w:hAnsi="微软雅黑" w:eastAsia="微软雅黑"/>
          <w:b/>
          <w:kern w:val="2"/>
          <w:sz w:val="24"/>
          <w:szCs w:val="24"/>
        </w:rPr>
        <w:t>投标人</w:t>
      </w:r>
      <w:r>
        <w:rPr>
          <w:rFonts w:ascii="微软雅黑" w:hAnsi="微软雅黑" w:eastAsia="微软雅黑"/>
          <w:b/>
          <w:kern w:val="2"/>
          <w:sz w:val="24"/>
          <w:szCs w:val="24"/>
        </w:rPr>
        <w:t>有利害关系的，可以向采购人或者采购代理机构书面提出回避申请，并说明理由。采购人或者采购代理机构应当及时询问被申请回避人员，有利害关系的被申请回避人员应当回避。</w:t>
      </w:r>
    </w:p>
    <w:p>
      <w:pPr>
        <w:pStyle w:val="7"/>
        <w:keepNext w:val="0"/>
        <w:keepLines w:val="0"/>
        <w:pageBreakBefore w:val="0"/>
        <w:widowControl w:val="0"/>
        <w:kinsoku/>
        <w:wordWrap/>
        <w:overflowPunct/>
        <w:topLinePunct w:val="0"/>
        <w:autoSpaceDE/>
        <w:autoSpaceDN/>
        <w:bidi w:val="0"/>
        <w:adjustRightInd/>
        <w:spacing w:before="0" w:after="0" w:line="240" w:lineRule="auto"/>
        <w:ind w:left="420" w:leftChars="200"/>
        <w:textAlignment w:val="auto"/>
        <w:rPr>
          <w:rFonts w:ascii="微软雅黑" w:hAnsi="微软雅黑" w:eastAsia="微软雅黑"/>
          <w:sz w:val="24"/>
        </w:rPr>
      </w:pPr>
      <w:r>
        <w:rPr>
          <w:rFonts w:hint="eastAsia" w:ascii="微软雅黑" w:hAnsi="微软雅黑" w:eastAsia="微软雅黑"/>
          <w:sz w:val="24"/>
        </w:rPr>
        <w:t>8.6有下列情形之一的视为投标人相互串通投标，投标文件将被视为无效：</w:t>
      </w:r>
    </w:p>
    <w:p>
      <w:pPr>
        <w:pStyle w:val="27"/>
        <w:keepNext w:val="0"/>
        <w:keepLines w:val="0"/>
        <w:pageBreakBefore w:val="0"/>
        <w:widowControl w:val="0"/>
        <w:kinsoku/>
        <w:wordWrap/>
        <w:overflowPunct/>
        <w:topLinePunct w:val="0"/>
        <w:autoSpaceDE/>
        <w:autoSpaceDN/>
        <w:bidi w:val="0"/>
        <w:adjustRightInd/>
        <w:snapToGrid w:val="0"/>
        <w:ind w:left="2" w:leftChars="1" w:firstLine="480" w:firstLineChars="200"/>
        <w:textAlignment w:val="auto"/>
        <w:rPr>
          <w:rFonts w:ascii="微软雅黑" w:hAnsi="微软雅黑" w:eastAsia="微软雅黑"/>
          <w:b/>
          <w:kern w:val="2"/>
          <w:sz w:val="24"/>
          <w:szCs w:val="24"/>
        </w:rPr>
      </w:pPr>
      <w:r>
        <w:rPr>
          <w:rFonts w:hint="eastAsia" w:ascii="微软雅黑" w:hAnsi="微软雅黑" w:eastAsia="微软雅黑"/>
          <w:b/>
          <w:kern w:val="2"/>
          <w:sz w:val="24"/>
          <w:szCs w:val="24"/>
        </w:rPr>
        <w:t>（1）不同投标人的投标文件由同一单位或者个人编制；或不同投标人报名的IP地址一致的；</w:t>
      </w:r>
    </w:p>
    <w:p>
      <w:pPr>
        <w:pStyle w:val="27"/>
        <w:keepNext w:val="0"/>
        <w:keepLines w:val="0"/>
        <w:pageBreakBefore w:val="0"/>
        <w:widowControl w:val="0"/>
        <w:kinsoku/>
        <w:wordWrap/>
        <w:overflowPunct/>
        <w:topLinePunct w:val="0"/>
        <w:autoSpaceDE/>
        <w:autoSpaceDN/>
        <w:bidi w:val="0"/>
        <w:adjustRightInd/>
        <w:snapToGrid w:val="0"/>
        <w:ind w:left="2" w:leftChars="1" w:firstLine="480" w:firstLineChars="200"/>
        <w:textAlignment w:val="auto"/>
        <w:rPr>
          <w:rFonts w:ascii="微软雅黑" w:hAnsi="微软雅黑" w:eastAsia="微软雅黑"/>
          <w:b/>
          <w:kern w:val="2"/>
          <w:sz w:val="24"/>
          <w:szCs w:val="24"/>
        </w:rPr>
      </w:pPr>
      <w:r>
        <w:rPr>
          <w:rFonts w:hint="eastAsia" w:ascii="微软雅黑" w:hAnsi="微软雅黑" w:eastAsia="微软雅黑"/>
          <w:b/>
          <w:kern w:val="2"/>
          <w:sz w:val="24"/>
          <w:szCs w:val="24"/>
        </w:rPr>
        <w:t>（2）不同投标人委托同一单位或者个人办理投标事宜；</w:t>
      </w:r>
    </w:p>
    <w:p>
      <w:pPr>
        <w:pStyle w:val="27"/>
        <w:keepNext w:val="0"/>
        <w:keepLines w:val="0"/>
        <w:pageBreakBefore w:val="0"/>
        <w:widowControl w:val="0"/>
        <w:kinsoku/>
        <w:wordWrap/>
        <w:overflowPunct/>
        <w:topLinePunct w:val="0"/>
        <w:autoSpaceDE/>
        <w:autoSpaceDN/>
        <w:bidi w:val="0"/>
        <w:adjustRightInd/>
        <w:snapToGrid w:val="0"/>
        <w:ind w:left="2" w:leftChars="1" w:firstLine="480" w:firstLineChars="200"/>
        <w:textAlignment w:val="auto"/>
        <w:rPr>
          <w:rFonts w:ascii="微软雅黑" w:hAnsi="微软雅黑" w:eastAsia="微软雅黑"/>
          <w:b/>
          <w:kern w:val="2"/>
          <w:sz w:val="24"/>
          <w:szCs w:val="24"/>
        </w:rPr>
      </w:pPr>
      <w:r>
        <w:rPr>
          <w:rFonts w:hint="eastAsia" w:ascii="微软雅黑" w:hAnsi="微软雅黑" w:eastAsia="微软雅黑"/>
          <w:b/>
          <w:kern w:val="2"/>
          <w:sz w:val="24"/>
          <w:szCs w:val="24"/>
        </w:rPr>
        <w:t>（3）不同的投标人的投标文件载明的项目管理员为同一个人；</w:t>
      </w:r>
    </w:p>
    <w:p>
      <w:pPr>
        <w:pStyle w:val="27"/>
        <w:keepNext w:val="0"/>
        <w:keepLines w:val="0"/>
        <w:pageBreakBefore w:val="0"/>
        <w:widowControl w:val="0"/>
        <w:kinsoku/>
        <w:wordWrap/>
        <w:overflowPunct/>
        <w:topLinePunct w:val="0"/>
        <w:autoSpaceDE/>
        <w:autoSpaceDN/>
        <w:bidi w:val="0"/>
        <w:adjustRightInd/>
        <w:snapToGrid w:val="0"/>
        <w:ind w:left="2" w:leftChars="1" w:firstLine="480" w:firstLineChars="200"/>
        <w:textAlignment w:val="auto"/>
        <w:rPr>
          <w:rFonts w:ascii="微软雅黑" w:hAnsi="微软雅黑" w:eastAsia="微软雅黑"/>
          <w:b/>
          <w:kern w:val="2"/>
          <w:sz w:val="24"/>
          <w:szCs w:val="24"/>
        </w:rPr>
      </w:pPr>
      <w:r>
        <w:rPr>
          <w:rFonts w:hint="eastAsia" w:ascii="微软雅黑" w:hAnsi="微软雅黑" w:eastAsia="微软雅黑"/>
          <w:b/>
          <w:kern w:val="2"/>
          <w:sz w:val="24"/>
          <w:szCs w:val="24"/>
        </w:rPr>
        <w:t>（4）不同投标人的投标文件异常一致或投标报价呈规律性差异；</w:t>
      </w:r>
    </w:p>
    <w:p>
      <w:pPr>
        <w:pStyle w:val="27"/>
        <w:keepNext w:val="0"/>
        <w:keepLines w:val="0"/>
        <w:pageBreakBefore w:val="0"/>
        <w:widowControl w:val="0"/>
        <w:kinsoku/>
        <w:wordWrap/>
        <w:overflowPunct/>
        <w:topLinePunct w:val="0"/>
        <w:autoSpaceDE/>
        <w:autoSpaceDN/>
        <w:bidi w:val="0"/>
        <w:adjustRightInd/>
        <w:snapToGrid w:val="0"/>
        <w:ind w:left="2" w:leftChars="1" w:firstLine="480" w:firstLineChars="200"/>
        <w:textAlignment w:val="auto"/>
        <w:rPr>
          <w:rFonts w:ascii="微软雅黑" w:hAnsi="微软雅黑" w:eastAsia="微软雅黑"/>
          <w:b/>
          <w:kern w:val="2"/>
          <w:sz w:val="24"/>
          <w:szCs w:val="24"/>
        </w:rPr>
      </w:pPr>
      <w:r>
        <w:rPr>
          <w:rFonts w:hint="eastAsia" w:ascii="微软雅黑" w:hAnsi="微软雅黑" w:eastAsia="微软雅黑"/>
          <w:b/>
          <w:kern w:val="2"/>
          <w:sz w:val="24"/>
          <w:szCs w:val="24"/>
        </w:rPr>
        <w:t>（5）不同投标人的投标文件相互混装；</w:t>
      </w:r>
    </w:p>
    <w:p>
      <w:pPr>
        <w:pStyle w:val="7"/>
        <w:keepNext w:val="0"/>
        <w:keepLines w:val="0"/>
        <w:pageBreakBefore w:val="0"/>
        <w:widowControl w:val="0"/>
        <w:kinsoku/>
        <w:wordWrap/>
        <w:overflowPunct/>
        <w:topLinePunct w:val="0"/>
        <w:autoSpaceDE/>
        <w:autoSpaceDN/>
        <w:bidi w:val="0"/>
        <w:adjustRightInd/>
        <w:spacing w:before="0" w:after="0" w:line="240" w:lineRule="auto"/>
        <w:ind w:left="420" w:leftChars="200"/>
        <w:textAlignment w:val="auto"/>
        <w:rPr>
          <w:rFonts w:ascii="微软雅黑" w:hAnsi="微软雅黑" w:eastAsia="微软雅黑"/>
          <w:sz w:val="24"/>
        </w:rPr>
      </w:pPr>
      <w:r>
        <w:rPr>
          <w:rFonts w:hint="eastAsia" w:ascii="微软雅黑" w:hAnsi="微软雅黑" w:eastAsia="微软雅黑"/>
          <w:sz w:val="24"/>
        </w:rPr>
        <w:t>8.7供应商有下列情形之一的，属于恶意串通行为：</w:t>
      </w:r>
    </w:p>
    <w:p>
      <w:pPr>
        <w:pStyle w:val="27"/>
        <w:keepNext w:val="0"/>
        <w:keepLines w:val="0"/>
        <w:pageBreakBefore w:val="0"/>
        <w:widowControl w:val="0"/>
        <w:kinsoku/>
        <w:wordWrap/>
        <w:overflowPunct/>
        <w:topLinePunct w:val="0"/>
        <w:autoSpaceDE/>
        <w:autoSpaceDN/>
        <w:bidi w:val="0"/>
        <w:adjustRightInd/>
        <w:snapToGrid w:val="0"/>
        <w:ind w:left="2" w:leftChars="1" w:firstLine="480" w:firstLineChars="200"/>
        <w:textAlignment w:val="auto"/>
        <w:rPr>
          <w:rFonts w:ascii="微软雅黑" w:hAnsi="微软雅黑" w:eastAsia="微软雅黑"/>
          <w:b/>
          <w:kern w:val="2"/>
          <w:sz w:val="24"/>
          <w:szCs w:val="24"/>
        </w:rPr>
      </w:pPr>
      <w:r>
        <w:rPr>
          <w:rFonts w:hint="eastAsia" w:ascii="微软雅黑" w:hAnsi="微软雅黑" w:eastAsia="微软雅黑"/>
          <w:b/>
          <w:kern w:val="2"/>
          <w:sz w:val="24"/>
          <w:szCs w:val="24"/>
        </w:rPr>
        <w:t>（1）供应商直接或者间接从采购人或者采购代理机构处获得其他供应商的相关信息并修改其投标文件或者响应文件：</w:t>
      </w:r>
    </w:p>
    <w:p>
      <w:pPr>
        <w:pStyle w:val="27"/>
        <w:snapToGrid w:val="0"/>
        <w:ind w:left="2" w:leftChars="1" w:firstLine="480" w:firstLineChars="200"/>
        <w:rPr>
          <w:rFonts w:ascii="微软雅黑" w:hAnsi="微软雅黑" w:eastAsia="微软雅黑"/>
          <w:b/>
          <w:kern w:val="2"/>
          <w:sz w:val="24"/>
          <w:szCs w:val="24"/>
        </w:rPr>
      </w:pPr>
      <w:r>
        <w:rPr>
          <w:rFonts w:hint="eastAsia" w:ascii="微软雅黑" w:hAnsi="微软雅黑" w:eastAsia="微软雅黑"/>
          <w:b/>
          <w:kern w:val="2"/>
          <w:sz w:val="24"/>
          <w:szCs w:val="24"/>
        </w:rPr>
        <w:t>（2）供应商按照采购人或者采购代理机构的授意撤换、修改投标文件或者响应文件；</w:t>
      </w:r>
    </w:p>
    <w:p>
      <w:pPr>
        <w:pStyle w:val="27"/>
        <w:snapToGrid w:val="0"/>
        <w:ind w:left="2" w:leftChars="1" w:firstLine="480" w:firstLineChars="200"/>
        <w:rPr>
          <w:rFonts w:ascii="微软雅黑" w:hAnsi="微软雅黑" w:eastAsia="微软雅黑"/>
          <w:b/>
          <w:kern w:val="2"/>
          <w:sz w:val="24"/>
          <w:szCs w:val="24"/>
        </w:rPr>
      </w:pPr>
      <w:r>
        <w:rPr>
          <w:rFonts w:hint="eastAsia" w:ascii="微软雅黑" w:hAnsi="微软雅黑" w:eastAsia="微软雅黑"/>
          <w:b/>
          <w:kern w:val="2"/>
          <w:sz w:val="24"/>
          <w:szCs w:val="24"/>
        </w:rPr>
        <w:t>（3）供应商之间协商报价、技术方案等投标文件或者响应文件的实质性内容；</w:t>
      </w:r>
    </w:p>
    <w:p>
      <w:pPr>
        <w:pStyle w:val="27"/>
        <w:snapToGrid w:val="0"/>
        <w:ind w:left="2" w:leftChars="1" w:firstLine="480" w:firstLineChars="200"/>
        <w:rPr>
          <w:rFonts w:ascii="微软雅黑" w:hAnsi="微软雅黑" w:eastAsia="微软雅黑"/>
          <w:b/>
          <w:kern w:val="2"/>
          <w:sz w:val="24"/>
          <w:szCs w:val="24"/>
        </w:rPr>
      </w:pPr>
      <w:r>
        <w:rPr>
          <w:rFonts w:hint="eastAsia" w:ascii="微软雅黑" w:hAnsi="微软雅黑" w:eastAsia="微软雅黑"/>
          <w:b/>
          <w:kern w:val="2"/>
          <w:sz w:val="24"/>
          <w:szCs w:val="24"/>
        </w:rPr>
        <w:t>（4）属于同一集团、协会、商会等组织成员的供应商按照该组织要求协同参加政府采购活动；</w:t>
      </w:r>
    </w:p>
    <w:p>
      <w:pPr>
        <w:pStyle w:val="27"/>
        <w:snapToGrid w:val="0"/>
        <w:ind w:left="2" w:leftChars="1" w:firstLine="480" w:firstLineChars="200"/>
        <w:rPr>
          <w:rFonts w:ascii="微软雅黑" w:hAnsi="微软雅黑" w:eastAsia="微软雅黑"/>
          <w:b/>
          <w:kern w:val="2"/>
          <w:sz w:val="24"/>
          <w:szCs w:val="24"/>
        </w:rPr>
      </w:pPr>
      <w:r>
        <w:rPr>
          <w:rFonts w:hint="eastAsia" w:ascii="微软雅黑" w:hAnsi="微软雅黑" w:eastAsia="微软雅黑"/>
          <w:b/>
          <w:kern w:val="2"/>
          <w:sz w:val="24"/>
          <w:szCs w:val="24"/>
        </w:rPr>
        <w:t>（5）供应商之间事先约定一致抬高或者压低投标报价,或者在招标项目中事先约定轮流以高价位或者低价位中标,或者事先约定由某一特定供应商中标,然后再参加投标；</w:t>
      </w:r>
    </w:p>
    <w:p>
      <w:pPr>
        <w:pStyle w:val="27"/>
        <w:snapToGrid w:val="0"/>
        <w:ind w:left="2" w:leftChars="1" w:firstLine="480" w:firstLineChars="200"/>
        <w:rPr>
          <w:rFonts w:ascii="微软雅黑" w:hAnsi="微软雅黑" w:eastAsia="微软雅黑"/>
          <w:b/>
          <w:kern w:val="2"/>
          <w:sz w:val="24"/>
          <w:szCs w:val="24"/>
        </w:rPr>
      </w:pPr>
      <w:r>
        <w:rPr>
          <w:rFonts w:hint="eastAsia" w:ascii="微软雅黑" w:hAnsi="微软雅黑" w:eastAsia="微软雅黑"/>
          <w:b/>
          <w:kern w:val="2"/>
          <w:sz w:val="24"/>
          <w:szCs w:val="24"/>
        </w:rPr>
        <w:t>（6）供应商之间商定部分供应商放弃参加政府采购活动或者放弃中标；</w:t>
      </w:r>
    </w:p>
    <w:p>
      <w:pPr>
        <w:pStyle w:val="27"/>
        <w:snapToGrid w:val="0"/>
        <w:ind w:left="2" w:leftChars="1" w:firstLine="480" w:firstLineChars="200"/>
        <w:rPr>
          <w:rFonts w:ascii="微软雅黑" w:hAnsi="微软雅黑" w:eastAsia="微软雅黑"/>
          <w:b/>
          <w:kern w:val="2"/>
          <w:sz w:val="24"/>
          <w:szCs w:val="24"/>
        </w:rPr>
      </w:pPr>
      <w:r>
        <w:rPr>
          <w:rFonts w:hint="eastAsia" w:ascii="微软雅黑" w:hAnsi="微软雅黑" w:eastAsia="微软雅黑"/>
          <w:b/>
          <w:kern w:val="2"/>
          <w:sz w:val="24"/>
          <w:szCs w:val="24"/>
        </w:rPr>
        <w:t>（7）供应商与采购人或者采购代理机构之间、供应商相互之间，为谋求特定供应商中标或者排斥其他供应商的其他串通行为。</w:t>
      </w:r>
    </w:p>
    <w:p>
      <w:pPr>
        <w:pStyle w:val="7"/>
        <w:spacing w:before="0" w:after="0" w:line="240" w:lineRule="auto"/>
        <w:ind w:left="420" w:leftChars="200"/>
        <w:rPr>
          <w:rFonts w:ascii="微软雅黑" w:hAnsi="微软雅黑" w:eastAsia="微软雅黑"/>
          <w:sz w:val="24"/>
        </w:rPr>
      </w:pPr>
      <w:r>
        <w:rPr>
          <w:rFonts w:hint="eastAsia" w:ascii="微软雅黑" w:hAnsi="微软雅黑" w:eastAsia="微软雅黑"/>
          <w:sz w:val="24"/>
        </w:rPr>
        <w:t>8.8关联供应商不得参加同一合同项下政府采购活动，否则投标文件将被视为无效：</w:t>
      </w:r>
    </w:p>
    <w:p>
      <w:pPr>
        <w:pStyle w:val="27"/>
        <w:snapToGrid w:val="0"/>
        <w:ind w:left="2" w:leftChars="1" w:firstLine="480" w:firstLineChars="200"/>
        <w:rPr>
          <w:rFonts w:ascii="微软雅黑" w:hAnsi="微软雅黑" w:eastAsia="微软雅黑"/>
          <w:b/>
          <w:kern w:val="2"/>
          <w:sz w:val="24"/>
          <w:szCs w:val="24"/>
        </w:rPr>
      </w:pPr>
      <w:r>
        <w:rPr>
          <w:rFonts w:hint="eastAsia" w:ascii="微软雅黑" w:hAnsi="微软雅黑" w:eastAsia="微软雅黑"/>
          <w:b/>
          <w:kern w:val="2"/>
          <w:sz w:val="24"/>
          <w:szCs w:val="24"/>
        </w:rPr>
        <w:t>（1）单位负责人为同一人或者存在直接控股、管理关系的不同的供应商，不得参加同一合同项下的政府采购活动；</w:t>
      </w:r>
    </w:p>
    <w:p>
      <w:pPr>
        <w:pStyle w:val="27"/>
        <w:snapToGrid w:val="0"/>
        <w:ind w:left="2" w:leftChars="1" w:firstLine="480" w:firstLineChars="200"/>
        <w:rPr>
          <w:rFonts w:hAnsi="宋体"/>
          <w:sz w:val="21"/>
        </w:rPr>
      </w:pPr>
      <w:r>
        <w:rPr>
          <w:rFonts w:hint="eastAsia" w:ascii="微软雅黑" w:hAnsi="微软雅黑" w:eastAsia="微软雅黑"/>
          <w:b/>
          <w:kern w:val="2"/>
          <w:sz w:val="24"/>
          <w:szCs w:val="24"/>
        </w:rPr>
        <w:t>（2）生产厂商授权给供应商后自己不得参加同一合同项下的政府采购活动；生产厂商对同一品牌同一型号的货物，仅能委托一个代理商参加投标。</w:t>
      </w:r>
    </w:p>
    <w:p>
      <w:pPr>
        <w:pStyle w:val="27"/>
        <w:snapToGrid w:val="0"/>
        <w:ind w:left="2" w:leftChars="1" w:firstLine="420" w:firstLineChars="200"/>
        <w:rPr>
          <w:rFonts w:hAnsi="宋体"/>
          <w:sz w:val="21"/>
        </w:rPr>
      </w:pPr>
    </w:p>
    <w:p>
      <w:pPr>
        <w:pStyle w:val="7"/>
        <w:spacing w:before="0" w:after="0" w:line="240" w:lineRule="auto"/>
        <w:ind w:left="420" w:leftChars="200"/>
        <w:rPr>
          <w:rFonts w:ascii="宋体" w:hAnsi="宋体"/>
          <w:sz w:val="21"/>
          <w:szCs w:val="21"/>
        </w:rPr>
      </w:pPr>
      <w:r>
        <w:rPr>
          <w:rFonts w:hint="eastAsia" w:ascii="宋体" w:hAnsi="宋体"/>
          <w:sz w:val="21"/>
          <w:szCs w:val="21"/>
        </w:rPr>
        <w:t>9.质疑和投诉</w:t>
      </w:r>
    </w:p>
    <w:p>
      <w:pPr>
        <w:pStyle w:val="7"/>
        <w:spacing w:before="0" w:after="0" w:line="240" w:lineRule="auto"/>
        <w:ind w:firstLine="315" w:firstLineChars="150"/>
        <w:rPr>
          <w:rFonts w:ascii="宋体" w:hAnsi="宋体"/>
          <w:b w:val="0"/>
          <w:sz w:val="21"/>
          <w:szCs w:val="21"/>
        </w:rPr>
      </w:pPr>
      <w:r>
        <w:rPr>
          <w:rFonts w:hint="eastAsia" w:ascii="宋体" w:hAnsi="宋体"/>
          <w:b w:val="0"/>
          <w:sz w:val="21"/>
          <w:szCs w:val="21"/>
        </w:rPr>
        <w:t xml:space="preserve"> 9.1投标人认为招标文件、采购过程或中标结果使自己的合法权益受到损害的，应当在知道或者应知其权益受到损害之日起七个工作日内，以书面形式向采购人、采购代理机构提出质疑。权益受到损害之日是指： </w:t>
      </w:r>
    </w:p>
    <w:p>
      <w:pPr>
        <w:pStyle w:val="27"/>
        <w:snapToGrid w:val="0"/>
        <w:ind w:firstLine="420" w:firstLineChars="200"/>
        <w:rPr>
          <w:rFonts w:hAnsi="宋体"/>
          <w:sz w:val="21"/>
        </w:rPr>
      </w:pPr>
      <w:r>
        <w:rPr>
          <w:rFonts w:hAnsi="宋体"/>
          <w:sz w:val="21"/>
        </w:rPr>
        <w:t>（</w:t>
      </w:r>
      <w:r>
        <w:rPr>
          <w:rFonts w:hint="eastAsia" w:hAnsi="宋体"/>
          <w:sz w:val="21"/>
        </w:rPr>
        <w:t>1</w:t>
      </w:r>
      <w:r>
        <w:rPr>
          <w:rFonts w:hAnsi="宋体"/>
          <w:sz w:val="21"/>
        </w:rPr>
        <w:t>）对可以质疑的</w:t>
      </w:r>
      <w:r>
        <w:rPr>
          <w:rFonts w:hint="eastAsia" w:hAnsi="宋体"/>
          <w:sz w:val="21"/>
        </w:rPr>
        <w:t>招标</w:t>
      </w:r>
      <w:r>
        <w:rPr>
          <w:rFonts w:hAnsi="宋体"/>
          <w:sz w:val="21"/>
        </w:rPr>
        <w:t>文件提出质疑的，为收到</w:t>
      </w:r>
      <w:r>
        <w:rPr>
          <w:rFonts w:hint="eastAsia" w:hAnsi="宋体"/>
          <w:sz w:val="21"/>
        </w:rPr>
        <w:t>招标</w:t>
      </w:r>
      <w:r>
        <w:rPr>
          <w:rFonts w:hAnsi="宋体"/>
          <w:sz w:val="21"/>
        </w:rPr>
        <w:t>文件之日</w:t>
      </w:r>
      <w:r>
        <w:rPr>
          <w:rFonts w:hint="eastAsia" w:hAnsi="宋体"/>
          <w:sz w:val="21"/>
        </w:rPr>
        <w:t>或者招标文件公告期限届满之日</w:t>
      </w:r>
      <w:r>
        <w:rPr>
          <w:rFonts w:hAnsi="宋体"/>
          <w:sz w:val="21"/>
        </w:rPr>
        <w:t>；</w:t>
      </w:r>
    </w:p>
    <w:p>
      <w:pPr>
        <w:pStyle w:val="27"/>
        <w:snapToGrid w:val="0"/>
        <w:ind w:firstLine="420" w:firstLineChars="200"/>
        <w:rPr>
          <w:rFonts w:hAnsi="宋体"/>
          <w:sz w:val="21"/>
        </w:rPr>
      </w:pPr>
      <w:r>
        <w:rPr>
          <w:rFonts w:hAnsi="宋体"/>
          <w:sz w:val="21"/>
        </w:rPr>
        <w:t>（</w:t>
      </w:r>
      <w:r>
        <w:rPr>
          <w:rFonts w:hint="eastAsia" w:hAnsi="宋体"/>
          <w:sz w:val="21"/>
        </w:rPr>
        <w:t>2</w:t>
      </w:r>
      <w:r>
        <w:rPr>
          <w:rFonts w:hAnsi="宋体"/>
          <w:sz w:val="21"/>
        </w:rPr>
        <w:t>）对</w:t>
      </w:r>
      <w:r>
        <w:rPr>
          <w:rFonts w:hint="eastAsia" w:hAnsi="宋体"/>
          <w:sz w:val="21"/>
        </w:rPr>
        <w:t>采购</w:t>
      </w:r>
      <w:r>
        <w:rPr>
          <w:rFonts w:hAnsi="宋体"/>
          <w:sz w:val="21"/>
        </w:rPr>
        <w:t>过程提出质疑的，为各采购程序环节结束之日；</w:t>
      </w:r>
    </w:p>
    <w:p>
      <w:pPr>
        <w:pStyle w:val="27"/>
        <w:snapToGrid w:val="0"/>
        <w:ind w:firstLine="420" w:firstLineChars="200"/>
        <w:rPr>
          <w:rFonts w:hAnsi="宋体"/>
          <w:bCs/>
          <w:sz w:val="21"/>
        </w:rPr>
      </w:pPr>
      <w:r>
        <w:rPr>
          <w:rFonts w:hAnsi="宋体"/>
          <w:sz w:val="21"/>
        </w:rPr>
        <w:t>（</w:t>
      </w:r>
      <w:r>
        <w:rPr>
          <w:rFonts w:hint="eastAsia" w:hAnsi="宋体"/>
          <w:sz w:val="21"/>
        </w:rPr>
        <w:t>3</w:t>
      </w:r>
      <w:r>
        <w:rPr>
          <w:rFonts w:hAnsi="宋体"/>
          <w:sz w:val="21"/>
        </w:rPr>
        <w:t>）对中标结果提出质疑的，为中标结果公告期限届满之日。</w:t>
      </w:r>
    </w:p>
    <w:p>
      <w:pPr>
        <w:pStyle w:val="27"/>
        <w:snapToGrid w:val="0"/>
        <w:ind w:firstLine="420" w:firstLineChars="200"/>
        <w:rPr>
          <w:rFonts w:hAnsi="宋体"/>
          <w:bCs/>
          <w:sz w:val="21"/>
        </w:rPr>
      </w:pPr>
      <w:r>
        <w:rPr>
          <w:rFonts w:hint="eastAsia" w:hAnsi="宋体"/>
          <w:sz w:val="21"/>
        </w:rPr>
        <w:t>投标人对采购人、采购代理机构的质疑答复不满意，或者采购人、采购代理机构未在规定时间内作出答复的，可以在答复期满后十五个工作日内向同级政府采购监管部门投诉。</w:t>
      </w:r>
    </w:p>
    <w:p>
      <w:pPr>
        <w:pStyle w:val="7"/>
        <w:spacing w:before="0" w:after="0" w:line="240" w:lineRule="auto"/>
        <w:ind w:firstLine="315" w:firstLineChars="150"/>
        <w:rPr>
          <w:rFonts w:ascii="宋体" w:hAnsi="宋体"/>
          <w:b w:val="0"/>
          <w:sz w:val="21"/>
          <w:szCs w:val="21"/>
        </w:rPr>
      </w:pPr>
      <w:bookmarkStart w:id="39" w:name="_9.2质疑、投诉应当采用书面形式，质疑函、投诉书均应明确阐述招标文件、"/>
      <w:bookmarkEnd w:id="39"/>
      <w:r>
        <w:rPr>
          <w:rFonts w:hint="eastAsia" w:ascii="宋体" w:hAnsi="宋体"/>
          <w:b w:val="0"/>
          <w:sz w:val="21"/>
          <w:szCs w:val="21"/>
        </w:rPr>
        <w:t xml:space="preserve"> 9.2质疑、投诉应当采用书面形式，质疑函、投诉书均应明确阐述招标文件、采购过程或中标结果中使自己合法权益受到损害的实质性内容，提供相关事实、法律依据和证据及其来源或线索，便于有关单位调查、答复和处理。</w:t>
      </w:r>
    </w:p>
    <w:p>
      <w:pPr>
        <w:pStyle w:val="27"/>
        <w:snapToGrid w:val="0"/>
        <w:ind w:firstLine="420" w:firstLineChars="200"/>
        <w:rPr>
          <w:rFonts w:hAnsi="宋体"/>
          <w:bCs/>
          <w:sz w:val="21"/>
        </w:rPr>
      </w:pPr>
      <w:r>
        <w:rPr>
          <w:rFonts w:hAnsi="宋体"/>
          <w:bCs/>
          <w:sz w:val="21"/>
        </w:rPr>
        <w:t>供应商提出质疑应当提交质疑函和必要的证明材料</w:t>
      </w:r>
      <w:r>
        <w:rPr>
          <w:rFonts w:hint="eastAsia" w:hAnsi="宋体"/>
          <w:bCs/>
          <w:sz w:val="21"/>
        </w:rPr>
        <w:t>，</w:t>
      </w:r>
      <w:r>
        <w:rPr>
          <w:rFonts w:hAnsi="宋体"/>
          <w:bCs/>
          <w:sz w:val="21"/>
        </w:rPr>
        <w:t>针对同一采购程序环节的质疑</w:t>
      </w:r>
      <w:r>
        <w:rPr>
          <w:rFonts w:hint="eastAsia" w:hAnsi="宋体"/>
          <w:bCs/>
          <w:sz w:val="21"/>
        </w:rPr>
        <w:t>必须</w:t>
      </w:r>
      <w:r>
        <w:rPr>
          <w:rFonts w:hAnsi="宋体"/>
          <w:bCs/>
          <w:sz w:val="21"/>
        </w:rPr>
        <w:t>在法定质疑期内一次性提出。质疑函应当包括下列内容：</w:t>
      </w:r>
    </w:p>
    <w:p>
      <w:pPr>
        <w:pStyle w:val="27"/>
        <w:snapToGrid w:val="0"/>
        <w:ind w:firstLine="420" w:firstLineChars="200"/>
        <w:rPr>
          <w:rFonts w:hAnsi="宋体"/>
          <w:bCs/>
          <w:sz w:val="21"/>
        </w:rPr>
      </w:pPr>
      <w:r>
        <w:rPr>
          <w:rFonts w:hAnsi="宋体"/>
          <w:bCs/>
          <w:sz w:val="21"/>
        </w:rPr>
        <w:t>（</w:t>
      </w:r>
      <w:r>
        <w:rPr>
          <w:rFonts w:hint="eastAsia" w:hAnsi="宋体"/>
          <w:bCs/>
          <w:sz w:val="21"/>
        </w:rPr>
        <w:t>1</w:t>
      </w:r>
      <w:r>
        <w:rPr>
          <w:rFonts w:hAnsi="宋体"/>
          <w:bCs/>
          <w:sz w:val="21"/>
        </w:rPr>
        <w:t>）供应商的姓名或者名称、地址、邮编、联系人及联系电话；</w:t>
      </w:r>
    </w:p>
    <w:p>
      <w:pPr>
        <w:pStyle w:val="27"/>
        <w:snapToGrid w:val="0"/>
        <w:ind w:firstLine="420" w:firstLineChars="200"/>
        <w:rPr>
          <w:rFonts w:hAnsi="宋体"/>
          <w:bCs/>
          <w:sz w:val="21"/>
        </w:rPr>
      </w:pPr>
      <w:r>
        <w:rPr>
          <w:rFonts w:hAnsi="宋体"/>
          <w:bCs/>
          <w:sz w:val="21"/>
        </w:rPr>
        <w:t>（</w:t>
      </w:r>
      <w:r>
        <w:rPr>
          <w:rFonts w:hint="eastAsia" w:hAnsi="宋体"/>
          <w:bCs/>
          <w:sz w:val="21"/>
        </w:rPr>
        <w:t>2</w:t>
      </w:r>
      <w:r>
        <w:rPr>
          <w:rFonts w:hAnsi="宋体"/>
          <w:bCs/>
          <w:sz w:val="21"/>
        </w:rPr>
        <w:t>）质疑项目的名称、编号；</w:t>
      </w:r>
    </w:p>
    <w:p>
      <w:pPr>
        <w:pStyle w:val="27"/>
        <w:snapToGrid w:val="0"/>
        <w:ind w:firstLine="420" w:firstLineChars="200"/>
        <w:rPr>
          <w:rFonts w:hAnsi="宋体"/>
          <w:bCs/>
          <w:sz w:val="21"/>
        </w:rPr>
      </w:pPr>
      <w:r>
        <w:rPr>
          <w:rFonts w:hAnsi="宋体"/>
          <w:bCs/>
          <w:sz w:val="21"/>
        </w:rPr>
        <w:t>（</w:t>
      </w:r>
      <w:r>
        <w:rPr>
          <w:rFonts w:hint="eastAsia" w:hAnsi="宋体"/>
          <w:bCs/>
          <w:sz w:val="21"/>
        </w:rPr>
        <w:t>3</w:t>
      </w:r>
      <w:r>
        <w:rPr>
          <w:rFonts w:hAnsi="宋体"/>
          <w:bCs/>
          <w:sz w:val="21"/>
        </w:rPr>
        <w:t>）具体、明确的质疑事项和与质疑事项相关的请求；</w:t>
      </w:r>
    </w:p>
    <w:p>
      <w:pPr>
        <w:pStyle w:val="27"/>
        <w:snapToGrid w:val="0"/>
        <w:ind w:firstLine="420" w:firstLineChars="200"/>
        <w:rPr>
          <w:rFonts w:hAnsi="宋体"/>
          <w:bCs/>
          <w:sz w:val="21"/>
        </w:rPr>
      </w:pPr>
      <w:r>
        <w:rPr>
          <w:rFonts w:hAnsi="宋体"/>
          <w:bCs/>
          <w:sz w:val="21"/>
        </w:rPr>
        <w:t>（</w:t>
      </w:r>
      <w:r>
        <w:rPr>
          <w:rFonts w:hint="eastAsia" w:hAnsi="宋体"/>
          <w:bCs/>
          <w:sz w:val="21"/>
        </w:rPr>
        <w:t>4</w:t>
      </w:r>
      <w:r>
        <w:rPr>
          <w:rFonts w:hAnsi="宋体"/>
          <w:bCs/>
          <w:sz w:val="21"/>
        </w:rPr>
        <w:t>）事实依据；</w:t>
      </w:r>
    </w:p>
    <w:p>
      <w:pPr>
        <w:pStyle w:val="27"/>
        <w:snapToGrid w:val="0"/>
        <w:ind w:firstLine="420" w:firstLineChars="200"/>
        <w:rPr>
          <w:rFonts w:hAnsi="宋体"/>
          <w:bCs/>
          <w:sz w:val="21"/>
        </w:rPr>
      </w:pPr>
      <w:r>
        <w:rPr>
          <w:rFonts w:hAnsi="宋体"/>
          <w:bCs/>
          <w:sz w:val="21"/>
        </w:rPr>
        <w:t>（</w:t>
      </w:r>
      <w:r>
        <w:rPr>
          <w:rFonts w:hint="eastAsia" w:hAnsi="宋体"/>
          <w:bCs/>
          <w:sz w:val="21"/>
        </w:rPr>
        <w:t>5</w:t>
      </w:r>
      <w:r>
        <w:rPr>
          <w:rFonts w:hAnsi="宋体"/>
          <w:bCs/>
          <w:sz w:val="21"/>
        </w:rPr>
        <w:t>）必要的法律依据；</w:t>
      </w:r>
    </w:p>
    <w:p>
      <w:pPr>
        <w:pStyle w:val="27"/>
        <w:snapToGrid w:val="0"/>
        <w:ind w:firstLine="420" w:firstLineChars="200"/>
        <w:rPr>
          <w:rFonts w:hAnsi="宋体"/>
          <w:bCs/>
          <w:sz w:val="21"/>
        </w:rPr>
      </w:pPr>
      <w:r>
        <w:rPr>
          <w:rFonts w:hAnsi="宋体"/>
          <w:bCs/>
          <w:sz w:val="21"/>
        </w:rPr>
        <w:t>（</w:t>
      </w:r>
      <w:r>
        <w:rPr>
          <w:rFonts w:hint="eastAsia" w:hAnsi="宋体"/>
          <w:bCs/>
          <w:sz w:val="21"/>
        </w:rPr>
        <w:t>6</w:t>
      </w:r>
      <w:r>
        <w:rPr>
          <w:rFonts w:hAnsi="宋体"/>
          <w:bCs/>
          <w:sz w:val="21"/>
        </w:rPr>
        <w:t>）提出质疑的日期。</w:t>
      </w:r>
    </w:p>
    <w:p>
      <w:pPr>
        <w:pStyle w:val="27"/>
        <w:snapToGrid w:val="0"/>
        <w:ind w:firstLine="420" w:firstLineChars="200"/>
        <w:rPr>
          <w:rFonts w:hAnsi="宋体"/>
          <w:bCs/>
          <w:sz w:val="21"/>
        </w:rPr>
      </w:pPr>
      <w:r>
        <w:rPr>
          <w:rFonts w:hAnsi="宋体"/>
          <w:bCs/>
          <w:sz w:val="21"/>
        </w:rPr>
        <w:t>供应商为自然人的，应当由本人签字；供应商为法人或者其他组织的，应当由法定代表人（负责人或自然人）、主要负责人，或者其委托代理人签字或者盖章，并加盖公章</w:t>
      </w:r>
    </w:p>
    <w:p>
      <w:pPr>
        <w:pStyle w:val="7"/>
        <w:spacing w:before="0" w:after="0" w:line="240" w:lineRule="auto"/>
        <w:ind w:firstLine="316" w:firstLineChars="150"/>
        <w:rPr>
          <w:rFonts w:hAnsi="宋体"/>
          <w:bCs/>
          <w:sz w:val="21"/>
        </w:rPr>
      </w:pPr>
      <w:r>
        <w:rPr>
          <w:rFonts w:hint="eastAsia" w:ascii="宋体" w:hAnsi="宋体"/>
          <w:sz w:val="21"/>
          <w:szCs w:val="21"/>
        </w:rPr>
        <w:t>9.3</w:t>
      </w:r>
      <w:r>
        <w:rPr>
          <w:rFonts w:hint="eastAsia" w:ascii="宋体" w:hAnsi="宋体"/>
          <w:b w:val="0"/>
          <w:sz w:val="21"/>
          <w:szCs w:val="21"/>
        </w:rPr>
        <w:t>投诉的权利。质疑供应商对采购人、采购代理机构的答复不满意，或者采购人、采购代理机构未在规定时间内作出答复的，可以在答复期满后15个工作日内向本办法第六条规定的财政部门提起投诉。</w:t>
      </w:r>
    </w:p>
    <w:p>
      <w:pPr>
        <w:pStyle w:val="27"/>
        <w:snapToGrid w:val="0"/>
        <w:rPr>
          <w:rFonts w:hAnsi="宋体"/>
          <w:bCs/>
          <w:sz w:val="21"/>
        </w:rPr>
      </w:pPr>
    </w:p>
    <w:p>
      <w:pPr>
        <w:pStyle w:val="5"/>
        <w:jc w:val="center"/>
        <w:rPr>
          <w:rFonts w:ascii="宋体" w:hAnsi="宋体"/>
          <w:b w:val="0"/>
          <w:sz w:val="21"/>
          <w:szCs w:val="21"/>
        </w:rPr>
      </w:pPr>
      <w:r>
        <w:rPr>
          <w:rFonts w:hint="eastAsia"/>
        </w:rPr>
        <w:t>二、招标文件</w:t>
      </w:r>
    </w:p>
    <w:p>
      <w:pPr>
        <w:pStyle w:val="7"/>
        <w:spacing w:before="0" w:after="0" w:line="240" w:lineRule="auto"/>
        <w:ind w:left="420" w:leftChars="200"/>
        <w:rPr>
          <w:rFonts w:ascii="宋体" w:hAnsi="宋体"/>
          <w:sz w:val="21"/>
          <w:szCs w:val="21"/>
        </w:rPr>
      </w:pPr>
      <w:r>
        <w:rPr>
          <w:rFonts w:hint="eastAsia" w:ascii="宋体" w:hAnsi="宋体"/>
          <w:sz w:val="21"/>
          <w:szCs w:val="21"/>
        </w:rPr>
        <w:t>10.招标文件的构成</w:t>
      </w:r>
    </w:p>
    <w:p>
      <w:pPr>
        <w:snapToGrid w:val="0"/>
        <w:ind w:firstLine="420"/>
        <w:jc w:val="left"/>
        <w:rPr>
          <w:rFonts w:ascii="宋体" w:hAnsi="宋体"/>
          <w:szCs w:val="21"/>
        </w:rPr>
      </w:pPr>
      <w:r>
        <w:rPr>
          <w:rFonts w:hint="eastAsia" w:ascii="宋体" w:hAnsi="宋体"/>
          <w:szCs w:val="21"/>
        </w:rPr>
        <w:t>（1）招标公告；</w:t>
      </w:r>
    </w:p>
    <w:p>
      <w:pPr>
        <w:snapToGrid w:val="0"/>
        <w:ind w:firstLine="420"/>
        <w:jc w:val="left"/>
        <w:rPr>
          <w:rFonts w:ascii="宋体" w:hAnsi="宋体"/>
          <w:szCs w:val="21"/>
        </w:rPr>
      </w:pPr>
      <w:r>
        <w:rPr>
          <w:rFonts w:hint="eastAsia" w:ascii="宋体" w:hAnsi="宋体"/>
          <w:szCs w:val="21"/>
        </w:rPr>
        <w:t xml:space="preserve">（2）采购需求； </w:t>
      </w:r>
    </w:p>
    <w:p>
      <w:pPr>
        <w:snapToGrid w:val="0"/>
        <w:ind w:firstLine="420"/>
        <w:jc w:val="left"/>
        <w:rPr>
          <w:rFonts w:ascii="宋体" w:hAnsi="宋体"/>
          <w:szCs w:val="21"/>
        </w:rPr>
      </w:pPr>
      <w:r>
        <w:rPr>
          <w:rFonts w:hint="eastAsia" w:ascii="宋体" w:hAnsi="宋体"/>
          <w:szCs w:val="21"/>
        </w:rPr>
        <w:t>（3）投标人须知；</w:t>
      </w:r>
    </w:p>
    <w:p>
      <w:pPr>
        <w:snapToGrid w:val="0"/>
        <w:ind w:firstLine="420"/>
        <w:jc w:val="left"/>
        <w:rPr>
          <w:rFonts w:ascii="宋体" w:hAnsi="宋体"/>
          <w:szCs w:val="21"/>
        </w:rPr>
      </w:pPr>
      <w:r>
        <w:rPr>
          <w:rFonts w:hint="eastAsia" w:ascii="宋体" w:hAnsi="宋体"/>
          <w:szCs w:val="21"/>
        </w:rPr>
        <w:t>（4）评标方法及评标标准；</w:t>
      </w:r>
    </w:p>
    <w:p>
      <w:pPr>
        <w:snapToGrid w:val="0"/>
        <w:ind w:firstLine="420"/>
        <w:jc w:val="left"/>
        <w:rPr>
          <w:rFonts w:ascii="宋体" w:hAnsi="宋体"/>
          <w:szCs w:val="21"/>
        </w:rPr>
      </w:pPr>
      <w:r>
        <w:rPr>
          <w:rFonts w:hint="eastAsia" w:ascii="宋体" w:hAnsi="宋体"/>
          <w:szCs w:val="21"/>
        </w:rPr>
        <w:t>（5）拟签订的合同文本；</w:t>
      </w:r>
    </w:p>
    <w:p>
      <w:pPr>
        <w:snapToGrid w:val="0"/>
        <w:ind w:firstLine="420"/>
        <w:jc w:val="left"/>
        <w:rPr>
          <w:rFonts w:ascii="宋体" w:hAnsi="宋体"/>
          <w:szCs w:val="21"/>
        </w:rPr>
      </w:pPr>
      <w:r>
        <w:rPr>
          <w:rFonts w:hint="eastAsia" w:ascii="宋体" w:hAnsi="宋体"/>
          <w:szCs w:val="21"/>
        </w:rPr>
        <w:t>（6）投标文件格式。</w:t>
      </w:r>
    </w:p>
    <w:p>
      <w:pPr>
        <w:pStyle w:val="7"/>
        <w:spacing w:before="0" w:after="0" w:line="240" w:lineRule="auto"/>
        <w:ind w:left="420" w:leftChars="200"/>
        <w:rPr>
          <w:rFonts w:ascii="宋体" w:hAnsi="宋体"/>
          <w:sz w:val="21"/>
          <w:szCs w:val="21"/>
        </w:rPr>
      </w:pPr>
      <w:r>
        <w:rPr>
          <w:rFonts w:hint="eastAsia" w:ascii="宋体" w:hAnsi="宋体"/>
          <w:sz w:val="21"/>
          <w:szCs w:val="21"/>
        </w:rPr>
        <w:t xml:space="preserve">11.招标文件的澄清与修改 </w:t>
      </w:r>
    </w:p>
    <w:p>
      <w:pPr>
        <w:pStyle w:val="7"/>
        <w:spacing w:before="0" w:after="0" w:line="240" w:lineRule="auto"/>
        <w:ind w:firstLine="315" w:firstLineChars="150"/>
        <w:rPr>
          <w:rFonts w:ascii="宋体" w:hAnsi="宋体"/>
          <w:b w:val="0"/>
          <w:sz w:val="21"/>
          <w:szCs w:val="21"/>
        </w:rPr>
      </w:pPr>
      <w:r>
        <w:rPr>
          <w:rFonts w:hint="eastAsia" w:ascii="宋体" w:hAnsi="宋体"/>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27"/>
        <w:snapToGrid w:val="0"/>
        <w:ind w:firstLine="420" w:firstLineChars="200"/>
        <w:rPr>
          <w:rFonts w:hAnsi="宋体"/>
          <w:sz w:val="21"/>
        </w:rPr>
      </w:pPr>
      <w:r>
        <w:rPr>
          <w:rFonts w:hint="eastAsia" w:hAnsi="宋体"/>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Ansi="宋体"/>
          <w:sz w:val="21"/>
        </w:rPr>
        <w:t>投标人必须按照桂财采【2007】65号文件第二十九条规定，在澄清或修改通知发出后</w:t>
      </w:r>
      <w:r>
        <w:rPr>
          <w:rFonts w:hint="eastAsia" w:hAnsi="宋体"/>
          <w:sz w:val="21"/>
        </w:rPr>
        <w:t>24</w:t>
      </w:r>
      <w:r>
        <w:rPr>
          <w:rFonts w:hAnsi="宋体"/>
          <w:sz w:val="21"/>
        </w:rPr>
        <w:t>小时内以书面形式进行确认，否则视为已经收到。</w:t>
      </w:r>
    </w:p>
    <w:p>
      <w:pPr>
        <w:pStyle w:val="7"/>
        <w:spacing w:before="0" w:after="0" w:line="240" w:lineRule="auto"/>
        <w:ind w:firstLine="315" w:firstLineChars="150"/>
        <w:rPr>
          <w:rFonts w:ascii="宋体" w:hAnsi="宋体"/>
          <w:b w:val="0"/>
          <w:sz w:val="21"/>
          <w:szCs w:val="21"/>
        </w:rPr>
      </w:pPr>
      <w:r>
        <w:rPr>
          <w:rFonts w:hint="eastAsia" w:ascii="宋体" w:hAnsi="宋体"/>
          <w:b w:val="0"/>
          <w:sz w:val="21"/>
          <w:szCs w:val="21"/>
        </w:rPr>
        <w:t xml:space="preserve"> 11.2招标文件中有不一致的，有澄清的部分以最终的澄清更正内容为准；未澄清的，以投标须知前附表为准；投标须知前附表不涉及的内容，以编排在后的最后描述为准。</w:t>
      </w:r>
    </w:p>
    <w:p>
      <w:pPr>
        <w:pStyle w:val="7"/>
        <w:spacing w:before="0" w:after="0" w:line="240" w:lineRule="auto"/>
        <w:ind w:left="420" w:leftChars="200"/>
        <w:rPr>
          <w:rFonts w:ascii="宋体" w:hAnsi="宋体"/>
          <w:b w:val="0"/>
          <w:sz w:val="21"/>
          <w:szCs w:val="21"/>
        </w:rPr>
      </w:pPr>
      <w:r>
        <w:rPr>
          <w:rFonts w:hint="eastAsia" w:ascii="宋体" w:hAnsi="宋体"/>
          <w:b w:val="0"/>
          <w:sz w:val="21"/>
          <w:szCs w:val="21"/>
        </w:rPr>
        <w:t>11.3招标文件的澄清或者修改都应当通过采购人或者采购代理机构以法定形式发布。</w:t>
      </w:r>
    </w:p>
    <w:p>
      <w:pPr>
        <w:pStyle w:val="27"/>
        <w:snapToGrid w:val="0"/>
        <w:ind w:firstLine="420" w:firstLineChars="200"/>
        <w:rPr>
          <w:rFonts w:hAnsi="宋体"/>
          <w:sz w:val="21"/>
        </w:rPr>
      </w:pPr>
    </w:p>
    <w:p>
      <w:pPr>
        <w:pStyle w:val="5"/>
        <w:jc w:val="center"/>
        <w:rPr>
          <w:rFonts w:ascii="宋体" w:hAnsi="宋体"/>
          <w:b w:val="0"/>
          <w:sz w:val="21"/>
          <w:szCs w:val="21"/>
        </w:rPr>
      </w:pPr>
      <w:r>
        <w:rPr>
          <w:rFonts w:hint="eastAsia"/>
        </w:rPr>
        <w:t>三、投标文件的编制</w:t>
      </w:r>
    </w:p>
    <w:p>
      <w:pPr>
        <w:pStyle w:val="7"/>
        <w:spacing w:before="0" w:after="0" w:line="240" w:lineRule="auto"/>
        <w:ind w:left="420" w:leftChars="200"/>
        <w:rPr>
          <w:rFonts w:ascii="宋体" w:hAnsi="宋体"/>
          <w:sz w:val="21"/>
          <w:szCs w:val="21"/>
        </w:rPr>
      </w:pPr>
      <w:r>
        <w:rPr>
          <w:rFonts w:hint="eastAsia" w:ascii="宋体" w:hAnsi="宋体"/>
          <w:sz w:val="21"/>
          <w:szCs w:val="21"/>
        </w:rPr>
        <w:t>12.投标文件的编制原则</w:t>
      </w:r>
    </w:p>
    <w:p>
      <w:pPr>
        <w:snapToGrid w:val="0"/>
        <w:ind w:firstLine="420"/>
        <w:jc w:val="left"/>
        <w:rPr>
          <w:rFonts w:ascii="宋体" w:hAnsi="宋体" w:cs="Courier New"/>
          <w:szCs w:val="21"/>
        </w:rPr>
      </w:pPr>
      <w:r>
        <w:rPr>
          <w:rFonts w:ascii="宋体" w:hAnsi="宋体"/>
          <w:szCs w:val="21"/>
        </w:rPr>
        <w:t>投标人应当按照招标文件的要求编制投标文件。投标文件应当对招标文件提出的要求和条件作出明确响应。</w:t>
      </w:r>
    </w:p>
    <w:p>
      <w:pPr>
        <w:pStyle w:val="7"/>
        <w:spacing w:before="0" w:after="0" w:line="240" w:lineRule="auto"/>
        <w:ind w:left="420" w:leftChars="200"/>
        <w:rPr>
          <w:rFonts w:ascii="宋体" w:hAnsi="宋体"/>
          <w:sz w:val="21"/>
          <w:szCs w:val="21"/>
        </w:rPr>
      </w:pPr>
      <w:r>
        <w:rPr>
          <w:rFonts w:hint="eastAsia" w:ascii="宋体" w:hAnsi="宋体"/>
          <w:sz w:val="21"/>
          <w:szCs w:val="21"/>
        </w:rPr>
        <w:t>13.投标文件的组成</w:t>
      </w:r>
    </w:p>
    <w:p>
      <w:pPr>
        <w:snapToGrid w:val="0"/>
        <w:ind w:firstLine="420" w:firstLineChars="200"/>
        <w:jc w:val="left"/>
        <w:rPr>
          <w:rFonts w:ascii="宋体" w:hAnsi="宋体"/>
          <w:szCs w:val="21"/>
        </w:rPr>
      </w:pPr>
      <w:r>
        <w:rPr>
          <w:rFonts w:hint="eastAsia" w:ascii="宋体" w:hAnsi="宋体"/>
          <w:szCs w:val="21"/>
        </w:rPr>
        <w:t>投标文件由报价文件、资格证明文件、商务文件、技术文件四部分组成。</w:t>
      </w:r>
    </w:p>
    <w:p>
      <w:pPr>
        <w:pStyle w:val="7"/>
        <w:spacing w:before="0" w:after="0" w:line="240" w:lineRule="auto"/>
        <w:ind w:left="420" w:leftChars="200"/>
        <w:rPr>
          <w:rFonts w:ascii="宋体" w:hAnsi="宋体"/>
          <w:b w:val="0"/>
          <w:sz w:val="21"/>
          <w:szCs w:val="21"/>
        </w:rPr>
      </w:pPr>
      <w:bookmarkStart w:id="40" w:name="_13.1报价文件:_具体材料见“投标人须知前附表”。"/>
      <w:bookmarkEnd w:id="40"/>
      <w:r>
        <w:rPr>
          <w:rFonts w:hint="eastAsia" w:ascii="宋体" w:hAnsi="宋体"/>
          <w:b w:val="0"/>
          <w:sz w:val="21"/>
          <w:szCs w:val="21"/>
        </w:rPr>
        <w:t>13</w:t>
      </w:r>
      <w:bookmarkStart w:id="41" w:name="_Hlt19632545"/>
      <w:r>
        <w:rPr>
          <w:rFonts w:hint="eastAsia" w:ascii="宋体" w:hAnsi="宋体"/>
          <w:b w:val="0"/>
          <w:sz w:val="21"/>
          <w:szCs w:val="21"/>
        </w:rPr>
        <w:t>.</w:t>
      </w:r>
      <w:bookmarkEnd w:id="41"/>
      <w:r>
        <w:rPr>
          <w:rFonts w:hint="eastAsia" w:ascii="宋体" w:hAnsi="宋体"/>
          <w:b w:val="0"/>
          <w:sz w:val="21"/>
          <w:szCs w:val="21"/>
        </w:rPr>
        <w:t>1报价文件：</w:t>
      </w:r>
      <w:r>
        <w:rPr>
          <w:rFonts w:ascii="宋体" w:hAnsi="宋体"/>
          <w:b w:val="0"/>
          <w:sz w:val="21"/>
          <w:szCs w:val="21"/>
        </w:rPr>
        <w:t xml:space="preserve"> 具体材料见“投标人须知前附表”</w:t>
      </w:r>
      <w:r>
        <w:rPr>
          <w:rFonts w:hint="eastAsia" w:ascii="宋体" w:hAnsi="宋体"/>
          <w:b w:val="0"/>
          <w:sz w:val="21"/>
          <w:szCs w:val="21"/>
        </w:rPr>
        <w:t>。</w:t>
      </w:r>
    </w:p>
    <w:p>
      <w:pPr>
        <w:pStyle w:val="7"/>
        <w:spacing w:before="0" w:after="0" w:line="240" w:lineRule="auto"/>
        <w:ind w:left="420" w:leftChars="200"/>
        <w:rPr>
          <w:rFonts w:ascii="宋体" w:hAnsi="宋体"/>
          <w:b w:val="0"/>
          <w:sz w:val="21"/>
          <w:szCs w:val="21"/>
        </w:rPr>
      </w:pPr>
      <w:bookmarkStart w:id="42" w:name="_13.2资格证明文件：具体材料见“投标人须知前附表”。"/>
      <w:bookmarkEnd w:id="42"/>
      <w:r>
        <w:rPr>
          <w:rFonts w:hint="eastAsia" w:ascii="宋体" w:hAnsi="宋体"/>
          <w:b w:val="0"/>
          <w:sz w:val="21"/>
          <w:szCs w:val="21"/>
        </w:rPr>
        <w:t>13.2资格证明文件：</w:t>
      </w:r>
      <w:r>
        <w:rPr>
          <w:rFonts w:ascii="宋体" w:hAnsi="宋体"/>
          <w:b w:val="0"/>
          <w:sz w:val="21"/>
          <w:szCs w:val="21"/>
        </w:rPr>
        <w:t>具体材料见“投标人须知前附表”</w:t>
      </w:r>
      <w:r>
        <w:rPr>
          <w:rFonts w:hint="eastAsia" w:ascii="宋体" w:hAnsi="宋体"/>
          <w:b w:val="0"/>
          <w:sz w:val="21"/>
          <w:szCs w:val="21"/>
        </w:rPr>
        <w:t>。</w:t>
      </w:r>
    </w:p>
    <w:p>
      <w:pPr>
        <w:pStyle w:val="7"/>
        <w:spacing w:before="0" w:after="0" w:line="240" w:lineRule="auto"/>
        <w:ind w:left="420" w:leftChars="200"/>
        <w:rPr>
          <w:rFonts w:ascii="宋体" w:hAnsi="宋体"/>
          <w:b w:val="0"/>
          <w:sz w:val="21"/>
          <w:szCs w:val="21"/>
        </w:rPr>
      </w:pPr>
      <w:bookmarkStart w:id="43" w:name="_13.3商务文件:_具体材料见“投标人须知前附表”。"/>
      <w:bookmarkEnd w:id="43"/>
      <w:r>
        <w:rPr>
          <w:rFonts w:hint="eastAsia" w:ascii="宋体" w:hAnsi="宋体"/>
          <w:b w:val="0"/>
          <w:sz w:val="21"/>
          <w:szCs w:val="21"/>
        </w:rPr>
        <w:t>13.3商务文件：</w:t>
      </w:r>
      <w:r>
        <w:rPr>
          <w:rFonts w:ascii="宋体" w:hAnsi="宋体"/>
          <w:b w:val="0"/>
          <w:sz w:val="21"/>
          <w:szCs w:val="21"/>
        </w:rPr>
        <w:t>具体材料见“投标人须知前附表”</w:t>
      </w:r>
      <w:r>
        <w:rPr>
          <w:rFonts w:hint="eastAsia" w:ascii="宋体" w:hAnsi="宋体"/>
          <w:b w:val="0"/>
          <w:sz w:val="21"/>
          <w:szCs w:val="21"/>
        </w:rPr>
        <w:t>。</w:t>
      </w:r>
    </w:p>
    <w:p>
      <w:pPr>
        <w:pStyle w:val="7"/>
        <w:spacing w:before="0" w:after="0" w:line="240" w:lineRule="auto"/>
        <w:ind w:left="420" w:leftChars="200"/>
        <w:rPr>
          <w:rFonts w:ascii="宋体" w:hAnsi="宋体"/>
          <w:b w:val="0"/>
          <w:sz w:val="21"/>
          <w:szCs w:val="21"/>
        </w:rPr>
      </w:pPr>
      <w:bookmarkStart w:id="44" w:name="_13.4技术文件：具体材料见“投标人须知前附表”。"/>
      <w:bookmarkEnd w:id="44"/>
      <w:r>
        <w:rPr>
          <w:rFonts w:hint="eastAsia" w:ascii="宋体" w:hAnsi="宋体"/>
          <w:b w:val="0"/>
          <w:sz w:val="21"/>
          <w:szCs w:val="21"/>
        </w:rPr>
        <w:t>13.4技术文件：</w:t>
      </w:r>
      <w:r>
        <w:rPr>
          <w:rFonts w:ascii="宋体" w:hAnsi="宋体"/>
          <w:b w:val="0"/>
          <w:sz w:val="21"/>
          <w:szCs w:val="21"/>
        </w:rPr>
        <w:t>具体材料见“投标人须知前附表”</w:t>
      </w:r>
      <w:r>
        <w:rPr>
          <w:rFonts w:hint="eastAsia" w:ascii="宋体" w:hAnsi="宋体"/>
          <w:b w:val="0"/>
          <w:sz w:val="21"/>
          <w:szCs w:val="21"/>
        </w:rPr>
        <w:t>。</w:t>
      </w:r>
    </w:p>
    <w:p>
      <w:pPr>
        <w:pStyle w:val="7"/>
        <w:spacing w:before="0" w:after="0" w:line="240" w:lineRule="auto"/>
        <w:ind w:left="420" w:leftChars="200"/>
        <w:rPr>
          <w:rFonts w:ascii="宋体" w:hAnsi="宋体"/>
          <w:b w:val="0"/>
          <w:sz w:val="21"/>
          <w:szCs w:val="21"/>
        </w:rPr>
      </w:pPr>
      <w:bookmarkStart w:id="45" w:name="_13.5投标文件电子版：具体材料见“投标人须知前附表”。"/>
      <w:bookmarkEnd w:id="45"/>
      <w:r>
        <w:rPr>
          <w:rFonts w:hint="eastAsia" w:ascii="宋体" w:hAnsi="宋体"/>
          <w:b w:val="0"/>
          <w:sz w:val="21"/>
          <w:szCs w:val="21"/>
        </w:rPr>
        <w:t>13.5投标文件电子版：</w:t>
      </w:r>
      <w:r>
        <w:rPr>
          <w:rFonts w:ascii="宋体" w:hAnsi="宋体"/>
          <w:b w:val="0"/>
          <w:sz w:val="21"/>
          <w:szCs w:val="21"/>
        </w:rPr>
        <w:t>具体材料见“投标人须知前附表”</w:t>
      </w:r>
      <w:r>
        <w:rPr>
          <w:rFonts w:hint="eastAsia" w:ascii="宋体" w:hAnsi="宋体"/>
          <w:b w:val="0"/>
          <w:sz w:val="21"/>
          <w:szCs w:val="21"/>
        </w:rPr>
        <w:t>。</w:t>
      </w:r>
    </w:p>
    <w:p>
      <w:pPr>
        <w:pStyle w:val="7"/>
        <w:spacing w:before="0" w:after="0" w:line="240" w:lineRule="auto"/>
        <w:ind w:left="420" w:leftChars="200"/>
        <w:rPr>
          <w:rFonts w:ascii="宋体" w:hAnsi="宋体"/>
          <w:sz w:val="21"/>
          <w:szCs w:val="21"/>
        </w:rPr>
      </w:pPr>
      <w:r>
        <w:rPr>
          <w:rFonts w:hint="eastAsia" w:ascii="宋体" w:hAnsi="宋体"/>
          <w:sz w:val="21"/>
          <w:szCs w:val="21"/>
        </w:rPr>
        <w:t>14.投标文件的语言及计量</w:t>
      </w:r>
    </w:p>
    <w:p>
      <w:pPr>
        <w:pStyle w:val="7"/>
        <w:spacing w:before="0" w:after="0" w:line="240" w:lineRule="auto"/>
        <w:ind w:left="420" w:leftChars="200"/>
        <w:rPr>
          <w:rFonts w:ascii="宋体" w:hAnsi="宋体"/>
          <w:b w:val="0"/>
          <w:sz w:val="21"/>
          <w:szCs w:val="21"/>
        </w:rPr>
      </w:pPr>
      <w:r>
        <w:rPr>
          <w:rFonts w:hint="eastAsia" w:ascii="宋体" w:hAnsi="宋体"/>
          <w:b w:val="0"/>
          <w:sz w:val="21"/>
          <w:szCs w:val="21"/>
        </w:rPr>
        <w:t>14.1语言文字：</w:t>
      </w:r>
    </w:p>
    <w:p>
      <w:pPr>
        <w:pStyle w:val="7"/>
        <w:spacing w:before="0" w:after="0" w:line="240" w:lineRule="auto"/>
        <w:ind w:firstLine="420" w:firstLineChars="200"/>
        <w:rPr>
          <w:rFonts w:ascii="宋体" w:hAnsi="宋体"/>
          <w:b w:val="0"/>
          <w:sz w:val="21"/>
          <w:szCs w:val="21"/>
        </w:rPr>
      </w:pPr>
      <w:r>
        <w:rPr>
          <w:rFonts w:hint="eastAsia" w:ascii="宋体" w:hAnsi="宋体"/>
          <w:b w:val="0"/>
          <w:sz w:val="21"/>
          <w:szCs w:val="21"/>
        </w:rPr>
        <w:t>投标文件以及投标人与采购人就有关投标事宜的所有来往函电，均应以中文汉语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7"/>
        <w:spacing w:before="0" w:after="0" w:line="240" w:lineRule="auto"/>
        <w:ind w:firstLine="420" w:firstLineChars="200"/>
        <w:rPr>
          <w:rFonts w:ascii="宋体" w:hAnsi="宋体"/>
          <w:b w:val="0"/>
          <w:sz w:val="21"/>
          <w:szCs w:val="21"/>
        </w:rPr>
      </w:pPr>
      <w:r>
        <w:rPr>
          <w:rFonts w:hint="eastAsia" w:ascii="宋体" w:hAnsi="宋体"/>
          <w:b w:val="0"/>
          <w:sz w:val="21"/>
          <w:szCs w:val="21"/>
        </w:rPr>
        <w:t>14.2投标计量单位，招标文件已有明确规定的，使用招标文件规定的计量单位；招标文件没有规定的，应采用中华人民共和国法定计量单位，货币种类为人民币，否则视同未响应。</w:t>
      </w:r>
    </w:p>
    <w:p>
      <w:pPr>
        <w:pStyle w:val="7"/>
        <w:spacing w:before="0" w:after="0" w:line="240" w:lineRule="auto"/>
        <w:ind w:left="420" w:leftChars="200"/>
        <w:rPr>
          <w:rFonts w:ascii="宋体" w:hAnsi="宋体"/>
          <w:sz w:val="21"/>
          <w:szCs w:val="21"/>
        </w:rPr>
      </w:pPr>
      <w:r>
        <w:rPr>
          <w:rFonts w:hint="eastAsia" w:ascii="宋体" w:hAnsi="宋体"/>
          <w:sz w:val="21"/>
          <w:szCs w:val="21"/>
        </w:rPr>
        <w:t>15.投标的风险</w:t>
      </w:r>
    </w:p>
    <w:p>
      <w:pPr>
        <w:pStyle w:val="27"/>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lang w:val="en-US" w:eastAsia="zh-CN"/>
        </w:rPr>
      </w:pPr>
      <w:r>
        <w:rPr>
          <w:rFonts w:hint="eastAsia" w:hAnsi="宋体"/>
          <w:sz w:val="21"/>
        </w:rPr>
        <w:t>投标人没有按照招标文件要求提供全部资料，或者投标人没有对招标文件在各方面作出实质性响应是投标人的风险，并可能导致其投标被拒绝。</w:t>
      </w:r>
    </w:p>
    <w:p>
      <w:pPr>
        <w:tabs>
          <w:tab w:val="left" w:pos="3647"/>
        </w:tabs>
        <w:bidi w:val="0"/>
        <w:jc w:val="left"/>
        <w:rPr>
          <w:rFonts w:hint="eastAsia"/>
          <w:lang w:val="en-US" w:eastAsia="zh-CN"/>
        </w:rPr>
      </w:pPr>
      <w:r>
        <w:rPr>
          <w:rFonts w:hint="eastAsia"/>
          <w:lang w:val="en-US" w:eastAsia="zh-CN"/>
        </w:rPr>
        <w:tab/>
      </w:r>
    </w:p>
    <w:p>
      <w:pPr>
        <w:pStyle w:val="7"/>
        <w:keepNext w:val="0"/>
        <w:keepLines w:val="0"/>
        <w:pageBreakBefore w:val="0"/>
        <w:widowControl w:val="0"/>
        <w:numPr>
          <w:ilvl w:val="4"/>
          <w:numId w:val="0"/>
        </w:numPr>
        <w:kinsoku/>
        <w:wordWrap/>
        <w:overflowPunct/>
        <w:topLinePunct w:val="0"/>
        <w:autoSpaceDE/>
        <w:autoSpaceDN/>
        <w:bidi w:val="0"/>
        <w:adjustRightInd/>
        <w:snapToGrid/>
        <w:spacing w:before="0" w:after="0" w:line="240" w:lineRule="auto"/>
        <w:ind w:firstLine="211" w:firstLineChars="100"/>
        <w:textAlignment w:val="auto"/>
        <w:rPr>
          <w:rFonts w:ascii="宋体" w:hAnsi="宋体"/>
          <w:sz w:val="21"/>
          <w:szCs w:val="21"/>
        </w:rPr>
      </w:pPr>
      <w:r>
        <w:rPr>
          <w:rFonts w:hint="eastAsia" w:ascii="宋体" w:hAnsi="宋体"/>
          <w:sz w:val="21"/>
          <w:szCs w:val="21"/>
        </w:rPr>
        <w:t>16.投标报价</w:t>
      </w:r>
    </w:p>
    <w:p>
      <w:pPr>
        <w:pStyle w:val="7"/>
        <w:keepNext w:val="0"/>
        <w:keepLines w:val="0"/>
        <w:pageBreakBefore w:val="0"/>
        <w:widowControl w:val="0"/>
        <w:kinsoku/>
        <w:wordWrap/>
        <w:overflowPunct/>
        <w:topLinePunct w:val="0"/>
        <w:autoSpaceDE/>
        <w:autoSpaceDN/>
        <w:bidi w:val="0"/>
        <w:adjustRightInd/>
        <w:snapToGrid/>
        <w:spacing w:before="0" w:after="0" w:line="240" w:lineRule="auto"/>
        <w:ind w:left="420" w:leftChars="200"/>
        <w:textAlignment w:val="auto"/>
        <w:rPr>
          <w:rFonts w:ascii="宋体" w:hAnsi="宋体"/>
          <w:b w:val="0"/>
          <w:sz w:val="21"/>
          <w:szCs w:val="21"/>
        </w:rPr>
      </w:pPr>
      <w:r>
        <w:rPr>
          <w:rFonts w:hint="eastAsia" w:ascii="宋体" w:hAnsi="宋体"/>
          <w:b w:val="0"/>
          <w:sz w:val="21"/>
          <w:szCs w:val="21"/>
        </w:rPr>
        <w:t>16.1投标报价应按招标文件中“开标一览表”格式填写。</w:t>
      </w:r>
    </w:p>
    <w:p>
      <w:pPr>
        <w:pStyle w:val="7"/>
        <w:keepNext w:val="0"/>
        <w:keepLines w:val="0"/>
        <w:pageBreakBefore w:val="0"/>
        <w:widowControl w:val="0"/>
        <w:kinsoku/>
        <w:wordWrap/>
        <w:overflowPunct/>
        <w:topLinePunct w:val="0"/>
        <w:autoSpaceDE/>
        <w:autoSpaceDN/>
        <w:bidi w:val="0"/>
        <w:adjustRightInd/>
        <w:snapToGrid/>
        <w:spacing w:before="0" w:after="0" w:line="240" w:lineRule="auto"/>
        <w:ind w:left="420" w:leftChars="200"/>
        <w:textAlignment w:val="auto"/>
        <w:rPr>
          <w:rFonts w:ascii="宋体" w:hAnsi="宋体"/>
          <w:b w:val="0"/>
          <w:sz w:val="21"/>
          <w:szCs w:val="21"/>
        </w:rPr>
      </w:pPr>
      <w:bookmarkStart w:id="46" w:name="_16.2投标报价具体定义见投标人须知前附表。"/>
      <w:bookmarkEnd w:id="46"/>
      <w:r>
        <w:rPr>
          <w:rFonts w:hint="eastAsia" w:ascii="宋体" w:hAnsi="宋体"/>
          <w:b w:val="0"/>
          <w:sz w:val="21"/>
          <w:szCs w:val="21"/>
        </w:rPr>
        <w:t>16.2投标报价具体包括内容见“投标人须知前附表”。</w:t>
      </w:r>
    </w:p>
    <w:p>
      <w:pPr>
        <w:pStyle w:val="7"/>
        <w:keepNext w:val="0"/>
        <w:keepLines w:val="0"/>
        <w:pageBreakBefore w:val="0"/>
        <w:widowControl w:val="0"/>
        <w:kinsoku/>
        <w:wordWrap/>
        <w:overflowPunct/>
        <w:topLinePunct w:val="0"/>
        <w:autoSpaceDE/>
        <w:autoSpaceDN/>
        <w:bidi w:val="0"/>
        <w:adjustRightInd/>
        <w:snapToGrid/>
        <w:spacing w:before="0" w:after="0" w:line="240" w:lineRule="auto"/>
        <w:ind w:firstLine="420" w:firstLineChars="200"/>
        <w:textAlignment w:val="auto"/>
        <w:rPr>
          <w:rFonts w:ascii="宋体" w:hAnsi="宋体"/>
          <w:b w:val="0"/>
          <w:sz w:val="21"/>
          <w:szCs w:val="21"/>
        </w:rPr>
      </w:pPr>
      <w:r>
        <w:rPr>
          <w:rFonts w:hint="eastAsia" w:ascii="宋体" w:hAnsi="宋体"/>
          <w:b w:val="0"/>
          <w:sz w:val="21"/>
          <w:szCs w:val="21"/>
        </w:rPr>
        <w:t>16.3投标人应当就所投每个分标的全部内容分别作完整唯一总价报价，投标人应当就所投分标进行报价，不得存在漏项报价；投标人应当就所投分标的单项内容作唯一报价。</w:t>
      </w:r>
    </w:p>
    <w:p>
      <w:pPr>
        <w:pStyle w:val="7"/>
        <w:keepNext w:val="0"/>
        <w:keepLines w:val="0"/>
        <w:pageBreakBefore w:val="0"/>
        <w:widowControl w:val="0"/>
        <w:kinsoku/>
        <w:wordWrap/>
        <w:overflowPunct/>
        <w:topLinePunct w:val="0"/>
        <w:autoSpaceDE/>
        <w:autoSpaceDN/>
        <w:bidi w:val="0"/>
        <w:adjustRightInd/>
        <w:spacing w:before="0" w:after="0" w:line="240" w:lineRule="auto"/>
        <w:ind w:left="420" w:leftChars="200"/>
        <w:textAlignment w:val="auto"/>
        <w:rPr>
          <w:rFonts w:ascii="宋体" w:hAnsi="宋体"/>
          <w:sz w:val="21"/>
          <w:szCs w:val="21"/>
        </w:rPr>
      </w:pPr>
      <w:r>
        <w:rPr>
          <w:rFonts w:hint="eastAsia" w:ascii="宋体" w:hAnsi="宋体"/>
          <w:sz w:val="21"/>
          <w:szCs w:val="21"/>
        </w:rPr>
        <w:t>17.投标有效期</w:t>
      </w:r>
    </w:p>
    <w:p>
      <w:pPr>
        <w:pStyle w:val="7"/>
        <w:keepNext w:val="0"/>
        <w:keepLines w:val="0"/>
        <w:pageBreakBefore w:val="0"/>
        <w:widowControl w:val="0"/>
        <w:kinsoku/>
        <w:wordWrap/>
        <w:overflowPunct/>
        <w:topLinePunct w:val="0"/>
        <w:autoSpaceDE/>
        <w:autoSpaceDN/>
        <w:bidi w:val="0"/>
        <w:adjustRightInd/>
        <w:spacing w:before="0" w:after="0" w:line="240" w:lineRule="auto"/>
        <w:ind w:left="420" w:leftChars="200"/>
        <w:textAlignment w:val="auto"/>
        <w:rPr>
          <w:rFonts w:ascii="宋体" w:hAnsi="宋体"/>
          <w:b w:val="0"/>
          <w:sz w:val="21"/>
          <w:szCs w:val="21"/>
        </w:rPr>
      </w:pPr>
      <w:bookmarkStart w:id="47" w:name="_17.1投标有效期应按“投标人须知中的前附表”规定的期限。"/>
      <w:bookmarkEnd w:id="47"/>
      <w:r>
        <w:rPr>
          <w:rFonts w:hint="eastAsia" w:ascii="宋体" w:hAnsi="宋体"/>
          <w:b w:val="0"/>
          <w:sz w:val="21"/>
          <w:szCs w:val="21"/>
        </w:rPr>
        <w:t>17.1投标有效期应按“投标人须知前附表”规定的期限。</w:t>
      </w:r>
    </w:p>
    <w:p>
      <w:pPr>
        <w:pStyle w:val="7"/>
        <w:keepNext w:val="0"/>
        <w:keepLines w:val="0"/>
        <w:pageBreakBefore w:val="0"/>
        <w:widowControl w:val="0"/>
        <w:kinsoku/>
        <w:wordWrap/>
        <w:overflowPunct/>
        <w:topLinePunct w:val="0"/>
        <w:autoSpaceDE/>
        <w:autoSpaceDN/>
        <w:bidi w:val="0"/>
        <w:adjustRightInd/>
        <w:spacing w:before="0" w:after="0" w:line="240" w:lineRule="auto"/>
        <w:ind w:left="420" w:leftChars="200"/>
        <w:textAlignment w:val="auto"/>
        <w:rPr>
          <w:rFonts w:ascii="宋体" w:hAnsi="宋体"/>
          <w:b w:val="0"/>
          <w:sz w:val="21"/>
          <w:szCs w:val="21"/>
        </w:rPr>
      </w:pPr>
      <w:r>
        <w:rPr>
          <w:rFonts w:hint="eastAsia" w:ascii="宋体" w:hAnsi="宋体"/>
          <w:b w:val="0"/>
          <w:sz w:val="21"/>
          <w:szCs w:val="21"/>
        </w:rPr>
        <w:t>17.2投标有效期是指为保证采购人有足够的时间在开标后完成评标、定标、合同签订等工作而要求投标人提交的投标文件在一定时间内保持有效的期限。</w:t>
      </w:r>
    </w:p>
    <w:p>
      <w:pPr>
        <w:pStyle w:val="7"/>
        <w:keepNext w:val="0"/>
        <w:keepLines w:val="0"/>
        <w:pageBreakBefore w:val="0"/>
        <w:widowControl w:val="0"/>
        <w:kinsoku/>
        <w:wordWrap/>
        <w:overflowPunct/>
        <w:topLinePunct w:val="0"/>
        <w:autoSpaceDE/>
        <w:autoSpaceDN/>
        <w:bidi w:val="0"/>
        <w:adjustRightInd/>
        <w:spacing w:before="0" w:after="0" w:line="240" w:lineRule="auto"/>
        <w:ind w:left="420" w:leftChars="200"/>
        <w:textAlignment w:val="auto"/>
        <w:rPr>
          <w:rFonts w:ascii="宋体" w:hAnsi="宋体"/>
          <w:b w:val="0"/>
          <w:sz w:val="21"/>
          <w:szCs w:val="21"/>
        </w:rPr>
      </w:pPr>
      <w:r>
        <w:rPr>
          <w:rFonts w:hint="eastAsia" w:ascii="宋体" w:hAnsi="宋体"/>
          <w:b w:val="0"/>
          <w:sz w:val="21"/>
          <w:szCs w:val="21"/>
        </w:rPr>
        <w:t>17.3投标人的投标文件在投标有效期内均保持有效。</w:t>
      </w:r>
    </w:p>
    <w:p>
      <w:pPr>
        <w:pStyle w:val="7"/>
        <w:keepNext w:val="0"/>
        <w:keepLines w:val="0"/>
        <w:pageBreakBefore w:val="0"/>
        <w:widowControl w:val="0"/>
        <w:kinsoku/>
        <w:wordWrap/>
        <w:overflowPunct/>
        <w:topLinePunct w:val="0"/>
        <w:autoSpaceDE/>
        <w:autoSpaceDN/>
        <w:bidi w:val="0"/>
        <w:adjustRightInd/>
        <w:spacing w:before="0" w:after="0" w:line="240" w:lineRule="auto"/>
        <w:ind w:left="420" w:leftChars="200"/>
        <w:textAlignment w:val="auto"/>
        <w:rPr>
          <w:rFonts w:ascii="宋体" w:hAnsi="宋体"/>
          <w:sz w:val="21"/>
          <w:szCs w:val="21"/>
        </w:rPr>
      </w:pPr>
      <w:bookmarkStart w:id="48" w:name="_18.投标保证金"/>
      <w:bookmarkEnd w:id="48"/>
      <w:r>
        <w:rPr>
          <w:rFonts w:hint="eastAsia" w:ascii="宋体" w:hAnsi="宋体"/>
          <w:sz w:val="21"/>
          <w:szCs w:val="21"/>
        </w:rPr>
        <w:t>18.投标保证金</w:t>
      </w:r>
    </w:p>
    <w:p>
      <w:pPr>
        <w:pStyle w:val="7"/>
        <w:keepNext w:val="0"/>
        <w:keepLines w:val="0"/>
        <w:pageBreakBefore w:val="0"/>
        <w:widowControl w:val="0"/>
        <w:kinsoku/>
        <w:wordWrap/>
        <w:overflowPunct/>
        <w:topLinePunct w:val="0"/>
        <w:autoSpaceDE/>
        <w:autoSpaceDN/>
        <w:bidi w:val="0"/>
        <w:adjustRightInd/>
        <w:spacing w:before="0" w:after="0" w:line="240" w:lineRule="auto"/>
        <w:ind w:left="420" w:leftChars="200"/>
        <w:textAlignment w:val="auto"/>
        <w:rPr>
          <w:rFonts w:ascii="宋体" w:hAnsi="宋体"/>
          <w:b w:val="0"/>
          <w:bCs/>
          <w:sz w:val="21"/>
          <w:szCs w:val="21"/>
        </w:rPr>
      </w:pPr>
      <w:r>
        <w:rPr>
          <w:rFonts w:hint="eastAsia" w:ascii="宋体" w:hAnsi="宋体"/>
          <w:b w:val="0"/>
          <w:bCs/>
          <w:sz w:val="21"/>
          <w:szCs w:val="21"/>
        </w:rPr>
        <w:t>本项目不收取投标保证金</w:t>
      </w:r>
    </w:p>
    <w:p>
      <w:pPr>
        <w:pStyle w:val="7"/>
        <w:keepNext w:val="0"/>
        <w:keepLines w:val="0"/>
        <w:pageBreakBefore w:val="0"/>
        <w:widowControl w:val="0"/>
        <w:kinsoku/>
        <w:wordWrap/>
        <w:overflowPunct/>
        <w:topLinePunct w:val="0"/>
        <w:autoSpaceDE/>
        <w:autoSpaceDN/>
        <w:bidi w:val="0"/>
        <w:adjustRightInd/>
        <w:spacing w:before="0" w:after="0" w:line="240" w:lineRule="auto"/>
        <w:ind w:left="420" w:leftChars="200"/>
        <w:textAlignment w:val="auto"/>
        <w:rPr>
          <w:rFonts w:ascii="宋体" w:hAnsi="宋体"/>
          <w:sz w:val="21"/>
          <w:szCs w:val="21"/>
        </w:rPr>
      </w:pPr>
      <w:r>
        <w:rPr>
          <w:rFonts w:hint="eastAsia" w:ascii="宋体" w:hAnsi="宋体"/>
          <w:sz w:val="21"/>
          <w:szCs w:val="21"/>
        </w:rPr>
        <w:t>19.投标文件的编制</w:t>
      </w:r>
    </w:p>
    <w:p>
      <w:pPr>
        <w:pStyle w:val="7"/>
        <w:keepNext w:val="0"/>
        <w:keepLines w:val="0"/>
        <w:pageBreakBefore w:val="0"/>
        <w:widowControl w:val="0"/>
        <w:kinsoku/>
        <w:wordWrap/>
        <w:overflowPunct/>
        <w:topLinePunct w:val="0"/>
        <w:autoSpaceDE/>
        <w:autoSpaceDN/>
        <w:bidi w:val="0"/>
        <w:adjustRightInd/>
        <w:spacing w:before="0" w:after="0" w:line="240" w:lineRule="auto"/>
        <w:ind w:firstLine="315" w:firstLineChars="150"/>
        <w:textAlignment w:val="auto"/>
        <w:rPr>
          <w:rFonts w:ascii="宋体" w:hAnsi="宋体"/>
          <w:b w:val="0"/>
          <w:sz w:val="21"/>
          <w:szCs w:val="21"/>
        </w:rPr>
      </w:pPr>
      <w:r>
        <w:rPr>
          <w:rFonts w:hint="eastAsia" w:ascii="宋体" w:hAnsi="宋体"/>
          <w:b w:val="0"/>
          <w:sz w:val="21"/>
          <w:szCs w:val="21"/>
        </w:rPr>
        <w:t xml:space="preserve"> 19.1投标人应按本招标文件规定的格式和顺序编制、装订投标文件并标注页码，投标文件内容不完整、编排混乱导致投标文件被误读、漏读或者查找不到相关内容的，是投标人的责任。</w:t>
      </w:r>
    </w:p>
    <w:p>
      <w:pPr>
        <w:pStyle w:val="7"/>
        <w:keepNext w:val="0"/>
        <w:keepLines w:val="0"/>
        <w:pageBreakBefore w:val="0"/>
        <w:widowControl w:val="0"/>
        <w:kinsoku/>
        <w:wordWrap/>
        <w:overflowPunct/>
        <w:topLinePunct w:val="0"/>
        <w:autoSpaceDE/>
        <w:autoSpaceDN/>
        <w:bidi w:val="0"/>
        <w:adjustRightInd/>
        <w:spacing w:before="0" w:after="0" w:line="240" w:lineRule="auto"/>
        <w:ind w:firstLine="315" w:firstLineChars="150"/>
        <w:textAlignment w:val="auto"/>
        <w:rPr>
          <w:rFonts w:ascii="宋体" w:hAnsi="宋体"/>
          <w:b w:val="0"/>
          <w:sz w:val="21"/>
          <w:szCs w:val="21"/>
        </w:rPr>
      </w:pPr>
      <w:bookmarkStart w:id="49" w:name="_19.2投标文件应按报价文件、资格证明文件、商务文件、技术文件分别编制"/>
      <w:bookmarkEnd w:id="49"/>
      <w:r>
        <w:rPr>
          <w:rFonts w:hint="eastAsia" w:ascii="宋体" w:hAnsi="宋体"/>
          <w:b w:val="0"/>
          <w:sz w:val="21"/>
          <w:szCs w:val="21"/>
        </w:rPr>
        <w:t xml:space="preserve"> 19.2投标文件应按报价文件、资格证明文件、商务文件、技术文件分别编制，报价文件、资格证明文件分别装订成册，商务文件和技术文件按顺序装订成册。投标文件正本一份，副本份数详见“投标人须知前附表”，投标文件的封面应注明“正本”、“副本”字样。由于投标文件装订松散而造成的丢失或其他后果由投标人自行承担。</w:t>
      </w:r>
    </w:p>
    <w:p>
      <w:pPr>
        <w:pStyle w:val="7"/>
        <w:keepNext w:val="0"/>
        <w:keepLines w:val="0"/>
        <w:pageBreakBefore w:val="0"/>
        <w:widowControl w:val="0"/>
        <w:kinsoku/>
        <w:wordWrap/>
        <w:overflowPunct/>
        <w:topLinePunct w:val="0"/>
        <w:autoSpaceDE/>
        <w:autoSpaceDN/>
        <w:bidi w:val="0"/>
        <w:adjustRightInd/>
        <w:spacing w:before="0" w:after="0" w:line="240" w:lineRule="auto"/>
        <w:ind w:firstLine="315" w:firstLineChars="150"/>
        <w:textAlignment w:val="auto"/>
        <w:rPr>
          <w:rFonts w:ascii="宋体" w:hAnsi="宋体"/>
          <w:b w:val="0"/>
          <w:sz w:val="21"/>
          <w:szCs w:val="21"/>
        </w:rPr>
      </w:pPr>
      <w:r>
        <w:rPr>
          <w:rFonts w:hint="eastAsia" w:ascii="宋体" w:hAnsi="宋体"/>
          <w:b w:val="0"/>
          <w:sz w:val="21"/>
          <w:szCs w:val="21"/>
        </w:rPr>
        <w:t xml:space="preserve"> 19.3投标文件的正本应打印或用不褪色的墨水填写，投标文件正本除本“投标人须知”中规定的可提供复印件外均须提供原件，副本可为正本签字、盖章后的复印件，当副本和正本不一致时，以正本为准。</w:t>
      </w:r>
    </w:p>
    <w:p>
      <w:pPr>
        <w:pStyle w:val="7"/>
        <w:keepNext w:val="0"/>
        <w:keepLines w:val="0"/>
        <w:pageBreakBefore w:val="0"/>
        <w:widowControl w:val="0"/>
        <w:kinsoku/>
        <w:wordWrap/>
        <w:overflowPunct/>
        <w:topLinePunct w:val="0"/>
        <w:autoSpaceDE/>
        <w:autoSpaceDN/>
        <w:bidi w:val="0"/>
        <w:adjustRightInd/>
        <w:spacing w:before="0" w:after="0" w:line="240" w:lineRule="auto"/>
        <w:ind w:firstLine="315" w:firstLineChars="150"/>
        <w:textAlignment w:val="auto"/>
        <w:rPr>
          <w:rFonts w:hint="eastAsia" w:ascii="宋体" w:hAnsi="宋体" w:eastAsia="宋体" w:cs="宋体"/>
          <w:b w:val="0"/>
          <w:bCs w:val="0"/>
          <w:sz w:val="21"/>
          <w:szCs w:val="21"/>
        </w:rPr>
      </w:pPr>
      <w:r>
        <w:rPr>
          <w:rFonts w:hint="eastAsia" w:ascii="宋体" w:hAnsi="宋体"/>
          <w:b w:val="0"/>
          <w:sz w:val="21"/>
          <w:szCs w:val="21"/>
        </w:rPr>
        <w:t xml:space="preserve"> 19.4投标文件须由投标人在规定位置盖公章并由法定代表人（负责人或自然人）或委托代理人签字或签章</w:t>
      </w:r>
      <w:r>
        <w:rPr>
          <w:rFonts w:hint="eastAsia" w:ascii="宋体" w:hAnsi="宋体" w:eastAsia="宋体" w:cs="宋体"/>
          <w:b w:val="0"/>
          <w:bCs w:val="0"/>
          <w:sz w:val="21"/>
          <w:szCs w:val="21"/>
        </w:rPr>
        <w:t>，否则作无效投标处理。</w:t>
      </w:r>
    </w:p>
    <w:p>
      <w:pPr>
        <w:pStyle w:val="7"/>
        <w:keepNext w:val="0"/>
        <w:keepLines w:val="0"/>
        <w:pageBreakBefore w:val="0"/>
        <w:widowControl w:val="0"/>
        <w:kinsoku/>
        <w:wordWrap/>
        <w:overflowPunct/>
        <w:topLinePunct w:val="0"/>
        <w:autoSpaceDE/>
        <w:autoSpaceDN/>
        <w:bidi w:val="0"/>
        <w:adjustRightInd/>
        <w:spacing w:before="0" w:after="0" w:line="240" w:lineRule="auto"/>
        <w:ind w:firstLine="315" w:firstLineChars="150"/>
        <w:textAlignment w:val="auto"/>
        <w:rPr>
          <w:rFonts w:hint="eastAsia" w:ascii="宋体" w:hAnsi="宋体" w:eastAsia="宋体" w:cs="宋体"/>
          <w:b w:val="0"/>
          <w:bCs w:val="0"/>
          <w:sz w:val="21"/>
          <w:szCs w:val="21"/>
        </w:rPr>
      </w:pPr>
      <w:r>
        <w:rPr>
          <w:rFonts w:hint="eastAsia" w:ascii="宋体" w:hAnsi="宋体"/>
          <w:b w:val="0"/>
          <w:sz w:val="21"/>
          <w:szCs w:val="21"/>
        </w:rPr>
        <w:t xml:space="preserve"> 19.5投标文件中标注的投标人名称应与主体资格证明（如营业执照、事业单位法人证书、执业许可证、个体工商户营业执照、自然人身份证等）和公章一致</w:t>
      </w:r>
      <w:r>
        <w:rPr>
          <w:rFonts w:hint="eastAsia" w:ascii="宋体" w:hAnsi="宋体" w:eastAsia="宋体" w:cs="宋体"/>
          <w:b w:val="0"/>
          <w:bCs w:val="0"/>
          <w:sz w:val="21"/>
          <w:szCs w:val="21"/>
        </w:rPr>
        <w:t>，否则作无效投标处理。</w:t>
      </w:r>
    </w:p>
    <w:p>
      <w:pPr>
        <w:pStyle w:val="7"/>
        <w:keepNext w:val="0"/>
        <w:keepLines w:val="0"/>
        <w:pageBreakBefore w:val="0"/>
        <w:widowControl w:val="0"/>
        <w:kinsoku/>
        <w:wordWrap/>
        <w:overflowPunct/>
        <w:topLinePunct w:val="0"/>
        <w:autoSpaceDE/>
        <w:autoSpaceDN/>
        <w:bidi w:val="0"/>
        <w:adjustRightInd/>
        <w:spacing w:before="0" w:after="0" w:line="240" w:lineRule="auto"/>
        <w:ind w:firstLine="315" w:firstLineChars="150"/>
        <w:textAlignment w:val="auto"/>
        <w:rPr>
          <w:rFonts w:ascii="宋体" w:hAnsi="宋体"/>
          <w:b w:val="0"/>
          <w:sz w:val="21"/>
          <w:szCs w:val="21"/>
        </w:rPr>
      </w:pPr>
      <w:r>
        <w:rPr>
          <w:rFonts w:hint="eastAsia" w:ascii="宋体" w:hAnsi="宋体"/>
          <w:b w:val="0"/>
          <w:sz w:val="21"/>
          <w:szCs w:val="21"/>
        </w:rPr>
        <w:t xml:space="preserve"> 19.6投标文件应尽量避免涂改、行间插字或删除。如果出现上述情况，改动之处应由投标人的法定代表人（负责人或自然人）或其委托代理人签字或盖章。投标文件因字迹潦草或表达不清所引起的后果由投标人承担。</w:t>
      </w:r>
    </w:p>
    <w:p>
      <w:pPr>
        <w:pStyle w:val="7"/>
        <w:keepNext w:val="0"/>
        <w:keepLines w:val="0"/>
        <w:pageBreakBefore w:val="0"/>
        <w:widowControl w:val="0"/>
        <w:numPr>
          <w:ilvl w:val="0"/>
          <w:numId w:val="0"/>
        </w:numPr>
        <w:kinsoku/>
        <w:wordWrap/>
        <w:overflowPunct/>
        <w:topLinePunct w:val="0"/>
        <w:autoSpaceDE/>
        <w:autoSpaceDN/>
        <w:bidi w:val="0"/>
        <w:adjustRightInd/>
        <w:spacing w:before="0" w:after="0" w:line="240" w:lineRule="auto"/>
        <w:ind w:firstLine="422" w:firstLineChars="200"/>
        <w:textAlignment w:val="auto"/>
        <w:rPr>
          <w:rFonts w:ascii="宋体" w:hAnsi="宋体"/>
          <w:sz w:val="21"/>
          <w:szCs w:val="21"/>
        </w:rPr>
      </w:pPr>
      <w:r>
        <w:rPr>
          <w:rFonts w:hint="eastAsia" w:ascii="宋体" w:hAnsi="宋体"/>
          <w:sz w:val="21"/>
          <w:szCs w:val="21"/>
        </w:rPr>
        <w:t>20.投标文件的密封</w:t>
      </w:r>
    </w:p>
    <w:p>
      <w:pPr>
        <w:pStyle w:val="7"/>
        <w:keepNext w:val="0"/>
        <w:keepLines w:val="0"/>
        <w:pageBreakBefore w:val="0"/>
        <w:widowControl w:val="0"/>
        <w:kinsoku/>
        <w:wordWrap/>
        <w:overflowPunct/>
        <w:topLinePunct w:val="0"/>
        <w:autoSpaceDE/>
        <w:autoSpaceDN/>
        <w:bidi w:val="0"/>
        <w:adjustRightInd/>
        <w:spacing w:before="0" w:after="0" w:line="240" w:lineRule="auto"/>
        <w:ind w:firstLine="315" w:firstLineChars="150"/>
        <w:textAlignment w:val="auto"/>
        <w:rPr>
          <w:rFonts w:ascii="宋体" w:hAnsi="宋体"/>
          <w:b w:val="0"/>
          <w:sz w:val="21"/>
          <w:szCs w:val="21"/>
        </w:rPr>
      </w:pPr>
      <w:r>
        <w:rPr>
          <w:rFonts w:hint="eastAsia" w:ascii="宋体" w:hAnsi="宋体"/>
          <w:b w:val="0"/>
          <w:sz w:val="21"/>
          <w:szCs w:val="21"/>
        </w:rPr>
        <w:t xml:space="preserve"> 20.1投标文件正、副本全部装入包封袋/箱（投标文件的补充、修改可另行单独递交）中并加以密封，封口处必须加盖投标人公章或委托代理人签字，以示密封。</w:t>
      </w:r>
    </w:p>
    <w:p>
      <w:pPr>
        <w:pStyle w:val="7"/>
        <w:keepNext w:val="0"/>
        <w:keepLines w:val="0"/>
        <w:pageBreakBefore w:val="0"/>
        <w:widowControl w:val="0"/>
        <w:kinsoku/>
        <w:wordWrap/>
        <w:overflowPunct/>
        <w:topLinePunct w:val="0"/>
        <w:autoSpaceDE/>
        <w:autoSpaceDN/>
        <w:bidi w:val="0"/>
        <w:adjustRightInd/>
        <w:spacing w:before="0" w:after="0" w:line="240" w:lineRule="auto"/>
        <w:ind w:firstLine="315" w:firstLineChars="150"/>
        <w:textAlignment w:val="auto"/>
        <w:rPr>
          <w:rFonts w:ascii="宋体" w:hAnsi="宋体"/>
          <w:b w:val="0"/>
          <w:sz w:val="21"/>
          <w:szCs w:val="21"/>
        </w:rPr>
      </w:pPr>
      <w:r>
        <w:rPr>
          <w:rFonts w:hint="eastAsia" w:ascii="宋体" w:hAnsi="宋体"/>
          <w:b w:val="0"/>
          <w:sz w:val="21"/>
          <w:szCs w:val="21"/>
        </w:rPr>
        <w:t xml:space="preserve"> 20.2投标文件外层包装封面上应写明投标人名称、投标人地址、项目名称、项目编号、所投分标及“开标时启封”字样。</w:t>
      </w:r>
    </w:p>
    <w:p>
      <w:pPr>
        <w:pStyle w:val="7"/>
        <w:keepNext w:val="0"/>
        <w:keepLines w:val="0"/>
        <w:pageBreakBefore w:val="0"/>
        <w:widowControl w:val="0"/>
        <w:kinsoku/>
        <w:wordWrap/>
        <w:overflowPunct/>
        <w:topLinePunct w:val="0"/>
        <w:autoSpaceDE/>
        <w:autoSpaceDN/>
        <w:bidi w:val="0"/>
        <w:adjustRightInd/>
        <w:spacing w:before="0" w:after="0" w:line="240" w:lineRule="auto"/>
        <w:ind w:left="420" w:leftChars="200"/>
        <w:textAlignment w:val="auto"/>
        <w:rPr>
          <w:rFonts w:ascii="宋体" w:hAnsi="宋体"/>
          <w:b w:val="0"/>
          <w:sz w:val="21"/>
          <w:szCs w:val="21"/>
        </w:rPr>
      </w:pPr>
      <w:r>
        <w:rPr>
          <w:rFonts w:hint="eastAsia" w:ascii="宋体" w:hAnsi="宋体"/>
          <w:b w:val="0"/>
          <w:sz w:val="21"/>
          <w:szCs w:val="21"/>
        </w:rPr>
        <w:t>20.3未按上述规定密封的投标文件将被拒收。</w:t>
      </w:r>
    </w:p>
    <w:p>
      <w:pPr>
        <w:pStyle w:val="7"/>
        <w:keepNext w:val="0"/>
        <w:keepLines w:val="0"/>
        <w:pageBreakBefore w:val="0"/>
        <w:widowControl w:val="0"/>
        <w:kinsoku/>
        <w:wordWrap/>
        <w:overflowPunct/>
        <w:topLinePunct w:val="0"/>
        <w:autoSpaceDE/>
        <w:autoSpaceDN/>
        <w:bidi w:val="0"/>
        <w:adjustRightInd/>
        <w:spacing w:before="0" w:after="0" w:line="240" w:lineRule="auto"/>
        <w:ind w:left="420" w:leftChars="200"/>
        <w:textAlignment w:val="auto"/>
        <w:rPr>
          <w:rFonts w:ascii="宋体" w:hAnsi="宋体"/>
          <w:sz w:val="21"/>
          <w:szCs w:val="21"/>
        </w:rPr>
      </w:pPr>
      <w:r>
        <w:rPr>
          <w:rFonts w:hint="eastAsia" w:ascii="宋体" w:hAnsi="宋体"/>
          <w:sz w:val="21"/>
          <w:szCs w:val="21"/>
        </w:rPr>
        <w:t>21.投标文件的提交</w:t>
      </w:r>
    </w:p>
    <w:p>
      <w:pPr>
        <w:pStyle w:val="7"/>
        <w:keepNext w:val="0"/>
        <w:keepLines w:val="0"/>
        <w:pageBreakBefore w:val="0"/>
        <w:widowControl w:val="0"/>
        <w:kinsoku/>
        <w:wordWrap/>
        <w:overflowPunct/>
        <w:topLinePunct w:val="0"/>
        <w:autoSpaceDE/>
        <w:autoSpaceDN/>
        <w:bidi w:val="0"/>
        <w:adjustRightInd/>
        <w:spacing w:before="0" w:after="0" w:line="240" w:lineRule="auto"/>
        <w:ind w:left="420" w:leftChars="200"/>
        <w:textAlignment w:val="auto"/>
        <w:rPr>
          <w:rFonts w:ascii="宋体" w:hAnsi="宋体"/>
          <w:b w:val="0"/>
          <w:sz w:val="21"/>
          <w:szCs w:val="21"/>
        </w:rPr>
      </w:pPr>
      <w:bookmarkStart w:id="50" w:name="_21.1投标人必须在“投标人须知中的前附表”规定的投标文件接收时间和投"/>
      <w:bookmarkEnd w:id="50"/>
      <w:r>
        <w:rPr>
          <w:rFonts w:hint="eastAsia" w:ascii="宋体" w:hAnsi="宋体"/>
          <w:b w:val="0"/>
          <w:sz w:val="21"/>
          <w:szCs w:val="21"/>
        </w:rPr>
        <w:t>21.1投标人必须在“投标人须知前附表”规定的投标文件接收时间和投标地点提交投标文件。</w:t>
      </w:r>
    </w:p>
    <w:p>
      <w:pPr>
        <w:pStyle w:val="7"/>
        <w:keepNext w:val="0"/>
        <w:keepLines w:val="0"/>
        <w:pageBreakBefore w:val="0"/>
        <w:widowControl w:val="0"/>
        <w:kinsoku/>
        <w:wordWrap/>
        <w:overflowPunct/>
        <w:topLinePunct w:val="0"/>
        <w:autoSpaceDE/>
        <w:autoSpaceDN/>
        <w:bidi w:val="0"/>
        <w:adjustRightInd/>
        <w:spacing w:before="0" w:after="0" w:line="240" w:lineRule="auto"/>
        <w:ind w:firstLine="420" w:firstLineChars="200"/>
        <w:textAlignment w:val="auto"/>
        <w:rPr>
          <w:rFonts w:ascii="宋体" w:hAnsi="宋体"/>
          <w:b w:val="0"/>
          <w:sz w:val="21"/>
          <w:szCs w:val="21"/>
        </w:rPr>
      </w:pPr>
      <w:r>
        <w:rPr>
          <w:rFonts w:hint="eastAsia" w:ascii="宋体" w:hAnsi="宋体"/>
          <w:b w:val="0"/>
          <w:sz w:val="21"/>
          <w:szCs w:val="21"/>
        </w:rPr>
        <w:t>21.2采购代理机构工作人员收到投标文件后，应当如实记载投标文件的送达时间和密封情况，签收保存，并向投标人出具签收回执。</w:t>
      </w:r>
    </w:p>
    <w:p>
      <w:pPr>
        <w:pStyle w:val="7"/>
        <w:keepNext w:val="0"/>
        <w:keepLines w:val="0"/>
        <w:pageBreakBefore w:val="0"/>
        <w:widowControl w:val="0"/>
        <w:kinsoku/>
        <w:wordWrap/>
        <w:overflowPunct/>
        <w:topLinePunct w:val="0"/>
        <w:autoSpaceDE/>
        <w:autoSpaceDN/>
        <w:bidi w:val="0"/>
        <w:adjustRightInd/>
        <w:spacing w:before="0" w:after="0" w:line="240" w:lineRule="auto"/>
        <w:ind w:left="420" w:leftChars="200"/>
        <w:textAlignment w:val="auto"/>
        <w:rPr>
          <w:rFonts w:ascii="宋体" w:hAnsi="宋体"/>
          <w:b w:val="0"/>
          <w:sz w:val="21"/>
          <w:szCs w:val="21"/>
        </w:rPr>
      </w:pPr>
      <w:r>
        <w:rPr>
          <w:rFonts w:hint="eastAsia" w:ascii="宋体" w:hAnsi="宋体"/>
          <w:b w:val="0"/>
          <w:sz w:val="21"/>
          <w:szCs w:val="21"/>
        </w:rPr>
        <w:t>21.3未在规定时间内送达或者未按照招标文件要求密封或标记的投标文件，采购代理机构必须拒</w:t>
      </w:r>
    </w:p>
    <w:p>
      <w:pPr>
        <w:pStyle w:val="7"/>
        <w:keepNext w:val="0"/>
        <w:keepLines w:val="0"/>
        <w:pageBreakBefore w:val="0"/>
        <w:widowControl w:val="0"/>
        <w:numPr>
          <w:ilvl w:val="0"/>
          <w:numId w:val="0"/>
        </w:numPr>
        <w:kinsoku/>
        <w:wordWrap/>
        <w:overflowPunct/>
        <w:topLinePunct w:val="0"/>
        <w:autoSpaceDE/>
        <w:autoSpaceDN/>
        <w:bidi w:val="0"/>
        <w:adjustRightInd/>
        <w:spacing w:before="0" w:after="0" w:line="240" w:lineRule="auto"/>
        <w:textAlignment w:val="auto"/>
        <w:rPr>
          <w:rFonts w:ascii="宋体" w:hAnsi="宋体"/>
          <w:b w:val="0"/>
          <w:sz w:val="21"/>
          <w:szCs w:val="21"/>
        </w:rPr>
      </w:pPr>
      <w:r>
        <w:rPr>
          <w:rFonts w:hint="eastAsia" w:ascii="宋体" w:hAnsi="宋体"/>
          <w:b w:val="0"/>
          <w:sz w:val="21"/>
          <w:szCs w:val="21"/>
        </w:rPr>
        <w:t>收。</w:t>
      </w:r>
    </w:p>
    <w:p>
      <w:pPr>
        <w:pStyle w:val="7"/>
        <w:keepNext w:val="0"/>
        <w:keepLines w:val="0"/>
        <w:pageBreakBefore w:val="0"/>
        <w:widowControl w:val="0"/>
        <w:kinsoku/>
        <w:wordWrap/>
        <w:overflowPunct/>
        <w:topLinePunct w:val="0"/>
        <w:autoSpaceDE/>
        <w:autoSpaceDN/>
        <w:bidi w:val="0"/>
        <w:adjustRightInd/>
        <w:spacing w:before="0" w:after="0" w:line="240" w:lineRule="auto"/>
        <w:ind w:left="420" w:leftChars="200"/>
        <w:textAlignment w:val="auto"/>
        <w:rPr>
          <w:rFonts w:ascii="宋体" w:hAnsi="宋体"/>
          <w:sz w:val="21"/>
          <w:szCs w:val="21"/>
        </w:rPr>
      </w:pPr>
      <w:r>
        <w:rPr>
          <w:rFonts w:hint="eastAsia" w:ascii="宋体" w:hAnsi="宋体"/>
          <w:sz w:val="21"/>
          <w:szCs w:val="21"/>
        </w:rPr>
        <w:t>22. 投标文件的补充、修改与撤回</w:t>
      </w:r>
    </w:p>
    <w:p>
      <w:pPr>
        <w:keepNext w:val="0"/>
        <w:keepLines w:val="0"/>
        <w:pageBreakBefore w:val="0"/>
        <w:widowControl w:val="0"/>
        <w:kinsoku/>
        <w:wordWrap/>
        <w:overflowPunct/>
        <w:topLinePunct w:val="0"/>
        <w:autoSpaceDE/>
        <w:autoSpaceDN/>
        <w:bidi w:val="0"/>
        <w:adjustRightInd/>
        <w:snapToGrid w:val="0"/>
        <w:ind w:firstLine="420"/>
        <w:jc w:val="left"/>
        <w:textAlignment w:val="auto"/>
        <w:rPr>
          <w:rFonts w:ascii="宋体" w:hAnsi="宋体"/>
          <w:szCs w:val="21"/>
        </w:rPr>
      </w:pPr>
      <w:r>
        <w:rPr>
          <w:rFonts w:hint="eastAsia" w:ascii="宋体" w:hAnsi="宋体"/>
          <w:szCs w:val="21"/>
        </w:rPr>
        <w:t>投标人在投标截止时间之前，可以对已提交的投标文件进行补充、修改或者撤回，并书面通知采购人或者采购代理机构。补充、修改的内容必须按照招标文件要求签署、盖章、密封和标记后，作为投标文件的组成部分。</w:t>
      </w:r>
    </w:p>
    <w:p>
      <w:pPr>
        <w:pStyle w:val="21"/>
        <w:snapToGrid w:val="0"/>
        <w:ind w:firstLine="739"/>
        <w:rPr>
          <w:rFonts w:ascii="宋体" w:hAnsi="宋体" w:eastAsia="宋体"/>
          <w:snapToGrid w:val="0"/>
          <w:sz w:val="21"/>
          <w:szCs w:val="21"/>
        </w:rPr>
      </w:pPr>
    </w:p>
    <w:p>
      <w:pPr>
        <w:pStyle w:val="5"/>
        <w:jc w:val="center"/>
        <w:rPr>
          <w:rFonts w:ascii="宋体" w:hAnsi="宋体"/>
          <w:b w:val="0"/>
          <w:sz w:val="21"/>
          <w:szCs w:val="21"/>
        </w:rPr>
      </w:pPr>
      <w:r>
        <w:rPr>
          <w:rFonts w:hint="eastAsia"/>
        </w:rPr>
        <w:t>四、开    标</w:t>
      </w:r>
    </w:p>
    <w:p>
      <w:pPr>
        <w:pStyle w:val="7"/>
        <w:spacing w:before="0" w:after="0" w:line="240" w:lineRule="auto"/>
        <w:ind w:left="420" w:leftChars="200"/>
        <w:rPr>
          <w:rFonts w:ascii="宋体" w:hAnsi="宋体"/>
          <w:sz w:val="21"/>
          <w:szCs w:val="21"/>
        </w:rPr>
      </w:pPr>
      <w:bookmarkStart w:id="51" w:name="_23.开标时间和地点"/>
      <w:bookmarkEnd w:id="51"/>
      <w:r>
        <w:rPr>
          <w:rFonts w:hint="eastAsia" w:ascii="宋体" w:hAnsi="宋体"/>
          <w:sz w:val="21"/>
          <w:szCs w:val="21"/>
        </w:rPr>
        <w:t>23.开标时间和地点</w:t>
      </w:r>
    </w:p>
    <w:p>
      <w:pPr>
        <w:pStyle w:val="27"/>
        <w:snapToGrid w:val="0"/>
        <w:ind w:firstLine="420" w:firstLineChars="200"/>
        <w:rPr>
          <w:rFonts w:hAnsi="宋体"/>
          <w:bCs/>
          <w:sz w:val="21"/>
        </w:rPr>
      </w:pPr>
      <w:r>
        <w:rPr>
          <w:rFonts w:hint="eastAsia" w:hAnsi="宋体"/>
          <w:bCs/>
          <w:sz w:val="21"/>
        </w:rPr>
        <w:t>采购代理机构将在“投标人须知前附表”规定的时间和地点进行开标，投标人未参加开标的，视同认可开标过程和结果。本项目开标过程实行全程录音、录像监控。</w:t>
      </w:r>
    </w:p>
    <w:p>
      <w:pPr>
        <w:pStyle w:val="7"/>
        <w:spacing w:before="0" w:after="0" w:line="240" w:lineRule="auto"/>
        <w:ind w:left="420" w:leftChars="200"/>
        <w:rPr>
          <w:rFonts w:ascii="宋体" w:hAnsi="宋体"/>
          <w:sz w:val="21"/>
          <w:szCs w:val="21"/>
        </w:rPr>
      </w:pPr>
      <w:r>
        <w:rPr>
          <w:rFonts w:hint="eastAsia" w:ascii="宋体" w:hAnsi="宋体"/>
          <w:sz w:val="21"/>
          <w:szCs w:val="21"/>
        </w:rPr>
        <w:t>24.开标程序：</w:t>
      </w:r>
    </w:p>
    <w:p>
      <w:pPr>
        <w:pStyle w:val="27"/>
        <w:snapToGrid w:val="0"/>
        <w:ind w:firstLine="420" w:firstLineChars="200"/>
        <w:rPr>
          <w:rFonts w:hAnsi="宋体"/>
          <w:sz w:val="21"/>
        </w:rPr>
      </w:pPr>
      <w:r>
        <w:rPr>
          <w:rFonts w:hint="eastAsia" w:hAnsi="宋体"/>
          <w:sz w:val="21"/>
        </w:rPr>
        <w:t>（1）宣布开标：开标会由采购代理机构主持，主持人宣布开标开始；</w:t>
      </w:r>
    </w:p>
    <w:p>
      <w:pPr>
        <w:pStyle w:val="27"/>
        <w:snapToGrid w:val="0"/>
        <w:ind w:firstLine="420" w:firstLineChars="200"/>
        <w:rPr>
          <w:rFonts w:hAnsi="宋体"/>
          <w:sz w:val="21"/>
        </w:rPr>
      </w:pPr>
      <w:r>
        <w:rPr>
          <w:rFonts w:hint="eastAsia" w:hAnsi="宋体"/>
          <w:sz w:val="21"/>
        </w:rPr>
        <w:t xml:space="preserve">（2）主持人介绍参加开标会的人员名单； </w:t>
      </w:r>
    </w:p>
    <w:p>
      <w:pPr>
        <w:pStyle w:val="27"/>
        <w:snapToGrid w:val="0"/>
        <w:ind w:firstLine="420" w:firstLineChars="200"/>
        <w:rPr>
          <w:rFonts w:hAnsi="宋体"/>
          <w:sz w:val="21"/>
        </w:rPr>
      </w:pPr>
      <w:r>
        <w:rPr>
          <w:rFonts w:hint="eastAsia" w:hAnsi="宋体"/>
          <w:sz w:val="21"/>
        </w:rPr>
        <w:t>（3）主持人宣布开标纪律；</w:t>
      </w:r>
    </w:p>
    <w:p>
      <w:pPr>
        <w:pStyle w:val="27"/>
        <w:snapToGrid w:val="0"/>
        <w:ind w:firstLine="420" w:firstLineChars="200"/>
        <w:rPr>
          <w:rFonts w:hAnsi="宋体"/>
          <w:sz w:val="21"/>
        </w:rPr>
      </w:pPr>
      <w:r>
        <w:rPr>
          <w:rFonts w:hint="eastAsia" w:hAnsi="宋体"/>
          <w:sz w:val="21"/>
        </w:rPr>
        <w:t>（4）检查文件：由各投标人检查各自的投标文件密封情况并签字确认。</w:t>
      </w:r>
    </w:p>
    <w:p>
      <w:pPr>
        <w:pStyle w:val="27"/>
        <w:snapToGrid w:val="0"/>
        <w:ind w:firstLine="420" w:firstLineChars="200"/>
        <w:rPr>
          <w:rFonts w:hAnsi="宋体"/>
          <w:sz w:val="21"/>
        </w:rPr>
      </w:pPr>
      <w:r>
        <w:rPr>
          <w:rFonts w:hint="eastAsia" w:hAnsi="宋体"/>
          <w:sz w:val="21"/>
        </w:rPr>
        <w:t>（5）唱标：经投标人确认各自投标文件密封无误后，由采购代理机构工作当众拆封，宣布投标人名称、投标价格和其他需要宣布的内容。</w:t>
      </w:r>
    </w:p>
    <w:p>
      <w:pPr>
        <w:pStyle w:val="27"/>
        <w:snapToGrid w:val="0"/>
        <w:ind w:firstLine="420" w:firstLineChars="200"/>
        <w:rPr>
          <w:rFonts w:hAnsi="宋体"/>
          <w:sz w:val="21"/>
        </w:rPr>
      </w:pPr>
      <w:r>
        <w:rPr>
          <w:rFonts w:hint="eastAsia" w:hAnsi="宋体"/>
          <w:sz w:val="21"/>
        </w:rPr>
        <w:t>（6）开标过程由采购代理机构如实记录，由参加开标的各投标人代表对开标记录进行当场校核及勘误，并签字确认。投标人代表未到场签字确认或者拒绝签字确认的，视同认可开标结果；</w:t>
      </w:r>
    </w:p>
    <w:p>
      <w:pPr>
        <w:pStyle w:val="27"/>
        <w:snapToGrid w:val="0"/>
        <w:ind w:firstLine="420" w:firstLineChars="200"/>
        <w:rPr>
          <w:rFonts w:hAnsi="宋体"/>
          <w:sz w:val="21"/>
        </w:rPr>
      </w:pPr>
      <w:r>
        <w:rPr>
          <w:rFonts w:hint="eastAsia" w:hAnsi="宋体"/>
          <w:sz w:val="21"/>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7"/>
        <w:snapToGrid w:val="0"/>
        <w:ind w:firstLine="420" w:firstLineChars="200"/>
        <w:rPr>
          <w:rFonts w:hAnsi="宋体"/>
          <w:sz w:val="21"/>
        </w:rPr>
      </w:pPr>
      <w:r>
        <w:rPr>
          <w:rFonts w:hint="eastAsia" w:hAnsi="宋体"/>
          <w:sz w:val="21"/>
        </w:rPr>
        <w:t>（8）开标结束。</w:t>
      </w:r>
    </w:p>
    <w:p>
      <w:pPr>
        <w:pStyle w:val="27"/>
        <w:snapToGrid w:val="0"/>
        <w:ind w:left="689" w:leftChars="228" w:hanging="210" w:hangingChars="100"/>
        <w:rPr>
          <w:rFonts w:hAnsi="宋体"/>
          <w:sz w:val="21"/>
        </w:rPr>
      </w:pPr>
    </w:p>
    <w:p>
      <w:pPr>
        <w:pStyle w:val="5"/>
        <w:jc w:val="center"/>
        <w:rPr>
          <w:rFonts w:ascii="宋体" w:hAnsi="宋体"/>
          <w:b w:val="0"/>
          <w:sz w:val="21"/>
          <w:szCs w:val="21"/>
        </w:rPr>
      </w:pPr>
      <w:r>
        <w:rPr>
          <w:rFonts w:hint="eastAsia"/>
        </w:rPr>
        <w:t>五、资格审查</w:t>
      </w:r>
    </w:p>
    <w:p>
      <w:pPr>
        <w:pStyle w:val="7"/>
        <w:numPr>
          <w:ilvl w:val="0"/>
          <w:numId w:val="0"/>
        </w:numPr>
        <w:spacing w:before="0" w:after="0" w:line="240" w:lineRule="auto"/>
        <w:ind w:firstLine="422" w:firstLineChars="200"/>
        <w:rPr>
          <w:rFonts w:ascii="宋体" w:hAnsi="宋体"/>
          <w:sz w:val="21"/>
          <w:szCs w:val="21"/>
        </w:rPr>
      </w:pPr>
      <w:r>
        <w:rPr>
          <w:rFonts w:hint="eastAsia" w:ascii="宋体" w:hAnsi="宋体"/>
          <w:sz w:val="21"/>
          <w:szCs w:val="21"/>
        </w:rPr>
        <w:t>25.资格审查</w:t>
      </w:r>
    </w:p>
    <w:p>
      <w:pPr>
        <w:pStyle w:val="7"/>
        <w:spacing w:before="0" w:after="0" w:line="240" w:lineRule="auto"/>
        <w:ind w:firstLine="315" w:firstLineChars="150"/>
        <w:rPr>
          <w:rFonts w:ascii="宋体" w:hAnsi="宋体"/>
          <w:b w:val="0"/>
          <w:sz w:val="21"/>
          <w:szCs w:val="21"/>
        </w:rPr>
      </w:pPr>
      <w:r>
        <w:rPr>
          <w:rFonts w:hint="eastAsia" w:ascii="宋体" w:hAnsi="宋体"/>
          <w:b w:val="0"/>
          <w:sz w:val="21"/>
          <w:szCs w:val="21"/>
        </w:rPr>
        <w:t xml:space="preserve"> 25.1</w:t>
      </w:r>
      <w:r>
        <w:rPr>
          <w:rFonts w:ascii="宋体" w:hAnsi="宋体"/>
          <w:b w:val="0"/>
          <w:sz w:val="21"/>
          <w:szCs w:val="21"/>
        </w:rPr>
        <w:t>开标结束后，</w:t>
      </w:r>
      <w:r>
        <w:rPr>
          <w:rFonts w:hint="eastAsia" w:ascii="宋体" w:hAnsi="宋体"/>
          <w:b w:val="0"/>
          <w:sz w:val="21"/>
          <w:szCs w:val="21"/>
        </w:rPr>
        <w:t>采购人或采购代理机构</w:t>
      </w:r>
      <w:r>
        <w:rPr>
          <w:rFonts w:ascii="宋体" w:hAnsi="宋体"/>
          <w:b w:val="0"/>
          <w:sz w:val="21"/>
          <w:szCs w:val="21"/>
        </w:rPr>
        <w:t>依法对投标人的资格进行审查。</w:t>
      </w:r>
    </w:p>
    <w:p>
      <w:pPr>
        <w:pStyle w:val="7"/>
        <w:spacing w:before="0" w:after="0" w:line="240" w:lineRule="auto"/>
        <w:ind w:firstLine="315" w:firstLineChars="150"/>
        <w:rPr>
          <w:rFonts w:ascii="宋体" w:hAnsi="宋体"/>
          <w:b w:val="0"/>
          <w:sz w:val="21"/>
          <w:szCs w:val="21"/>
        </w:rPr>
      </w:pPr>
      <w:r>
        <w:rPr>
          <w:rFonts w:hint="eastAsia" w:ascii="宋体" w:hAnsi="宋体"/>
          <w:b w:val="0"/>
          <w:sz w:val="21"/>
          <w:szCs w:val="21"/>
        </w:rPr>
        <w:t xml:space="preserve"> 25.2资格审查标准为本招标文件中载明对投标人资格要求的条件。本项目资格审查采用合格制，凡符合招标文件规定的投标人资格要求的投标人均通过资格审查。</w:t>
      </w:r>
    </w:p>
    <w:p>
      <w:pPr>
        <w:pStyle w:val="7"/>
        <w:numPr>
          <w:ilvl w:val="0"/>
          <w:numId w:val="0"/>
        </w:numPr>
        <w:spacing w:before="0" w:after="0" w:line="240" w:lineRule="auto"/>
        <w:ind w:firstLine="422" w:firstLineChars="200"/>
        <w:rPr>
          <w:rFonts w:ascii="宋体" w:hAnsi="宋体"/>
          <w:sz w:val="21"/>
          <w:szCs w:val="21"/>
        </w:rPr>
      </w:pPr>
      <w:bookmarkStart w:id="52" w:name="_25.3_投标人有下列情形之一的，资格审查不通过而导致其投标无效："/>
      <w:bookmarkEnd w:id="52"/>
      <w:r>
        <w:rPr>
          <w:rFonts w:hint="eastAsia" w:ascii="宋体" w:hAnsi="宋体"/>
          <w:sz w:val="21"/>
          <w:szCs w:val="21"/>
        </w:rPr>
        <w:t>25.3 投标人有下列情形之一的，资格审查不通过而导致其投标无效：</w:t>
      </w:r>
    </w:p>
    <w:p>
      <w:pPr>
        <w:pStyle w:val="27"/>
        <w:snapToGrid w:val="0"/>
        <w:ind w:firstLine="413" w:firstLineChars="196"/>
        <w:rPr>
          <w:rFonts w:hAnsi="宋体"/>
          <w:b/>
          <w:sz w:val="21"/>
        </w:rPr>
      </w:pPr>
      <w:r>
        <w:rPr>
          <w:rFonts w:hint="eastAsia" w:hAnsi="宋体"/>
          <w:b/>
          <w:sz w:val="21"/>
        </w:rPr>
        <w:t>（1）不具备招标文件中规定的资格要求的；（注：其中信用查询由采购人或采购代理机构在“信用中国”网站(www.creditchina.gov.cn) 、中国政府采购网(www.ccgp.gov.cn)对投标人资格审查时进行，查询规则见“投标人须知前附表”）</w:t>
      </w:r>
    </w:p>
    <w:p>
      <w:pPr>
        <w:pStyle w:val="27"/>
        <w:snapToGrid w:val="0"/>
        <w:ind w:firstLine="422" w:firstLineChars="200"/>
        <w:rPr>
          <w:rFonts w:hAnsi="宋体"/>
          <w:b/>
          <w:sz w:val="21"/>
        </w:rPr>
      </w:pPr>
      <w:r>
        <w:rPr>
          <w:rFonts w:hint="eastAsia" w:hAnsi="宋体"/>
          <w:b/>
          <w:sz w:val="21"/>
        </w:rPr>
        <w:t>（2）未按招标文件规定的方式获取本招标文件的投标人；</w:t>
      </w:r>
    </w:p>
    <w:p>
      <w:pPr>
        <w:pStyle w:val="27"/>
        <w:snapToGrid w:val="0"/>
        <w:ind w:firstLine="422" w:firstLineChars="200"/>
        <w:rPr>
          <w:rFonts w:hAnsi="宋体"/>
          <w:b/>
          <w:sz w:val="21"/>
        </w:rPr>
      </w:pPr>
      <w:r>
        <w:rPr>
          <w:rFonts w:hint="eastAsia" w:hAnsi="宋体"/>
          <w:b/>
          <w:sz w:val="21"/>
        </w:rPr>
        <w:t>（3）投标文件未提供“投标人须知前附表”第13.2条规定“必须提供”的文件资料的或提供的文件资料不合格的；</w:t>
      </w:r>
    </w:p>
    <w:p>
      <w:pPr>
        <w:pStyle w:val="27"/>
        <w:snapToGrid w:val="0"/>
        <w:ind w:firstLine="422" w:firstLineChars="200"/>
        <w:rPr>
          <w:rFonts w:hAnsi="宋体"/>
          <w:b/>
          <w:sz w:val="21"/>
        </w:rPr>
      </w:pPr>
      <w:r>
        <w:rPr>
          <w:rFonts w:hint="eastAsia" w:hAnsi="宋体"/>
          <w:b/>
          <w:sz w:val="21"/>
        </w:rPr>
        <w:t>（4）未取得按照法律法规规定必须获得的行政许可证或者行政审批的经营范围；</w:t>
      </w:r>
    </w:p>
    <w:p>
      <w:pPr>
        <w:pStyle w:val="27"/>
        <w:snapToGrid w:val="0"/>
        <w:ind w:firstLine="422" w:firstLineChars="200"/>
        <w:rPr>
          <w:rFonts w:hAnsi="宋体"/>
          <w:b/>
          <w:sz w:val="21"/>
        </w:rPr>
      </w:pPr>
      <w:r>
        <w:rPr>
          <w:rFonts w:hint="eastAsia" w:hAnsi="宋体"/>
          <w:b/>
          <w:sz w:val="21"/>
        </w:rPr>
        <w:t>（5）违反国家法律法规规定的其他资格内容的。</w:t>
      </w:r>
    </w:p>
    <w:p>
      <w:pPr>
        <w:pStyle w:val="7"/>
        <w:spacing w:before="0" w:after="0" w:line="240" w:lineRule="auto"/>
        <w:ind w:left="420" w:leftChars="200"/>
        <w:rPr>
          <w:rFonts w:ascii="宋体" w:hAnsi="宋体"/>
          <w:b w:val="0"/>
          <w:sz w:val="21"/>
          <w:szCs w:val="21"/>
        </w:rPr>
      </w:pPr>
      <w:r>
        <w:rPr>
          <w:rFonts w:hint="eastAsia" w:ascii="宋体" w:hAnsi="宋体"/>
          <w:sz w:val="21"/>
          <w:szCs w:val="21"/>
        </w:rPr>
        <w:t>25.4资格审查的</w:t>
      </w:r>
      <w:r>
        <w:rPr>
          <w:rFonts w:ascii="宋体" w:hAnsi="宋体"/>
          <w:sz w:val="21"/>
          <w:szCs w:val="21"/>
        </w:rPr>
        <w:t>合格投标人不足3家的，不得评标。</w:t>
      </w:r>
    </w:p>
    <w:p>
      <w:pPr>
        <w:pStyle w:val="27"/>
        <w:snapToGrid w:val="0"/>
        <w:ind w:left="689" w:leftChars="228" w:hanging="210" w:hangingChars="100"/>
        <w:rPr>
          <w:rFonts w:hAnsi="宋体"/>
          <w:sz w:val="21"/>
        </w:rPr>
      </w:pPr>
    </w:p>
    <w:p>
      <w:pPr>
        <w:pStyle w:val="5"/>
        <w:jc w:val="center"/>
        <w:rPr>
          <w:rFonts w:ascii="宋体" w:hAnsi="宋体"/>
          <w:b w:val="0"/>
          <w:sz w:val="21"/>
          <w:szCs w:val="21"/>
        </w:rPr>
      </w:pPr>
      <w:r>
        <w:rPr>
          <w:rFonts w:hint="eastAsia"/>
        </w:rPr>
        <w:t>六、评   标</w:t>
      </w:r>
    </w:p>
    <w:p>
      <w:pPr>
        <w:pStyle w:val="7"/>
        <w:spacing w:before="0" w:after="0" w:line="240" w:lineRule="auto"/>
        <w:ind w:left="420" w:leftChars="200"/>
        <w:rPr>
          <w:rFonts w:ascii="宋体" w:hAnsi="宋体"/>
          <w:sz w:val="21"/>
          <w:szCs w:val="21"/>
        </w:rPr>
      </w:pPr>
      <w:bookmarkStart w:id="53" w:name="_26.组建评标委员会"/>
      <w:bookmarkEnd w:id="53"/>
      <w:r>
        <w:rPr>
          <w:rFonts w:hint="eastAsia" w:ascii="宋体" w:hAnsi="宋体"/>
          <w:sz w:val="21"/>
          <w:szCs w:val="21"/>
        </w:rPr>
        <w:t>26.组建评标委员会</w:t>
      </w:r>
    </w:p>
    <w:p>
      <w:pPr>
        <w:pStyle w:val="27"/>
        <w:snapToGrid w:val="0"/>
        <w:ind w:firstLine="420" w:firstLineChars="200"/>
        <w:rPr>
          <w:rFonts w:hAnsi="宋体"/>
          <w:sz w:val="21"/>
        </w:rPr>
      </w:pPr>
      <w:r>
        <w:rPr>
          <w:rFonts w:hint="eastAsia" w:hAnsi="宋体"/>
          <w:sz w:val="21"/>
        </w:rPr>
        <w:t>评标委员会由采购人代表和评审专家组成，人数见“投标人须知前附表”，其中评审专家不得少于成员总数的三分之二。</w:t>
      </w:r>
    </w:p>
    <w:p>
      <w:pPr>
        <w:pStyle w:val="27"/>
        <w:snapToGrid w:val="0"/>
        <w:ind w:left="2" w:leftChars="1" w:firstLine="420" w:firstLineChars="200"/>
        <w:rPr>
          <w:rFonts w:hAnsi="宋体"/>
          <w:sz w:val="21"/>
        </w:rPr>
      </w:pPr>
      <w:r>
        <w:rPr>
          <w:rFonts w:hint="eastAsia" w:hAnsi="宋体"/>
          <w:sz w:val="21"/>
        </w:rPr>
        <w:t>参加过采购项目前期咨询论证的专家，不得参加该采购项目的评审活动。</w:t>
      </w:r>
    </w:p>
    <w:p>
      <w:pPr>
        <w:pStyle w:val="7"/>
        <w:spacing w:before="0" w:after="0" w:line="240" w:lineRule="auto"/>
        <w:ind w:left="420" w:leftChars="200"/>
        <w:rPr>
          <w:rFonts w:ascii="宋体" w:hAnsi="宋体"/>
          <w:sz w:val="21"/>
          <w:szCs w:val="21"/>
        </w:rPr>
      </w:pPr>
      <w:r>
        <w:rPr>
          <w:rFonts w:hint="eastAsia" w:ascii="宋体" w:hAnsi="宋体"/>
          <w:sz w:val="21"/>
          <w:szCs w:val="21"/>
        </w:rPr>
        <w:t>27.评标的依据</w:t>
      </w:r>
    </w:p>
    <w:p>
      <w:pPr>
        <w:pStyle w:val="27"/>
        <w:snapToGrid w:val="0"/>
        <w:ind w:firstLine="420" w:firstLineChars="200"/>
        <w:rPr>
          <w:rFonts w:hAnsi="宋体"/>
          <w:sz w:val="21"/>
        </w:rPr>
      </w:pPr>
      <w:r>
        <w:rPr>
          <w:rFonts w:hint="eastAsia" w:hAnsi="宋体"/>
          <w:sz w:val="21"/>
        </w:rPr>
        <w:t>评标委员会以招标文件为依据对投标文件进行评审, 招标文件中没有规定的评标标准不得作为评审的依据。</w:t>
      </w:r>
    </w:p>
    <w:p>
      <w:pPr>
        <w:pStyle w:val="27"/>
        <w:snapToGrid w:val="0"/>
        <w:ind w:firstLine="422" w:firstLineChars="200"/>
        <w:rPr>
          <w:rFonts w:hAnsi="宋体"/>
          <w:b/>
          <w:sz w:val="21"/>
        </w:rPr>
      </w:pPr>
      <w:r>
        <w:rPr>
          <w:rFonts w:hint="eastAsia" w:hAnsi="宋体"/>
          <w:b/>
          <w:sz w:val="21"/>
        </w:rPr>
        <w:t>28.评标原则和评标办法</w:t>
      </w:r>
    </w:p>
    <w:p>
      <w:pPr>
        <w:pStyle w:val="27"/>
        <w:snapToGrid w:val="0"/>
        <w:ind w:firstLine="420" w:firstLineChars="200"/>
        <w:rPr>
          <w:rFonts w:hAnsi="宋体"/>
          <w:sz w:val="21"/>
        </w:rPr>
      </w:pPr>
      <w:r>
        <w:rPr>
          <w:rFonts w:hint="eastAsia" w:hAnsi="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收受利害关系人的财物或其他好处。</w:t>
      </w:r>
    </w:p>
    <w:p>
      <w:pPr>
        <w:pStyle w:val="27"/>
        <w:snapToGrid w:val="0"/>
        <w:ind w:firstLine="420" w:firstLineChars="200"/>
        <w:rPr>
          <w:rFonts w:hAnsi="宋体"/>
          <w:sz w:val="21"/>
        </w:rPr>
      </w:pPr>
      <w:r>
        <w:rPr>
          <w:rFonts w:hint="eastAsia" w:hAnsi="宋体"/>
          <w:sz w:val="21"/>
        </w:rPr>
        <w:t>28.2评委表决。在评标过程中出现法律法规和招标文件均没有明确规定的情形时，由评标委员会现场协商解决，协商不一致的，由全体评委投票表决，以得票率二分之一以上专家的意见为准。</w:t>
      </w:r>
      <w:bookmarkStart w:id="54" w:name="_28.3评标方法。本项目将按须知前附表规定的评标办法进行评标，具体评标"/>
      <w:bookmarkEnd w:id="54"/>
    </w:p>
    <w:p>
      <w:pPr>
        <w:pStyle w:val="27"/>
        <w:snapToGrid w:val="0"/>
        <w:ind w:firstLine="420" w:firstLineChars="200"/>
        <w:rPr>
          <w:rFonts w:hAnsi="宋体"/>
          <w:sz w:val="21"/>
        </w:rPr>
      </w:pPr>
      <w:r>
        <w:rPr>
          <w:rFonts w:hint="eastAsia" w:hAnsi="宋体"/>
          <w:sz w:val="21"/>
        </w:rPr>
        <w:t>28.3评标方法。本项目将按“投标人须知前附表”规定的评标方法进行评标，具体评标内容及评分标准等详见第四章：评标方法及评标标准。</w:t>
      </w:r>
    </w:p>
    <w:p>
      <w:pPr>
        <w:pStyle w:val="27"/>
        <w:snapToGrid w:val="0"/>
        <w:ind w:firstLine="420" w:firstLineChars="200"/>
        <w:rPr>
          <w:rFonts w:hAnsi="宋体"/>
          <w:sz w:val="21"/>
        </w:rPr>
      </w:pPr>
      <w:r>
        <w:rPr>
          <w:rFonts w:hint="eastAsia" w:hAnsi="宋体"/>
          <w:sz w:val="21"/>
        </w:rPr>
        <w:t>28.4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7"/>
        <w:snapToGrid w:val="0"/>
        <w:ind w:firstLine="422" w:firstLineChars="200"/>
        <w:rPr>
          <w:rFonts w:hAnsi="宋体"/>
          <w:b/>
          <w:sz w:val="21"/>
        </w:rPr>
      </w:pPr>
      <w:r>
        <w:rPr>
          <w:rFonts w:hint="eastAsia" w:hAnsi="宋体"/>
          <w:b/>
          <w:sz w:val="21"/>
        </w:rPr>
        <w:t>29.评标程序</w:t>
      </w:r>
    </w:p>
    <w:p>
      <w:pPr>
        <w:pStyle w:val="7"/>
        <w:spacing w:before="0" w:after="0" w:line="240" w:lineRule="auto"/>
        <w:ind w:left="420" w:leftChars="200"/>
        <w:rPr>
          <w:rFonts w:ascii="微软雅黑" w:hAnsi="微软雅黑" w:eastAsia="微软雅黑"/>
          <w:sz w:val="24"/>
        </w:rPr>
      </w:pPr>
      <w:r>
        <w:rPr>
          <w:rFonts w:hint="eastAsia" w:ascii="微软雅黑" w:hAnsi="微软雅黑" w:eastAsia="微软雅黑"/>
          <w:sz w:val="24"/>
        </w:rPr>
        <w:t>29.1符合性审查</w:t>
      </w:r>
    </w:p>
    <w:p>
      <w:pPr>
        <w:pStyle w:val="27"/>
        <w:snapToGrid w:val="0"/>
        <w:ind w:left="1" w:firstLine="420"/>
        <w:rPr>
          <w:rFonts w:ascii="微软雅黑" w:hAnsi="微软雅黑" w:eastAsia="微软雅黑"/>
          <w:b/>
          <w:kern w:val="2"/>
          <w:sz w:val="24"/>
          <w:szCs w:val="24"/>
        </w:rPr>
      </w:pPr>
      <w:r>
        <w:rPr>
          <w:rFonts w:hint="eastAsia" w:ascii="微软雅黑" w:hAnsi="微软雅黑" w:eastAsia="微软雅黑"/>
          <w:b/>
          <w:kern w:val="2"/>
          <w:sz w:val="24"/>
          <w:szCs w:val="24"/>
        </w:rPr>
        <w:t>评标委员会应当对符合资格的投标人的投标文件进行投标报价、商务、技术等实质性要求符合性审查，以确定其是否满足招标文件的实质性要求。</w:t>
      </w:r>
    </w:p>
    <w:p>
      <w:pPr>
        <w:pStyle w:val="7"/>
        <w:spacing w:before="0" w:after="0" w:line="240" w:lineRule="auto"/>
        <w:ind w:left="420" w:leftChars="200"/>
        <w:rPr>
          <w:rFonts w:ascii="微软雅黑" w:hAnsi="微软雅黑" w:eastAsia="微软雅黑"/>
          <w:sz w:val="24"/>
        </w:rPr>
      </w:pPr>
      <w:r>
        <w:rPr>
          <w:rFonts w:hint="eastAsia" w:ascii="微软雅黑" w:hAnsi="微软雅黑" w:eastAsia="微软雅黑"/>
          <w:sz w:val="24"/>
        </w:rPr>
        <w:t>29.2符合性审查不通过而导致投标无效的情形</w:t>
      </w:r>
    </w:p>
    <w:p>
      <w:pPr>
        <w:snapToGrid w:val="0"/>
        <w:ind w:firstLine="480" w:firstLineChars="200"/>
        <w:rPr>
          <w:rFonts w:ascii="微软雅黑" w:hAnsi="微软雅黑" w:eastAsia="微软雅黑"/>
          <w:b/>
          <w:sz w:val="24"/>
        </w:rPr>
      </w:pPr>
      <w:r>
        <w:rPr>
          <w:rFonts w:hint="eastAsia" w:ascii="微软雅黑" w:hAnsi="微软雅黑" w:eastAsia="微软雅黑"/>
          <w:b/>
          <w:sz w:val="24"/>
        </w:rPr>
        <w:t>投标人的投标文件中存在对招标文件的任何实质性要求和条件的负偏离，其投标将被视为投标无效。</w:t>
      </w:r>
    </w:p>
    <w:p>
      <w:pPr>
        <w:pStyle w:val="7"/>
        <w:spacing w:before="0" w:after="0" w:line="240" w:lineRule="auto"/>
        <w:ind w:left="420" w:leftChars="200"/>
        <w:rPr>
          <w:rFonts w:ascii="微软雅黑" w:hAnsi="微软雅黑" w:eastAsia="微软雅黑"/>
          <w:sz w:val="24"/>
        </w:rPr>
      </w:pPr>
      <w:r>
        <w:rPr>
          <w:rFonts w:hint="eastAsia" w:ascii="微软雅黑" w:hAnsi="微软雅黑" w:eastAsia="微软雅黑"/>
          <w:sz w:val="24"/>
        </w:rPr>
        <w:t>29.2.1在报价评审时，如发现下列情形之一的，将被视为投标无效：</w:t>
      </w:r>
    </w:p>
    <w:p>
      <w:pPr>
        <w:pStyle w:val="8"/>
        <w:numPr>
          <w:ilvl w:val="0"/>
          <w:numId w:val="7"/>
        </w:numPr>
        <w:rPr>
          <w:rFonts w:ascii="微软雅黑" w:hAnsi="微软雅黑" w:eastAsia="微软雅黑"/>
          <w:b/>
          <w:sz w:val="24"/>
          <w:szCs w:val="24"/>
        </w:rPr>
      </w:pPr>
      <w:r>
        <w:rPr>
          <w:rFonts w:hint="eastAsia" w:ascii="微软雅黑" w:hAnsi="微软雅黑" w:eastAsia="微软雅黑"/>
          <w:b/>
          <w:sz w:val="24"/>
          <w:szCs w:val="24"/>
        </w:rPr>
        <w:t>投标文件未提供“投标人须知前附表”第13.1条规定中“必须提供”的文件资料的;</w:t>
      </w:r>
    </w:p>
    <w:p>
      <w:pPr>
        <w:pStyle w:val="8"/>
        <w:numPr>
          <w:ilvl w:val="0"/>
          <w:numId w:val="7"/>
        </w:numPr>
        <w:rPr>
          <w:rFonts w:ascii="微软雅黑" w:hAnsi="微软雅黑" w:eastAsia="微软雅黑"/>
          <w:b/>
          <w:sz w:val="24"/>
          <w:szCs w:val="24"/>
        </w:rPr>
      </w:pPr>
      <w:r>
        <w:rPr>
          <w:rFonts w:hint="eastAsia" w:ascii="微软雅黑" w:hAnsi="微软雅黑" w:eastAsia="微软雅黑"/>
          <w:b/>
          <w:sz w:val="24"/>
          <w:szCs w:val="24"/>
        </w:rPr>
        <w:t>未采用人民币报价或者未按照招标文件标明的币种报价的；</w:t>
      </w:r>
    </w:p>
    <w:p>
      <w:pPr>
        <w:pStyle w:val="8"/>
        <w:numPr>
          <w:ilvl w:val="0"/>
          <w:numId w:val="7"/>
        </w:numPr>
        <w:rPr>
          <w:rFonts w:ascii="微软雅黑" w:hAnsi="微软雅黑" w:eastAsia="微软雅黑"/>
          <w:b/>
          <w:sz w:val="24"/>
          <w:szCs w:val="24"/>
        </w:rPr>
      </w:pPr>
      <w:r>
        <w:rPr>
          <w:rFonts w:hint="eastAsia" w:ascii="微软雅黑" w:hAnsi="微软雅黑" w:eastAsia="微软雅黑"/>
          <w:b/>
          <w:sz w:val="24"/>
          <w:szCs w:val="24"/>
        </w:rPr>
        <w:t>报价超出招标文件规定最高限价，或者超出采购预算金额的；</w:t>
      </w:r>
    </w:p>
    <w:p>
      <w:pPr>
        <w:pStyle w:val="8"/>
        <w:numPr>
          <w:ilvl w:val="0"/>
          <w:numId w:val="7"/>
        </w:numPr>
        <w:rPr>
          <w:rFonts w:ascii="微软雅黑" w:hAnsi="微软雅黑" w:eastAsia="微软雅黑"/>
          <w:b/>
          <w:sz w:val="24"/>
          <w:szCs w:val="24"/>
        </w:rPr>
      </w:pPr>
      <w:r>
        <w:rPr>
          <w:rFonts w:hint="eastAsia" w:ascii="微软雅黑" w:hAnsi="微软雅黑" w:eastAsia="微软雅黑"/>
          <w:b/>
          <w:sz w:val="24"/>
          <w:szCs w:val="24"/>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pPr>
        <w:pStyle w:val="8"/>
        <w:numPr>
          <w:ilvl w:val="0"/>
          <w:numId w:val="7"/>
        </w:numPr>
        <w:rPr>
          <w:rFonts w:ascii="微软雅黑" w:hAnsi="微软雅黑" w:eastAsia="微软雅黑"/>
          <w:b/>
          <w:sz w:val="24"/>
        </w:rPr>
      </w:pPr>
      <w:r>
        <w:rPr>
          <w:rFonts w:hint="eastAsia" w:ascii="微软雅黑" w:hAnsi="微软雅黑" w:eastAsia="微软雅黑"/>
          <w:b/>
          <w:sz w:val="24"/>
          <w:szCs w:val="24"/>
        </w:rPr>
        <w:t>修正后的报价，投标人不确认的；</w:t>
      </w:r>
    </w:p>
    <w:p>
      <w:pPr>
        <w:pStyle w:val="8"/>
        <w:numPr>
          <w:ilvl w:val="0"/>
          <w:numId w:val="7"/>
        </w:numPr>
        <w:rPr>
          <w:rFonts w:ascii="微软雅黑" w:hAnsi="微软雅黑" w:eastAsia="微软雅黑"/>
          <w:b/>
          <w:sz w:val="24"/>
        </w:rPr>
      </w:pPr>
      <w:r>
        <w:rPr>
          <w:rFonts w:hint="eastAsia" w:ascii="微软雅黑" w:hAnsi="微软雅黑" w:eastAsia="微软雅黑"/>
          <w:b/>
          <w:sz w:val="24"/>
        </w:rPr>
        <w:t>投标人属于本须知第29.4条第（2）项情形的；</w:t>
      </w:r>
    </w:p>
    <w:p>
      <w:pPr>
        <w:pStyle w:val="7"/>
        <w:spacing w:before="0" w:after="0" w:line="240" w:lineRule="auto"/>
        <w:ind w:left="420" w:leftChars="200"/>
        <w:rPr>
          <w:rFonts w:ascii="微软雅黑" w:hAnsi="微软雅黑" w:eastAsia="微软雅黑"/>
          <w:b w:val="0"/>
          <w:sz w:val="24"/>
        </w:rPr>
      </w:pPr>
      <w:r>
        <w:rPr>
          <w:rFonts w:hint="eastAsia" w:ascii="微软雅黑" w:hAnsi="微软雅黑" w:eastAsia="微软雅黑"/>
          <w:sz w:val="24"/>
        </w:rPr>
        <w:t>29.2.2在商务评审时，如发现下列情形之一的，将被视为投标无效：</w:t>
      </w:r>
    </w:p>
    <w:p>
      <w:pPr>
        <w:pStyle w:val="8"/>
        <w:numPr>
          <w:ilvl w:val="0"/>
          <w:numId w:val="8"/>
        </w:numPr>
        <w:ind w:firstLine="480" w:firstLineChars="200"/>
        <w:rPr>
          <w:rFonts w:ascii="微软雅黑" w:hAnsi="微软雅黑" w:eastAsia="微软雅黑"/>
          <w:b/>
          <w:sz w:val="24"/>
        </w:rPr>
      </w:pPr>
      <w:r>
        <w:rPr>
          <w:rFonts w:hint="eastAsia" w:ascii="微软雅黑" w:hAnsi="微软雅黑" w:eastAsia="微软雅黑"/>
          <w:b/>
          <w:sz w:val="24"/>
        </w:rPr>
        <w:t>投标文件未按招标文件要求签署、盖章的；</w:t>
      </w:r>
    </w:p>
    <w:p>
      <w:pPr>
        <w:pStyle w:val="8"/>
        <w:numPr>
          <w:ilvl w:val="0"/>
          <w:numId w:val="8"/>
        </w:numPr>
        <w:ind w:firstLine="480" w:firstLineChars="200"/>
        <w:rPr>
          <w:rFonts w:ascii="微软雅黑" w:hAnsi="微软雅黑" w:eastAsia="微软雅黑"/>
          <w:b/>
          <w:sz w:val="24"/>
          <w:szCs w:val="24"/>
        </w:rPr>
      </w:pPr>
      <w:r>
        <w:rPr>
          <w:rFonts w:hint="eastAsia" w:ascii="微软雅黑" w:hAnsi="微软雅黑" w:eastAsia="微软雅黑"/>
          <w:b/>
          <w:sz w:val="24"/>
        </w:rPr>
        <w:t xml:space="preserve">委托代理人未能出具有效身份证明或出具的身份证明与授权委托书中的信息不符的； </w:t>
      </w:r>
    </w:p>
    <w:p>
      <w:pPr>
        <w:pStyle w:val="21"/>
        <w:snapToGrid w:val="0"/>
        <w:ind w:firstLine="471" w:firstLineChars="196"/>
        <w:rPr>
          <w:rFonts w:ascii="微软雅黑" w:hAnsi="微软雅黑" w:eastAsia="微软雅黑"/>
          <w:b/>
          <w:kern w:val="2"/>
          <w:sz w:val="24"/>
          <w:szCs w:val="24"/>
        </w:rPr>
      </w:pPr>
      <w:r>
        <w:rPr>
          <w:rFonts w:hint="eastAsia" w:ascii="微软雅黑" w:hAnsi="微软雅黑" w:eastAsia="微软雅黑"/>
          <w:b/>
          <w:kern w:val="2"/>
          <w:sz w:val="24"/>
          <w:szCs w:val="24"/>
        </w:rPr>
        <w:t>（3）投标文件未提供“投标人须知前附表”第13.3条规定中“必须提供”或者“委托时必须提供”的文件资料的;</w:t>
      </w:r>
    </w:p>
    <w:p>
      <w:pPr>
        <w:pStyle w:val="21"/>
        <w:snapToGrid w:val="0"/>
        <w:ind w:firstLine="471" w:firstLineChars="196"/>
        <w:rPr>
          <w:rFonts w:ascii="微软雅黑" w:hAnsi="微软雅黑" w:eastAsia="微软雅黑"/>
          <w:b/>
          <w:kern w:val="2"/>
          <w:sz w:val="24"/>
          <w:szCs w:val="24"/>
        </w:rPr>
      </w:pPr>
      <w:r>
        <w:rPr>
          <w:rFonts w:hint="eastAsia" w:ascii="微软雅黑" w:hAnsi="微软雅黑" w:eastAsia="微软雅黑"/>
          <w:b/>
          <w:kern w:val="2"/>
          <w:sz w:val="24"/>
          <w:szCs w:val="24"/>
        </w:rPr>
        <w:t>（4）投标有效期、项目完成时间（交货时间、服务完成时间或服务期等）、质保期、售后服务等招标文件中标“▲”的商务条款发生负偏离的；</w:t>
      </w:r>
    </w:p>
    <w:p>
      <w:pPr>
        <w:pStyle w:val="21"/>
        <w:snapToGrid w:val="0"/>
        <w:ind w:firstLine="471" w:firstLineChars="196"/>
        <w:rPr>
          <w:rFonts w:ascii="微软雅黑" w:hAnsi="微软雅黑" w:eastAsia="微软雅黑"/>
          <w:b/>
          <w:kern w:val="2"/>
          <w:sz w:val="24"/>
          <w:szCs w:val="24"/>
        </w:rPr>
      </w:pPr>
      <w:r>
        <w:rPr>
          <w:rFonts w:hint="eastAsia" w:ascii="微软雅黑" w:hAnsi="微软雅黑" w:eastAsia="微软雅黑"/>
          <w:b/>
          <w:kern w:val="2"/>
          <w:sz w:val="24"/>
          <w:szCs w:val="24"/>
        </w:rPr>
        <w:t>（5）商务评审允许负偏离的项目数超过“投标人须知前附表”规定项数的。</w:t>
      </w:r>
    </w:p>
    <w:p>
      <w:pPr>
        <w:pStyle w:val="21"/>
        <w:snapToGrid w:val="0"/>
        <w:ind w:firstLine="471" w:firstLineChars="196"/>
        <w:rPr>
          <w:rFonts w:ascii="微软雅黑" w:hAnsi="微软雅黑" w:eastAsia="微软雅黑"/>
          <w:b/>
          <w:kern w:val="2"/>
          <w:sz w:val="24"/>
          <w:szCs w:val="24"/>
        </w:rPr>
      </w:pPr>
      <w:r>
        <w:rPr>
          <w:rFonts w:hint="eastAsia" w:ascii="微软雅黑" w:hAnsi="微软雅黑" w:eastAsia="微软雅黑"/>
          <w:b/>
          <w:kern w:val="2"/>
          <w:sz w:val="24"/>
          <w:szCs w:val="24"/>
        </w:rPr>
        <w:t>（6）投标文件的实质性内容未使用中文表述、使用计量单位不符合招标文件要求的；</w:t>
      </w:r>
    </w:p>
    <w:p>
      <w:pPr>
        <w:pStyle w:val="21"/>
        <w:snapToGrid w:val="0"/>
        <w:ind w:firstLine="471" w:firstLineChars="196"/>
        <w:rPr>
          <w:rFonts w:ascii="微软雅黑" w:hAnsi="微软雅黑" w:eastAsia="微软雅黑"/>
          <w:b/>
          <w:kern w:val="2"/>
          <w:sz w:val="24"/>
          <w:szCs w:val="24"/>
        </w:rPr>
      </w:pPr>
      <w:r>
        <w:rPr>
          <w:rFonts w:hint="eastAsia" w:ascii="微软雅黑" w:hAnsi="微软雅黑" w:eastAsia="微软雅黑"/>
          <w:b/>
          <w:kern w:val="2"/>
          <w:sz w:val="24"/>
          <w:szCs w:val="24"/>
        </w:rPr>
        <w:t>（7）投标文件中的文件资料因填写不齐全或者内容虚假或者出现其他情形而导致被评标委员会认定无效的；</w:t>
      </w:r>
    </w:p>
    <w:p>
      <w:pPr>
        <w:pStyle w:val="21"/>
        <w:snapToGrid w:val="0"/>
        <w:ind w:firstLine="471" w:firstLineChars="196"/>
        <w:rPr>
          <w:rFonts w:ascii="微软雅黑" w:hAnsi="微软雅黑" w:eastAsia="微软雅黑"/>
          <w:b/>
          <w:kern w:val="2"/>
          <w:sz w:val="24"/>
          <w:szCs w:val="24"/>
        </w:rPr>
      </w:pPr>
      <w:r>
        <w:rPr>
          <w:rFonts w:hint="eastAsia" w:ascii="微软雅黑" w:hAnsi="微软雅黑" w:eastAsia="微软雅黑"/>
          <w:b/>
          <w:kern w:val="2"/>
          <w:sz w:val="24"/>
          <w:szCs w:val="24"/>
        </w:rPr>
        <w:t>（8）投标文件含有采购人不能接受的附加条件的；</w:t>
      </w:r>
    </w:p>
    <w:p>
      <w:pPr>
        <w:pStyle w:val="21"/>
        <w:snapToGrid w:val="0"/>
        <w:ind w:firstLine="471" w:firstLineChars="196"/>
        <w:rPr>
          <w:rFonts w:ascii="微软雅黑" w:hAnsi="微软雅黑" w:eastAsia="微软雅黑"/>
          <w:b/>
          <w:kern w:val="2"/>
          <w:sz w:val="24"/>
          <w:szCs w:val="24"/>
        </w:rPr>
      </w:pPr>
      <w:r>
        <w:rPr>
          <w:rFonts w:hint="eastAsia" w:ascii="微软雅黑" w:hAnsi="微软雅黑" w:eastAsia="微软雅黑"/>
          <w:b/>
          <w:kern w:val="2"/>
          <w:sz w:val="24"/>
          <w:szCs w:val="24"/>
        </w:rPr>
        <w:t>（9）未响应招标文件实质性要求的；</w:t>
      </w:r>
    </w:p>
    <w:p>
      <w:pPr>
        <w:pStyle w:val="21"/>
        <w:snapToGrid w:val="0"/>
        <w:ind w:firstLine="471" w:firstLineChars="196"/>
        <w:rPr>
          <w:rFonts w:ascii="微软雅黑" w:hAnsi="微软雅黑" w:eastAsia="微软雅黑"/>
          <w:b/>
          <w:kern w:val="2"/>
          <w:sz w:val="24"/>
          <w:szCs w:val="24"/>
        </w:rPr>
      </w:pPr>
      <w:r>
        <w:rPr>
          <w:rFonts w:hint="eastAsia" w:ascii="微软雅黑" w:hAnsi="微软雅黑" w:eastAsia="微软雅黑"/>
          <w:b/>
          <w:kern w:val="2"/>
          <w:sz w:val="24"/>
          <w:szCs w:val="24"/>
        </w:rPr>
        <w:t>（10）属于投标人须知第8.6条和第8.8条（2）的情形的；</w:t>
      </w:r>
    </w:p>
    <w:p>
      <w:pPr>
        <w:pStyle w:val="21"/>
        <w:snapToGrid w:val="0"/>
        <w:ind w:firstLine="471" w:firstLineChars="196"/>
        <w:rPr>
          <w:rFonts w:ascii="微软雅黑" w:hAnsi="微软雅黑" w:eastAsia="微软雅黑"/>
          <w:b/>
          <w:kern w:val="2"/>
          <w:sz w:val="24"/>
          <w:szCs w:val="24"/>
        </w:rPr>
      </w:pPr>
      <w:r>
        <w:rPr>
          <w:rFonts w:hint="eastAsia" w:ascii="微软雅黑" w:hAnsi="微软雅黑" w:eastAsia="微软雅黑"/>
          <w:b/>
          <w:kern w:val="2"/>
          <w:sz w:val="24"/>
          <w:szCs w:val="24"/>
        </w:rPr>
        <w:t>（11）法律、法规和招标文件规定的其他无效情形。</w:t>
      </w:r>
    </w:p>
    <w:p>
      <w:pPr>
        <w:pStyle w:val="7"/>
        <w:spacing w:before="0" w:after="0" w:line="240" w:lineRule="auto"/>
        <w:ind w:left="420" w:leftChars="200"/>
        <w:rPr>
          <w:rFonts w:ascii="微软雅黑" w:hAnsi="微软雅黑" w:eastAsia="微软雅黑"/>
          <w:sz w:val="24"/>
        </w:rPr>
      </w:pPr>
      <w:bookmarkStart w:id="55" w:name="_29.2.2在技术评审时，如发现下列情形之一的，将被视为投标无效："/>
      <w:bookmarkEnd w:id="55"/>
      <w:r>
        <w:rPr>
          <w:rFonts w:hint="eastAsia" w:ascii="微软雅黑" w:hAnsi="微软雅黑" w:eastAsia="微软雅黑"/>
          <w:sz w:val="24"/>
        </w:rPr>
        <w:t>29.2.3在技术评审时，如发现下列情形之一的，将被视为投标无效：</w:t>
      </w:r>
    </w:p>
    <w:p>
      <w:pPr>
        <w:pStyle w:val="21"/>
        <w:snapToGrid w:val="0"/>
        <w:ind w:firstLine="471" w:firstLineChars="196"/>
        <w:rPr>
          <w:rFonts w:ascii="微软雅黑" w:hAnsi="微软雅黑" w:eastAsia="微软雅黑"/>
          <w:b/>
          <w:kern w:val="2"/>
          <w:sz w:val="24"/>
          <w:szCs w:val="24"/>
        </w:rPr>
      </w:pPr>
      <w:r>
        <w:rPr>
          <w:rFonts w:hint="eastAsia" w:ascii="微软雅黑" w:hAnsi="微软雅黑" w:eastAsia="微软雅黑"/>
          <w:b/>
          <w:kern w:val="2"/>
          <w:sz w:val="24"/>
          <w:szCs w:val="24"/>
        </w:rPr>
        <w:t>（1）明显不满足招标文件要求的技术规格、安全、质量标准，或者与招标文件中标“▲”的技术指标、主要功能发生负偏离的；</w:t>
      </w:r>
    </w:p>
    <w:p>
      <w:pPr>
        <w:pStyle w:val="21"/>
        <w:snapToGrid w:val="0"/>
        <w:ind w:firstLine="471" w:firstLineChars="196"/>
        <w:rPr>
          <w:rFonts w:ascii="微软雅黑" w:hAnsi="微软雅黑" w:eastAsia="微软雅黑"/>
          <w:b/>
          <w:kern w:val="2"/>
          <w:sz w:val="24"/>
          <w:szCs w:val="24"/>
        </w:rPr>
      </w:pPr>
      <w:r>
        <w:rPr>
          <w:rFonts w:hint="eastAsia" w:ascii="微软雅黑" w:hAnsi="微软雅黑" w:eastAsia="微软雅黑"/>
          <w:b/>
          <w:kern w:val="2"/>
          <w:sz w:val="24"/>
          <w:szCs w:val="24"/>
        </w:rPr>
        <w:t>（2）技术评审允许负偏离的项目数超过“投标人须知前附表”规定项数的；</w:t>
      </w:r>
    </w:p>
    <w:p>
      <w:pPr>
        <w:pStyle w:val="21"/>
        <w:snapToGrid w:val="0"/>
        <w:ind w:firstLine="471" w:firstLineChars="196"/>
        <w:rPr>
          <w:rFonts w:ascii="微软雅黑" w:hAnsi="微软雅黑" w:eastAsia="微软雅黑"/>
          <w:b/>
          <w:kern w:val="2"/>
          <w:sz w:val="24"/>
          <w:szCs w:val="24"/>
        </w:rPr>
      </w:pPr>
      <w:r>
        <w:rPr>
          <w:rFonts w:hint="eastAsia" w:ascii="微软雅黑" w:hAnsi="微软雅黑" w:eastAsia="微软雅黑"/>
          <w:b/>
          <w:kern w:val="2"/>
          <w:sz w:val="24"/>
          <w:szCs w:val="24"/>
        </w:rPr>
        <w:t>（3）投标文件未提供“投标人须知前附表”第13.4条规定中“必须提供”的文件资料的;</w:t>
      </w:r>
    </w:p>
    <w:p>
      <w:pPr>
        <w:pStyle w:val="21"/>
        <w:snapToGrid w:val="0"/>
        <w:ind w:firstLine="471" w:firstLineChars="196"/>
        <w:rPr>
          <w:rFonts w:ascii="微软雅黑" w:hAnsi="微软雅黑" w:eastAsia="微软雅黑"/>
          <w:b/>
          <w:kern w:val="2"/>
          <w:sz w:val="24"/>
          <w:szCs w:val="24"/>
        </w:rPr>
      </w:pPr>
      <w:r>
        <w:rPr>
          <w:rFonts w:hint="eastAsia" w:ascii="微软雅黑" w:hAnsi="微软雅黑" w:eastAsia="微软雅黑"/>
          <w:b/>
          <w:kern w:val="2"/>
          <w:sz w:val="24"/>
          <w:szCs w:val="24"/>
        </w:rPr>
        <w:t>（4）虚假投标，或者出现其他情形而导致被评标委员会认定无效的；</w:t>
      </w:r>
    </w:p>
    <w:p>
      <w:pPr>
        <w:pStyle w:val="21"/>
        <w:snapToGrid w:val="0"/>
        <w:ind w:firstLine="471" w:firstLineChars="196"/>
        <w:rPr>
          <w:rFonts w:ascii="宋体" w:hAnsi="宋体" w:eastAsia="宋体"/>
          <w:sz w:val="21"/>
          <w:szCs w:val="21"/>
        </w:rPr>
      </w:pPr>
      <w:r>
        <w:rPr>
          <w:rFonts w:hint="eastAsia" w:ascii="微软雅黑" w:hAnsi="微软雅黑" w:eastAsia="微软雅黑"/>
          <w:b/>
          <w:kern w:val="2"/>
          <w:sz w:val="24"/>
          <w:szCs w:val="24"/>
        </w:rPr>
        <w:t>（5）投标技术方案不明确，招标文件未允许但存在一个或一个以上备选（替代）投标方案的。</w:t>
      </w:r>
    </w:p>
    <w:p>
      <w:pPr>
        <w:pStyle w:val="7"/>
        <w:spacing w:before="0" w:after="0" w:line="240" w:lineRule="auto"/>
        <w:ind w:left="420" w:leftChars="200"/>
        <w:rPr>
          <w:rFonts w:ascii="宋体" w:hAnsi="宋体"/>
          <w:sz w:val="21"/>
          <w:szCs w:val="21"/>
        </w:rPr>
      </w:pPr>
      <w:r>
        <w:rPr>
          <w:rFonts w:hint="eastAsia" w:ascii="宋体" w:hAnsi="宋体"/>
          <w:sz w:val="21"/>
          <w:szCs w:val="21"/>
        </w:rPr>
        <w:t>29.3澄清补正</w:t>
      </w:r>
    </w:p>
    <w:p>
      <w:pPr>
        <w:snapToGrid w:val="0"/>
        <w:ind w:firstLine="420" w:firstLineChars="200"/>
        <w:rPr>
          <w:rFonts w:ascii="宋体" w:hAnsi="宋体"/>
          <w:szCs w:val="21"/>
        </w:rPr>
      </w:pPr>
      <w:r>
        <w:rPr>
          <w:rFonts w:hint="eastAsia" w:ascii="宋体" w:hAnsi="宋体" w:cs="Courier New"/>
          <w:szCs w:val="21"/>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pPr>
        <w:pStyle w:val="7"/>
        <w:spacing w:before="0" w:after="0" w:line="240" w:lineRule="auto"/>
        <w:ind w:left="420" w:leftChars="200"/>
        <w:rPr>
          <w:rFonts w:ascii="宋体" w:hAnsi="宋体"/>
          <w:sz w:val="21"/>
          <w:szCs w:val="21"/>
        </w:rPr>
      </w:pPr>
      <w:r>
        <w:rPr>
          <w:rFonts w:hint="eastAsia" w:ascii="宋体" w:hAnsi="宋体"/>
          <w:sz w:val="21"/>
          <w:szCs w:val="21"/>
        </w:rPr>
        <w:t>29.4比较与评价</w:t>
      </w:r>
    </w:p>
    <w:p>
      <w:pPr>
        <w:pStyle w:val="27"/>
        <w:snapToGrid w:val="0"/>
        <w:ind w:firstLine="420" w:firstLineChars="200"/>
        <w:rPr>
          <w:rFonts w:hAnsi="宋体"/>
          <w:sz w:val="21"/>
        </w:rPr>
      </w:pPr>
      <w:r>
        <w:rPr>
          <w:rFonts w:hint="eastAsia" w:hAnsi="宋体"/>
          <w:sz w:val="21"/>
        </w:rPr>
        <w:t>（1）评标委员会按照招标文件中规定的评标方法和评标标准，对符合性审查合格的投标文件进行商务和技术评估，综合比较与评价。</w:t>
      </w:r>
    </w:p>
    <w:p>
      <w:pPr>
        <w:pStyle w:val="27"/>
        <w:snapToGrid w:val="0"/>
        <w:ind w:firstLine="420" w:firstLineChars="200"/>
        <w:rPr>
          <w:rFonts w:hAnsi="宋体"/>
          <w:sz w:val="21"/>
        </w:rPr>
      </w:pPr>
      <w:r>
        <w:rPr>
          <w:rFonts w:hint="eastAsia" w:hAnsi="宋体"/>
          <w:sz w:val="21"/>
        </w:rPr>
        <w:t>（2）评标委员会应当独立对每个投标人的投标文件进行评价，并汇总每个投标人的得分。</w:t>
      </w:r>
    </w:p>
    <w:p>
      <w:pPr>
        <w:pStyle w:val="27"/>
        <w:snapToGrid w:val="0"/>
        <w:ind w:firstLine="420" w:firstLineChars="200"/>
        <w:rPr>
          <w:rFonts w:hint="eastAsia" w:ascii="宋体" w:hAnsi="宋体" w:eastAsia="宋体" w:cs="宋体"/>
          <w:b w:val="0"/>
          <w:bCs w:val="0"/>
          <w:sz w:val="21"/>
          <w:szCs w:val="21"/>
        </w:rPr>
      </w:pPr>
      <w:r>
        <w:rPr>
          <w:rFonts w:hint="eastAsia" w:hAnsi="宋体"/>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eastAsia="宋体" w:cs="宋体"/>
          <w:b w:val="0"/>
          <w:bCs w:val="0"/>
          <w:sz w:val="21"/>
          <w:szCs w:val="21"/>
        </w:rPr>
        <w:t>，</w:t>
      </w:r>
      <w:r>
        <w:rPr>
          <w:rFonts w:hint="eastAsia" w:ascii="宋体" w:hAnsi="宋体" w:eastAsia="宋体" w:cs="宋体"/>
          <w:b w:val="0"/>
          <w:bCs w:val="0"/>
          <w:kern w:val="2"/>
          <w:sz w:val="21"/>
          <w:szCs w:val="21"/>
        </w:rPr>
        <w:t>评标委员会应当将其作为无效投标处理</w:t>
      </w:r>
      <w:r>
        <w:rPr>
          <w:rFonts w:hint="eastAsia" w:ascii="宋体" w:hAnsi="宋体" w:eastAsia="宋体" w:cs="宋体"/>
          <w:b w:val="0"/>
          <w:bCs w:val="0"/>
          <w:sz w:val="21"/>
          <w:szCs w:val="21"/>
        </w:rPr>
        <w:t>。</w:t>
      </w:r>
    </w:p>
    <w:p>
      <w:pPr>
        <w:pStyle w:val="27"/>
        <w:snapToGrid w:val="0"/>
        <w:ind w:firstLine="420" w:firstLineChars="200"/>
        <w:rPr>
          <w:rFonts w:hAnsi="宋体"/>
          <w:sz w:val="21"/>
        </w:rPr>
      </w:pPr>
      <w:r>
        <w:rPr>
          <w:rFonts w:hint="eastAsia" w:hAnsi="宋体"/>
          <w:sz w:val="21"/>
        </w:rPr>
        <w:t>（3）评标委员会按照招标文件中规定的评标方法和标准计算各投标人的报价得分。在计算过程中，不得去掉最高报价或最低报价。</w:t>
      </w:r>
    </w:p>
    <w:p>
      <w:pPr>
        <w:pStyle w:val="27"/>
        <w:snapToGrid w:val="0"/>
        <w:ind w:firstLine="420" w:firstLineChars="200"/>
        <w:rPr>
          <w:rFonts w:hAnsi="宋体"/>
          <w:sz w:val="21"/>
        </w:rPr>
      </w:pPr>
      <w:r>
        <w:rPr>
          <w:rFonts w:hint="eastAsia" w:hAnsi="宋体"/>
          <w:sz w:val="21"/>
        </w:rPr>
        <w:t>（4）各投标人的得分为所有评委的有效评分的算术平均数。</w:t>
      </w:r>
    </w:p>
    <w:p>
      <w:pPr>
        <w:pStyle w:val="27"/>
        <w:snapToGrid w:val="0"/>
        <w:ind w:firstLine="420" w:firstLineChars="200"/>
        <w:rPr>
          <w:rFonts w:hAnsi="宋体"/>
          <w:sz w:val="21"/>
        </w:rPr>
      </w:pPr>
      <w:r>
        <w:rPr>
          <w:rFonts w:hint="eastAsia" w:hAnsi="宋体"/>
          <w:sz w:val="21"/>
        </w:rPr>
        <w:t>（5）评标委员会按照招标文件中的规定推荐中标候选人。</w:t>
      </w:r>
    </w:p>
    <w:p>
      <w:pPr>
        <w:pStyle w:val="27"/>
        <w:snapToGrid w:val="0"/>
        <w:ind w:firstLine="420" w:firstLineChars="200"/>
        <w:rPr>
          <w:rFonts w:hAnsi="宋体"/>
          <w:sz w:val="21"/>
        </w:rPr>
      </w:pPr>
      <w:r>
        <w:rPr>
          <w:rFonts w:hint="eastAsia" w:hAnsi="宋体"/>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pStyle w:val="7"/>
        <w:spacing w:before="0" w:after="0" w:line="240" w:lineRule="auto"/>
        <w:ind w:left="420" w:leftChars="200"/>
        <w:rPr>
          <w:rFonts w:ascii="宋体" w:hAnsi="宋体"/>
          <w:sz w:val="21"/>
          <w:szCs w:val="21"/>
        </w:rPr>
      </w:pPr>
      <w:r>
        <w:rPr>
          <w:rFonts w:hint="eastAsia" w:ascii="宋体" w:hAnsi="宋体"/>
          <w:sz w:val="21"/>
          <w:szCs w:val="21"/>
        </w:rPr>
        <w:t>29.5投标文件修正</w:t>
      </w:r>
    </w:p>
    <w:p>
      <w:pPr>
        <w:pStyle w:val="7"/>
        <w:spacing w:before="0" w:after="0" w:line="240" w:lineRule="auto"/>
        <w:ind w:left="420" w:leftChars="200"/>
        <w:rPr>
          <w:rFonts w:ascii="宋体" w:hAnsi="宋体"/>
          <w:b w:val="0"/>
          <w:sz w:val="21"/>
          <w:szCs w:val="21"/>
        </w:rPr>
      </w:pPr>
      <w:r>
        <w:rPr>
          <w:rFonts w:hint="eastAsia" w:ascii="宋体" w:hAnsi="宋体"/>
          <w:b w:val="0"/>
          <w:sz w:val="21"/>
          <w:szCs w:val="21"/>
        </w:rPr>
        <w:t xml:space="preserve">29.5.1投标文件报价出现前后不一致的，按照下列规定修正： </w:t>
      </w:r>
    </w:p>
    <w:p>
      <w:pPr>
        <w:pStyle w:val="27"/>
        <w:snapToGrid w:val="0"/>
        <w:ind w:firstLine="420" w:firstLineChars="200"/>
        <w:rPr>
          <w:rFonts w:hAnsi="宋体"/>
          <w:sz w:val="21"/>
        </w:rPr>
      </w:pPr>
      <w:r>
        <w:rPr>
          <w:rFonts w:hint="eastAsia" w:hAnsi="宋体"/>
          <w:sz w:val="21"/>
        </w:rPr>
        <w:t>（1）投标文件中开标一览表（报价表）内容与投标文件中相应内容不一致的，以开标一览表（报价表）为准；</w:t>
      </w:r>
    </w:p>
    <w:p>
      <w:pPr>
        <w:pStyle w:val="27"/>
        <w:snapToGrid w:val="0"/>
        <w:ind w:firstLine="420" w:firstLineChars="200"/>
        <w:rPr>
          <w:rFonts w:hAnsi="宋体"/>
          <w:sz w:val="21"/>
        </w:rPr>
      </w:pPr>
      <w:r>
        <w:rPr>
          <w:rFonts w:hint="eastAsia" w:hAnsi="宋体"/>
          <w:sz w:val="21"/>
        </w:rPr>
        <w:t>（2）大写金额和小写金额不一致的，以大写金额为准；</w:t>
      </w:r>
    </w:p>
    <w:p>
      <w:pPr>
        <w:pStyle w:val="27"/>
        <w:snapToGrid w:val="0"/>
        <w:ind w:firstLine="420" w:firstLineChars="200"/>
        <w:rPr>
          <w:rFonts w:hAnsi="宋体"/>
          <w:sz w:val="21"/>
        </w:rPr>
      </w:pPr>
      <w:r>
        <w:rPr>
          <w:rFonts w:hint="eastAsia" w:hAnsi="宋体"/>
          <w:sz w:val="21"/>
        </w:rPr>
        <w:t>（3）单价金额小数点或者百分比有明显错位的，以开标一览表的总价为准，并修改单价；</w:t>
      </w:r>
    </w:p>
    <w:p>
      <w:pPr>
        <w:pStyle w:val="27"/>
        <w:snapToGrid w:val="0"/>
        <w:ind w:firstLine="420" w:firstLineChars="200"/>
        <w:rPr>
          <w:rFonts w:hAnsi="宋体"/>
          <w:sz w:val="21"/>
        </w:rPr>
      </w:pPr>
      <w:r>
        <w:rPr>
          <w:rFonts w:hint="eastAsia" w:hAnsi="宋体"/>
          <w:sz w:val="21"/>
        </w:rPr>
        <w:t>（4）总价金额与按单价汇总金额不一致的，以单价金额计算结果为准。</w:t>
      </w:r>
    </w:p>
    <w:p>
      <w:pPr>
        <w:pStyle w:val="27"/>
        <w:snapToGrid w:val="0"/>
        <w:ind w:firstLine="420" w:firstLineChars="200"/>
        <w:rPr>
          <w:rFonts w:hint="eastAsia" w:ascii="宋体" w:hAnsi="宋体" w:eastAsia="宋体" w:cs="宋体"/>
          <w:b w:val="0"/>
          <w:bCs w:val="0"/>
          <w:sz w:val="21"/>
          <w:szCs w:val="21"/>
        </w:rPr>
      </w:pPr>
      <w:r>
        <w:rPr>
          <w:rFonts w:hint="eastAsia" w:hAnsi="宋体"/>
          <w:sz w:val="21"/>
        </w:rPr>
        <w:t>同时出现两种以上不一致的，按照以上（1）-（4）规定的顺序修正。修正后的报价经投标人确认后产生约束力，投标人不确认的</w:t>
      </w:r>
      <w:r>
        <w:rPr>
          <w:rFonts w:hint="eastAsia" w:ascii="宋体" w:hAnsi="宋体" w:eastAsia="宋体" w:cs="宋体"/>
          <w:b w:val="0"/>
          <w:bCs w:val="0"/>
          <w:sz w:val="21"/>
          <w:szCs w:val="21"/>
        </w:rPr>
        <w:t>，</w:t>
      </w:r>
      <w:r>
        <w:rPr>
          <w:rFonts w:hint="eastAsia" w:ascii="宋体" w:hAnsi="宋体" w:eastAsia="宋体" w:cs="宋体"/>
          <w:b w:val="0"/>
          <w:bCs w:val="0"/>
          <w:kern w:val="2"/>
          <w:sz w:val="21"/>
          <w:szCs w:val="21"/>
        </w:rPr>
        <w:t>其投标无效</w:t>
      </w:r>
      <w:r>
        <w:rPr>
          <w:rFonts w:hint="eastAsia" w:ascii="宋体" w:hAnsi="宋体" w:eastAsia="宋体" w:cs="宋体"/>
          <w:b w:val="0"/>
          <w:bCs w:val="0"/>
          <w:sz w:val="21"/>
          <w:szCs w:val="21"/>
        </w:rPr>
        <w:t>。</w:t>
      </w:r>
    </w:p>
    <w:p>
      <w:pPr>
        <w:pStyle w:val="7"/>
        <w:spacing w:before="0" w:after="0" w:line="240" w:lineRule="auto"/>
        <w:ind w:left="420" w:leftChars="200"/>
        <w:rPr>
          <w:rFonts w:hint="eastAsia" w:ascii="宋体" w:hAnsi="宋体" w:eastAsia="宋体" w:cs="宋体"/>
          <w:b w:val="0"/>
          <w:bCs w:val="0"/>
          <w:sz w:val="21"/>
          <w:szCs w:val="21"/>
        </w:rPr>
      </w:pPr>
      <w:r>
        <w:rPr>
          <w:rFonts w:hint="eastAsia" w:ascii="宋体" w:hAnsi="宋体"/>
          <w:b w:val="0"/>
          <w:sz w:val="21"/>
          <w:szCs w:val="21"/>
        </w:rPr>
        <w:t>29.5.2经投标人确认修正后的报价若超过采购预算金额</w:t>
      </w:r>
      <w:r>
        <w:rPr>
          <w:rFonts w:hint="eastAsia" w:ascii="宋体" w:hAnsi="宋体" w:eastAsia="宋体" w:cs="宋体"/>
          <w:b w:val="0"/>
          <w:bCs w:val="0"/>
          <w:sz w:val="21"/>
          <w:szCs w:val="21"/>
        </w:rPr>
        <w:t>，投标人的投标文件作无效投标处理。</w:t>
      </w:r>
    </w:p>
    <w:p>
      <w:pPr>
        <w:pStyle w:val="7"/>
        <w:spacing w:before="0" w:after="0" w:line="240" w:lineRule="auto"/>
        <w:ind w:left="420" w:leftChars="200"/>
        <w:rPr>
          <w:rFonts w:ascii="宋体" w:hAnsi="宋体"/>
          <w:b w:val="0"/>
          <w:sz w:val="21"/>
          <w:szCs w:val="21"/>
        </w:rPr>
      </w:pPr>
      <w:r>
        <w:rPr>
          <w:rFonts w:hint="eastAsia" w:ascii="宋体" w:hAnsi="宋体"/>
          <w:b w:val="0"/>
          <w:sz w:val="21"/>
          <w:szCs w:val="21"/>
        </w:rPr>
        <w:t>29.5.3经投标人确认修正后的报价作为签订合同的一个依据，并以此报价计算价格分。</w:t>
      </w:r>
    </w:p>
    <w:p>
      <w:pPr>
        <w:pStyle w:val="7"/>
        <w:spacing w:before="0" w:after="0" w:line="240" w:lineRule="auto"/>
        <w:ind w:left="420" w:leftChars="200"/>
        <w:rPr>
          <w:rFonts w:ascii="宋体" w:hAnsi="宋体"/>
          <w:b w:val="0"/>
          <w:sz w:val="21"/>
          <w:szCs w:val="21"/>
        </w:rPr>
      </w:pPr>
      <w:r>
        <w:rPr>
          <w:rFonts w:hint="eastAsia" w:ascii="微软雅黑" w:hAnsi="微软雅黑" w:eastAsia="微软雅黑"/>
          <w:sz w:val="24"/>
        </w:rPr>
        <w:t>29.6.评标过程的监控</w:t>
      </w:r>
    </w:p>
    <w:p>
      <w:pPr>
        <w:pStyle w:val="27"/>
        <w:snapToGrid w:val="0"/>
        <w:ind w:firstLine="480" w:firstLineChars="200"/>
        <w:rPr>
          <w:rFonts w:hAnsi="宋体"/>
          <w:sz w:val="21"/>
        </w:rPr>
      </w:pPr>
      <w:r>
        <w:rPr>
          <w:rFonts w:hint="eastAsia" w:ascii="微软雅黑" w:hAnsi="微软雅黑" w:eastAsia="微软雅黑"/>
          <w:b/>
          <w:kern w:val="2"/>
          <w:sz w:val="24"/>
          <w:szCs w:val="24"/>
        </w:rPr>
        <w:t>本项目评标过程实行全程录音、录像监控，投标人在评标过程中所进行的试图影响评标结果的不公正活动，可能导致其投标按无效处理。</w:t>
      </w:r>
    </w:p>
    <w:p>
      <w:pPr>
        <w:pStyle w:val="5"/>
        <w:jc w:val="center"/>
        <w:rPr>
          <w:rFonts w:ascii="宋体" w:hAnsi="宋体"/>
          <w:b w:val="0"/>
          <w:sz w:val="21"/>
          <w:szCs w:val="21"/>
        </w:rPr>
      </w:pPr>
      <w:r>
        <w:rPr>
          <w:rFonts w:hint="eastAsia"/>
        </w:rPr>
        <w:t>七、中标和合同</w:t>
      </w:r>
    </w:p>
    <w:p>
      <w:pPr>
        <w:pStyle w:val="7"/>
        <w:spacing w:before="0" w:after="0" w:line="240" w:lineRule="auto"/>
        <w:ind w:firstLine="420" w:firstLineChars="200"/>
        <w:rPr>
          <w:rFonts w:ascii="宋体" w:hAnsi="宋体"/>
          <w:b w:val="0"/>
          <w:sz w:val="21"/>
          <w:szCs w:val="21"/>
        </w:rPr>
      </w:pPr>
      <w:r>
        <w:rPr>
          <w:rFonts w:hint="eastAsia" w:ascii="宋体" w:hAnsi="宋体"/>
          <w:b w:val="0"/>
          <w:sz w:val="21"/>
          <w:szCs w:val="21"/>
        </w:rPr>
        <w:t>30.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w:t>
      </w:r>
    </w:p>
    <w:p>
      <w:pPr>
        <w:snapToGrid w:val="0"/>
        <w:ind w:firstLine="420" w:firstLineChars="200"/>
        <w:rPr>
          <w:rFonts w:ascii="宋体" w:hAnsi="宋体" w:cs="Courier New"/>
          <w:szCs w:val="21"/>
        </w:rPr>
      </w:pPr>
      <w:r>
        <w:rPr>
          <w:rFonts w:hint="eastAsia" w:ascii="宋体" w:hAnsi="宋体" w:cs="Courier New"/>
          <w:szCs w:val="21"/>
        </w:rPr>
        <w:t>采购人也可以事先授权评标委员会直接确定中标人。</w:t>
      </w:r>
    </w:p>
    <w:p>
      <w:pPr>
        <w:snapToGrid w:val="0"/>
        <w:ind w:firstLine="420" w:firstLineChars="200"/>
        <w:rPr>
          <w:rFonts w:ascii="宋体" w:hAnsi="宋体" w:cs="Courier New"/>
          <w:szCs w:val="21"/>
        </w:rPr>
      </w:pPr>
      <w:r>
        <w:rPr>
          <w:rFonts w:hint="eastAsia" w:ascii="宋体" w:hAnsi="宋体" w:cs="Courier New"/>
          <w:szCs w:val="21"/>
        </w:rPr>
        <w:t>采购人在收到评标报告5个工作日内未按评标报告推荐的中标候选人顺序确定中标人，又不能说明合法理由的，视同按评标报告推荐的顺序确定排名第一的中标候选人为中标人。</w:t>
      </w:r>
    </w:p>
    <w:p>
      <w:pPr>
        <w:pStyle w:val="7"/>
        <w:spacing w:before="0" w:after="0" w:line="240" w:lineRule="auto"/>
        <w:ind w:firstLine="420" w:firstLineChars="200"/>
        <w:rPr>
          <w:rFonts w:ascii="宋体" w:hAnsi="宋体"/>
          <w:b w:val="0"/>
          <w:sz w:val="21"/>
          <w:szCs w:val="21"/>
        </w:rPr>
      </w:pPr>
      <w:r>
        <w:rPr>
          <w:rFonts w:hint="eastAsia" w:ascii="宋体" w:hAnsi="宋体"/>
          <w:b w:val="0"/>
          <w:sz w:val="21"/>
          <w:szCs w:val="21"/>
        </w:rPr>
        <w:t>31.中标人确定后，于中标人确定之日起2个工作日内，中标结果将在招标公告发布媒体上公告。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pPr>
        <w:snapToGrid w:val="0"/>
        <w:ind w:firstLine="420" w:firstLineChars="200"/>
        <w:rPr>
          <w:rFonts w:ascii="宋体" w:hAnsi="宋体" w:cs="Courier New"/>
          <w:szCs w:val="21"/>
        </w:rPr>
      </w:pPr>
      <w:r>
        <w:rPr>
          <w:rFonts w:hint="eastAsia" w:ascii="宋体" w:hAnsi="宋体"/>
          <w:szCs w:val="21"/>
        </w:rPr>
        <w:t>排名第二的中标候选人因前款规定的同样原因被取消中标资格的，采购人可以确定排名第三的中标候选人为中标人，以此类推。</w:t>
      </w:r>
    </w:p>
    <w:p>
      <w:pPr>
        <w:snapToGrid w:val="0"/>
        <w:ind w:firstLine="420" w:firstLineChars="200"/>
        <w:rPr>
          <w:rFonts w:ascii="宋体" w:hAnsi="宋体"/>
          <w:szCs w:val="21"/>
        </w:rPr>
      </w:pPr>
      <w:r>
        <w:rPr>
          <w:rFonts w:hint="eastAsia" w:ascii="宋体" w:hAnsi="宋体"/>
          <w:szCs w:val="21"/>
        </w:rPr>
        <w:t>以上信息查询记录及相关证据与采购文件一并保存。</w:t>
      </w:r>
    </w:p>
    <w:p>
      <w:pPr>
        <w:snapToGrid w:val="0"/>
        <w:ind w:firstLine="420" w:firstLineChars="200"/>
        <w:rPr>
          <w:rFonts w:ascii="宋体" w:hAnsi="宋体" w:cs="Courier New"/>
          <w:szCs w:val="21"/>
        </w:rPr>
      </w:pPr>
      <w:r>
        <w:rPr>
          <w:rFonts w:hint="eastAsia" w:ascii="宋体" w:hAnsi="宋体" w:cs="Courier New"/>
          <w:szCs w:val="21"/>
        </w:rPr>
        <w:t>中小企业在政府采购活动过程中，请根据自己的真实情况出具《中小企业声明函》。依法享受中小企业优惠政策的，采购人或采购代理机构在公告中标结果时，同时公告其《中小企业声明函》，接受社会监督。</w:t>
      </w:r>
    </w:p>
    <w:p>
      <w:pPr>
        <w:pStyle w:val="7"/>
        <w:spacing w:before="0" w:after="0" w:line="240" w:lineRule="auto"/>
        <w:ind w:firstLine="420" w:firstLineChars="200"/>
        <w:rPr>
          <w:rFonts w:ascii="宋体" w:hAnsi="宋体"/>
          <w:b w:val="0"/>
          <w:sz w:val="21"/>
          <w:szCs w:val="21"/>
        </w:rPr>
      </w:pPr>
      <w:r>
        <w:rPr>
          <w:rFonts w:hint="eastAsia" w:ascii="宋体" w:hAnsi="宋体"/>
          <w:b w:val="0"/>
          <w:sz w:val="21"/>
          <w:szCs w:val="21"/>
        </w:rPr>
        <w:t>32.在发布中标公告的同时，采购代理机构向中标人发出中标通知书。对未通过资格审查的投标人，应当告知其未通过的原因；采用综合评分办法评审的，还应当告知未中标人本人的评审得分与排序。</w:t>
      </w:r>
    </w:p>
    <w:p>
      <w:pPr>
        <w:pStyle w:val="7"/>
        <w:spacing w:before="0" w:after="0" w:line="240" w:lineRule="auto"/>
        <w:ind w:left="420" w:leftChars="200"/>
        <w:rPr>
          <w:rFonts w:ascii="宋体" w:hAnsi="宋体"/>
          <w:b w:val="0"/>
          <w:sz w:val="21"/>
          <w:szCs w:val="21"/>
        </w:rPr>
      </w:pPr>
      <w:r>
        <w:rPr>
          <w:rFonts w:hint="eastAsia" w:ascii="宋体" w:hAnsi="宋体"/>
          <w:b w:val="0"/>
          <w:sz w:val="21"/>
          <w:szCs w:val="21"/>
        </w:rPr>
        <w:t>33.采购代理机构无义务向未中标的投标人解释未中标原因和退还投标文件。</w:t>
      </w:r>
    </w:p>
    <w:p>
      <w:pPr>
        <w:pStyle w:val="7"/>
        <w:spacing w:before="0" w:after="0" w:line="240" w:lineRule="auto"/>
        <w:ind w:left="420" w:leftChars="200"/>
        <w:rPr>
          <w:rFonts w:ascii="宋体" w:hAnsi="宋体"/>
          <w:sz w:val="21"/>
          <w:szCs w:val="21"/>
        </w:rPr>
      </w:pPr>
      <w:r>
        <w:rPr>
          <w:rFonts w:hint="eastAsia" w:ascii="宋体" w:hAnsi="宋体"/>
          <w:sz w:val="21"/>
          <w:szCs w:val="21"/>
        </w:rPr>
        <w:t>34.合同授予标准</w:t>
      </w:r>
    </w:p>
    <w:p>
      <w:pPr>
        <w:snapToGrid w:val="0"/>
        <w:ind w:firstLine="420" w:firstLineChars="200"/>
        <w:rPr>
          <w:rFonts w:ascii="宋体" w:hAnsi="宋体"/>
          <w:szCs w:val="21"/>
        </w:rPr>
      </w:pPr>
      <w:r>
        <w:rPr>
          <w:rFonts w:hint="eastAsia" w:ascii="宋体" w:hAnsi="宋体" w:cs="Courier New"/>
          <w:szCs w:val="21"/>
        </w:rPr>
        <w:t>合同将授予被确定实质上响应招标文件要求，具备履行合同能力，综合评分排名第一的投标人（招标文件另有约定多名中标人的除外）。</w:t>
      </w:r>
    </w:p>
    <w:p>
      <w:pPr>
        <w:pStyle w:val="7"/>
        <w:spacing w:before="0" w:after="0" w:line="240" w:lineRule="auto"/>
        <w:ind w:left="420" w:leftChars="200"/>
        <w:rPr>
          <w:rFonts w:ascii="宋体" w:hAnsi="宋体"/>
          <w:sz w:val="21"/>
          <w:szCs w:val="21"/>
        </w:rPr>
      </w:pPr>
      <w:r>
        <w:rPr>
          <w:rFonts w:hint="eastAsia" w:ascii="宋体" w:hAnsi="宋体"/>
          <w:sz w:val="21"/>
          <w:szCs w:val="21"/>
        </w:rPr>
        <w:t>35.履约保证金</w:t>
      </w:r>
    </w:p>
    <w:p>
      <w:pPr>
        <w:pStyle w:val="7"/>
        <w:spacing w:before="0" w:after="0" w:line="240" w:lineRule="auto"/>
        <w:ind w:firstLine="420" w:firstLineChars="200"/>
        <w:rPr>
          <w:rFonts w:ascii="宋体" w:hAnsi="宋体"/>
          <w:b w:val="0"/>
          <w:sz w:val="21"/>
          <w:szCs w:val="21"/>
        </w:rPr>
      </w:pPr>
      <w:bookmarkStart w:id="56" w:name="_39.1中标人须于签订合同前按本须知前附表规定的金额转账或电汇到指定账"/>
      <w:bookmarkEnd w:id="56"/>
      <w:r>
        <w:rPr>
          <w:rFonts w:hint="eastAsia" w:ascii="宋体" w:hAnsi="宋体"/>
          <w:b w:val="0"/>
          <w:sz w:val="21"/>
          <w:szCs w:val="21"/>
        </w:rPr>
        <w:t xml:space="preserve">本项目不收取履约保证金。 </w:t>
      </w:r>
    </w:p>
    <w:p>
      <w:pPr>
        <w:pStyle w:val="7"/>
        <w:spacing w:before="0" w:after="0" w:line="240" w:lineRule="auto"/>
        <w:ind w:left="420" w:leftChars="200"/>
        <w:rPr>
          <w:rFonts w:ascii="宋体" w:hAnsi="宋体"/>
          <w:sz w:val="21"/>
          <w:szCs w:val="21"/>
        </w:rPr>
      </w:pPr>
      <w:r>
        <w:rPr>
          <w:rFonts w:hint="eastAsia" w:ascii="宋体" w:hAnsi="宋体"/>
          <w:sz w:val="21"/>
          <w:szCs w:val="21"/>
        </w:rPr>
        <w:t>36.签订合同</w:t>
      </w:r>
    </w:p>
    <w:p>
      <w:pPr>
        <w:pStyle w:val="7"/>
        <w:spacing w:before="0" w:after="0" w:line="240" w:lineRule="auto"/>
        <w:ind w:firstLine="315" w:firstLineChars="150"/>
        <w:rPr>
          <w:rFonts w:ascii="宋体" w:hAnsi="宋体"/>
          <w:b w:val="0"/>
          <w:sz w:val="21"/>
          <w:szCs w:val="21"/>
        </w:rPr>
      </w:pPr>
      <w:bookmarkStart w:id="57" w:name="_40.1投标人接到中标通知书后，按须知前附表规定向采购人出示相关资格证"/>
      <w:bookmarkEnd w:id="57"/>
      <w:r>
        <w:rPr>
          <w:rFonts w:hint="eastAsia" w:ascii="宋体" w:hAnsi="宋体"/>
          <w:b w:val="0"/>
          <w:sz w:val="21"/>
          <w:szCs w:val="21"/>
        </w:rPr>
        <w:t xml:space="preserve"> 36.1投标人接到中标通知书后，按投标人须知前附表规定向采购人出示相关资格证件，经采购人核验合格后方可签订合同。</w:t>
      </w:r>
    </w:p>
    <w:p>
      <w:pPr>
        <w:pStyle w:val="7"/>
        <w:numPr>
          <w:ilvl w:val="0"/>
          <w:numId w:val="0"/>
        </w:numPr>
        <w:spacing w:before="0" w:after="0" w:line="240" w:lineRule="auto"/>
        <w:ind w:firstLine="420" w:firstLineChars="200"/>
        <w:rPr>
          <w:rFonts w:ascii="宋体" w:hAnsi="宋体"/>
          <w:b w:val="0"/>
          <w:sz w:val="21"/>
          <w:szCs w:val="21"/>
        </w:rPr>
      </w:pPr>
      <w:r>
        <w:rPr>
          <w:rFonts w:hint="eastAsia" w:ascii="宋体" w:hAnsi="宋体"/>
          <w:b w:val="0"/>
          <w:sz w:val="21"/>
          <w:szCs w:val="21"/>
        </w:rPr>
        <w:t>36.2签订合同时间：按中标通知书规定的时间与采购人签订合同。</w:t>
      </w:r>
    </w:p>
    <w:p>
      <w:pPr>
        <w:pStyle w:val="7"/>
        <w:spacing w:before="0" w:after="0" w:line="240" w:lineRule="auto"/>
        <w:ind w:firstLine="315" w:firstLineChars="150"/>
        <w:rPr>
          <w:rFonts w:ascii="宋体" w:hAnsi="宋体"/>
          <w:b w:val="0"/>
          <w:sz w:val="21"/>
          <w:szCs w:val="21"/>
        </w:rPr>
      </w:pPr>
      <w:r>
        <w:rPr>
          <w:rFonts w:hint="eastAsia" w:ascii="宋体" w:hAnsi="宋体"/>
          <w:b w:val="0"/>
          <w:sz w:val="21"/>
          <w:szCs w:val="21"/>
        </w:rPr>
        <w:t xml:space="preserve"> 36.3如中标人不按中标通知书的规定签订合同，报同级政府采购监督管理部门处理。</w:t>
      </w:r>
    </w:p>
    <w:p>
      <w:pPr>
        <w:pStyle w:val="7"/>
        <w:spacing w:before="0" w:after="0" w:line="240" w:lineRule="auto"/>
        <w:ind w:firstLine="315" w:firstLineChars="150"/>
        <w:rPr>
          <w:rFonts w:ascii="宋体" w:hAnsi="宋体"/>
          <w:b w:val="0"/>
          <w:sz w:val="21"/>
          <w:szCs w:val="21"/>
        </w:rPr>
      </w:pPr>
      <w:r>
        <w:rPr>
          <w:rFonts w:hint="eastAsia" w:ascii="宋体" w:hAnsi="宋体"/>
          <w:b w:val="0"/>
          <w:sz w:val="21"/>
          <w:szCs w:val="21"/>
        </w:rPr>
        <w:t xml:space="preserve"> 36.4中标人拒绝与采购人签订合同的，采购人可以按照评审报告推荐的中标候选人名单排序，确定下一候选人为中标人，也可以重新开展政府采购活动。</w:t>
      </w:r>
    </w:p>
    <w:p>
      <w:pPr>
        <w:pStyle w:val="7"/>
        <w:spacing w:before="0" w:after="0" w:line="240" w:lineRule="auto"/>
        <w:ind w:left="420" w:leftChars="200"/>
        <w:rPr>
          <w:rFonts w:ascii="宋体" w:hAnsi="宋体"/>
          <w:sz w:val="21"/>
          <w:szCs w:val="21"/>
        </w:rPr>
      </w:pPr>
      <w:bookmarkStart w:id="58" w:name="_41.政府采购合同公告"/>
      <w:bookmarkEnd w:id="58"/>
      <w:r>
        <w:rPr>
          <w:rFonts w:hint="eastAsia" w:ascii="宋体" w:hAnsi="宋体"/>
          <w:sz w:val="21"/>
          <w:szCs w:val="21"/>
        </w:rPr>
        <w:t>37.政府采购合同公告</w:t>
      </w:r>
    </w:p>
    <w:p>
      <w:pPr>
        <w:pStyle w:val="27"/>
        <w:snapToGrid w:val="0"/>
        <w:ind w:firstLine="420" w:firstLineChars="200"/>
        <w:rPr>
          <w:rFonts w:hAnsi="宋体"/>
          <w:sz w:val="21"/>
        </w:rPr>
      </w:pPr>
      <w:r>
        <w:rPr>
          <w:rFonts w:hint="eastAsia" w:hAnsi="宋体"/>
          <w:sz w:val="21"/>
        </w:rPr>
        <w:t>根据</w:t>
      </w:r>
      <w:r>
        <w:rPr>
          <w:rFonts w:hAnsi="宋体"/>
          <w:sz w:val="21"/>
        </w:rPr>
        <w:t>《中华人民共和国政府采购法实施条例》第五十条</w:t>
      </w:r>
      <w:r>
        <w:rPr>
          <w:rFonts w:hint="eastAsia" w:hAnsi="宋体"/>
          <w:sz w:val="21"/>
        </w:rPr>
        <w:t>及《关于进一步做好政府采购信息公开有关工作的通知》（桂财采〔2016〕7号）规定，采购人或受托采购代理机构应当自政府采购合同签订之日起2个工作日内，将政府采购合同在省级以上人民政府财政部门指定的媒体上公告，</w:t>
      </w:r>
      <w:r>
        <w:rPr>
          <w:rFonts w:hAnsi="宋体"/>
          <w:sz w:val="21"/>
        </w:rPr>
        <w:t>但政府采购合同中涉及国家秘密、商业秘密的内容除外。</w:t>
      </w:r>
    </w:p>
    <w:p>
      <w:pPr>
        <w:pStyle w:val="5"/>
        <w:jc w:val="center"/>
        <w:rPr>
          <w:rFonts w:ascii="宋体" w:hAnsi="宋体"/>
          <w:b w:val="0"/>
          <w:sz w:val="21"/>
          <w:szCs w:val="21"/>
        </w:rPr>
      </w:pPr>
      <w:bookmarkStart w:id="59" w:name="_八、其他事项"/>
      <w:bookmarkEnd w:id="59"/>
      <w:r>
        <w:rPr>
          <w:rFonts w:hint="eastAsia"/>
        </w:rPr>
        <w:t>八、其他事项</w:t>
      </w:r>
    </w:p>
    <w:p>
      <w:pPr>
        <w:pStyle w:val="7"/>
        <w:numPr>
          <w:ilvl w:val="0"/>
          <w:numId w:val="0"/>
        </w:numPr>
        <w:spacing w:before="0" w:after="0" w:line="240" w:lineRule="auto"/>
        <w:ind w:firstLine="422" w:firstLineChars="200"/>
        <w:rPr>
          <w:rFonts w:ascii="宋体" w:hAnsi="宋体"/>
          <w:sz w:val="21"/>
          <w:szCs w:val="21"/>
        </w:rPr>
      </w:pPr>
      <w:bookmarkStart w:id="60" w:name="_42.代理服务费"/>
      <w:bookmarkEnd w:id="60"/>
      <w:r>
        <w:rPr>
          <w:rFonts w:hint="eastAsia" w:ascii="宋体" w:hAnsi="宋体"/>
          <w:sz w:val="21"/>
          <w:szCs w:val="21"/>
        </w:rPr>
        <w:t>38.代理服务费</w:t>
      </w:r>
    </w:p>
    <w:p>
      <w:pPr>
        <w:pStyle w:val="7"/>
        <w:spacing w:before="0" w:after="0" w:line="240" w:lineRule="auto"/>
        <w:ind w:left="420" w:leftChars="200"/>
        <w:rPr>
          <w:rFonts w:ascii="宋体" w:hAnsi="宋体"/>
          <w:b w:val="0"/>
          <w:sz w:val="21"/>
          <w:szCs w:val="21"/>
        </w:rPr>
      </w:pPr>
      <w:r>
        <w:rPr>
          <w:rFonts w:hint="eastAsia" w:ascii="宋体" w:hAnsi="宋体"/>
          <w:b w:val="0"/>
          <w:sz w:val="21"/>
          <w:szCs w:val="21"/>
        </w:rPr>
        <w:t>38.1代理服务费的收费标准、支付方、支付时限详见投标人须知前附表。</w:t>
      </w:r>
    </w:p>
    <w:p>
      <w:pPr>
        <w:pStyle w:val="7"/>
        <w:spacing w:before="0" w:after="0" w:line="240" w:lineRule="auto"/>
        <w:ind w:left="420" w:leftChars="200"/>
        <w:rPr>
          <w:rFonts w:ascii="宋体" w:hAnsi="宋体"/>
          <w:b w:val="0"/>
          <w:sz w:val="21"/>
          <w:szCs w:val="21"/>
        </w:rPr>
      </w:pPr>
      <w:r>
        <w:rPr>
          <w:rFonts w:hint="eastAsia" w:ascii="宋体" w:hAnsi="宋体"/>
          <w:b w:val="0"/>
          <w:sz w:val="21"/>
          <w:szCs w:val="21"/>
        </w:rPr>
        <w:t>38.2采购代理机构的银行账户：</w:t>
      </w:r>
    </w:p>
    <w:p>
      <w:pPr>
        <w:spacing w:line="360" w:lineRule="exact"/>
        <w:ind w:firstLine="420" w:firstLineChars="200"/>
        <w:rPr>
          <w:rFonts w:hint="eastAsia" w:hAnsi="宋体" w:cs="宋体"/>
          <w:b w:val="0"/>
          <w:bCs/>
          <w:color w:val="000000"/>
        </w:rPr>
      </w:pPr>
      <w:r>
        <w:rPr>
          <w:rFonts w:hint="eastAsia" w:hAnsi="宋体" w:cs="宋体"/>
          <w:b w:val="0"/>
          <w:bCs/>
          <w:color w:val="000000"/>
        </w:rPr>
        <w:t>开户名称：广西中竟达建设工程咨询有限公司玉林分公司</w:t>
      </w:r>
    </w:p>
    <w:p>
      <w:pPr>
        <w:spacing w:line="360" w:lineRule="exact"/>
        <w:ind w:firstLine="420" w:firstLineChars="200"/>
        <w:rPr>
          <w:rFonts w:hint="eastAsia" w:hAnsi="宋体" w:cs="宋体"/>
          <w:b w:val="0"/>
          <w:bCs/>
          <w:color w:val="000000"/>
        </w:rPr>
      </w:pPr>
      <w:r>
        <w:rPr>
          <w:rFonts w:hint="eastAsia" w:hAnsi="宋体" w:cs="宋体"/>
          <w:b w:val="0"/>
          <w:bCs/>
          <w:color w:val="000000"/>
        </w:rPr>
        <w:t>开户银行：玉林市区农村信用合作联社环南分社</w:t>
      </w:r>
    </w:p>
    <w:p>
      <w:pPr>
        <w:pStyle w:val="27"/>
        <w:snapToGrid w:val="0"/>
        <w:ind w:firstLine="400" w:firstLineChars="200"/>
        <w:rPr>
          <w:rFonts w:hAnsi="宋体"/>
        </w:rPr>
      </w:pPr>
      <w:r>
        <w:rPr>
          <w:rFonts w:hint="eastAsia" w:hAnsi="宋体" w:cs="宋体"/>
          <w:b w:val="0"/>
          <w:bCs/>
          <w:color w:val="000000"/>
        </w:rPr>
        <w:t>银行账号：</w:t>
      </w:r>
      <w:r>
        <w:rPr>
          <w:rFonts w:hint="eastAsia" w:ascii="宋体" w:hAnsi="宋体" w:eastAsia="宋体" w:cs="宋体"/>
          <w:b w:val="0"/>
          <w:bCs/>
          <w:color w:val="000000"/>
        </w:rPr>
        <w:t>5215 1201 0104 7692 67</w:t>
      </w:r>
      <w:r>
        <w:rPr>
          <w:rFonts w:hAnsi="宋体"/>
          <w:color w:val="0000FF"/>
        </w:rPr>
        <w:br w:type="page"/>
      </w:r>
      <w:r>
        <w:rPr>
          <w:rFonts w:hint="eastAsia" w:hAnsi="宋体"/>
        </w:rPr>
        <w:t>附件1：</w:t>
      </w:r>
    </w:p>
    <w:p>
      <w:pPr>
        <w:widowControl/>
        <w:shd w:val="clear" w:color="auto" w:fill="FFFFFF"/>
        <w:spacing w:line="480" w:lineRule="atLeast"/>
        <w:jc w:val="center"/>
        <w:rPr>
          <w:rFonts w:ascii="仿宋" w:hAnsi="仿宋" w:eastAsia="仿宋" w:cs="宋体"/>
          <w:kern w:val="0"/>
          <w:sz w:val="32"/>
          <w:szCs w:val="32"/>
        </w:rPr>
      </w:pPr>
      <w:r>
        <w:rPr>
          <w:rFonts w:hint="eastAsia" w:ascii="黑体" w:hAnsi="黑体" w:eastAsia="黑体" w:cs="黑体"/>
          <w:kern w:val="0"/>
          <w:sz w:val="32"/>
          <w:szCs w:val="32"/>
        </w:rPr>
        <w:t>广西壮族自治区政府采购项目合同验收书</w:t>
      </w:r>
      <w:r>
        <w:rPr>
          <w:rFonts w:hint="eastAsia" w:ascii="仿宋" w:hAnsi="仿宋" w:eastAsia="仿宋" w:cs="宋体"/>
          <w:kern w:val="0"/>
          <w:sz w:val="32"/>
          <w:szCs w:val="32"/>
        </w:rPr>
        <w:t>（格式）</w:t>
      </w:r>
    </w:p>
    <w:p>
      <w:pPr>
        <w:widowControl/>
        <w:shd w:val="clear" w:color="auto" w:fill="FFFFFF"/>
        <w:spacing w:line="480" w:lineRule="atLeast"/>
        <w:jc w:val="center"/>
        <w:rPr>
          <w:rFonts w:ascii="仿宋" w:hAnsi="仿宋" w:eastAsia="仿宋" w:cs="宋体"/>
          <w:kern w:val="0"/>
          <w:sz w:val="32"/>
          <w:szCs w:val="32"/>
        </w:rPr>
      </w:pPr>
    </w:p>
    <w:p>
      <w:pPr>
        <w:widowControl/>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提供的货物（或工程、服务）进行了验收，验收情况如下：</w:t>
      </w:r>
    </w:p>
    <w:tbl>
      <w:tblPr>
        <w:tblStyle w:val="55"/>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Verdana" w:hAnsi="Verdana" w:cs="宋体"/>
                <w:kern w:val="0"/>
                <w:szCs w:val="21"/>
              </w:rPr>
            </w:pPr>
            <w:r>
              <w:rPr>
                <w:rFonts w:ascii="Verdana" w:hAnsi="Verdana" w:cs="宋体"/>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序号</w:t>
            </w:r>
          </w:p>
        </w:tc>
        <w:tc>
          <w:tcPr>
            <w:tcW w:w="192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名 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数量</w:t>
            </w:r>
          </w:p>
        </w:tc>
        <w:tc>
          <w:tcPr>
            <w:tcW w:w="2354"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Verdana" w:hAnsi="Verdana" w:cs="宋体"/>
                <w:kern w:val="0"/>
                <w:szCs w:val="21"/>
              </w:rPr>
            </w:pPr>
            <w:r>
              <w:rPr>
                <w:rFonts w:ascii="Verdana" w:hAnsi="Verdana" w:cs="宋体"/>
                <w:kern w:val="0"/>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实际</w:t>
            </w:r>
            <w:r>
              <w:rPr>
                <w:rFonts w:hint="eastAsia" w:ascii="Verdana" w:hAnsi="Verdana" w:cs="宋体"/>
                <w:kern w:val="0"/>
                <w:szCs w:val="21"/>
              </w:rPr>
              <w:t>交付</w:t>
            </w:r>
            <w:r>
              <w:rPr>
                <w:rFonts w:ascii="Verdana" w:hAnsi="Verdana" w:cs="宋体"/>
                <w:kern w:val="0"/>
                <w:szCs w:val="21"/>
              </w:rPr>
              <w:t>日期</w:t>
            </w: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kern w:val="0"/>
                <w:szCs w:val="21"/>
              </w:rPr>
              <w:t>合同</w:t>
            </w:r>
            <w:r>
              <w:rPr>
                <w:rFonts w:hint="eastAsia" w:ascii="Verdana" w:hAnsi="Verdana" w:cs="宋体"/>
                <w:kern w:val="0"/>
                <w:szCs w:val="21"/>
              </w:rPr>
              <w:t>交付</w:t>
            </w:r>
            <w:r>
              <w:rPr>
                <w:rFonts w:ascii="Verdana" w:hAnsi="Verdana" w:cs="宋体"/>
                <w:kern w:val="0"/>
                <w:szCs w:val="21"/>
              </w:rPr>
              <w:t>验收日期</w:t>
            </w:r>
          </w:p>
        </w:tc>
        <w:tc>
          <w:tcPr>
            <w:tcW w:w="303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303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kern w:val="0"/>
                <w:szCs w:val="21"/>
              </w:rPr>
            </w:pPr>
          </w:p>
        </w:tc>
        <w:tc>
          <w:tcPr>
            <w:tcW w:w="804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Verdana" w:hAnsi="Verdana" w:cs="宋体"/>
                <w:kern w:val="0"/>
                <w:szCs w:val="21"/>
              </w:rPr>
            </w:pPr>
            <w:r>
              <w:rPr>
                <w:rFonts w:ascii="Verdana" w:hAnsi="Verdana" w:cs="宋体"/>
                <w:kern w:val="0"/>
                <w:szCs w:val="21"/>
              </w:rPr>
              <w:t>有异议的意见和说明理由：</w:t>
            </w:r>
          </w:p>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监督人员或其他相关人员签字：</w:t>
            </w:r>
          </w:p>
          <w:p>
            <w:pPr>
              <w:widowControl/>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中标或者成交供应商负责人签字或盖章：</w:t>
            </w:r>
          </w:p>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 年 月 日</w:t>
            </w:r>
          </w:p>
        </w:tc>
        <w:tc>
          <w:tcPr>
            <w:tcW w:w="5219"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采购人或受托机构的意见（盖章）：</w:t>
            </w:r>
          </w:p>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 年 月 日</w:t>
            </w:r>
          </w:p>
        </w:tc>
      </w:tr>
    </w:tbl>
    <w:p>
      <w:pPr>
        <w:jc w:val="left"/>
        <w:rPr>
          <w:rFonts w:hAnsi="宋体"/>
        </w:rPr>
      </w:pPr>
      <w:r>
        <w:rPr>
          <w:rFonts w:hAnsi="宋体"/>
        </w:rPr>
        <w:br w:type="page"/>
      </w:r>
      <w:r>
        <w:rPr>
          <w:rFonts w:hint="eastAsia" w:hAnsi="宋体"/>
        </w:rPr>
        <w:t>附件2：</w:t>
      </w:r>
    </w:p>
    <w:p>
      <w:pPr>
        <w:jc w:val="center"/>
        <w:rPr>
          <w:rFonts w:ascii="黑体" w:hAnsi="黑体" w:eastAsia="黑体"/>
          <w:sz w:val="32"/>
          <w:szCs w:val="32"/>
        </w:rPr>
      </w:pPr>
      <w:r>
        <w:rPr>
          <w:rFonts w:hint="eastAsia" w:ascii="黑体" w:hAnsi="黑体" w:eastAsia="黑体"/>
          <w:sz w:val="32"/>
          <w:szCs w:val="32"/>
        </w:rPr>
        <w:t>政府采购项目履约保证金退付意见书（参考）</w:t>
      </w:r>
    </w:p>
    <w:p>
      <w:pPr>
        <w:jc w:val="center"/>
        <w:rPr>
          <w:rFonts w:ascii="黑体" w:hAnsi="黑体" w:eastAsia="黑体"/>
          <w:sz w:val="36"/>
          <w:szCs w:val="36"/>
        </w:rPr>
      </w:pP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sz w:val="24"/>
              </w:rPr>
            </w:pPr>
            <w:r>
              <w:rPr>
                <w:rFonts w:hint="eastAsia"/>
                <w:sz w:val="24"/>
              </w:rPr>
              <w:t>供</w:t>
            </w:r>
          </w:p>
          <w:p>
            <w:pPr>
              <w:jc w:val="center"/>
              <w:rPr>
                <w:sz w:val="24"/>
              </w:rPr>
            </w:pPr>
            <w:r>
              <w:rPr>
                <w:rFonts w:hint="eastAsia"/>
                <w:sz w:val="24"/>
              </w:rPr>
              <w:t>应</w:t>
            </w:r>
          </w:p>
          <w:p>
            <w:pPr>
              <w:jc w:val="center"/>
              <w:rPr>
                <w:sz w:val="24"/>
              </w:rPr>
            </w:pPr>
            <w:r>
              <w:rPr>
                <w:rFonts w:hint="eastAsia"/>
                <w:sz w:val="24"/>
              </w:rPr>
              <w:t>商</w:t>
            </w:r>
          </w:p>
          <w:p>
            <w:pPr>
              <w:jc w:val="center"/>
              <w:rPr>
                <w:sz w:val="24"/>
              </w:rPr>
            </w:pPr>
            <w:r>
              <w:rPr>
                <w:rFonts w:hint="eastAsia"/>
                <w:sz w:val="24"/>
              </w:rPr>
              <w:t>申</w:t>
            </w:r>
          </w:p>
          <w:p>
            <w:pPr>
              <w:jc w:val="center"/>
              <w:rPr>
                <w:sz w:val="24"/>
              </w:rPr>
            </w:pPr>
            <w:r>
              <w:rPr>
                <w:rFonts w:hint="eastAsia"/>
                <w:sz w:val="24"/>
              </w:rPr>
              <w:t>请</w:t>
            </w:r>
          </w:p>
        </w:tc>
        <w:tc>
          <w:tcPr>
            <w:tcW w:w="8456" w:type="dxa"/>
            <w:vAlign w:val="center"/>
          </w:tcPr>
          <w:p>
            <w:pPr>
              <w:rPr>
                <w:sz w:val="24"/>
              </w:rPr>
            </w:pPr>
            <w:r>
              <w:rPr>
                <w:rFonts w:hint="eastAsia"/>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sz w:val="24"/>
              </w:rPr>
            </w:pPr>
          </w:p>
        </w:tc>
        <w:tc>
          <w:tcPr>
            <w:tcW w:w="8456" w:type="dxa"/>
            <w:vAlign w:val="center"/>
          </w:tcPr>
          <w:p>
            <w:pPr>
              <w:rPr>
                <w:sz w:val="24"/>
              </w:rPr>
            </w:pPr>
            <w:r>
              <w:rPr>
                <w:rFonts w:hint="eastAsia"/>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sz w:val="24"/>
              </w:rPr>
            </w:pPr>
          </w:p>
        </w:tc>
        <w:tc>
          <w:tcPr>
            <w:tcW w:w="8456" w:type="dxa"/>
          </w:tcPr>
          <w:p>
            <w:pPr>
              <w:rPr>
                <w:sz w:val="24"/>
              </w:rPr>
            </w:pPr>
            <w:r>
              <w:rPr>
                <w:rFonts w:hint="eastAsia"/>
                <w:sz w:val="24"/>
              </w:rPr>
              <w:t xml:space="preserve">  </w:t>
            </w:r>
          </w:p>
          <w:p>
            <w:pPr>
              <w:spacing w:line="400" w:lineRule="exact"/>
              <w:ind w:firstLine="480" w:firstLineChars="200"/>
              <w:rPr>
                <w:sz w:val="24"/>
              </w:rPr>
            </w:pPr>
            <w:r>
              <w:rPr>
                <w:rFonts w:hint="eastAsia"/>
                <w:sz w:val="24"/>
              </w:rPr>
              <w:t>该项目已于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日验收并交付使用。根据合同规定，该项目的履约保证金期限于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日已满，请将履约保证金</w:t>
            </w:r>
          </w:p>
          <w:p>
            <w:pPr>
              <w:spacing w:line="400" w:lineRule="exact"/>
              <w:rPr>
                <w:sz w:val="24"/>
              </w:rPr>
            </w:pPr>
            <w:r>
              <w:rPr>
                <w:rFonts w:hint="eastAsia"/>
                <w:sz w:val="24"/>
                <w:u w:val="single"/>
              </w:rPr>
              <w:t xml:space="preserve">                                        </w:t>
            </w:r>
            <w:r>
              <w:rPr>
                <w:rFonts w:hint="eastAsia"/>
                <w:sz w:val="24"/>
              </w:rPr>
              <w:t>（大写）￥</w:t>
            </w:r>
            <w:r>
              <w:rPr>
                <w:rFonts w:hint="eastAsia"/>
                <w:sz w:val="24"/>
                <w:u w:val="single"/>
              </w:rPr>
              <w:t xml:space="preserve">          </w:t>
            </w:r>
            <w:r>
              <w:rPr>
                <w:rFonts w:hint="eastAsia"/>
                <w:sz w:val="24"/>
              </w:rPr>
              <w:t>（小写）退付到达以下帐户。</w:t>
            </w:r>
          </w:p>
          <w:p>
            <w:pPr>
              <w:spacing w:line="400" w:lineRule="exact"/>
              <w:ind w:firstLine="705"/>
              <w:rPr>
                <w:sz w:val="24"/>
              </w:rPr>
            </w:pPr>
            <w:r>
              <w:rPr>
                <w:rFonts w:hint="eastAsia"/>
                <w:sz w:val="24"/>
              </w:rPr>
              <w:t>单位名称：</w:t>
            </w:r>
          </w:p>
          <w:p>
            <w:pPr>
              <w:spacing w:line="400" w:lineRule="exact"/>
              <w:ind w:firstLine="705"/>
              <w:rPr>
                <w:sz w:val="24"/>
              </w:rPr>
            </w:pPr>
            <w:r>
              <w:rPr>
                <w:rFonts w:hint="eastAsia"/>
                <w:sz w:val="24"/>
              </w:rPr>
              <w:t>开户银行：</w:t>
            </w:r>
          </w:p>
          <w:p>
            <w:pPr>
              <w:spacing w:line="400" w:lineRule="exact"/>
              <w:ind w:firstLine="705"/>
              <w:rPr>
                <w:sz w:val="24"/>
              </w:rPr>
            </w:pPr>
            <w:r>
              <w:rPr>
                <w:rFonts w:hint="eastAsia"/>
                <w:sz w:val="24"/>
              </w:rPr>
              <w:t>帐   号：</w:t>
            </w:r>
          </w:p>
          <w:p>
            <w:pPr>
              <w:spacing w:line="400" w:lineRule="exact"/>
              <w:rPr>
                <w:sz w:val="24"/>
              </w:rPr>
            </w:pPr>
            <w:r>
              <w:rPr>
                <w:rFonts w:hint="eastAsia"/>
                <w:sz w:val="24"/>
              </w:rPr>
              <w:t>联系人及电话：</w:t>
            </w:r>
          </w:p>
          <w:p>
            <w:pPr>
              <w:spacing w:line="400" w:lineRule="exact"/>
              <w:rPr>
                <w:sz w:val="24"/>
              </w:rPr>
            </w:pPr>
          </w:p>
          <w:p>
            <w:pPr>
              <w:spacing w:line="520" w:lineRule="exact"/>
              <w:jc w:val="center"/>
              <w:rPr>
                <w:sz w:val="24"/>
              </w:rPr>
            </w:pPr>
            <w:r>
              <w:rPr>
                <w:rFonts w:hint="eastAsia"/>
                <w:sz w:val="24"/>
              </w:rPr>
              <w:t xml:space="preserve">         供应商签章：</w:t>
            </w:r>
          </w:p>
          <w:p>
            <w:pPr>
              <w:spacing w:line="520" w:lineRule="exact"/>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pPr>
              <w:jc w:val="center"/>
              <w:rPr>
                <w:sz w:val="24"/>
              </w:rPr>
            </w:pPr>
            <w:r>
              <w:rPr>
                <w:rFonts w:hint="eastAsia"/>
                <w:sz w:val="24"/>
              </w:rPr>
              <w:t>采</w:t>
            </w:r>
          </w:p>
          <w:p>
            <w:pPr>
              <w:jc w:val="center"/>
              <w:rPr>
                <w:sz w:val="24"/>
              </w:rPr>
            </w:pPr>
            <w:r>
              <w:rPr>
                <w:rFonts w:hint="eastAsia"/>
                <w:sz w:val="24"/>
              </w:rPr>
              <w:t>购</w:t>
            </w:r>
          </w:p>
          <w:p>
            <w:pPr>
              <w:jc w:val="center"/>
              <w:rPr>
                <w:sz w:val="24"/>
              </w:rPr>
            </w:pPr>
            <w:r>
              <w:rPr>
                <w:rFonts w:hint="eastAsia"/>
                <w:sz w:val="24"/>
              </w:rPr>
              <w:t>人</w:t>
            </w:r>
          </w:p>
          <w:p>
            <w:pPr>
              <w:jc w:val="center"/>
              <w:rPr>
                <w:sz w:val="24"/>
              </w:rPr>
            </w:pPr>
            <w:r>
              <w:rPr>
                <w:rFonts w:hint="eastAsia"/>
                <w:sz w:val="24"/>
              </w:rPr>
              <w:t>意</w:t>
            </w:r>
          </w:p>
          <w:p>
            <w:pPr>
              <w:jc w:val="center"/>
              <w:rPr>
                <w:sz w:val="24"/>
              </w:rPr>
            </w:pPr>
            <w:r>
              <w:rPr>
                <w:rFonts w:hint="eastAsia"/>
                <w:sz w:val="24"/>
              </w:rPr>
              <w:t>见</w:t>
            </w:r>
          </w:p>
        </w:tc>
        <w:tc>
          <w:tcPr>
            <w:tcW w:w="8456" w:type="dxa"/>
          </w:tcPr>
          <w:p>
            <w:pPr>
              <w:rPr>
                <w:sz w:val="24"/>
              </w:rPr>
            </w:pPr>
          </w:p>
          <w:p>
            <w:pPr>
              <w:rPr>
                <w:sz w:val="24"/>
              </w:rPr>
            </w:pPr>
            <w:r>
              <w:rPr>
                <w:rFonts w:hint="eastAsia"/>
                <w:sz w:val="24"/>
              </w:rPr>
              <w:t>退付意见：（是否同意退付履约保证金及退付金额）</w:t>
            </w: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520" w:lineRule="exact"/>
              <w:rPr>
                <w:sz w:val="24"/>
              </w:rPr>
            </w:pPr>
            <w:r>
              <w:rPr>
                <w:rFonts w:hint="eastAsia"/>
                <w:sz w:val="24"/>
              </w:rPr>
              <w:t>联系人及电话：                         采购人签章</w:t>
            </w:r>
          </w:p>
          <w:p>
            <w:pPr>
              <w:spacing w:line="520" w:lineRule="exact"/>
              <w:jc w:val="center"/>
              <w:rPr>
                <w:sz w:val="24"/>
              </w:rPr>
            </w:pPr>
            <w:r>
              <w:rPr>
                <w:rFonts w:hint="eastAsia"/>
                <w:sz w:val="24"/>
              </w:rPr>
              <w:t xml:space="preserve">                                        年    月     日</w:t>
            </w:r>
          </w:p>
          <w:p>
            <w:pPr>
              <w:spacing w:line="520" w:lineRule="exact"/>
              <w:jc w:val="center"/>
              <w:rPr>
                <w:sz w:val="24"/>
              </w:rPr>
            </w:pPr>
          </w:p>
        </w:tc>
      </w:tr>
    </w:tbl>
    <w:p>
      <w:pPr>
        <w:pStyle w:val="2"/>
        <w:ind w:left="420" w:leftChars="114" w:hanging="181" w:hangingChars="100"/>
        <w:rPr>
          <w:rFonts w:ascii="宋体"/>
          <w:b/>
          <w:bCs/>
          <w:sz w:val="18"/>
        </w:rPr>
      </w:pPr>
      <w:r>
        <w:rPr>
          <w:rFonts w:hint="eastAsia" w:ascii="宋体"/>
          <w:b/>
          <w:bCs/>
          <w:sz w:val="18"/>
        </w:rPr>
        <w:t>注：供应商凭经采购人审批的退付意见书到保证金收取单位办理履约保证金退付事宜。</w:t>
      </w:r>
    </w:p>
    <w:p>
      <w:pPr>
        <w:pStyle w:val="27"/>
        <w:snapToGrid w:val="0"/>
        <w:spacing w:before="120" w:after="120"/>
        <w:rPr>
          <w:rFonts w:hAnsi="宋体"/>
        </w:rPr>
      </w:pPr>
    </w:p>
    <w:p>
      <w:pPr>
        <w:pStyle w:val="27"/>
        <w:snapToGrid w:val="0"/>
        <w:spacing w:before="120" w:after="120"/>
        <w:rPr>
          <w:rFonts w:hAnsi="宋体"/>
        </w:rPr>
      </w:pPr>
      <w:r>
        <w:rPr>
          <w:rFonts w:hAnsi="宋体"/>
        </w:rPr>
        <w:br w:type="page"/>
      </w:r>
    </w:p>
    <w:p>
      <w:pPr>
        <w:pStyle w:val="27"/>
        <w:snapToGrid w:val="0"/>
        <w:spacing w:before="120" w:after="120"/>
        <w:rPr>
          <w:rFonts w:hAnsi="宋体"/>
        </w:rPr>
      </w:pPr>
    </w:p>
    <w:p>
      <w:pPr>
        <w:pStyle w:val="27"/>
        <w:snapToGrid w:val="0"/>
        <w:spacing w:before="120" w:after="120"/>
        <w:rPr>
          <w:rFonts w:hAnsi="宋体"/>
        </w:rPr>
      </w:pPr>
    </w:p>
    <w:p>
      <w:pPr>
        <w:pStyle w:val="27"/>
        <w:snapToGrid w:val="0"/>
        <w:spacing w:before="120" w:after="120"/>
        <w:rPr>
          <w:rFonts w:hAnsi="宋体"/>
        </w:rPr>
      </w:pPr>
    </w:p>
    <w:p>
      <w:pPr>
        <w:pStyle w:val="27"/>
        <w:snapToGrid w:val="0"/>
        <w:spacing w:before="120" w:after="120"/>
        <w:rPr>
          <w:rFonts w:hAnsi="宋体"/>
        </w:rPr>
      </w:pPr>
    </w:p>
    <w:p>
      <w:pPr>
        <w:pStyle w:val="27"/>
        <w:snapToGrid w:val="0"/>
        <w:spacing w:before="120" w:after="120"/>
        <w:rPr>
          <w:rFonts w:hAnsi="宋体"/>
        </w:rPr>
      </w:pPr>
    </w:p>
    <w:p>
      <w:pPr>
        <w:pStyle w:val="27"/>
        <w:snapToGrid w:val="0"/>
        <w:spacing w:before="120" w:after="120"/>
        <w:rPr>
          <w:rFonts w:hAnsi="宋体"/>
        </w:rPr>
      </w:pPr>
    </w:p>
    <w:p>
      <w:pPr>
        <w:pStyle w:val="27"/>
        <w:snapToGrid w:val="0"/>
        <w:spacing w:before="120" w:after="120"/>
        <w:rPr>
          <w:rFonts w:hAnsi="宋体"/>
        </w:rPr>
      </w:pPr>
    </w:p>
    <w:p>
      <w:pPr>
        <w:pStyle w:val="27"/>
        <w:snapToGrid w:val="0"/>
        <w:spacing w:before="120" w:after="120"/>
        <w:rPr>
          <w:rFonts w:hAnsi="宋体"/>
        </w:rPr>
      </w:pPr>
    </w:p>
    <w:p>
      <w:pPr>
        <w:pStyle w:val="27"/>
        <w:snapToGrid w:val="0"/>
        <w:spacing w:before="120" w:after="120"/>
        <w:rPr>
          <w:rFonts w:hAnsi="宋体"/>
        </w:rPr>
      </w:pPr>
    </w:p>
    <w:p>
      <w:pPr>
        <w:pStyle w:val="27"/>
        <w:snapToGrid w:val="0"/>
        <w:spacing w:before="120" w:after="120"/>
        <w:rPr>
          <w:rFonts w:hAnsi="宋体"/>
        </w:rPr>
      </w:pPr>
    </w:p>
    <w:p>
      <w:pPr>
        <w:pStyle w:val="27"/>
        <w:snapToGrid w:val="0"/>
        <w:spacing w:before="120" w:after="120"/>
        <w:rPr>
          <w:rFonts w:hAnsi="宋体"/>
        </w:rPr>
      </w:pPr>
    </w:p>
    <w:p>
      <w:pPr>
        <w:pStyle w:val="27"/>
        <w:snapToGrid w:val="0"/>
        <w:spacing w:before="120" w:after="120"/>
        <w:rPr>
          <w:rFonts w:hAnsi="宋体"/>
        </w:rPr>
      </w:pPr>
    </w:p>
    <w:p>
      <w:pPr>
        <w:pStyle w:val="27"/>
        <w:snapToGrid w:val="0"/>
        <w:spacing w:before="120" w:after="120"/>
        <w:rPr>
          <w:rFonts w:hAnsi="宋体"/>
        </w:rPr>
      </w:pPr>
    </w:p>
    <w:p>
      <w:pPr>
        <w:pStyle w:val="4"/>
        <w:jc w:val="center"/>
      </w:pPr>
      <w:bookmarkStart w:id="61" w:name="_Toc254970548"/>
      <w:bookmarkStart w:id="62" w:name="_Toc254970689"/>
      <w:bookmarkStart w:id="63" w:name="_Toc330456896"/>
      <w:bookmarkStart w:id="64" w:name="_Toc24366220"/>
      <w:r>
        <w:rPr>
          <w:rFonts w:hint="eastAsia"/>
        </w:rPr>
        <w:t>第四章  评标办法及评分标准</w:t>
      </w:r>
      <w:bookmarkEnd w:id="61"/>
      <w:bookmarkEnd w:id="62"/>
      <w:bookmarkEnd w:id="63"/>
      <w:bookmarkEnd w:id="64"/>
    </w:p>
    <w:p>
      <w:pPr>
        <w:pStyle w:val="27"/>
        <w:snapToGrid w:val="0"/>
        <w:spacing w:before="120" w:after="120"/>
        <w:rPr>
          <w:rFonts w:hAnsi="宋体"/>
        </w:rPr>
      </w:pPr>
      <w:bookmarkStart w:id="65" w:name="_Toc254970549"/>
      <w:bookmarkStart w:id="66" w:name="_Toc254970690"/>
    </w:p>
    <w:bookmarkEnd w:id="65"/>
    <w:bookmarkEnd w:id="66"/>
    <w:p>
      <w:pPr>
        <w:pStyle w:val="27"/>
        <w:snapToGrid w:val="0"/>
        <w:spacing w:before="120" w:after="120"/>
        <w:rPr>
          <w:rFonts w:hAnsi="宋体"/>
        </w:rPr>
      </w:pPr>
    </w:p>
    <w:p>
      <w:pPr>
        <w:pStyle w:val="27"/>
        <w:snapToGrid w:val="0"/>
        <w:spacing w:before="120" w:after="120"/>
        <w:rPr>
          <w:rFonts w:hAnsi="宋体"/>
        </w:rPr>
      </w:pPr>
    </w:p>
    <w:p>
      <w:pPr>
        <w:pStyle w:val="27"/>
        <w:snapToGrid w:val="0"/>
        <w:spacing w:before="120" w:after="120"/>
        <w:rPr>
          <w:rFonts w:hAnsi="宋体"/>
        </w:rPr>
      </w:pPr>
    </w:p>
    <w:p>
      <w:pPr>
        <w:pStyle w:val="27"/>
        <w:snapToGrid w:val="0"/>
        <w:spacing w:before="120" w:after="120"/>
        <w:rPr>
          <w:rFonts w:hAnsi="宋体"/>
        </w:rPr>
      </w:pPr>
    </w:p>
    <w:p>
      <w:pPr>
        <w:pStyle w:val="27"/>
        <w:snapToGrid w:val="0"/>
        <w:spacing w:before="120" w:after="120"/>
        <w:rPr>
          <w:rFonts w:hAnsi="宋体"/>
        </w:rPr>
      </w:pPr>
    </w:p>
    <w:p>
      <w:pPr>
        <w:pStyle w:val="27"/>
        <w:snapToGrid w:val="0"/>
        <w:spacing w:before="120" w:after="120"/>
        <w:rPr>
          <w:rFonts w:hAnsi="宋体"/>
        </w:rPr>
      </w:pPr>
    </w:p>
    <w:p>
      <w:pPr>
        <w:pStyle w:val="27"/>
        <w:snapToGrid w:val="0"/>
        <w:spacing w:before="120" w:after="120"/>
        <w:rPr>
          <w:rFonts w:hAnsi="宋体"/>
        </w:rPr>
      </w:pPr>
    </w:p>
    <w:p>
      <w:pPr>
        <w:pStyle w:val="27"/>
        <w:snapToGrid w:val="0"/>
        <w:spacing w:before="120" w:after="120"/>
        <w:rPr>
          <w:rFonts w:hAnsi="宋体"/>
        </w:rPr>
      </w:pPr>
    </w:p>
    <w:p>
      <w:pPr>
        <w:pStyle w:val="27"/>
        <w:snapToGrid w:val="0"/>
        <w:spacing w:before="120" w:after="120"/>
        <w:rPr>
          <w:rFonts w:hAnsi="宋体"/>
        </w:rPr>
      </w:pPr>
    </w:p>
    <w:p>
      <w:pPr>
        <w:pStyle w:val="27"/>
        <w:snapToGrid w:val="0"/>
        <w:spacing w:before="120" w:after="120"/>
        <w:rPr>
          <w:rFonts w:hAnsi="宋体"/>
        </w:rPr>
      </w:pPr>
    </w:p>
    <w:p>
      <w:pPr>
        <w:jc w:val="center"/>
        <w:rPr>
          <w:b/>
          <w:sz w:val="28"/>
          <w:szCs w:val="28"/>
        </w:rPr>
      </w:pPr>
      <w:r>
        <w:rPr>
          <w:sz w:val="24"/>
        </w:rPr>
        <w:br w:type="page"/>
      </w:r>
      <w:bookmarkStart w:id="67" w:name="_Toc24366221"/>
      <w:r>
        <w:rPr>
          <w:rFonts w:hint="eastAsia"/>
          <w:b/>
          <w:sz w:val="28"/>
          <w:szCs w:val="28"/>
        </w:rPr>
        <w:t>评标办法及评分标准</w:t>
      </w:r>
      <w:bookmarkEnd w:id="67"/>
    </w:p>
    <w:p>
      <w:pPr>
        <w:rPr>
          <w:rFonts w:ascii="宋体" w:hAnsi="宋体"/>
          <w:b/>
          <w:szCs w:val="21"/>
        </w:rPr>
      </w:pPr>
      <w:r>
        <w:rPr>
          <w:rFonts w:hint="eastAsia" w:ascii="宋体" w:hAnsi="宋体"/>
          <w:b/>
          <w:szCs w:val="21"/>
        </w:rPr>
        <w:t>一、评标原则</w:t>
      </w:r>
    </w:p>
    <w:p>
      <w:pPr>
        <w:pStyle w:val="27"/>
        <w:spacing w:line="360" w:lineRule="exact"/>
        <w:ind w:firstLine="424" w:firstLineChars="202"/>
        <w:rPr>
          <w:rFonts w:hAnsi="宋体"/>
          <w:sz w:val="21"/>
        </w:rPr>
      </w:pPr>
      <w:r>
        <w:rPr>
          <w:rFonts w:hint="eastAsia" w:hAnsi="宋体"/>
          <w:sz w:val="21"/>
        </w:rPr>
        <w:t>(一)评委构成：本招标采购项目的评委分别由依法组成的评审专家、采购人代表共五人以上单数构成，其中专家人数不少于成员总数的三分之二。</w:t>
      </w:r>
    </w:p>
    <w:p>
      <w:pPr>
        <w:pStyle w:val="27"/>
        <w:spacing w:line="360" w:lineRule="exact"/>
        <w:ind w:firstLine="424" w:firstLineChars="202"/>
        <w:rPr>
          <w:rFonts w:hAnsi="宋体"/>
          <w:sz w:val="21"/>
        </w:rPr>
      </w:pPr>
      <w:r>
        <w:rPr>
          <w:rFonts w:hint="eastAsia" w:hAnsi="宋体"/>
          <w:sz w:val="21"/>
        </w:rPr>
        <w:t>(二)评标依据：评委将以招投标文件、投标文件等为评标依据按百分制打分。</w:t>
      </w:r>
    </w:p>
    <w:p>
      <w:pPr>
        <w:pStyle w:val="27"/>
        <w:spacing w:line="360" w:lineRule="exact"/>
        <w:ind w:firstLine="424" w:firstLineChars="202"/>
        <w:rPr>
          <w:rFonts w:hAnsi="宋体"/>
          <w:sz w:val="21"/>
        </w:rPr>
      </w:pPr>
      <w:r>
        <w:rPr>
          <w:rFonts w:hint="eastAsia" w:hAnsi="宋体"/>
          <w:sz w:val="21"/>
        </w:rPr>
        <w:t>(三) 评标方法：综合评分法。</w:t>
      </w:r>
    </w:p>
    <w:p>
      <w:pPr>
        <w:rPr>
          <w:rFonts w:ascii="宋体" w:hAnsi="宋体"/>
          <w:b/>
          <w:szCs w:val="21"/>
        </w:rPr>
      </w:pPr>
      <w:r>
        <w:rPr>
          <w:rFonts w:hint="eastAsia" w:ascii="宋体" w:hAnsi="宋体"/>
          <w:b/>
          <w:szCs w:val="21"/>
        </w:rPr>
        <w:t>二、评标方法</w:t>
      </w:r>
    </w:p>
    <w:p>
      <w:pPr>
        <w:pStyle w:val="27"/>
        <w:spacing w:line="360" w:lineRule="exact"/>
        <w:ind w:firstLine="424" w:firstLineChars="202"/>
        <w:rPr>
          <w:rFonts w:hAnsi="宋体"/>
          <w:sz w:val="21"/>
        </w:rPr>
      </w:pPr>
      <w:r>
        <w:rPr>
          <w:rFonts w:hint="eastAsia" w:hAnsi="宋体"/>
          <w:sz w:val="21"/>
        </w:rPr>
        <w:t>（一）对进入详评的，采用百分制综合评分法。</w:t>
      </w:r>
    </w:p>
    <w:p>
      <w:pPr>
        <w:pStyle w:val="27"/>
        <w:spacing w:line="360" w:lineRule="exact"/>
        <w:ind w:firstLine="424" w:firstLineChars="202"/>
        <w:rPr>
          <w:rFonts w:hAnsi="宋体"/>
          <w:sz w:val="21"/>
        </w:rPr>
      </w:pPr>
      <w:r>
        <w:rPr>
          <w:rFonts w:hint="eastAsia" w:hAnsi="宋体"/>
          <w:sz w:val="21"/>
        </w:rPr>
        <w:t>（二）计分办法（按四舍五入取至百分位）：</w:t>
      </w:r>
    </w:p>
    <w:p>
      <w:pPr>
        <w:pStyle w:val="27"/>
        <w:spacing w:line="360" w:lineRule="exact"/>
        <w:ind w:firstLine="424" w:firstLineChars="202"/>
        <w:rPr>
          <w:rFonts w:hAnsi="宋体"/>
          <w:sz w:val="21"/>
        </w:rPr>
      </w:pPr>
    </w:p>
    <w:tbl>
      <w:tblPr>
        <w:tblStyle w:val="5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823"/>
        <w:gridCol w:w="103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szCs w:val="21"/>
              </w:rPr>
            </w:pPr>
            <w:r>
              <w:rPr>
                <w:rFonts w:hint="eastAsia" w:ascii="宋体" w:hAnsi="宋体"/>
                <w:b/>
                <w:szCs w:val="21"/>
              </w:rPr>
              <w:t>序号</w:t>
            </w:r>
          </w:p>
        </w:tc>
        <w:tc>
          <w:tcPr>
            <w:tcW w:w="880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b/>
                <w:szCs w:val="21"/>
              </w:rPr>
            </w:pPr>
            <w:r>
              <w:rPr>
                <w:rFonts w:hint="eastAsia" w:ascii="宋体" w:hAnsi="宋体"/>
                <w:b/>
                <w:szCs w:val="21"/>
              </w:rPr>
              <w:t>1</w:t>
            </w:r>
          </w:p>
        </w:tc>
        <w:tc>
          <w:tcPr>
            <w:tcW w:w="186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szCs w:val="21"/>
              </w:rPr>
            </w:pPr>
            <w:r>
              <w:rPr>
                <w:rFonts w:hint="eastAsia" w:ascii="宋体" w:hAnsi="宋体"/>
                <w:b/>
                <w:szCs w:val="21"/>
              </w:rPr>
              <w:t>价格分（10分）</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Cs w:val="21"/>
              </w:rPr>
            </w:pPr>
            <w:r>
              <w:rPr>
                <w:rFonts w:hint="eastAsia" w:ascii="宋体" w:hAnsi="宋体" w:cs="微软雅黑"/>
                <w:szCs w:val="21"/>
              </w:rPr>
              <w:t>为了避免价格的恶性竞争，保证整体项目的质量和确保服务质量，如果评标委员会认为供应商的报价明显低于其他通过符合性审查供应商的报价，有可能影响服务质量或者不能诚信履约的，评标委员会有权要求供应商在规定的时间内提供本项目成本分析报告，同时提供（包括但不限于）以下支撑证明材料：①税务部门开具的包括拟派项目组人员的《依法缴纳个人所得税或依法免缴个人所得税的凭证(与本次投标人报价所提供社保同月份)》原件；②2016年度至2018年度账务状况报告（包括其固定资产成本及折旧、管理成本、人工费成本（如人员工资、奖金、福利及差旅等费用）、技术成本、税收等所有成本及利润）复印件（原件现场核查），③提供至少3个类似业绩的费用成本组成明细（同时需要附上中标通知书和合同复印件，原件现场核查）。以上资料必须齐全，并且相关资料真实性及合理性必须完全为评标委员会所接受。如未在规定时间内提供以上材料或材料不能证明其报价合理性的，将作无效投标处理 。供应商可提前做好相关材料准备工作。</w:t>
            </w:r>
          </w:p>
          <w:p>
            <w:pPr>
              <w:rPr>
                <w:rFonts w:ascii="宋体" w:hAnsi="宋体" w:cs="微软雅黑"/>
                <w:szCs w:val="21"/>
              </w:rPr>
            </w:pPr>
            <w:r>
              <w:rPr>
                <w:rFonts w:hint="eastAsia" w:ascii="宋体" w:hAnsi="宋体" w:cs="微软雅黑"/>
                <w:szCs w:val="21"/>
              </w:rPr>
              <w:t>（1）评标价为投标人的投标报价进行政策性扣除后的价格，评标价只是作为评标时使用。最终中标人的中标金额＝投标报价。</w:t>
            </w:r>
          </w:p>
          <w:p>
            <w:pPr>
              <w:rPr>
                <w:rFonts w:ascii="宋体" w:hAnsi="宋体" w:cs="微软雅黑"/>
                <w:szCs w:val="21"/>
              </w:rPr>
            </w:pPr>
            <w:r>
              <w:rPr>
                <w:rFonts w:hint="eastAsia" w:ascii="宋体" w:hAnsi="宋体" w:cs="微软雅黑"/>
                <w:szCs w:val="21"/>
              </w:rPr>
              <w:t>（2）按照《政府采购促进中小企业发展暂行办法》（财库[2011]181号）之规定，投标人为小型和微型企业，并在其投标文件中提供《中小企业声明函》或者相关职能部门出具的证明材料，且其所投标产品为小型和微型企业产品的，对小型和微型企业产品的价格给予6%的扣除。</w:t>
            </w:r>
          </w:p>
          <w:p>
            <w:pPr>
              <w:rPr>
                <w:rFonts w:ascii="宋体" w:hAnsi="宋体" w:cs="微软雅黑"/>
                <w:szCs w:val="21"/>
              </w:rPr>
            </w:pPr>
            <w:r>
              <w:rPr>
                <w:rFonts w:hint="eastAsia" w:ascii="宋体" w:hAnsi="宋体" w:cs="微软雅黑"/>
                <w:szCs w:val="21"/>
              </w:rPr>
              <w:t>（3）按照《财政部、司法部关于政府采购支持监狱企业发展有关问题的通知》（财库〔2014〕68号）的规定，监狱企业视同小型、微型企业，享受预留份额、评审中价格扣除等政府采购政策。监狱企业参加政府采购活动时，应当提供由省级以上监狱管理局、戒毒管理局(含新疆生产建设兵团)出具的属于监狱企业的证明文件。</w:t>
            </w:r>
          </w:p>
          <w:p>
            <w:pPr>
              <w:rPr>
                <w:rFonts w:ascii="宋体" w:hAnsi="宋体" w:cs="微软雅黑"/>
                <w:szCs w:val="21"/>
              </w:rPr>
            </w:pPr>
            <w:r>
              <w:rPr>
                <w:rFonts w:hint="eastAsia" w:ascii="宋体" w:hAnsi="宋体" w:cs="微软雅黑"/>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rPr>
                <w:rFonts w:ascii="宋体" w:hAnsi="宋体" w:cs="微软雅黑"/>
                <w:szCs w:val="21"/>
              </w:rPr>
            </w:pPr>
            <w:r>
              <w:rPr>
                <w:rFonts w:hint="eastAsia" w:ascii="宋体" w:hAnsi="宋体" w:cs="微软雅黑"/>
                <w:szCs w:val="21"/>
              </w:rPr>
              <w:t>（5）政策性扣除计算方法。</w:t>
            </w:r>
          </w:p>
          <w:p>
            <w:pPr>
              <w:rPr>
                <w:rFonts w:ascii="宋体" w:hAnsi="宋体" w:cs="微软雅黑"/>
                <w:szCs w:val="21"/>
              </w:rPr>
            </w:pPr>
            <w:r>
              <w:rPr>
                <w:rFonts w:hint="eastAsia" w:ascii="宋体" w:hAnsi="宋体" w:cs="微软雅黑"/>
                <w:szCs w:val="21"/>
              </w:rPr>
              <w:t>投标人被评为监狱企业或残疾人福利性单位或小型和微型企业的，该投标人投标报价给予6%的扣除，扣除后的价格为评标报价，即投标人的评标报价=该产品的投标价×（1-6%）；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价×（1-2%）；除上述情况外，评标报价=投标价。</w:t>
            </w:r>
          </w:p>
          <w:p>
            <w:pPr>
              <w:rPr>
                <w:rFonts w:ascii="宋体" w:hAnsi="宋体" w:cs="微软雅黑"/>
                <w:szCs w:val="21"/>
              </w:rPr>
            </w:pPr>
            <w:r>
              <w:rPr>
                <w:rFonts w:hint="eastAsia" w:ascii="宋体" w:hAnsi="宋体" w:cs="微软雅黑"/>
                <w:szCs w:val="21"/>
              </w:rPr>
              <w:t>（6）以进入综合评分环节的最低的评标报价为基准价，基准价报价得分为10分。</w:t>
            </w:r>
          </w:p>
          <w:p>
            <w:pPr>
              <w:rPr>
                <w:rFonts w:ascii="宋体" w:hAnsi="宋体" w:cs="微软雅黑"/>
                <w:szCs w:val="21"/>
              </w:rPr>
            </w:pPr>
            <w:r>
              <w:rPr>
                <w:rFonts w:hint="eastAsia" w:ascii="宋体" w:hAnsi="宋体" w:cs="微软雅黑"/>
                <w:szCs w:val="21"/>
              </w:rPr>
              <w:t xml:space="preserve">（7）价格分计算公式：        </w:t>
            </w:r>
          </w:p>
          <w:p>
            <w:pPr>
              <w:rPr>
                <w:rFonts w:ascii="宋体" w:hAnsi="宋体" w:cs="微软雅黑"/>
                <w:szCs w:val="21"/>
              </w:rPr>
            </w:pPr>
            <w:r>
              <w:rPr>
                <w:rFonts w:hint="eastAsia" w:ascii="宋体" w:hAnsi="宋体" w:cs="微软雅黑"/>
                <w:szCs w:val="21"/>
              </w:rPr>
              <w:t>某投标人价格分=基准价/某投标人评标报价金额×10分</w:t>
            </w:r>
          </w:p>
          <w:p>
            <w:pPr>
              <w:rPr>
                <w:rFonts w:ascii="宋体" w:hAnsi="宋体" w:cs="Courier New"/>
                <w:bCs/>
                <w:szCs w:val="21"/>
              </w:rPr>
            </w:pPr>
            <w:r>
              <w:rPr>
                <w:rFonts w:hint="eastAsia" w:ascii="宋体" w:hAnsi="宋体" w:cs="微软雅黑"/>
                <w:szCs w:val="21"/>
              </w:rPr>
              <w:t>组成联合体的大中型企业和其他自然人、法人或者其他组织，与小型、微型企业之间不得存在投资关系。否则投标价格不予扣除。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570"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rPr>
            </w:pPr>
            <w:r>
              <w:rPr>
                <w:rFonts w:hint="eastAsia" w:ascii="宋体" w:hAnsi="宋体" w:cs="宋体"/>
                <w:b/>
                <w:szCs w:val="21"/>
              </w:rPr>
              <w:t>2</w:t>
            </w:r>
          </w:p>
        </w:tc>
        <w:tc>
          <w:tcPr>
            <w:tcW w:w="823"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bCs/>
                <w:szCs w:val="21"/>
              </w:rPr>
            </w:pPr>
            <w:r>
              <w:rPr>
                <w:rFonts w:hint="eastAsia" w:ascii="宋体" w:hAnsi="宋体" w:cs="宋体"/>
                <w:b/>
                <w:szCs w:val="21"/>
              </w:rPr>
              <w:t>技术方案（满分</w:t>
            </w:r>
            <w:r>
              <w:rPr>
                <w:rFonts w:ascii="宋体" w:hAnsi="宋体" w:cs="宋体"/>
                <w:b/>
                <w:szCs w:val="21"/>
              </w:rPr>
              <w:t>45</w:t>
            </w:r>
            <w:r>
              <w:rPr>
                <w:rFonts w:hint="eastAsia" w:ascii="宋体" w:hAnsi="宋体" w:cs="宋体"/>
                <w:b/>
                <w:szCs w:val="21"/>
              </w:rPr>
              <w:t>分）</w:t>
            </w:r>
          </w:p>
        </w:tc>
        <w:tc>
          <w:tcPr>
            <w:tcW w:w="1039" w:type="dxa"/>
            <w:tcBorders>
              <w:top w:val="single" w:color="auto" w:sz="4" w:space="0"/>
              <w:left w:val="single" w:color="auto" w:sz="4" w:space="0"/>
              <w:bottom w:val="single" w:color="auto" w:sz="4" w:space="0"/>
              <w:right w:val="single" w:color="auto" w:sz="4" w:space="0"/>
            </w:tcBorders>
            <w:vAlign w:val="center"/>
          </w:tcPr>
          <w:p>
            <w:pPr>
              <w:pStyle w:val="27"/>
              <w:rPr>
                <w:rFonts w:hAnsi="宋体" w:cs="宋体"/>
                <w:b/>
                <w:bCs/>
                <w:kern w:val="2"/>
                <w:sz w:val="21"/>
              </w:rPr>
            </w:pPr>
            <w:r>
              <w:rPr>
                <w:rFonts w:hint="eastAsia" w:hAnsi="宋体" w:cs="宋体"/>
                <w:b/>
                <w:bCs/>
                <w:kern w:val="2"/>
                <w:sz w:val="21"/>
              </w:rPr>
              <w:t>技术方案及系统设计方案(满分</w:t>
            </w:r>
            <w:r>
              <w:rPr>
                <w:rFonts w:hAnsi="宋体" w:cs="宋体"/>
                <w:b/>
                <w:bCs/>
                <w:kern w:val="2"/>
                <w:sz w:val="21"/>
              </w:rPr>
              <w:t>25</w:t>
            </w:r>
            <w:r>
              <w:rPr>
                <w:rFonts w:hint="eastAsia" w:hAnsi="宋体" w:cs="宋体"/>
                <w:b/>
                <w:bCs/>
                <w:kern w:val="2"/>
                <w:sz w:val="21"/>
              </w:rPr>
              <w:t>分)</w:t>
            </w:r>
          </w:p>
          <w:p>
            <w:pPr>
              <w:adjustRightInd w:val="0"/>
              <w:jc w:val="center"/>
              <w:textAlignment w:val="baseline"/>
              <w:rPr>
                <w:rFonts w:ascii="宋体" w:hAnsi="宋体" w:cs="宋体"/>
                <w:b/>
                <w:bCs/>
                <w:szCs w:val="21"/>
              </w:rPr>
            </w:pPr>
          </w:p>
        </w:tc>
        <w:tc>
          <w:tcPr>
            <w:tcW w:w="6946" w:type="dxa"/>
            <w:tcBorders>
              <w:top w:val="single" w:color="auto" w:sz="4" w:space="0"/>
              <w:left w:val="single" w:color="auto" w:sz="4" w:space="0"/>
              <w:bottom w:val="single" w:color="auto" w:sz="4" w:space="0"/>
              <w:right w:val="single" w:color="auto" w:sz="4" w:space="0"/>
            </w:tcBorders>
            <w:vAlign w:val="center"/>
          </w:tcPr>
          <w:p>
            <w:pPr>
              <w:pStyle w:val="172"/>
              <w:numPr>
                <w:ilvl w:val="0"/>
                <w:numId w:val="9"/>
              </w:numPr>
              <w:ind w:firstLineChars="0"/>
              <w:rPr>
                <w:rFonts w:ascii="宋体" w:hAnsi="宋体" w:cs="微软雅黑"/>
                <w:szCs w:val="21"/>
              </w:rPr>
            </w:pPr>
            <w:r>
              <w:rPr>
                <w:rFonts w:hint="eastAsia" w:ascii="宋体" w:hAnsi="宋体" w:cs="微软雅黑"/>
                <w:szCs w:val="21"/>
              </w:rPr>
              <w:t>投标人对总体需求理解透彻，技术方案详细、先进，对关键流程和技术点描述清晰、到位，完全满足系统功能需求，技术设计思想先进，系统构架先进，流程全覆盖，安全保障先进可靠，具有很高的灵活性、易用性和安全性高的，得</w:t>
            </w:r>
            <w:r>
              <w:rPr>
                <w:rFonts w:ascii="宋体" w:hAnsi="宋体" w:cs="微软雅黑"/>
                <w:szCs w:val="21"/>
              </w:rPr>
              <w:t>25</w:t>
            </w:r>
            <w:r>
              <w:rPr>
                <w:rFonts w:hint="eastAsia" w:ascii="宋体" w:hAnsi="宋体" w:cs="微软雅黑"/>
                <w:szCs w:val="21"/>
              </w:rPr>
              <w:t>分；</w:t>
            </w:r>
          </w:p>
          <w:p>
            <w:pPr>
              <w:rPr>
                <w:rFonts w:ascii="宋体" w:hAnsi="宋体" w:cs="微软雅黑"/>
                <w:szCs w:val="21"/>
              </w:rPr>
            </w:pPr>
            <w:r>
              <w:rPr>
                <w:rFonts w:hint="eastAsia" w:ascii="宋体" w:hAnsi="宋体" w:cs="微软雅黑"/>
                <w:szCs w:val="21"/>
              </w:rPr>
              <w:t>②投标人对总体需求理解到位，并提供良好的技术保障方案，技术设计思想良好，系统构架合理，流程基本覆盖，考虑到基本的安全保障，具有一定的灵活性、易用性和安全性的，得</w:t>
            </w:r>
            <w:r>
              <w:rPr>
                <w:rFonts w:ascii="宋体" w:hAnsi="宋体" w:cs="微软雅黑"/>
                <w:szCs w:val="21"/>
              </w:rPr>
              <w:t>18</w:t>
            </w:r>
            <w:r>
              <w:rPr>
                <w:rFonts w:hint="eastAsia" w:ascii="宋体" w:hAnsi="宋体" w:cs="微软雅黑"/>
                <w:szCs w:val="21"/>
              </w:rPr>
              <w:t>分；</w:t>
            </w:r>
          </w:p>
          <w:p>
            <w:pPr>
              <w:rPr>
                <w:rFonts w:ascii="宋体" w:hAnsi="宋体" w:cs="微软雅黑"/>
                <w:szCs w:val="21"/>
              </w:rPr>
            </w:pPr>
            <w:r>
              <w:rPr>
                <w:rFonts w:hint="eastAsia" w:ascii="宋体" w:hAnsi="宋体" w:cs="微软雅黑"/>
                <w:szCs w:val="21"/>
              </w:rPr>
              <w:t>③投标人对总体需求理解不全，技术方案简单，基本满足系统功能需求，灵活性、易用性和安全性不强的，得</w:t>
            </w:r>
            <w:r>
              <w:rPr>
                <w:rFonts w:ascii="宋体" w:hAnsi="宋体" w:cs="微软雅黑"/>
                <w:szCs w:val="21"/>
              </w:rPr>
              <w:t>10</w:t>
            </w:r>
            <w:r>
              <w:rPr>
                <w:rFonts w:hint="eastAsia" w:ascii="宋体" w:hAnsi="宋体" w:cs="微软雅黑"/>
                <w:szCs w:val="21"/>
              </w:rPr>
              <w:t>分；</w:t>
            </w:r>
          </w:p>
          <w:p>
            <w:pPr>
              <w:rPr>
                <w:rFonts w:ascii="宋体" w:hAnsi="宋体" w:cs="微软雅黑"/>
                <w:szCs w:val="21"/>
              </w:rPr>
            </w:pPr>
            <w:r>
              <w:rPr>
                <w:rFonts w:hint="eastAsia" w:ascii="宋体" w:hAnsi="宋体" w:cs="微软雅黑"/>
                <w:szCs w:val="21"/>
              </w:rPr>
              <w:t>④方案较差或无的不得分。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57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rPr>
            </w:pPr>
          </w:p>
        </w:tc>
        <w:tc>
          <w:tcPr>
            <w:tcW w:w="823"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pStyle w:val="27"/>
              <w:rPr>
                <w:rFonts w:hAnsi="宋体" w:cs="宋体"/>
                <w:b/>
                <w:bCs/>
                <w:kern w:val="2"/>
                <w:sz w:val="21"/>
              </w:rPr>
            </w:pPr>
            <w:r>
              <w:rPr>
                <w:rFonts w:hint="eastAsia" w:hAnsi="宋体" w:cs="宋体"/>
                <w:b/>
                <w:bCs/>
              </w:rPr>
              <w:t>实施方案(满分10分)</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Cs w:val="21"/>
              </w:rPr>
            </w:pPr>
            <w:r>
              <w:rPr>
                <w:rFonts w:hint="eastAsia" w:ascii="宋体" w:hAnsi="宋体" w:cs="微软雅黑"/>
                <w:szCs w:val="21"/>
              </w:rPr>
              <w:t>①投标人提供的方案详细，组织机构健全，阶段计划及目标详细，需求分析、系统测试措施详细可行，实施人员配备充足，实施流程科学合理，培训安排细致周全，完全能满足项目实施需要，提供详细的质量控制措施、安全保障措施、应急保障措施的，得10分；</w:t>
            </w:r>
          </w:p>
          <w:p>
            <w:pPr>
              <w:rPr>
                <w:rFonts w:ascii="宋体" w:hAnsi="宋体" w:cs="微软雅黑"/>
                <w:szCs w:val="21"/>
              </w:rPr>
            </w:pPr>
            <w:r>
              <w:rPr>
                <w:rFonts w:hint="eastAsia" w:ascii="宋体" w:hAnsi="宋体" w:cs="微软雅黑"/>
                <w:szCs w:val="21"/>
              </w:rPr>
              <w:t>②方案较详细，阶段计划及目标合理，需求分析、系统测试措施可行，实施人员配备合理，能满足项目实施需要，有一定的质量控制措施、安全保障措施、应急保障措施的，得6分；</w:t>
            </w:r>
          </w:p>
          <w:p>
            <w:pPr>
              <w:rPr>
                <w:rFonts w:ascii="宋体" w:hAnsi="宋体" w:cs="微软雅黑"/>
                <w:szCs w:val="21"/>
              </w:rPr>
            </w:pPr>
            <w:r>
              <w:rPr>
                <w:rFonts w:hint="eastAsia" w:ascii="宋体" w:hAnsi="宋体" w:cs="微软雅黑"/>
                <w:szCs w:val="21"/>
              </w:rPr>
              <w:t>③方案简单、基本满足项目实施要求的，得3分；</w:t>
            </w:r>
          </w:p>
          <w:p>
            <w:pPr>
              <w:rPr>
                <w:rFonts w:ascii="宋体" w:hAnsi="宋体" w:cs="微软雅黑"/>
                <w:szCs w:val="21"/>
              </w:rPr>
            </w:pPr>
            <w:r>
              <w:rPr>
                <w:rFonts w:hint="eastAsia" w:ascii="宋体" w:hAnsi="宋体" w:cs="微软雅黑"/>
                <w:szCs w:val="21"/>
              </w:rPr>
              <w:t>④方案不满足项目需求的不得分。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5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Cs w:val="21"/>
              </w:rPr>
            </w:pPr>
          </w:p>
        </w:tc>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b/>
                <w:bCs/>
                <w:szCs w:val="21"/>
              </w:rPr>
            </w:pPr>
            <w:r>
              <w:rPr>
                <w:rFonts w:hint="eastAsia" w:ascii="宋体" w:hAnsi="宋体"/>
                <w:b/>
                <w:bCs/>
                <w:szCs w:val="21"/>
              </w:rPr>
              <w:t>培训计划(满分8分)</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Cs w:val="21"/>
              </w:rPr>
            </w:pPr>
            <w:r>
              <w:rPr>
                <w:rFonts w:hint="eastAsia" w:ascii="宋体" w:hAnsi="宋体" w:cs="微软雅黑"/>
                <w:szCs w:val="21"/>
              </w:rPr>
              <w:t>①培训计划科学合理、培训安排细致周全的，得8分。</w:t>
            </w:r>
          </w:p>
          <w:p>
            <w:pPr>
              <w:rPr>
                <w:rFonts w:ascii="宋体" w:hAnsi="宋体" w:cs="微软雅黑"/>
                <w:szCs w:val="21"/>
              </w:rPr>
            </w:pPr>
            <w:r>
              <w:rPr>
                <w:rFonts w:hint="eastAsia" w:ascii="宋体" w:hAnsi="宋体" w:cs="微软雅黑"/>
                <w:szCs w:val="21"/>
              </w:rPr>
              <w:t>②培训计划合理、培训安排好的，得5分；</w:t>
            </w:r>
          </w:p>
          <w:p>
            <w:pPr>
              <w:rPr>
                <w:rFonts w:ascii="宋体" w:hAnsi="宋体" w:cs="微软雅黑"/>
                <w:szCs w:val="21"/>
              </w:rPr>
            </w:pPr>
            <w:r>
              <w:rPr>
                <w:rFonts w:hint="eastAsia" w:ascii="宋体" w:hAnsi="宋体" w:cs="微软雅黑"/>
                <w:szCs w:val="21"/>
              </w:rPr>
              <w:t>③培训计划可行、培训安排一般的，得3分；</w:t>
            </w:r>
          </w:p>
          <w:p>
            <w:pPr>
              <w:rPr>
                <w:rFonts w:ascii="宋体" w:hAnsi="宋体" w:cs="微软雅黑"/>
                <w:szCs w:val="21"/>
              </w:rPr>
            </w:pPr>
            <w:r>
              <w:rPr>
                <w:rFonts w:hint="eastAsia" w:ascii="宋体" w:hAnsi="宋体" w:cs="微软雅黑"/>
                <w:szCs w:val="21"/>
              </w:rPr>
              <w:t>④培训计划不可行的不得分。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Cs w:val="21"/>
              </w:rPr>
            </w:pPr>
          </w:p>
        </w:tc>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b/>
                <w:bCs/>
                <w:szCs w:val="21"/>
              </w:rPr>
            </w:pPr>
            <w:r>
              <w:rPr>
                <w:rFonts w:hint="eastAsia" w:ascii="宋体" w:hAnsi="宋体" w:cs="宋体"/>
                <w:b/>
                <w:bCs/>
                <w:szCs w:val="21"/>
              </w:rPr>
              <w:t>软件产品分(满分2分)</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Cs w:val="21"/>
              </w:rPr>
            </w:pPr>
            <w:r>
              <w:rPr>
                <w:rFonts w:hint="eastAsia" w:ascii="宋体" w:hAnsi="宋体" w:cs="微软雅黑"/>
                <w:szCs w:val="21"/>
              </w:rPr>
              <w:t>投标人类似矿石行业软件产品获得国家相关部门颁发的《计算机软件著作权登记证书》（2分）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rPr>
            </w:pPr>
            <w:r>
              <w:rPr>
                <w:rFonts w:hint="eastAsia" w:ascii="宋体" w:hAnsi="宋体" w:cs="宋体"/>
                <w:b/>
                <w:szCs w:val="21"/>
              </w:rPr>
              <w:t>3</w:t>
            </w:r>
          </w:p>
        </w:tc>
        <w:tc>
          <w:tcPr>
            <w:tcW w:w="1862" w:type="dxa"/>
            <w:gridSpan w:val="2"/>
            <w:tcBorders>
              <w:top w:val="single" w:color="auto" w:sz="4" w:space="0"/>
              <w:left w:val="single" w:color="auto" w:sz="4" w:space="0"/>
              <w:bottom w:val="single" w:color="auto" w:sz="4" w:space="0"/>
              <w:right w:val="single" w:color="auto" w:sz="4" w:space="0"/>
            </w:tcBorders>
            <w:vAlign w:val="center"/>
          </w:tcPr>
          <w:p>
            <w:pPr>
              <w:pStyle w:val="27"/>
              <w:spacing w:line="360" w:lineRule="exact"/>
              <w:jc w:val="center"/>
              <w:rPr>
                <w:rFonts w:hAnsi="宋体" w:cs="宋体"/>
                <w:b/>
                <w:bCs/>
                <w:sz w:val="21"/>
              </w:rPr>
            </w:pPr>
            <w:r>
              <w:rPr>
                <w:rFonts w:hint="eastAsia" w:hAnsi="宋体" w:cs="宋体"/>
                <w:b/>
                <w:bCs/>
                <w:sz w:val="21"/>
              </w:rPr>
              <w:t>售后服务</w:t>
            </w:r>
          </w:p>
          <w:p>
            <w:pPr>
              <w:pStyle w:val="27"/>
              <w:spacing w:line="360" w:lineRule="exact"/>
              <w:jc w:val="center"/>
              <w:rPr>
                <w:rFonts w:hAnsi="宋体" w:cs="宋体"/>
                <w:b/>
                <w:bCs/>
                <w:sz w:val="21"/>
              </w:rPr>
            </w:pPr>
            <w:r>
              <w:rPr>
                <w:rFonts w:hint="eastAsia" w:hAnsi="宋体" w:cs="宋体"/>
                <w:b/>
                <w:sz w:val="21"/>
              </w:rPr>
              <w:t>（满分1</w:t>
            </w:r>
            <w:r>
              <w:rPr>
                <w:rFonts w:hAnsi="宋体" w:cs="宋体"/>
                <w:b/>
                <w:sz w:val="21"/>
              </w:rPr>
              <w:t>5</w:t>
            </w:r>
            <w:r>
              <w:rPr>
                <w:rFonts w:hint="eastAsia" w:hAnsi="宋体" w:cs="宋体"/>
                <w:b/>
                <w:sz w:val="21"/>
              </w:rPr>
              <w:t>分）</w:t>
            </w:r>
          </w:p>
          <w:p>
            <w:pPr>
              <w:jc w:val="center"/>
              <w:rPr>
                <w:rFonts w:ascii="宋体" w:hAnsi="宋体" w:cs="宋体"/>
                <w:b/>
                <w:bCs/>
                <w:szCs w:val="21"/>
              </w:rPr>
            </w:pP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Cs w:val="21"/>
              </w:rPr>
            </w:pPr>
            <w:r>
              <w:rPr>
                <w:rFonts w:hint="eastAsia" w:ascii="宋体" w:hAnsi="宋体" w:cs="微软雅黑"/>
                <w:szCs w:val="21"/>
              </w:rPr>
              <w:t>由评标委员会根据投标文件提供的技术支持和售后服务方案，从方案的完善度、实质性优惠措施、本地化服务、售后响应及解决问题的时效等方面进行独立打分。</w:t>
            </w:r>
          </w:p>
          <w:p>
            <w:pPr>
              <w:numPr>
                <w:ilvl w:val="0"/>
                <w:numId w:val="10"/>
              </w:numPr>
              <w:ind w:left="-5" w:firstLine="5"/>
              <w:rPr>
                <w:rFonts w:ascii="宋体" w:hAnsi="宋体" w:cs="微软雅黑"/>
                <w:szCs w:val="21"/>
              </w:rPr>
            </w:pPr>
            <w:r>
              <w:rPr>
                <w:rFonts w:hint="eastAsia" w:ascii="宋体" w:hAnsi="宋体" w:cs="微软雅黑"/>
                <w:szCs w:val="21"/>
              </w:rPr>
              <w:t>供应商售后服务方案、售后服务流程、售后服务措施等方面详细具体，完全满足项目需要，提供故障处理流程及运维组织架构、运维联系电话的，得1</w:t>
            </w:r>
            <w:r>
              <w:rPr>
                <w:rFonts w:ascii="宋体" w:hAnsi="宋体" w:cs="微软雅黑"/>
                <w:szCs w:val="21"/>
              </w:rPr>
              <w:t>5</w:t>
            </w:r>
            <w:r>
              <w:rPr>
                <w:rFonts w:hint="eastAsia" w:ascii="宋体" w:hAnsi="宋体" w:cs="微软雅黑"/>
                <w:szCs w:val="21"/>
              </w:rPr>
              <w:t>分；</w:t>
            </w:r>
          </w:p>
          <w:p>
            <w:pPr>
              <w:pStyle w:val="172"/>
              <w:numPr>
                <w:ilvl w:val="0"/>
                <w:numId w:val="10"/>
              </w:numPr>
              <w:ind w:firstLineChars="0"/>
              <w:rPr>
                <w:rFonts w:ascii="宋体" w:hAnsi="宋体" w:cs="微软雅黑"/>
                <w:szCs w:val="21"/>
              </w:rPr>
            </w:pPr>
            <w:r>
              <w:rPr>
                <w:rFonts w:hint="eastAsia" w:ascii="宋体" w:hAnsi="宋体" w:cs="微软雅黑"/>
                <w:szCs w:val="21"/>
              </w:rPr>
              <w:t>售后服务方案在售后服务流程、售后服务措施等方面表现良好，有一定可行性的，得</w:t>
            </w:r>
            <w:r>
              <w:rPr>
                <w:rFonts w:ascii="宋体" w:hAnsi="宋体" w:cs="微软雅黑"/>
                <w:szCs w:val="21"/>
              </w:rPr>
              <w:t>10</w:t>
            </w:r>
            <w:r>
              <w:rPr>
                <w:rFonts w:hint="eastAsia" w:ascii="宋体" w:hAnsi="宋体" w:cs="微软雅黑"/>
                <w:szCs w:val="21"/>
              </w:rPr>
              <w:t>分；</w:t>
            </w:r>
          </w:p>
          <w:p>
            <w:pPr>
              <w:rPr>
                <w:rFonts w:ascii="宋体" w:hAnsi="宋体" w:cs="微软雅黑"/>
                <w:szCs w:val="21"/>
              </w:rPr>
            </w:pPr>
            <w:r>
              <w:rPr>
                <w:rFonts w:hint="eastAsia" w:ascii="宋体" w:hAnsi="宋体" w:cs="微软雅黑"/>
                <w:szCs w:val="21"/>
              </w:rPr>
              <w:t>③售后服务方案简单、基本满足采购文件要求的，得</w:t>
            </w:r>
            <w:r>
              <w:rPr>
                <w:rFonts w:ascii="宋体" w:hAnsi="宋体" w:cs="微软雅黑"/>
                <w:szCs w:val="21"/>
              </w:rPr>
              <w:t>5</w:t>
            </w:r>
            <w:r>
              <w:rPr>
                <w:rFonts w:hint="eastAsia" w:ascii="宋体" w:hAnsi="宋体" w:cs="微软雅黑"/>
                <w:szCs w:val="21"/>
              </w:rPr>
              <w:t>分；</w:t>
            </w:r>
          </w:p>
          <w:p>
            <w:pPr>
              <w:rPr>
                <w:rFonts w:ascii="宋体" w:hAnsi="宋体" w:cs="微软雅黑"/>
                <w:szCs w:val="21"/>
              </w:rPr>
            </w:pPr>
            <w:r>
              <w:rPr>
                <w:rFonts w:hint="eastAsia" w:ascii="宋体" w:hAnsi="宋体" w:cs="微软雅黑"/>
                <w:szCs w:val="21"/>
              </w:rPr>
              <w:t>④无或较差的不得分。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rPr>
            </w:pPr>
            <w:r>
              <w:rPr>
                <w:rFonts w:hint="eastAsia" w:ascii="宋体" w:hAnsi="宋体" w:cs="宋体"/>
                <w:b/>
                <w:szCs w:val="21"/>
              </w:rPr>
              <w:t>4</w:t>
            </w:r>
          </w:p>
        </w:tc>
        <w:tc>
          <w:tcPr>
            <w:tcW w:w="186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b/>
                <w:bCs/>
                <w:szCs w:val="21"/>
              </w:rPr>
            </w:pPr>
            <w:r>
              <w:rPr>
                <w:rFonts w:hint="eastAsia" w:ascii="宋体" w:hAnsi="宋体"/>
                <w:b/>
                <w:bCs/>
              </w:rPr>
              <w:t>演示分</w:t>
            </w:r>
          </w:p>
          <w:p>
            <w:pPr>
              <w:jc w:val="center"/>
            </w:pPr>
            <w:r>
              <w:rPr>
                <w:rFonts w:hint="eastAsia" w:ascii="宋体" w:hAnsi="宋体"/>
                <w:b/>
                <w:bCs/>
              </w:rPr>
              <w:t>（满分15）</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Cs w:val="21"/>
              </w:rPr>
            </w:pPr>
            <w:r>
              <w:rPr>
                <w:rFonts w:hint="eastAsia" w:ascii="宋体" w:hAnsi="宋体" w:cs="微软雅黑"/>
              </w:rPr>
              <w:t>本项目有平台演示环节，无效平台演示或不演示不得分。投标人须针对招标要求进行真实平台系统现场演示，演示时间为10分钟，采用PPT、视频或截图等材料进行演示的视为无效平台演示。由评委根据投标人演示的的优劣进行独立打分。</w:t>
            </w:r>
          </w:p>
          <w:p>
            <w:pPr>
              <w:pStyle w:val="172"/>
              <w:numPr>
                <w:ilvl w:val="0"/>
                <w:numId w:val="11"/>
              </w:numPr>
              <w:ind w:firstLineChars="0"/>
              <w:rPr>
                <w:rFonts w:ascii="宋体" w:hAnsi="宋体" w:cs="微软雅黑"/>
              </w:rPr>
            </w:pPr>
            <w:r>
              <w:rPr>
                <w:rFonts w:hint="eastAsia" w:ascii="宋体" w:hAnsi="宋体" w:cs="微软雅黑"/>
              </w:rPr>
              <w:t>演示平台简单、基本满足项目实施要求。(</w:t>
            </w:r>
            <w:r>
              <w:rPr>
                <w:rFonts w:ascii="宋体" w:hAnsi="宋体" w:cs="微软雅黑"/>
              </w:rPr>
              <w:t>5</w:t>
            </w:r>
            <w:r>
              <w:rPr>
                <w:rFonts w:hint="eastAsia" w:ascii="宋体" w:hAnsi="宋体" w:cs="微软雅黑"/>
              </w:rPr>
              <w:t>分)</w:t>
            </w:r>
          </w:p>
          <w:p>
            <w:pPr>
              <w:rPr>
                <w:rFonts w:ascii="宋体" w:hAnsi="宋体" w:cs="微软雅黑"/>
              </w:rPr>
            </w:pPr>
            <w:r>
              <w:rPr>
                <w:rFonts w:hint="eastAsia" w:ascii="宋体" w:hAnsi="宋体" w:cs="微软雅黑"/>
              </w:rPr>
              <w:t>②演示平台设计合理、各项功能健全，满足项目需求。(</w:t>
            </w:r>
            <w:r>
              <w:rPr>
                <w:rFonts w:ascii="宋体" w:hAnsi="宋体" w:cs="微软雅黑"/>
              </w:rPr>
              <w:t>10</w:t>
            </w:r>
            <w:r>
              <w:rPr>
                <w:rFonts w:hint="eastAsia" w:ascii="宋体" w:hAnsi="宋体" w:cs="微软雅黑"/>
              </w:rPr>
              <w:t>分)</w:t>
            </w:r>
          </w:p>
          <w:p>
            <w:r>
              <w:rPr>
                <w:rFonts w:hint="eastAsia" w:ascii="宋体" w:hAnsi="宋体" w:cs="微软雅黑"/>
              </w:rPr>
              <w:t>③演示平台功能齐全，系统结构清晰、合理、界面合理、操作简便，具有完善的功能模块：首页数据展示、系统管理、基础资料、卡口接口管理、矿企管理、开采量管理、车辆管理、准运卡管理、规费管理、查询统计、称重客户端、手机端等，完全满足项目需求。（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rPr>
            </w:pPr>
            <w:r>
              <w:rPr>
                <w:rFonts w:ascii="宋体" w:hAnsi="宋体" w:cs="宋体"/>
                <w:b/>
                <w:szCs w:val="21"/>
              </w:rPr>
              <w:t>5</w:t>
            </w:r>
          </w:p>
        </w:tc>
        <w:tc>
          <w:tcPr>
            <w:tcW w:w="18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资信业绩</w:t>
            </w:r>
          </w:p>
          <w:p>
            <w:pPr>
              <w:adjustRightInd w:val="0"/>
              <w:spacing w:line="360" w:lineRule="auto"/>
              <w:jc w:val="center"/>
              <w:textAlignment w:val="baseline"/>
              <w:rPr>
                <w:rFonts w:ascii="宋体" w:hAnsi="宋体" w:cs="宋体"/>
                <w:b/>
                <w:szCs w:val="21"/>
              </w:rPr>
            </w:pPr>
            <w:r>
              <w:rPr>
                <w:rFonts w:hint="eastAsia" w:ascii="宋体" w:hAnsi="宋体" w:cs="宋体"/>
                <w:b/>
                <w:szCs w:val="21"/>
              </w:rPr>
              <w:t>（满分</w:t>
            </w:r>
            <w:r>
              <w:rPr>
                <w:rFonts w:ascii="宋体" w:hAnsi="宋体" w:cs="宋体"/>
                <w:b/>
                <w:szCs w:val="21"/>
              </w:rPr>
              <w:t>15</w:t>
            </w:r>
            <w:r>
              <w:rPr>
                <w:rFonts w:hint="eastAsia" w:ascii="宋体" w:hAnsi="宋体" w:cs="宋体"/>
                <w:b/>
                <w:szCs w:val="21"/>
              </w:rPr>
              <w:t>分）</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Cs w:val="21"/>
              </w:rPr>
            </w:pPr>
            <w:r>
              <w:rPr>
                <w:rFonts w:hint="eastAsia" w:ascii="宋体" w:hAnsi="宋体" w:cs="微软雅黑"/>
                <w:szCs w:val="21"/>
              </w:rPr>
              <w:t>自2019年1月以来，投标人具有同类项目的成功案例的（提供合同证明复印件，原件备查），每个案例得</w:t>
            </w:r>
            <w:r>
              <w:rPr>
                <w:rFonts w:hint="eastAsia" w:ascii="宋体" w:hAnsi="宋体" w:cs="微软雅黑"/>
                <w:szCs w:val="21"/>
                <w:lang w:val="en-US" w:eastAsia="zh-CN"/>
              </w:rPr>
              <w:t>1.5</w:t>
            </w:r>
            <w:r>
              <w:rPr>
                <w:rFonts w:hint="eastAsia" w:ascii="宋体" w:hAnsi="宋体" w:cs="微软雅黑"/>
                <w:szCs w:val="21"/>
              </w:rPr>
              <w:t>分（不满足要求的不得分），最多</w:t>
            </w:r>
            <w:r>
              <w:rPr>
                <w:rFonts w:ascii="宋体" w:hAnsi="宋体" w:cs="微软雅黑"/>
                <w:szCs w:val="21"/>
              </w:rPr>
              <w:t>15</w:t>
            </w:r>
            <w:r>
              <w:rPr>
                <w:rFonts w:hint="eastAsia" w:ascii="宋体" w:hAnsi="宋体" w:cs="微软雅黑"/>
                <w:szCs w:val="21"/>
              </w:rPr>
              <w:t>分。</w:t>
            </w:r>
          </w:p>
        </w:tc>
      </w:tr>
    </w:tbl>
    <w:p>
      <w:pPr>
        <w:pStyle w:val="27"/>
        <w:spacing w:line="360" w:lineRule="exact"/>
        <w:ind w:firstLine="424" w:firstLineChars="202"/>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rPr>
          <w:rFonts w:hAnsi="宋体" w:cs="宋体"/>
          <w:b/>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rPr>
          <w:rFonts w:hAnsi="宋体" w:cs="宋体"/>
          <w:b/>
          <w:sz w:val="21"/>
        </w:rPr>
      </w:pPr>
      <w:r>
        <w:rPr>
          <w:rFonts w:hint="eastAsia" w:hAnsi="宋体" w:cs="宋体"/>
          <w:b/>
          <w:sz w:val="21"/>
        </w:rPr>
        <w:t xml:space="preserve">总得分 =1 + 2 + 3 + 4 + 5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rFonts w:ascii="宋体" w:hAnsi="宋体"/>
          <w:b/>
          <w:szCs w:val="21"/>
        </w:rPr>
      </w:pPr>
      <w:r>
        <w:rPr>
          <w:rFonts w:hint="eastAsia" w:ascii="宋体" w:hAnsi="宋体"/>
          <w:b/>
          <w:szCs w:val="21"/>
        </w:rPr>
        <w:t>三、 中标候选人推荐原则</w:t>
      </w:r>
    </w:p>
    <w:p>
      <w:pPr>
        <w:spacing w:line="420" w:lineRule="exact"/>
        <w:ind w:firstLine="426"/>
        <w:rPr>
          <w:rFonts w:hAnsi="宋体"/>
          <w:b/>
        </w:rPr>
      </w:pPr>
      <w:r>
        <w:rPr>
          <w:rFonts w:hint="eastAsia" w:ascii="宋体" w:hAnsi="宋体"/>
          <w:b/>
          <w:szCs w:val="21"/>
        </w:rPr>
        <w:t>评标委员会将根据总得分由高到低排列次序并推荐中标候选供应商。得分相同的，以投标报价由低到高顺序排列。得分相同且投标报价相同的并列。投标文件满足招标文件全部实质性要求，且按照评审因素的量化指标评审得分最高的投标人推荐中标候选人。</w:t>
      </w:r>
      <w:r>
        <w:rPr>
          <w:rFonts w:hAnsi="宋体"/>
          <w:b/>
        </w:rPr>
        <w:br w:type="page"/>
      </w:r>
    </w:p>
    <w:p>
      <w:pPr>
        <w:spacing w:before="156" w:beforeLines="50" w:after="156" w:afterLines="50" w:line="400" w:lineRule="exact"/>
        <w:rPr>
          <w:rFonts w:ascii="宋体" w:hAnsi="宋体"/>
          <w:b/>
          <w:sz w:val="24"/>
        </w:rPr>
      </w:pPr>
    </w:p>
    <w:p>
      <w:pPr>
        <w:spacing w:before="156" w:beforeLines="50" w:after="156" w:afterLines="50" w:line="400" w:lineRule="exact"/>
        <w:rPr>
          <w:rFonts w:ascii="宋体" w:hAnsi="宋体"/>
          <w:b/>
          <w:sz w:val="24"/>
        </w:rPr>
      </w:pPr>
    </w:p>
    <w:p>
      <w:pPr>
        <w:spacing w:before="156" w:beforeLines="50" w:after="156" w:afterLines="50" w:line="400" w:lineRule="exact"/>
        <w:rPr>
          <w:rFonts w:ascii="宋体" w:hAnsi="宋体"/>
          <w:b/>
          <w:sz w:val="24"/>
        </w:rPr>
      </w:pPr>
    </w:p>
    <w:p>
      <w:pPr>
        <w:spacing w:before="156" w:beforeLines="50" w:after="156" w:afterLines="50" w:line="400" w:lineRule="exact"/>
        <w:rPr>
          <w:rFonts w:ascii="宋体" w:hAnsi="宋体"/>
          <w:b/>
          <w:sz w:val="24"/>
        </w:rPr>
      </w:pPr>
    </w:p>
    <w:p>
      <w:pPr>
        <w:spacing w:before="156" w:beforeLines="50" w:after="156" w:afterLines="50" w:line="400" w:lineRule="exact"/>
        <w:rPr>
          <w:rFonts w:ascii="宋体" w:hAnsi="宋体"/>
          <w:b/>
          <w:sz w:val="24"/>
        </w:rPr>
      </w:pPr>
    </w:p>
    <w:p>
      <w:pPr>
        <w:spacing w:before="156" w:beforeLines="50" w:after="156" w:afterLines="50" w:line="400" w:lineRule="exact"/>
        <w:rPr>
          <w:rFonts w:ascii="宋体" w:hAnsi="宋体"/>
          <w:b/>
          <w:sz w:val="24"/>
        </w:rPr>
      </w:pPr>
    </w:p>
    <w:p>
      <w:pPr>
        <w:spacing w:before="156" w:beforeLines="50" w:after="156" w:afterLines="50" w:line="400" w:lineRule="exact"/>
        <w:rPr>
          <w:rFonts w:ascii="宋体" w:hAnsi="宋体"/>
          <w:b/>
          <w:sz w:val="24"/>
        </w:rPr>
      </w:pPr>
    </w:p>
    <w:p>
      <w:pPr>
        <w:spacing w:before="156" w:beforeLines="50" w:after="156" w:afterLines="50" w:line="400" w:lineRule="exact"/>
        <w:rPr>
          <w:rFonts w:ascii="宋体" w:hAnsi="宋体"/>
          <w:b/>
          <w:sz w:val="24"/>
        </w:rPr>
      </w:pPr>
    </w:p>
    <w:p>
      <w:pPr>
        <w:spacing w:before="156" w:beforeLines="50" w:after="156" w:afterLines="50" w:line="400" w:lineRule="exact"/>
        <w:rPr>
          <w:rFonts w:ascii="宋体" w:hAnsi="宋体"/>
          <w:b/>
          <w:sz w:val="24"/>
        </w:rPr>
      </w:pPr>
    </w:p>
    <w:p>
      <w:pPr>
        <w:spacing w:before="156" w:beforeLines="50" w:after="156" w:afterLines="50" w:line="400" w:lineRule="exact"/>
        <w:rPr>
          <w:rFonts w:ascii="宋体" w:hAnsi="宋体"/>
          <w:b/>
          <w:sz w:val="24"/>
        </w:rPr>
      </w:pPr>
    </w:p>
    <w:p>
      <w:pPr>
        <w:pStyle w:val="4"/>
        <w:jc w:val="center"/>
      </w:pPr>
      <w:bookmarkStart w:id="68" w:name="_Toc24366222"/>
      <w:r>
        <w:rPr>
          <w:rFonts w:hint="eastAsia"/>
        </w:rPr>
        <w:t>第五章  合同主要条款格式</w:t>
      </w:r>
      <w:bookmarkEnd w:id="68"/>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jc w:val="center"/>
        <w:rPr>
          <w:rFonts w:ascii="宋体" w:hAnsi="宋体"/>
          <w:bCs/>
          <w:sz w:val="32"/>
          <w:szCs w:val="32"/>
        </w:rPr>
      </w:pPr>
      <w:r>
        <w:rPr>
          <w:rFonts w:ascii="宋体" w:hAnsi="宋体"/>
          <w:bCs/>
          <w:sz w:val="32"/>
          <w:szCs w:val="32"/>
        </w:rPr>
        <w:br w:type="page"/>
      </w:r>
    </w:p>
    <w:p>
      <w:pPr>
        <w:jc w:val="center"/>
        <w:rPr>
          <w:b/>
          <w:bCs/>
          <w:sz w:val="36"/>
          <w:szCs w:val="36"/>
        </w:rPr>
      </w:pPr>
      <w:r>
        <w:rPr>
          <w:rFonts w:hint="eastAsia" w:ascii="宋体" w:hAnsi="宋体"/>
          <w:b/>
          <w:bCs/>
          <w:sz w:val="36"/>
          <w:szCs w:val="36"/>
        </w:rPr>
        <w:t>合同书（格式）</w:t>
      </w:r>
    </w:p>
    <w:p>
      <w:pPr>
        <w:jc w:val="center"/>
        <w:rPr>
          <w:szCs w:val="21"/>
        </w:rPr>
      </w:pPr>
      <w:r>
        <w:t xml:space="preserve"> </w:t>
      </w:r>
    </w:p>
    <w:p>
      <w:pPr>
        <w:spacing w:line="500" w:lineRule="exact"/>
        <w:ind w:firstLine="420" w:firstLineChars="200"/>
        <w:jc w:val="center"/>
      </w:pPr>
      <w:r>
        <w:t xml:space="preserve"> </w:t>
      </w:r>
    </w:p>
    <w:p>
      <w:pPr>
        <w:spacing w:line="500" w:lineRule="exact"/>
        <w:ind w:firstLine="420" w:firstLineChars="200"/>
        <w:jc w:val="center"/>
      </w:pPr>
      <w:r>
        <w:t xml:space="preserve"> </w:t>
      </w:r>
    </w:p>
    <w:p>
      <w:pPr>
        <w:spacing w:line="500" w:lineRule="exact"/>
        <w:ind w:firstLine="420" w:firstLineChars="200"/>
        <w:jc w:val="center"/>
      </w:pPr>
      <w:r>
        <w:t xml:space="preserve"> </w:t>
      </w:r>
    </w:p>
    <w:p>
      <w:pPr>
        <w:spacing w:line="500" w:lineRule="exact"/>
        <w:ind w:firstLine="420" w:firstLineChars="200"/>
        <w:jc w:val="center"/>
      </w:pPr>
      <w:r>
        <w:t xml:space="preserve"> </w:t>
      </w:r>
    </w:p>
    <w:p>
      <w:pPr>
        <w:spacing w:line="500" w:lineRule="exact"/>
        <w:ind w:firstLine="420" w:firstLineChars="200"/>
        <w:jc w:val="center"/>
      </w:pPr>
      <w:r>
        <w:t xml:space="preserve"> </w:t>
      </w:r>
    </w:p>
    <w:p>
      <w:pPr>
        <w:spacing w:line="500" w:lineRule="exact"/>
        <w:ind w:firstLine="420" w:firstLineChars="200"/>
        <w:jc w:val="center"/>
      </w:pPr>
      <w:r>
        <w:t xml:space="preserve"> </w:t>
      </w:r>
    </w:p>
    <w:p>
      <w:pPr>
        <w:spacing w:line="500" w:lineRule="exact"/>
        <w:ind w:firstLine="420" w:firstLineChars="200"/>
        <w:jc w:val="center"/>
      </w:pPr>
      <w:r>
        <w:t xml:space="preserve"> </w:t>
      </w:r>
    </w:p>
    <w:p>
      <w:pPr>
        <w:spacing w:line="500" w:lineRule="exact"/>
        <w:ind w:firstLine="420" w:firstLineChars="200"/>
        <w:jc w:val="center"/>
      </w:pPr>
      <w:r>
        <w:t xml:space="preserve"> </w:t>
      </w:r>
    </w:p>
    <w:p>
      <w:pPr>
        <w:spacing w:line="480" w:lineRule="auto"/>
        <w:ind w:firstLine="432" w:firstLineChars="180"/>
        <w:rPr>
          <w:b/>
          <w:bCs/>
          <w:sz w:val="24"/>
          <w:u w:val="single"/>
        </w:rPr>
      </w:pPr>
      <w:r>
        <w:rPr>
          <w:rFonts w:hint="eastAsia" w:ascii="宋体" w:hAnsi="宋体"/>
          <w:sz w:val="24"/>
        </w:rPr>
        <w:t>项  目  名  称：</w:t>
      </w:r>
      <w:r>
        <w:rPr>
          <w:rFonts w:hint="eastAsia" w:ascii="宋体" w:hAnsi="宋体"/>
          <w:sz w:val="24"/>
          <w:u w:val="single"/>
        </w:rPr>
        <w:t xml:space="preserve">                                 </w:t>
      </w:r>
      <w:r>
        <w:rPr>
          <w:b/>
          <w:bCs/>
          <w:sz w:val="24"/>
          <w:u w:val="single"/>
        </w:rPr>
        <w:t xml:space="preserve">            </w:t>
      </w:r>
    </w:p>
    <w:p>
      <w:pPr>
        <w:spacing w:line="480" w:lineRule="auto"/>
        <w:ind w:firstLine="432" w:firstLineChars="180"/>
        <w:rPr>
          <w:rFonts w:hAnsi="宋体"/>
          <w:sz w:val="24"/>
          <w:u w:val="single"/>
        </w:rPr>
      </w:pPr>
      <w:r>
        <w:rPr>
          <w:rFonts w:hint="eastAsia" w:ascii="宋体" w:hAnsi="宋体"/>
          <w:sz w:val="24"/>
        </w:rPr>
        <w:t>项  目  地  点：</w:t>
      </w:r>
      <w:r>
        <w:rPr>
          <w:rFonts w:hint="eastAsia" w:ascii="宋体" w:hAnsi="宋体"/>
          <w:sz w:val="24"/>
          <w:u w:val="single"/>
        </w:rPr>
        <w:t xml:space="preserve">                                             </w:t>
      </w:r>
    </w:p>
    <w:p>
      <w:pPr>
        <w:spacing w:line="480" w:lineRule="auto"/>
        <w:ind w:firstLine="432" w:firstLineChars="180"/>
        <w:rPr>
          <w:rFonts w:ascii="宋体" w:hAnsi="宋体"/>
          <w:sz w:val="24"/>
          <w:u w:val="single"/>
        </w:rPr>
      </w:pPr>
      <w:r>
        <w:rPr>
          <w:rFonts w:hint="eastAsia" w:ascii="宋体" w:hAnsi="宋体"/>
          <w:sz w:val="24"/>
        </w:rPr>
        <w:t>合  同  编  号：</w:t>
      </w:r>
      <w:r>
        <w:rPr>
          <w:rFonts w:hint="eastAsia" w:ascii="宋体" w:hAnsi="宋体"/>
          <w:sz w:val="24"/>
          <w:u w:val="single"/>
        </w:rPr>
        <w:t xml:space="preserve">                                             </w:t>
      </w:r>
    </w:p>
    <w:p>
      <w:pPr>
        <w:spacing w:line="480" w:lineRule="auto"/>
        <w:jc w:val="center"/>
        <w:rPr>
          <w:rFonts w:ascii="宋体" w:hAnsi="宋体"/>
          <w:sz w:val="24"/>
        </w:rPr>
      </w:pPr>
      <w:r>
        <w:rPr>
          <w:rFonts w:hint="eastAsia" w:ascii="宋体" w:hAnsi="宋体"/>
          <w:sz w:val="24"/>
        </w:rPr>
        <w:t xml:space="preserve"> </w:t>
      </w:r>
    </w:p>
    <w:p>
      <w:pPr>
        <w:spacing w:line="360" w:lineRule="auto"/>
        <w:jc w:val="center"/>
        <w:rPr>
          <w:rFonts w:ascii="宋体" w:hAnsi="宋体"/>
          <w:sz w:val="24"/>
        </w:rPr>
      </w:pPr>
      <w:r>
        <w:rPr>
          <w:rFonts w:hint="eastAsia" w:ascii="宋体" w:hAnsi="宋体"/>
          <w:sz w:val="24"/>
        </w:rPr>
        <w:t xml:space="preserve"> </w:t>
      </w:r>
    </w:p>
    <w:p>
      <w:pPr>
        <w:spacing w:line="360" w:lineRule="auto"/>
        <w:jc w:val="center"/>
        <w:rPr>
          <w:rFonts w:ascii="宋体" w:hAnsi="宋体"/>
          <w:sz w:val="24"/>
        </w:rPr>
      </w:pPr>
      <w:r>
        <w:rPr>
          <w:rFonts w:hint="eastAsia" w:ascii="宋体" w:hAnsi="宋体"/>
          <w:sz w:val="24"/>
        </w:rPr>
        <w:t xml:space="preserve"> </w:t>
      </w:r>
    </w:p>
    <w:p>
      <w:pPr>
        <w:snapToGrid w:val="0"/>
        <w:spacing w:line="360" w:lineRule="exact"/>
        <w:ind w:right="480" w:firstLine="8760" w:firstLineChars="3650"/>
        <w:rPr>
          <w:rFonts w:ascii="宋体" w:hAnsi="宋体"/>
          <w:bCs/>
          <w:szCs w:val="21"/>
          <w:u w:val="single"/>
        </w:rPr>
      </w:pPr>
      <w:r>
        <w:rPr>
          <w:rFonts w:hint="eastAsia" w:ascii="宋体" w:hAnsi="宋体"/>
          <w:sz w:val="24"/>
        </w:rPr>
        <w:br w:type="page"/>
      </w:r>
    </w:p>
    <w:p>
      <w:pPr>
        <w:snapToGrid w:val="0"/>
        <w:spacing w:line="400" w:lineRule="exact"/>
        <w:rPr>
          <w:rFonts w:ascii="宋体" w:hAnsi="宋体"/>
          <w:szCs w:val="21"/>
          <w:u w:val="single"/>
        </w:rPr>
      </w:pPr>
      <w:r>
        <w:rPr>
          <w:rFonts w:hint="eastAsia" w:ascii="宋体" w:hAnsi="宋体"/>
          <w:szCs w:val="21"/>
        </w:rPr>
        <w:t>采购单位（甲方）</w:t>
      </w:r>
      <w:r>
        <w:rPr>
          <w:rFonts w:hint="eastAsia" w:ascii="宋体" w:hAnsi="宋体"/>
          <w:szCs w:val="21"/>
          <w:u w:val="single"/>
        </w:rPr>
        <w:t xml:space="preserve">                             </w:t>
      </w:r>
      <w:r>
        <w:rPr>
          <w:u w:val="single"/>
        </w:rPr>
        <w:t xml:space="preserve">  </w:t>
      </w:r>
    </w:p>
    <w:p>
      <w:pPr>
        <w:jc w:val="left"/>
        <w:rPr>
          <w:rFonts w:ascii="Times New Roman" w:hAnsi="Times New Roman"/>
          <w:u w:val="single"/>
        </w:rPr>
      </w:pPr>
      <w:r>
        <w:rPr>
          <w:rFonts w:hint="eastAsia"/>
        </w:rPr>
        <w:t>供</w:t>
      </w:r>
      <w:r>
        <w:t xml:space="preserve"> </w:t>
      </w:r>
      <w:r>
        <w:rPr>
          <w:rFonts w:hint="eastAsia"/>
        </w:rPr>
        <w:t>应</w:t>
      </w:r>
      <w:r>
        <w:t xml:space="preserve"> </w:t>
      </w:r>
      <w:r>
        <w:rPr>
          <w:rFonts w:hint="eastAsia"/>
        </w:rPr>
        <w:t>商（乙方）</w:t>
      </w:r>
      <w:r>
        <w:t xml:space="preserve"> </w:t>
      </w:r>
      <w:r>
        <w:rPr>
          <w:u w:val="single"/>
        </w:rPr>
        <w:t xml:space="preserve">                              </w:t>
      </w:r>
    </w:p>
    <w:p>
      <w:pPr>
        <w:snapToGrid w:val="0"/>
        <w:spacing w:line="400" w:lineRule="exact"/>
        <w:rPr>
          <w:rFonts w:ascii="宋体" w:hAnsi="宋体"/>
          <w:szCs w:val="21"/>
        </w:rPr>
      </w:pPr>
      <w:r>
        <w:rPr>
          <w:rFonts w:hint="eastAsia" w:ascii="宋体" w:hAnsi="宋体"/>
          <w:szCs w:val="21"/>
        </w:rPr>
        <w:t xml:space="preserve">签  订  地  点  </w:t>
      </w:r>
      <w:r>
        <w:rPr>
          <w:rFonts w:hint="eastAsia" w:ascii="宋体" w:hAnsi="宋体"/>
          <w:szCs w:val="21"/>
          <w:u w:val="single"/>
        </w:rPr>
        <w:t xml:space="preserve">                   </w:t>
      </w:r>
      <w:r>
        <w:rPr>
          <w:rFonts w:hint="eastAsia" w:ascii="宋体" w:hAnsi="宋体"/>
          <w:szCs w:val="21"/>
        </w:rPr>
        <w:t xml:space="preserve">  签订时间</w:t>
      </w:r>
      <w:r>
        <w:rPr>
          <w:rFonts w:hint="eastAsia" w:ascii="宋体" w:hAnsi="宋体"/>
          <w:szCs w:val="21"/>
          <w:u w:val="single"/>
        </w:rPr>
        <w:t xml:space="preserve">       年   月   日           </w:t>
      </w:r>
    </w:p>
    <w:p>
      <w:pPr>
        <w:snapToGrid w:val="0"/>
        <w:spacing w:line="400" w:lineRule="exact"/>
        <w:ind w:firstLine="420" w:firstLineChars="200"/>
        <w:rPr>
          <w:rFonts w:ascii="宋体" w:hAnsi="宋体"/>
          <w:szCs w:val="21"/>
        </w:rPr>
      </w:pPr>
      <w:r>
        <w:rPr>
          <w:rFonts w:hint="eastAsia" w:ascii="宋体" w:hAnsi="宋体"/>
          <w:szCs w:val="21"/>
        </w:rPr>
        <w:t>根据《中华人民共和国政府采购法》、《中华人民共和国合同法》等法律、法规规定，按照招投标文件（采购文件）规定条款和中标（成交）供应商承诺，甲乙双方签订本合同。</w:t>
      </w:r>
    </w:p>
    <w:p>
      <w:pPr>
        <w:snapToGrid w:val="0"/>
        <w:spacing w:line="400" w:lineRule="exact"/>
        <w:ind w:firstLine="422" w:firstLineChars="200"/>
        <w:rPr>
          <w:rFonts w:ascii="宋体" w:hAnsi="宋体"/>
          <w:b/>
          <w:szCs w:val="21"/>
        </w:rPr>
      </w:pPr>
      <w:r>
        <w:rPr>
          <w:rFonts w:hint="eastAsia" w:ascii="宋体" w:hAnsi="宋体"/>
          <w:b/>
          <w:szCs w:val="21"/>
        </w:rPr>
        <w:t>第一条　合同标的</w:t>
      </w:r>
    </w:p>
    <w:p>
      <w:pPr>
        <w:snapToGrid w:val="0"/>
        <w:spacing w:line="400" w:lineRule="exact"/>
        <w:ind w:right="420" w:firstLine="420" w:firstLineChars="200"/>
        <w:rPr>
          <w:rFonts w:ascii="Times New Roman" w:hAnsi="宋体" w:cs="宋体"/>
        </w:rPr>
      </w:pPr>
      <w:r>
        <w:rPr>
          <w:rFonts w:hint="eastAsia" w:ascii="宋体" w:hAnsi="宋体"/>
          <w:szCs w:val="21"/>
        </w:rPr>
        <w:t>1、服务一览表</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2"/>
        <w:gridCol w:w="1075"/>
        <w:gridCol w:w="895"/>
        <w:gridCol w:w="2508"/>
        <w:gridCol w:w="791"/>
        <w:gridCol w:w="821"/>
        <w:gridCol w:w="1254"/>
        <w:gridCol w:w="14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cs="宋体"/>
                <w:spacing w:val="20"/>
                <w:szCs w:val="21"/>
              </w:rPr>
            </w:pPr>
            <w:r>
              <w:rPr>
                <w:rFonts w:hint="eastAsia" w:ascii="宋体" w:hAnsi="宋体" w:cs="宋体"/>
                <w:szCs w:val="21"/>
              </w:rPr>
              <w:t>序号</w:t>
            </w:r>
          </w:p>
        </w:tc>
        <w:tc>
          <w:tcPr>
            <w:tcW w:w="197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cs="宋体"/>
                <w:spacing w:val="20"/>
                <w:szCs w:val="21"/>
              </w:rPr>
            </w:pPr>
            <w:r>
              <w:rPr>
                <w:rFonts w:hint="eastAsia" w:ascii="宋体" w:hAnsi="宋体" w:cs="宋体"/>
                <w:szCs w:val="21"/>
              </w:rPr>
              <w:t>服务名称</w:t>
            </w:r>
          </w:p>
        </w:tc>
        <w:tc>
          <w:tcPr>
            <w:tcW w:w="250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cs="宋体"/>
                <w:spacing w:val="20"/>
                <w:szCs w:val="21"/>
              </w:rPr>
            </w:pPr>
            <w:r>
              <w:rPr>
                <w:rFonts w:hint="eastAsia" w:ascii="宋体" w:hAnsi="宋体" w:cs="宋体"/>
              </w:rPr>
              <w:t>服务项目要求</w:t>
            </w:r>
          </w:p>
        </w:tc>
        <w:tc>
          <w:tcPr>
            <w:tcW w:w="79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cs="宋体"/>
                <w:spacing w:val="20"/>
                <w:szCs w:val="21"/>
              </w:rPr>
            </w:pPr>
            <w:r>
              <w:rPr>
                <w:rFonts w:hint="eastAsia" w:ascii="宋体" w:hAnsi="宋体" w:cs="宋体"/>
                <w:szCs w:val="21"/>
              </w:rPr>
              <w:t>数量</w:t>
            </w:r>
          </w:p>
        </w:tc>
        <w:tc>
          <w:tcPr>
            <w:tcW w:w="82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cs="宋体"/>
                <w:spacing w:val="20"/>
                <w:szCs w:val="21"/>
              </w:rPr>
            </w:pPr>
            <w:r>
              <w:rPr>
                <w:rFonts w:hint="eastAsia" w:ascii="宋体" w:hAnsi="宋体" w:cs="宋体"/>
                <w:szCs w:val="21"/>
              </w:rPr>
              <w:t>单位</w:t>
            </w:r>
          </w:p>
        </w:tc>
        <w:tc>
          <w:tcPr>
            <w:tcW w:w="125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cs="宋体"/>
                <w:spacing w:val="20"/>
                <w:szCs w:val="21"/>
              </w:rPr>
            </w:pPr>
            <w:r>
              <w:rPr>
                <w:rFonts w:hint="eastAsia" w:ascii="宋体" w:hAnsi="宋体" w:cs="宋体"/>
                <w:szCs w:val="21"/>
              </w:rPr>
              <w:t>单价</w:t>
            </w:r>
          </w:p>
        </w:tc>
        <w:tc>
          <w:tcPr>
            <w:tcW w:w="143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cs="宋体"/>
                <w:spacing w:val="20"/>
                <w:szCs w:val="21"/>
              </w:rPr>
            </w:pPr>
            <w:r>
              <w:rPr>
                <w:rFonts w:hint="eastAsia" w:ascii="宋体" w:hAnsi="宋体" w:cs="宋体"/>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szCs w:val="21"/>
              </w:rPr>
            </w:pPr>
          </w:p>
        </w:tc>
        <w:tc>
          <w:tcPr>
            <w:tcW w:w="197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szCs w:val="21"/>
              </w:rPr>
            </w:pPr>
          </w:p>
        </w:tc>
        <w:tc>
          <w:tcPr>
            <w:tcW w:w="250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szCs w:val="21"/>
              </w:rPr>
            </w:pPr>
          </w:p>
        </w:tc>
        <w:tc>
          <w:tcPr>
            <w:tcW w:w="79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szCs w:val="21"/>
              </w:rPr>
            </w:pPr>
          </w:p>
        </w:tc>
        <w:tc>
          <w:tcPr>
            <w:tcW w:w="82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szCs w:val="21"/>
              </w:rPr>
            </w:pPr>
          </w:p>
        </w:tc>
        <w:tc>
          <w:tcPr>
            <w:tcW w:w="125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szCs w:val="21"/>
              </w:rPr>
            </w:pPr>
          </w:p>
        </w:tc>
        <w:tc>
          <w:tcPr>
            <w:tcW w:w="14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8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szCs w:val="21"/>
              </w:rPr>
            </w:pPr>
          </w:p>
        </w:tc>
        <w:tc>
          <w:tcPr>
            <w:tcW w:w="197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szCs w:val="21"/>
              </w:rPr>
            </w:pPr>
            <w:r>
              <w:rPr>
                <w:rFonts w:hint="eastAsia" w:ascii="宋体" w:hAnsi="宋体" w:cs="宋体"/>
                <w:spacing w:val="20"/>
                <w:szCs w:val="21"/>
              </w:rPr>
              <w:t>……</w:t>
            </w:r>
          </w:p>
        </w:tc>
        <w:tc>
          <w:tcPr>
            <w:tcW w:w="250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szCs w:val="21"/>
              </w:rPr>
            </w:pPr>
          </w:p>
        </w:tc>
        <w:tc>
          <w:tcPr>
            <w:tcW w:w="79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szCs w:val="21"/>
              </w:rPr>
            </w:pPr>
          </w:p>
        </w:tc>
        <w:tc>
          <w:tcPr>
            <w:tcW w:w="82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szCs w:val="21"/>
              </w:rPr>
            </w:pPr>
          </w:p>
        </w:tc>
        <w:tc>
          <w:tcPr>
            <w:tcW w:w="125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szCs w:val="21"/>
              </w:rPr>
            </w:pPr>
          </w:p>
        </w:tc>
        <w:tc>
          <w:tcPr>
            <w:tcW w:w="14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szCs w:val="21"/>
              </w:rPr>
            </w:pPr>
            <w:r>
              <w:rPr>
                <w:rFonts w:hint="eastAsia" w:ascii="宋体" w:hAnsi="宋体" w:cs="宋体"/>
                <w:spacing w:val="20"/>
                <w:szCs w:val="21"/>
              </w:rPr>
              <w:t>合计金额</w:t>
            </w:r>
          </w:p>
        </w:tc>
        <w:tc>
          <w:tcPr>
            <w:tcW w:w="7702"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cs="宋体"/>
                <w:spacing w:val="20"/>
                <w:szCs w:val="21"/>
              </w:rPr>
            </w:pPr>
            <w:r>
              <w:rPr>
                <w:rFonts w:hint="eastAsia" w:ascii="宋体" w:hAnsi="宋体" w:cs="宋体"/>
              </w:rPr>
              <w:t>大写：                                ¥</w:t>
            </w:r>
            <w:r>
              <w:rPr>
                <w:rFonts w:hint="eastAsia" w:ascii="宋体" w:hAnsi="宋体" w:cs="宋体"/>
                <w:u w:val="single"/>
              </w:rPr>
              <w:t xml:space="preserve">                      </w:t>
            </w:r>
          </w:p>
        </w:tc>
      </w:tr>
    </w:tbl>
    <w:p>
      <w:pPr>
        <w:snapToGrid w:val="0"/>
        <w:spacing w:line="400" w:lineRule="exact"/>
        <w:ind w:right="420" w:firstLine="420" w:firstLineChars="200"/>
        <w:rPr>
          <w:rFonts w:ascii="宋体" w:hAnsi="宋体"/>
          <w:szCs w:val="21"/>
        </w:rPr>
      </w:pPr>
      <w:r>
        <w:rPr>
          <w:rFonts w:hint="eastAsia" w:ascii="宋体" w:hAnsi="宋体"/>
          <w:szCs w:val="21"/>
        </w:rPr>
        <w:t>2、合同合计金额包括货物、服务价款，备件、专用工具、安装、调试、检验、技术培训及技术资料和包装、运输等全部费用。如招投标文件对其另有规定的，从其规定。</w:t>
      </w:r>
    </w:p>
    <w:p>
      <w:pPr>
        <w:snapToGrid w:val="0"/>
        <w:spacing w:line="400" w:lineRule="exact"/>
        <w:ind w:firstLine="422" w:firstLineChars="200"/>
        <w:rPr>
          <w:rFonts w:ascii="宋体" w:hAnsi="宋体"/>
          <w:szCs w:val="21"/>
        </w:rPr>
      </w:pPr>
      <w:r>
        <w:rPr>
          <w:rFonts w:hint="eastAsia" w:ascii="宋体" w:hAnsi="宋体"/>
          <w:b/>
          <w:szCs w:val="21"/>
        </w:rPr>
        <w:t>第二条　质量保证</w:t>
      </w:r>
    </w:p>
    <w:p>
      <w:pPr>
        <w:snapToGrid w:val="0"/>
        <w:spacing w:line="400" w:lineRule="exact"/>
        <w:ind w:firstLine="420" w:firstLineChars="200"/>
        <w:rPr>
          <w:rFonts w:ascii="宋体" w:hAnsi="宋体"/>
          <w:szCs w:val="21"/>
        </w:rPr>
      </w:pPr>
      <w:r>
        <w:rPr>
          <w:rFonts w:hint="eastAsia" w:ascii="宋体" w:hAnsi="宋体"/>
          <w:szCs w:val="21"/>
        </w:rPr>
        <w:t>1、乙方所提供的货物型号、技术规格、技术参数等质量必须与招投标文件和承诺相一致。乙方提供的自主创新产品、节能和环保产品必须是列入政府采购清单的产品。</w:t>
      </w:r>
    </w:p>
    <w:p>
      <w:pPr>
        <w:snapToGrid w:val="0"/>
        <w:spacing w:line="400" w:lineRule="exact"/>
        <w:ind w:firstLine="420" w:firstLineChars="200"/>
        <w:rPr>
          <w:rFonts w:ascii="宋体" w:hAnsi="宋体"/>
          <w:szCs w:val="21"/>
          <w:u w:val="single"/>
        </w:rPr>
      </w:pPr>
      <w:r>
        <w:rPr>
          <w:rFonts w:hint="eastAsia" w:ascii="宋体" w:hAnsi="宋体"/>
          <w:szCs w:val="21"/>
        </w:rPr>
        <w:t>2、乙方所提供的货物必须是全新、未使用的原装产品，且在正常安装、使用和保养条件下，其使用寿命期内各项指标均达到质量要求。</w:t>
      </w:r>
    </w:p>
    <w:p>
      <w:pPr>
        <w:snapToGrid w:val="0"/>
        <w:spacing w:line="400" w:lineRule="exact"/>
        <w:ind w:firstLine="422" w:firstLineChars="200"/>
        <w:rPr>
          <w:rFonts w:ascii="宋体" w:hAnsi="宋体"/>
          <w:szCs w:val="21"/>
        </w:rPr>
      </w:pPr>
      <w:r>
        <w:rPr>
          <w:rFonts w:hint="eastAsia" w:ascii="宋体" w:hAnsi="宋体"/>
          <w:b/>
          <w:szCs w:val="21"/>
        </w:rPr>
        <w:t>第三条　权利保证</w:t>
      </w:r>
    </w:p>
    <w:p>
      <w:pPr>
        <w:snapToGrid w:val="0"/>
        <w:spacing w:line="400" w:lineRule="exact"/>
        <w:ind w:firstLine="420" w:firstLineChars="200"/>
        <w:rPr>
          <w:rFonts w:ascii="宋体" w:hAnsi="宋体"/>
          <w:szCs w:val="21"/>
        </w:rPr>
      </w:pPr>
      <w:r>
        <w:rPr>
          <w:rFonts w:hint="eastAsia" w:ascii="宋体" w:hAnsi="宋体"/>
          <w:szCs w:val="21"/>
        </w:rPr>
        <w:t>乙方应保证所提供货物在使用时不会侵犯任何第三方的专利权、商标权、工业设计权或其他权利。</w:t>
      </w:r>
    </w:p>
    <w:p>
      <w:pPr>
        <w:snapToGrid w:val="0"/>
        <w:spacing w:line="400" w:lineRule="exact"/>
        <w:ind w:firstLine="420" w:firstLineChars="200"/>
        <w:rPr>
          <w:rFonts w:ascii="宋体" w:hAnsi="宋体"/>
          <w:szCs w:val="21"/>
        </w:rPr>
      </w:pPr>
      <w:r>
        <w:rPr>
          <w:rFonts w:hint="eastAsia" w:ascii="宋体" w:hAnsi="宋体"/>
          <w:szCs w:val="21"/>
        </w:rPr>
        <w:t>乙方应按招标文件规定的时间向甲方提供使用货物的有关技术资料。</w:t>
      </w:r>
    </w:p>
    <w:p>
      <w:pPr>
        <w:snapToGrid w:val="0"/>
        <w:spacing w:line="400" w:lineRule="exact"/>
        <w:ind w:firstLine="420" w:firstLineChars="200"/>
        <w:rPr>
          <w:rFonts w:ascii="宋体" w:hAnsi="宋体"/>
          <w:szCs w:val="21"/>
        </w:rPr>
      </w:pPr>
      <w:r>
        <w:rPr>
          <w:rFonts w:hint="eastAsia"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hAnsi="宋体"/>
          <w:szCs w:val="21"/>
        </w:rPr>
      </w:pPr>
      <w:r>
        <w:rPr>
          <w:rFonts w:hint="eastAsia" w:ascii="宋体" w:hAnsi="宋体"/>
          <w:szCs w:val="21"/>
        </w:rPr>
        <w:t>乙方保证所交付的货物的所有权完全属于乙方且无任何抵押、质押、查封等产权瑕疵。</w:t>
      </w:r>
    </w:p>
    <w:p>
      <w:pPr>
        <w:snapToGrid w:val="0"/>
        <w:spacing w:line="400" w:lineRule="exact"/>
        <w:ind w:firstLine="422" w:firstLineChars="200"/>
        <w:rPr>
          <w:rFonts w:ascii="宋体" w:hAnsi="宋体"/>
          <w:b/>
          <w:szCs w:val="21"/>
        </w:rPr>
      </w:pPr>
      <w:r>
        <w:rPr>
          <w:rFonts w:hint="eastAsia" w:ascii="宋体" w:hAnsi="宋体"/>
          <w:b/>
          <w:szCs w:val="21"/>
        </w:rPr>
        <w:t>第四条　包装和运输</w:t>
      </w:r>
    </w:p>
    <w:p>
      <w:pPr>
        <w:snapToGrid w:val="0"/>
        <w:spacing w:line="400" w:lineRule="exact"/>
        <w:ind w:firstLine="420" w:firstLineChars="200"/>
        <w:rPr>
          <w:rFonts w:ascii="宋体" w:hAnsi="宋体"/>
          <w:szCs w:val="21"/>
        </w:rPr>
      </w:pPr>
      <w:r>
        <w:rPr>
          <w:rFonts w:hint="eastAsia" w:ascii="宋体" w:hAnsi="宋体"/>
          <w:szCs w:val="21"/>
        </w:rPr>
        <w:t>1、乙方提供的货物均应按招投标文件要求的包装材料、包装标准、包装方式进行包装，每一包装单元内应附详细的装箱单和质量合格证。</w:t>
      </w:r>
    </w:p>
    <w:p>
      <w:pPr>
        <w:snapToGrid w:val="0"/>
        <w:spacing w:line="400" w:lineRule="exact"/>
        <w:ind w:firstLine="420" w:firstLineChars="200"/>
        <w:rPr>
          <w:rFonts w:ascii="宋体" w:hAnsi="宋体"/>
          <w:szCs w:val="21"/>
        </w:rPr>
      </w:pPr>
      <w:r>
        <w:rPr>
          <w:rFonts w:hint="eastAsia" w:ascii="宋体" w:hAnsi="宋体"/>
          <w:szCs w:val="21"/>
        </w:rPr>
        <w:t>2、货物的运输方式：</w:t>
      </w:r>
      <w:r>
        <w:rPr>
          <w:rFonts w:hint="eastAsia" w:ascii="宋体" w:hAnsi="宋体"/>
          <w:szCs w:val="21"/>
          <w:u w:val="single"/>
        </w:rPr>
        <w:t xml:space="preserve"> 不限 。</w:t>
      </w:r>
    </w:p>
    <w:p>
      <w:pPr>
        <w:snapToGrid w:val="0"/>
        <w:spacing w:line="400" w:lineRule="exact"/>
        <w:ind w:firstLine="420" w:firstLineChars="200"/>
        <w:rPr>
          <w:rFonts w:ascii="宋体" w:hAnsi="宋体"/>
          <w:b/>
          <w:szCs w:val="21"/>
        </w:rPr>
      </w:pPr>
      <w:r>
        <w:rPr>
          <w:rFonts w:hint="eastAsia" w:ascii="宋体" w:hAnsi="宋体"/>
          <w:szCs w:val="21"/>
        </w:rPr>
        <w:t>3、乙方负责货物运输，货物运输合理损耗及计算方法：</w:t>
      </w:r>
      <w:r>
        <w:rPr>
          <w:rFonts w:hint="eastAsia" w:ascii="宋体" w:hAnsi="宋体"/>
          <w:szCs w:val="21"/>
          <w:u w:val="single"/>
        </w:rPr>
        <w:t xml:space="preserve"> 不接受损耗  。</w:t>
      </w:r>
    </w:p>
    <w:p>
      <w:pPr>
        <w:snapToGrid w:val="0"/>
        <w:spacing w:line="400" w:lineRule="exact"/>
        <w:ind w:firstLine="422" w:firstLineChars="200"/>
        <w:rPr>
          <w:rFonts w:ascii="宋体" w:hAnsi="宋体"/>
          <w:szCs w:val="21"/>
        </w:rPr>
      </w:pPr>
      <w:r>
        <w:rPr>
          <w:rFonts w:hint="eastAsia" w:ascii="宋体" w:hAnsi="宋体"/>
          <w:b/>
          <w:szCs w:val="21"/>
        </w:rPr>
        <w:t>第五条　交付和验收</w:t>
      </w:r>
    </w:p>
    <w:p>
      <w:pPr>
        <w:snapToGrid w:val="0"/>
        <w:spacing w:line="400" w:lineRule="exact"/>
        <w:ind w:firstLine="420" w:firstLineChars="200"/>
        <w:rPr>
          <w:rFonts w:ascii="宋体" w:hAnsi="宋体"/>
          <w:szCs w:val="21"/>
        </w:rPr>
      </w:pPr>
      <w:r>
        <w:rPr>
          <w:rFonts w:hint="eastAsia" w:ascii="宋体" w:hAnsi="宋体"/>
          <w:szCs w:val="21"/>
        </w:rPr>
        <w:t>1、交货时间：</w:t>
      </w:r>
      <w:r>
        <w:rPr>
          <w:rFonts w:hint="eastAsia" w:ascii="宋体" w:hAnsi="宋体"/>
          <w:szCs w:val="21"/>
          <w:u w:val="single"/>
        </w:rPr>
        <w:t>按乙方投标文件承诺  。</w:t>
      </w:r>
    </w:p>
    <w:p>
      <w:pPr>
        <w:snapToGrid w:val="0"/>
        <w:spacing w:line="400" w:lineRule="exact"/>
        <w:ind w:firstLine="840" w:firstLineChars="400"/>
        <w:rPr>
          <w:rFonts w:ascii="宋体" w:hAnsi="宋体"/>
          <w:szCs w:val="21"/>
        </w:rPr>
      </w:pPr>
      <w:r>
        <w:rPr>
          <w:rFonts w:hint="eastAsia" w:ascii="宋体" w:hAnsi="宋体"/>
          <w:szCs w:val="21"/>
        </w:rPr>
        <w:t>地点：</w:t>
      </w:r>
      <w:r>
        <w:rPr>
          <w:rFonts w:hint="eastAsia" w:ascii="宋体" w:hAnsi="宋体" w:cs="宋体"/>
          <w:kern w:val="0"/>
          <w:szCs w:val="21"/>
          <w:u w:val="single"/>
        </w:rPr>
        <w:t>广西区内采购人指定地点</w:t>
      </w:r>
      <w:r>
        <w:rPr>
          <w:rFonts w:hint="eastAsia" w:ascii="宋体" w:hAnsi="宋体"/>
          <w:szCs w:val="21"/>
          <w:u w:val="single"/>
        </w:rPr>
        <w:t xml:space="preserve"> </w:t>
      </w:r>
      <w:r>
        <w:rPr>
          <w:rFonts w:hint="eastAsia" w:ascii="宋体" w:hAnsi="宋体"/>
          <w:szCs w:val="21"/>
        </w:rPr>
        <w:t>。</w:t>
      </w:r>
    </w:p>
    <w:p>
      <w:pPr>
        <w:snapToGrid w:val="0"/>
        <w:spacing w:line="400" w:lineRule="exact"/>
        <w:ind w:firstLine="420" w:firstLineChars="200"/>
        <w:rPr>
          <w:rFonts w:ascii="宋体" w:hAnsi="宋体"/>
          <w:szCs w:val="21"/>
        </w:rPr>
      </w:pPr>
      <w:r>
        <w:rPr>
          <w:rFonts w:hint="eastAsia" w:ascii="宋体" w:hAnsi="宋体"/>
          <w:szCs w:val="21"/>
        </w:rPr>
        <w:t>2、乙方提供不符合招投标文件和本合同规定的货物，甲方有权拒绝接受。</w:t>
      </w:r>
    </w:p>
    <w:p>
      <w:pPr>
        <w:snapToGrid w:val="0"/>
        <w:spacing w:line="400" w:lineRule="exact"/>
        <w:ind w:firstLine="420" w:firstLineChars="200"/>
        <w:rPr>
          <w:rFonts w:ascii="宋体" w:hAnsi="宋体"/>
          <w:szCs w:val="21"/>
        </w:rPr>
      </w:pPr>
      <w:r>
        <w:rPr>
          <w:rFonts w:hint="eastAsia" w:ascii="宋体" w:hAnsi="宋体"/>
          <w:szCs w:val="21"/>
        </w:rPr>
        <w:t>3、乙方应将所提供货物的装箱清单、用户手册、原厂保修卡、随机资料、工具和备品、备件等交付给甲方，货物属于进口产品的，供货时应同时附上中文使用说明书，如有缺失应及时补齐，否则视为逾期交货。</w:t>
      </w:r>
    </w:p>
    <w:p>
      <w:pPr>
        <w:snapToGrid w:val="0"/>
        <w:spacing w:line="400" w:lineRule="exact"/>
        <w:ind w:firstLine="420" w:firstLineChars="200"/>
        <w:rPr>
          <w:rFonts w:ascii="宋体" w:hAnsi="宋体"/>
          <w:szCs w:val="21"/>
        </w:rPr>
      </w:pPr>
      <w:r>
        <w:rPr>
          <w:rFonts w:hint="eastAsia" w:ascii="宋体" w:hAnsi="宋体"/>
          <w:szCs w:val="21"/>
        </w:rPr>
        <w:t>4、甲方应当在到货（安装、调试完）后七个工作日内进行验收，逾期不验收的，乙方可视同验收合格。验收合格后由甲乙双方签署货物验收单并加盖采购单位公章，甲乙双方各执一份。</w:t>
      </w:r>
    </w:p>
    <w:p>
      <w:pPr>
        <w:snapToGrid w:val="0"/>
        <w:spacing w:line="400" w:lineRule="exact"/>
        <w:ind w:firstLine="420" w:firstLineChars="200"/>
        <w:rPr>
          <w:rFonts w:ascii="宋体" w:hAnsi="宋体"/>
          <w:szCs w:val="21"/>
        </w:rPr>
      </w:pPr>
      <w:r>
        <w:rPr>
          <w:rFonts w:hint="eastAsia" w:ascii="宋体" w:hAnsi="宋体"/>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hAnsi="宋体"/>
          <w:szCs w:val="21"/>
        </w:rPr>
      </w:pPr>
      <w:r>
        <w:rPr>
          <w:rFonts w:hint="eastAsia" w:ascii="宋体" w:hAnsi="宋体"/>
          <w:szCs w:val="21"/>
        </w:rPr>
        <w:t>6、甲方对验收有异议的，在验收后五个工作日内以书面形式向乙方提出，乙方应自收到甲方书面异议后</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日内及时予以解决。</w:t>
      </w:r>
    </w:p>
    <w:p>
      <w:pPr>
        <w:snapToGrid w:val="0"/>
        <w:spacing w:line="400" w:lineRule="exact"/>
        <w:ind w:firstLine="422" w:firstLineChars="200"/>
        <w:rPr>
          <w:rFonts w:ascii="宋体" w:hAnsi="宋体"/>
          <w:b/>
          <w:szCs w:val="21"/>
        </w:rPr>
      </w:pPr>
      <w:r>
        <w:rPr>
          <w:rFonts w:hint="eastAsia" w:ascii="宋体" w:hAnsi="宋体"/>
          <w:b/>
          <w:szCs w:val="21"/>
        </w:rPr>
        <w:t>第六条　安装和培训</w:t>
      </w:r>
    </w:p>
    <w:p>
      <w:pPr>
        <w:snapToGrid w:val="0"/>
        <w:spacing w:line="400" w:lineRule="exact"/>
        <w:ind w:firstLine="420" w:firstLineChars="200"/>
        <w:rPr>
          <w:rFonts w:ascii="宋体" w:hAnsi="宋体"/>
          <w:szCs w:val="21"/>
        </w:rPr>
      </w:pPr>
      <w:r>
        <w:rPr>
          <w:rFonts w:hint="eastAsia" w:ascii="宋体" w:hAnsi="宋体"/>
          <w:szCs w:val="21"/>
        </w:rPr>
        <w:t>1. 甲方应提供必要安装条件（如场地、电源、水源等）。</w:t>
      </w:r>
    </w:p>
    <w:p>
      <w:pPr>
        <w:snapToGrid w:val="0"/>
        <w:spacing w:line="400" w:lineRule="exact"/>
        <w:ind w:firstLine="420" w:firstLineChars="200"/>
        <w:rPr>
          <w:rFonts w:ascii="宋体" w:hAnsi="宋体"/>
          <w:szCs w:val="21"/>
          <w:u w:val="single"/>
        </w:rPr>
      </w:pPr>
      <w:r>
        <w:rPr>
          <w:rFonts w:hint="eastAsia" w:ascii="宋体" w:hAnsi="宋体"/>
          <w:szCs w:val="21"/>
        </w:rPr>
        <w:t>2. 乙方负责甲方有关人员的培训。培训时间、地点：</w:t>
      </w:r>
      <w:r>
        <w:rPr>
          <w:rFonts w:hint="eastAsia" w:ascii="宋体" w:hAnsi="宋体"/>
          <w:szCs w:val="21"/>
          <w:u w:val="single"/>
        </w:rPr>
        <w:t xml:space="preserve">  按甲方要求  。</w:t>
      </w:r>
    </w:p>
    <w:p>
      <w:pPr>
        <w:snapToGrid w:val="0"/>
        <w:spacing w:line="400" w:lineRule="exact"/>
        <w:ind w:firstLine="422" w:firstLineChars="200"/>
        <w:rPr>
          <w:rFonts w:ascii="宋体" w:hAnsi="宋体"/>
          <w:b/>
          <w:szCs w:val="21"/>
        </w:rPr>
      </w:pPr>
      <w:r>
        <w:rPr>
          <w:rFonts w:hint="eastAsia" w:ascii="宋体" w:hAnsi="宋体"/>
          <w:b/>
          <w:szCs w:val="21"/>
        </w:rPr>
        <w:t>第七条  售后服务、质保期</w:t>
      </w:r>
    </w:p>
    <w:p>
      <w:pPr>
        <w:snapToGrid w:val="0"/>
        <w:spacing w:line="400" w:lineRule="exact"/>
        <w:ind w:firstLine="420" w:firstLineChars="200"/>
        <w:rPr>
          <w:rFonts w:ascii="宋体" w:hAnsi="宋体"/>
          <w:szCs w:val="21"/>
        </w:rPr>
      </w:pPr>
      <w:r>
        <w:rPr>
          <w:rFonts w:hint="eastAsia" w:ascii="宋体" w:hAnsi="宋体"/>
          <w:szCs w:val="21"/>
        </w:rPr>
        <w:t>1. 乙方应按照国家有关法律法规和“三包”规定，为甲方提供售后服务。</w:t>
      </w:r>
    </w:p>
    <w:p>
      <w:pPr>
        <w:snapToGrid w:val="0"/>
        <w:spacing w:line="400" w:lineRule="exact"/>
        <w:ind w:left="420"/>
        <w:rPr>
          <w:rFonts w:ascii="宋体" w:hAnsi="宋体"/>
          <w:szCs w:val="21"/>
        </w:rPr>
      </w:pPr>
      <w:r>
        <w:rPr>
          <w:rFonts w:hint="eastAsia" w:ascii="宋体" w:hAnsi="宋体"/>
          <w:szCs w:val="21"/>
        </w:rPr>
        <w:t>2. 质保期：自验收报告签订之日起一年（另有特别注明的除外）。</w:t>
      </w:r>
    </w:p>
    <w:p>
      <w:pPr>
        <w:widowControl/>
        <w:spacing w:line="400" w:lineRule="exact"/>
        <w:ind w:firstLine="424" w:firstLineChars="202"/>
        <w:jc w:val="left"/>
        <w:rPr>
          <w:rFonts w:ascii="宋体" w:hAnsi="宋体"/>
          <w:szCs w:val="21"/>
        </w:rPr>
      </w:pPr>
      <w:r>
        <w:rPr>
          <w:rFonts w:hint="eastAsia" w:ascii="宋体" w:hAnsi="宋体"/>
          <w:szCs w:val="21"/>
        </w:rPr>
        <w:t>3. 质保期要求：</w:t>
      </w:r>
    </w:p>
    <w:p>
      <w:pPr>
        <w:widowControl/>
        <w:spacing w:line="400" w:lineRule="exact"/>
        <w:ind w:firstLine="424" w:firstLineChars="202"/>
        <w:jc w:val="left"/>
        <w:rPr>
          <w:rFonts w:ascii="宋体" w:hAnsi="宋体"/>
          <w:szCs w:val="21"/>
        </w:rPr>
      </w:pPr>
      <w:r>
        <w:rPr>
          <w:rFonts w:hint="eastAsia" w:ascii="宋体" w:hAnsi="宋体"/>
          <w:szCs w:val="21"/>
        </w:rPr>
        <w:t>（1）质保期内，乙方应提供7*24小时技术支持服务。</w:t>
      </w:r>
    </w:p>
    <w:p>
      <w:pPr>
        <w:widowControl/>
        <w:spacing w:line="400" w:lineRule="exact"/>
        <w:ind w:firstLine="424" w:firstLineChars="202"/>
        <w:jc w:val="left"/>
        <w:rPr>
          <w:rFonts w:ascii="宋体" w:hAnsi="宋体"/>
          <w:szCs w:val="21"/>
        </w:rPr>
      </w:pPr>
      <w:r>
        <w:rPr>
          <w:rFonts w:hint="eastAsia" w:ascii="宋体" w:hAnsi="宋体"/>
          <w:szCs w:val="21"/>
        </w:rPr>
        <w:t>（2）接到甲方处理问题通知后</w:t>
      </w:r>
      <w:r>
        <w:rPr>
          <w:rFonts w:hint="eastAsia" w:ascii="宋体" w:hAnsi="宋体"/>
          <w:szCs w:val="21"/>
          <w:lang w:val="en-US" w:eastAsia="zh-CN"/>
        </w:rPr>
        <w:t>4小时内到达采购人指定现场</w:t>
      </w:r>
      <w:r>
        <w:rPr>
          <w:rFonts w:hint="eastAsia" w:ascii="宋体" w:hAnsi="宋体"/>
          <w:szCs w:val="21"/>
        </w:rPr>
        <w:t>。</w:t>
      </w:r>
    </w:p>
    <w:p>
      <w:pPr>
        <w:widowControl/>
        <w:spacing w:line="400" w:lineRule="exact"/>
        <w:ind w:firstLine="424" w:firstLineChars="202"/>
        <w:jc w:val="left"/>
        <w:rPr>
          <w:rFonts w:ascii="宋体" w:hAnsi="宋体"/>
          <w:szCs w:val="21"/>
        </w:rPr>
      </w:pPr>
      <w:r>
        <w:rPr>
          <w:rFonts w:hint="eastAsia" w:ascii="宋体" w:hAnsi="宋体"/>
          <w:szCs w:val="21"/>
        </w:rPr>
        <w:t>（3）在质保期内软件系统提供免费的维保服务，至少须包括：由于误操作等意外情况造成的数据库混乱，需对数据库或程序进行修复、整理、更换；由于系统环境造成的数据破坏，需对数据库进行修复、整理、更换；由于病毒和计算机系统软件的故障问题，需重新安装、调试软件和数据库的；因更换设备需进行软件的安装与调试。针对突发事件，如病毒入侵，使用时断电、误操作等，引发的数据危机，需提供数据紧急修复备份服务；定期电话和现场回访服务。</w:t>
      </w:r>
    </w:p>
    <w:p>
      <w:pPr>
        <w:widowControl/>
        <w:spacing w:line="400" w:lineRule="exact"/>
        <w:ind w:firstLine="424" w:firstLineChars="202"/>
        <w:jc w:val="left"/>
        <w:rPr>
          <w:rFonts w:ascii="Times New Roman" w:hAnsi="宋体"/>
          <w:szCs w:val="21"/>
        </w:rPr>
      </w:pPr>
      <w:r>
        <w:rPr>
          <w:rFonts w:hint="eastAsia" w:ascii="宋体" w:hAnsi="宋体"/>
          <w:szCs w:val="21"/>
        </w:rPr>
        <w:t>（4）在质保期内，硬件设备发生故障，乙方需按上条要求，在约定时间内修理，如因货品本身质量问题不能修复的，乙方应当进行免费更换；如因甲方操作不当等人为因素导致设备或零件损坏，由甲方负责出资更换配件维修。</w:t>
      </w:r>
      <w:r>
        <w:rPr>
          <w:rFonts w:hAnsi="宋体"/>
          <w:szCs w:val="21"/>
        </w:rPr>
        <w:t xml:space="preserve"> </w:t>
      </w:r>
    </w:p>
    <w:p>
      <w:pPr>
        <w:widowControl/>
        <w:spacing w:line="400" w:lineRule="exact"/>
        <w:ind w:firstLine="424" w:firstLineChars="202"/>
        <w:jc w:val="left"/>
        <w:rPr>
          <w:rFonts w:hAnsi="宋体"/>
          <w:szCs w:val="21"/>
        </w:rPr>
      </w:pPr>
      <w:r>
        <w:rPr>
          <w:rFonts w:hAnsi="宋体"/>
          <w:szCs w:val="21"/>
        </w:rPr>
        <w:t>4.</w:t>
      </w:r>
      <w:r>
        <w:rPr>
          <w:rFonts w:hint="eastAsia" w:ascii="宋体" w:hAnsi="宋体"/>
          <w:szCs w:val="21"/>
        </w:rPr>
        <w:t>超过质保期的，终生有偿维修。</w:t>
      </w:r>
    </w:p>
    <w:p>
      <w:pPr>
        <w:snapToGrid w:val="0"/>
        <w:spacing w:line="400" w:lineRule="exact"/>
        <w:ind w:firstLine="422" w:firstLineChars="200"/>
        <w:rPr>
          <w:rFonts w:ascii="宋体" w:hAnsi="宋体"/>
          <w:szCs w:val="21"/>
        </w:rPr>
      </w:pPr>
      <w:r>
        <w:rPr>
          <w:rFonts w:hint="eastAsia" w:ascii="宋体" w:hAnsi="宋体"/>
          <w:b/>
          <w:szCs w:val="21"/>
        </w:rPr>
        <w:t>第八条　付款方式</w:t>
      </w:r>
    </w:p>
    <w:p>
      <w:pPr>
        <w:pStyle w:val="27"/>
        <w:snapToGrid w:val="0"/>
        <w:spacing w:line="400" w:lineRule="exact"/>
        <w:ind w:firstLine="420" w:firstLineChars="200"/>
        <w:rPr>
          <w:rFonts w:hAnsi="宋体"/>
          <w:sz w:val="21"/>
        </w:rPr>
      </w:pPr>
      <w:r>
        <w:rPr>
          <w:rFonts w:hint="eastAsia" w:hAnsi="宋体"/>
          <w:bCs/>
          <w:sz w:val="21"/>
        </w:rPr>
        <w:t xml:space="preserve">1. </w:t>
      </w:r>
      <w:r>
        <w:rPr>
          <w:rFonts w:hint="eastAsia" w:hAnsi="宋体"/>
          <w:sz w:val="21"/>
        </w:rPr>
        <w:t>当采购数量与实际使用数量不一致时，乙方应根据实际使用量供货，合同的最终结算金额按实际使用量乘以成交单价进行计算。</w:t>
      </w:r>
    </w:p>
    <w:p>
      <w:pPr>
        <w:pStyle w:val="27"/>
        <w:snapToGrid w:val="0"/>
        <w:spacing w:line="400" w:lineRule="exact"/>
        <w:ind w:firstLine="420" w:firstLineChars="200"/>
        <w:rPr>
          <w:rFonts w:hAnsi="宋体"/>
          <w:sz w:val="21"/>
          <w:u w:val="single"/>
        </w:rPr>
      </w:pPr>
      <w:r>
        <w:rPr>
          <w:rFonts w:hint="eastAsia" w:hAnsi="宋体"/>
          <w:sz w:val="21"/>
        </w:rPr>
        <w:t>2. 资金性质：</w:t>
      </w:r>
      <w:r>
        <w:rPr>
          <w:rFonts w:hint="eastAsia" w:hAnsi="宋体"/>
          <w:sz w:val="21"/>
          <w:u w:val="single"/>
        </w:rPr>
        <w:t xml:space="preserve">    财政资金 。</w:t>
      </w:r>
    </w:p>
    <w:p>
      <w:pPr>
        <w:ind w:firstLine="420" w:firstLineChars="200"/>
        <w:rPr>
          <w:rFonts w:hAnsi="Times New Roman"/>
          <w:u w:val="single"/>
        </w:rPr>
      </w:pPr>
      <w:r>
        <w:rPr>
          <w:rFonts w:hint="eastAsia" w:ascii="宋体" w:hAnsi="宋体"/>
          <w:szCs w:val="21"/>
        </w:rPr>
        <w:t>3. 付款方式：</w:t>
      </w:r>
      <w:r>
        <w:rPr>
          <w:rFonts w:hint="eastAsia"/>
          <w:u w:val="single"/>
        </w:rPr>
        <w:t>签署本合同后</w:t>
      </w:r>
      <w:r>
        <w:rPr>
          <w:u w:val="single"/>
        </w:rPr>
        <w:t>7</w:t>
      </w:r>
      <w:r>
        <w:rPr>
          <w:rFonts w:hint="eastAsia"/>
          <w:u w:val="single"/>
        </w:rPr>
        <w:t>个工作日内，甲方向乙方支付合同总金额3</w:t>
      </w:r>
      <w:r>
        <w:rPr>
          <w:u w:val="single"/>
        </w:rPr>
        <w:t>0%</w:t>
      </w:r>
      <w:r>
        <w:rPr>
          <w:rFonts w:hint="eastAsia"/>
          <w:u w:val="single"/>
        </w:rPr>
        <w:t>的预付款；本合同项下所有设备到货并经甲方签字确认后，</w:t>
      </w:r>
      <w:r>
        <w:rPr>
          <w:u w:val="single"/>
        </w:rPr>
        <w:t>7</w:t>
      </w:r>
      <w:r>
        <w:rPr>
          <w:rFonts w:hint="eastAsia"/>
          <w:u w:val="single"/>
        </w:rPr>
        <w:t>个工作日内甲方向乙方支付合同总金额的5</w:t>
      </w:r>
      <w:r>
        <w:rPr>
          <w:u w:val="single"/>
        </w:rPr>
        <w:t>0%</w:t>
      </w:r>
      <w:r>
        <w:rPr>
          <w:rFonts w:hint="eastAsia"/>
          <w:u w:val="single"/>
        </w:rPr>
        <w:t>；系统正式上线经甲方验收合格（以甲方签字确认的验收报告为准）后</w:t>
      </w:r>
      <w:r>
        <w:rPr>
          <w:u w:val="single"/>
        </w:rPr>
        <w:t>7</w:t>
      </w:r>
      <w:r>
        <w:rPr>
          <w:rFonts w:hint="eastAsia"/>
          <w:u w:val="single"/>
        </w:rPr>
        <w:t>个工作日内，甲方向乙方支付合同总金额的</w:t>
      </w:r>
      <w:r>
        <w:rPr>
          <w:u w:val="single"/>
        </w:rPr>
        <w:t>15%</w:t>
      </w:r>
      <w:r>
        <w:rPr>
          <w:rFonts w:hint="eastAsia"/>
          <w:u w:val="single"/>
        </w:rPr>
        <w:t>；合同总金额的</w:t>
      </w:r>
      <w:r>
        <w:rPr>
          <w:u w:val="single"/>
        </w:rPr>
        <w:t>5%</w:t>
      </w:r>
      <w:r>
        <w:rPr>
          <w:rFonts w:hint="eastAsia"/>
          <w:u w:val="single"/>
        </w:rPr>
        <w:t>作为质保金，质保期满后，由乙方向甲方提出申请后</w:t>
      </w:r>
      <w:r>
        <w:rPr>
          <w:u w:val="single"/>
        </w:rPr>
        <w:t>7</w:t>
      </w:r>
      <w:r>
        <w:rPr>
          <w:rFonts w:hint="eastAsia"/>
          <w:u w:val="single"/>
        </w:rPr>
        <w:t>个工作日内，甲方向乙方结清余款。</w:t>
      </w:r>
    </w:p>
    <w:p>
      <w:pPr>
        <w:snapToGrid w:val="0"/>
        <w:spacing w:line="400" w:lineRule="exact"/>
        <w:ind w:left="-61" w:leftChars="-29" w:firstLine="487" w:firstLineChars="231"/>
        <w:rPr>
          <w:rFonts w:ascii="宋体" w:hAnsi="宋体"/>
          <w:b/>
          <w:szCs w:val="21"/>
        </w:rPr>
      </w:pPr>
      <w:r>
        <w:rPr>
          <w:rFonts w:hint="eastAsia" w:ascii="宋体" w:hAnsi="宋体"/>
          <w:b/>
          <w:szCs w:val="21"/>
        </w:rPr>
        <w:t>第九条  税费</w:t>
      </w:r>
    </w:p>
    <w:p>
      <w:pPr>
        <w:snapToGrid w:val="0"/>
        <w:spacing w:line="400" w:lineRule="exact"/>
        <w:ind w:left="-61" w:firstLine="514"/>
        <w:rPr>
          <w:rFonts w:ascii="宋体" w:hAnsi="宋体"/>
          <w:szCs w:val="21"/>
        </w:rPr>
      </w:pPr>
      <w:r>
        <w:rPr>
          <w:rFonts w:hint="eastAsia" w:ascii="宋体" w:hAnsi="宋体"/>
          <w:szCs w:val="21"/>
        </w:rPr>
        <w:t>本合同执行中相关的一切税费均由乙方负担。</w:t>
      </w:r>
    </w:p>
    <w:p>
      <w:pPr>
        <w:snapToGrid w:val="0"/>
        <w:spacing w:line="400" w:lineRule="exact"/>
        <w:ind w:left="-61" w:firstLine="514"/>
        <w:rPr>
          <w:rFonts w:ascii="宋体" w:hAnsi="宋体"/>
          <w:szCs w:val="21"/>
        </w:rPr>
      </w:pPr>
      <w:r>
        <w:rPr>
          <w:rFonts w:hint="eastAsia" w:ascii="宋体" w:hAnsi="宋体"/>
          <w:b/>
          <w:szCs w:val="21"/>
        </w:rPr>
        <w:t>第十条  调试和验收</w:t>
      </w:r>
    </w:p>
    <w:p>
      <w:pPr>
        <w:pStyle w:val="27"/>
        <w:snapToGrid w:val="0"/>
        <w:spacing w:line="400" w:lineRule="exact"/>
        <w:ind w:firstLine="420" w:firstLineChars="200"/>
        <w:jc w:val="left"/>
        <w:rPr>
          <w:rFonts w:hAnsi="宋体"/>
          <w:sz w:val="21"/>
        </w:rPr>
      </w:pPr>
      <w:r>
        <w:rPr>
          <w:rFonts w:hint="eastAsia" w:hAnsi="宋体"/>
          <w:sz w:val="21"/>
        </w:rPr>
        <w:t>1. 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27"/>
        <w:snapToGrid w:val="0"/>
        <w:spacing w:line="400" w:lineRule="exact"/>
        <w:ind w:firstLine="420" w:firstLineChars="200"/>
        <w:rPr>
          <w:rFonts w:hAnsi="宋体"/>
          <w:sz w:val="21"/>
        </w:rPr>
      </w:pPr>
      <w:r>
        <w:rPr>
          <w:rFonts w:hint="eastAsia" w:hAnsi="宋体"/>
          <w:sz w:val="21"/>
        </w:rPr>
        <w:t>2. 乙方交货前应对产品作出全面检查和对验收文件进行整理，并列出清单，作为甲方收货验收和使用的技术条件依据，检验的结果应随货物交甲方。</w:t>
      </w:r>
    </w:p>
    <w:p>
      <w:pPr>
        <w:pStyle w:val="27"/>
        <w:snapToGrid w:val="0"/>
        <w:spacing w:line="400" w:lineRule="exact"/>
        <w:ind w:firstLine="420" w:firstLineChars="200"/>
        <w:rPr>
          <w:rFonts w:hAnsi="宋体"/>
          <w:sz w:val="21"/>
        </w:rPr>
      </w:pPr>
      <w:r>
        <w:rPr>
          <w:rFonts w:hint="eastAsia" w:hAnsi="宋体"/>
          <w:sz w:val="21"/>
        </w:rPr>
        <w:t>3. 甲方对乙方提供的货物在使用前进行调试时，乙方需负责安装并培训甲方的使用操作人员，并协助甲方一起调试，直到符合技术要求，甲方才做最终验收。</w:t>
      </w:r>
    </w:p>
    <w:p>
      <w:pPr>
        <w:pStyle w:val="27"/>
        <w:snapToGrid w:val="0"/>
        <w:spacing w:line="400" w:lineRule="exact"/>
        <w:ind w:firstLine="420" w:firstLineChars="200"/>
        <w:rPr>
          <w:rFonts w:hAnsi="宋体"/>
          <w:sz w:val="21"/>
        </w:rPr>
      </w:pPr>
      <w:r>
        <w:rPr>
          <w:rFonts w:hint="eastAsia" w:hAnsi="宋体"/>
          <w:sz w:val="21"/>
        </w:rPr>
        <w:t>4. 对技术复杂的货物，甲方应请国家认可的专业检测机构参与初步验收及最终验收，并由其出具质量检测报告。</w:t>
      </w:r>
    </w:p>
    <w:p>
      <w:pPr>
        <w:snapToGrid w:val="0"/>
        <w:spacing w:line="400" w:lineRule="exact"/>
        <w:ind w:left="-61" w:firstLine="514"/>
        <w:rPr>
          <w:rFonts w:ascii="宋体" w:hAnsi="宋体"/>
          <w:szCs w:val="21"/>
        </w:rPr>
      </w:pPr>
      <w:r>
        <w:rPr>
          <w:rFonts w:hint="eastAsia" w:ascii="宋体" w:hAnsi="宋体"/>
          <w:szCs w:val="21"/>
        </w:rPr>
        <w:t>5. 验收时乙方必须在现场，验收完毕后作出验收结果报告；验收费用由乙方负责。</w:t>
      </w:r>
    </w:p>
    <w:p>
      <w:pPr>
        <w:pStyle w:val="27"/>
        <w:snapToGrid w:val="0"/>
        <w:spacing w:line="400" w:lineRule="exact"/>
        <w:ind w:firstLine="413" w:firstLineChars="196"/>
        <w:rPr>
          <w:rFonts w:hAnsi="宋体"/>
          <w:b/>
          <w:sz w:val="21"/>
        </w:rPr>
      </w:pPr>
      <w:r>
        <w:rPr>
          <w:rFonts w:hint="eastAsia" w:hAnsi="宋体"/>
          <w:b/>
          <w:sz w:val="21"/>
        </w:rPr>
        <w:t>第十一条  货物包装、发运及运输</w:t>
      </w:r>
    </w:p>
    <w:p>
      <w:pPr>
        <w:pStyle w:val="27"/>
        <w:snapToGrid w:val="0"/>
        <w:spacing w:line="400" w:lineRule="exact"/>
        <w:ind w:firstLine="420" w:firstLineChars="200"/>
        <w:rPr>
          <w:rFonts w:hAnsi="宋体"/>
          <w:sz w:val="21"/>
        </w:rPr>
      </w:pPr>
      <w:r>
        <w:rPr>
          <w:rFonts w:hint="eastAsia" w:hAnsi="宋体"/>
          <w:sz w:val="21"/>
        </w:rPr>
        <w:t>1. 乙方应在货物发运前对其进行满足运输距离、防潮、防震、防锈和防破损装卸等要求包装，以保证货物安全运达甲方指定地点。</w:t>
      </w:r>
    </w:p>
    <w:p>
      <w:pPr>
        <w:pStyle w:val="27"/>
        <w:snapToGrid w:val="0"/>
        <w:spacing w:line="400" w:lineRule="exact"/>
        <w:ind w:firstLine="420" w:firstLineChars="200"/>
        <w:rPr>
          <w:rFonts w:hAnsi="宋体"/>
          <w:sz w:val="21"/>
        </w:rPr>
      </w:pPr>
      <w:r>
        <w:rPr>
          <w:rFonts w:hint="eastAsia" w:hAnsi="宋体"/>
          <w:sz w:val="21"/>
        </w:rPr>
        <w:t>2. 使用说明书、质量检验证明书、随配附件和工具以及清单一并附于货物内。</w:t>
      </w:r>
    </w:p>
    <w:p>
      <w:pPr>
        <w:pStyle w:val="27"/>
        <w:snapToGrid w:val="0"/>
        <w:spacing w:line="400" w:lineRule="exact"/>
        <w:ind w:firstLine="420" w:firstLineChars="200"/>
        <w:rPr>
          <w:rFonts w:hAnsi="宋体"/>
          <w:sz w:val="21"/>
        </w:rPr>
      </w:pPr>
      <w:r>
        <w:rPr>
          <w:rFonts w:hint="eastAsia" w:hAnsi="宋体"/>
          <w:sz w:val="21"/>
        </w:rPr>
        <w:t>3. 乙方在货物发运手续办理完毕后二十四小时内或货到甲方四十八小时前通知甲方，以准备接货。</w:t>
      </w:r>
    </w:p>
    <w:p>
      <w:pPr>
        <w:pStyle w:val="27"/>
        <w:snapToGrid w:val="0"/>
        <w:spacing w:line="400" w:lineRule="exact"/>
        <w:ind w:firstLine="420" w:firstLineChars="200"/>
        <w:rPr>
          <w:rFonts w:hAnsi="宋体"/>
          <w:sz w:val="21"/>
        </w:rPr>
      </w:pPr>
      <w:r>
        <w:rPr>
          <w:rFonts w:hint="eastAsia" w:hAnsi="宋体"/>
          <w:sz w:val="21"/>
        </w:rPr>
        <w:t>4. 货物在交付甲方前发生的风险均由乙方负责。</w:t>
      </w:r>
    </w:p>
    <w:p>
      <w:pPr>
        <w:pStyle w:val="27"/>
        <w:snapToGrid w:val="0"/>
        <w:spacing w:line="400" w:lineRule="exact"/>
        <w:ind w:firstLine="420" w:firstLineChars="200"/>
        <w:rPr>
          <w:rFonts w:hAnsi="宋体"/>
          <w:sz w:val="21"/>
        </w:rPr>
      </w:pPr>
      <w:r>
        <w:rPr>
          <w:rFonts w:hint="eastAsia" w:hAnsi="宋体"/>
          <w:sz w:val="21"/>
        </w:rPr>
        <w:t>5. 货物在规</w:t>
      </w:r>
      <w:r>
        <w:rPr>
          <w:rFonts w:hint="eastAsia" w:hAnsi="宋体"/>
          <w:spacing w:val="-8"/>
          <w:sz w:val="21"/>
        </w:rPr>
        <w:t>定的交付期限内由乙方送达甲方指定的地点视为交付，乙方同时需通知甲方货物已送达。</w:t>
      </w:r>
    </w:p>
    <w:p>
      <w:pPr>
        <w:snapToGrid w:val="0"/>
        <w:spacing w:line="400" w:lineRule="exact"/>
        <w:ind w:firstLine="422" w:firstLineChars="200"/>
        <w:rPr>
          <w:rFonts w:ascii="宋体" w:hAnsi="宋体"/>
          <w:b/>
          <w:szCs w:val="21"/>
        </w:rPr>
      </w:pPr>
      <w:r>
        <w:rPr>
          <w:rFonts w:hint="eastAsia" w:ascii="宋体" w:hAnsi="宋体"/>
          <w:b/>
          <w:szCs w:val="21"/>
        </w:rPr>
        <w:t>第十二条　违约责任</w:t>
      </w:r>
    </w:p>
    <w:p>
      <w:pPr>
        <w:pStyle w:val="27"/>
        <w:snapToGrid w:val="0"/>
        <w:spacing w:line="400" w:lineRule="exact"/>
        <w:ind w:firstLine="420" w:firstLineChars="200"/>
        <w:rPr>
          <w:rFonts w:hAnsi="宋体"/>
          <w:sz w:val="21"/>
        </w:rPr>
      </w:pPr>
      <w:r>
        <w:rPr>
          <w:rFonts w:hint="eastAsia" w:hAnsi="宋体"/>
          <w:sz w:val="21"/>
        </w:rPr>
        <w:t>1.甲乙双方任何一方出现违约行为按违约货款额1%向对方赔偿违约金。</w:t>
      </w:r>
    </w:p>
    <w:p>
      <w:pPr>
        <w:pStyle w:val="27"/>
        <w:snapToGrid w:val="0"/>
        <w:spacing w:line="400" w:lineRule="exact"/>
        <w:ind w:firstLine="413" w:firstLineChars="196"/>
        <w:rPr>
          <w:rFonts w:hAnsi="宋体"/>
          <w:b/>
          <w:sz w:val="21"/>
        </w:rPr>
      </w:pPr>
      <w:r>
        <w:rPr>
          <w:rFonts w:hint="eastAsia" w:hAnsi="宋体"/>
          <w:b/>
          <w:sz w:val="21"/>
        </w:rPr>
        <w:t>第十三条  不可抗力事件处理</w:t>
      </w:r>
    </w:p>
    <w:p>
      <w:pPr>
        <w:pStyle w:val="27"/>
        <w:snapToGrid w:val="0"/>
        <w:spacing w:line="400" w:lineRule="exact"/>
        <w:ind w:firstLine="420" w:firstLineChars="200"/>
        <w:rPr>
          <w:rFonts w:hAnsi="宋体"/>
          <w:sz w:val="21"/>
        </w:rPr>
      </w:pPr>
      <w:r>
        <w:rPr>
          <w:rFonts w:hint="eastAsia" w:hAnsi="宋体"/>
          <w:sz w:val="21"/>
        </w:rPr>
        <w:t>1. 在合同有效期内，任何一方因不可抗力事件导致不能履行合同，则合同履行期可延长，其延长期与不可抗力影响期相同。</w:t>
      </w:r>
    </w:p>
    <w:p>
      <w:pPr>
        <w:pStyle w:val="27"/>
        <w:snapToGrid w:val="0"/>
        <w:spacing w:line="400" w:lineRule="exact"/>
        <w:ind w:firstLine="420" w:firstLineChars="200"/>
        <w:rPr>
          <w:rFonts w:hAnsi="宋体"/>
          <w:sz w:val="21"/>
        </w:rPr>
      </w:pPr>
      <w:r>
        <w:rPr>
          <w:rFonts w:hint="eastAsia" w:hAnsi="宋体"/>
          <w:sz w:val="21"/>
        </w:rPr>
        <w:t>2. 不可抗力事件发生后，应立即通知对方，并寄送有关权威机构出具的证明。</w:t>
      </w:r>
    </w:p>
    <w:p>
      <w:pPr>
        <w:snapToGrid w:val="0"/>
        <w:spacing w:line="400" w:lineRule="exact"/>
        <w:ind w:left="-61" w:firstLine="514"/>
        <w:rPr>
          <w:rFonts w:ascii="宋体" w:hAnsi="宋体"/>
          <w:szCs w:val="21"/>
        </w:rPr>
      </w:pPr>
      <w:r>
        <w:rPr>
          <w:rFonts w:hint="eastAsia" w:ascii="宋体" w:hAnsi="宋体"/>
          <w:szCs w:val="21"/>
        </w:rPr>
        <w:t>3. 不可抗力事件延续一百二十天以上，双方应通过友好协商，确定是否继续履行合同。</w:t>
      </w:r>
    </w:p>
    <w:p>
      <w:pPr>
        <w:snapToGrid w:val="0"/>
        <w:spacing w:line="400" w:lineRule="exact"/>
        <w:ind w:firstLine="422" w:firstLineChars="200"/>
        <w:rPr>
          <w:rFonts w:ascii="宋体" w:hAnsi="宋体"/>
          <w:szCs w:val="21"/>
        </w:rPr>
      </w:pPr>
      <w:r>
        <w:rPr>
          <w:rFonts w:hint="eastAsia" w:ascii="宋体" w:hAnsi="宋体"/>
          <w:b/>
          <w:szCs w:val="21"/>
        </w:rPr>
        <w:t>第十四条  合同争议解决</w:t>
      </w:r>
    </w:p>
    <w:p>
      <w:pPr>
        <w:snapToGrid w:val="0"/>
        <w:spacing w:line="400" w:lineRule="exact"/>
        <w:ind w:firstLine="420" w:firstLineChars="200"/>
        <w:rPr>
          <w:rFonts w:ascii="宋体" w:hAnsi="宋体"/>
          <w:szCs w:val="21"/>
        </w:rPr>
      </w:pPr>
      <w:r>
        <w:rPr>
          <w:rFonts w:hint="eastAsia" w:ascii="宋体" w:hAnsi="宋体"/>
          <w:szCs w:val="21"/>
        </w:rPr>
        <w:t>1. 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20" w:firstLineChars="200"/>
        <w:rPr>
          <w:rFonts w:ascii="宋体" w:hAnsi="宋体"/>
          <w:szCs w:val="21"/>
        </w:rPr>
      </w:pPr>
      <w:r>
        <w:rPr>
          <w:rFonts w:hint="eastAsia" w:ascii="宋体" w:hAnsi="宋体"/>
          <w:szCs w:val="21"/>
        </w:rPr>
        <w:t>2. 因履行本合同引起的或与本合同有关的争议，甲乙双方应首先通过友好协商解决，如果协商不能解决，可向甲方所在地人民法院提起诉讼。</w:t>
      </w:r>
    </w:p>
    <w:p>
      <w:pPr>
        <w:snapToGrid w:val="0"/>
        <w:spacing w:line="400" w:lineRule="exact"/>
        <w:ind w:left="-61" w:firstLine="514"/>
        <w:rPr>
          <w:rFonts w:ascii="宋体" w:hAnsi="宋体"/>
          <w:szCs w:val="21"/>
        </w:rPr>
      </w:pPr>
      <w:r>
        <w:rPr>
          <w:rFonts w:hint="eastAsia" w:ascii="宋体" w:hAnsi="宋体"/>
          <w:szCs w:val="21"/>
        </w:rPr>
        <w:t>3. 诉讼期间，本合同继续履行。</w:t>
      </w:r>
    </w:p>
    <w:p>
      <w:pPr>
        <w:pStyle w:val="27"/>
        <w:snapToGrid w:val="0"/>
        <w:spacing w:line="400" w:lineRule="exact"/>
        <w:ind w:firstLine="394" w:firstLineChars="196"/>
        <w:rPr>
          <w:rFonts w:hAnsi="宋体"/>
          <w:b/>
        </w:rPr>
      </w:pPr>
      <w:r>
        <w:rPr>
          <w:rFonts w:hint="eastAsia" w:hAnsi="宋体"/>
          <w:b/>
        </w:rPr>
        <w:t>第十五条  保密</w:t>
      </w:r>
    </w:p>
    <w:p>
      <w:pPr>
        <w:pStyle w:val="27"/>
        <w:snapToGrid w:val="0"/>
        <w:spacing w:line="400" w:lineRule="exact"/>
        <w:ind w:firstLine="411" w:firstLineChars="196"/>
        <w:rPr>
          <w:rFonts w:hAnsi="宋体"/>
          <w:kern w:val="2"/>
          <w:sz w:val="21"/>
        </w:rPr>
      </w:pPr>
      <w:r>
        <w:rPr>
          <w:rFonts w:hint="eastAsia" w:hAnsi="宋体"/>
          <w:kern w:val="2"/>
          <w:sz w:val="21"/>
        </w:rPr>
        <w:t xml:space="preserve">为确保业务信息的安全，甲乙双方任何一方必须对本项目所有项目信息予以保密，未经对方书面许可，任何一方不得以任何形式向第三方透露本项目的任何内容。 </w:t>
      </w:r>
    </w:p>
    <w:p>
      <w:pPr>
        <w:pStyle w:val="27"/>
        <w:snapToGrid w:val="0"/>
        <w:spacing w:line="400" w:lineRule="exact"/>
        <w:ind w:firstLine="413" w:firstLineChars="196"/>
        <w:rPr>
          <w:rFonts w:hAnsi="宋体"/>
          <w:b/>
          <w:sz w:val="21"/>
        </w:rPr>
      </w:pPr>
      <w:r>
        <w:rPr>
          <w:rFonts w:hint="eastAsia" w:hAnsi="宋体"/>
          <w:b/>
          <w:sz w:val="21"/>
        </w:rPr>
        <w:t>第十六条  合同生效及其它</w:t>
      </w:r>
    </w:p>
    <w:p>
      <w:pPr>
        <w:pStyle w:val="27"/>
        <w:snapToGrid w:val="0"/>
        <w:spacing w:line="400" w:lineRule="exact"/>
        <w:ind w:firstLine="420" w:firstLineChars="200"/>
        <w:rPr>
          <w:rFonts w:hAnsi="宋体"/>
          <w:bCs/>
          <w:sz w:val="21"/>
        </w:rPr>
      </w:pPr>
      <w:r>
        <w:rPr>
          <w:rFonts w:hint="eastAsia" w:hAnsi="宋体"/>
          <w:bCs/>
          <w:sz w:val="21"/>
        </w:rPr>
        <w:t>1. 合同经双方法定代表人或被授权代表签字并加盖单位公章后生效。</w:t>
      </w:r>
    </w:p>
    <w:p>
      <w:pPr>
        <w:pStyle w:val="27"/>
        <w:snapToGrid w:val="0"/>
        <w:spacing w:line="400" w:lineRule="exact"/>
        <w:ind w:firstLine="420" w:firstLineChars="200"/>
        <w:rPr>
          <w:rFonts w:hAnsi="宋体"/>
          <w:bCs/>
          <w:sz w:val="21"/>
        </w:rPr>
      </w:pPr>
      <w:r>
        <w:rPr>
          <w:rFonts w:hint="eastAsia" w:hAnsi="宋体"/>
          <w:bCs/>
          <w:sz w:val="21"/>
        </w:rPr>
        <w:t>2.合同执行中涉及采购资金和采购内容修改或补充的，须经财政部门审批，并签书面补充协议报财政部门备案，方可作为主合同不可分割的一部分。</w:t>
      </w:r>
    </w:p>
    <w:p>
      <w:pPr>
        <w:pStyle w:val="27"/>
        <w:snapToGrid w:val="0"/>
        <w:spacing w:line="400" w:lineRule="exact"/>
        <w:ind w:left="420" w:leftChars="200"/>
        <w:rPr>
          <w:rFonts w:hAnsi="宋体"/>
          <w:bCs/>
          <w:sz w:val="21"/>
        </w:rPr>
      </w:pPr>
      <w:r>
        <w:rPr>
          <w:rFonts w:hint="eastAsia" w:hAnsi="宋体"/>
          <w:bCs/>
          <w:sz w:val="21"/>
        </w:rPr>
        <w:t>3.本合同未尽事宜，遵照《合同法》有关条文执行。</w:t>
      </w:r>
    </w:p>
    <w:p>
      <w:pPr>
        <w:snapToGrid w:val="0"/>
        <w:spacing w:line="400" w:lineRule="exact"/>
        <w:ind w:firstLine="422" w:firstLineChars="200"/>
        <w:rPr>
          <w:rFonts w:ascii="宋体" w:hAnsi="宋体"/>
          <w:b/>
          <w:szCs w:val="21"/>
        </w:rPr>
      </w:pPr>
      <w:r>
        <w:rPr>
          <w:rFonts w:hint="eastAsia" w:ascii="宋体" w:hAnsi="宋体"/>
          <w:b/>
          <w:szCs w:val="21"/>
        </w:rPr>
        <w:t>第十七条　合同的变更、终止与转让</w:t>
      </w:r>
    </w:p>
    <w:p>
      <w:pPr>
        <w:snapToGrid w:val="0"/>
        <w:spacing w:line="400" w:lineRule="exact"/>
        <w:ind w:firstLine="420" w:firstLineChars="200"/>
        <w:rPr>
          <w:rFonts w:ascii="宋体" w:hAnsi="宋体"/>
          <w:szCs w:val="21"/>
        </w:rPr>
      </w:pPr>
      <w:r>
        <w:rPr>
          <w:rFonts w:hint="eastAsia" w:ascii="宋体" w:hAnsi="宋体"/>
          <w:szCs w:val="21"/>
        </w:rPr>
        <w:t>1. 除《中华人民共和国政府采购法》第五十条规定的情形外，本合同一经签订，甲乙双方不得擅自变更、中止或终止。</w:t>
      </w:r>
    </w:p>
    <w:p>
      <w:pPr>
        <w:snapToGrid w:val="0"/>
        <w:spacing w:line="400" w:lineRule="exact"/>
        <w:ind w:left="-61" w:firstLine="514"/>
        <w:rPr>
          <w:rFonts w:ascii="宋体" w:hAnsi="宋体"/>
          <w:szCs w:val="21"/>
        </w:rPr>
      </w:pPr>
      <w:r>
        <w:rPr>
          <w:rFonts w:hint="eastAsia" w:ascii="宋体" w:hAnsi="宋体"/>
          <w:szCs w:val="21"/>
        </w:rPr>
        <w:t>2. 乙方不得擅自转让（无进口资格的供应商委托进口货物除外）其应履行的合同义务。</w:t>
      </w:r>
    </w:p>
    <w:p>
      <w:pPr>
        <w:snapToGrid w:val="0"/>
        <w:spacing w:line="400" w:lineRule="exact"/>
        <w:ind w:firstLine="422" w:firstLineChars="200"/>
        <w:rPr>
          <w:rFonts w:ascii="宋体" w:hAnsi="宋体"/>
          <w:b/>
          <w:szCs w:val="21"/>
        </w:rPr>
      </w:pPr>
      <w:r>
        <w:rPr>
          <w:rFonts w:hint="eastAsia" w:ascii="宋体" w:hAnsi="宋体"/>
          <w:b/>
          <w:szCs w:val="21"/>
        </w:rPr>
        <w:t>第十八条　签订本合同依据</w:t>
      </w:r>
    </w:p>
    <w:p>
      <w:pPr>
        <w:pStyle w:val="27"/>
        <w:snapToGrid w:val="0"/>
        <w:spacing w:line="400" w:lineRule="exact"/>
        <w:ind w:left="420" w:leftChars="200"/>
        <w:rPr>
          <w:rFonts w:hAnsi="宋体"/>
          <w:sz w:val="21"/>
        </w:rPr>
      </w:pPr>
      <w:r>
        <w:rPr>
          <w:rFonts w:hint="eastAsia" w:hAnsi="宋体"/>
          <w:sz w:val="21"/>
        </w:rPr>
        <w:t>1. 中标通知书。</w:t>
      </w:r>
    </w:p>
    <w:p>
      <w:pPr>
        <w:snapToGrid w:val="0"/>
        <w:spacing w:line="400" w:lineRule="exact"/>
        <w:ind w:firstLine="422" w:firstLineChars="200"/>
        <w:rPr>
          <w:rFonts w:ascii="宋体" w:hAnsi="宋体"/>
          <w:szCs w:val="21"/>
        </w:rPr>
      </w:pPr>
      <w:r>
        <w:rPr>
          <w:rFonts w:hint="eastAsia" w:ascii="宋体" w:hAnsi="宋体"/>
          <w:b/>
          <w:szCs w:val="21"/>
        </w:rPr>
        <w:t>第十九条　</w:t>
      </w:r>
      <w:r>
        <w:rPr>
          <w:rFonts w:hint="eastAsia" w:ascii="宋体" w:hAnsi="宋体"/>
          <w:szCs w:val="21"/>
        </w:rPr>
        <w:t>本合同一式六份，具有同等法律效力，采购代理机构一份，甲方三份，乙方两份（可根据需要另增加）。</w:t>
      </w:r>
    </w:p>
    <w:p>
      <w:pPr>
        <w:snapToGrid w:val="0"/>
        <w:spacing w:line="400" w:lineRule="exact"/>
        <w:ind w:left="-61" w:firstLine="514"/>
      </w:pPr>
      <w:r>
        <w:rPr>
          <w:rFonts w:hint="eastAsia" w:ascii="宋体" w:hAnsi="宋体"/>
          <w:szCs w:val="21"/>
        </w:rPr>
        <w:t>本合同甲乙双方签字盖章后生效。</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 xml:space="preserve">甲方（章）           </w:t>
            </w:r>
          </w:p>
          <w:p>
            <w:pPr>
              <w:snapToGrid w:val="0"/>
              <w:spacing w:line="400" w:lineRule="exact"/>
              <w:ind w:firstLine="945" w:firstLineChars="450"/>
              <w:jc w:val="right"/>
              <w:rPr>
                <w:rFonts w:ascii="宋体" w:hAnsi="宋体"/>
                <w:szCs w:val="21"/>
              </w:rPr>
            </w:pPr>
            <w:r>
              <w:rPr>
                <w:rFonts w:hint="eastAsia" w:ascii="宋体" w:hAnsi="宋体"/>
                <w:szCs w:val="21"/>
              </w:rPr>
              <w:t>年   月   日</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 xml:space="preserve">乙方（章）              </w:t>
            </w:r>
          </w:p>
          <w:p>
            <w:pPr>
              <w:snapToGrid w:val="0"/>
              <w:spacing w:line="400" w:lineRule="exact"/>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单位地址：</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法定代表人：</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委托代理人：</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电话：</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电子邮箱：</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开户银行：</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账号：</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邮政编码：</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邮政编码：</w:t>
            </w:r>
          </w:p>
        </w:tc>
      </w:tr>
    </w:tbl>
    <w:p>
      <w:pPr>
        <w:spacing w:before="100" w:beforeAutospacing="1" w:after="100" w:afterAutospacing="1" w:line="500" w:lineRule="exact"/>
        <w:jc w:val="center"/>
        <w:rPr>
          <w:rFonts w:ascii="仿宋_GB2312" w:hAnsi="Times New Roman" w:eastAsia="仿宋_GB2312"/>
          <w:b/>
          <w:bCs/>
          <w:kern w:val="0"/>
          <w:sz w:val="32"/>
          <w:szCs w:val="32"/>
        </w:rPr>
      </w:pPr>
    </w:p>
    <w:p>
      <w:pPr>
        <w:pStyle w:val="27"/>
        <w:spacing w:before="100" w:beforeAutospacing="1" w:after="100" w:afterAutospacing="1" w:line="500" w:lineRule="exact"/>
        <w:rPr>
          <w:rFonts w:hAnsi="宋体"/>
          <w:sz w:val="21"/>
        </w:rPr>
      </w:pPr>
      <w:r>
        <w:rPr>
          <w:rFonts w:hint="eastAsia"/>
        </w:rPr>
        <w:t xml:space="preserve">                         </w:t>
      </w:r>
      <w:r>
        <w:rPr>
          <w:rFonts w:hint="eastAsia" w:hAnsi="宋体" w:cs="仿宋"/>
          <w:b/>
          <w:sz w:val="22"/>
          <w:szCs w:val="22"/>
        </w:rPr>
        <w:t xml:space="preserve"> </w:t>
      </w:r>
    </w:p>
    <w:p>
      <w:pPr>
        <w:spacing w:line="360" w:lineRule="auto"/>
        <w:ind w:firstLine="420" w:firstLineChars="200"/>
        <w:rPr>
          <w:rFonts w:ascii="宋体" w:hAnsi="宋体"/>
          <w:szCs w:val="21"/>
        </w:rPr>
      </w:pPr>
    </w:p>
    <w:p>
      <w:pPr>
        <w:spacing w:line="360" w:lineRule="auto"/>
        <w:ind w:firstLine="420" w:firstLineChars="200"/>
        <w:rPr>
          <w:rFonts w:ascii="宋体" w:hAnsi="宋体"/>
          <w:bCs/>
          <w:sz w:val="32"/>
          <w:szCs w:val="32"/>
        </w:rPr>
      </w:pPr>
      <w:r>
        <w:rPr>
          <w:rFonts w:hint="eastAsia" w:ascii="宋体" w:hAnsi="宋体"/>
          <w:szCs w:val="21"/>
        </w:rPr>
        <w:t xml:space="preserve"> </w:t>
      </w:r>
    </w:p>
    <w:p>
      <w:pPr>
        <w:pStyle w:val="2"/>
        <w:rPr>
          <w:rFonts w:ascii="宋体" w:hAnsi="宋体"/>
          <w:bCs/>
          <w:sz w:val="32"/>
          <w:szCs w:val="32"/>
        </w:rPr>
      </w:pPr>
    </w:p>
    <w:p>
      <w:pPr>
        <w:pStyle w:val="2"/>
        <w:rPr>
          <w:rFonts w:ascii="宋体" w:hAnsi="宋体"/>
          <w:bCs/>
          <w:sz w:val="32"/>
          <w:szCs w:val="32"/>
        </w:rPr>
      </w:pPr>
    </w:p>
    <w:p>
      <w:pPr>
        <w:pStyle w:val="2"/>
        <w:rPr>
          <w:rFonts w:ascii="宋体" w:hAnsi="宋体"/>
          <w:bCs/>
          <w:sz w:val="32"/>
          <w:szCs w:val="32"/>
        </w:rPr>
      </w:pPr>
    </w:p>
    <w:p>
      <w:pPr>
        <w:pStyle w:val="2"/>
        <w:rPr>
          <w:rFonts w:ascii="宋体" w:hAnsi="宋体"/>
          <w:bCs/>
          <w:sz w:val="32"/>
          <w:szCs w:val="32"/>
        </w:rPr>
      </w:pPr>
    </w:p>
    <w:p>
      <w:pPr>
        <w:pStyle w:val="2"/>
        <w:rPr>
          <w:rFonts w:ascii="宋体" w:hAnsi="宋体"/>
          <w:bCs/>
          <w:sz w:val="32"/>
          <w:szCs w:val="32"/>
        </w:rPr>
      </w:pPr>
    </w:p>
    <w:p>
      <w:pPr>
        <w:pStyle w:val="2"/>
        <w:rPr>
          <w:rFonts w:ascii="宋体" w:hAnsi="宋体"/>
          <w:bCs/>
          <w:sz w:val="32"/>
          <w:szCs w:val="32"/>
        </w:rPr>
      </w:pPr>
    </w:p>
    <w:p>
      <w:pPr>
        <w:pStyle w:val="2"/>
        <w:rPr>
          <w:rFonts w:ascii="宋体" w:hAnsi="宋体"/>
          <w:bCs/>
          <w:sz w:val="32"/>
          <w:szCs w:val="32"/>
        </w:rPr>
      </w:pPr>
    </w:p>
    <w:p>
      <w:pPr>
        <w:pStyle w:val="4"/>
        <w:jc w:val="center"/>
      </w:pPr>
      <w:bookmarkStart w:id="69" w:name="_Toc24366223"/>
      <w:r>
        <w:rPr>
          <w:rFonts w:hint="eastAsia"/>
        </w:rPr>
        <w:t>第六章　投标文件格式</w:t>
      </w:r>
      <w:bookmarkEnd w:id="69"/>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bookmarkStart w:id="70" w:name="_Toc254970556"/>
      <w:bookmarkStart w:id="71" w:name="_Toc254970697"/>
      <w:bookmarkStart w:id="72" w:name="_Toc24366224"/>
    </w:p>
    <w:p/>
    <w:p/>
    <w:p/>
    <w:p>
      <w:pPr>
        <w:rPr>
          <w:rFonts w:ascii="宋体" w:hAnsi="宋体"/>
          <w:b/>
          <w:bCs/>
          <w:sz w:val="24"/>
        </w:rPr>
      </w:pPr>
    </w:p>
    <w:p>
      <w:pPr>
        <w:pStyle w:val="2"/>
      </w:pPr>
    </w:p>
    <w:p>
      <w:pPr>
        <w:pStyle w:val="2"/>
      </w:pPr>
    </w:p>
    <w:p>
      <w:pPr>
        <w:snapToGrid w:val="0"/>
        <w:spacing w:before="156" w:beforeLines="50" w:after="50"/>
        <w:outlineLvl w:val="1"/>
        <w:rPr>
          <w:rFonts w:ascii="宋体" w:hAnsi="宋体"/>
          <w:b/>
          <w:bCs/>
          <w:sz w:val="24"/>
          <w:szCs w:val="20"/>
        </w:rPr>
      </w:pPr>
      <w:r>
        <w:rPr>
          <w:rFonts w:hint="eastAsia" w:ascii="宋体" w:hAnsi="宋体"/>
          <w:b/>
          <w:bCs/>
          <w:sz w:val="24"/>
        </w:rPr>
        <w:t>一、投标文件外层包装封面格式</w:t>
      </w:r>
      <w:bookmarkEnd w:id="70"/>
      <w:bookmarkEnd w:id="71"/>
      <w:bookmarkEnd w:id="72"/>
    </w:p>
    <w:p>
      <w:pPr>
        <w:snapToGrid w:val="0"/>
        <w:spacing w:before="156" w:beforeLines="50" w:after="50"/>
        <w:ind w:firstLine="472" w:firstLineChars="196"/>
        <w:jc w:val="left"/>
        <w:rPr>
          <w:rFonts w:ascii="宋体" w:hAnsi="宋体"/>
          <w:b/>
          <w:sz w:val="24"/>
          <w:szCs w:val="20"/>
        </w:rPr>
      </w:pPr>
      <w:r>
        <w:rPr>
          <w:rFonts w:hint="eastAsia" w:ascii="宋体" w:hAnsi="宋体"/>
          <w:b/>
          <w:sz w:val="24"/>
        </w:rPr>
        <w:t>所有投标文件的外包装封面格式：(可选用)</w:t>
      </w:r>
    </w:p>
    <w:p>
      <w:pPr>
        <w:snapToGrid w:val="0"/>
        <w:spacing w:before="156" w:beforeLines="50" w:after="50"/>
        <w:rPr>
          <w:rFonts w:ascii="宋体" w:hAnsi="宋体"/>
          <w:sz w:val="24"/>
          <w:szCs w:val="20"/>
        </w:rPr>
      </w:pPr>
    </w:p>
    <w:p>
      <w:pPr>
        <w:snapToGrid w:val="0"/>
        <w:spacing w:before="156" w:beforeLines="50" w:after="50"/>
        <w:jc w:val="center"/>
        <w:rPr>
          <w:rFonts w:ascii="宋体" w:hAnsi="宋体"/>
          <w:bCs/>
          <w:sz w:val="24"/>
          <w:szCs w:val="20"/>
        </w:rPr>
      </w:pPr>
    </w:p>
    <w:p>
      <w:pPr>
        <w:snapToGrid w:val="0"/>
        <w:spacing w:before="156" w:beforeLines="50" w:after="50"/>
        <w:jc w:val="center"/>
        <w:rPr>
          <w:rFonts w:ascii="宋体" w:hAnsi="宋体"/>
          <w:bCs/>
          <w:sz w:val="32"/>
          <w:szCs w:val="32"/>
        </w:rPr>
      </w:pPr>
      <w:r>
        <w:rPr>
          <w:rFonts w:hint="eastAsia" w:ascii="宋体" w:hAnsi="宋体"/>
          <w:bCs/>
          <w:sz w:val="32"/>
          <w:szCs w:val="32"/>
        </w:rPr>
        <w:t>投 标 文 件</w:t>
      </w: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ind w:firstLine="360" w:firstLineChars="150"/>
        <w:rPr>
          <w:rFonts w:ascii="宋体" w:hAnsi="宋体"/>
          <w:bCs/>
          <w:sz w:val="24"/>
        </w:rPr>
      </w:pPr>
      <w:r>
        <w:rPr>
          <w:rFonts w:hint="eastAsia" w:ascii="宋体" w:hAnsi="宋体"/>
          <w:bCs/>
          <w:sz w:val="24"/>
        </w:rPr>
        <w:t>项目名称：</w:t>
      </w:r>
    </w:p>
    <w:p>
      <w:pPr>
        <w:snapToGrid w:val="0"/>
        <w:spacing w:before="156" w:beforeLines="50" w:after="50"/>
        <w:ind w:firstLine="360" w:firstLineChars="150"/>
        <w:rPr>
          <w:rFonts w:ascii="宋体" w:hAnsi="宋体"/>
          <w:bCs/>
          <w:sz w:val="24"/>
          <w:szCs w:val="20"/>
        </w:rPr>
      </w:pPr>
    </w:p>
    <w:p>
      <w:pPr>
        <w:snapToGrid w:val="0"/>
        <w:spacing w:before="156" w:beforeLines="50" w:after="50"/>
        <w:ind w:firstLine="360" w:firstLineChars="150"/>
        <w:rPr>
          <w:rFonts w:ascii="宋体" w:hAnsi="宋体"/>
          <w:bCs/>
          <w:sz w:val="24"/>
        </w:rPr>
      </w:pPr>
      <w:r>
        <w:rPr>
          <w:rFonts w:hint="eastAsia" w:ascii="宋体" w:hAnsi="宋体"/>
          <w:bCs/>
          <w:sz w:val="24"/>
        </w:rPr>
        <w:t>项目编号：</w:t>
      </w:r>
    </w:p>
    <w:p>
      <w:pPr>
        <w:snapToGrid w:val="0"/>
        <w:spacing w:before="156" w:beforeLines="50" w:after="50"/>
        <w:ind w:firstLine="360" w:firstLineChars="150"/>
        <w:rPr>
          <w:rFonts w:ascii="宋体" w:hAnsi="宋体"/>
          <w:bCs/>
          <w:sz w:val="24"/>
        </w:rPr>
      </w:pPr>
    </w:p>
    <w:p>
      <w:pPr>
        <w:snapToGrid w:val="0"/>
        <w:spacing w:before="156" w:beforeLines="50" w:after="50"/>
        <w:rPr>
          <w:rFonts w:ascii="宋体" w:hAnsi="宋体"/>
          <w:bCs/>
          <w:sz w:val="24"/>
          <w:szCs w:val="20"/>
        </w:rPr>
      </w:pPr>
    </w:p>
    <w:p>
      <w:pPr>
        <w:pStyle w:val="8"/>
        <w:snapToGrid w:val="0"/>
        <w:spacing w:before="50" w:after="50"/>
        <w:ind w:firstLine="360" w:firstLineChars="150"/>
        <w:rPr>
          <w:rFonts w:ascii="宋体" w:hAnsi="宋体"/>
          <w:bCs/>
          <w:sz w:val="24"/>
          <w:szCs w:val="24"/>
        </w:rPr>
      </w:pPr>
      <w:r>
        <w:rPr>
          <w:rFonts w:hint="eastAsia" w:ascii="宋体" w:hAnsi="宋体"/>
          <w:bCs/>
          <w:sz w:val="24"/>
          <w:szCs w:val="24"/>
        </w:rPr>
        <w:t>投标文件名称：报价文件、资格证明文件、商务文件、技术文件</w:t>
      </w:r>
    </w:p>
    <w:p>
      <w:pPr>
        <w:pStyle w:val="8"/>
        <w:snapToGrid w:val="0"/>
        <w:spacing w:before="50" w:after="50"/>
        <w:ind w:firstLine="360" w:firstLineChars="150"/>
        <w:rPr>
          <w:rFonts w:ascii="宋体" w:hAnsi="宋体"/>
          <w:bCs/>
          <w:sz w:val="24"/>
          <w:szCs w:val="24"/>
        </w:rPr>
      </w:pPr>
    </w:p>
    <w:p>
      <w:pPr>
        <w:pStyle w:val="8"/>
        <w:snapToGrid w:val="0"/>
        <w:spacing w:before="50" w:after="50"/>
        <w:ind w:firstLine="360" w:firstLineChars="150"/>
        <w:rPr>
          <w:rFonts w:ascii="宋体" w:hAnsi="宋体"/>
          <w:bCs/>
          <w:sz w:val="24"/>
          <w:szCs w:val="24"/>
        </w:rPr>
      </w:pPr>
      <w:r>
        <w:rPr>
          <w:rFonts w:hint="eastAsia" w:ascii="宋体" w:hAnsi="宋体"/>
          <w:bCs/>
          <w:sz w:val="24"/>
          <w:szCs w:val="24"/>
        </w:rPr>
        <w:t>投标人名称：</w:t>
      </w:r>
    </w:p>
    <w:p>
      <w:pPr>
        <w:pStyle w:val="8"/>
        <w:snapToGrid w:val="0"/>
        <w:spacing w:before="50" w:after="50"/>
        <w:ind w:firstLine="360" w:firstLineChars="150"/>
        <w:rPr>
          <w:rFonts w:ascii="宋体" w:hAnsi="宋体"/>
          <w:bCs/>
          <w:sz w:val="24"/>
          <w:szCs w:val="24"/>
        </w:rPr>
      </w:pPr>
    </w:p>
    <w:p>
      <w:pPr>
        <w:pStyle w:val="8"/>
        <w:snapToGrid w:val="0"/>
        <w:spacing w:before="50" w:after="50"/>
        <w:ind w:firstLine="360" w:firstLineChars="150"/>
        <w:rPr>
          <w:rFonts w:ascii="宋体" w:hAnsi="宋体"/>
          <w:bCs/>
          <w:sz w:val="24"/>
          <w:szCs w:val="24"/>
        </w:rPr>
      </w:pPr>
      <w:r>
        <w:rPr>
          <w:rFonts w:hint="eastAsia" w:ascii="宋体" w:hAnsi="宋体"/>
          <w:bCs/>
          <w:sz w:val="24"/>
          <w:szCs w:val="24"/>
        </w:rPr>
        <w:t>投标人地址：</w:t>
      </w:r>
    </w:p>
    <w:p>
      <w:pPr>
        <w:pStyle w:val="8"/>
        <w:snapToGrid w:val="0"/>
        <w:spacing w:before="50" w:after="50"/>
        <w:ind w:firstLine="360" w:firstLineChars="150"/>
        <w:rPr>
          <w:rFonts w:ascii="宋体" w:hAnsi="宋体"/>
          <w:bCs/>
          <w:sz w:val="24"/>
          <w:szCs w:val="24"/>
        </w:rPr>
      </w:pPr>
    </w:p>
    <w:p>
      <w:pPr>
        <w:pStyle w:val="8"/>
        <w:snapToGrid w:val="0"/>
        <w:spacing w:before="50" w:after="50"/>
        <w:ind w:firstLine="360" w:firstLineChars="150"/>
        <w:rPr>
          <w:rFonts w:ascii="宋体" w:hAnsi="宋体"/>
          <w:bCs/>
          <w:sz w:val="24"/>
          <w:szCs w:val="24"/>
        </w:rPr>
      </w:pPr>
      <w:r>
        <w:rPr>
          <w:rFonts w:hint="eastAsia" w:ascii="宋体" w:hAnsi="宋体"/>
          <w:bCs/>
          <w:sz w:val="24"/>
          <w:szCs w:val="24"/>
        </w:rPr>
        <w:t>在  年  月  日  时  分之前不得启封</w:t>
      </w:r>
    </w:p>
    <w:p>
      <w:pPr>
        <w:snapToGrid w:val="0"/>
        <w:spacing w:before="156" w:beforeLines="50" w:after="50"/>
        <w:ind w:firstLine="4080" w:firstLineChars="1700"/>
        <w:rPr>
          <w:rFonts w:ascii="宋体" w:hAnsi="宋体"/>
          <w:bCs/>
          <w:sz w:val="24"/>
          <w:szCs w:val="20"/>
        </w:rPr>
      </w:pPr>
    </w:p>
    <w:p>
      <w:pPr>
        <w:snapToGrid w:val="0"/>
        <w:spacing w:before="156" w:beforeLines="50" w:after="50"/>
        <w:ind w:firstLine="645"/>
        <w:jc w:val="center"/>
        <w:rPr>
          <w:rFonts w:ascii="宋体" w:hAnsi="宋体"/>
          <w:bCs/>
          <w:sz w:val="24"/>
          <w:szCs w:val="20"/>
        </w:rPr>
      </w:pPr>
      <w:r>
        <w:rPr>
          <w:rFonts w:hint="eastAsia" w:ascii="宋体" w:hAnsi="宋体"/>
          <w:bCs/>
          <w:sz w:val="24"/>
        </w:rPr>
        <w:t xml:space="preserve">                        年    月    日</w:t>
      </w: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outlineLvl w:val="1"/>
        <w:rPr>
          <w:rFonts w:ascii="宋体" w:hAnsi="宋体"/>
          <w:b/>
          <w:bCs/>
          <w:sz w:val="24"/>
        </w:rPr>
      </w:pPr>
      <w:bookmarkStart w:id="73" w:name="_Toc24366225"/>
      <w:bookmarkStart w:id="74" w:name="_Toc254970557"/>
      <w:bookmarkStart w:id="75" w:name="_Toc254970698"/>
      <w:r>
        <w:rPr>
          <w:rFonts w:hint="eastAsia" w:ascii="宋体" w:hAnsi="宋体"/>
          <w:b/>
          <w:bCs/>
          <w:sz w:val="24"/>
        </w:rPr>
        <w:t>二、报价文件格式</w:t>
      </w:r>
      <w:bookmarkEnd w:id="73"/>
    </w:p>
    <w:p>
      <w:pPr>
        <w:snapToGrid w:val="0"/>
        <w:spacing w:before="156" w:beforeLines="50" w:after="50"/>
        <w:ind w:left="142"/>
        <w:jc w:val="left"/>
        <w:rPr>
          <w:rFonts w:ascii="宋体" w:hAnsi="宋体"/>
          <w:sz w:val="24"/>
          <w:szCs w:val="20"/>
        </w:rPr>
      </w:pPr>
      <w:r>
        <w:rPr>
          <w:rFonts w:hint="eastAsia" w:ascii="宋体" w:hAnsi="宋体"/>
          <w:b/>
          <w:sz w:val="24"/>
        </w:rPr>
        <w:t xml:space="preserve">1. 报价文件封面格式： </w:t>
      </w:r>
    </w:p>
    <w:p>
      <w:pPr>
        <w:snapToGrid w:val="0"/>
        <w:spacing w:before="156" w:beforeLines="50" w:after="50"/>
        <w:jc w:val="left"/>
        <w:rPr>
          <w:rFonts w:ascii="宋体" w:hAnsi="宋体"/>
          <w:sz w:val="24"/>
          <w:szCs w:val="20"/>
        </w:rPr>
      </w:pPr>
    </w:p>
    <w:p>
      <w:pPr>
        <w:snapToGrid w:val="0"/>
        <w:spacing w:before="156" w:beforeLines="50" w:after="50" w:line="400" w:lineRule="exact"/>
        <w:rPr>
          <w:rFonts w:ascii="宋体" w:hAnsi="宋体"/>
          <w:bCs/>
          <w:sz w:val="32"/>
          <w:szCs w:val="20"/>
        </w:rPr>
      </w:pPr>
      <w:r>
        <w:rPr>
          <w:rFonts w:hint="eastAsia" w:ascii="宋体" w:hAnsi="宋体"/>
          <w:sz w:val="24"/>
        </w:rPr>
        <w:t xml:space="preserve">                                                    </w:t>
      </w:r>
      <w:r>
        <w:rPr>
          <w:rFonts w:hint="eastAsia" w:ascii="宋体" w:hAnsi="宋体"/>
          <w:bCs/>
        </w:rPr>
        <w:t>正本/或副本</w:t>
      </w:r>
    </w:p>
    <w:p>
      <w:pPr>
        <w:snapToGrid w:val="0"/>
        <w:spacing w:before="156" w:beforeLines="50" w:after="50" w:line="400" w:lineRule="exact"/>
        <w:jc w:val="center"/>
        <w:rPr>
          <w:rFonts w:ascii="宋体" w:hAnsi="宋体"/>
          <w:bCs/>
          <w:sz w:val="24"/>
          <w:szCs w:val="20"/>
        </w:rPr>
      </w:pPr>
    </w:p>
    <w:p>
      <w:pPr>
        <w:snapToGrid w:val="0"/>
        <w:spacing w:before="156" w:beforeLines="50" w:after="50" w:line="400" w:lineRule="exact"/>
        <w:jc w:val="center"/>
        <w:rPr>
          <w:rFonts w:ascii="宋体" w:hAnsi="宋体"/>
          <w:b/>
          <w:bCs/>
          <w:sz w:val="32"/>
          <w:szCs w:val="32"/>
        </w:rPr>
      </w:pPr>
      <w:r>
        <w:rPr>
          <w:rFonts w:hint="eastAsia" w:ascii="宋体" w:hAnsi="宋体"/>
          <w:b/>
          <w:bCs/>
          <w:sz w:val="32"/>
          <w:szCs w:val="32"/>
        </w:rPr>
        <w:t>报价文件</w:t>
      </w:r>
    </w:p>
    <w:p>
      <w:pPr>
        <w:snapToGrid w:val="0"/>
        <w:spacing w:before="156" w:beforeLines="50" w:after="50" w:line="400" w:lineRule="exact"/>
        <w:rPr>
          <w:rFonts w:ascii="宋体" w:hAnsi="宋体"/>
          <w:bCs/>
          <w:sz w:val="24"/>
          <w:szCs w:val="20"/>
        </w:rPr>
      </w:pPr>
    </w:p>
    <w:p>
      <w:pPr>
        <w:snapToGrid w:val="0"/>
        <w:spacing w:before="156" w:beforeLines="50" w:after="50" w:line="400" w:lineRule="exact"/>
        <w:rPr>
          <w:rFonts w:ascii="宋体" w:hAnsi="宋体"/>
          <w:bCs/>
          <w:sz w:val="24"/>
          <w:szCs w:val="20"/>
        </w:rPr>
      </w:pPr>
    </w:p>
    <w:p>
      <w:pPr>
        <w:snapToGrid w:val="0"/>
        <w:spacing w:before="156" w:beforeLines="50" w:after="50" w:line="400" w:lineRule="exact"/>
        <w:rPr>
          <w:rFonts w:ascii="宋体" w:hAnsi="宋体"/>
          <w:bCs/>
          <w:sz w:val="24"/>
          <w:szCs w:val="20"/>
        </w:rPr>
      </w:pPr>
    </w:p>
    <w:p>
      <w:pPr>
        <w:snapToGrid w:val="0"/>
        <w:spacing w:before="156" w:beforeLines="50" w:after="50" w:line="400" w:lineRule="exact"/>
        <w:rPr>
          <w:rFonts w:ascii="宋体" w:hAnsi="宋体"/>
          <w:bCs/>
          <w:sz w:val="24"/>
          <w:szCs w:val="20"/>
        </w:rPr>
      </w:pPr>
    </w:p>
    <w:p>
      <w:pPr>
        <w:snapToGrid w:val="0"/>
        <w:spacing w:before="156" w:beforeLines="50" w:after="50" w:line="400" w:lineRule="exact"/>
        <w:ind w:firstLine="360" w:firstLineChars="150"/>
        <w:rPr>
          <w:rFonts w:ascii="宋体" w:hAnsi="宋体"/>
          <w:bCs/>
          <w:sz w:val="24"/>
          <w:szCs w:val="20"/>
        </w:rPr>
      </w:pPr>
      <w:r>
        <w:rPr>
          <w:rFonts w:hint="eastAsia" w:ascii="宋体" w:hAnsi="宋体"/>
          <w:bCs/>
          <w:sz w:val="24"/>
        </w:rPr>
        <w:t xml:space="preserve">项目名称： </w:t>
      </w:r>
    </w:p>
    <w:p>
      <w:pPr>
        <w:snapToGrid w:val="0"/>
        <w:spacing w:before="156" w:beforeLines="50" w:after="50" w:line="400" w:lineRule="exact"/>
        <w:ind w:firstLine="360" w:firstLineChars="150"/>
        <w:rPr>
          <w:rFonts w:ascii="宋体" w:hAnsi="宋体"/>
          <w:bCs/>
          <w:sz w:val="24"/>
        </w:rPr>
      </w:pPr>
      <w:r>
        <w:rPr>
          <w:rFonts w:hint="eastAsia" w:ascii="宋体" w:hAnsi="宋体"/>
          <w:bCs/>
          <w:sz w:val="24"/>
        </w:rPr>
        <w:t xml:space="preserve">项目编号： </w:t>
      </w:r>
    </w:p>
    <w:p>
      <w:pPr>
        <w:pStyle w:val="8"/>
        <w:snapToGrid w:val="0"/>
        <w:spacing w:before="50" w:after="50" w:line="400" w:lineRule="exact"/>
        <w:ind w:firstLine="360" w:firstLineChars="150"/>
        <w:rPr>
          <w:rFonts w:ascii="宋体" w:hAnsi="宋体"/>
          <w:bCs/>
          <w:sz w:val="24"/>
          <w:szCs w:val="24"/>
        </w:rPr>
      </w:pPr>
      <w:r>
        <w:rPr>
          <w:rFonts w:hint="eastAsia" w:ascii="宋体" w:hAnsi="宋体"/>
          <w:bCs/>
          <w:sz w:val="24"/>
          <w:szCs w:val="24"/>
        </w:rPr>
        <w:t>投标人名称：</w:t>
      </w:r>
    </w:p>
    <w:p>
      <w:pPr>
        <w:pStyle w:val="8"/>
        <w:snapToGrid w:val="0"/>
        <w:spacing w:before="50" w:after="50" w:line="400" w:lineRule="exact"/>
        <w:ind w:firstLine="360" w:firstLineChars="150"/>
        <w:rPr>
          <w:rFonts w:ascii="宋体" w:hAnsi="宋体"/>
          <w:bCs/>
          <w:sz w:val="24"/>
          <w:szCs w:val="24"/>
        </w:rPr>
      </w:pPr>
      <w:r>
        <w:rPr>
          <w:rFonts w:hint="eastAsia" w:ascii="宋体" w:hAnsi="宋体"/>
          <w:bCs/>
          <w:sz w:val="24"/>
          <w:szCs w:val="24"/>
        </w:rPr>
        <w:t>投标人地址：</w:t>
      </w:r>
    </w:p>
    <w:p>
      <w:pPr>
        <w:pStyle w:val="8"/>
        <w:snapToGrid w:val="0"/>
        <w:spacing w:before="50" w:after="50" w:line="400" w:lineRule="exact"/>
        <w:ind w:firstLine="960" w:firstLineChars="400"/>
        <w:rPr>
          <w:rFonts w:ascii="宋体" w:hAnsi="宋体"/>
          <w:bCs/>
          <w:sz w:val="24"/>
          <w:szCs w:val="24"/>
        </w:rPr>
      </w:pPr>
    </w:p>
    <w:p>
      <w:pPr>
        <w:snapToGrid w:val="0"/>
        <w:spacing w:before="156" w:beforeLines="50" w:after="50" w:line="400" w:lineRule="exact"/>
        <w:ind w:firstLine="360" w:firstLineChars="150"/>
        <w:rPr>
          <w:rFonts w:ascii="宋体" w:hAnsi="宋体"/>
          <w:sz w:val="30"/>
          <w:szCs w:val="20"/>
        </w:rPr>
      </w:pPr>
      <w:r>
        <w:rPr>
          <w:rFonts w:hint="eastAsia" w:ascii="宋体" w:hAnsi="宋体"/>
          <w:sz w:val="24"/>
        </w:rPr>
        <w:t>年  月  日</w:t>
      </w:r>
    </w:p>
    <w:p>
      <w:pPr>
        <w:snapToGrid w:val="0"/>
        <w:spacing w:before="156" w:beforeLines="50" w:after="50"/>
        <w:rPr>
          <w:rFonts w:ascii="宋体" w:hAnsi="宋体"/>
          <w:b/>
          <w:sz w:val="24"/>
        </w:rPr>
      </w:pPr>
    </w:p>
    <w:p>
      <w:pPr>
        <w:snapToGrid w:val="0"/>
        <w:spacing w:before="156" w:beforeLines="50" w:after="50"/>
        <w:rPr>
          <w:rFonts w:ascii="宋体" w:hAnsi="宋体"/>
          <w:b/>
          <w:sz w:val="24"/>
        </w:rPr>
      </w:pPr>
    </w:p>
    <w:p>
      <w:pPr>
        <w:snapToGrid w:val="0"/>
        <w:spacing w:before="156" w:beforeLines="50" w:after="50"/>
        <w:jc w:val="left"/>
        <w:rPr>
          <w:rFonts w:ascii="宋体" w:hAnsi="宋体"/>
          <w:sz w:val="24"/>
          <w:szCs w:val="20"/>
        </w:rPr>
      </w:pPr>
      <w:r>
        <w:rPr>
          <w:rFonts w:ascii="宋体" w:hAnsi="宋体"/>
          <w:b/>
          <w:sz w:val="24"/>
        </w:rPr>
        <w:br w:type="page"/>
      </w:r>
      <w:r>
        <w:rPr>
          <w:rFonts w:hint="eastAsia" w:ascii="宋体" w:hAnsi="宋体"/>
          <w:b/>
          <w:sz w:val="24"/>
        </w:rPr>
        <w:t>2.</w:t>
      </w:r>
      <w:r>
        <w:rPr>
          <w:rFonts w:hint="eastAsia" w:ascii="宋体" w:hAnsi="宋体"/>
          <w:b/>
          <w:bCs/>
          <w:sz w:val="24"/>
        </w:rPr>
        <w:t>报价文件目录</w:t>
      </w:r>
    </w:p>
    <w:p>
      <w:pPr>
        <w:snapToGrid w:val="0"/>
        <w:spacing w:before="50" w:after="156" w:afterLines="50"/>
        <w:jc w:val="left"/>
        <w:rPr>
          <w:rFonts w:ascii="宋体" w:hAnsi="宋体"/>
          <w:szCs w:val="21"/>
        </w:rPr>
      </w:pPr>
      <w:r>
        <w:rPr>
          <w:rFonts w:hint="eastAsia" w:ascii="宋体" w:hAnsi="宋体"/>
          <w:szCs w:val="21"/>
        </w:rPr>
        <w:t>根据招标文件规定及投标人提供的材料自行编写目录。</w:t>
      </w: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szCs w:val="21"/>
        </w:rPr>
      </w:pPr>
    </w:p>
    <w:p>
      <w:pPr>
        <w:snapToGrid w:val="0"/>
        <w:spacing w:before="50" w:after="156" w:afterLines="50"/>
        <w:jc w:val="left"/>
        <w:rPr>
          <w:rFonts w:ascii="宋体" w:hAnsi="宋体"/>
          <w:b/>
          <w:sz w:val="24"/>
        </w:rPr>
      </w:pPr>
    </w:p>
    <w:p>
      <w:pPr>
        <w:snapToGrid w:val="0"/>
        <w:spacing w:before="156" w:beforeLines="50" w:after="50"/>
        <w:rPr>
          <w:rFonts w:ascii="宋体" w:hAnsi="宋体"/>
          <w:b/>
          <w:sz w:val="24"/>
        </w:rPr>
      </w:pPr>
      <w:r>
        <w:rPr>
          <w:rFonts w:hint="eastAsia" w:ascii="宋体" w:hAnsi="宋体"/>
          <w:b/>
          <w:sz w:val="24"/>
        </w:rPr>
        <w:t>3.投标函格式：</w:t>
      </w:r>
    </w:p>
    <w:p>
      <w:pPr>
        <w:snapToGrid w:val="0"/>
        <w:spacing w:before="156" w:beforeLines="50" w:after="50" w:line="320" w:lineRule="exact"/>
        <w:jc w:val="center"/>
        <w:rPr>
          <w:rFonts w:ascii="宋体" w:hAnsi="宋体"/>
          <w:b/>
          <w:sz w:val="32"/>
          <w:szCs w:val="32"/>
        </w:rPr>
      </w:pPr>
      <w:r>
        <w:rPr>
          <w:rFonts w:hint="eastAsia" w:ascii="宋体" w:hAnsi="宋体"/>
          <w:b/>
          <w:sz w:val="32"/>
          <w:szCs w:val="32"/>
        </w:rPr>
        <w:t>投 标 函</w:t>
      </w:r>
    </w:p>
    <w:p>
      <w:pPr>
        <w:snapToGrid w:val="0"/>
        <w:spacing w:before="156" w:beforeLines="50" w:after="50" w:line="320" w:lineRule="exact"/>
        <w:jc w:val="center"/>
        <w:rPr>
          <w:rFonts w:ascii="宋体" w:hAnsi="宋体"/>
          <w:b/>
          <w:sz w:val="24"/>
          <w:szCs w:val="20"/>
        </w:rPr>
      </w:pPr>
    </w:p>
    <w:p>
      <w:pPr>
        <w:snapToGrid w:val="0"/>
        <w:spacing w:line="320" w:lineRule="exact"/>
        <w:rPr>
          <w:rFonts w:ascii="宋体" w:hAnsi="宋体"/>
          <w:sz w:val="24"/>
          <w:szCs w:val="20"/>
        </w:rPr>
      </w:pPr>
      <w:r>
        <w:rPr>
          <w:rFonts w:hint="eastAsia" w:ascii="宋体" w:hAnsi="宋体"/>
          <w:sz w:val="24"/>
        </w:rPr>
        <w:t>致：</w:t>
      </w:r>
      <w:r>
        <w:rPr>
          <w:rFonts w:hint="eastAsia" w:ascii="宋体" w:hAnsi="宋体"/>
          <w:sz w:val="24"/>
          <w:u w:val="single"/>
        </w:rPr>
        <w:t>广西中竟达建设工程咨询有限公司</w:t>
      </w:r>
      <w:r>
        <w:rPr>
          <w:rFonts w:hint="eastAsia" w:ascii="宋体" w:hAnsi="宋体"/>
          <w:sz w:val="24"/>
        </w:rPr>
        <w:t>：</w:t>
      </w:r>
    </w:p>
    <w:p>
      <w:pPr>
        <w:snapToGrid w:val="0"/>
        <w:spacing w:line="320" w:lineRule="exact"/>
        <w:ind w:firstLine="480"/>
        <w:rPr>
          <w:rFonts w:ascii="宋体" w:hAnsi="宋体"/>
          <w:sz w:val="24"/>
          <w:szCs w:val="20"/>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项目的招标公告/投标邀请书</w:t>
      </w:r>
    </w:p>
    <w:p>
      <w:pPr>
        <w:snapToGrid w:val="0"/>
        <w:spacing w:line="320" w:lineRule="exact"/>
        <w:rPr>
          <w:rFonts w:ascii="宋体" w:hAnsi="宋体"/>
          <w:sz w:val="24"/>
          <w:szCs w:val="20"/>
        </w:rPr>
      </w:pPr>
      <w:r>
        <w:rPr>
          <w:rFonts w:hint="eastAsia" w:ascii="宋体" w:hAnsi="宋体"/>
          <w:sz w:val="24"/>
        </w:rPr>
        <w:t>（项目编号：</w:t>
      </w:r>
      <w:r>
        <w:rPr>
          <w:rFonts w:hint="eastAsia" w:ascii="宋体" w:hAnsi="宋体"/>
          <w:sz w:val="24"/>
          <w:u w:val="single"/>
        </w:rPr>
        <w:t>_____     _</w:t>
      </w:r>
      <w:r>
        <w:rPr>
          <w:rFonts w:hint="eastAsia" w:ascii="宋体" w:hAnsi="宋体"/>
          <w:sz w:val="24"/>
        </w:rPr>
        <w:t>_），签字代表______</w:t>
      </w:r>
      <w:r>
        <w:rPr>
          <w:rFonts w:hint="eastAsia" w:ascii="宋体" w:hAnsi="宋体"/>
          <w:sz w:val="24"/>
          <w:u w:val="single"/>
        </w:rPr>
        <w:t xml:space="preserve">_     </w:t>
      </w:r>
      <w:r>
        <w:rPr>
          <w:rFonts w:hint="eastAsia" w:ascii="宋体" w:hAnsi="宋体"/>
          <w:sz w:val="24"/>
        </w:rPr>
        <w:t>（全名）经正式授权并代表投标人</w:t>
      </w:r>
      <w:r>
        <w:rPr>
          <w:rFonts w:hint="eastAsia" w:ascii="宋体" w:hAnsi="宋体"/>
          <w:sz w:val="24"/>
          <w:u w:val="single"/>
        </w:rPr>
        <w:t>_______                    __</w:t>
      </w:r>
      <w:r>
        <w:rPr>
          <w:rFonts w:hint="eastAsia" w:ascii="宋体" w:hAnsi="宋体"/>
          <w:sz w:val="24"/>
        </w:rPr>
        <w:t>（投标人名称、地址。如为联合体的，则联合体成员名称、地址）提交投标文件（包括报价文件、资格/商务文件、技术文件）正本各一份、副本</w:t>
      </w:r>
      <w:r>
        <w:rPr>
          <w:rFonts w:hint="eastAsia" w:ascii="宋体" w:hAnsi="宋体"/>
          <w:sz w:val="24"/>
          <w:u w:val="single"/>
        </w:rPr>
        <w:t xml:space="preserve">      </w:t>
      </w:r>
      <w:r>
        <w:rPr>
          <w:rFonts w:hint="eastAsia" w:ascii="宋体" w:hAnsi="宋体"/>
          <w:sz w:val="24"/>
        </w:rPr>
        <w:t>份。</w:t>
      </w:r>
    </w:p>
    <w:p>
      <w:pPr>
        <w:snapToGrid w:val="0"/>
        <w:spacing w:line="320" w:lineRule="exact"/>
        <w:ind w:firstLine="480" w:firstLineChars="200"/>
        <w:rPr>
          <w:rFonts w:ascii="宋体" w:hAnsi="宋体"/>
          <w:sz w:val="24"/>
          <w:szCs w:val="20"/>
        </w:rPr>
      </w:pPr>
      <w:r>
        <w:rPr>
          <w:rFonts w:hint="eastAsia" w:ascii="宋体" w:hAnsi="宋体"/>
          <w:sz w:val="24"/>
        </w:rPr>
        <w:t>据此函，签字代表宣布同意如下：</w:t>
      </w:r>
    </w:p>
    <w:p>
      <w:pPr>
        <w:snapToGrid w:val="0"/>
        <w:spacing w:line="320" w:lineRule="exact"/>
        <w:ind w:firstLine="480" w:firstLineChars="200"/>
        <w:rPr>
          <w:rFonts w:ascii="宋体" w:hAnsi="宋体"/>
          <w:sz w:val="24"/>
          <w:szCs w:val="20"/>
        </w:rPr>
      </w:pPr>
      <w:r>
        <w:rPr>
          <w:rFonts w:hint="eastAsia" w:ascii="宋体" w:hAnsi="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20" w:lineRule="exact"/>
        <w:ind w:firstLine="480" w:firstLineChars="200"/>
        <w:rPr>
          <w:rFonts w:ascii="宋体" w:hAnsi="宋体"/>
          <w:sz w:val="24"/>
          <w:szCs w:val="20"/>
        </w:rPr>
      </w:pPr>
      <w:r>
        <w:rPr>
          <w:rFonts w:hint="eastAsia" w:ascii="宋体" w:hAnsi="宋体"/>
          <w:sz w:val="24"/>
        </w:rPr>
        <w:t>2.投标人在投标之前已经与贵方进行了充分的沟通，完全理解并接受招标文件的各项规定和要求，对招标文件的合理性、合法性不再有异议。</w:t>
      </w:r>
    </w:p>
    <w:p>
      <w:pPr>
        <w:snapToGrid w:val="0"/>
        <w:spacing w:line="320" w:lineRule="exact"/>
        <w:ind w:firstLine="480" w:firstLineChars="200"/>
        <w:rPr>
          <w:rFonts w:ascii="宋体" w:hAnsi="宋体"/>
          <w:sz w:val="24"/>
        </w:rPr>
      </w:pPr>
      <w:r>
        <w:rPr>
          <w:rFonts w:hint="eastAsia" w:ascii="宋体" w:hAnsi="宋体"/>
          <w:sz w:val="24"/>
        </w:rPr>
        <w:t>3.本投标有效期自投标截止之日起至政府采购合同签订之日止。</w:t>
      </w:r>
    </w:p>
    <w:p>
      <w:pPr>
        <w:snapToGrid w:val="0"/>
        <w:spacing w:line="320" w:lineRule="exact"/>
        <w:ind w:firstLine="480" w:firstLineChars="200"/>
        <w:rPr>
          <w:rFonts w:ascii="宋体" w:hAnsi="宋体"/>
          <w:sz w:val="24"/>
          <w:szCs w:val="20"/>
        </w:rPr>
      </w:pPr>
      <w:r>
        <w:rPr>
          <w:rFonts w:hint="eastAsia" w:ascii="宋体" w:hAnsi="宋体"/>
          <w:sz w:val="24"/>
        </w:rPr>
        <w:t>4.如中标，本投标文件至本项目合同履行完毕止均保持有效，本投标人将按“招标文件”及政府采购法律、法规的规定履行合同责任和义务。</w:t>
      </w:r>
    </w:p>
    <w:p>
      <w:pPr>
        <w:snapToGrid w:val="0"/>
        <w:spacing w:line="320" w:lineRule="exact"/>
        <w:ind w:firstLine="480" w:firstLineChars="200"/>
        <w:rPr>
          <w:rFonts w:ascii="宋体" w:hAnsi="宋体"/>
          <w:sz w:val="24"/>
          <w:szCs w:val="20"/>
        </w:rPr>
      </w:pPr>
      <w:r>
        <w:rPr>
          <w:rFonts w:hint="eastAsia" w:ascii="宋体" w:hAnsi="宋体"/>
          <w:sz w:val="24"/>
        </w:rPr>
        <w:t>5.投标人同意按照贵方要求提供与投标有关的一切数据或资料。</w:t>
      </w:r>
    </w:p>
    <w:p>
      <w:pPr>
        <w:snapToGrid w:val="0"/>
        <w:spacing w:line="320" w:lineRule="exact"/>
        <w:ind w:firstLine="480" w:firstLineChars="200"/>
        <w:rPr>
          <w:rFonts w:ascii="宋体" w:hAnsi="宋体"/>
          <w:sz w:val="24"/>
          <w:szCs w:val="20"/>
        </w:rPr>
      </w:pPr>
      <w:r>
        <w:rPr>
          <w:rFonts w:hint="eastAsia" w:ascii="宋体" w:hAnsi="宋体"/>
          <w:sz w:val="24"/>
        </w:rPr>
        <w:t>6.与本投标有关的一切正式往来信函请寄：</w:t>
      </w:r>
    </w:p>
    <w:p>
      <w:pPr>
        <w:snapToGrid w:val="0"/>
        <w:spacing w:line="320" w:lineRule="exact"/>
        <w:rPr>
          <w:rFonts w:ascii="宋体" w:hAnsi="宋体"/>
          <w:sz w:val="24"/>
          <w:szCs w:val="20"/>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p>
    <w:p>
      <w:pPr>
        <w:snapToGrid w:val="0"/>
        <w:spacing w:line="320" w:lineRule="exact"/>
        <w:rPr>
          <w:rFonts w:ascii="宋体" w:hAnsi="宋体"/>
          <w:sz w:val="24"/>
          <w:szCs w:val="20"/>
        </w:rPr>
      </w:pPr>
      <w:r>
        <w:rPr>
          <w:rFonts w:hint="eastAsia" w:ascii="宋体" w:hAnsi="宋体"/>
          <w:sz w:val="24"/>
        </w:rPr>
        <w:t>传真：</w:t>
      </w:r>
      <w:r>
        <w:rPr>
          <w:rFonts w:hint="eastAsia" w:ascii="宋体" w:hAnsi="宋体"/>
          <w:sz w:val="24"/>
          <w:u w:val="single"/>
        </w:rPr>
        <w:t xml:space="preserve">          </w:t>
      </w:r>
      <w:r>
        <w:rPr>
          <w:rFonts w:hint="eastAsia" w:ascii="宋体" w:hAnsi="宋体"/>
          <w:sz w:val="24"/>
        </w:rPr>
        <w:t>投标人代表姓名</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napToGrid w:val="0"/>
        <w:spacing w:line="320" w:lineRule="exact"/>
        <w:rPr>
          <w:rFonts w:ascii="宋体" w:hAnsi="宋体"/>
          <w:sz w:val="24"/>
          <w:szCs w:val="20"/>
        </w:rPr>
      </w:pPr>
      <w:r>
        <w:rPr>
          <w:rFonts w:hint="eastAsia" w:ascii="宋体" w:hAnsi="宋体"/>
          <w:sz w:val="24"/>
        </w:rPr>
        <w:t>投标人名称(公章):</w:t>
      </w:r>
      <w:r>
        <w:rPr>
          <w:rFonts w:hint="eastAsia" w:ascii="宋体" w:hAnsi="宋体"/>
          <w:sz w:val="24"/>
          <w:u w:val="single"/>
        </w:rPr>
        <w:t xml:space="preserve">                </w:t>
      </w:r>
    </w:p>
    <w:p>
      <w:pPr>
        <w:snapToGrid w:val="0"/>
        <w:spacing w:line="320" w:lineRule="exact"/>
        <w:jc w:val="left"/>
        <w:rPr>
          <w:rFonts w:ascii="宋体" w:hAnsi="宋体"/>
          <w:sz w:val="24"/>
          <w:szCs w:val="20"/>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银行帐号：</w:t>
      </w:r>
      <w:r>
        <w:rPr>
          <w:rFonts w:hint="eastAsia" w:ascii="宋体" w:hAnsi="宋体"/>
          <w:sz w:val="24"/>
          <w:u w:val="single"/>
        </w:rPr>
        <w:t xml:space="preserve">                    </w:t>
      </w:r>
      <w:r>
        <w:rPr>
          <w:rFonts w:hint="eastAsia" w:ascii="宋体" w:hAnsi="宋体"/>
          <w:sz w:val="24"/>
        </w:rPr>
        <w:t xml:space="preserve"> </w:t>
      </w:r>
    </w:p>
    <w:p>
      <w:pPr>
        <w:snapToGrid w:val="0"/>
        <w:spacing w:line="320" w:lineRule="exact"/>
        <w:jc w:val="left"/>
        <w:rPr>
          <w:rFonts w:ascii="宋体" w:hAnsi="宋体"/>
          <w:sz w:val="30"/>
          <w:szCs w:val="20"/>
        </w:rPr>
      </w:pPr>
      <w:r>
        <w:rPr>
          <w:rFonts w:hint="eastAsia" w:ascii="宋体" w:hAnsi="宋体"/>
          <w:sz w:val="24"/>
        </w:rPr>
        <w:t>被授权人签字:___________ 日期:_____年___月___日</w:t>
      </w:r>
    </w:p>
    <w:p>
      <w:pPr>
        <w:pStyle w:val="27"/>
        <w:snapToGrid w:val="0"/>
        <w:spacing w:before="295" w:after="295" w:line="320" w:lineRule="exact"/>
        <w:ind w:firstLine="6840" w:firstLineChars="2850"/>
        <w:rPr>
          <w:rFonts w:hAnsi="宋体"/>
          <w:sz w:val="24"/>
          <w:szCs w:val="24"/>
        </w:rPr>
      </w:pPr>
    </w:p>
    <w:p>
      <w:pPr>
        <w:pStyle w:val="27"/>
        <w:snapToGrid w:val="0"/>
        <w:spacing w:before="295" w:after="295" w:line="320" w:lineRule="exact"/>
        <w:ind w:firstLine="6840" w:firstLineChars="2850"/>
        <w:rPr>
          <w:rFonts w:hAnsi="宋体"/>
          <w:sz w:val="24"/>
          <w:szCs w:val="24"/>
        </w:rPr>
      </w:pPr>
    </w:p>
    <w:p>
      <w:pPr>
        <w:pStyle w:val="27"/>
        <w:snapToGrid w:val="0"/>
        <w:spacing w:before="295" w:after="295" w:line="320" w:lineRule="exact"/>
        <w:ind w:firstLine="6840" w:firstLineChars="2850"/>
        <w:rPr>
          <w:rFonts w:hAnsi="宋体"/>
          <w:sz w:val="24"/>
          <w:szCs w:val="24"/>
        </w:rPr>
      </w:pPr>
      <w:r>
        <w:rPr>
          <w:rFonts w:hint="eastAsia" w:hAnsi="宋体"/>
          <w:sz w:val="24"/>
          <w:szCs w:val="24"/>
        </w:rPr>
        <w:t>（公章）</w:t>
      </w:r>
    </w:p>
    <w:p>
      <w:pPr>
        <w:pStyle w:val="27"/>
        <w:snapToGrid w:val="0"/>
        <w:spacing w:before="295" w:after="295" w:line="320" w:lineRule="exact"/>
        <w:rPr>
          <w:rFonts w:hAnsi="宋体"/>
          <w:sz w:val="24"/>
        </w:rPr>
      </w:pPr>
      <w:r>
        <w:rPr>
          <w:rFonts w:hint="eastAsia" w:hAnsi="宋体"/>
          <w:sz w:val="24"/>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napToGrid w:val="0"/>
        <w:spacing w:before="156" w:beforeLines="50" w:after="50"/>
        <w:jc w:val="left"/>
        <w:rPr>
          <w:rFonts w:ascii="宋体" w:hAnsi="宋体"/>
          <w:b/>
          <w:sz w:val="24"/>
        </w:rPr>
      </w:pPr>
      <w:r>
        <w:rPr>
          <w:rFonts w:hAnsi="宋体"/>
          <w:u w:val="single"/>
        </w:rPr>
        <w:br w:type="page"/>
      </w:r>
      <w:r>
        <w:rPr>
          <w:rFonts w:hint="eastAsia" w:ascii="宋体" w:hAnsi="宋体"/>
          <w:b/>
          <w:sz w:val="24"/>
        </w:rPr>
        <w:t>4.开标一览表</w:t>
      </w:r>
    </w:p>
    <w:p>
      <w:pPr>
        <w:snapToGrid w:val="0"/>
        <w:spacing w:before="50" w:after="50"/>
        <w:jc w:val="center"/>
        <w:rPr>
          <w:rFonts w:ascii="宋体" w:hAnsi="宋体"/>
          <w:b/>
          <w:sz w:val="30"/>
        </w:rPr>
      </w:pPr>
      <w:r>
        <w:rPr>
          <w:rFonts w:hint="eastAsia" w:ascii="宋体" w:hAnsi="宋体"/>
          <w:b/>
          <w:sz w:val="30"/>
        </w:rPr>
        <w:t>开标一览表</w:t>
      </w:r>
    </w:p>
    <w:p>
      <w:pPr>
        <w:snapToGrid w:val="0"/>
        <w:spacing w:before="50" w:after="50"/>
        <w:jc w:val="center"/>
        <w:rPr>
          <w:rFonts w:ascii="宋体" w:hAnsi="宋体"/>
          <w:b/>
          <w:sz w:val="30"/>
        </w:rPr>
      </w:pPr>
    </w:p>
    <w:p>
      <w:pPr>
        <w:pStyle w:val="27"/>
        <w:rPr>
          <w:rFonts w:hAnsi="宋体"/>
          <w:b/>
          <w:sz w:val="21"/>
        </w:rPr>
      </w:pPr>
      <w:r>
        <w:rPr>
          <w:rFonts w:hint="eastAsia" w:hAnsi="宋体"/>
          <w:b/>
          <w:sz w:val="21"/>
        </w:rPr>
        <w:t>项目名称：                                    项目编号：</w:t>
      </w:r>
    </w:p>
    <w:tbl>
      <w:tblPr>
        <w:tblStyle w:val="5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55"/>
        <w:gridCol w:w="850"/>
        <w:gridCol w:w="3402"/>
        <w:gridCol w:w="103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center"/>
              <w:rPr>
                <w:rFonts w:ascii="宋体" w:hAnsi="宋体"/>
                <w:b/>
                <w:bCs/>
                <w:kern w:val="0"/>
                <w:szCs w:val="21"/>
              </w:rPr>
            </w:pPr>
            <w:bookmarkStart w:id="76" w:name="_Toc271206314"/>
            <w:r>
              <w:rPr>
                <w:rFonts w:hint="eastAsia" w:ascii="宋体" w:hAnsi="宋体"/>
                <w:b/>
                <w:bCs/>
                <w:kern w:val="0"/>
              </w:rPr>
              <w:t>序号</w:t>
            </w:r>
            <w:bookmarkEnd w:id="76"/>
          </w:p>
        </w:tc>
        <w:tc>
          <w:tcPr>
            <w:tcW w:w="24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jc w:val="center"/>
              <w:rPr>
                <w:rFonts w:ascii="宋体" w:hAnsi="宋体"/>
                <w:b/>
                <w:bCs/>
                <w:kern w:val="0"/>
                <w:szCs w:val="21"/>
              </w:rPr>
            </w:pPr>
            <w:r>
              <w:rPr>
                <w:rFonts w:hint="eastAsia" w:ascii="宋体" w:hAnsi="宋体"/>
                <w:b/>
                <w:bCs/>
                <w:kern w:val="0"/>
              </w:rPr>
              <w:t>服务名称</w:t>
            </w:r>
          </w:p>
        </w:tc>
        <w:tc>
          <w:tcPr>
            <w:tcW w:w="850"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jc w:val="center"/>
              <w:rPr>
                <w:rFonts w:ascii="宋体" w:hAnsi="宋体"/>
                <w:b/>
                <w:bCs/>
                <w:kern w:val="0"/>
                <w:szCs w:val="21"/>
              </w:rPr>
            </w:pPr>
            <w:r>
              <w:rPr>
                <w:rFonts w:hint="eastAsia" w:ascii="宋体" w:hAnsi="宋体"/>
                <w:b/>
                <w:bCs/>
                <w:kern w:val="0"/>
              </w:rPr>
              <w:t>数量</w:t>
            </w:r>
          </w:p>
        </w:tc>
        <w:tc>
          <w:tcPr>
            <w:tcW w:w="340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jc w:val="center"/>
              <w:rPr>
                <w:rFonts w:ascii="宋体" w:hAnsi="宋体"/>
                <w:b/>
                <w:bCs/>
                <w:kern w:val="0"/>
                <w:szCs w:val="21"/>
              </w:rPr>
            </w:pPr>
            <w:r>
              <w:rPr>
                <w:rFonts w:hint="eastAsia" w:ascii="宋体" w:hAnsi="宋体"/>
                <w:b/>
                <w:bCs/>
                <w:kern w:val="0"/>
              </w:rPr>
              <w:t>项目内容及要求</w:t>
            </w:r>
          </w:p>
        </w:tc>
        <w:tc>
          <w:tcPr>
            <w:tcW w:w="1030"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jc w:val="center"/>
              <w:rPr>
                <w:rFonts w:ascii="宋体" w:hAnsi="宋体"/>
                <w:b/>
                <w:bCs/>
                <w:kern w:val="0"/>
                <w:szCs w:val="21"/>
              </w:rPr>
            </w:pPr>
            <w:r>
              <w:rPr>
                <w:rFonts w:hint="eastAsia" w:ascii="宋体" w:hAnsi="宋体"/>
                <w:b/>
                <w:bCs/>
                <w:kern w:val="0"/>
              </w:rPr>
              <w:t>单价</w:t>
            </w:r>
          </w:p>
          <w:p>
            <w:pPr>
              <w:autoSpaceDE w:val="0"/>
              <w:autoSpaceDN w:val="0"/>
              <w:adjustRightInd w:val="0"/>
              <w:spacing w:line="460" w:lineRule="exact"/>
              <w:jc w:val="center"/>
              <w:rPr>
                <w:rFonts w:ascii="宋体" w:hAnsi="宋体"/>
                <w:b/>
                <w:bCs/>
                <w:kern w:val="0"/>
                <w:szCs w:val="21"/>
              </w:rPr>
            </w:pPr>
            <w:r>
              <w:rPr>
                <w:rFonts w:hint="eastAsia" w:ascii="宋体" w:hAnsi="宋体"/>
                <w:b/>
                <w:bCs/>
                <w:kern w:val="0"/>
              </w:rPr>
              <w:t>（元）</w:t>
            </w:r>
          </w:p>
        </w:tc>
        <w:tc>
          <w:tcPr>
            <w:tcW w:w="123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jc w:val="center"/>
              <w:rPr>
                <w:rFonts w:ascii="宋体" w:hAnsi="宋体"/>
                <w:b/>
                <w:bCs/>
                <w:kern w:val="0"/>
                <w:szCs w:val="21"/>
              </w:rPr>
            </w:pPr>
            <w:bookmarkStart w:id="77" w:name="_Toc271206316"/>
            <w:r>
              <w:rPr>
                <w:rFonts w:hint="eastAsia" w:ascii="宋体" w:hAnsi="宋体"/>
                <w:b/>
                <w:bCs/>
                <w:kern w:val="0"/>
              </w:rPr>
              <w:t>单价合计</w:t>
            </w:r>
            <w:bookmarkEnd w:id="77"/>
          </w:p>
          <w:p>
            <w:pPr>
              <w:autoSpaceDE w:val="0"/>
              <w:autoSpaceDN w:val="0"/>
              <w:adjustRightInd w:val="0"/>
              <w:spacing w:line="460" w:lineRule="exact"/>
              <w:jc w:val="center"/>
              <w:rPr>
                <w:rFonts w:ascii="宋体" w:hAnsi="宋体"/>
                <w:b/>
                <w:bCs/>
                <w:kern w:val="0"/>
                <w:szCs w:val="21"/>
              </w:rPr>
            </w:pPr>
            <w:r>
              <w:rPr>
                <w:rFonts w:hint="eastAsia" w:ascii="宋体" w:hAnsi="宋体"/>
                <w:b/>
                <w:bCs/>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center"/>
              <w:rPr>
                <w:rFonts w:ascii="宋体" w:hAnsi="宋体"/>
                <w:kern w:val="0"/>
                <w:szCs w:val="21"/>
              </w:rPr>
            </w:pPr>
            <w:bookmarkStart w:id="78" w:name="_Toc271206318"/>
            <w:r>
              <w:rPr>
                <w:rFonts w:hint="eastAsia" w:ascii="宋体" w:hAnsi="宋体"/>
                <w:kern w:val="0"/>
              </w:rPr>
              <w:t>1</w:t>
            </w:r>
            <w:bookmarkEnd w:id="78"/>
          </w:p>
        </w:tc>
        <w:tc>
          <w:tcPr>
            <w:tcW w:w="24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rPr>
                <w:rFonts w:ascii="宋体" w:hAnsi="宋体"/>
                <w:kern w:val="0"/>
                <w:szCs w:val="21"/>
              </w:rPr>
            </w:pPr>
          </w:p>
        </w:tc>
        <w:tc>
          <w:tcPr>
            <w:tcW w:w="850"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rPr>
                <w:rFonts w:ascii="宋体" w:hAnsi="宋体"/>
                <w:kern w:val="0"/>
                <w:szCs w:val="21"/>
              </w:rPr>
            </w:pPr>
          </w:p>
        </w:tc>
        <w:tc>
          <w:tcPr>
            <w:tcW w:w="340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jc w:val="center"/>
              <w:rPr>
                <w:rFonts w:ascii="宋体" w:hAnsi="宋体"/>
                <w:kern w:val="0"/>
                <w:szCs w:val="21"/>
              </w:rPr>
            </w:pPr>
            <w:r>
              <w:rPr>
                <w:rFonts w:hint="eastAsia" w:ascii="宋体" w:hAnsi="宋体"/>
                <w:kern w:val="0"/>
              </w:rPr>
              <w:t> </w:t>
            </w:r>
          </w:p>
        </w:tc>
        <w:tc>
          <w:tcPr>
            <w:tcW w:w="1030"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ind w:left="480"/>
              <w:jc w:val="center"/>
              <w:rPr>
                <w:rFonts w:ascii="宋体" w:hAnsi="宋体"/>
                <w:kern w:val="0"/>
                <w:szCs w:val="21"/>
              </w:rPr>
            </w:pPr>
          </w:p>
        </w:tc>
        <w:tc>
          <w:tcPr>
            <w:tcW w:w="123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ind w:left="48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center"/>
              <w:rPr>
                <w:rFonts w:ascii="宋体" w:hAnsi="宋体"/>
                <w:kern w:val="0"/>
                <w:szCs w:val="21"/>
              </w:rPr>
            </w:pPr>
            <w:r>
              <w:rPr>
                <w:rFonts w:hint="eastAsia" w:ascii="宋体" w:hAnsi="宋体"/>
                <w:kern w:val="0"/>
              </w:rPr>
              <w:t>2</w:t>
            </w:r>
          </w:p>
        </w:tc>
        <w:tc>
          <w:tcPr>
            <w:tcW w:w="24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rPr>
                <w:rFonts w:ascii="宋体" w:hAnsi="宋体"/>
                <w:kern w:val="0"/>
                <w:szCs w:val="21"/>
              </w:rPr>
            </w:pPr>
          </w:p>
        </w:tc>
        <w:tc>
          <w:tcPr>
            <w:tcW w:w="850"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rPr>
                <w:rFonts w:ascii="宋体" w:hAnsi="宋体"/>
                <w:kern w:val="0"/>
                <w:szCs w:val="21"/>
              </w:rPr>
            </w:pPr>
          </w:p>
        </w:tc>
        <w:tc>
          <w:tcPr>
            <w:tcW w:w="340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jc w:val="center"/>
              <w:rPr>
                <w:rFonts w:ascii="宋体" w:hAnsi="宋体"/>
                <w:kern w:val="0"/>
                <w:szCs w:val="21"/>
              </w:rPr>
            </w:pPr>
          </w:p>
        </w:tc>
        <w:tc>
          <w:tcPr>
            <w:tcW w:w="1030"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ind w:left="480"/>
              <w:jc w:val="center"/>
              <w:rPr>
                <w:rFonts w:ascii="宋体" w:hAnsi="宋体"/>
                <w:kern w:val="0"/>
                <w:szCs w:val="21"/>
              </w:rPr>
            </w:pPr>
          </w:p>
        </w:tc>
        <w:tc>
          <w:tcPr>
            <w:tcW w:w="123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ind w:left="48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center"/>
              <w:rPr>
                <w:rFonts w:ascii="宋体" w:hAnsi="宋体"/>
                <w:kern w:val="0"/>
                <w:szCs w:val="21"/>
              </w:rPr>
            </w:pPr>
            <w:r>
              <w:rPr>
                <w:rFonts w:hint="eastAsia" w:ascii="宋体" w:hAnsi="宋体"/>
                <w:kern w:val="0"/>
              </w:rPr>
              <w:t>…</w:t>
            </w:r>
          </w:p>
        </w:tc>
        <w:tc>
          <w:tcPr>
            <w:tcW w:w="24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rPr>
                <w:rFonts w:ascii="宋体" w:hAnsi="宋体"/>
                <w:kern w:val="0"/>
                <w:szCs w:val="21"/>
              </w:rPr>
            </w:pPr>
          </w:p>
        </w:tc>
        <w:tc>
          <w:tcPr>
            <w:tcW w:w="850"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rPr>
                <w:rFonts w:ascii="宋体" w:hAnsi="宋体"/>
                <w:kern w:val="0"/>
                <w:szCs w:val="21"/>
              </w:rPr>
            </w:pPr>
          </w:p>
        </w:tc>
        <w:tc>
          <w:tcPr>
            <w:tcW w:w="340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jc w:val="center"/>
              <w:rPr>
                <w:rFonts w:ascii="宋体" w:hAnsi="宋体"/>
                <w:kern w:val="0"/>
                <w:szCs w:val="21"/>
              </w:rPr>
            </w:pPr>
          </w:p>
        </w:tc>
        <w:tc>
          <w:tcPr>
            <w:tcW w:w="1030"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ind w:left="480"/>
              <w:jc w:val="center"/>
              <w:rPr>
                <w:rFonts w:ascii="宋体" w:hAnsi="宋体"/>
                <w:kern w:val="0"/>
                <w:szCs w:val="21"/>
              </w:rPr>
            </w:pPr>
          </w:p>
        </w:tc>
        <w:tc>
          <w:tcPr>
            <w:tcW w:w="123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60" w:lineRule="exact"/>
              <w:ind w:left="48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978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left"/>
              <w:rPr>
                <w:rFonts w:ascii="宋体" w:hAnsi="宋体"/>
                <w:kern w:val="0"/>
                <w:szCs w:val="21"/>
              </w:rPr>
            </w:pPr>
            <w:bookmarkStart w:id="79" w:name="_Toc271206319"/>
            <w:r>
              <w:rPr>
                <w:rFonts w:hint="eastAsia" w:ascii="宋体" w:hAnsi="宋体"/>
                <w:kern w:val="0"/>
              </w:rPr>
              <w:t xml:space="preserve">投标总报价（人民币大写）： </w:t>
            </w:r>
            <w:bookmarkEnd w:id="79"/>
            <w:r>
              <w:rPr>
                <w:rFonts w:hint="eastAsia" w:ascii="宋体" w:hAnsi="宋体"/>
                <w:kern w:val="0"/>
                <w:u w:val="single"/>
              </w:rPr>
              <w:t xml:space="preserve">                           </w:t>
            </w:r>
            <w:r>
              <w:rPr>
                <w:rFonts w:hint="eastAsia" w:ascii="宋体" w:hAnsi="宋体"/>
                <w:kern w:val="0"/>
              </w:rPr>
              <w:t xml:space="preserve">（ </w:t>
            </w:r>
            <w:r>
              <w:rPr>
                <w:rFonts w:ascii="宋体" w:hAnsi="宋体"/>
                <w:kern w:val="0"/>
              </w:rPr>
              <w:t>¥</w:t>
            </w:r>
            <w:r>
              <w:rPr>
                <w:rFonts w:hint="eastAsia" w:ascii="宋体" w:hAnsi="宋体"/>
                <w:kern w:val="0"/>
                <w:u w:val="single"/>
              </w:rPr>
              <w:t xml:space="preserve">                </w:t>
            </w:r>
            <w:r>
              <w:rPr>
                <w:rFonts w:hint="eastAsia" w:ascii="宋体" w:hAnsi="宋体"/>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978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left"/>
              <w:rPr>
                <w:rFonts w:ascii="宋体" w:hAnsi="宋体"/>
                <w:kern w:val="0"/>
                <w:szCs w:val="21"/>
              </w:rPr>
            </w:pPr>
            <w:r>
              <w:rPr>
                <w:rFonts w:hint="eastAsia" w:ascii="宋体" w:hAnsi="宋体"/>
              </w:rPr>
              <w:t>成果交付期：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9781" w:type="dxa"/>
            <w:gridSpan w:val="6"/>
            <w:tcBorders>
              <w:top w:val="single" w:color="auto" w:sz="4" w:space="0"/>
              <w:left w:val="single" w:color="auto" w:sz="4" w:space="0"/>
              <w:bottom w:val="single" w:color="auto" w:sz="4" w:space="0"/>
              <w:right w:val="single" w:color="auto" w:sz="4" w:space="0"/>
            </w:tcBorders>
            <w:vAlign w:val="center"/>
          </w:tcPr>
          <w:p>
            <w:pPr>
              <w:pStyle w:val="27"/>
              <w:rPr>
                <w:rFonts w:hAnsi="宋体"/>
                <w:sz w:val="21"/>
              </w:rPr>
            </w:pPr>
            <w:r>
              <w:rPr>
                <w:rFonts w:hint="eastAsia" w:hAnsi="宋体"/>
                <w:sz w:val="21"/>
              </w:rPr>
              <w:t>备注：</w:t>
            </w:r>
          </w:p>
          <w:p>
            <w:pPr>
              <w:pStyle w:val="27"/>
              <w:ind w:firstLine="420" w:firstLineChars="200"/>
              <w:rPr>
                <w:rFonts w:hAnsi="宋体"/>
                <w:sz w:val="21"/>
              </w:rPr>
            </w:pPr>
            <w:r>
              <w:rPr>
                <w:rFonts w:hint="eastAsia" w:hAnsi="宋体"/>
                <w:sz w:val="21"/>
              </w:rPr>
              <w:t>1.参考市场价格和其他有关规定，根据业主提供的部分资料，由供应商考虑各方面因素、风险，以固定总额报价，总价包干。</w:t>
            </w:r>
          </w:p>
          <w:p>
            <w:pPr>
              <w:autoSpaceDE w:val="0"/>
              <w:autoSpaceDN w:val="0"/>
              <w:adjustRightInd w:val="0"/>
              <w:spacing w:line="460" w:lineRule="exact"/>
              <w:ind w:firstLine="420" w:firstLineChars="200"/>
              <w:jc w:val="left"/>
              <w:rPr>
                <w:rFonts w:ascii="宋体" w:hAnsi="宋体"/>
                <w:kern w:val="0"/>
                <w:szCs w:val="21"/>
              </w:rPr>
            </w:pPr>
          </w:p>
        </w:tc>
      </w:tr>
    </w:tbl>
    <w:p>
      <w:pPr>
        <w:pStyle w:val="27"/>
        <w:rPr>
          <w:rFonts w:hAnsi="宋体"/>
          <w:b/>
          <w:sz w:val="21"/>
        </w:rPr>
      </w:pPr>
    </w:p>
    <w:p>
      <w:pPr>
        <w:pStyle w:val="27"/>
        <w:rPr>
          <w:rFonts w:hAnsi="宋体"/>
          <w:b/>
          <w:sz w:val="21"/>
        </w:rPr>
      </w:pPr>
    </w:p>
    <w:p>
      <w:pPr>
        <w:snapToGrid w:val="0"/>
        <w:spacing w:before="50" w:after="50"/>
        <w:jc w:val="left"/>
        <w:rPr>
          <w:rFonts w:ascii="宋体" w:hAnsi="宋体"/>
          <w:b/>
          <w:szCs w:val="21"/>
        </w:rPr>
      </w:pPr>
      <w:r>
        <w:rPr>
          <w:rFonts w:hint="eastAsia" w:ascii="宋体" w:hAnsi="宋体"/>
          <w:szCs w:val="21"/>
        </w:rPr>
        <w:t>注: 1.投标人的开标一览表必须加盖投标人公章并由</w:t>
      </w:r>
      <w:r>
        <w:rPr>
          <w:rFonts w:ascii="宋体" w:hAnsi="宋体"/>
          <w:szCs w:val="21"/>
        </w:rPr>
        <w:t>法定代表人或委托代理人</w:t>
      </w:r>
      <w:r>
        <w:rPr>
          <w:rFonts w:hint="eastAsia" w:ascii="宋体" w:hAnsi="宋体"/>
          <w:szCs w:val="21"/>
        </w:rPr>
        <w:t>签字或签章，</w:t>
      </w:r>
      <w:r>
        <w:rPr>
          <w:rFonts w:hint="eastAsia" w:ascii="宋体" w:hAnsi="宋体"/>
          <w:b/>
          <w:szCs w:val="21"/>
        </w:rPr>
        <w:t>否则其投标作无效标处理</w:t>
      </w:r>
      <w:r>
        <w:rPr>
          <w:rFonts w:hint="eastAsia" w:ascii="宋体" w:hAnsi="宋体"/>
          <w:szCs w:val="21"/>
        </w:rPr>
        <w:t>。</w:t>
      </w:r>
      <w:r>
        <w:rPr>
          <w:rFonts w:hint="eastAsia" w:ascii="宋体" w:hAnsi="宋体"/>
          <w:bCs/>
          <w:szCs w:val="21"/>
        </w:rPr>
        <w:t>2.</w:t>
      </w:r>
      <w:r>
        <w:rPr>
          <w:rFonts w:hint="eastAsia" w:ascii="宋体" w:hAnsi="宋体"/>
          <w:szCs w:val="21"/>
        </w:rPr>
        <w:t>报价一经涂改，应在涂改处加盖投标人公章或者由法定代表人或授权委托人签字或盖章</w:t>
      </w:r>
      <w:r>
        <w:rPr>
          <w:rFonts w:hint="eastAsia" w:ascii="宋体" w:hAnsi="宋体"/>
          <w:b/>
          <w:szCs w:val="21"/>
        </w:rPr>
        <w:t>，否则其投标作无效标处理。</w:t>
      </w:r>
    </w:p>
    <w:p>
      <w:pPr>
        <w:pStyle w:val="27"/>
        <w:rPr>
          <w:rFonts w:hAnsi="宋体"/>
          <w:sz w:val="21"/>
        </w:rPr>
      </w:pPr>
    </w:p>
    <w:p>
      <w:pPr>
        <w:pStyle w:val="27"/>
        <w:rPr>
          <w:rFonts w:hAnsi="宋体"/>
          <w:sz w:val="21"/>
        </w:rPr>
      </w:pPr>
    </w:p>
    <w:p>
      <w:pPr>
        <w:pStyle w:val="27"/>
        <w:rPr>
          <w:rFonts w:hAnsi="宋体"/>
          <w:sz w:val="21"/>
        </w:rPr>
      </w:pPr>
      <w:r>
        <w:rPr>
          <w:rFonts w:hint="eastAsia" w:hAnsi="宋体"/>
          <w:sz w:val="21"/>
        </w:rPr>
        <w:t>投标人盖公章</w:t>
      </w:r>
      <w:r>
        <w:rPr>
          <w:rFonts w:hint="eastAsia" w:hAnsi="宋体"/>
          <w:sz w:val="21"/>
          <w:u w:val="single"/>
        </w:rPr>
        <w:t xml:space="preserve">                                 </w:t>
      </w:r>
    </w:p>
    <w:p>
      <w:pPr>
        <w:pStyle w:val="27"/>
        <w:rPr>
          <w:rFonts w:hAnsi="宋体"/>
          <w:sz w:val="21"/>
        </w:rPr>
      </w:pPr>
    </w:p>
    <w:p>
      <w:pPr>
        <w:pStyle w:val="27"/>
        <w:rPr>
          <w:rFonts w:hAnsi="宋体"/>
          <w:sz w:val="21"/>
          <w:u w:val="single"/>
        </w:rPr>
      </w:pPr>
      <w:r>
        <w:rPr>
          <w:rFonts w:hint="eastAsia" w:hAnsi="宋体"/>
          <w:sz w:val="21"/>
        </w:rPr>
        <w:t>法定代表人或委托代理人签字或签章</w:t>
      </w:r>
      <w:r>
        <w:rPr>
          <w:rFonts w:hint="eastAsia" w:hAnsi="宋体"/>
          <w:sz w:val="21"/>
          <w:u w:val="single"/>
        </w:rPr>
        <w:t xml:space="preserve">                   </w:t>
      </w:r>
    </w:p>
    <w:p>
      <w:pPr>
        <w:pStyle w:val="27"/>
        <w:rPr>
          <w:rFonts w:hAnsi="宋体"/>
          <w:sz w:val="21"/>
          <w:u w:val="single"/>
        </w:rPr>
      </w:pPr>
    </w:p>
    <w:p>
      <w:pPr>
        <w:spacing w:line="360" w:lineRule="auto"/>
        <w:jc w:val="left"/>
        <w:rPr>
          <w:rFonts w:ascii="宋体" w:hAnsi="宋体"/>
          <w:szCs w:val="21"/>
        </w:rPr>
      </w:pPr>
      <w:r>
        <w:rPr>
          <w:rFonts w:hint="eastAsia" w:ascii="宋体" w:hAnsi="宋体"/>
          <w:szCs w:val="21"/>
        </w:rPr>
        <w:t>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27"/>
        <w:rPr>
          <w:rFonts w:hAnsi="宋体"/>
          <w:b/>
          <w:sz w:val="21"/>
        </w:rPr>
      </w:pPr>
    </w:p>
    <w:p>
      <w:pPr>
        <w:snapToGrid w:val="0"/>
        <w:spacing w:before="50" w:after="50"/>
        <w:ind w:left="-2" w:leftChars="-15" w:right="-817" w:rightChars="-389" w:hanging="29" w:hangingChars="12"/>
        <w:rPr>
          <w:rFonts w:ascii="宋体" w:hAnsi="宋体"/>
          <w:b/>
          <w:sz w:val="24"/>
        </w:rPr>
      </w:pPr>
    </w:p>
    <w:p>
      <w:pPr>
        <w:snapToGrid w:val="0"/>
        <w:spacing w:before="50" w:after="50"/>
        <w:ind w:left="-2" w:leftChars="-15" w:right="-817" w:rightChars="-389" w:hanging="29" w:hangingChars="12"/>
        <w:rPr>
          <w:rFonts w:ascii="宋体" w:hAnsi="宋体"/>
          <w:szCs w:val="21"/>
        </w:rPr>
      </w:pPr>
      <w:r>
        <w:rPr>
          <w:rFonts w:hint="eastAsia" w:ascii="宋体" w:hAnsi="宋体"/>
          <w:b/>
          <w:sz w:val="24"/>
        </w:rPr>
        <w:t>5.</w:t>
      </w:r>
      <w:r>
        <w:rPr>
          <w:rFonts w:hint="eastAsia"/>
        </w:rPr>
        <w:t xml:space="preserve"> </w:t>
      </w:r>
      <w:r>
        <w:rPr>
          <w:rFonts w:hint="eastAsia" w:ascii="宋体" w:hAnsi="宋体"/>
          <w:b/>
          <w:sz w:val="24"/>
        </w:rPr>
        <w:t>投标人针对报价需要说明的其他文件和说明（格式自拟）。</w:t>
      </w:r>
    </w:p>
    <w:p>
      <w:pPr>
        <w:pStyle w:val="240"/>
        <w:rPr>
          <w:color w:val="auto"/>
          <w:sz w:val="30"/>
        </w:rPr>
      </w:pPr>
      <w:r>
        <w:rPr>
          <w:rFonts w:ascii="宋体" w:eastAsia="宋体"/>
          <w:color w:val="auto"/>
        </w:rPr>
        <w:br w:type="page"/>
      </w:r>
      <w:r>
        <w:rPr>
          <w:rFonts w:hint="eastAsia"/>
          <w:color w:val="auto"/>
          <w:sz w:val="30"/>
        </w:rPr>
        <w:t xml:space="preserve"> </w:t>
      </w:r>
    </w:p>
    <w:p>
      <w:pPr>
        <w:snapToGrid w:val="0"/>
        <w:spacing w:before="156" w:beforeLines="50" w:after="50"/>
        <w:outlineLvl w:val="1"/>
        <w:rPr>
          <w:rFonts w:ascii="宋体" w:hAnsi="宋体"/>
          <w:b/>
          <w:bCs/>
          <w:sz w:val="24"/>
        </w:rPr>
      </w:pPr>
      <w:bookmarkStart w:id="80" w:name="_Toc24366226"/>
      <w:r>
        <w:rPr>
          <w:rFonts w:hint="eastAsia" w:ascii="宋体" w:hAnsi="宋体"/>
          <w:b/>
          <w:bCs/>
          <w:sz w:val="24"/>
        </w:rPr>
        <w:t>三、资格证明文件</w:t>
      </w:r>
      <w:bookmarkEnd w:id="74"/>
      <w:bookmarkEnd w:id="75"/>
      <w:bookmarkEnd w:id="80"/>
    </w:p>
    <w:p>
      <w:pPr>
        <w:snapToGrid w:val="0"/>
        <w:spacing w:before="156" w:beforeLines="50" w:after="50"/>
        <w:rPr>
          <w:rFonts w:ascii="宋体" w:hAnsi="宋体"/>
          <w:b/>
          <w:sz w:val="24"/>
        </w:rPr>
      </w:pPr>
      <w:r>
        <w:rPr>
          <w:rFonts w:hint="eastAsia" w:ascii="宋体" w:hAnsi="宋体"/>
          <w:b/>
          <w:sz w:val="24"/>
        </w:rPr>
        <w:t>1.</w:t>
      </w:r>
      <w:r>
        <w:rPr>
          <w:rFonts w:hint="eastAsia" w:ascii="宋体" w:hAnsi="宋体"/>
          <w:b/>
          <w:sz w:val="24"/>
        </w:rPr>
        <w:tab/>
      </w:r>
      <w:r>
        <w:rPr>
          <w:rFonts w:hint="eastAsia" w:ascii="宋体" w:hAnsi="宋体"/>
          <w:b/>
          <w:sz w:val="24"/>
        </w:rPr>
        <w:t xml:space="preserve">资格证明文件封面格式： </w:t>
      </w:r>
    </w:p>
    <w:p>
      <w:pPr>
        <w:snapToGrid w:val="0"/>
        <w:spacing w:before="156" w:beforeLines="50" w:after="50"/>
        <w:rPr>
          <w:rFonts w:ascii="宋体" w:hAnsi="宋体"/>
          <w:b/>
          <w:sz w:val="24"/>
        </w:rPr>
      </w:pPr>
    </w:p>
    <w:p>
      <w:pPr>
        <w:snapToGrid w:val="0"/>
        <w:spacing w:before="156" w:beforeLines="50" w:after="50"/>
        <w:rPr>
          <w:rFonts w:ascii="宋体" w:hAnsi="宋体"/>
          <w:b/>
          <w:sz w:val="24"/>
        </w:rPr>
      </w:pPr>
    </w:p>
    <w:p>
      <w:pPr>
        <w:snapToGrid w:val="0"/>
        <w:spacing w:before="156" w:beforeLines="50" w:after="50"/>
        <w:rPr>
          <w:rFonts w:ascii="宋体" w:hAnsi="宋体"/>
          <w:bCs/>
          <w:sz w:val="32"/>
          <w:szCs w:val="20"/>
        </w:rPr>
      </w:pPr>
      <w:r>
        <w:rPr>
          <w:rFonts w:hint="eastAsia" w:ascii="宋体" w:hAnsi="宋体"/>
          <w:sz w:val="24"/>
        </w:rPr>
        <w:t xml:space="preserve">                                                    </w:t>
      </w:r>
      <w:r>
        <w:rPr>
          <w:rFonts w:hint="eastAsia" w:ascii="宋体" w:hAnsi="宋体"/>
          <w:bCs/>
        </w:rPr>
        <w:t>正本/或副本</w:t>
      </w:r>
    </w:p>
    <w:p>
      <w:pPr>
        <w:snapToGrid w:val="0"/>
        <w:spacing w:before="156" w:beforeLines="50" w:after="50"/>
        <w:rPr>
          <w:rFonts w:ascii="宋体" w:hAnsi="宋体"/>
          <w:sz w:val="24"/>
          <w:szCs w:val="20"/>
        </w:rPr>
      </w:pPr>
    </w:p>
    <w:p>
      <w:pPr>
        <w:snapToGrid w:val="0"/>
        <w:spacing w:before="156" w:beforeLines="50" w:after="50"/>
        <w:jc w:val="center"/>
        <w:rPr>
          <w:rFonts w:ascii="宋体" w:hAnsi="宋体"/>
          <w:bCs/>
          <w:sz w:val="24"/>
          <w:szCs w:val="20"/>
        </w:rPr>
      </w:pPr>
      <w:r>
        <w:rPr>
          <w:rFonts w:hint="eastAsia" w:ascii="宋体" w:hAnsi="宋体"/>
          <w:bCs/>
          <w:sz w:val="32"/>
          <w:szCs w:val="32"/>
        </w:rPr>
        <w:t>资格证明</w:t>
      </w: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ind w:firstLine="540" w:firstLineChars="225"/>
        <w:rPr>
          <w:rFonts w:ascii="宋体" w:hAnsi="宋体"/>
          <w:bCs/>
          <w:sz w:val="24"/>
        </w:rPr>
      </w:pPr>
      <w:r>
        <w:rPr>
          <w:rFonts w:hint="eastAsia" w:ascii="宋体" w:hAnsi="宋体"/>
          <w:bCs/>
          <w:sz w:val="24"/>
        </w:rPr>
        <w:t>项目名称：</w:t>
      </w:r>
    </w:p>
    <w:p>
      <w:pPr>
        <w:snapToGrid w:val="0"/>
        <w:spacing w:before="156" w:beforeLines="50" w:after="50"/>
        <w:ind w:firstLine="540" w:firstLineChars="225"/>
        <w:rPr>
          <w:rFonts w:ascii="宋体" w:hAnsi="宋体"/>
          <w:bCs/>
          <w:sz w:val="24"/>
          <w:szCs w:val="20"/>
        </w:rPr>
      </w:pPr>
    </w:p>
    <w:p>
      <w:pPr>
        <w:snapToGrid w:val="0"/>
        <w:spacing w:before="156" w:beforeLines="50" w:after="50"/>
        <w:ind w:firstLine="540" w:firstLineChars="225"/>
        <w:rPr>
          <w:rFonts w:ascii="宋体" w:hAnsi="宋体"/>
          <w:bCs/>
          <w:sz w:val="24"/>
        </w:rPr>
      </w:pPr>
      <w:r>
        <w:rPr>
          <w:rFonts w:hint="eastAsia" w:ascii="宋体" w:hAnsi="宋体"/>
          <w:bCs/>
          <w:sz w:val="24"/>
        </w:rPr>
        <w:t>项目编号：</w:t>
      </w:r>
    </w:p>
    <w:p>
      <w:pPr>
        <w:snapToGrid w:val="0"/>
        <w:spacing w:before="156" w:beforeLines="50" w:after="50"/>
        <w:ind w:firstLine="540" w:firstLineChars="225"/>
        <w:rPr>
          <w:rFonts w:ascii="宋体" w:hAnsi="宋体"/>
          <w:bCs/>
          <w:sz w:val="24"/>
        </w:rPr>
      </w:pPr>
    </w:p>
    <w:p>
      <w:pPr>
        <w:snapToGrid w:val="0"/>
        <w:spacing w:before="156" w:beforeLines="50" w:after="50"/>
        <w:rPr>
          <w:rFonts w:ascii="宋体" w:hAnsi="宋体"/>
          <w:bCs/>
          <w:sz w:val="24"/>
          <w:szCs w:val="20"/>
        </w:rPr>
      </w:pPr>
    </w:p>
    <w:p>
      <w:pPr>
        <w:pStyle w:val="8"/>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pPr>
        <w:pStyle w:val="8"/>
        <w:snapToGrid w:val="0"/>
        <w:spacing w:before="50" w:after="50"/>
        <w:ind w:firstLine="540" w:firstLineChars="225"/>
        <w:rPr>
          <w:rFonts w:ascii="宋体" w:hAnsi="宋体"/>
          <w:bCs/>
          <w:sz w:val="24"/>
          <w:szCs w:val="24"/>
        </w:rPr>
      </w:pPr>
    </w:p>
    <w:p>
      <w:pPr>
        <w:pStyle w:val="8"/>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pPr>
        <w:pStyle w:val="8"/>
        <w:snapToGrid w:val="0"/>
        <w:spacing w:before="50" w:after="50"/>
        <w:ind w:firstLine="960" w:firstLineChars="400"/>
        <w:rPr>
          <w:rFonts w:ascii="宋体" w:hAnsi="宋体"/>
          <w:bCs/>
          <w:sz w:val="24"/>
          <w:szCs w:val="24"/>
        </w:rPr>
      </w:pPr>
    </w:p>
    <w:p>
      <w:pPr>
        <w:snapToGrid w:val="0"/>
        <w:spacing w:before="156" w:beforeLines="50" w:after="50"/>
        <w:ind w:firstLine="645"/>
        <w:jc w:val="center"/>
        <w:rPr>
          <w:rFonts w:ascii="宋体" w:hAnsi="宋体"/>
          <w:sz w:val="24"/>
        </w:rPr>
      </w:pPr>
      <w:r>
        <w:rPr>
          <w:rFonts w:hint="eastAsia" w:ascii="宋体" w:hAnsi="宋体"/>
          <w:sz w:val="24"/>
        </w:rPr>
        <w:t xml:space="preserve">                        年  月  日</w:t>
      </w:r>
    </w:p>
    <w:p>
      <w:pPr>
        <w:snapToGrid w:val="0"/>
        <w:spacing w:before="156" w:beforeLines="50" w:after="50"/>
        <w:ind w:firstLine="645"/>
        <w:jc w:val="center"/>
        <w:rPr>
          <w:rFonts w:ascii="宋体" w:hAnsi="宋体"/>
          <w:sz w:val="24"/>
          <w:szCs w:val="20"/>
        </w:rPr>
      </w:pPr>
    </w:p>
    <w:p>
      <w:pPr>
        <w:snapToGrid w:val="0"/>
        <w:spacing w:before="100" w:beforeAutospacing="1" w:after="100" w:afterAutospacing="1"/>
        <w:jc w:val="left"/>
        <w:rPr>
          <w:rFonts w:ascii="宋体" w:hAnsi="宋体"/>
          <w:b/>
          <w:bCs/>
          <w:sz w:val="24"/>
        </w:rPr>
      </w:pPr>
      <w:r>
        <w:rPr>
          <w:rFonts w:ascii="宋体" w:hAnsi="宋体"/>
          <w:b/>
          <w:bCs/>
          <w:sz w:val="24"/>
        </w:rPr>
        <w:br w:type="page"/>
      </w:r>
      <w:r>
        <w:rPr>
          <w:rFonts w:hint="eastAsia" w:ascii="宋体" w:hAnsi="宋体"/>
          <w:b/>
          <w:bCs/>
          <w:sz w:val="24"/>
        </w:rPr>
        <w:t>2.资格证明文件目录</w:t>
      </w:r>
    </w:p>
    <w:p>
      <w:pPr>
        <w:numPr>
          <w:ilvl w:val="2"/>
          <w:numId w:val="12"/>
        </w:numPr>
        <w:snapToGrid w:val="0"/>
        <w:spacing w:before="156" w:beforeLines="50" w:after="50"/>
        <w:ind w:left="0" w:firstLine="0"/>
        <w:jc w:val="left"/>
        <w:rPr>
          <w:rFonts w:ascii="宋体" w:hAnsi="宋体"/>
          <w:b/>
          <w:bCs/>
          <w:sz w:val="24"/>
        </w:rPr>
      </w:pPr>
      <w:r>
        <w:rPr>
          <w:rFonts w:hint="eastAsia" w:ascii="宋体" w:hAnsi="宋体"/>
          <w:bCs/>
          <w:sz w:val="24"/>
        </w:rPr>
        <w:t>根据招标文件规定及投标人提供的材料自行编写目录。</w:t>
      </w:r>
      <w:r>
        <w:rPr>
          <w:rFonts w:ascii="宋体" w:hAnsi="宋体"/>
          <w:sz w:val="24"/>
        </w:rPr>
        <w:br w:type="page"/>
      </w:r>
      <w:r>
        <w:rPr>
          <w:rFonts w:hint="eastAsia" w:ascii="宋体" w:hAnsi="宋体"/>
          <w:sz w:val="24"/>
        </w:rPr>
        <w:t>3.</w:t>
      </w:r>
      <w:r>
        <w:rPr>
          <w:rFonts w:hint="eastAsia" w:ascii="宋体" w:hAnsi="宋体"/>
          <w:b/>
          <w:bCs/>
          <w:sz w:val="24"/>
        </w:rPr>
        <w:t>投标声明</w:t>
      </w:r>
    </w:p>
    <w:p>
      <w:pPr>
        <w:snapToGrid w:val="0"/>
        <w:spacing w:before="50" w:after="156" w:afterLines="50"/>
        <w:jc w:val="left"/>
        <w:rPr>
          <w:rFonts w:ascii="宋体" w:hAnsi="宋体"/>
        </w:rPr>
      </w:pPr>
    </w:p>
    <w:p>
      <w:pPr>
        <w:snapToGrid w:val="0"/>
        <w:spacing w:before="50" w:after="156" w:afterLines="50"/>
        <w:jc w:val="center"/>
        <w:rPr>
          <w:rFonts w:ascii="宋体" w:hAnsi="宋体"/>
          <w:b/>
          <w:sz w:val="24"/>
        </w:rPr>
      </w:pPr>
      <w:r>
        <w:rPr>
          <w:rFonts w:hint="eastAsia" w:ascii="宋体" w:hAnsi="宋体"/>
          <w:b/>
          <w:sz w:val="24"/>
        </w:rPr>
        <w:t>投标声明</w:t>
      </w:r>
    </w:p>
    <w:p>
      <w:pPr>
        <w:snapToGrid w:val="0"/>
        <w:spacing w:before="50" w:after="156" w:afterLines="50"/>
        <w:jc w:val="center"/>
        <w:rPr>
          <w:rFonts w:ascii="宋体" w:hAnsi="宋体"/>
          <w:b/>
          <w:sz w:val="24"/>
        </w:rPr>
      </w:pPr>
    </w:p>
    <w:p>
      <w:pPr>
        <w:snapToGrid w:val="0"/>
        <w:spacing w:before="50" w:after="156" w:afterLines="50"/>
        <w:jc w:val="center"/>
        <w:rPr>
          <w:rFonts w:ascii="宋体" w:hAnsi="宋体"/>
          <w:b/>
          <w:sz w:val="28"/>
          <w:szCs w:val="28"/>
        </w:rPr>
      </w:pPr>
    </w:p>
    <w:p>
      <w:pPr>
        <w:snapToGrid w:val="0"/>
        <w:spacing w:before="50" w:after="156" w:afterLines="50"/>
        <w:jc w:val="left"/>
        <w:rPr>
          <w:sz w:val="24"/>
        </w:rPr>
      </w:pPr>
      <w:r>
        <w:rPr>
          <w:rFonts w:hint="eastAsia"/>
          <w:sz w:val="24"/>
        </w:rPr>
        <w:t>采购人名称：</w:t>
      </w:r>
    </w:p>
    <w:p>
      <w:pPr>
        <w:snapToGrid w:val="0"/>
        <w:spacing w:before="50" w:after="156" w:afterLines="50"/>
        <w:ind w:firstLine="405"/>
        <w:jc w:val="left"/>
        <w:rPr>
          <w:rFonts w:ascii="宋体" w:hAnsi="宋体"/>
          <w:sz w:val="24"/>
        </w:rPr>
      </w:pPr>
      <w:r>
        <w:rPr>
          <w:rFonts w:hint="eastAsia" w:ascii="宋体" w:hAnsi="宋体"/>
          <w:sz w:val="24"/>
        </w:rPr>
        <w:t>我公司参加贵单位组织</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）的政府采购活动。我公司在此郑重声明：</w:t>
      </w:r>
    </w:p>
    <w:p>
      <w:pPr>
        <w:snapToGrid w:val="0"/>
        <w:spacing w:before="50" w:after="156" w:afterLines="50"/>
        <w:ind w:firstLine="480" w:firstLineChars="200"/>
        <w:jc w:val="left"/>
        <w:rPr>
          <w:rFonts w:ascii="宋体" w:hAnsi="宋体"/>
          <w:sz w:val="24"/>
        </w:rPr>
      </w:pPr>
      <w:r>
        <w:rPr>
          <w:rFonts w:hint="eastAsia" w:ascii="宋体" w:hAnsi="宋体"/>
          <w:sz w:val="24"/>
        </w:rPr>
        <w:t>1.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156" w:afterLines="50"/>
        <w:ind w:firstLine="480" w:firstLineChars="200"/>
        <w:jc w:val="left"/>
        <w:rPr>
          <w:rFonts w:ascii="宋体" w:hAnsi="宋体"/>
          <w:sz w:val="24"/>
        </w:rPr>
      </w:pPr>
      <w:r>
        <w:rPr>
          <w:rFonts w:hint="eastAsia" w:ascii="宋体" w:hAnsi="宋体"/>
          <w:sz w:val="24"/>
        </w:rPr>
        <w:t>2.</w:t>
      </w:r>
      <w:r>
        <w:rPr>
          <w:rFonts w:hint="eastAsia"/>
        </w:rPr>
        <w:t xml:space="preserve"> </w:t>
      </w:r>
      <w:r>
        <w:rPr>
          <w:rFonts w:hint="eastAsia" w:ascii="宋体" w:hAnsi="宋体"/>
          <w:sz w:val="24"/>
        </w:rPr>
        <w:t>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156" w:afterLines="50"/>
        <w:ind w:firstLine="480" w:firstLineChars="200"/>
        <w:jc w:val="left"/>
        <w:rPr>
          <w:rFonts w:ascii="宋体" w:hAnsi="宋体"/>
          <w:sz w:val="24"/>
        </w:rPr>
      </w:pPr>
      <w:r>
        <w:rPr>
          <w:rFonts w:hint="eastAsia" w:ascii="宋体" w:hAnsi="宋体"/>
          <w:sz w:val="24"/>
        </w:rPr>
        <w:t>3. 我公司承诺符合《中华人民共和国政府采购法》第二十二条规定：</w:t>
      </w:r>
    </w:p>
    <w:p>
      <w:pPr>
        <w:snapToGrid w:val="0"/>
        <w:spacing w:before="50" w:after="156" w:afterLines="50"/>
        <w:ind w:firstLine="480" w:firstLineChars="200"/>
        <w:jc w:val="left"/>
        <w:rPr>
          <w:rFonts w:ascii="宋体" w:hAnsi="宋体"/>
          <w:sz w:val="24"/>
        </w:rPr>
      </w:pPr>
      <w:r>
        <w:rPr>
          <w:rFonts w:hint="eastAsia" w:ascii="宋体" w:hAnsi="宋体"/>
          <w:sz w:val="24"/>
        </w:rPr>
        <w:t>（一）具有独立承担民事责任的能力；</w:t>
      </w:r>
    </w:p>
    <w:p>
      <w:pPr>
        <w:snapToGrid w:val="0"/>
        <w:spacing w:before="50" w:after="156" w:afterLines="50"/>
        <w:ind w:firstLine="480" w:firstLineChars="200"/>
        <w:jc w:val="left"/>
        <w:rPr>
          <w:rFonts w:ascii="宋体" w:hAnsi="宋体"/>
          <w:sz w:val="24"/>
        </w:rPr>
      </w:pPr>
      <w:r>
        <w:rPr>
          <w:rFonts w:hint="eastAsia" w:ascii="宋体" w:hAnsi="宋体"/>
          <w:sz w:val="24"/>
        </w:rPr>
        <w:t>（二）具有良好的商业信誉和健全的财务会计制度；</w:t>
      </w:r>
    </w:p>
    <w:p>
      <w:pPr>
        <w:snapToGrid w:val="0"/>
        <w:spacing w:before="50" w:after="156" w:afterLines="50"/>
        <w:ind w:firstLine="480" w:firstLineChars="200"/>
        <w:jc w:val="left"/>
        <w:rPr>
          <w:rFonts w:ascii="宋体" w:hAnsi="宋体"/>
          <w:sz w:val="24"/>
        </w:rPr>
      </w:pPr>
      <w:r>
        <w:rPr>
          <w:rFonts w:hint="eastAsia" w:ascii="宋体" w:hAnsi="宋体"/>
          <w:sz w:val="24"/>
        </w:rPr>
        <w:t>（三）具有履行合同所必需的设备和专业技术能力；</w:t>
      </w:r>
    </w:p>
    <w:p>
      <w:pPr>
        <w:snapToGrid w:val="0"/>
        <w:spacing w:before="50" w:after="156" w:afterLines="50"/>
        <w:ind w:firstLine="480" w:firstLineChars="200"/>
        <w:jc w:val="left"/>
        <w:rPr>
          <w:rFonts w:ascii="宋体" w:hAnsi="宋体"/>
          <w:sz w:val="24"/>
        </w:rPr>
      </w:pPr>
      <w:r>
        <w:rPr>
          <w:rFonts w:hint="eastAsia" w:ascii="宋体" w:hAnsi="宋体"/>
          <w:sz w:val="24"/>
        </w:rPr>
        <w:t>（四）有依法缴纳税收和社会保障资金的良好记录；</w:t>
      </w:r>
    </w:p>
    <w:p>
      <w:pPr>
        <w:snapToGrid w:val="0"/>
        <w:spacing w:before="50" w:after="156" w:afterLines="50"/>
        <w:ind w:firstLine="480" w:firstLineChars="200"/>
        <w:jc w:val="left"/>
        <w:rPr>
          <w:rFonts w:ascii="宋体" w:hAnsi="宋体"/>
          <w:sz w:val="24"/>
        </w:rPr>
      </w:pPr>
      <w:r>
        <w:rPr>
          <w:rFonts w:hint="eastAsia" w:ascii="宋体" w:hAnsi="宋体"/>
          <w:sz w:val="24"/>
        </w:rPr>
        <w:t>（五）参加政府采购活动前三年内，在经营活动中没有重大违法记录；</w:t>
      </w:r>
    </w:p>
    <w:p>
      <w:pPr>
        <w:snapToGrid w:val="0"/>
        <w:spacing w:before="50" w:after="156" w:afterLines="50"/>
        <w:ind w:firstLine="480" w:firstLineChars="200"/>
        <w:jc w:val="left"/>
        <w:rPr>
          <w:rFonts w:ascii="宋体" w:hAnsi="宋体"/>
          <w:sz w:val="24"/>
        </w:rPr>
      </w:pPr>
      <w:r>
        <w:rPr>
          <w:rFonts w:hint="eastAsia" w:ascii="宋体" w:hAnsi="宋体"/>
          <w:sz w:val="24"/>
        </w:rPr>
        <w:t>（六）法律、行政法规规定的其他条件。</w:t>
      </w:r>
    </w:p>
    <w:p>
      <w:pPr>
        <w:snapToGrid w:val="0"/>
        <w:spacing w:before="50" w:after="156" w:afterLines="50"/>
        <w:ind w:firstLine="480" w:firstLineChars="200"/>
        <w:jc w:val="left"/>
        <w:rPr>
          <w:rFonts w:ascii="宋体" w:hAnsi="宋体"/>
          <w:sz w:val="24"/>
        </w:rPr>
      </w:pPr>
      <w:r>
        <w:rPr>
          <w:rFonts w:hint="eastAsia" w:ascii="宋体" w:hAnsi="宋体"/>
          <w:sz w:val="24"/>
        </w:rPr>
        <w:t>4. 以上事项如有虚假或隐瞒，我方愿意承担一切后果，并不再寻求任何旨在减轻或免除法律责任的辩解。</w:t>
      </w:r>
    </w:p>
    <w:p>
      <w:pPr>
        <w:snapToGrid w:val="0"/>
        <w:spacing w:before="50" w:after="156" w:afterLines="50"/>
        <w:jc w:val="left"/>
        <w:rPr>
          <w:rFonts w:ascii="宋体" w:hAnsi="宋体"/>
          <w:sz w:val="24"/>
        </w:rPr>
      </w:pPr>
      <w:r>
        <w:rPr>
          <w:rFonts w:hint="eastAsia" w:ascii="宋体" w:hAnsi="宋体"/>
          <w:sz w:val="24"/>
        </w:rPr>
        <w:t xml:space="preserve">    特此承诺。</w:t>
      </w:r>
    </w:p>
    <w:p>
      <w:pPr>
        <w:snapToGrid w:val="0"/>
        <w:spacing w:before="50" w:after="156" w:afterLines="50"/>
        <w:jc w:val="left"/>
        <w:rPr>
          <w:rFonts w:ascii="宋体" w:hAnsi="宋体"/>
          <w:b/>
          <w:sz w:val="24"/>
        </w:rPr>
      </w:pPr>
      <w:r>
        <w:rPr>
          <w:rFonts w:hint="eastAsia" w:ascii="宋体" w:hAnsi="宋体"/>
          <w:b/>
          <w:sz w:val="24"/>
        </w:rPr>
        <w:t>注：投标声明必须由法定代表人在规定签章处逐一签字或签章并加盖投标人公章，否则作无效投标处理。</w:t>
      </w:r>
    </w:p>
    <w:p>
      <w:pPr>
        <w:snapToGrid w:val="0"/>
        <w:spacing w:before="50" w:after="156" w:afterLines="50"/>
        <w:jc w:val="left"/>
        <w:rPr>
          <w:rFonts w:ascii="宋体" w:hAnsi="宋体"/>
          <w:sz w:val="24"/>
        </w:rPr>
      </w:pPr>
      <w:r>
        <w:rPr>
          <w:rFonts w:hint="eastAsia" w:ascii="宋体" w:hAnsi="宋体"/>
          <w:sz w:val="24"/>
        </w:rPr>
        <w:t xml:space="preserve">                                          法定代表人签字或签章：</w:t>
      </w:r>
      <w:r>
        <w:rPr>
          <w:rFonts w:hint="eastAsia" w:ascii="宋体" w:hAnsi="宋体"/>
          <w:sz w:val="24"/>
          <w:u w:val="single"/>
        </w:rPr>
        <w:t xml:space="preserve">             </w:t>
      </w:r>
    </w:p>
    <w:p>
      <w:pPr>
        <w:snapToGrid w:val="0"/>
        <w:spacing w:before="50" w:after="156" w:afterLines="50"/>
        <w:jc w:val="left"/>
        <w:rPr>
          <w:rFonts w:ascii="宋体" w:hAnsi="宋体"/>
          <w:sz w:val="24"/>
        </w:rPr>
      </w:pPr>
      <w:r>
        <w:rPr>
          <w:rFonts w:hint="eastAsia" w:ascii="宋体" w:hAnsi="宋体"/>
          <w:sz w:val="24"/>
        </w:rPr>
        <w:t xml:space="preserve">                                          投标人公章：</w:t>
      </w:r>
      <w:r>
        <w:rPr>
          <w:rFonts w:hint="eastAsia" w:ascii="宋体" w:hAnsi="宋体"/>
          <w:sz w:val="24"/>
          <w:u w:val="single"/>
        </w:rPr>
        <w:t xml:space="preserve">                 </w:t>
      </w:r>
    </w:p>
    <w:p>
      <w:pPr>
        <w:snapToGrid w:val="0"/>
        <w:spacing w:before="50" w:after="156" w:afterLines="50"/>
        <w:jc w:val="left"/>
        <w:rPr>
          <w:rFonts w:ascii="宋体" w:hAnsi="宋体"/>
        </w:rPr>
      </w:pPr>
      <w:r>
        <w:rPr>
          <w:rFonts w:hint="eastAsia" w:ascii="宋体" w:hAnsi="宋体"/>
          <w:sz w:val="24"/>
        </w:rPr>
        <w:t xml:space="preserve">                                                  年    月    日</w:t>
      </w:r>
    </w:p>
    <w:p>
      <w:pPr>
        <w:snapToGrid w:val="0"/>
        <w:spacing w:before="156" w:beforeLines="50" w:after="50"/>
        <w:jc w:val="left"/>
        <w:rPr>
          <w:rFonts w:ascii="宋体" w:hAnsi="宋体"/>
          <w:b/>
          <w:sz w:val="24"/>
        </w:rPr>
      </w:pPr>
      <w:r>
        <w:rPr>
          <w:rFonts w:ascii="宋体" w:hAnsi="宋体"/>
          <w:b/>
          <w:sz w:val="24"/>
        </w:rPr>
        <w:br w:type="page"/>
      </w:r>
      <w:r>
        <w:rPr>
          <w:rFonts w:hint="eastAsia" w:ascii="宋体" w:hAnsi="宋体"/>
          <w:b/>
          <w:sz w:val="24"/>
        </w:rPr>
        <w:t>4.投标人直接控股、管理关系信息表</w:t>
      </w:r>
    </w:p>
    <w:p>
      <w:pPr>
        <w:snapToGrid w:val="0"/>
        <w:spacing w:before="50" w:after="156" w:afterLines="50"/>
        <w:jc w:val="center"/>
        <w:rPr>
          <w:rFonts w:ascii="宋体" w:hAnsi="宋体"/>
          <w:b/>
          <w:sz w:val="28"/>
          <w:szCs w:val="28"/>
        </w:rPr>
      </w:pPr>
      <w:r>
        <w:rPr>
          <w:rFonts w:hint="eastAsia" w:ascii="宋体" w:hAnsi="宋体"/>
          <w:b/>
          <w:sz w:val="28"/>
          <w:szCs w:val="28"/>
        </w:rPr>
        <w:t>投标人直接控股股东信息表</w:t>
      </w:r>
    </w:p>
    <w:tbl>
      <w:tblPr>
        <w:tblStyle w:val="5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kern w:val="0"/>
                <w:sz w:val="24"/>
              </w:rPr>
            </w:pPr>
            <w:r>
              <w:rPr>
                <w:rFonts w:hint="eastAsia" w:ascii="宋体" w:hAnsi="宋体" w:cs="宋体"/>
                <w:b/>
                <w:bCs/>
                <w:kern w:val="0"/>
                <w:sz w:val="24"/>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r>
    </w:tbl>
    <w:p>
      <w:pPr>
        <w:snapToGrid w:val="0"/>
        <w:jc w:val="left"/>
        <w:rPr>
          <w:rFonts w:ascii="宋体" w:hAnsi="宋体"/>
          <w:sz w:val="24"/>
        </w:rPr>
      </w:pPr>
      <w:r>
        <w:rPr>
          <w:rFonts w:hint="eastAsia" w:ascii="宋体" w:hAnsi="宋体"/>
          <w:sz w:val="24"/>
        </w:rPr>
        <w:t>注：</w:t>
      </w:r>
    </w:p>
    <w:p>
      <w:pPr>
        <w:snapToGrid w:val="0"/>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pPr>
        <w:snapToGrid w:val="0"/>
        <w:jc w:val="left"/>
        <w:rPr>
          <w:rFonts w:ascii="宋体" w:hAnsi="宋体"/>
          <w:sz w:val="24"/>
        </w:rPr>
      </w:pPr>
    </w:p>
    <w:p>
      <w:pPr>
        <w:snapToGrid w:val="0"/>
        <w:jc w:val="left"/>
        <w:rPr>
          <w:rFonts w:ascii="宋体" w:hAnsi="宋体"/>
          <w:sz w:val="24"/>
        </w:rPr>
      </w:pPr>
    </w:p>
    <w:p>
      <w:pPr>
        <w:snapToGrid w:val="0"/>
        <w:spacing w:before="156" w:beforeLines="50"/>
        <w:ind w:right="480" w:firstLine="3967" w:firstLineChars="1653"/>
        <w:rPr>
          <w:rFonts w:ascii="宋体" w:hAnsi="宋体"/>
          <w:sz w:val="24"/>
          <w:u w:val="single"/>
        </w:rPr>
      </w:pPr>
      <w:r>
        <w:rPr>
          <w:rFonts w:hint="eastAsia" w:ascii="宋体" w:hAnsi="宋体"/>
          <w:sz w:val="24"/>
        </w:rPr>
        <w:t>法定代表人或委托代理人签字或签章：</w:t>
      </w:r>
      <w:r>
        <w:rPr>
          <w:rFonts w:hint="eastAsia" w:ascii="宋体" w:hAnsi="宋体"/>
          <w:sz w:val="24"/>
          <w:u w:val="single"/>
        </w:rPr>
        <w:t xml:space="preserve">             </w:t>
      </w:r>
    </w:p>
    <w:p>
      <w:pPr>
        <w:snapToGrid w:val="0"/>
        <w:spacing w:before="156" w:beforeLines="50" w:after="50"/>
        <w:ind w:right="480"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pPr>
        <w:snapToGrid w:val="0"/>
        <w:spacing w:before="156" w:beforeLines="50" w:after="50"/>
        <w:ind w:right="480" w:firstLine="5520" w:firstLineChars="2300"/>
        <w:rPr>
          <w:rFonts w:ascii="宋体" w:hAnsi="宋体"/>
          <w:szCs w:val="21"/>
        </w:rPr>
      </w:pPr>
      <w:r>
        <w:rPr>
          <w:rFonts w:hint="eastAsia" w:ascii="宋体" w:hAnsi="宋体"/>
          <w:sz w:val="24"/>
        </w:rPr>
        <w:t>年    月    日</w:t>
      </w:r>
    </w:p>
    <w:p>
      <w:pPr>
        <w:snapToGrid w:val="0"/>
        <w:jc w:val="center"/>
        <w:rPr>
          <w:rFonts w:ascii="宋体" w:hAnsi="宋体"/>
          <w:b/>
          <w:sz w:val="28"/>
          <w:szCs w:val="28"/>
        </w:rPr>
      </w:pPr>
    </w:p>
    <w:p>
      <w:pPr>
        <w:snapToGrid w:val="0"/>
        <w:jc w:val="center"/>
        <w:rPr>
          <w:rFonts w:ascii="宋体" w:hAnsi="宋体"/>
        </w:rPr>
      </w:pPr>
      <w:r>
        <w:rPr>
          <w:rFonts w:hint="eastAsia" w:ascii="宋体" w:hAnsi="宋体"/>
          <w:b/>
          <w:sz w:val="28"/>
          <w:szCs w:val="28"/>
        </w:rPr>
        <w:t>投标人直接管理关系信息表</w:t>
      </w:r>
    </w:p>
    <w:tbl>
      <w:tblPr>
        <w:tblStyle w:val="5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r>
    </w:tbl>
    <w:p>
      <w:pPr>
        <w:snapToGrid w:val="0"/>
        <w:jc w:val="left"/>
        <w:rPr>
          <w:rFonts w:ascii="宋体" w:hAnsi="宋体"/>
          <w:sz w:val="24"/>
        </w:rPr>
      </w:pPr>
      <w:r>
        <w:rPr>
          <w:rFonts w:hint="eastAsia" w:ascii="宋体" w:hAnsi="宋体"/>
          <w:sz w:val="24"/>
        </w:rPr>
        <w:t>注：</w:t>
      </w:r>
    </w:p>
    <w:p>
      <w:pPr>
        <w:snapToGrid w:val="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pPr>
        <w:snapToGrid w:val="0"/>
        <w:jc w:val="left"/>
        <w:rPr>
          <w:rFonts w:ascii="宋体" w:hAnsi="宋体"/>
        </w:rPr>
      </w:pPr>
      <w:r>
        <w:rPr>
          <w:rFonts w:hint="eastAsia" w:ascii="宋体" w:hAnsi="宋体"/>
          <w:sz w:val="24"/>
        </w:rPr>
        <w:t>2.本表所指的管理关系仅限于直接管理关系，不包括间接的管理关系。</w:t>
      </w:r>
    </w:p>
    <w:p>
      <w:pPr>
        <w:snapToGrid w:val="0"/>
        <w:jc w:val="left"/>
      </w:pPr>
    </w:p>
    <w:p>
      <w:pPr>
        <w:snapToGrid w:val="0"/>
        <w:jc w:val="left"/>
        <w:rPr>
          <w:rFonts w:ascii="宋体" w:hAnsi="宋体"/>
          <w:szCs w:val="21"/>
        </w:rPr>
      </w:pPr>
    </w:p>
    <w:p>
      <w:pPr>
        <w:snapToGrid w:val="0"/>
        <w:spacing w:before="156" w:beforeLines="50"/>
        <w:ind w:right="480" w:firstLine="3471" w:firstLineChars="1653"/>
        <w:rPr>
          <w:rFonts w:ascii="宋体" w:hAnsi="宋体"/>
          <w:szCs w:val="21"/>
          <w:u w:val="single"/>
        </w:rPr>
      </w:pPr>
      <w:r>
        <w:rPr>
          <w:rFonts w:hint="eastAsia" w:ascii="宋体" w:hAnsi="宋体"/>
          <w:szCs w:val="21"/>
        </w:rPr>
        <w:t>法定代表人或委托代理人签字或签章：</w:t>
      </w:r>
      <w:r>
        <w:rPr>
          <w:rFonts w:hint="eastAsia" w:ascii="宋体" w:hAnsi="宋体"/>
          <w:szCs w:val="21"/>
          <w:u w:val="single"/>
        </w:rPr>
        <w:t xml:space="preserve">             </w:t>
      </w:r>
    </w:p>
    <w:p>
      <w:pPr>
        <w:snapToGrid w:val="0"/>
        <w:spacing w:before="156" w:beforeLines="50" w:after="50"/>
        <w:ind w:right="480" w:firstLine="4830" w:firstLineChars="2300"/>
        <w:rPr>
          <w:rFonts w:ascii="宋体" w:hAnsi="宋体"/>
          <w:szCs w:val="21"/>
        </w:rPr>
      </w:pPr>
      <w:r>
        <w:rPr>
          <w:rFonts w:hint="eastAsia" w:ascii="宋体" w:hAnsi="宋体"/>
          <w:szCs w:val="21"/>
        </w:rPr>
        <w:t>投标人公章：</w:t>
      </w:r>
      <w:r>
        <w:rPr>
          <w:rFonts w:hint="eastAsia" w:ascii="宋体" w:hAnsi="宋体"/>
          <w:szCs w:val="21"/>
          <w:u w:val="single"/>
        </w:rPr>
        <w:t xml:space="preserve">                 </w:t>
      </w:r>
    </w:p>
    <w:p>
      <w:pPr>
        <w:snapToGrid w:val="0"/>
        <w:spacing w:before="156" w:beforeLines="50" w:after="50"/>
        <w:ind w:right="480" w:firstLine="210" w:firstLineChars="100"/>
        <w:jc w:val="right"/>
        <w:rPr>
          <w:rFonts w:ascii="宋体" w:hAnsi="宋体"/>
          <w:szCs w:val="21"/>
        </w:rPr>
      </w:pPr>
      <w:r>
        <w:rPr>
          <w:rFonts w:hint="eastAsia" w:ascii="宋体" w:hAnsi="宋体"/>
          <w:szCs w:val="21"/>
        </w:rPr>
        <w:t xml:space="preserve"> 年    月    日</w:t>
      </w:r>
    </w:p>
    <w:p>
      <w:pPr>
        <w:snapToGrid w:val="0"/>
        <w:spacing w:before="156" w:beforeLines="50" w:after="50"/>
        <w:outlineLvl w:val="1"/>
        <w:rPr>
          <w:rFonts w:ascii="宋体" w:hAnsi="宋体"/>
          <w:b/>
          <w:bCs/>
          <w:sz w:val="24"/>
        </w:rPr>
      </w:pPr>
      <w:bookmarkStart w:id="81" w:name="_Toc24366227"/>
      <w:r>
        <w:rPr>
          <w:rFonts w:hint="eastAsia" w:ascii="宋体" w:hAnsi="宋体"/>
          <w:b/>
          <w:bCs/>
          <w:sz w:val="24"/>
        </w:rPr>
        <w:t>四、商务文件</w:t>
      </w:r>
      <w:bookmarkEnd w:id="81"/>
    </w:p>
    <w:p>
      <w:pPr>
        <w:snapToGrid w:val="0"/>
        <w:spacing w:before="156" w:beforeLines="50" w:after="50"/>
        <w:jc w:val="left"/>
        <w:rPr>
          <w:rFonts w:ascii="宋体" w:hAnsi="宋体"/>
          <w:b/>
          <w:sz w:val="24"/>
        </w:rPr>
      </w:pPr>
      <w:r>
        <w:rPr>
          <w:rFonts w:hint="eastAsia" w:ascii="宋体" w:hAnsi="宋体"/>
          <w:b/>
          <w:sz w:val="24"/>
        </w:rPr>
        <w:t xml:space="preserve">1.商务文件封面格式： </w:t>
      </w:r>
    </w:p>
    <w:p>
      <w:pPr>
        <w:snapToGrid w:val="0"/>
        <w:spacing w:before="156" w:beforeLines="50" w:after="50"/>
        <w:rPr>
          <w:rFonts w:ascii="宋体" w:hAnsi="宋体"/>
          <w:bCs/>
          <w:sz w:val="32"/>
          <w:szCs w:val="20"/>
        </w:rPr>
      </w:pPr>
      <w:r>
        <w:rPr>
          <w:rFonts w:hint="eastAsia" w:ascii="宋体" w:hAnsi="宋体"/>
          <w:sz w:val="24"/>
        </w:rPr>
        <w:t xml:space="preserve">                                                    </w:t>
      </w:r>
      <w:r>
        <w:rPr>
          <w:rFonts w:hint="eastAsia" w:ascii="宋体" w:hAnsi="宋体"/>
          <w:bCs/>
        </w:rPr>
        <w:t>正本/或副本</w:t>
      </w:r>
    </w:p>
    <w:p>
      <w:pPr>
        <w:snapToGrid w:val="0"/>
        <w:spacing w:before="156" w:beforeLines="50" w:after="50"/>
        <w:rPr>
          <w:rFonts w:ascii="宋体" w:hAnsi="宋体"/>
          <w:sz w:val="24"/>
          <w:szCs w:val="20"/>
        </w:rPr>
      </w:pPr>
    </w:p>
    <w:p>
      <w:pPr>
        <w:snapToGrid w:val="0"/>
        <w:spacing w:before="156" w:beforeLines="50" w:after="50"/>
        <w:jc w:val="center"/>
        <w:rPr>
          <w:rFonts w:ascii="宋体" w:hAnsi="宋体"/>
          <w:bCs/>
          <w:sz w:val="24"/>
          <w:szCs w:val="20"/>
        </w:rPr>
      </w:pPr>
      <w:r>
        <w:rPr>
          <w:rFonts w:hint="eastAsia" w:ascii="宋体" w:hAnsi="宋体"/>
          <w:bCs/>
          <w:sz w:val="32"/>
          <w:szCs w:val="32"/>
        </w:rPr>
        <w:t>商务文件</w:t>
      </w: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ind w:firstLine="540" w:firstLineChars="225"/>
        <w:rPr>
          <w:rFonts w:ascii="宋体" w:hAnsi="宋体"/>
          <w:bCs/>
          <w:sz w:val="24"/>
        </w:rPr>
      </w:pPr>
      <w:r>
        <w:rPr>
          <w:rFonts w:hint="eastAsia" w:ascii="宋体" w:hAnsi="宋体"/>
          <w:bCs/>
          <w:sz w:val="24"/>
        </w:rPr>
        <w:t>项目名称：</w:t>
      </w:r>
    </w:p>
    <w:p>
      <w:pPr>
        <w:snapToGrid w:val="0"/>
        <w:spacing w:before="156" w:beforeLines="50" w:after="50"/>
        <w:ind w:firstLine="540" w:firstLineChars="225"/>
        <w:rPr>
          <w:rFonts w:ascii="宋体" w:hAnsi="宋体"/>
          <w:bCs/>
          <w:sz w:val="24"/>
          <w:szCs w:val="20"/>
        </w:rPr>
      </w:pPr>
    </w:p>
    <w:p>
      <w:pPr>
        <w:snapToGrid w:val="0"/>
        <w:spacing w:before="156" w:beforeLines="50" w:after="50"/>
        <w:ind w:firstLine="540" w:firstLineChars="225"/>
        <w:rPr>
          <w:rFonts w:ascii="宋体" w:hAnsi="宋体"/>
          <w:bCs/>
          <w:sz w:val="24"/>
        </w:rPr>
      </w:pPr>
      <w:r>
        <w:rPr>
          <w:rFonts w:hint="eastAsia" w:ascii="宋体" w:hAnsi="宋体"/>
          <w:bCs/>
          <w:sz w:val="24"/>
        </w:rPr>
        <w:t>项目编号：</w:t>
      </w:r>
    </w:p>
    <w:p>
      <w:pPr>
        <w:snapToGrid w:val="0"/>
        <w:spacing w:before="156" w:beforeLines="50" w:after="50"/>
        <w:ind w:firstLine="540" w:firstLineChars="225"/>
        <w:rPr>
          <w:rFonts w:ascii="宋体" w:hAnsi="宋体"/>
          <w:bCs/>
          <w:sz w:val="24"/>
        </w:rPr>
      </w:pPr>
      <w:r>
        <w:rPr>
          <w:rFonts w:hint="eastAsia" w:ascii="宋体" w:hAnsi="宋体"/>
          <w:bCs/>
          <w:sz w:val="24"/>
        </w:rPr>
        <w:t xml:space="preserve"> </w:t>
      </w:r>
    </w:p>
    <w:p>
      <w:pPr>
        <w:snapToGrid w:val="0"/>
        <w:spacing w:before="156" w:beforeLines="50" w:after="50"/>
        <w:ind w:firstLine="540" w:firstLineChars="225"/>
        <w:rPr>
          <w:rFonts w:ascii="宋体" w:hAnsi="宋体"/>
          <w:bCs/>
          <w:sz w:val="24"/>
          <w:szCs w:val="20"/>
        </w:rPr>
      </w:pPr>
    </w:p>
    <w:p>
      <w:pPr>
        <w:pStyle w:val="8"/>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pPr>
        <w:pStyle w:val="8"/>
        <w:snapToGrid w:val="0"/>
        <w:spacing w:before="50" w:after="50"/>
        <w:ind w:firstLine="540" w:firstLineChars="225"/>
        <w:rPr>
          <w:rFonts w:ascii="宋体" w:hAnsi="宋体"/>
          <w:bCs/>
          <w:sz w:val="24"/>
          <w:szCs w:val="24"/>
        </w:rPr>
      </w:pPr>
    </w:p>
    <w:p>
      <w:pPr>
        <w:pStyle w:val="8"/>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pPr>
        <w:pStyle w:val="8"/>
        <w:snapToGrid w:val="0"/>
        <w:spacing w:before="50" w:after="50"/>
        <w:ind w:firstLine="960" w:firstLineChars="400"/>
        <w:rPr>
          <w:rFonts w:ascii="宋体" w:hAnsi="宋体"/>
          <w:bCs/>
          <w:sz w:val="24"/>
          <w:szCs w:val="24"/>
        </w:rPr>
      </w:pPr>
    </w:p>
    <w:p>
      <w:pPr>
        <w:snapToGrid w:val="0"/>
        <w:spacing w:before="156" w:beforeLines="50" w:after="50"/>
        <w:ind w:firstLine="645"/>
        <w:jc w:val="center"/>
        <w:rPr>
          <w:rFonts w:ascii="宋体" w:hAnsi="宋体"/>
          <w:sz w:val="24"/>
        </w:rPr>
      </w:pPr>
      <w:r>
        <w:rPr>
          <w:rFonts w:hint="eastAsia" w:ascii="宋体" w:hAnsi="宋体"/>
          <w:sz w:val="24"/>
        </w:rPr>
        <w:t xml:space="preserve">                        年  月  日</w:t>
      </w:r>
    </w:p>
    <w:p>
      <w:pPr>
        <w:snapToGrid w:val="0"/>
        <w:jc w:val="left"/>
        <w:rPr>
          <w:rFonts w:ascii="宋体" w:hAnsi="宋体"/>
          <w:b/>
          <w:sz w:val="24"/>
          <w:szCs w:val="20"/>
        </w:rPr>
      </w:pPr>
      <w:r>
        <w:rPr>
          <w:rFonts w:ascii="宋体" w:hAnsi="宋体"/>
          <w:sz w:val="24"/>
          <w:szCs w:val="20"/>
        </w:rPr>
        <w:br w:type="page"/>
      </w:r>
      <w:r>
        <w:rPr>
          <w:rFonts w:hint="eastAsia" w:ascii="宋体" w:hAnsi="宋体"/>
          <w:b/>
          <w:sz w:val="24"/>
          <w:szCs w:val="20"/>
        </w:rPr>
        <w:t>2.商务文件目录</w:t>
      </w:r>
    </w:p>
    <w:p>
      <w:pPr>
        <w:snapToGrid w:val="0"/>
        <w:jc w:val="left"/>
        <w:rPr>
          <w:rFonts w:ascii="宋体" w:hAnsi="宋体"/>
          <w:sz w:val="24"/>
          <w:szCs w:val="20"/>
        </w:rPr>
      </w:pPr>
    </w:p>
    <w:p>
      <w:pPr>
        <w:snapToGrid w:val="0"/>
        <w:spacing w:before="50" w:after="156" w:afterLines="50"/>
        <w:jc w:val="left"/>
        <w:rPr>
          <w:rFonts w:ascii="微软雅黑" w:hAnsi="微软雅黑" w:eastAsia="微软雅黑"/>
          <w:b/>
          <w:bCs/>
          <w:sz w:val="24"/>
        </w:rPr>
      </w:pPr>
      <w:r>
        <w:rPr>
          <w:rFonts w:hint="eastAsia" w:ascii="宋体" w:hAnsi="宋体"/>
          <w:szCs w:val="21"/>
        </w:rPr>
        <w:t>根据招标文件规定及投标人提供的材料自行编写目录。</w:t>
      </w:r>
    </w:p>
    <w:p>
      <w:pPr>
        <w:snapToGrid w:val="0"/>
        <w:spacing w:before="50" w:after="156" w:afterLines="50"/>
        <w:jc w:val="left"/>
        <w:rPr>
          <w:rFonts w:ascii="宋体" w:hAnsi="宋体"/>
          <w:szCs w:val="21"/>
        </w:rPr>
      </w:pPr>
    </w:p>
    <w:p>
      <w:pPr>
        <w:snapToGrid w:val="0"/>
        <w:spacing w:before="50" w:after="156" w:afterLines="50"/>
        <w:jc w:val="left"/>
        <w:rPr>
          <w:rFonts w:ascii="宋体" w:hAnsi="宋体"/>
          <w:sz w:val="24"/>
        </w:rPr>
      </w:pPr>
    </w:p>
    <w:p>
      <w:pPr>
        <w:snapToGrid w:val="0"/>
        <w:spacing w:before="50" w:after="156" w:afterLines="50"/>
        <w:jc w:val="left"/>
        <w:rPr>
          <w:rFonts w:ascii="宋体" w:hAnsi="宋体"/>
          <w:sz w:val="24"/>
        </w:rPr>
      </w:pPr>
    </w:p>
    <w:p>
      <w:pPr>
        <w:snapToGrid w:val="0"/>
        <w:spacing w:before="156" w:beforeLines="50" w:after="50"/>
        <w:jc w:val="left"/>
        <w:rPr>
          <w:rFonts w:ascii="宋体" w:hAnsi="宋体"/>
          <w:b/>
          <w:sz w:val="24"/>
          <w:szCs w:val="20"/>
        </w:rPr>
      </w:pPr>
    </w:p>
    <w:p>
      <w:pPr>
        <w:snapToGrid w:val="0"/>
        <w:spacing w:before="50" w:after="156" w:afterLines="50"/>
        <w:jc w:val="left"/>
        <w:rPr>
          <w:rFonts w:ascii="宋体" w:hAnsi="宋体"/>
        </w:rPr>
      </w:pPr>
    </w:p>
    <w:p>
      <w:pPr>
        <w:snapToGrid w:val="0"/>
        <w:spacing w:before="50" w:after="156" w:afterLines="50"/>
        <w:jc w:val="left"/>
        <w:rPr>
          <w:rFonts w:ascii="宋体" w:hAnsi="宋体"/>
        </w:rPr>
      </w:pPr>
    </w:p>
    <w:p>
      <w:pPr>
        <w:snapToGrid w:val="0"/>
        <w:spacing w:before="50" w:after="156" w:afterLines="50"/>
        <w:jc w:val="left"/>
        <w:rPr>
          <w:rFonts w:ascii="宋体" w:hAnsi="宋体"/>
        </w:rPr>
      </w:pPr>
    </w:p>
    <w:p>
      <w:pPr>
        <w:snapToGrid w:val="0"/>
        <w:spacing w:before="50" w:after="156" w:afterLines="50"/>
        <w:jc w:val="left"/>
        <w:rPr>
          <w:rFonts w:ascii="宋体" w:hAnsi="宋体"/>
        </w:rPr>
      </w:pPr>
    </w:p>
    <w:p>
      <w:pPr>
        <w:snapToGrid w:val="0"/>
        <w:spacing w:before="156" w:beforeLines="50" w:after="50"/>
        <w:jc w:val="left"/>
        <w:rPr>
          <w:rFonts w:ascii="宋体" w:hAnsi="宋体"/>
          <w:b/>
          <w:sz w:val="24"/>
        </w:rPr>
      </w:pPr>
      <w:r>
        <w:rPr>
          <w:rFonts w:ascii="宋体" w:hAnsi="宋体"/>
          <w:b/>
          <w:sz w:val="24"/>
        </w:rPr>
        <w:br w:type="page"/>
      </w:r>
      <w:r>
        <w:rPr>
          <w:rFonts w:hint="eastAsia" w:ascii="宋体" w:hAnsi="宋体"/>
          <w:b/>
          <w:sz w:val="24"/>
        </w:rPr>
        <w:t>3. 供应商参加本项目无围标串标行为的承诺函</w:t>
      </w:r>
    </w:p>
    <w:p>
      <w:pPr>
        <w:snapToGrid w:val="0"/>
        <w:spacing w:before="156" w:beforeLines="50" w:after="50"/>
        <w:jc w:val="left"/>
        <w:rPr>
          <w:rFonts w:ascii="宋体" w:hAnsi="宋体"/>
          <w:b/>
          <w:sz w:val="24"/>
        </w:rPr>
      </w:pPr>
    </w:p>
    <w:p>
      <w:pPr>
        <w:snapToGrid w:val="0"/>
        <w:spacing w:before="156" w:beforeLines="50" w:after="50"/>
        <w:ind w:left="420"/>
        <w:jc w:val="center"/>
        <w:rPr>
          <w:rFonts w:ascii="宋体" w:hAnsi="宋体"/>
          <w:b/>
          <w:sz w:val="28"/>
          <w:szCs w:val="28"/>
        </w:rPr>
      </w:pPr>
      <w:r>
        <w:rPr>
          <w:rFonts w:hint="eastAsia" w:ascii="宋体" w:hAnsi="宋体"/>
          <w:b/>
          <w:sz w:val="28"/>
          <w:szCs w:val="28"/>
        </w:rPr>
        <w:t>供应商参加本项目无围标串标行为的承诺函</w:t>
      </w:r>
    </w:p>
    <w:p>
      <w:pPr>
        <w:snapToGrid w:val="0"/>
        <w:spacing w:before="156" w:beforeLines="50" w:after="50"/>
        <w:ind w:left="420"/>
        <w:jc w:val="center"/>
        <w:rPr>
          <w:rFonts w:ascii="宋体" w:hAnsi="宋体"/>
          <w:b/>
          <w:sz w:val="24"/>
        </w:rPr>
      </w:pPr>
    </w:p>
    <w:p>
      <w:pPr>
        <w:snapToGrid w:val="0"/>
        <w:spacing w:before="156" w:beforeLines="50" w:after="50"/>
        <w:ind w:left="420"/>
        <w:jc w:val="center"/>
        <w:rPr>
          <w:rFonts w:ascii="宋体" w:hAnsi="宋体"/>
          <w:b/>
          <w:sz w:val="24"/>
        </w:rPr>
      </w:pPr>
    </w:p>
    <w:p>
      <w:pPr>
        <w:snapToGrid w:val="0"/>
        <w:spacing w:before="156" w:beforeLines="50" w:after="50"/>
        <w:jc w:val="left"/>
        <w:rPr>
          <w:rFonts w:ascii="宋体" w:hAnsi="宋体"/>
          <w:b/>
          <w:sz w:val="24"/>
        </w:rPr>
      </w:pPr>
      <w:r>
        <w:rPr>
          <w:rFonts w:hint="eastAsia" w:ascii="宋体" w:hAnsi="宋体"/>
          <w:b/>
          <w:sz w:val="24"/>
        </w:rPr>
        <w:t>一、我公司承诺无下列相互串通投标的情形：</w:t>
      </w:r>
    </w:p>
    <w:p>
      <w:pPr>
        <w:snapToGrid w:val="0"/>
        <w:spacing w:before="156" w:beforeLines="50" w:after="50"/>
        <w:ind w:firstLine="470" w:firstLineChars="196"/>
        <w:jc w:val="left"/>
        <w:rPr>
          <w:rFonts w:ascii="宋体" w:hAnsi="宋体"/>
          <w:sz w:val="24"/>
        </w:rPr>
      </w:pPr>
      <w:r>
        <w:rPr>
          <w:rFonts w:hint="eastAsia" w:ascii="宋体" w:hAnsi="宋体"/>
          <w:sz w:val="24"/>
        </w:rPr>
        <w:t>1.不同投标人的投标文件由同一单位或者个人编制；或不同投标人报名的IP地址一致的；</w:t>
      </w:r>
    </w:p>
    <w:p>
      <w:pPr>
        <w:snapToGrid w:val="0"/>
        <w:spacing w:before="156" w:beforeLines="50" w:after="50"/>
        <w:ind w:firstLine="470" w:firstLineChars="196"/>
        <w:jc w:val="left"/>
        <w:rPr>
          <w:rFonts w:ascii="宋体" w:hAnsi="宋体"/>
          <w:sz w:val="24"/>
        </w:rPr>
      </w:pPr>
      <w:r>
        <w:rPr>
          <w:rFonts w:hint="eastAsia" w:ascii="宋体" w:hAnsi="宋体"/>
          <w:sz w:val="24"/>
        </w:rPr>
        <w:t>2.不同投标人委托同一单位或者个人办理投标事宜；</w:t>
      </w:r>
    </w:p>
    <w:p>
      <w:pPr>
        <w:snapToGrid w:val="0"/>
        <w:spacing w:before="156" w:beforeLines="50" w:after="50"/>
        <w:ind w:firstLine="470" w:firstLineChars="196"/>
        <w:jc w:val="left"/>
        <w:rPr>
          <w:rFonts w:ascii="宋体" w:hAnsi="宋体"/>
          <w:sz w:val="24"/>
        </w:rPr>
      </w:pPr>
      <w:r>
        <w:rPr>
          <w:rFonts w:hint="eastAsia" w:ascii="宋体" w:hAnsi="宋体"/>
          <w:sz w:val="24"/>
        </w:rPr>
        <w:t>3.不同的投标人的投标文件载明的项目管理员为同一个人；</w:t>
      </w:r>
    </w:p>
    <w:p>
      <w:pPr>
        <w:snapToGrid w:val="0"/>
        <w:spacing w:before="156" w:beforeLines="50" w:after="50"/>
        <w:ind w:firstLine="470" w:firstLineChars="196"/>
        <w:jc w:val="left"/>
        <w:rPr>
          <w:rFonts w:ascii="宋体" w:hAnsi="宋体"/>
          <w:sz w:val="24"/>
        </w:rPr>
      </w:pPr>
      <w:r>
        <w:rPr>
          <w:rFonts w:hint="eastAsia" w:ascii="宋体" w:hAnsi="宋体"/>
          <w:sz w:val="24"/>
        </w:rPr>
        <w:t>4.不同投标人的投标文件异常一致或投标报价呈规律性差异；</w:t>
      </w:r>
    </w:p>
    <w:p>
      <w:pPr>
        <w:snapToGrid w:val="0"/>
        <w:spacing w:before="156" w:beforeLines="50" w:after="50"/>
        <w:ind w:firstLine="470" w:firstLineChars="196"/>
        <w:jc w:val="left"/>
        <w:rPr>
          <w:rFonts w:ascii="宋体" w:hAnsi="宋体"/>
          <w:sz w:val="24"/>
        </w:rPr>
      </w:pPr>
      <w:r>
        <w:rPr>
          <w:rFonts w:hint="eastAsia" w:ascii="宋体" w:hAnsi="宋体"/>
          <w:sz w:val="24"/>
        </w:rPr>
        <w:t>5.不同投标人的投标文件相互混装；</w:t>
      </w:r>
    </w:p>
    <w:p>
      <w:pPr>
        <w:snapToGrid w:val="0"/>
        <w:spacing w:before="156" w:beforeLines="50" w:after="50"/>
        <w:jc w:val="left"/>
        <w:rPr>
          <w:rFonts w:ascii="宋体" w:hAnsi="宋体"/>
          <w:sz w:val="24"/>
        </w:rPr>
      </w:pPr>
      <w:r>
        <w:rPr>
          <w:rFonts w:hint="eastAsia" w:ascii="宋体" w:hAnsi="宋体"/>
          <w:b/>
          <w:sz w:val="24"/>
        </w:rPr>
        <w:t>二、我公司承诺无下列恶意串通的情形：</w:t>
      </w:r>
    </w:p>
    <w:p>
      <w:pPr>
        <w:snapToGrid w:val="0"/>
        <w:spacing w:before="156" w:beforeLines="50" w:after="50"/>
        <w:ind w:firstLine="470" w:firstLineChars="196"/>
        <w:jc w:val="left"/>
        <w:rPr>
          <w:rFonts w:ascii="宋体" w:hAnsi="宋体"/>
          <w:sz w:val="24"/>
        </w:rPr>
      </w:pPr>
      <w:r>
        <w:rPr>
          <w:rFonts w:hint="eastAsia" w:ascii="宋体" w:hAnsi="宋体"/>
          <w:sz w:val="24"/>
        </w:rPr>
        <w:t>1.供应商直接或者间接从采购人或者采购代理机构处获得其他供应商的相关信息并修改其投标文件或者响应文件；</w:t>
      </w:r>
    </w:p>
    <w:p>
      <w:pPr>
        <w:snapToGrid w:val="0"/>
        <w:spacing w:before="156" w:beforeLines="50" w:after="50"/>
        <w:ind w:firstLine="470" w:firstLineChars="196"/>
        <w:jc w:val="left"/>
        <w:rPr>
          <w:rFonts w:ascii="宋体" w:hAnsi="宋体"/>
          <w:sz w:val="24"/>
        </w:rPr>
      </w:pPr>
      <w:r>
        <w:rPr>
          <w:rFonts w:hint="eastAsia" w:ascii="宋体" w:hAnsi="宋体"/>
          <w:sz w:val="24"/>
        </w:rPr>
        <w:t>2.供应商按照采购人或者采购代理机构的授意撤换、修改投标文件或者响应文件；</w:t>
      </w:r>
    </w:p>
    <w:p>
      <w:pPr>
        <w:snapToGrid w:val="0"/>
        <w:spacing w:before="156" w:beforeLines="50" w:after="50"/>
        <w:ind w:firstLine="470" w:firstLineChars="196"/>
        <w:jc w:val="left"/>
        <w:rPr>
          <w:rFonts w:ascii="宋体" w:hAnsi="宋体"/>
          <w:sz w:val="24"/>
        </w:rPr>
      </w:pPr>
      <w:r>
        <w:rPr>
          <w:rFonts w:hint="eastAsia" w:ascii="宋体" w:hAnsi="宋体"/>
          <w:sz w:val="24"/>
        </w:rPr>
        <w:t>3.供应商之间协商报价、技术方案等投标文件或者响应文件的实质性内容；</w:t>
      </w:r>
    </w:p>
    <w:p>
      <w:pPr>
        <w:snapToGrid w:val="0"/>
        <w:spacing w:before="156" w:beforeLines="50" w:after="50"/>
        <w:ind w:firstLine="470" w:firstLineChars="196"/>
        <w:jc w:val="left"/>
        <w:rPr>
          <w:rFonts w:ascii="宋体" w:hAnsi="宋体"/>
          <w:sz w:val="24"/>
        </w:rPr>
      </w:pPr>
      <w:r>
        <w:rPr>
          <w:rFonts w:hint="eastAsia" w:ascii="宋体" w:hAnsi="宋体"/>
          <w:sz w:val="24"/>
        </w:rPr>
        <w:t>4.属于同一集团、协会、商会等组织成员的供应商按照该组织要求协同参加政府采购活动；</w:t>
      </w:r>
    </w:p>
    <w:p>
      <w:pPr>
        <w:snapToGrid w:val="0"/>
        <w:spacing w:before="156" w:beforeLines="50" w:after="50"/>
        <w:ind w:firstLine="470" w:firstLineChars="196"/>
        <w:jc w:val="left"/>
        <w:rPr>
          <w:rFonts w:ascii="宋体" w:hAnsi="宋体"/>
          <w:sz w:val="24"/>
        </w:rPr>
      </w:pPr>
      <w:r>
        <w:rPr>
          <w:rFonts w:hint="eastAsia" w:ascii="宋体" w:hAnsi="宋体"/>
          <w:sz w:val="24"/>
        </w:rPr>
        <w:t>5.供应商之间事先约定一致抬高或者压低投标报价,或者在招标项目中事先约定轮流以高价位或者低价位中标,或者事先约定由某一特定供应商中标,然后再参加投标；</w:t>
      </w:r>
    </w:p>
    <w:p>
      <w:pPr>
        <w:snapToGrid w:val="0"/>
        <w:spacing w:before="156" w:beforeLines="50" w:after="50"/>
        <w:ind w:firstLine="470" w:firstLineChars="196"/>
        <w:jc w:val="left"/>
        <w:rPr>
          <w:rFonts w:ascii="宋体" w:hAnsi="宋体"/>
          <w:sz w:val="24"/>
        </w:rPr>
      </w:pPr>
      <w:r>
        <w:rPr>
          <w:rFonts w:hint="eastAsia" w:ascii="宋体" w:hAnsi="宋体"/>
          <w:sz w:val="24"/>
        </w:rPr>
        <w:t>6.供应商之间商定部分供应商放弃参加政府采购活动或者放弃中标；</w:t>
      </w:r>
    </w:p>
    <w:p>
      <w:pPr>
        <w:snapToGrid w:val="0"/>
        <w:spacing w:before="156" w:beforeLines="50" w:after="50"/>
        <w:ind w:firstLine="470" w:firstLineChars="196"/>
        <w:jc w:val="left"/>
        <w:rPr>
          <w:rFonts w:ascii="宋体" w:hAnsi="宋体"/>
          <w:sz w:val="24"/>
        </w:rPr>
      </w:pPr>
      <w:r>
        <w:rPr>
          <w:rFonts w:hint="eastAsia" w:ascii="宋体" w:hAnsi="宋体"/>
          <w:sz w:val="24"/>
        </w:rPr>
        <w:t>7.供应商与采购人或者采购代理机构之间、供应商相互之间，为谋求特定供应商中标或者排斥其他供应商的其他串通行为。</w:t>
      </w:r>
    </w:p>
    <w:p>
      <w:pPr>
        <w:snapToGrid w:val="0"/>
        <w:spacing w:before="156" w:beforeLines="50" w:after="50"/>
        <w:ind w:firstLine="470" w:firstLineChars="196"/>
        <w:jc w:val="left"/>
        <w:rPr>
          <w:rFonts w:ascii="宋体" w:hAnsi="宋体"/>
          <w:sz w:val="24"/>
        </w:rPr>
      </w:pPr>
    </w:p>
    <w:p>
      <w:pPr>
        <w:snapToGrid w:val="0"/>
        <w:spacing w:before="156" w:beforeLines="50" w:after="50"/>
        <w:ind w:firstLine="472" w:firstLineChars="196"/>
        <w:jc w:val="left"/>
        <w:rPr>
          <w:rFonts w:ascii="宋体" w:hAnsi="宋体"/>
          <w:b/>
          <w:sz w:val="24"/>
        </w:rPr>
      </w:pPr>
      <w:r>
        <w:rPr>
          <w:rFonts w:hint="eastAsia" w:ascii="宋体" w:hAnsi="宋体"/>
          <w:b/>
          <w:sz w:val="24"/>
        </w:rPr>
        <w:t>以上情形一经核查属实，我方愿意承担一切后果，并不再寻求任何旨在减轻或免除法律责任的辩解。</w:t>
      </w:r>
    </w:p>
    <w:p>
      <w:pPr>
        <w:pStyle w:val="27"/>
        <w:snapToGrid w:val="0"/>
        <w:spacing w:before="295" w:after="295" w:line="320" w:lineRule="exact"/>
        <w:ind w:firstLine="6840" w:firstLineChars="2850"/>
        <w:rPr>
          <w:rFonts w:hAnsi="宋体"/>
          <w:sz w:val="24"/>
          <w:szCs w:val="24"/>
        </w:rPr>
      </w:pPr>
    </w:p>
    <w:p>
      <w:pPr>
        <w:pStyle w:val="27"/>
        <w:snapToGrid w:val="0"/>
        <w:spacing w:before="295" w:after="295" w:line="320" w:lineRule="exact"/>
        <w:ind w:firstLine="6840" w:firstLineChars="2850"/>
        <w:rPr>
          <w:rFonts w:hAnsi="宋体"/>
          <w:sz w:val="24"/>
          <w:szCs w:val="24"/>
        </w:rPr>
      </w:pPr>
      <w:r>
        <w:rPr>
          <w:rFonts w:hint="eastAsia" w:hAnsi="宋体"/>
          <w:sz w:val="24"/>
          <w:szCs w:val="24"/>
        </w:rPr>
        <w:t>（公章）</w:t>
      </w:r>
    </w:p>
    <w:p>
      <w:pPr>
        <w:snapToGrid w:val="0"/>
        <w:spacing w:before="156" w:beforeLines="50" w:after="50"/>
        <w:jc w:val="left"/>
        <w:rPr>
          <w:rFonts w:hAnsi="宋体"/>
          <w:sz w:val="24"/>
        </w:rPr>
      </w:pPr>
      <w:r>
        <w:rPr>
          <w:rFonts w:hAnsi="宋体"/>
          <w:sz w:val="24"/>
        </w:rPr>
        <w:t xml:space="preserve">                                                </w:t>
      </w:r>
      <w:r>
        <w:rPr>
          <w:rFonts w:hAnsi="宋体"/>
          <w:sz w:val="24"/>
          <w:u w:val="single"/>
        </w:rPr>
        <w:t xml:space="preserve">      </w:t>
      </w:r>
      <w:r>
        <w:rPr>
          <w:rFonts w:hint="eastAsia" w:hAnsi="宋体"/>
          <w:sz w:val="24"/>
        </w:rPr>
        <w:t>年</w:t>
      </w:r>
      <w:r>
        <w:rPr>
          <w:rFonts w:hAnsi="宋体"/>
          <w:sz w:val="24"/>
          <w:u w:val="single"/>
        </w:rPr>
        <w:t xml:space="preserve">    </w:t>
      </w:r>
      <w:r>
        <w:rPr>
          <w:rFonts w:hint="eastAsia" w:hAnsi="宋体"/>
          <w:sz w:val="24"/>
        </w:rPr>
        <w:t>月</w:t>
      </w:r>
      <w:r>
        <w:rPr>
          <w:rFonts w:hAnsi="宋体"/>
          <w:sz w:val="24"/>
          <w:u w:val="single"/>
        </w:rPr>
        <w:t xml:space="preserve">     </w:t>
      </w:r>
      <w:r>
        <w:rPr>
          <w:rFonts w:hint="eastAsia" w:hAnsi="宋体"/>
          <w:sz w:val="24"/>
        </w:rPr>
        <w:t>日</w:t>
      </w:r>
    </w:p>
    <w:p>
      <w:pPr>
        <w:snapToGrid w:val="0"/>
        <w:spacing w:before="156" w:beforeLines="50" w:after="50"/>
        <w:jc w:val="left"/>
        <w:rPr>
          <w:rFonts w:hAnsi="宋体"/>
          <w:sz w:val="24"/>
        </w:rPr>
      </w:pPr>
    </w:p>
    <w:p>
      <w:pPr>
        <w:snapToGrid w:val="0"/>
        <w:spacing w:before="156" w:beforeLines="50" w:after="50"/>
        <w:jc w:val="left"/>
        <w:rPr>
          <w:rFonts w:hAnsi="宋体"/>
          <w:sz w:val="24"/>
        </w:rPr>
      </w:pPr>
    </w:p>
    <w:p>
      <w:pPr>
        <w:snapToGrid w:val="0"/>
        <w:spacing w:before="156" w:beforeLines="50" w:after="50"/>
        <w:jc w:val="left"/>
        <w:rPr>
          <w:rFonts w:ascii="宋体" w:hAnsi="宋体"/>
          <w:b/>
          <w:sz w:val="24"/>
          <w:szCs w:val="20"/>
        </w:rPr>
      </w:pPr>
      <w:r>
        <w:rPr>
          <w:rFonts w:hint="eastAsia" w:ascii="宋体" w:hAnsi="宋体"/>
          <w:b/>
          <w:sz w:val="24"/>
        </w:rPr>
        <w:t>4.法定代表人身份证明</w:t>
      </w:r>
    </w:p>
    <w:p>
      <w:pPr>
        <w:spacing w:before="312" w:beforeLines="100" w:after="156" w:afterLines="50"/>
        <w:ind w:left="540"/>
        <w:jc w:val="center"/>
        <w:rPr>
          <w:rFonts w:ascii="宋体" w:hAnsi="Courier New"/>
          <w:b/>
          <w:sz w:val="32"/>
          <w:szCs w:val="32"/>
        </w:rPr>
      </w:pPr>
    </w:p>
    <w:p>
      <w:pPr>
        <w:spacing w:before="312" w:beforeLines="100" w:after="156" w:afterLines="50"/>
        <w:ind w:left="540"/>
        <w:jc w:val="center"/>
        <w:rPr>
          <w:rFonts w:ascii="黑体" w:hAnsi="宋体" w:eastAsia="黑体"/>
          <w:sz w:val="24"/>
        </w:rPr>
      </w:pPr>
      <w:r>
        <w:rPr>
          <w:rFonts w:hint="eastAsia" w:ascii="宋体" w:hAnsi="Courier New"/>
          <w:b/>
          <w:sz w:val="24"/>
        </w:rPr>
        <w:t>法定代表人身份证明</w:t>
      </w:r>
    </w:p>
    <w:p>
      <w:pPr>
        <w:spacing w:line="500" w:lineRule="exact"/>
        <w:ind w:left="540"/>
        <w:rPr>
          <w:rFonts w:ascii="宋体" w:hAnsi="宋体"/>
          <w:sz w:val="24"/>
        </w:rPr>
      </w:pPr>
      <w:r>
        <w:rPr>
          <w:rFonts w:hint="eastAsia" w:ascii="宋体" w:hAnsi="宋体"/>
          <w:sz w:val="24"/>
        </w:rPr>
        <w:t>投 标 人：</w:t>
      </w:r>
      <w:r>
        <w:rPr>
          <w:rFonts w:hint="eastAsia" w:ascii="宋体" w:hAnsi="宋体"/>
          <w:sz w:val="24"/>
          <w:u w:val="single"/>
        </w:rPr>
        <w:t xml:space="preserve">                                                        </w:t>
      </w:r>
    </w:p>
    <w:p>
      <w:pPr>
        <w:spacing w:line="500" w:lineRule="exact"/>
        <w:ind w:left="540"/>
        <w:rPr>
          <w:rFonts w:ascii="宋体" w:hAnsi="宋体"/>
          <w:sz w:val="24"/>
        </w:rPr>
      </w:pPr>
      <w:r>
        <w:rPr>
          <w:rFonts w:hint="eastAsia" w:ascii="宋体" w:hAnsi="宋体"/>
          <w:sz w:val="24"/>
        </w:rPr>
        <w:t>地    址：</w:t>
      </w:r>
      <w:r>
        <w:rPr>
          <w:rFonts w:hint="eastAsia" w:ascii="宋体" w:hAnsi="宋体"/>
          <w:sz w:val="24"/>
          <w:u w:val="single"/>
        </w:rPr>
        <w:t xml:space="preserve">                                                        </w:t>
      </w:r>
    </w:p>
    <w:p>
      <w:pPr>
        <w:spacing w:line="500" w:lineRule="exact"/>
        <w:ind w:left="54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00" w:lineRule="exact"/>
        <w:ind w:left="540"/>
        <w:rPr>
          <w:rFonts w:ascii="宋体" w:hAnsi="宋体"/>
          <w:sz w:val="24"/>
        </w:rPr>
      </w:pPr>
      <w:r>
        <w:rPr>
          <w:rFonts w:hint="eastAsia" w:ascii="宋体" w:hAnsi="宋体"/>
          <w:sz w:val="24"/>
        </w:rPr>
        <w:t>经营期限：</w:t>
      </w:r>
      <w:r>
        <w:rPr>
          <w:rFonts w:hint="eastAsia" w:ascii="宋体" w:hAnsi="宋体"/>
          <w:sz w:val="24"/>
          <w:u w:val="single"/>
        </w:rPr>
        <w:t xml:space="preserve">                                                        </w:t>
      </w:r>
    </w:p>
    <w:p>
      <w:pPr>
        <w:spacing w:line="500" w:lineRule="exact"/>
        <w:ind w:left="540"/>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00" w:lineRule="exact"/>
        <w:ind w:left="540"/>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pPr>
        <w:spacing w:line="500" w:lineRule="exact"/>
        <w:ind w:left="540"/>
        <w:rPr>
          <w:rFonts w:ascii="宋体" w:hAnsi="宋体"/>
          <w:sz w:val="24"/>
        </w:rPr>
      </w:pPr>
      <w:r>
        <w:rPr>
          <w:rFonts w:hint="eastAsia" w:ascii="宋体" w:hAnsi="宋体"/>
          <w:sz w:val="24"/>
        </w:rPr>
        <w:t>身份证</w:t>
      </w:r>
      <w:r>
        <w:rPr>
          <w:rFonts w:hint="eastAsia"/>
          <w:sz w:val="24"/>
        </w:rPr>
        <w:t>号码：</w:t>
      </w:r>
      <w:r>
        <w:rPr>
          <w:sz w:val="24"/>
          <w:u w:val="single"/>
        </w:rPr>
        <w:t xml:space="preserve">                                 </w:t>
      </w:r>
    </w:p>
    <w:p>
      <w:pPr>
        <w:spacing w:line="500" w:lineRule="exact"/>
        <w:ind w:left="54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500" w:lineRule="exact"/>
        <w:ind w:left="540"/>
        <w:rPr>
          <w:rFonts w:ascii="宋体" w:hAnsi="宋体"/>
          <w:sz w:val="24"/>
        </w:rPr>
      </w:pPr>
      <w:r>
        <w:rPr>
          <w:rFonts w:hint="eastAsia" w:ascii="宋体" w:hAnsi="宋体"/>
          <w:sz w:val="24"/>
        </w:rPr>
        <w:t>特此证明。</w:t>
      </w:r>
    </w:p>
    <w:p>
      <w:pPr>
        <w:spacing w:line="500" w:lineRule="exact"/>
        <w:ind w:left="540"/>
        <w:rPr>
          <w:rFonts w:ascii="宋体" w:hAnsi="宋体"/>
          <w:sz w:val="24"/>
        </w:rPr>
      </w:pPr>
    </w:p>
    <w:p>
      <w:pPr>
        <w:spacing w:line="500" w:lineRule="exact"/>
        <w:ind w:left="540"/>
        <w:rPr>
          <w:rFonts w:ascii="宋体" w:hAnsi="宋体"/>
          <w:sz w:val="24"/>
        </w:rPr>
      </w:pPr>
    </w:p>
    <w:p>
      <w:pPr>
        <w:spacing w:line="500" w:lineRule="exact"/>
        <w:ind w:left="540"/>
        <w:rPr>
          <w:rFonts w:ascii="宋体" w:hAnsi="宋体"/>
          <w:sz w:val="24"/>
        </w:rPr>
      </w:pPr>
      <w:r>
        <w:rPr>
          <w:rFonts w:hint="eastAsia" w:ascii="宋体" w:hAnsi="宋体"/>
          <w:sz w:val="24"/>
        </w:rPr>
        <w:t>附件：法定代表人有效身份证正反面复印件</w:t>
      </w:r>
    </w:p>
    <w:p>
      <w:pPr>
        <w:spacing w:line="500" w:lineRule="exact"/>
        <w:ind w:left="540"/>
        <w:rPr>
          <w:rFonts w:ascii="宋体" w:hAnsi="宋体"/>
          <w:sz w:val="24"/>
        </w:rPr>
      </w:pPr>
    </w:p>
    <w:p>
      <w:pPr>
        <w:wordWrap w:val="0"/>
        <w:spacing w:line="500" w:lineRule="exact"/>
        <w:ind w:left="540"/>
        <w:jc w:val="right"/>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500" w:lineRule="exact"/>
        <w:ind w:left="540"/>
        <w:jc w:val="right"/>
        <w:rPr>
          <w:rFonts w:ascii="宋体" w:hAnsi="宋体"/>
          <w:sz w:val="24"/>
        </w:rPr>
      </w:pPr>
    </w:p>
    <w:p>
      <w:pPr>
        <w:snapToGrid w:val="0"/>
        <w:spacing w:before="156" w:beforeLines="50" w:after="50"/>
        <w:ind w:left="540"/>
        <w:jc w:val="righ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napToGrid w:val="0"/>
        <w:spacing w:before="156" w:beforeLines="50" w:after="50"/>
        <w:jc w:val="center"/>
        <w:rPr>
          <w:rFonts w:ascii="宋体" w:hAnsi="宋体"/>
          <w:b/>
          <w:sz w:val="24"/>
        </w:rPr>
      </w:pPr>
    </w:p>
    <w:p>
      <w:pPr>
        <w:snapToGrid w:val="0"/>
        <w:spacing w:before="156" w:beforeLines="50" w:after="50"/>
        <w:jc w:val="left"/>
        <w:rPr>
          <w:rFonts w:ascii="宋体" w:hAnsi="宋体"/>
          <w:b/>
          <w:sz w:val="24"/>
          <w:szCs w:val="20"/>
        </w:rPr>
      </w:pPr>
      <w:r>
        <w:rPr>
          <w:rFonts w:hint="eastAsia" w:ascii="宋体" w:hAnsi="宋体"/>
          <w:sz w:val="24"/>
        </w:rPr>
        <w:t>注：自然人投标的无需提供</w:t>
      </w:r>
    </w:p>
    <w:p>
      <w:pPr>
        <w:snapToGrid w:val="0"/>
        <w:spacing w:before="156" w:beforeLines="50" w:after="50"/>
        <w:jc w:val="left"/>
        <w:rPr>
          <w:rFonts w:ascii="宋体" w:hAnsi="宋体"/>
          <w:b/>
          <w:sz w:val="24"/>
          <w:szCs w:val="20"/>
        </w:rPr>
      </w:pPr>
      <w:r>
        <w:rPr>
          <w:rFonts w:hint="eastAsia" w:ascii="宋体" w:hAnsi="宋体"/>
          <w:b/>
          <w:sz w:val="24"/>
        </w:rPr>
        <w:br w:type="page"/>
      </w:r>
      <w:r>
        <w:rPr>
          <w:rFonts w:hint="eastAsia" w:ascii="宋体" w:hAnsi="宋体"/>
          <w:b/>
          <w:sz w:val="24"/>
        </w:rPr>
        <w:t>5.法定代表人授权委托书格式</w:t>
      </w:r>
    </w:p>
    <w:p>
      <w:pPr>
        <w:snapToGrid w:val="0"/>
        <w:spacing w:before="156" w:beforeLines="50" w:after="50"/>
        <w:jc w:val="center"/>
        <w:rPr>
          <w:rFonts w:ascii="宋体" w:hAnsi="宋体"/>
          <w:b/>
          <w:sz w:val="44"/>
          <w:szCs w:val="44"/>
        </w:rPr>
      </w:pPr>
    </w:p>
    <w:p>
      <w:pPr>
        <w:snapToGrid w:val="0"/>
        <w:spacing w:before="156" w:beforeLines="50" w:after="50"/>
        <w:jc w:val="center"/>
        <w:rPr>
          <w:rFonts w:ascii="宋体" w:hAnsi="宋体"/>
          <w:b/>
          <w:sz w:val="24"/>
        </w:rPr>
      </w:pPr>
      <w:r>
        <w:rPr>
          <w:rFonts w:hint="eastAsia" w:ascii="宋体" w:hAnsi="宋体"/>
          <w:b/>
          <w:sz w:val="24"/>
        </w:rPr>
        <w:t>法定代表人授权委托书（如有委托时）</w:t>
      </w:r>
    </w:p>
    <w:p>
      <w:pPr>
        <w:snapToGrid w:val="0"/>
        <w:spacing w:before="156" w:beforeLines="50" w:after="50"/>
        <w:jc w:val="center"/>
        <w:rPr>
          <w:rFonts w:ascii="宋体" w:hAnsi="宋体"/>
          <w:b/>
          <w:sz w:val="24"/>
        </w:rPr>
      </w:pPr>
    </w:p>
    <w:p>
      <w:pPr>
        <w:snapToGrid w:val="0"/>
        <w:spacing w:before="156" w:beforeLines="50" w:after="50"/>
        <w:rPr>
          <w:rFonts w:ascii="宋体" w:hAnsi="宋体"/>
          <w:b/>
          <w:bCs/>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pPr>
        <w:snapToGrid w:val="0"/>
        <w:spacing w:before="156" w:beforeLines="50" w:after="50"/>
        <w:ind w:firstLine="566" w:firstLineChars="236"/>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 xml:space="preserve">（投标人名称）的法定代表人，现授权委托本单位在职职工 </w:t>
      </w:r>
      <w:r>
        <w:rPr>
          <w:rFonts w:hint="eastAsia" w:ascii="宋体" w:hAnsi="宋体"/>
          <w:sz w:val="24"/>
          <w:u w:val="single"/>
        </w:rPr>
        <w:t xml:space="preserve">              </w:t>
      </w:r>
      <w:r>
        <w:rPr>
          <w:rFonts w:hint="eastAsia" w:ascii="宋体" w:hAnsi="宋体"/>
          <w:sz w:val="24"/>
        </w:rPr>
        <w:t>（姓名）以我方的名义参加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napToGrid w:val="0"/>
        <w:spacing w:before="156" w:beforeLines="50" w:after="50"/>
        <w:rPr>
          <w:rFonts w:ascii="宋体" w:hAnsi="宋体"/>
          <w:sz w:val="24"/>
        </w:rPr>
      </w:pPr>
      <w:r>
        <w:rPr>
          <w:rFonts w:hint="eastAsia" w:ascii="宋体" w:hAnsi="宋体"/>
          <w:sz w:val="24"/>
        </w:rPr>
        <w:t xml:space="preserve">    我方对委托代理人的签字事项负全部责任。</w:t>
      </w:r>
    </w:p>
    <w:p>
      <w:pPr>
        <w:snapToGrid w:val="0"/>
        <w:spacing w:before="156" w:beforeLines="50" w:after="50"/>
        <w:ind w:firstLine="480"/>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委托代理人在授权书有效期内签署的所有文件不因授权的撤销而失效。</w:t>
      </w:r>
    </w:p>
    <w:p>
      <w:pPr>
        <w:snapToGrid w:val="0"/>
        <w:spacing w:before="156" w:beforeLines="50" w:after="50"/>
        <w:ind w:firstLine="480"/>
        <w:rPr>
          <w:rFonts w:ascii="宋体" w:hAnsi="宋体"/>
          <w:sz w:val="24"/>
        </w:rPr>
      </w:pPr>
      <w:r>
        <w:rPr>
          <w:rFonts w:hint="eastAsia" w:ascii="宋体" w:hAnsi="宋体"/>
          <w:sz w:val="24"/>
        </w:rPr>
        <w:t>委托代理人无转委托权，特此委托。</w:t>
      </w:r>
    </w:p>
    <w:p>
      <w:pPr>
        <w:snapToGrid w:val="0"/>
        <w:spacing w:before="156" w:beforeLines="50" w:after="50"/>
        <w:ind w:firstLine="480"/>
        <w:rPr>
          <w:rFonts w:ascii="宋体" w:hAnsi="宋体"/>
          <w:sz w:val="24"/>
        </w:rPr>
      </w:pPr>
      <w:r>
        <w:rPr>
          <w:rFonts w:hint="eastAsia" w:ascii="宋体" w:hAnsi="宋体"/>
          <w:sz w:val="24"/>
        </w:rPr>
        <w:t>附：法定代表人身份证明及委托代理人有效身份证正反面复印件</w:t>
      </w:r>
    </w:p>
    <w:p>
      <w:pPr>
        <w:snapToGrid w:val="0"/>
        <w:spacing w:before="156" w:beforeLines="50" w:after="50"/>
        <w:rPr>
          <w:rFonts w:ascii="宋体" w:hAnsi="宋体"/>
          <w:sz w:val="24"/>
        </w:rPr>
      </w:pPr>
    </w:p>
    <w:p>
      <w:pPr>
        <w:snapToGrid w:val="0"/>
        <w:spacing w:before="156" w:beforeLines="50" w:after="50"/>
        <w:rPr>
          <w:rFonts w:ascii="宋体" w:hAnsi="宋体"/>
          <w:sz w:val="24"/>
          <w:u w:val="single"/>
        </w:rPr>
      </w:pPr>
      <w:r>
        <w:rPr>
          <w:rFonts w:hint="eastAsia" w:ascii="宋体" w:hAnsi="宋体"/>
          <w:sz w:val="24"/>
        </w:rPr>
        <w:t>委托代理人签字：</w:t>
      </w:r>
      <w:r>
        <w:rPr>
          <w:rFonts w:hint="eastAsia" w:ascii="宋体" w:hAnsi="宋体"/>
          <w:sz w:val="24"/>
          <w:u w:val="single"/>
        </w:rPr>
        <w:t xml:space="preserve">               </w:t>
      </w:r>
      <w:r>
        <w:rPr>
          <w:rFonts w:hint="eastAsia" w:ascii="宋体" w:hAnsi="宋体"/>
          <w:sz w:val="24"/>
        </w:rPr>
        <w:t xml:space="preserve">            法定代表人签字或签章：</w:t>
      </w:r>
      <w:r>
        <w:rPr>
          <w:rFonts w:hint="eastAsia" w:ascii="宋体" w:hAnsi="宋体"/>
          <w:sz w:val="24"/>
          <w:u w:val="single"/>
        </w:rPr>
        <w:t xml:space="preserve">              </w:t>
      </w:r>
    </w:p>
    <w:p>
      <w:pPr>
        <w:snapToGrid w:val="0"/>
        <w:spacing w:before="156" w:beforeLines="50" w:after="50"/>
        <w:rPr>
          <w:rFonts w:ascii="宋体" w:hAnsi="宋体"/>
          <w:sz w:val="24"/>
        </w:rPr>
      </w:pPr>
      <w:r>
        <w:rPr>
          <w:rFonts w:hint="eastAsia" w:ascii="宋体" w:hAnsi="宋体"/>
          <w:sz w:val="24"/>
        </w:rPr>
        <w:t>所在部门职务：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napToGrid w:val="0"/>
        <w:spacing w:before="156" w:beforeLines="50" w:after="50"/>
        <w:rPr>
          <w:rFonts w:ascii="宋体" w:hAnsi="宋体"/>
          <w:sz w:val="24"/>
        </w:rPr>
      </w:pPr>
      <w:r>
        <w:rPr>
          <w:rFonts w:hint="eastAsia" w:ascii="宋体" w:hAnsi="宋体"/>
          <w:sz w:val="24"/>
        </w:rPr>
        <w:t>委托代理人身份证号码：</w:t>
      </w:r>
      <w:r>
        <w:rPr>
          <w:rFonts w:hint="eastAsia" w:ascii="宋体" w:hAnsi="宋体"/>
          <w:sz w:val="24"/>
          <w:u w:val="single"/>
        </w:rPr>
        <w:t xml:space="preserve">                             </w:t>
      </w:r>
      <w:r>
        <w:rPr>
          <w:rFonts w:hint="eastAsia" w:ascii="宋体" w:hAnsi="宋体"/>
          <w:sz w:val="24"/>
        </w:rPr>
        <w:t xml:space="preserve"> </w:t>
      </w:r>
    </w:p>
    <w:p>
      <w:pPr>
        <w:snapToGrid w:val="0"/>
        <w:spacing w:before="156" w:beforeLines="50" w:after="50"/>
        <w:jc w:val="center"/>
        <w:rPr>
          <w:rFonts w:ascii="宋体" w:hAnsi="宋体"/>
          <w:sz w:val="24"/>
        </w:rPr>
      </w:pPr>
      <w:r>
        <w:rPr>
          <w:rFonts w:hint="eastAsia" w:ascii="宋体" w:hAnsi="宋体"/>
          <w:sz w:val="24"/>
        </w:rPr>
        <w:t xml:space="preserve">                                                投标人公章：</w:t>
      </w:r>
    </w:p>
    <w:p>
      <w:pPr>
        <w:snapToGrid w:val="0"/>
        <w:spacing w:before="156" w:beforeLines="50" w:after="50"/>
        <w:jc w:val="center"/>
        <w:rPr>
          <w:rFonts w:ascii="宋体" w:hAnsi="宋体"/>
          <w:sz w:val="24"/>
        </w:rPr>
      </w:pPr>
      <w:r>
        <w:rPr>
          <w:rFonts w:hint="eastAsia" w:ascii="宋体" w:hAnsi="宋体"/>
          <w:sz w:val="24"/>
        </w:rPr>
        <w:t xml:space="preserve">                                              年    月    日</w:t>
      </w:r>
    </w:p>
    <w:p>
      <w:pPr>
        <w:snapToGrid w:val="0"/>
        <w:spacing w:before="156" w:beforeLines="50" w:after="50"/>
        <w:jc w:val="center"/>
        <w:rPr>
          <w:rFonts w:ascii="宋体" w:hAnsi="宋体"/>
          <w:sz w:val="24"/>
        </w:rPr>
      </w:pPr>
    </w:p>
    <w:p>
      <w:pPr>
        <w:snapToGrid w:val="0"/>
        <w:spacing w:before="156" w:beforeLines="50" w:after="50"/>
        <w:jc w:val="center"/>
        <w:rPr>
          <w:rFonts w:ascii="宋体" w:hAnsi="宋体"/>
          <w:sz w:val="24"/>
        </w:rPr>
      </w:pPr>
    </w:p>
    <w:p>
      <w:pPr>
        <w:snapToGrid w:val="0"/>
        <w:spacing w:before="156" w:beforeLines="50" w:after="50"/>
        <w:rPr>
          <w:rFonts w:ascii="宋体" w:hAnsi="宋体"/>
          <w:sz w:val="24"/>
        </w:rPr>
      </w:pPr>
    </w:p>
    <w:p>
      <w:pPr>
        <w:snapToGrid w:val="0"/>
        <w:spacing w:before="50" w:after="156" w:afterLines="50"/>
        <w:jc w:val="left"/>
        <w:rPr>
          <w:rFonts w:ascii="宋体" w:hAnsi="宋体"/>
          <w:sz w:val="24"/>
        </w:rPr>
      </w:pPr>
      <w:r>
        <w:rPr>
          <w:rFonts w:hint="eastAsia" w:ascii="宋体" w:hAnsi="宋体"/>
          <w:sz w:val="24"/>
        </w:rPr>
        <w:t>注：</w:t>
      </w:r>
    </w:p>
    <w:p>
      <w:pPr>
        <w:snapToGrid w:val="0"/>
        <w:spacing w:before="50" w:after="156" w:afterLines="50"/>
        <w:jc w:val="left"/>
        <w:rPr>
          <w:rFonts w:ascii="宋体" w:hAnsi="宋体"/>
          <w:sz w:val="24"/>
        </w:rPr>
      </w:pPr>
      <w:r>
        <w:rPr>
          <w:rFonts w:hint="eastAsia" w:ascii="宋体" w:hAnsi="宋体"/>
          <w:sz w:val="24"/>
        </w:rPr>
        <w:t>以联合体形式投标的，本授权委托书应由联合体牵头人的法定代表人按上述规定签署。</w:t>
      </w:r>
    </w:p>
    <w:p>
      <w:pPr>
        <w:widowControl/>
        <w:jc w:val="left"/>
        <w:rPr>
          <w:rFonts w:ascii="宋体" w:hAnsi="宋体"/>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napToGrid w:val="0"/>
        <w:spacing w:before="120" w:beforeLines="50" w:after="50"/>
        <w:jc w:val="left"/>
        <w:rPr>
          <w:rFonts w:ascii="宋体" w:hAnsi="宋体"/>
          <w:b/>
          <w:sz w:val="24"/>
        </w:rPr>
      </w:pPr>
      <w:r>
        <w:rPr>
          <w:rFonts w:hint="eastAsia" w:ascii="宋体" w:hAnsi="宋体"/>
          <w:b/>
          <w:sz w:val="24"/>
        </w:rPr>
        <w:t>6.投标人类似的业绩证明文件</w:t>
      </w:r>
    </w:p>
    <w:p>
      <w:pPr>
        <w:pStyle w:val="38"/>
        <w:snapToGrid w:val="0"/>
        <w:ind w:left="480" w:hanging="480"/>
        <w:rPr>
          <w:rFonts w:ascii="宋体" w:hAnsi="宋体"/>
          <w:sz w:val="24"/>
        </w:rPr>
      </w:pPr>
    </w:p>
    <w:p>
      <w:pPr>
        <w:pStyle w:val="38"/>
        <w:snapToGrid w:val="0"/>
        <w:ind w:left="480" w:hanging="480"/>
        <w:rPr>
          <w:rFonts w:ascii="宋体" w:hAnsi="宋体"/>
          <w:sz w:val="24"/>
        </w:rPr>
      </w:pPr>
      <w:r>
        <w:rPr>
          <w:rFonts w:hint="eastAsia" w:ascii="宋体" w:hAnsi="宋体"/>
          <w:sz w:val="24"/>
        </w:rPr>
        <w:t>投标人同类项目情况一览表格式：（投标人同类项目合同复印件、用户验收报告、用户评价意见格式自拟）</w:t>
      </w:r>
    </w:p>
    <w:tbl>
      <w:tblPr>
        <w:tblStyle w:val="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2268"/>
        <w:gridCol w:w="2268"/>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合同</w:t>
            </w:r>
          </w:p>
          <w:p>
            <w:pPr>
              <w:snapToGrid w:val="0"/>
              <w:spacing w:line="240" w:lineRule="exact"/>
              <w:jc w:val="center"/>
              <w:rPr>
                <w:rFonts w:ascii="宋体" w:hAnsi="宋体"/>
                <w:sz w:val="24"/>
              </w:rPr>
            </w:pPr>
            <w:r>
              <w:rPr>
                <w:rFonts w:hint="eastAsia" w:ascii="宋体" w:hAnsi="宋体"/>
                <w:sz w:val="24"/>
              </w:rPr>
              <w:t>金额</w:t>
            </w:r>
          </w:p>
          <w:p>
            <w:pPr>
              <w:snapToGrid w:val="0"/>
              <w:spacing w:line="240" w:lineRule="exact"/>
              <w:jc w:val="center"/>
              <w:rPr>
                <w:rFonts w:ascii="宋体" w:hAnsi="宋体"/>
                <w:sz w:val="24"/>
              </w:rPr>
            </w:pPr>
            <w:r>
              <w:rPr>
                <w:rFonts w:hint="eastAsia" w:ascii="宋体" w:hAnsi="宋体"/>
                <w:sz w:val="24"/>
              </w:rPr>
              <w:t>（万元）</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sz w:val="24"/>
              </w:rPr>
            </w:pPr>
            <w:r>
              <w:rPr>
                <w:rFonts w:hint="eastAsia" w:ascii="宋体" w:hAnsi="宋体"/>
                <w:sz w:val="24"/>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采购人联系人及</w:t>
            </w:r>
          </w:p>
          <w:p>
            <w:pPr>
              <w:snapToGrid w:val="0"/>
              <w:spacing w:line="240" w:lineRule="exact"/>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合同</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验收报告</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bl>
    <w:p>
      <w:pPr>
        <w:pStyle w:val="16"/>
        <w:snapToGrid w:val="0"/>
        <w:rPr>
          <w:rFonts w:ascii="宋体" w:hAnsi="宋体" w:eastAsia="宋体"/>
          <w:sz w:val="24"/>
          <w:szCs w:val="24"/>
        </w:rPr>
      </w:pPr>
    </w:p>
    <w:p>
      <w:pPr>
        <w:pStyle w:val="16"/>
        <w:snapToGrid w:val="0"/>
        <w:rPr>
          <w:rFonts w:ascii="宋体" w:hAnsi="宋体" w:eastAsia="宋体"/>
          <w:sz w:val="24"/>
          <w:szCs w:val="24"/>
          <w:u w:val="single"/>
        </w:rPr>
      </w:pPr>
      <w:r>
        <w:rPr>
          <w:rFonts w:hint="eastAsia" w:ascii="宋体" w:hAnsi="宋体" w:eastAsia="宋体"/>
          <w:sz w:val="24"/>
          <w:szCs w:val="24"/>
        </w:rPr>
        <w:t>法定代表人或委托代理人签字或签章：</w:t>
      </w:r>
      <w:r>
        <w:rPr>
          <w:rFonts w:hint="eastAsia" w:ascii="宋体" w:hAnsi="宋体" w:eastAsia="宋体"/>
          <w:sz w:val="24"/>
          <w:szCs w:val="24"/>
          <w:u w:val="single"/>
        </w:rPr>
        <w:t>　　　　　</w:t>
      </w:r>
    </w:p>
    <w:p>
      <w:pPr>
        <w:snapToGrid w:val="0"/>
        <w:spacing w:before="50"/>
        <w:ind w:right="480"/>
        <w:rPr>
          <w:rFonts w:ascii="宋体" w:hAnsi="宋体"/>
          <w:sz w:val="24"/>
          <w:szCs w:val="20"/>
        </w:rPr>
      </w:pPr>
      <w:r>
        <w:rPr>
          <w:rFonts w:hint="eastAsia" w:ascii="宋体" w:hAnsi="宋体"/>
          <w:sz w:val="24"/>
        </w:rPr>
        <w:t>投标人公章：</w:t>
      </w:r>
      <w:r>
        <w:rPr>
          <w:rFonts w:hint="eastAsia" w:ascii="宋体" w:hAnsi="宋体"/>
          <w:sz w:val="24"/>
          <w:u w:val="single"/>
        </w:rPr>
        <w:t xml:space="preserve">                 </w:t>
      </w:r>
      <w:r>
        <w:rPr>
          <w:rFonts w:hint="eastAsia" w:ascii="宋体" w:hAnsi="宋体"/>
          <w:sz w:val="24"/>
        </w:rPr>
        <w:t xml:space="preserve">                                                              年    月    日</w:t>
      </w:r>
    </w:p>
    <w:p>
      <w:pPr>
        <w:snapToGrid w:val="0"/>
        <w:spacing w:before="50"/>
        <w:ind w:firstLine="480" w:firstLineChars="200"/>
        <w:jc w:val="left"/>
        <w:rPr>
          <w:rFonts w:ascii="宋体" w:hAnsi="宋体"/>
          <w:sz w:val="24"/>
          <w:szCs w:val="20"/>
        </w:rPr>
      </w:pPr>
    </w:p>
    <w:p>
      <w:pPr>
        <w:snapToGrid w:val="0"/>
        <w:spacing w:before="50"/>
        <w:jc w:val="left"/>
        <w:rPr>
          <w:rFonts w:ascii="宋体" w:hAnsi="宋体"/>
          <w:sz w:val="24"/>
        </w:rPr>
      </w:pPr>
    </w:p>
    <w:p>
      <w:pPr>
        <w:widowControl/>
        <w:jc w:val="left"/>
        <w:rPr>
          <w:rFonts w:ascii="宋体" w:hAnsi="宋体"/>
          <w:sz w:val="24"/>
        </w:rPr>
        <w:sectPr>
          <w:pgSz w:w="16838" w:h="11906" w:orient="landscape"/>
          <w:pgMar w:top="1247" w:right="1134" w:bottom="1247" w:left="1134" w:header="851" w:footer="992" w:gutter="0"/>
          <w:cols w:space="720" w:num="1"/>
        </w:sectPr>
      </w:pPr>
    </w:p>
    <w:p>
      <w:pPr>
        <w:snapToGrid w:val="0"/>
        <w:spacing w:before="120" w:beforeLines="50" w:after="50"/>
        <w:jc w:val="left"/>
        <w:rPr>
          <w:rFonts w:ascii="宋体" w:hAnsi="宋体"/>
          <w:b/>
          <w:sz w:val="24"/>
          <w:szCs w:val="20"/>
        </w:rPr>
      </w:pPr>
      <w:r>
        <w:rPr>
          <w:rFonts w:hint="eastAsia" w:ascii="宋体" w:hAnsi="宋体"/>
          <w:b/>
          <w:sz w:val="24"/>
        </w:rPr>
        <w:t>7.商务条款偏离表格式(注：按项目需求表具体项目修改)</w:t>
      </w:r>
    </w:p>
    <w:p>
      <w:pPr>
        <w:snapToGrid w:val="0"/>
        <w:spacing w:before="50"/>
        <w:jc w:val="left"/>
        <w:rPr>
          <w:rFonts w:ascii="宋体" w:hAnsi="宋体"/>
          <w:sz w:val="24"/>
        </w:rPr>
      </w:pPr>
    </w:p>
    <w:p>
      <w:pPr>
        <w:snapToGrid w:val="0"/>
        <w:spacing w:before="50"/>
        <w:jc w:val="left"/>
        <w:rPr>
          <w:rFonts w:ascii="宋体" w:hAnsi="宋体"/>
          <w:sz w:val="24"/>
          <w:u w:val="single"/>
        </w:rPr>
      </w:pPr>
    </w:p>
    <w:tbl>
      <w:tblPr>
        <w:tblStyle w:val="5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4"/>
        <w:gridCol w:w="1334"/>
        <w:gridCol w:w="35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 w:val="24"/>
              </w:rPr>
            </w:pPr>
            <w:r>
              <w:rPr>
                <w:rFonts w:hint="eastAsia" w:ascii="宋体" w:hAnsi="宋体"/>
                <w:sz w:val="24"/>
              </w:rPr>
              <w:t>项目</w:t>
            </w:r>
          </w:p>
        </w:tc>
        <w:tc>
          <w:tcPr>
            <w:tcW w:w="3334"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 w:val="24"/>
              </w:rPr>
            </w:pPr>
            <w:r>
              <w:rPr>
                <w:rFonts w:hint="eastAsia" w:ascii="宋体" w:hAnsi="宋体"/>
                <w:sz w:val="24"/>
              </w:rPr>
              <w:t>招标文件商务条款要求</w:t>
            </w:r>
          </w:p>
        </w:tc>
        <w:tc>
          <w:tcPr>
            <w:tcW w:w="1334"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 w:val="24"/>
              </w:rPr>
            </w:pPr>
            <w:r>
              <w:rPr>
                <w:rFonts w:hint="eastAsia" w:ascii="宋体" w:hAnsi="宋体"/>
                <w:sz w:val="24"/>
              </w:rPr>
              <w:t>是否偏离</w:t>
            </w:r>
          </w:p>
        </w:tc>
        <w:tc>
          <w:tcPr>
            <w:tcW w:w="3542"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 w:val="24"/>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成果交付期及地点</w:t>
            </w:r>
          </w:p>
        </w:tc>
        <w:tc>
          <w:tcPr>
            <w:tcW w:w="3334"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 w:val="24"/>
              </w:rPr>
            </w:pPr>
          </w:p>
        </w:tc>
        <w:tc>
          <w:tcPr>
            <w:tcW w:w="1334"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 w:val="24"/>
              </w:rPr>
            </w:pPr>
          </w:p>
        </w:tc>
        <w:tc>
          <w:tcPr>
            <w:tcW w:w="3542"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付款条件</w:t>
            </w:r>
          </w:p>
        </w:tc>
        <w:tc>
          <w:tcPr>
            <w:tcW w:w="33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334"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 w:val="24"/>
              </w:rPr>
            </w:pPr>
          </w:p>
        </w:tc>
        <w:tc>
          <w:tcPr>
            <w:tcW w:w="3542"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售后服务</w:t>
            </w:r>
          </w:p>
        </w:tc>
        <w:tc>
          <w:tcPr>
            <w:tcW w:w="33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334"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 w:val="24"/>
              </w:rPr>
            </w:pPr>
          </w:p>
        </w:tc>
        <w:tc>
          <w:tcPr>
            <w:tcW w:w="3542"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 w:val="24"/>
              </w:rPr>
            </w:pPr>
            <w:r>
              <w:rPr>
                <w:rFonts w:hint="eastAsia" w:ascii="宋体" w:hAnsi="宋体"/>
                <w:sz w:val="24"/>
              </w:rPr>
              <w:t>…</w:t>
            </w:r>
          </w:p>
        </w:tc>
        <w:tc>
          <w:tcPr>
            <w:tcW w:w="3334"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 w:val="24"/>
              </w:rPr>
            </w:pPr>
          </w:p>
        </w:tc>
        <w:tc>
          <w:tcPr>
            <w:tcW w:w="1334"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 w:val="24"/>
              </w:rPr>
            </w:pPr>
          </w:p>
        </w:tc>
        <w:tc>
          <w:tcPr>
            <w:tcW w:w="3542"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 w:val="24"/>
              </w:rPr>
            </w:pPr>
          </w:p>
        </w:tc>
      </w:tr>
    </w:tbl>
    <w:p>
      <w:pPr>
        <w:snapToGrid w:val="0"/>
        <w:spacing w:before="50" w:after="50"/>
        <w:rPr>
          <w:rFonts w:ascii="宋体" w:hAnsi="宋体"/>
          <w:spacing w:val="20"/>
          <w:sz w:val="24"/>
        </w:rPr>
      </w:pPr>
      <w:r>
        <w:rPr>
          <w:rFonts w:hint="eastAsia" w:ascii="宋体" w:hAnsi="宋体"/>
          <w:spacing w:val="20"/>
          <w:sz w:val="24"/>
        </w:rPr>
        <w:t>注：如果招标文件的商务条件小于或大于某个数值标准时，投标文件不得直接复制招标文件需求，投标文件对应内容应当写明商务响应的实际数值，</w:t>
      </w:r>
      <w:r>
        <w:rPr>
          <w:rFonts w:hint="eastAsia" w:ascii="宋体" w:hAnsi="宋体"/>
          <w:b/>
          <w:spacing w:val="20"/>
          <w:sz w:val="24"/>
        </w:rPr>
        <w:t>否则按无效投标处理</w:t>
      </w:r>
      <w:r>
        <w:rPr>
          <w:rFonts w:hint="eastAsia" w:ascii="宋体" w:hAnsi="宋体"/>
          <w:spacing w:val="20"/>
          <w:sz w:val="24"/>
        </w:rPr>
        <w:t>。</w:t>
      </w:r>
    </w:p>
    <w:p>
      <w:pPr>
        <w:snapToGrid w:val="0"/>
        <w:spacing w:before="50" w:after="50"/>
        <w:rPr>
          <w:rFonts w:ascii="宋体" w:hAnsi="宋体"/>
          <w:spacing w:val="20"/>
          <w:sz w:val="24"/>
          <w:u w:val="single"/>
        </w:rPr>
      </w:pPr>
      <w:r>
        <w:rPr>
          <w:rFonts w:hint="eastAsia" w:ascii="宋体" w:hAnsi="宋体"/>
          <w:sz w:val="24"/>
        </w:rPr>
        <w:t>法定代表人或委托代理人</w:t>
      </w:r>
      <w:r>
        <w:rPr>
          <w:rFonts w:hint="eastAsia" w:ascii="宋体" w:hAnsi="宋体"/>
          <w:spacing w:val="20"/>
          <w:sz w:val="24"/>
        </w:rPr>
        <w:t>签字或签章：</w:t>
      </w:r>
      <w:r>
        <w:rPr>
          <w:rFonts w:hint="eastAsia" w:ascii="宋体" w:hAnsi="宋体"/>
          <w:spacing w:val="20"/>
          <w:sz w:val="24"/>
          <w:u w:val="single"/>
        </w:rPr>
        <w:t xml:space="preserve">        </w:t>
      </w:r>
    </w:p>
    <w:p>
      <w:pPr>
        <w:snapToGrid w:val="0"/>
        <w:spacing w:before="120" w:beforeLines="50"/>
        <w:rPr>
          <w:rFonts w:ascii="宋体" w:hAnsi="宋体"/>
          <w:spacing w:val="20"/>
          <w:sz w:val="24"/>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w:t>
      </w:r>
    </w:p>
    <w:p>
      <w:pPr>
        <w:snapToGrid w:val="0"/>
        <w:spacing w:before="120" w:beforeLines="50"/>
        <w:rPr>
          <w:rFonts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pPr>
        <w:snapToGrid w:val="0"/>
        <w:spacing w:before="120" w:beforeLines="50"/>
        <w:rPr>
          <w:rFonts w:ascii="宋体" w:hAnsi="宋体"/>
          <w:sz w:val="24"/>
          <w:szCs w:val="20"/>
        </w:rPr>
      </w:pPr>
    </w:p>
    <w:p>
      <w:pPr>
        <w:snapToGrid w:val="0"/>
        <w:spacing w:before="120" w:beforeLines="50"/>
        <w:rPr>
          <w:rFonts w:ascii="宋体" w:hAnsi="宋体"/>
          <w:sz w:val="24"/>
          <w:szCs w:val="20"/>
        </w:rPr>
      </w:pPr>
    </w:p>
    <w:p>
      <w:pPr>
        <w:snapToGrid w:val="0"/>
        <w:spacing w:before="120" w:beforeLines="50" w:after="50"/>
        <w:jc w:val="left"/>
        <w:rPr>
          <w:rFonts w:ascii="宋体" w:hAnsi="宋体"/>
          <w:b/>
          <w:sz w:val="24"/>
        </w:rPr>
      </w:pPr>
    </w:p>
    <w:p>
      <w:pPr>
        <w:snapToGrid w:val="0"/>
        <w:spacing w:before="120" w:beforeLines="50" w:after="50"/>
        <w:jc w:val="left"/>
        <w:rPr>
          <w:rFonts w:ascii="宋体" w:hAnsi="宋体"/>
          <w:b/>
          <w:sz w:val="24"/>
        </w:rPr>
      </w:pPr>
    </w:p>
    <w:p>
      <w:pPr>
        <w:snapToGrid w:val="0"/>
        <w:spacing w:before="120" w:beforeLines="50" w:after="50"/>
        <w:jc w:val="left"/>
        <w:rPr>
          <w:rFonts w:ascii="宋体" w:hAnsi="宋体"/>
          <w:b/>
          <w:sz w:val="24"/>
        </w:rPr>
      </w:pPr>
    </w:p>
    <w:p>
      <w:pPr>
        <w:snapToGrid w:val="0"/>
        <w:spacing w:before="120" w:beforeLines="50" w:after="50"/>
        <w:jc w:val="left"/>
        <w:rPr>
          <w:rFonts w:ascii="宋体" w:hAnsi="宋体"/>
          <w:b/>
          <w:sz w:val="24"/>
        </w:rPr>
      </w:pPr>
    </w:p>
    <w:p>
      <w:pPr>
        <w:snapToGrid w:val="0"/>
        <w:spacing w:before="120" w:beforeLines="50" w:after="50"/>
        <w:jc w:val="left"/>
        <w:rPr>
          <w:rFonts w:ascii="宋体" w:hAnsi="宋体"/>
          <w:b/>
          <w:sz w:val="24"/>
        </w:rPr>
      </w:pPr>
    </w:p>
    <w:p>
      <w:pPr>
        <w:snapToGrid w:val="0"/>
        <w:spacing w:before="120" w:beforeLines="50" w:after="50"/>
        <w:jc w:val="left"/>
        <w:rPr>
          <w:rFonts w:ascii="宋体" w:hAnsi="宋体"/>
          <w:b/>
          <w:sz w:val="24"/>
        </w:rPr>
      </w:pPr>
    </w:p>
    <w:p>
      <w:pPr>
        <w:snapToGrid w:val="0"/>
        <w:spacing w:before="120" w:beforeLines="50" w:after="50"/>
        <w:jc w:val="left"/>
        <w:rPr>
          <w:rFonts w:ascii="宋体" w:hAnsi="宋体"/>
          <w:b/>
          <w:sz w:val="24"/>
        </w:rPr>
      </w:pPr>
    </w:p>
    <w:p>
      <w:pPr>
        <w:snapToGrid w:val="0"/>
        <w:spacing w:before="120" w:beforeLines="50" w:after="50"/>
        <w:jc w:val="left"/>
        <w:rPr>
          <w:rFonts w:ascii="宋体" w:hAnsi="宋体"/>
          <w:b/>
          <w:sz w:val="24"/>
        </w:rPr>
      </w:pPr>
    </w:p>
    <w:p>
      <w:pPr>
        <w:snapToGrid w:val="0"/>
        <w:spacing w:before="120" w:beforeLines="50" w:after="50"/>
        <w:jc w:val="left"/>
        <w:rPr>
          <w:rFonts w:ascii="宋体" w:hAnsi="宋体"/>
          <w:b/>
          <w:sz w:val="24"/>
        </w:rPr>
      </w:pPr>
    </w:p>
    <w:p>
      <w:pPr>
        <w:snapToGrid w:val="0"/>
        <w:spacing w:before="120" w:beforeLines="50" w:after="50"/>
        <w:jc w:val="left"/>
        <w:rPr>
          <w:rFonts w:ascii="宋体" w:hAnsi="宋体"/>
          <w:b/>
          <w:sz w:val="24"/>
        </w:rPr>
      </w:pPr>
    </w:p>
    <w:p>
      <w:pPr>
        <w:snapToGrid w:val="0"/>
        <w:spacing w:before="120" w:beforeLines="50" w:after="50"/>
        <w:jc w:val="left"/>
        <w:rPr>
          <w:rFonts w:ascii="宋体" w:hAnsi="宋体"/>
          <w:b/>
          <w:sz w:val="24"/>
        </w:rPr>
      </w:pPr>
    </w:p>
    <w:p>
      <w:pPr>
        <w:snapToGrid w:val="0"/>
        <w:spacing w:before="120" w:beforeLines="50" w:after="50"/>
        <w:jc w:val="left"/>
        <w:rPr>
          <w:rFonts w:ascii="宋体" w:hAnsi="宋体"/>
          <w:b/>
          <w:sz w:val="24"/>
        </w:rPr>
      </w:pPr>
    </w:p>
    <w:p>
      <w:pPr>
        <w:snapToGrid w:val="0"/>
        <w:spacing w:before="120" w:beforeLines="50" w:after="50"/>
        <w:jc w:val="left"/>
        <w:rPr>
          <w:rFonts w:ascii="宋体" w:hAnsi="宋体"/>
          <w:b/>
          <w:sz w:val="24"/>
        </w:rPr>
      </w:pPr>
    </w:p>
    <w:p>
      <w:pPr>
        <w:snapToGrid w:val="0"/>
        <w:spacing w:before="120" w:beforeLines="50" w:after="50"/>
        <w:jc w:val="left"/>
        <w:rPr>
          <w:rFonts w:ascii="宋体" w:hAnsi="宋体"/>
          <w:b/>
          <w:sz w:val="24"/>
        </w:rPr>
      </w:pPr>
    </w:p>
    <w:p>
      <w:pPr>
        <w:snapToGrid w:val="0"/>
        <w:spacing w:before="120" w:beforeLines="50" w:after="50"/>
        <w:outlineLvl w:val="1"/>
        <w:rPr>
          <w:rFonts w:ascii="宋体" w:hAnsi="宋体"/>
          <w:b/>
          <w:sz w:val="28"/>
          <w:szCs w:val="28"/>
        </w:rPr>
      </w:pPr>
      <w:bookmarkStart w:id="82" w:name="_Toc23954131"/>
      <w:bookmarkStart w:id="83" w:name="_Toc19686839"/>
      <w:bookmarkStart w:id="84" w:name="_Toc24366228"/>
      <w:r>
        <w:rPr>
          <w:rFonts w:hint="eastAsia" w:ascii="宋体" w:hAnsi="宋体"/>
          <w:b/>
          <w:sz w:val="28"/>
          <w:szCs w:val="28"/>
        </w:rPr>
        <w:t>五、技术文件格式</w:t>
      </w:r>
      <w:bookmarkEnd w:id="82"/>
      <w:bookmarkEnd w:id="83"/>
      <w:bookmarkEnd w:id="84"/>
    </w:p>
    <w:p>
      <w:pPr>
        <w:snapToGrid w:val="0"/>
        <w:spacing w:before="120" w:beforeLines="50" w:after="50"/>
        <w:ind w:left="142"/>
        <w:jc w:val="left"/>
        <w:rPr>
          <w:rFonts w:ascii="宋体" w:hAnsi="宋体"/>
          <w:b/>
          <w:sz w:val="24"/>
        </w:rPr>
      </w:pPr>
      <w:r>
        <w:rPr>
          <w:rFonts w:hint="eastAsia" w:ascii="宋体" w:hAnsi="宋体"/>
          <w:b/>
          <w:sz w:val="24"/>
        </w:rPr>
        <w:t xml:space="preserve">1. 技术文件封面格式： </w:t>
      </w:r>
    </w:p>
    <w:p>
      <w:pPr>
        <w:snapToGrid w:val="0"/>
        <w:spacing w:before="120" w:beforeLines="50" w:after="50"/>
        <w:ind w:firstLine="590" w:firstLineChars="245"/>
        <w:jc w:val="left"/>
        <w:rPr>
          <w:rFonts w:ascii="宋体" w:hAnsi="宋体"/>
          <w:b/>
          <w:sz w:val="24"/>
        </w:rPr>
      </w:pPr>
      <w:r>
        <w:rPr>
          <w:rFonts w:hint="eastAsia" w:ascii="宋体" w:hAnsi="宋体"/>
          <w:b/>
          <w:sz w:val="24"/>
        </w:rPr>
        <w:t xml:space="preserve"> </w:t>
      </w:r>
    </w:p>
    <w:p>
      <w:pPr>
        <w:snapToGrid w:val="0"/>
        <w:spacing w:before="120" w:beforeLines="50" w:after="50"/>
        <w:rPr>
          <w:rFonts w:ascii="宋体" w:hAnsi="宋体"/>
          <w:b/>
          <w:bCs/>
          <w:sz w:val="32"/>
          <w:szCs w:val="20"/>
        </w:rPr>
      </w:pPr>
      <w:r>
        <w:rPr>
          <w:rFonts w:hint="eastAsia" w:ascii="宋体" w:hAnsi="宋体"/>
          <w:sz w:val="24"/>
        </w:rPr>
        <w:t xml:space="preserve">                                                    </w:t>
      </w:r>
      <w:r>
        <w:rPr>
          <w:rFonts w:hint="eastAsia" w:ascii="宋体" w:hAnsi="宋体"/>
          <w:b/>
          <w:bCs/>
        </w:rPr>
        <w:t>正本/或副本</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
          <w:bCs/>
          <w:sz w:val="32"/>
          <w:szCs w:val="32"/>
        </w:rPr>
      </w:pPr>
      <w:r>
        <w:rPr>
          <w:rFonts w:hint="eastAsia" w:ascii="宋体" w:hAnsi="宋体"/>
          <w:b/>
          <w:bCs/>
          <w:sz w:val="32"/>
          <w:szCs w:val="32"/>
        </w:rPr>
        <w:t>技术文件</w:t>
      </w:r>
    </w:p>
    <w:p>
      <w:pPr>
        <w:snapToGrid w:val="0"/>
        <w:spacing w:before="120" w:beforeLines="50" w:after="50"/>
        <w:rPr>
          <w:rFonts w:ascii="宋体" w:hAnsi="宋体"/>
          <w:bCs/>
          <w:sz w:val="24"/>
          <w:szCs w:val="20"/>
        </w:rPr>
      </w:pP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项目名称： </w:t>
      </w:r>
    </w:p>
    <w:p>
      <w:pPr>
        <w:snapToGrid w:val="0"/>
        <w:spacing w:before="120" w:beforeLines="50" w:after="50" w:line="400" w:lineRule="exact"/>
        <w:ind w:firstLine="360" w:firstLineChars="150"/>
        <w:rPr>
          <w:rFonts w:ascii="宋体" w:hAnsi="宋体"/>
          <w:bCs/>
          <w:sz w:val="24"/>
          <w:szCs w:val="20"/>
        </w:rPr>
      </w:pP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项目编号： </w:t>
      </w:r>
    </w:p>
    <w:p>
      <w:pPr>
        <w:snapToGrid w:val="0"/>
        <w:spacing w:before="120" w:beforeLines="50" w:after="50" w:line="400" w:lineRule="exact"/>
        <w:ind w:firstLine="360" w:firstLineChars="150"/>
        <w:rPr>
          <w:rFonts w:ascii="宋体" w:hAnsi="宋体"/>
          <w:bCs/>
          <w:sz w:val="24"/>
          <w:szCs w:val="20"/>
        </w:rPr>
      </w:pPr>
    </w:p>
    <w:p>
      <w:pPr>
        <w:snapToGrid w:val="0"/>
        <w:spacing w:before="120" w:beforeLines="50" w:after="50" w:line="400" w:lineRule="exact"/>
        <w:ind w:firstLine="360" w:firstLineChars="150"/>
        <w:rPr>
          <w:rFonts w:ascii="宋体" w:hAnsi="宋体"/>
          <w:bCs/>
          <w:sz w:val="24"/>
          <w:szCs w:val="20"/>
        </w:rPr>
      </w:pPr>
    </w:p>
    <w:p>
      <w:pPr>
        <w:pStyle w:val="8"/>
        <w:snapToGrid w:val="0"/>
        <w:spacing w:before="50" w:after="50" w:line="400" w:lineRule="exact"/>
        <w:ind w:firstLine="360" w:firstLineChars="150"/>
        <w:rPr>
          <w:rFonts w:ascii="宋体" w:hAnsi="宋体"/>
          <w:bCs/>
          <w:sz w:val="24"/>
          <w:szCs w:val="24"/>
        </w:rPr>
      </w:pPr>
      <w:r>
        <w:rPr>
          <w:rFonts w:hint="eastAsia" w:ascii="宋体" w:hAnsi="宋体"/>
          <w:bCs/>
          <w:sz w:val="24"/>
          <w:szCs w:val="24"/>
        </w:rPr>
        <w:t>投标人名称：</w:t>
      </w:r>
    </w:p>
    <w:p>
      <w:pPr>
        <w:pStyle w:val="8"/>
        <w:snapToGrid w:val="0"/>
        <w:spacing w:before="50" w:after="50" w:line="400" w:lineRule="exact"/>
        <w:ind w:firstLine="360" w:firstLineChars="150"/>
        <w:rPr>
          <w:rFonts w:ascii="宋体" w:hAnsi="宋体"/>
          <w:bCs/>
          <w:sz w:val="24"/>
          <w:szCs w:val="24"/>
        </w:rPr>
      </w:pPr>
    </w:p>
    <w:p>
      <w:pPr>
        <w:pStyle w:val="8"/>
        <w:snapToGrid w:val="0"/>
        <w:spacing w:before="50" w:after="50" w:line="400" w:lineRule="exact"/>
        <w:ind w:firstLine="360" w:firstLineChars="150"/>
        <w:rPr>
          <w:rFonts w:ascii="宋体" w:hAnsi="宋体"/>
          <w:bCs/>
          <w:sz w:val="24"/>
          <w:szCs w:val="24"/>
        </w:rPr>
      </w:pPr>
      <w:r>
        <w:rPr>
          <w:rFonts w:hint="eastAsia" w:ascii="宋体" w:hAnsi="宋体"/>
          <w:bCs/>
          <w:sz w:val="24"/>
          <w:szCs w:val="24"/>
        </w:rPr>
        <w:t>投标人地址：</w:t>
      </w:r>
    </w:p>
    <w:p>
      <w:pPr>
        <w:pStyle w:val="8"/>
        <w:snapToGrid w:val="0"/>
        <w:spacing w:before="50" w:after="50" w:line="400" w:lineRule="exact"/>
        <w:ind w:firstLine="360" w:firstLineChars="150"/>
        <w:rPr>
          <w:rFonts w:ascii="宋体" w:hAnsi="宋体"/>
          <w:bCs/>
          <w:sz w:val="24"/>
          <w:szCs w:val="24"/>
        </w:rPr>
      </w:pPr>
    </w:p>
    <w:p>
      <w:pPr>
        <w:snapToGrid w:val="0"/>
        <w:spacing w:before="120" w:beforeLines="50" w:after="50"/>
        <w:ind w:firstLine="880" w:firstLineChars="367"/>
        <w:rPr>
          <w:rFonts w:ascii="宋体" w:hAnsi="宋体"/>
          <w:sz w:val="24"/>
        </w:rPr>
      </w:pPr>
      <w:r>
        <w:rPr>
          <w:rFonts w:hint="eastAsia" w:ascii="宋体" w:hAnsi="宋体"/>
          <w:sz w:val="24"/>
        </w:rPr>
        <w:t>年    月    日</w:t>
      </w:r>
    </w:p>
    <w:p>
      <w:pPr>
        <w:snapToGrid w:val="0"/>
        <w:spacing w:before="120" w:beforeLines="50" w:after="50"/>
        <w:ind w:firstLine="645"/>
        <w:jc w:val="center"/>
        <w:rPr>
          <w:rFonts w:ascii="宋体" w:hAnsi="宋体"/>
          <w:sz w:val="24"/>
          <w:szCs w:val="20"/>
        </w:rPr>
      </w:pPr>
    </w:p>
    <w:p>
      <w:pPr>
        <w:snapToGrid w:val="0"/>
        <w:spacing w:before="120" w:beforeLines="50" w:after="50"/>
        <w:ind w:left="142"/>
        <w:jc w:val="left"/>
        <w:rPr>
          <w:rFonts w:ascii="宋体" w:hAnsi="宋体"/>
          <w:b/>
          <w:bCs/>
          <w:sz w:val="24"/>
        </w:rPr>
      </w:pPr>
      <w:r>
        <w:rPr>
          <w:rFonts w:ascii="宋体" w:hAnsi="宋体"/>
          <w:sz w:val="24"/>
          <w:szCs w:val="20"/>
        </w:rPr>
        <w:br w:type="page"/>
      </w:r>
      <w:r>
        <w:rPr>
          <w:rFonts w:hint="eastAsia" w:ascii="宋体" w:hAnsi="宋体"/>
          <w:b/>
          <w:bCs/>
          <w:sz w:val="24"/>
        </w:rPr>
        <w:t>2. 技术文件目录</w:t>
      </w:r>
    </w:p>
    <w:p>
      <w:pPr>
        <w:snapToGrid w:val="0"/>
        <w:spacing w:before="50" w:after="120" w:afterLines="50" w:line="280" w:lineRule="exact"/>
        <w:ind w:left="283" w:leftChars="135"/>
        <w:jc w:val="left"/>
        <w:rPr>
          <w:rFonts w:ascii="宋体" w:hAnsi="宋体"/>
          <w:sz w:val="24"/>
          <w:szCs w:val="20"/>
        </w:rPr>
      </w:pPr>
      <w:r>
        <w:rPr>
          <w:rFonts w:hint="eastAsia" w:ascii="宋体" w:hAnsi="宋体"/>
          <w:szCs w:val="21"/>
        </w:rPr>
        <w:t>根据招标文件规定及投标人提供的材料自行编写目录。</w:t>
      </w:r>
    </w:p>
    <w:p>
      <w:pPr>
        <w:snapToGrid w:val="0"/>
        <w:spacing w:before="120" w:beforeLines="50" w:after="50"/>
        <w:ind w:firstLine="645"/>
        <w:jc w:val="center"/>
        <w:rPr>
          <w:rFonts w:ascii="宋体" w:hAnsi="宋体"/>
          <w:sz w:val="24"/>
        </w:rPr>
      </w:pPr>
    </w:p>
    <w:p>
      <w:pPr>
        <w:snapToGrid w:val="0"/>
        <w:spacing w:before="50" w:after="120" w:afterLines="50" w:line="280" w:lineRule="exact"/>
        <w:ind w:left="283" w:leftChars="135"/>
        <w:jc w:val="left"/>
        <w:rPr>
          <w:rFonts w:ascii="宋体" w:hAnsi="宋体"/>
          <w:sz w:val="24"/>
          <w:szCs w:val="20"/>
        </w:rPr>
      </w:pPr>
    </w:p>
    <w:p>
      <w:pPr>
        <w:snapToGrid w:val="0"/>
        <w:spacing w:before="120" w:beforeLines="50" w:after="50"/>
        <w:ind w:firstLine="360" w:firstLineChars="150"/>
        <w:jc w:val="left"/>
        <w:rPr>
          <w:rFonts w:ascii="宋体" w:hAnsi="宋体"/>
          <w:b/>
          <w:sz w:val="24"/>
          <w:szCs w:val="20"/>
        </w:rPr>
      </w:pPr>
      <w:r>
        <w:rPr>
          <w:rFonts w:ascii="宋体" w:hAnsi="宋体"/>
          <w:sz w:val="24"/>
          <w:szCs w:val="20"/>
        </w:rPr>
        <w:br w:type="page"/>
      </w:r>
      <w:r>
        <w:rPr>
          <w:rFonts w:hint="eastAsia" w:ascii="宋体" w:hAnsi="宋体"/>
          <w:b/>
          <w:sz w:val="24"/>
        </w:rPr>
        <w:t>3.技术响应表格式：</w:t>
      </w:r>
    </w:p>
    <w:p>
      <w:pPr>
        <w:pStyle w:val="27"/>
      </w:pP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kern w:val="2"/>
                <w:sz w:val="21"/>
              </w:rPr>
            </w:pPr>
            <w:r>
              <w:rPr>
                <w:rFonts w:hint="eastAsia"/>
                <w:kern w:val="2"/>
                <w:sz w:val="21"/>
              </w:rPr>
              <w:t>项号</w:t>
            </w:r>
          </w:p>
        </w:tc>
        <w:tc>
          <w:tcPr>
            <w:tcW w:w="2143"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kern w:val="2"/>
                <w:sz w:val="21"/>
              </w:rPr>
            </w:pPr>
            <w:r>
              <w:rPr>
                <w:rFonts w:hint="eastAsia"/>
                <w:kern w:val="2"/>
                <w:sz w:val="21"/>
              </w:rPr>
              <w:t>技术条款</w:t>
            </w:r>
          </w:p>
        </w:tc>
        <w:tc>
          <w:tcPr>
            <w:tcW w:w="1834"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kern w:val="2"/>
                <w:sz w:val="21"/>
              </w:rPr>
            </w:pPr>
            <w:r>
              <w:rPr>
                <w:rFonts w:hint="eastAsia"/>
                <w:kern w:val="2"/>
                <w:sz w:val="21"/>
              </w:rPr>
              <w:t>招标要求</w:t>
            </w:r>
          </w:p>
        </w:tc>
        <w:tc>
          <w:tcPr>
            <w:tcW w:w="2181"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kern w:val="2"/>
                <w:sz w:val="21"/>
              </w:rPr>
            </w:pPr>
            <w:r>
              <w:rPr>
                <w:rFonts w:hint="eastAsia"/>
                <w:kern w:val="2"/>
                <w:sz w:val="21"/>
              </w:rPr>
              <w:t>投标响应</w:t>
            </w:r>
          </w:p>
        </w:tc>
        <w:tc>
          <w:tcPr>
            <w:tcW w:w="1934"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kern w:val="2"/>
                <w:sz w:val="21"/>
              </w:rPr>
            </w:pPr>
            <w:r>
              <w:rPr>
                <w:rFonts w:hint="eastAsia"/>
                <w:kern w:val="2"/>
                <w:sz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27"/>
              <w:spacing w:line="600" w:lineRule="exact"/>
              <w:jc w:val="center"/>
              <w:rPr>
                <w:kern w:val="2"/>
                <w:sz w:val="21"/>
              </w:rPr>
            </w:pPr>
          </w:p>
        </w:tc>
        <w:tc>
          <w:tcPr>
            <w:tcW w:w="2143" w:type="dxa"/>
            <w:tcBorders>
              <w:top w:val="single" w:color="auto" w:sz="4" w:space="0"/>
              <w:left w:val="single" w:color="auto" w:sz="4" w:space="0"/>
              <w:bottom w:val="single" w:color="auto" w:sz="4" w:space="0"/>
              <w:right w:val="single" w:color="auto" w:sz="4" w:space="0"/>
            </w:tcBorders>
            <w:vAlign w:val="center"/>
          </w:tcPr>
          <w:p>
            <w:pPr>
              <w:pStyle w:val="27"/>
              <w:spacing w:line="600" w:lineRule="exact"/>
              <w:jc w:val="center"/>
              <w:rPr>
                <w:kern w:val="2"/>
                <w:sz w:val="21"/>
              </w:rPr>
            </w:pPr>
          </w:p>
        </w:tc>
        <w:tc>
          <w:tcPr>
            <w:tcW w:w="1834" w:type="dxa"/>
            <w:tcBorders>
              <w:top w:val="single" w:color="auto" w:sz="4" w:space="0"/>
              <w:left w:val="single" w:color="auto" w:sz="4" w:space="0"/>
              <w:bottom w:val="single" w:color="auto" w:sz="4" w:space="0"/>
              <w:right w:val="single" w:color="auto" w:sz="4" w:space="0"/>
            </w:tcBorders>
            <w:vAlign w:val="center"/>
          </w:tcPr>
          <w:p>
            <w:pPr>
              <w:pStyle w:val="27"/>
              <w:spacing w:line="600" w:lineRule="exact"/>
              <w:jc w:val="center"/>
              <w:rPr>
                <w:kern w:val="2"/>
                <w:sz w:val="21"/>
              </w:rPr>
            </w:pPr>
          </w:p>
        </w:tc>
        <w:tc>
          <w:tcPr>
            <w:tcW w:w="2181" w:type="dxa"/>
            <w:tcBorders>
              <w:top w:val="single" w:color="auto" w:sz="4" w:space="0"/>
              <w:left w:val="single" w:color="auto" w:sz="4" w:space="0"/>
              <w:bottom w:val="single" w:color="auto" w:sz="4" w:space="0"/>
              <w:right w:val="single" w:color="auto" w:sz="4" w:space="0"/>
            </w:tcBorders>
            <w:vAlign w:val="center"/>
          </w:tcPr>
          <w:p>
            <w:pPr>
              <w:pStyle w:val="27"/>
              <w:spacing w:line="600" w:lineRule="exact"/>
              <w:jc w:val="center"/>
              <w:rPr>
                <w:kern w:val="2"/>
                <w:sz w:val="21"/>
              </w:rPr>
            </w:pPr>
          </w:p>
        </w:tc>
        <w:tc>
          <w:tcPr>
            <w:tcW w:w="1934" w:type="dxa"/>
            <w:tcBorders>
              <w:top w:val="single" w:color="auto" w:sz="4" w:space="0"/>
              <w:left w:val="single" w:color="auto" w:sz="4" w:space="0"/>
              <w:bottom w:val="single" w:color="auto" w:sz="4" w:space="0"/>
              <w:right w:val="single" w:color="auto" w:sz="4" w:space="0"/>
            </w:tcBorders>
            <w:vAlign w:val="center"/>
          </w:tcPr>
          <w:p>
            <w:pPr>
              <w:pStyle w:val="27"/>
              <w:spacing w:line="600" w:lineRule="exact"/>
              <w:jc w:val="center"/>
              <w:rPr>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2143"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1834"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2181"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1934"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2143"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1834"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2181"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1934"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2143"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1834"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2181"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1934"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2143"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1834"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2181"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1934"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2143"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1834"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2181"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1934"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2143"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1834"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2181"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1934"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2143"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1834"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2181"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1934"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2143"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1834"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2181"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1934"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2143"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1834"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2181"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c>
          <w:tcPr>
            <w:tcW w:w="1934" w:type="dxa"/>
            <w:tcBorders>
              <w:top w:val="single" w:color="auto" w:sz="4" w:space="0"/>
              <w:left w:val="single" w:color="auto" w:sz="4" w:space="0"/>
              <w:bottom w:val="single" w:color="auto" w:sz="4" w:space="0"/>
              <w:right w:val="single" w:color="auto" w:sz="4" w:space="0"/>
            </w:tcBorders>
          </w:tcPr>
          <w:p>
            <w:pPr>
              <w:pStyle w:val="27"/>
              <w:spacing w:line="600" w:lineRule="exact"/>
              <w:rPr>
                <w:kern w:val="2"/>
                <w:sz w:val="21"/>
              </w:rPr>
            </w:pPr>
          </w:p>
        </w:tc>
      </w:tr>
    </w:tbl>
    <w:p>
      <w:pPr>
        <w:pStyle w:val="20"/>
        <w:rPr>
          <w:rFonts w:ascii="宋体" w:hAnsi="宋体"/>
          <w:spacing w:val="20"/>
        </w:rPr>
      </w:pPr>
      <w:r>
        <w:rPr>
          <w:rFonts w:hint="eastAsia" w:ascii="宋体" w:hAnsi="宋体"/>
        </w:rPr>
        <w:t>注：投标人应根据投标内容的技术参数指标、对照招标文件要求在“偏离情况”栏注明“正偏离”、“负偏离”或“无偏离”。</w:t>
      </w:r>
    </w:p>
    <w:p>
      <w:pPr>
        <w:snapToGrid w:val="0"/>
        <w:spacing w:before="50" w:after="50"/>
        <w:rPr>
          <w:rFonts w:ascii="宋体" w:hAnsi="宋体"/>
          <w:spacing w:val="20"/>
          <w:sz w:val="24"/>
          <w:szCs w:val="20"/>
          <w:u w:val="single"/>
        </w:rPr>
      </w:pPr>
      <w:r>
        <w:rPr>
          <w:rFonts w:hint="eastAsia" w:ascii="宋体" w:hAnsi="宋体"/>
          <w:sz w:val="24"/>
        </w:rPr>
        <w:t>法定代表人或被授权人</w:t>
      </w:r>
      <w:r>
        <w:rPr>
          <w:rFonts w:hint="eastAsia" w:ascii="宋体" w:hAnsi="宋体"/>
          <w:spacing w:val="20"/>
          <w:sz w:val="24"/>
        </w:rPr>
        <w:t>签字或签章：</w:t>
      </w:r>
      <w:r>
        <w:rPr>
          <w:rFonts w:hint="eastAsia" w:ascii="宋体" w:hAnsi="宋体"/>
          <w:spacing w:val="20"/>
          <w:sz w:val="24"/>
          <w:u w:val="single"/>
        </w:rPr>
        <w:t xml:space="preserve">        </w:t>
      </w:r>
    </w:p>
    <w:p>
      <w:pPr>
        <w:snapToGrid w:val="0"/>
        <w:spacing w:before="50" w:after="50"/>
        <w:rPr>
          <w:rFonts w:ascii="宋体" w:hAnsi="宋体"/>
          <w:spacing w:val="20"/>
          <w:sz w:val="24"/>
          <w:u w:val="single"/>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spacing w:before="100" w:beforeAutospacing="1" w:after="100" w:afterAutospacing="1"/>
      </w:pPr>
    </w:p>
    <w:p>
      <w:pPr>
        <w:spacing w:before="100" w:beforeAutospacing="1" w:after="100" w:afterAutospacing="1"/>
      </w:pPr>
      <w:r>
        <w:rPr>
          <w:rFonts w:hint="eastAsia" w:ascii="宋体" w:hAnsi="宋体"/>
          <w:sz w:val="24"/>
          <w:szCs w:val="20"/>
        </w:rPr>
        <w:t>投标说明：若此内容由多页构成的，应逐页加盖投标人公章并由法定代表人（或被授权人）签字或签章，否则该投标无效。</w:t>
      </w:r>
    </w:p>
    <w:p>
      <w:pPr>
        <w:spacing w:before="100" w:beforeAutospacing="1" w:after="100" w:afterAutospacing="1"/>
      </w:pPr>
    </w:p>
    <w:p>
      <w:pPr>
        <w:spacing w:before="100" w:beforeAutospacing="1" w:after="100" w:afterAutospacing="1"/>
        <w:rPr>
          <w:b/>
          <w:sz w:val="24"/>
        </w:rPr>
      </w:pPr>
      <w:r>
        <w:br w:type="page"/>
      </w:r>
      <w:r>
        <w:rPr>
          <w:b/>
          <w:sz w:val="24"/>
        </w:rPr>
        <w:t xml:space="preserve">4. </w:t>
      </w:r>
      <w:r>
        <w:rPr>
          <w:rFonts w:hint="eastAsia"/>
          <w:b/>
          <w:sz w:val="24"/>
        </w:rPr>
        <w:t>项目实施人员一览表格式</w:t>
      </w:r>
    </w:p>
    <w:p>
      <w:pPr>
        <w:spacing w:before="100" w:beforeAutospacing="1" w:after="100" w:afterAutospacing="1"/>
        <w:rPr>
          <w:b/>
          <w:sz w:val="24"/>
        </w:rPr>
      </w:pPr>
    </w:p>
    <w:p>
      <w:pPr>
        <w:spacing w:before="100" w:beforeAutospacing="1" w:after="100" w:afterAutospacing="1"/>
        <w:jc w:val="center"/>
        <w:rPr>
          <w:rFonts w:ascii="宋体" w:hAnsi="宋体"/>
          <w:szCs w:val="21"/>
          <w:lang w:val="zh-CN"/>
        </w:rPr>
      </w:pPr>
      <w:r>
        <w:rPr>
          <w:rFonts w:hint="eastAsia"/>
          <w:b/>
          <w:sz w:val="24"/>
        </w:rPr>
        <w:t>项目实施人员（拟投入人员及其技术资格）一览表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74"/>
        <w:gridCol w:w="2238"/>
        <w:gridCol w:w="1527"/>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序号</w:t>
            </w:r>
          </w:p>
        </w:tc>
        <w:tc>
          <w:tcPr>
            <w:tcW w:w="14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姓名</w:t>
            </w:r>
          </w:p>
        </w:tc>
        <w:tc>
          <w:tcPr>
            <w:tcW w:w="22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身份证</w:t>
            </w:r>
          </w:p>
          <w:p>
            <w:pPr>
              <w:autoSpaceDE w:val="0"/>
              <w:autoSpaceDN w:val="0"/>
              <w:adjustRightInd w:val="0"/>
              <w:jc w:val="center"/>
              <w:rPr>
                <w:rFonts w:ascii="宋体" w:hAnsi="宋体"/>
                <w:szCs w:val="21"/>
                <w:lang w:val="zh-CN"/>
              </w:rPr>
            </w:pPr>
            <w:r>
              <w:rPr>
                <w:rFonts w:hint="eastAsia" w:ascii="宋体" w:hAnsi="宋体"/>
                <w:szCs w:val="21"/>
                <w:lang w:val="zh-CN"/>
              </w:rPr>
              <w:t>号码</w:t>
            </w:r>
          </w:p>
        </w:tc>
        <w:tc>
          <w:tcPr>
            <w:tcW w:w="15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年龄</w:t>
            </w:r>
          </w:p>
        </w:tc>
        <w:tc>
          <w:tcPr>
            <w:tcW w:w="1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4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22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15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c>
          <w:tcPr>
            <w:tcW w:w="176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2</w:t>
            </w:r>
          </w:p>
        </w:tc>
        <w:tc>
          <w:tcPr>
            <w:tcW w:w="14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22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15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c>
          <w:tcPr>
            <w:tcW w:w="176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3</w:t>
            </w:r>
          </w:p>
        </w:tc>
        <w:tc>
          <w:tcPr>
            <w:tcW w:w="14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22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15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c>
          <w:tcPr>
            <w:tcW w:w="176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w:t>
            </w:r>
          </w:p>
        </w:tc>
        <w:tc>
          <w:tcPr>
            <w:tcW w:w="14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22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15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c>
          <w:tcPr>
            <w:tcW w:w="176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4</w:t>
            </w:r>
          </w:p>
        </w:tc>
        <w:tc>
          <w:tcPr>
            <w:tcW w:w="14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22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15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c>
          <w:tcPr>
            <w:tcW w:w="176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5</w:t>
            </w:r>
          </w:p>
        </w:tc>
        <w:tc>
          <w:tcPr>
            <w:tcW w:w="14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22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15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c>
          <w:tcPr>
            <w:tcW w:w="176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6</w:t>
            </w:r>
          </w:p>
        </w:tc>
        <w:tc>
          <w:tcPr>
            <w:tcW w:w="14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22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15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c>
          <w:tcPr>
            <w:tcW w:w="176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w:t>
            </w:r>
          </w:p>
        </w:tc>
        <w:tc>
          <w:tcPr>
            <w:tcW w:w="14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22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15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c>
          <w:tcPr>
            <w:tcW w:w="176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7</w:t>
            </w:r>
          </w:p>
        </w:tc>
        <w:tc>
          <w:tcPr>
            <w:tcW w:w="14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22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15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c>
          <w:tcPr>
            <w:tcW w:w="176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8</w:t>
            </w:r>
          </w:p>
        </w:tc>
        <w:tc>
          <w:tcPr>
            <w:tcW w:w="14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22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15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c>
          <w:tcPr>
            <w:tcW w:w="176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9</w:t>
            </w:r>
          </w:p>
        </w:tc>
        <w:tc>
          <w:tcPr>
            <w:tcW w:w="14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22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15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c>
          <w:tcPr>
            <w:tcW w:w="176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w:t>
            </w:r>
          </w:p>
        </w:tc>
        <w:tc>
          <w:tcPr>
            <w:tcW w:w="14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22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15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c>
          <w:tcPr>
            <w:tcW w:w="176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10</w:t>
            </w:r>
          </w:p>
        </w:tc>
        <w:tc>
          <w:tcPr>
            <w:tcW w:w="14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22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15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c>
          <w:tcPr>
            <w:tcW w:w="176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11</w:t>
            </w:r>
          </w:p>
        </w:tc>
        <w:tc>
          <w:tcPr>
            <w:tcW w:w="14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22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15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c>
          <w:tcPr>
            <w:tcW w:w="176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12</w:t>
            </w:r>
          </w:p>
        </w:tc>
        <w:tc>
          <w:tcPr>
            <w:tcW w:w="14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22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15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c>
          <w:tcPr>
            <w:tcW w:w="176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w:t>
            </w:r>
          </w:p>
        </w:tc>
        <w:tc>
          <w:tcPr>
            <w:tcW w:w="14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22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15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c>
          <w:tcPr>
            <w:tcW w:w="176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w:t>
            </w:r>
          </w:p>
        </w:tc>
        <w:tc>
          <w:tcPr>
            <w:tcW w:w="14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22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152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c>
          <w:tcPr>
            <w:tcW w:w="176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Cs w:val="21"/>
                <w:lang w:val="zh-CN"/>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0" w:firstLineChars="200"/>
        <w:rPr>
          <w:rFonts w:ascii="宋体" w:hAnsi="宋体"/>
          <w:szCs w:val="21"/>
          <w:lang w:val="zh-CN"/>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38" w:firstLineChars="2066"/>
        <w:rPr>
          <w:rFonts w:hAnsi="宋体"/>
          <w:sz w:val="21"/>
          <w:u w:val="single"/>
        </w:rPr>
      </w:pPr>
      <w:r>
        <w:rPr>
          <w:rFonts w:hint="eastAsia" w:hAnsi="宋体"/>
          <w:sz w:val="21"/>
        </w:rPr>
        <w:t>投标人盖公章：</w:t>
      </w:r>
      <w:r>
        <w:rPr>
          <w:rFonts w:hint="eastAsia" w:hAnsi="宋体"/>
          <w:sz w:val="21"/>
          <w:u w:val="single"/>
        </w:rPr>
        <w:t xml:space="preserve">                                 </w:t>
      </w: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r>
        <w:rPr>
          <w:rFonts w:hint="eastAsia" w:hAnsi="宋体"/>
          <w:sz w:val="21"/>
        </w:rPr>
        <w:t xml:space="preserve">                    </w:t>
      </w: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20" w:firstLineChars="1200"/>
        <w:rPr>
          <w:rFonts w:hAnsi="宋体"/>
          <w:sz w:val="21"/>
          <w:u w:val="single"/>
        </w:rPr>
      </w:pPr>
      <w:r>
        <w:rPr>
          <w:rFonts w:hint="eastAsia" w:hAnsi="宋体"/>
          <w:sz w:val="21"/>
        </w:rPr>
        <w:t xml:space="preserve">                 法定代表人或委托代理人签字或签章：</w:t>
      </w:r>
      <w:r>
        <w:rPr>
          <w:rFonts w:hint="eastAsia" w:hAnsi="宋体"/>
          <w:sz w:val="21"/>
          <w:u w:val="single"/>
        </w:rPr>
        <w:t xml:space="preserve">                   </w:t>
      </w: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05" w:firstLineChars="2050"/>
        <w:rPr>
          <w:rFonts w:hAnsi="宋体"/>
          <w:sz w:val="21"/>
          <w:u w:val="single"/>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05" w:firstLineChars="2050"/>
        <w:rPr>
          <w:rFonts w:hAnsi="宋体"/>
          <w:sz w:val="21"/>
          <w:u w:val="single"/>
        </w:rPr>
      </w:pPr>
      <w:r>
        <w:rPr>
          <w:rFonts w:hint="eastAsia" w:hAnsi="宋体"/>
          <w:sz w:val="21"/>
        </w:rPr>
        <w:t>日          期</w:t>
      </w:r>
      <w:r>
        <w:rPr>
          <w:rFonts w:hint="eastAsia" w:hAnsi="宋体"/>
          <w:sz w:val="21"/>
          <w:u w:val="single"/>
        </w:rPr>
        <w:t xml:space="preserve">：                               </w:t>
      </w: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100" w:firstLineChars="2050"/>
        <w:rPr>
          <w:u w:val="single"/>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100" w:firstLineChars="2050"/>
        <w:rPr>
          <w:u w:val="single"/>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100" w:firstLineChars="2050"/>
        <w:rPr>
          <w:u w:val="single"/>
        </w:rPr>
      </w:pPr>
    </w:p>
    <w:p>
      <w:pPr>
        <w:spacing w:before="100" w:beforeAutospacing="1" w:after="100" w:afterAutospacing="1"/>
        <w:rPr>
          <w:b/>
          <w:sz w:val="24"/>
        </w:rPr>
      </w:pPr>
      <w:r>
        <w:rPr>
          <w:u w:val="single"/>
        </w:rPr>
        <w:br w:type="page"/>
      </w:r>
      <w:r>
        <w:rPr>
          <w:b/>
          <w:sz w:val="24"/>
        </w:rPr>
        <w:t>5.</w:t>
      </w:r>
      <w:r>
        <w:rPr>
          <w:rFonts w:hint="eastAsia"/>
          <w:b/>
          <w:sz w:val="24"/>
        </w:rPr>
        <w:t>项目实施方案</w:t>
      </w:r>
    </w:p>
    <w:p>
      <w:pPr>
        <w:snapToGrid w:val="0"/>
        <w:spacing w:before="120" w:beforeLines="50" w:after="50"/>
        <w:jc w:val="center"/>
        <w:rPr>
          <w:b/>
          <w:sz w:val="32"/>
          <w:szCs w:val="32"/>
        </w:rPr>
      </w:pPr>
      <w:r>
        <w:rPr>
          <w:rFonts w:hint="eastAsia"/>
          <w:b/>
          <w:sz w:val="32"/>
          <w:szCs w:val="32"/>
        </w:rPr>
        <w:t>项目实施方案</w:t>
      </w:r>
    </w:p>
    <w:p>
      <w:pPr>
        <w:snapToGrid w:val="0"/>
        <w:spacing w:before="50" w:after="120" w:afterLines="50"/>
        <w:jc w:val="left"/>
        <w:rPr>
          <w:rFonts w:ascii="微软雅黑" w:hAnsi="微软雅黑" w:eastAsia="微软雅黑"/>
          <w:b/>
          <w:bCs/>
          <w:sz w:val="24"/>
        </w:rPr>
      </w:pPr>
      <w:r>
        <w:rPr>
          <w:rFonts w:hint="eastAsia" w:ascii="宋体" w:hAnsi="宋体"/>
          <w:szCs w:val="21"/>
        </w:rPr>
        <w:t>由投标人根据实际情况自行编写。</w:t>
      </w: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u w:val="single"/>
        </w:rPr>
      </w:pPr>
      <w:r>
        <w:rPr>
          <w:rFonts w:hint="eastAsia" w:hAnsi="宋体"/>
          <w:sz w:val="21"/>
        </w:rPr>
        <w:t>投标人（盖公章）：</w:t>
      </w:r>
      <w:r>
        <w:rPr>
          <w:rFonts w:hint="eastAsia" w:hAnsi="宋体"/>
          <w:sz w:val="21"/>
          <w:u w:val="single"/>
        </w:rPr>
        <w:t xml:space="preserve">                                 </w:t>
      </w: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r>
        <w:rPr>
          <w:rFonts w:hint="eastAsia" w:hAnsi="宋体"/>
          <w:sz w:val="21"/>
        </w:rPr>
        <w:t xml:space="preserve">                    </w:t>
      </w: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u w:val="single"/>
        </w:rPr>
      </w:pPr>
      <w:r>
        <w:rPr>
          <w:rFonts w:hint="eastAsia" w:hAnsi="宋体"/>
          <w:sz w:val="21"/>
        </w:rPr>
        <w:t>法定代表人或委托代理人（签字或签章）：</w:t>
      </w:r>
      <w:r>
        <w:rPr>
          <w:rFonts w:hint="eastAsia" w:hAnsi="宋体"/>
          <w:sz w:val="21"/>
          <w:u w:val="single"/>
        </w:rPr>
        <w:t xml:space="preserve">                   </w:t>
      </w: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20" w:firstLineChars="1200"/>
        <w:rPr>
          <w:rFonts w:hAnsi="宋体"/>
          <w:sz w:val="21"/>
          <w:u w:val="single"/>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u w:val="single"/>
        </w:rPr>
      </w:pPr>
      <w:r>
        <w:rPr>
          <w:rFonts w:hint="eastAsia" w:hAnsi="宋体"/>
          <w:sz w:val="21"/>
        </w:rPr>
        <w:t>日期</w:t>
      </w:r>
      <w:r>
        <w:rPr>
          <w:rFonts w:hint="eastAsia" w:hAnsi="宋体"/>
          <w:sz w:val="21"/>
          <w:u w:val="single"/>
        </w:rPr>
        <w:t xml:space="preserve">                                           </w:t>
      </w: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30" w:firstLineChars="1300"/>
        <w:rPr>
          <w:rFonts w:hAnsi="宋体"/>
          <w:sz w:val="21"/>
          <w:u w:val="single"/>
        </w:rPr>
      </w:pPr>
    </w:p>
    <w:p>
      <w:pPr>
        <w:snapToGrid w:val="0"/>
        <w:spacing w:before="50" w:after="120" w:afterLines="50"/>
        <w:ind w:firstLine="420" w:firstLineChars="200"/>
        <w:jc w:val="left"/>
        <w:rPr>
          <w:rFonts w:ascii="宋体" w:hAnsi="宋体"/>
          <w:bCs/>
          <w:szCs w:val="21"/>
        </w:rPr>
      </w:pPr>
      <w:r>
        <w:rPr>
          <w:rFonts w:hint="eastAsia" w:ascii="宋体" w:hAnsi="宋体"/>
          <w:szCs w:val="21"/>
        </w:rPr>
        <w:t>投标说明：若</w:t>
      </w:r>
      <w:r>
        <w:rPr>
          <w:rFonts w:hint="eastAsia" w:ascii="宋体" w:hAnsi="宋体"/>
          <w:bCs/>
          <w:szCs w:val="21"/>
        </w:rPr>
        <w:t>此方案由多页构成的，应逐页加盖投标人法人公章并由法定代表人（或委托代理人）签字或签章。</w:t>
      </w:r>
    </w:p>
    <w:p>
      <w:pPr>
        <w:spacing w:before="100" w:beforeAutospacing="1" w:after="100" w:afterAutospacing="1"/>
        <w:rPr>
          <w:b/>
          <w:sz w:val="24"/>
        </w:rPr>
      </w:pPr>
      <w:r>
        <w:rPr>
          <w:rFonts w:ascii="宋体" w:hAnsi="宋体"/>
          <w:bCs/>
          <w:szCs w:val="21"/>
        </w:rPr>
        <w:br w:type="page"/>
      </w:r>
      <w:r>
        <w:rPr>
          <w:b/>
          <w:sz w:val="24"/>
        </w:rPr>
        <w:t xml:space="preserve">6. </w:t>
      </w:r>
      <w:r>
        <w:rPr>
          <w:rFonts w:hint="eastAsia"/>
          <w:b/>
          <w:sz w:val="24"/>
        </w:rPr>
        <w:t>质量保证及服务承诺方案</w:t>
      </w:r>
    </w:p>
    <w:p>
      <w:pPr>
        <w:snapToGrid w:val="0"/>
        <w:jc w:val="left"/>
        <w:rPr>
          <w:rFonts w:ascii="宋体" w:hAnsi="宋体"/>
          <w:sz w:val="24"/>
          <w:szCs w:val="20"/>
        </w:rPr>
      </w:pPr>
    </w:p>
    <w:p>
      <w:pPr>
        <w:snapToGrid w:val="0"/>
        <w:spacing w:before="50" w:after="120" w:afterLines="50"/>
        <w:jc w:val="left"/>
        <w:rPr>
          <w:rFonts w:ascii="微软雅黑" w:hAnsi="微软雅黑" w:eastAsia="微软雅黑"/>
          <w:b/>
          <w:bCs/>
          <w:sz w:val="24"/>
        </w:rPr>
      </w:pPr>
      <w:r>
        <w:rPr>
          <w:rFonts w:hint="eastAsia" w:ascii="宋体" w:hAnsi="宋体"/>
          <w:szCs w:val="21"/>
        </w:rPr>
        <w:t>由投标人根据实际情况自行编写。</w:t>
      </w:r>
    </w:p>
    <w:p>
      <w:pPr>
        <w:snapToGrid w:val="0"/>
        <w:spacing w:before="120" w:beforeLines="50" w:after="50"/>
        <w:jc w:val="left"/>
        <w:rPr>
          <w:rFonts w:ascii="宋体" w:hAnsi="宋体"/>
          <w:b/>
          <w:sz w:val="24"/>
        </w:rPr>
      </w:pPr>
    </w:p>
    <w:p>
      <w:pPr>
        <w:snapToGrid w:val="0"/>
        <w:spacing w:before="120" w:beforeLines="50" w:after="50"/>
        <w:jc w:val="left"/>
        <w:rPr>
          <w:rFonts w:ascii="宋体" w:hAnsi="宋体"/>
          <w:b/>
          <w:sz w:val="24"/>
        </w:rPr>
      </w:pPr>
    </w:p>
    <w:p>
      <w:pPr>
        <w:snapToGrid w:val="0"/>
        <w:spacing w:before="120" w:beforeLines="50" w:after="50"/>
        <w:jc w:val="left"/>
        <w:rPr>
          <w:rFonts w:ascii="宋体" w:hAnsi="宋体"/>
          <w:b/>
          <w:sz w:val="24"/>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u w:val="single"/>
        </w:rPr>
      </w:pPr>
      <w:r>
        <w:rPr>
          <w:rFonts w:hint="eastAsia" w:hAnsi="宋体"/>
          <w:sz w:val="21"/>
        </w:rPr>
        <w:t>投标人（盖公章）：</w:t>
      </w:r>
      <w:r>
        <w:rPr>
          <w:rFonts w:hint="eastAsia" w:hAnsi="宋体"/>
          <w:sz w:val="21"/>
          <w:u w:val="single"/>
        </w:rPr>
        <w:t xml:space="preserve">                                 </w:t>
      </w: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rPr>
      </w:pPr>
      <w:r>
        <w:rPr>
          <w:rFonts w:hint="eastAsia" w:hAnsi="宋体"/>
          <w:sz w:val="21"/>
        </w:rPr>
        <w:t xml:space="preserve">                    </w:t>
      </w: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u w:val="single"/>
        </w:rPr>
      </w:pPr>
      <w:r>
        <w:rPr>
          <w:rFonts w:hint="eastAsia" w:hAnsi="宋体"/>
          <w:sz w:val="21"/>
        </w:rPr>
        <w:t>法定代表人或委托代理人（签字或签章）：</w:t>
      </w:r>
      <w:r>
        <w:rPr>
          <w:rFonts w:hint="eastAsia" w:hAnsi="宋体"/>
          <w:sz w:val="21"/>
          <w:u w:val="single"/>
        </w:rPr>
        <w:t xml:space="preserve">                   </w:t>
      </w: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20" w:firstLineChars="1200"/>
        <w:rPr>
          <w:rFonts w:hAnsi="宋体"/>
          <w:sz w:val="21"/>
          <w:u w:val="single"/>
        </w:rPr>
      </w:pP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sz w:val="21"/>
          <w:u w:val="single"/>
        </w:rPr>
      </w:pPr>
      <w:r>
        <w:rPr>
          <w:rFonts w:hint="eastAsia" w:hAnsi="宋体"/>
          <w:sz w:val="21"/>
        </w:rPr>
        <w:t>日期</w:t>
      </w:r>
      <w:r>
        <w:rPr>
          <w:rFonts w:hint="eastAsia" w:hAnsi="宋体"/>
          <w:sz w:val="21"/>
          <w:u w:val="single"/>
        </w:rPr>
        <w:t xml:space="preserve">                                           </w:t>
      </w:r>
    </w:p>
    <w:p>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30" w:firstLineChars="1300"/>
        <w:rPr>
          <w:rFonts w:hAnsi="宋体"/>
          <w:sz w:val="21"/>
          <w:u w:val="single"/>
        </w:rPr>
      </w:pPr>
    </w:p>
    <w:p>
      <w:pPr>
        <w:snapToGrid w:val="0"/>
        <w:spacing w:before="50" w:after="120" w:afterLines="50"/>
        <w:ind w:firstLine="420" w:firstLineChars="200"/>
        <w:jc w:val="left"/>
        <w:rPr>
          <w:rFonts w:ascii="宋体" w:hAnsi="宋体"/>
          <w:bCs/>
          <w:szCs w:val="21"/>
        </w:rPr>
      </w:pPr>
      <w:r>
        <w:rPr>
          <w:rFonts w:hint="eastAsia" w:ascii="宋体" w:hAnsi="宋体"/>
          <w:szCs w:val="21"/>
        </w:rPr>
        <w:t>投标说明：若</w:t>
      </w:r>
      <w:r>
        <w:rPr>
          <w:rFonts w:hint="eastAsia" w:ascii="宋体" w:hAnsi="宋体"/>
          <w:bCs/>
          <w:szCs w:val="21"/>
        </w:rPr>
        <w:t>此方案由多页构成的，应逐页加盖投标人法人公章并由法定代表人（或委托代理人）签字或签章。</w:t>
      </w:r>
    </w:p>
    <w:p>
      <w:pPr>
        <w:snapToGrid w:val="0"/>
        <w:spacing w:before="50" w:after="120" w:afterLines="50"/>
        <w:ind w:firstLine="420" w:firstLineChars="200"/>
        <w:jc w:val="left"/>
        <w:rPr>
          <w:rFonts w:ascii="宋体" w:hAnsi="宋体"/>
          <w:bCs/>
          <w:szCs w:val="21"/>
        </w:rPr>
      </w:pPr>
    </w:p>
    <w:p>
      <w:pPr>
        <w:spacing w:before="120" w:after="50"/>
        <w:jc w:val="left"/>
        <w:rPr>
          <w:rFonts w:ascii="宋体" w:hAnsi="宋体" w:cs="仿宋"/>
          <w:sz w:val="24"/>
          <w:szCs w:val="20"/>
        </w:rPr>
      </w:pPr>
    </w:p>
    <w:p>
      <w:pPr>
        <w:snapToGrid w:val="0"/>
        <w:spacing w:before="120" w:beforeLines="50" w:after="50"/>
        <w:jc w:val="left"/>
        <w:rPr>
          <w:rFonts w:ascii="宋体" w:hAnsi="宋体"/>
          <w:bCs/>
          <w:szCs w:val="21"/>
        </w:rPr>
        <w:sectPr>
          <w:footerReference r:id="rId5" w:type="default"/>
          <w:footerReference r:id="rId6" w:type="even"/>
          <w:pgSz w:w="11906" w:h="16838"/>
          <w:pgMar w:top="1134" w:right="1247" w:bottom="1134" w:left="1247" w:header="851" w:footer="992" w:gutter="0"/>
          <w:cols w:space="720" w:num="1"/>
          <w:docGrid w:linePitch="312" w:charSpace="0"/>
        </w:sectPr>
      </w:pPr>
    </w:p>
    <w:p>
      <w:pPr>
        <w:spacing w:before="120" w:after="50"/>
        <w:jc w:val="left"/>
        <w:rPr>
          <w:rFonts w:ascii="宋体" w:hAnsi="宋体" w:cs="仿宋"/>
          <w:b/>
          <w:sz w:val="24"/>
        </w:rPr>
      </w:pPr>
      <w:r>
        <w:rPr>
          <w:rFonts w:hint="eastAsia" w:ascii="宋体" w:hAnsi="宋体"/>
          <w:bCs/>
          <w:szCs w:val="21"/>
        </w:rPr>
        <w:t>7.</w:t>
      </w:r>
      <w:r>
        <w:rPr>
          <w:rFonts w:hint="eastAsia" w:ascii="宋体" w:hAnsi="宋体" w:cs="仿宋"/>
          <w:b/>
          <w:sz w:val="24"/>
        </w:rPr>
        <w:t xml:space="preserve"> 投标人的业绩、信誉、奖项证明文件：</w:t>
      </w:r>
    </w:p>
    <w:p>
      <w:pPr>
        <w:pStyle w:val="38"/>
        <w:ind w:left="480" w:hanging="480"/>
        <w:jc w:val="center"/>
        <w:rPr>
          <w:rFonts w:ascii="宋体" w:hAnsi="宋体" w:cs="仿宋"/>
          <w:sz w:val="24"/>
        </w:rPr>
      </w:pPr>
      <w:r>
        <w:rPr>
          <w:rFonts w:hint="eastAsia" w:ascii="宋体" w:hAnsi="宋体" w:cs="仿宋"/>
          <w:sz w:val="24"/>
        </w:rPr>
        <w:t>投标人的业绩一览表：</w:t>
      </w:r>
    </w:p>
    <w:tbl>
      <w:tblPr>
        <w:tblStyle w:val="55"/>
        <w:tblW w:w="0" w:type="auto"/>
        <w:tblInd w:w="108" w:type="dxa"/>
        <w:tblLayout w:type="fixed"/>
        <w:tblCellMar>
          <w:top w:w="0" w:type="dxa"/>
          <w:left w:w="108" w:type="dxa"/>
          <w:bottom w:w="0" w:type="dxa"/>
          <w:right w:w="108" w:type="dxa"/>
        </w:tblCellMar>
      </w:tblPr>
      <w:tblGrid>
        <w:gridCol w:w="906"/>
        <w:gridCol w:w="2068"/>
        <w:gridCol w:w="3248"/>
        <w:gridCol w:w="1858"/>
        <w:gridCol w:w="1559"/>
        <w:gridCol w:w="2127"/>
        <w:gridCol w:w="2693"/>
      </w:tblGrid>
      <w:tr>
        <w:tblPrEx>
          <w:tblCellMar>
            <w:top w:w="0" w:type="dxa"/>
            <w:left w:w="108" w:type="dxa"/>
            <w:bottom w:w="0" w:type="dxa"/>
            <w:right w:w="108" w:type="dxa"/>
          </w:tblCellMar>
        </w:tblPrEx>
        <w:trPr>
          <w:cantSplit/>
          <w:trHeight w:val="312" w:hRule="atLeast"/>
        </w:trPr>
        <w:tc>
          <w:tcPr>
            <w:tcW w:w="90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仿宋"/>
                <w:sz w:val="24"/>
              </w:rPr>
            </w:pPr>
            <w:r>
              <w:rPr>
                <w:rFonts w:hint="eastAsia" w:ascii="宋体" w:hAnsi="宋体" w:cs="仿宋"/>
                <w:sz w:val="24"/>
              </w:rPr>
              <w:t>序号</w:t>
            </w:r>
          </w:p>
        </w:tc>
        <w:tc>
          <w:tcPr>
            <w:tcW w:w="2068"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仿宋"/>
                <w:sz w:val="24"/>
              </w:rPr>
            </w:pPr>
            <w:r>
              <w:rPr>
                <w:rFonts w:hint="eastAsia" w:ascii="宋体" w:hAnsi="宋体" w:cs="仿宋"/>
                <w:sz w:val="24"/>
              </w:rPr>
              <w:t>采购单位名称</w:t>
            </w:r>
          </w:p>
        </w:tc>
        <w:tc>
          <w:tcPr>
            <w:tcW w:w="3248"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仿宋"/>
                <w:sz w:val="24"/>
              </w:rPr>
            </w:pPr>
            <w:r>
              <w:rPr>
                <w:rFonts w:hint="eastAsia" w:ascii="宋体" w:hAnsi="宋体" w:cs="仿宋"/>
                <w:sz w:val="24"/>
              </w:rPr>
              <w:t>项目名称</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仿宋"/>
                <w:sz w:val="24"/>
              </w:rPr>
            </w:pPr>
            <w:r>
              <w:rPr>
                <w:rFonts w:hint="eastAsia" w:ascii="宋体" w:hAnsi="宋体" w:cs="仿宋"/>
                <w:sz w:val="24"/>
              </w:rPr>
              <w:t>采购数量</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仿宋"/>
                <w:sz w:val="24"/>
              </w:rPr>
            </w:pPr>
            <w:r>
              <w:rPr>
                <w:rFonts w:hint="eastAsia" w:ascii="宋体" w:hAnsi="宋体" w:cs="仿宋"/>
                <w:sz w:val="24"/>
              </w:rPr>
              <w:t>单价</w:t>
            </w:r>
          </w:p>
        </w:tc>
        <w:tc>
          <w:tcPr>
            <w:tcW w:w="2127"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仿宋"/>
                <w:sz w:val="24"/>
              </w:rPr>
            </w:pPr>
            <w:r>
              <w:rPr>
                <w:rFonts w:hint="eastAsia" w:ascii="宋体" w:hAnsi="宋体" w:cs="仿宋"/>
                <w:sz w:val="24"/>
              </w:rPr>
              <w:t>合同金额</w:t>
            </w:r>
          </w:p>
          <w:p>
            <w:pPr>
              <w:spacing w:line="240" w:lineRule="exact"/>
              <w:jc w:val="center"/>
              <w:rPr>
                <w:rFonts w:ascii="宋体" w:hAnsi="宋体" w:cs="仿宋"/>
                <w:sz w:val="24"/>
              </w:rPr>
            </w:pPr>
            <w:r>
              <w:rPr>
                <w:rFonts w:hint="eastAsia" w:ascii="宋体" w:hAnsi="宋体" w:cs="仿宋"/>
                <w:sz w:val="24"/>
              </w:rPr>
              <w:t>（万元）</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仿宋"/>
                <w:sz w:val="24"/>
              </w:rPr>
            </w:pPr>
            <w:r>
              <w:rPr>
                <w:rFonts w:hint="eastAsia" w:ascii="宋体" w:hAnsi="宋体" w:cs="仿宋"/>
                <w:sz w:val="24"/>
              </w:rPr>
              <w:t>采购单位联系人及</w:t>
            </w:r>
          </w:p>
          <w:p>
            <w:pPr>
              <w:spacing w:line="240" w:lineRule="exact"/>
              <w:jc w:val="center"/>
              <w:rPr>
                <w:rFonts w:ascii="宋体" w:hAnsi="宋体" w:cs="仿宋"/>
                <w:sz w:val="24"/>
              </w:rPr>
            </w:pPr>
            <w:r>
              <w:rPr>
                <w:rFonts w:hint="eastAsia" w:ascii="宋体" w:hAnsi="宋体" w:cs="仿宋"/>
                <w:sz w:val="24"/>
              </w:rPr>
              <w:t>联系电话</w:t>
            </w:r>
          </w:p>
        </w:tc>
      </w:tr>
      <w:tr>
        <w:tblPrEx>
          <w:tblCellMar>
            <w:top w:w="0" w:type="dxa"/>
            <w:left w:w="108" w:type="dxa"/>
            <w:bottom w:w="0" w:type="dxa"/>
            <w:right w:w="108" w:type="dxa"/>
          </w:tblCellMar>
        </w:tblPrEx>
        <w:trPr>
          <w:cantSplit/>
          <w:trHeight w:val="312" w:hRule="atLeast"/>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仿宋"/>
                <w:sz w:val="24"/>
              </w:rPr>
            </w:pPr>
          </w:p>
        </w:tc>
        <w:tc>
          <w:tcPr>
            <w:tcW w:w="20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仿宋"/>
                <w:sz w:val="24"/>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仿宋"/>
                <w:sz w:val="24"/>
              </w:rPr>
            </w:pPr>
          </w:p>
        </w:tc>
        <w:tc>
          <w:tcPr>
            <w:tcW w:w="18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仿宋"/>
                <w:sz w:val="24"/>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仿宋"/>
                <w:sz w:val="24"/>
              </w:rPr>
            </w:pPr>
          </w:p>
        </w:tc>
        <w:tc>
          <w:tcPr>
            <w:tcW w:w="21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仿宋"/>
                <w:sz w:val="24"/>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仿宋"/>
                <w:sz w:val="24"/>
              </w:rPr>
            </w:pPr>
          </w:p>
        </w:tc>
      </w:tr>
      <w:tr>
        <w:tblPrEx>
          <w:tblCellMar>
            <w:top w:w="0" w:type="dxa"/>
            <w:left w:w="108" w:type="dxa"/>
            <w:bottom w:w="0" w:type="dxa"/>
            <w:right w:w="108" w:type="dxa"/>
          </w:tblCellMar>
        </w:tblPrEx>
        <w:trPr>
          <w:trHeight w:val="676" w:hRule="atLeast"/>
        </w:trPr>
        <w:tc>
          <w:tcPr>
            <w:tcW w:w="906" w:type="dxa"/>
            <w:tcBorders>
              <w:top w:val="single" w:color="000000" w:sz="4" w:space="0"/>
              <w:left w:val="single" w:color="000000" w:sz="4" w:space="0"/>
              <w:bottom w:val="single" w:color="000000" w:sz="4" w:space="0"/>
              <w:right w:val="single" w:color="000000" w:sz="4" w:space="0"/>
            </w:tcBorders>
          </w:tcPr>
          <w:p>
            <w:pPr>
              <w:spacing w:line="240" w:lineRule="exact"/>
              <w:jc w:val="left"/>
              <w:rPr>
                <w:rFonts w:ascii="宋体" w:hAnsi="宋体" w:cs="仿宋"/>
                <w:sz w:val="24"/>
              </w:rPr>
            </w:pPr>
          </w:p>
        </w:tc>
        <w:tc>
          <w:tcPr>
            <w:tcW w:w="2068" w:type="dxa"/>
            <w:tcBorders>
              <w:top w:val="single" w:color="000000" w:sz="4" w:space="0"/>
              <w:left w:val="single" w:color="000000" w:sz="4" w:space="0"/>
              <w:bottom w:val="single" w:color="000000" w:sz="4" w:space="0"/>
              <w:right w:val="single" w:color="000000" w:sz="4" w:space="0"/>
            </w:tcBorders>
          </w:tcPr>
          <w:p>
            <w:pPr>
              <w:spacing w:line="240" w:lineRule="exact"/>
              <w:jc w:val="left"/>
              <w:rPr>
                <w:rFonts w:ascii="宋体" w:hAnsi="宋体" w:cs="仿宋"/>
                <w:sz w:val="24"/>
              </w:rPr>
            </w:pPr>
          </w:p>
        </w:tc>
        <w:tc>
          <w:tcPr>
            <w:tcW w:w="3248" w:type="dxa"/>
            <w:tcBorders>
              <w:top w:val="single" w:color="000000" w:sz="4" w:space="0"/>
              <w:left w:val="single" w:color="000000" w:sz="4" w:space="0"/>
              <w:bottom w:val="single" w:color="000000" w:sz="4" w:space="0"/>
              <w:right w:val="single" w:color="000000" w:sz="4" w:space="0"/>
            </w:tcBorders>
          </w:tcPr>
          <w:p>
            <w:pPr>
              <w:spacing w:line="240" w:lineRule="exact"/>
              <w:jc w:val="left"/>
              <w:rPr>
                <w:rFonts w:ascii="宋体" w:hAnsi="宋体" w:cs="仿宋"/>
                <w:sz w:val="24"/>
              </w:rPr>
            </w:pPr>
          </w:p>
        </w:tc>
        <w:tc>
          <w:tcPr>
            <w:tcW w:w="1858" w:type="dxa"/>
            <w:tcBorders>
              <w:top w:val="single" w:color="000000" w:sz="4" w:space="0"/>
              <w:left w:val="single" w:color="000000" w:sz="4" w:space="0"/>
              <w:bottom w:val="single" w:color="000000" w:sz="4" w:space="0"/>
              <w:right w:val="single" w:color="000000" w:sz="4" w:space="0"/>
            </w:tcBorders>
          </w:tcPr>
          <w:p>
            <w:pPr>
              <w:spacing w:line="240" w:lineRule="exact"/>
              <w:jc w:val="left"/>
              <w:rPr>
                <w:rFonts w:ascii="宋体" w:hAnsi="宋体" w:cs="仿宋"/>
                <w:sz w:val="24"/>
              </w:rPr>
            </w:pPr>
          </w:p>
        </w:tc>
        <w:tc>
          <w:tcPr>
            <w:tcW w:w="1559" w:type="dxa"/>
            <w:tcBorders>
              <w:top w:val="single" w:color="000000" w:sz="4" w:space="0"/>
              <w:left w:val="single" w:color="000000" w:sz="4" w:space="0"/>
              <w:bottom w:val="single" w:color="000000" w:sz="4" w:space="0"/>
              <w:right w:val="single" w:color="000000" w:sz="4" w:space="0"/>
            </w:tcBorders>
          </w:tcPr>
          <w:p>
            <w:pPr>
              <w:spacing w:line="240" w:lineRule="exact"/>
              <w:jc w:val="left"/>
              <w:rPr>
                <w:rFonts w:ascii="宋体" w:hAnsi="宋体" w:cs="仿宋"/>
                <w:sz w:val="24"/>
              </w:rPr>
            </w:pPr>
          </w:p>
        </w:tc>
        <w:tc>
          <w:tcPr>
            <w:tcW w:w="2127" w:type="dxa"/>
            <w:tcBorders>
              <w:top w:val="single" w:color="000000" w:sz="4" w:space="0"/>
              <w:left w:val="single" w:color="000000" w:sz="4" w:space="0"/>
              <w:bottom w:val="single" w:color="000000" w:sz="4" w:space="0"/>
              <w:right w:val="single" w:color="000000" w:sz="4" w:space="0"/>
            </w:tcBorders>
          </w:tcPr>
          <w:p>
            <w:pPr>
              <w:spacing w:line="240" w:lineRule="exact"/>
              <w:jc w:val="left"/>
              <w:rPr>
                <w:rFonts w:ascii="宋体" w:hAnsi="宋体" w:cs="仿宋"/>
                <w:sz w:val="24"/>
              </w:rPr>
            </w:pPr>
          </w:p>
        </w:tc>
        <w:tc>
          <w:tcPr>
            <w:tcW w:w="2693" w:type="dxa"/>
            <w:tcBorders>
              <w:top w:val="single" w:color="000000" w:sz="4" w:space="0"/>
              <w:left w:val="single" w:color="000000" w:sz="4" w:space="0"/>
              <w:bottom w:val="single" w:color="000000" w:sz="4" w:space="0"/>
              <w:right w:val="single" w:color="000000" w:sz="4" w:space="0"/>
            </w:tcBorders>
          </w:tcPr>
          <w:p>
            <w:pPr>
              <w:spacing w:line="240" w:lineRule="exact"/>
              <w:jc w:val="left"/>
              <w:rPr>
                <w:rFonts w:ascii="宋体" w:hAnsi="宋体" w:cs="仿宋"/>
                <w:sz w:val="24"/>
              </w:rPr>
            </w:pPr>
          </w:p>
        </w:tc>
      </w:tr>
      <w:tr>
        <w:tblPrEx>
          <w:tblCellMar>
            <w:top w:w="0" w:type="dxa"/>
            <w:left w:w="108" w:type="dxa"/>
            <w:bottom w:w="0" w:type="dxa"/>
            <w:right w:w="108" w:type="dxa"/>
          </w:tblCellMar>
        </w:tblPrEx>
        <w:tc>
          <w:tcPr>
            <w:tcW w:w="906"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206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324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185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1559"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2127"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2693"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r>
      <w:tr>
        <w:tblPrEx>
          <w:tblCellMar>
            <w:top w:w="0" w:type="dxa"/>
            <w:left w:w="108" w:type="dxa"/>
            <w:bottom w:w="0" w:type="dxa"/>
            <w:right w:w="108" w:type="dxa"/>
          </w:tblCellMar>
        </w:tblPrEx>
        <w:trPr>
          <w:trHeight w:val="710" w:hRule="atLeast"/>
        </w:trPr>
        <w:tc>
          <w:tcPr>
            <w:tcW w:w="906"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206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324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185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1559"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2127"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2693"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r>
      <w:tr>
        <w:tblPrEx>
          <w:tblCellMar>
            <w:top w:w="0" w:type="dxa"/>
            <w:left w:w="108" w:type="dxa"/>
            <w:bottom w:w="0" w:type="dxa"/>
            <w:right w:w="108" w:type="dxa"/>
          </w:tblCellMar>
        </w:tblPrEx>
        <w:tc>
          <w:tcPr>
            <w:tcW w:w="906"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206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324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185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1559"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2127"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2693"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r>
      <w:tr>
        <w:tblPrEx>
          <w:tblCellMar>
            <w:top w:w="0" w:type="dxa"/>
            <w:left w:w="108" w:type="dxa"/>
            <w:bottom w:w="0" w:type="dxa"/>
            <w:right w:w="108" w:type="dxa"/>
          </w:tblCellMar>
        </w:tblPrEx>
        <w:tc>
          <w:tcPr>
            <w:tcW w:w="906"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206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324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185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1559"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2127"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2693"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r>
    </w:tbl>
    <w:p>
      <w:pPr>
        <w:pStyle w:val="51"/>
        <w:spacing w:before="152" w:after="160"/>
        <w:jc w:val="both"/>
        <w:outlineLvl w:val="9"/>
        <w:rPr>
          <w:rFonts w:ascii="宋体" w:hAnsi="宋体" w:cs="仿宋"/>
          <w:b w:val="0"/>
          <w:sz w:val="24"/>
          <w:szCs w:val="20"/>
        </w:rPr>
      </w:pPr>
    </w:p>
    <w:p>
      <w:pPr>
        <w:pStyle w:val="51"/>
        <w:spacing w:before="152" w:after="160"/>
        <w:jc w:val="both"/>
        <w:outlineLvl w:val="9"/>
        <w:rPr>
          <w:rFonts w:ascii="宋体" w:hAnsi="宋体" w:cs="仿宋"/>
          <w:b w:val="0"/>
          <w:sz w:val="24"/>
          <w:szCs w:val="20"/>
          <w:u w:val="single"/>
        </w:rPr>
      </w:pPr>
      <w:r>
        <w:rPr>
          <w:rFonts w:hint="eastAsia" w:ascii="宋体" w:hAnsi="宋体" w:cs="仿宋"/>
          <w:b w:val="0"/>
          <w:sz w:val="24"/>
          <w:szCs w:val="20"/>
        </w:rPr>
        <w:t>法定代表人或被授权人</w:t>
      </w:r>
      <w:r>
        <w:rPr>
          <w:rFonts w:hint="eastAsia" w:ascii="宋体" w:hAnsi="宋体" w:cs="仿宋"/>
          <w:sz w:val="24"/>
        </w:rPr>
        <w:t>（签字或签章）</w:t>
      </w:r>
      <w:r>
        <w:rPr>
          <w:rFonts w:hint="eastAsia" w:ascii="宋体" w:hAnsi="宋体" w:cs="仿宋"/>
          <w:b w:val="0"/>
          <w:sz w:val="24"/>
          <w:szCs w:val="20"/>
        </w:rPr>
        <w:t>：</w:t>
      </w:r>
      <w:r>
        <w:rPr>
          <w:rFonts w:hint="eastAsia" w:ascii="宋体" w:hAnsi="宋体" w:cs="仿宋"/>
          <w:b w:val="0"/>
          <w:sz w:val="24"/>
          <w:szCs w:val="20"/>
          <w:u w:val="single"/>
        </w:rPr>
        <w:t>　　　　　</w:t>
      </w:r>
    </w:p>
    <w:p>
      <w:pPr>
        <w:spacing w:before="50"/>
        <w:ind w:right="480"/>
        <w:rPr>
          <w:rFonts w:ascii="宋体" w:hAnsi="宋体" w:cs="仿宋"/>
          <w:sz w:val="24"/>
        </w:rPr>
      </w:pPr>
      <w:r>
        <w:rPr>
          <w:rFonts w:hint="eastAsia" w:ascii="宋体" w:hAnsi="宋体" w:cs="仿宋"/>
          <w:sz w:val="24"/>
        </w:rPr>
        <w:t>投标人公章：</w:t>
      </w:r>
      <w:r>
        <w:rPr>
          <w:rFonts w:hint="eastAsia" w:ascii="宋体" w:hAnsi="宋体" w:cs="仿宋"/>
          <w:sz w:val="24"/>
          <w:u w:val="single"/>
        </w:rPr>
        <w:t xml:space="preserve">                 </w:t>
      </w:r>
      <w:r>
        <w:rPr>
          <w:rFonts w:hint="eastAsia" w:ascii="宋体" w:hAnsi="宋体" w:cs="仿宋"/>
          <w:sz w:val="24"/>
        </w:rPr>
        <w:t xml:space="preserve">                                                              年    月    日</w:t>
      </w:r>
    </w:p>
    <w:p>
      <w:pPr>
        <w:spacing w:before="50"/>
        <w:ind w:right="480"/>
        <w:rPr>
          <w:rFonts w:ascii="宋体" w:hAnsi="宋体" w:cs="仿宋"/>
          <w:sz w:val="24"/>
        </w:rPr>
      </w:pPr>
    </w:p>
    <w:p>
      <w:pPr>
        <w:spacing w:before="50"/>
        <w:ind w:right="480"/>
        <w:rPr>
          <w:rFonts w:ascii="宋体" w:hAnsi="宋体" w:cs="仿宋"/>
          <w:sz w:val="24"/>
        </w:rPr>
      </w:pPr>
    </w:p>
    <w:p>
      <w:pPr>
        <w:spacing w:before="50"/>
        <w:ind w:right="480"/>
        <w:rPr>
          <w:rFonts w:ascii="宋体" w:hAnsi="宋体" w:cs="仿宋"/>
          <w:sz w:val="24"/>
        </w:rPr>
      </w:pPr>
    </w:p>
    <w:p>
      <w:pPr>
        <w:spacing w:before="50"/>
        <w:ind w:right="480"/>
        <w:rPr>
          <w:rFonts w:ascii="宋体" w:hAnsi="宋体" w:cs="仿宋"/>
          <w:sz w:val="24"/>
        </w:rPr>
      </w:pPr>
    </w:p>
    <w:p>
      <w:pPr>
        <w:spacing w:before="50"/>
        <w:ind w:right="480"/>
        <w:rPr>
          <w:rFonts w:ascii="宋体" w:hAnsi="宋体" w:cs="仿宋"/>
          <w:sz w:val="24"/>
        </w:rPr>
      </w:pPr>
    </w:p>
    <w:p>
      <w:pPr>
        <w:spacing w:before="50"/>
        <w:ind w:right="480"/>
        <w:rPr>
          <w:rFonts w:ascii="宋体" w:hAnsi="宋体" w:cs="仿宋"/>
          <w:sz w:val="24"/>
        </w:rPr>
      </w:pPr>
    </w:p>
    <w:p>
      <w:pPr>
        <w:spacing w:before="50"/>
        <w:ind w:right="480"/>
        <w:rPr>
          <w:rFonts w:ascii="宋体" w:hAnsi="宋体" w:cs="仿宋"/>
          <w:sz w:val="24"/>
        </w:rPr>
      </w:pPr>
    </w:p>
    <w:p>
      <w:pPr>
        <w:spacing w:before="50"/>
        <w:ind w:right="480"/>
        <w:rPr>
          <w:rFonts w:ascii="宋体" w:hAnsi="宋体" w:cs="仿宋"/>
          <w:sz w:val="24"/>
        </w:rPr>
      </w:pPr>
    </w:p>
    <w:p>
      <w:pPr>
        <w:spacing w:before="50"/>
        <w:ind w:firstLine="480"/>
        <w:jc w:val="left"/>
        <w:rPr>
          <w:rFonts w:ascii="宋体" w:hAnsi="宋体" w:cs="仿宋"/>
          <w:sz w:val="24"/>
          <w:szCs w:val="20"/>
        </w:rPr>
      </w:pPr>
    </w:p>
    <w:p>
      <w:pPr>
        <w:spacing w:before="50"/>
        <w:jc w:val="left"/>
        <w:rPr>
          <w:rFonts w:ascii="宋体" w:hAnsi="宋体" w:cs="仿宋"/>
          <w:sz w:val="24"/>
        </w:rPr>
      </w:pPr>
      <w:r>
        <w:rPr>
          <w:rFonts w:hint="eastAsia" w:ascii="宋体" w:hAnsi="宋体" w:cs="仿宋"/>
          <w:b/>
          <w:sz w:val="24"/>
          <w:szCs w:val="20"/>
        </w:rPr>
        <w:t>注：须提供项目合同（任务书）或中标（成交）通知书复印件并加盖公章，原件备查。</w:t>
      </w:r>
    </w:p>
    <w:p>
      <w:pPr>
        <w:spacing w:before="50"/>
        <w:jc w:val="left"/>
        <w:rPr>
          <w:rFonts w:ascii="宋体" w:hAnsi="宋体" w:cs="仿宋"/>
          <w:sz w:val="24"/>
        </w:rPr>
      </w:pPr>
    </w:p>
    <w:p>
      <w:pPr>
        <w:pStyle w:val="38"/>
        <w:ind w:left="480" w:hanging="480"/>
        <w:jc w:val="center"/>
        <w:rPr>
          <w:rFonts w:ascii="宋体" w:hAnsi="宋体" w:cs="仿宋"/>
          <w:sz w:val="24"/>
        </w:rPr>
      </w:pPr>
      <w:r>
        <w:rPr>
          <w:rFonts w:hint="eastAsia" w:ascii="宋体" w:hAnsi="宋体" w:cs="仿宋"/>
          <w:sz w:val="24"/>
        </w:rPr>
        <w:t>投标人的信誉、奖项一览表：</w:t>
      </w:r>
    </w:p>
    <w:tbl>
      <w:tblPr>
        <w:tblStyle w:val="55"/>
        <w:tblW w:w="0" w:type="auto"/>
        <w:tblInd w:w="108" w:type="dxa"/>
        <w:tblLayout w:type="fixed"/>
        <w:tblCellMar>
          <w:top w:w="0" w:type="dxa"/>
          <w:left w:w="108" w:type="dxa"/>
          <w:bottom w:w="0" w:type="dxa"/>
          <w:right w:w="108" w:type="dxa"/>
        </w:tblCellMar>
      </w:tblPr>
      <w:tblGrid>
        <w:gridCol w:w="749"/>
        <w:gridCol w:w="5738"/>
        <w:gridCol w:w="5562"/>
        <w:gridCol w:w="2268"/>
      </w:tblGrid>
      <w:tr>
        <w:tblPrEx>
          <w:tblCellMar>
            <w:top w:w="0" w:type="dxa"/>
            <w:left w:w="108" w:type="dxa"/>
            <w:bottom w:w="0" w:type="dxa"/>
            <w:right w:w="108" w:type="dxa"/>
          </w:tblCellMar>
        </w:tblPrEx>
        <w:trPr>
          <w:cantSplit/>
          <w:trHeight w:val="487" w:hRule="atLeast"/>
        </w:trPr>
        <w:tc>
          <w:tcPr>
            <w:tcW w:w="749"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仿宋"/>
                <w:sz w:val="24"/>
              </w:rPr>
            </w:pPr>
            <w:r>
              <w:rPr>
                <w:rFonts w:hint="eastAsia" w:ascii="宋体" w:hAnsi="宋体" w:cs="仿宋"/>
                <w:sz w:val="24"/>
              </w:rPr>
              <w:t>序号</w:t>
            </w:r>
          </w:p>
        </w:tc>
        <w:tc>
          <w:tcPr>
            <w:tcW w:w="5738"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仿宋"/>
                <w:sz w:val="24"/>
              </w:rPr>
            </w:pPr>
            <w:r>
              <w:rPr>
                <w:rFonts w:hint="eastAsia" w:ascii="宋体" w:hAnsi="宋体" w:cs="仿宋"/>
                <w:sz w:val="24"/>
              </w:rPr>
              <w:t>信誉、奖项名称</w:t>
            </w:r>
          </w:p>
        </w:tc>
        <w:tc>
          <w:tcPr>
            <w:tcW w:w="556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仿宋"/>
                <w:sz w:val="24"/>
              </w:rPr>
            </w:pPr>
            <w:r>
              <w:rPr>
                <w:rFonts w:hint="eastAsia" w:ascii="宋体" w:hAnsi="宋体" w:cs="仿宋"/>
                <w:sz w:val="24"/>
              </w:rPr>
              <w:t>获得信誉、奖项时间</w:t>
            </w:r>
          </w:p>
        </w:tc>
        <w:tc>
          <w:tcPr>
            <w:tcW w:w="2268"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仿宋"/>
                <w:sz w:val="24"/>
              </w:rPr>
            </w:pPr>
            <w:r>
              <w:rPr>
                <w:rFonts w:hint="eastAsia" w:ascii="宋体" w:hAnsi="宋体" w:cs="仿宋"/>
                <w:sz w:val="24"/>
              </w:rPr>
              <w:t>备注</w:t>
            </w:r>
          </w:p>
        </w:tc>
      </w:tr>
      <w:tr>
        <w:tblPrEx>
          <w:tblCellMar>
            <w:top w:w="0" w:type="dxa"/>
            <w:left w:w="108" w:type="dxa"/>
            <w:bottom w:w="0" w:type="dxa"/>
            <w:right w:w="108" w:type="dxa"/>
          </w:tblCellMar>
        </w:tblPrEx>
        <w:trPr>
          <w:cantSplit/>
          <w:trHeight w:val="521"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仿宋"/>
                <w:sz w:val="24"/>
              </w:rPr>
            </w:pPr>
          </w:p>
        </w:tc>
        <w:tc>
          <w:tcPr>
            <w:tcW w:w="57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仿宋"/>
                <w:sz w:val="24"/>
              </w:rPr>
            </w:pPr>
          </w:p>
        </w:tc>
        <w:tc>
          <w:tcPr>
            <w:tcW w:w="55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仿宋"/>
                <w:sz w:val="24"/>
              </w:rPr>
            </w:pPr>
          </w:p>
        </w:tc>
        <w:tc>
          <w:tcPr>
            <w:tcW w:w="22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仿宋"/>
                <w:sz w:val="24"/>
              </w:rPr>
            </w:pPr>
          </w:p>
        </w:tc>
      </w:tr>
      <w:tr>
        <w:tblPrEx>
          <w:tblCellMar>
            <w:top w:w="0" w:type="dxa"/>
            <w:left w:w="108" w:type="dxa"/>
            <w:bottom w:w="0" w:type="dxa"/>
            <w:right w:w="108" w:type="dxa"/>
          </w:tblCellMar>
        </w:tblPrEx>
        <w:trPr>
          <w:trHeight w:val="648" w:hRule="atLeast"/>
        </w:trPr>
        <w:tc>
          <w:tcPr>
            <w:tcW w:w="749" w:type="dxa"/>
            <w:tcBorders>
              <w:top w:val="single" w:color="000000" w:sz="4" w:space="0"/>
              <w:left w:val="single" w:color="000000" w:sz="4" w:space="0"/>
              <w:bottom w:val="single" w:color="000000" w:sz="4" w:space="0"/>
              <w:right w:val="single" w:color="000000" w:sz="4" w:space="0"/>
            </w:tcBorders>
          </w:tcPr>
          <w:p>
            <w:pPr>
              <w:spacing w:line="240" w:lineRule="exact"/>
              <w:jc w:val="left"/>
              <w:rPr>
                <w:rFonts w:ascii="宋体" w:hAnsi="宋体" w:cs="仿宋"/>
                <w:sz w:val="24"/>
              </w:rPr>
            </w:pPr>
          </w:p>
        </w:tc>
        <w:tc>
          <w:tcPr>
            <w:tcW w:w="5738" w:type="dxa"/>
            <w:tcBorders>
              <w:top w:val="single" w:color="000000" w:sz="4" w:space="0"/>
              <w:left w:val="single" w:color="000000" w:sz="4" w:space="0"/>
              <w:bottom w:val="single" w:color="000000" w:sz="4" w:space="0"/>
              <w:right w:val="single" w:color="000000" w:sz="4" w:space="0"/>
            </w:tcBorders>
          </w:tcPr>
          <w:p>
            <w:pPr>
              <w:spacing w:line="240" w:lineRule="exact"/>
              <w:jc w:val="left"/>
              <w:rPr>
                <w:rFonts w:ascii="宋体" w:hAnsi="宋体" w:cs="仿宋"/>
                <w:sz w:val="24"/>
              </w:rPr>
            </w:pPr>
          </w:p>
        </w:tc>
        <w:tc>
          <w:tcPr>
            <w:tcW w:w="5562" w:type="dxa"/>
            <w:tcBorders>
              <w:top w:val="single" w:color="000000" w:sz="4" w:space="0"/>
              <w:left w:val="single" w:color="000000" w:sz="4" w:space="0"/>
              <w:bottom w:val="single" w:color="000000" w:sz="4" w:space="0"/>
              <w:right w:val="single" w:color="000000" w:sz="4" w:space="0"/>
            </w:tcBorders>
          </w:tcPr>
          <w:p>
            <w:pPr>
              <w:spacing w:line="240" w:lineRule="exact"/>
              <w:jc w:val="left"/>
              <w:rPr>
                <w:rFonts w:ascii="宋体" w:hAnsi="宋体" w:cs="仿宋"/>
                <w:sz w:val="24"/>
              </w:rPr>
            </w:pPr>
          </w:p>
        </w:tc>
        <w:tc>
          <w:tcPr>
            <w:tcW w:w="2268" w:type="dxa"/>
            <w:tcBorders>
              <w:top w:val="single" w:color="000000" w:sz="4" w:space="0"/>
              <w:left w:val="single" w:color="000000" w:sz="4" w:space="0"/>
              <w:bottom w:val="single" w:color="000000" w:sz="4" w:space="0"/>
              <w:right w:val="single" w:color="000000" w:sz="4" w:space="0"/>
            </w:tcBorders>
          </w:tcPr>
          <w:p>
            <w:pPr>
              <w:spacing w:line="240" w:lineRule="exact"/>
              <w:jc w:val="left"/>
              <w:rPr>
                <w:rFonts w:ascii="宋体" w:hAnsi="宋体" w:cs="仿宋"/>
                <w:sz w:val="24"/>
              </w:rPr>
            </w:pPr>
          </w:p>
        </w:tc>
      </w:tr>
      <w:tr>
        <w:tblPrEx>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573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5562"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226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r>
      <w:tr>
        <w:tblPrEx>
          <w:tblCellMar>
            <w:top w:w="0" w:type="dxa"/>
            <w:left w:w="108" w:type="dxa"/>
            <w:bottom w:w="0" w:type="dxa"/>
            <w:right w:w="108" w:type="dxa"/>
          </w:tblCellMar>
        </w:tblPrEx>
        <w:trPr>
          <w:trHeight w:val="710" w:hRule="atLeast"/>
        </w:trPr>
        <w:tc>
          <w:tcPr>
            <w:tcW w:w="749"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573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5562"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226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r>
      <w:tr>
        <w:tblPrEx>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573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5562"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226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r>
      <w:tr>
        <w:tblPrEx>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573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5562"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c>
          <w:tcPr>
            <w:tcW w:w="2268" w:type="dxa"/>
            <w:tcBorders>
              <w:top w:val="single" w:color="000000" w:sz="4" w:space="0"/>
              <w:left w:val="single" w:color="000000" w:sz="4" w:space="0"/>
              <w:bottom w:val="single" w:color="000000" w:sz="4" w:space="0"/>
              <w:right w:val="single" w:color="000000" w:sz="4" w:space="0"/>
            </w:tcBorders>
          </w:tcPr>
          <w:p>
            <w:pPr>
              <w:spacing w:before="50" w:after="120" w:line="400" w:lineRule="exact"/>
              <w:jc w:val="left"/>
              <w:rPr>
                <w:rFonts w:ascii="宋体" w:hAnsi="宋体" w:cs="仿宋"/>
                <w:sz w:val="24"/>
              </w:rPr>
            </w:pPr>
          </w:p>
        </w:tc>
      </w:tr>
    </w:tbl>
    <w:p>
      <w:pPr>
        <w:pStyle w:val="51"/>
        <w:spacing w:before="152" w:after="160"/>
        <w:jc w:val="both"/>
        <w:outlineLvl w:val="9"/>
        <w:rPr>
          <w:rFonts w:ascii="宋体" w:hAnsi="宋体" w:cs="仿宋"/>
          <w:b w:val="0"/>
          <w:sz w:val="24"/>
          <w:szCs w:val="20"/>
        </w:rPr>
      </w:pPr>
    </w:p>
    <w:p>
      <w:pPr>
        <w:rPr>
          <w:rFonts w:ascii="宋体" w:hAnsi="宋体"/>
        </w:rPr>
      </w:pPr>
    </w:p>
    <w:p>
      <w:pPr>
        <w:pStyle w:val="51"/>
        <w:spacing w:before="152" w:after="160"/>
        <w:jc w:val="both"/>
        <w:outlineLvl w:val="9"/>
        <w:rPr>
          <w:rFonts w:ascii="宋体" w:hAnsi="宋体" w:cs="仿宋"/>
          <w:b w:val="0"/>
          <w:sz w:val="24"/>
          <w:szCs w:val="20"/>
          <w:u w:val="single"/>
        </w:rPr>
      </w:pPr>
      <w:bookmarkStart w:id="85" w:name="_Toc514623520"/>
      <w:r>
        <w:rPr>
          <w:rFonts w:hint="eastAsia" w:ascii="宋体" w:hAnsi="宋体" w:cs="仿宋"/>
          <w:b w:val="0"/>
          <w:sz w:val="24"/>
          <w:szCs w:val="20"/>
        </w:rPr>
        <w:t>法定代表人或被授权人</w:t>
      </w:r>
      <w:r>
        <w:rPr>
          <w:rFonts w:hint="eastAsia" w:ascii="宋体" w:hAnsi="宋体" w:cs="仿宋"/>
          <w:sz w:val="24"/>
        </w:rPr>
        <w:t>（签字或签章）</w:t>
      </w:r>
      <w:r>
        <w:rPr>
          <w:rFonts w:hint="eastAsia" w:ascii="宋体" w:hAnsi="宋体" w:cs="仿宋"/>
          <w:b w:val="0"/>
          <w:sz w:val="24"/>
          <w:szCs w:val="20"/>
        </w:rPr>
        <w:t>：</w:t>
      </w:r>
      <w:bookmarkEnd w:id="85"/>
      <w:r>
        <w:rPr>
          <w:rFonts w:hint="eastAsia" w:ascii="宋体" w:hAnsi="宋体" w:cs="仿宋"/>
          <w:b w:val="0"/>
          <w:sz w:val="24"/>
          <w:szCs w:val="20"/>
          <w:u w:val="single"/>
        </w:rPr>
        <w:t>　　　　　</w:t>
      </w:r>
    </w:p>
    <w:p>
      <w:pPr>
        <w:spacing w:before="50"/>
        <w:ind w:right="480"/>
        <w:rPr>
          <w:rFonts w:ascii="宋体" w:hAnsi="宋体" w:cs="仿宋"/>
          <w:sz w:val="24"/>
        </w:rPr>
      </w:pPr>
      <w:r>
        <w:rPr>
          <w:rFonts w:hint="eastAsia" w:ascii="宋体" w:hAnsi="宋体" w:cs="仿宋"/>
          <w:sz w:val="24"/>
        </w:rPr>
        <w:t>投标人公章：</w:t>
      </w:r>
      <w:r>
        <w:rPr>
          <w:rFonts w:hint="eastAsia" w:ascii="宋体" w:hAnsi="宋体" w:cs="仿宋"/>
          <w:sz w:val="24"/>
          <w:u w:val="single"/>
        </w:rPr>
        <w:t xml:space="preserve">                 </w:t>
      </w:r>
      <w:r>
        <w:rPr>
          <w:rFonts w:hint="eastAsia" w:ascii="宋体" w:hAnsi="宋体" w:cs="仿宋"/>
          <w:sz w:val="24"/>
        </w:rPr>
        <w:t xml:space="preserve">            年    月    日</w:t>
      </w:r>
    </w:p>
    <w:p>
      <w:pPr>
        <w:spacing w:before="50"/>
        <w:ind w:right="480"/>
        <w:rPr>
          <w:rFonts w:ascii="宋体" w:hAnsi="宋体" w:cs="仿宋"/>
          <w:sz w:val="24"/>
        </w:rPr>
      </w:pPr>
    </w:p>
    <w:p>
      <w:pPr>
        <w:spacing w:before="50"/>
        <w:ind w:right="480"/>
        <w:rPr>
          <w:rFonts w:ascii="宋体" w:hAnsi="宋体" w:cs="仿宋"/>
          <w:sz w:val="24"/>
        </w:rPr>
      </w:pPr>
    </w:p>
    <w:p>
      <w:pPr>
        <w:spacing w:before="50"/>
        <w:ind w:firstLine="480"/>
        <w:jc w:val="left"/>
        <w:rPr>
          <w:rFonts w:ascii="宋体" w:hAnsi="宋体" w:cs="仿宋"/>
          <w:sz w:val="24"/>
          <w:szCs w:val="20"/>
        </w:rPr>
      </w:pPr>
    </w:p>
    <w:p>
      <w:pPr>
        <w:pStyle w:val="51"/>
        <w:spacing w:before="152" w:after="160"/>
        <w:jc w:val="both"/>
        <w:outlineLvl w:val="9"/>
        <w:rPr>
          <w:rFonts w:ascii="宋体" w:hAnsi="宋体" w:cs="仿宋"/>
          <w:b w:val="0"/>
          <w:sz w:val="24"/>
          <w:szCs w:val="20"/>
        </w:rPr>
      </w:pPr>
      <w:bookmarkStart w:id="86" w:name="_Toc514623521"/>
      <w:r>
        <w:rPr>
          <w:rFonts w:hint="eastAsia" w:ascii="宋体" w:hAnsi="宋体" w:cs="仿宋"/>
          <w:b w:val="0"/>
          <w:sz w:val="24"/>
          <w:szCs w:val="20"/>
        </w:rPr>
        <w:t>注：须提供获奖证书及相关证明材料复印件并加盖公章，原件备查。</w:t>
      </w:r>
      <w:bookmarkEnd w:id="86"/>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Cs w:val="21"/>
        </w:rPr>
        <w:sectPr>
          <w:pgSz w:w="16838" w:h="11906" w:orient="landscape"/>
          <w:pgMar w:top="1247" w:right="1134" w:bottom="1247" w:left="1134" w:header="851" w:footer="992" w:gutter="0"/>
          <w:cols w:space="720" w:num="1"/>
          <w:docGrid w:linePitch="312" w:charSpace="0"/>
        </w:sectPr>
      </w:pPr>
    </w:p>
    <w:p>
      <w:pPr>
        <w:snapToGrid w:val="0"/>
        <w:spacing w:before="120" w:beforeLines="50" w:after="50"/>
        <w:outlineLvl w:val="1"/>
        <w:rPr>
          <w:rFonts w:ascii="宋体" w:hAnsi="宋体"/>
          <w:b/>
          <w:bCs/>
          <w:sz w:val="24"/>
        </w:rPr>
      </w:pPr>
      <w:bookmarkStart w:id="87" w:name="_Toc24366229"/>
      <w:r>
        <w:rPr>
          <w:rFonts w:hint="eastAsia" w:ascii="宋体" w:hAnsi="宋体"/>
          <w:b/>
          <w:bCs/>
          <w:sz w:val="24"/>
        </w:rPr>
        <w:t>六、其他文书、文件格式</w:t>
      </w:r>
      <w:bookmarkEnd w:id="87"/>
    </w:p>
    <w:p>
      <w:pPr>
        <w:spacing w:before="120" w:beforeLines="50" w:after="120" w:afterLines="50" w:line="400" w:lineRule="exact"/>
        <w:rPr>
          <w:rFonts w:ascii="宋体" w:hAnsi="宋体"/>
          <w:sz w:val="24"/>
        </w:rPr>
      </w:pPr>
    </w:p>
    <w:p>
      <w:pPr>
        <w:snapToGrid w:val="0"/>
        <w:spacing w:before="120" w:beforeLines="50" w:after="50"/>
        <w:ind w:left="142"/>
        <w:jc w:val="left"/>
        <w:rPr>
          <w:rFonts w:ascii="宋体" w:hAnsi="宋体"/>
          <w:b/>
          <w:spacing w:val="20"/>
          <w:sz w:val="24"/>
        </w:rPr>
      </w:pPr>
      <w:r>
        <w:rPr>
          <w:rFonts w:hint="eastAsia" w:ascii="宋体" w:hAnsi="宋体"/>
          <w:b/>
          <w:spacing w:val="20"/>
          <w:sz w:val="24"/>
        </w:rPr>
        <w:t>联合投标协议书格式</w:t>
      </w:r>
    </w:p>
    <w:p>
      <w:pPr>
        <w:pStyle w:val="8"/>
        <w:overflowPunct w:val="0"/>
        <w:jc w:val="center"/>
        <w:rPr>
          <w:rFonts w:ascii="宋体" w:hAnsi="宋体"/>
          <w:sz w:val="24"/>
        </w:rPr>
      </w:pPr>
      <w:r>
        <w:rPr>
          <w:rFonts w:hint="eastAsia" w:ascii="宋体" w:hAnsi="宋体"/>
          <w:sz w:val="24"/>
        </w:rPr>
        <w:t>联合体协议书</w:t>
      </w:r>
    </w:p>
    <w:p>
      <w:pPr>
        <w:pStyle w:val="8"/>
        <w:overflowPunct w:val="0"/>
        <w:rPr>
          <w:rFonts w:ascii="宋体" w:hAnsi="宋体"/>
          <w:sz w:val="24"/>
        </w:rPr>
      </w:pPr>
    </w:p>
    <w:p>
      <w:pPr>
        <w:pStyle w:val="8"/>
        <w:overflowPunct w:val="0"/>
        <w:rPr>
          <w:rFonts w:ascii="宋体" w:hAnsi="宋体"/>
          <w:sz w:val="24"/>
        </w:rPr>
      </w:pPr>
    </w:p>
    <w:p>
      <w:pPr>
        <w:pStyle w:val="8"/>
        <w:overflowPunct w:val="0"/>
        <w:rPr>
          <w:rFonts w:ascii="宋体" w:hAnsi="宋体"/>
          <w:sz w:val="24"/>
        </w:rPr>
      </w:pPr>
    </w:p>
    <w:p>
      <w:pPr>
        <w:pStyle w:val="8"/>
        <w:overflowPunct w:val="0"/>
        <w:rPr>
          <w:rFonts w:ascii="宋体" w:hAnsi="宋体"/>
          <w:sz w:val="24"/>
        </w:rPr>
      </w:pP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（所有成员单位名称）自愿组成</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（联合体名称）联合体，共同</w:t>
      </w:r>
    </w:p>
    <w:p>
      <w:pPr>
        <w:pStyle w:val="8"/>
        <w:overflowPunct w:val="0"/>
        <w:rPr>
          <w:rFonts w:ascii="宋体" w:hAnsi="宋体"/>
          <w:sz w:val="24"/>
        </w:rPr>
      </w:pPr>
    </w:p>
    <w:p>
      <w:pPr>
        <w:pStyle w:val="8"/>
        <w:overflowPunct w:val="0"/>
        <w:rPr>
          <w:rFonts w:ascii="宋体" w:hAnsi="宋体"/>
          <w:sz w:val="24"/>
        </w:rPr>
      </w:pPr>
      <w:r>
        <w:rPr>
          <w:rFonts w:hint="eastAsia" w:ascii="宋体" w:hAnsi="宋体"/>
          <w:sz w:val="24"/>
        </w:rPr>
        <w:t>参加</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（项</w:t>
      </w:r>
      <w:r>
        <w:rPr>
          <w:rFonts w:hint="eastAsia" w:ascii="宋体" w:hAnsi="宋体"/>
          <w:sz w:val="24"/>
        </w:rPr>
        <w:t>目名称）采购招标项目投标。现就联合体投标事宜订立如下协议。</w:t>
      </w:r>
    </w:p>
    <w:p>
      <w:pPr>
        <w:pStyle w:val="8"/>
        <w:overflowPunct w:val="0"/>
        <w:rPr>
          <w:rFonts w:ascii="宋体" w:hAnsi="宋体"/>
          <w:sz w:val="24"/>
        </w:rPr>
      </w:pPr>
    </w:p>
    <w:p>
      <w:pPr>
        <w:pStyle w:val="8"/>
        <w:overflowPunct w:val="0"/>
        <w:ind w:firstLineChars="175"/>
        <w:rPr>
          <w:rFonts w:ascii="宋体" w:hAnsi="宋体"/>
          <w:sz w:val="24"/>
        </w:rPr>
      </w:pPr>
      <w:r>
        <w:rPr>
          <w:rFonts w:hint="eastAsia" w:ascii="宋体" w:hAnsi="宋体"/>
          <w:sz w:val="24"/>
        </w:rPr>
        <w:t xml:space="preserve">1.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（某成员单位名称）为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（联合体名称）牵头人。</w:t>
      </w:r>
    </w:p>
    <w:p>
      <w:pPr>
        <w:pStyle w:val="8"/>
        <w:overflowPunct w:val="0"/>
        <w:ind w:firstLineChars="175"/>
        <w:rPr>
          <w:rFonts w:ascii="宋体" w:hAnsi="宋体"/>
          <w:sz w:val="24"/>
        </w:rPr>
      </w:pPr>
      <w:r>
        <w:rPr>
          <w:rFonts w:hint="eastAsia" w:ascii="宋体" w:hAnsi="宋体"/>
          <w:sz w:val="24"/>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pPr>
        <w:pStyle w:val="8"/>
        <w:overflowPunct w:val="0"/>
        <w:ind w:firstLineChars="175"/>
        <w:rPr>
          <w:rFonts w:ascii="宋体" w:hAnsi="宋体"/>
          <w:sz w:val="24"/>
        </w:rPr>
      </w:pPr>
      <w:r>
        <w:rPr>
          <w:rFonts w:hint="eastAsia" w:ascii="宋体" w:hAnsi="宋体"/>
          <w:sz w:val="24"/>
        </w:rPr>
        <w:t>3.联合体牵头人在本项目中签署和盖章的一切文件和处理的一切事宜，联合体各成员均予以承认。 联合体各成员将严格按照招标文件、投标文件和合同的要求全面履行义务，并向招标人承担连带责任。</w:t>
      </w:r>
    </w:p>
    <w:p>
      <w:pPr>
        <w:pStyle w:val="8"/>
        <w:overflowPunct w:val="0"/>
        <w:ind w:firstLineChars="175"/>
        <w:rPr>
          <w:rFonts w:ascii="宋体" w:hAnsi="宋体"/>
          <w:sz w:val="24"/>
        </w:rPr>
      </w:pPr>
      <w:r>
        <w:rPr>
          <w:rFonts w:hint="eastAsia" w:ascii="宋体" w:hAnsi="宋体"/>
          <w:sz w:val="24"/>
        </w:rPr>
        <w:t>4.联合体各成员单位内部的职责分工如下：</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p>
    <w:p>
      <w:pPr>
        <w:pStyle w:val="8"/>
        <w:overflowPunct w:val="0"/>
        <w:ind w:firstLineChars="175"/>
        <w:rPr>
          <w:rFonts w:ascii="宋体" w:hAnsi="宋体"/>
          <w:sz w:val="24"/>
        </w:rPr>
      </w:pPr>
      <w:r>
        <w:rPr>
          <w:rFonts w:hint="eastAsia" w:ascii="宋体" w:hAnsi="宋体"/>
          <w:sz w:val="24"/>
        </w:rPr>
        <w:t>5.本协议书自所有成员单位法定代表人（单位负责人）或其委托代理人签字或盖单位章之日起生效，合同履行完毕后自动失效。</w:t>
      </w:r>
    </w:p>
    <w:p>
      <w:pPr>
        <w:pStyle w:val="8"/>
        <w:overflowPunct w:val="0"/>
        <w:ind w:firstLineChars="175"/>
        <w:rPr>
          <w:rFonts w:ascii="宋体" w:hAnsi="宋体"/>
          <w:sz w:val="24"/>
        </w:rPr>
      </w:pPr>
      <w:r>
        <w:rPr>
          <w:rFonts w:hint="eastAsia" w:ascii="宋体" w:hAnsi="宋体"/>
          <w:sz w:val="24"/>
        </w:rPr>
        <w:t>6.本协议书一式</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份，联合体成员和招标人各执一份。</w:t>
      </w:r>
    </w:p>
    <w:p>
      <w:pPr>
        <w:pStyle w:val="8"/>
        <w:overflowPunct w:val="0"/>
        <w:ind w:firstLine="0"/>
        <w:rPr>
          <w:rFonts w:ascii="宋体" w:hAnsi="宋体"/>
          <w:sz w:val="24"/>
        </w:rPr>
      </w:pPr>
    </w:p>
    <w:p>
      <w:pPr>
        <w:pStyle w:val="8"/>
        <w:overflowPunct w:val="0"/>
        <w:ind w:firstLineChars="175"/>
        <w:rPr>
          <w:rFonts w:ascii="宋体" w:hAnsi="宋体"/>
          <w:sz w:val="24"/>
        </w:rPr>
      </w:pPr>
      <w:r>
        <w:rPr>
          <w:rFonts w:hint="eastAsia" w:ascii="宋体" w:hAnsi="宋体"/>
          <w:sz w:val="24"/>
        </w:rPr>
        <w:t>注：本协议书由法定代表人（单位负责人）签字或签章的，应附法定代表人（单位负责人）身份</w:t>
      </w:r>
    </w:p>
    <w:p>
      <w:pPr>
        <w:pStyle w:val="8"/>
        <w:overflowPunct w:val="0"/>
        <w:ind w:firstLineChars="175"/>
        <w:rPr>
          <w:rFonts w:ascii="宋体" w:hAnsi="宋体"/>
          <w:sz w:val="24"/>
        </w:rPr>
      </w:pPr>
      <w:r>
        <w:rPr>
          <w:rFonts w:hint="eastAsia" w:ascii="宋体" w:hAnsi="宋体"/>
          <w:sz w:val="24"/>
        </w:rPr>
        <w:t>证明；由委托代理人签字或签章的，应附授权委托书。</w:t>
      </w:r>
    </w:p>
    <w:p>
      <w:pPr>
        <w:pStyle w:val="8"/>
        <w:overflowPunct w:val="0"/>
        <w:ind w:firstLineChars="175"/>
        <w:rPr>
          <w:rFonts w:ascii="宋体" w:hAnsi="宋体"/>
          <w:sz w:val="24"/>
        </w:rPr>
      </w:pPr>
    </w:p>
    <w:p>
      <w:pPr>
        <w:pStyle w:val="8"/>
        <w:overflowPunct w:val="0"/>
        <w:ind w:firstLineChars="175"/>
        <w:rPr>
          <w:rFonts w:ascii="宋体" w:hAnsi="宋体"/>
          <w:sz w:val="24"/>
        </w:rPr>
      </w:pPr>
      <w:r>
        <w:rPr>
          <w:rFonts w:hint="eastAsia" w:ascii="宋体" w:hAnsi="宋体"/>
          <w:sz w:val="24"/>
        </w:rPr>
        <w:t xml:space="preserve">联合体牵头人名称： </w:t>
      </w:r>
      <w:r>
        <w:rPr>
          <w:rFonts w:hint="eastAsia" w:ascii="宋体" w:hAnsi="宋体"/>
          <w:sz w:val="24"/>
        </w:rPr>
        <w:tab/>
      </w:r>
      <w:r>
        <w:rPr>
          <w:rFonts w:hint="eastAsia" w:ascii="宋体" w:hAnsi="宋体"/>
          <w:sz w:val="24"/>
        </w:rPr>
        <w:t>（盖单位章）</w:t>
      </w:r>
    </w:p>
    <w:p>
      <w:pPr>
        <w:pStyle w:val="8"/>
        <w:overflowPunct w:val="0"/>
        <w:ind w:firstLineChars="175"/>
        <w:rPr>
          <w:rFonts w:ascii="宋体" w:hAnsi="宋体"/>
          <w:sz w:val="24"/>
        </w:rPr>
      </w:pPr>
    </w:p>
    <w:p>
      <w:pPr>
        <w:pStyle w:val="8"/>
        <w:overflowPunct w:val="0"/>
        <w:ind w:firstLineChars="175"/>
        <w:rPr>
          <w:rFonts w:ascii="宋体" w:hAnsi="宋体"/>
          <w:sz w:val="24"/>
        </w:rPr>
      </w:pPr>
      <w:r>
        <w:rPr>
          <w:rFonts w:hint="eastAsia" w:ascii="宋体" w:hAnsi="宋体"/>
          <w:sz w:val="24"/>
        </w:rPr>
        <w:t xml:space="preserve">法定代表人（单位负责人）或其委托代理人： </w:t>
      </w:r>
      <w:r>
        <w:rPr>
          <w:rFonts w:hint="eastAsia" w:ascii="宋体" w:hAnsi="宋体"/>
          <w:sz w:val="24"/>
        </w:rPr>
        <w:tab/>
      </w:r>
      <w:r>
        <w:rPr>
          <w:rFonts w:hint="eastAsia" w:ascii="宋体" w:hAnsi="宋体"/>
          <w:sz w:val="24"/>
        </w:rPr>
        <w:t>（签字或签章）</w:t>
      </w:r>
    </w:p>
    <w:p>
      <w:pPr>
        <w:pStyle w:val="8"/>
        <w:overflowPunct w:val="0"/>
        <w:ind w:firstLineChars="175"/>
        <w:rPr>
          <w:rFonts w:ascii="宋体" w:hAnsi="宋体"/>
          <w:sz w:val="24"/>
        </w:rPr>
      </w:pPr>
    </w:p>
    <w:p>
      <w:pPr>
        <w:pStyle w:val="8"/>
        <w:overflowPunct w:val="0"/>
        <w:ind w:firstLineChars="175"/>
        <w:rPr>
          <w:rFonts w:ascii="宋体" w:hAnsi="宋体"/>
          <w:sz w:val="24"/>
        </w:rPr>
      </w:pPr>
      <w:r>
        <w:rPr>
          <w:rFonts w:hint="eastAsia" w:ascii="宋体" w:hAnsi="宋体"/>
          <w:sz w:val="24"/>
        </w:rPr>
        <w:t xml:space="preserve">联合体成员名称： </w:t>
      </w:r>
      <w:r>
        <w:rPr>
          <w:rFonts w:hint="eastAsia" w:ascii="宋体" w:hAnsi="宋体"/>
          <w:sz w:val="24"/>
        </w:rPr>
        <w:tab/>
      </w:r>
      <w:r>
        <w:rPr>
          <w:rFonts w:hint="eastAsia" w:ascii="宋体" w:hAnsi="宋体"/>
          <w:sz w:val="24"/>
        </w:rPr>
        <w:t>（盖单位章）</w:t>
      </w:r>
    </w:p>
    <w:p>
      <w:pPr>
        <w:pStyle w:val="8"/>
        <w:overflowPunct w:val="0"/>
        <w:ind w:firstLineChars="175"/>
        <w:rPr>
          <w:rFonts w:ascii="宋体" w:hAnsi="宋体"/>
          <w:sz w:val="24"/>
        </w:rPr>
      </w:pPr>
    </w:p>
    <w:p>
      <w:pPr>
        <w:pStyle w:val="8"/>
        <w:overflowPunct w:val="0"/>
        <w:ind w:firstLineChars="175"/>
        <w:rPr>
          <w:rFonts w:ascii="宋体" w:hAnsi="宋体"/>
          <w:sz w:val="24"/>
        </w:rPr>
      </w:pPr>
      <w:r>
        <w:rPr>
          <w:rFonts w:hint="eastAsia" w:ascii="宋体" w:hAnsi="宋体"/>
          <w:sz w:val="24"/>
        </w:rPr>
        <w:t xml:space="preserve">法定代表人（单位负责人）或其委托代理人： </w:t>
      </w:r>
      <w:r>
        <w:rPr>
          <w:rFonts w:hint="eastAsia" w:ascii="宋体" w:hAnsi="宋体"/>
          <w:sz w:val="24"/>
        </w:rPr>
        <w:tab/>
      </w:r>
      <w:r>
        <w:rPr>
          <w:rFonts w:hint="eastAsia" w:ascii="宋体" w:hAnsi="宋体"/>
          <w:sz w:val="24"/>
        </w:rPr>
        <w:t>（签字或签章）</w:t>
      </w:r>
    </w:p>
    <w:p>
      <w:pPr>
        <w:pStyle w:val="8"/>
        <w:overflowPunct w:val="0"/>
        <w:ind w:firstLineChars="175"/>
        <w:rPr>
          <w:rFonts w:ascii="宋体" w:hAnsi="宋体"/>
          <w:sz w:val="24"/>
        </w:rPr>
      </w:pPr>
    </w:p>
    <w:p>
      <w:pPr>
        <w:pStyle w:val="8"/>
        <w:overflowPunct w:val="0"/>
        <w:ind w:firstLineChars="175"/>
        <w:rPr>
          <w:rFonts w:ascii="宋体" w:hAnsi="宋体"/>
          <w:sz w:val="24"/>
        </w:rPr>
      </w:pPr>
      <w:r>
        <w:rPr>
          <w:rFonts w:hint="eastAsia" w:ascii="宋体" w:hAnsi="宋体"/>
          <w:sz w:val="24"/>
        </w:rPr>
        <w:t xml:space="preserve"> </w:t>
      </w:r>
      <w:r>
        <w:rPr>
          <w:rFonts w:hint="eastAsia" w:ascii="宋体" w:hAnsi="宋体"/>
          <w:sz w:val="24"/>
        </w:rPr>
        <w:tab/>
      </w:r>
      <w:r>
        <w:rPr>
          <w:rFonts w:hint="eastAsia" w:ascii="宋体" w:hAnsi="宋体"/>
          <w:sz w:val="24"/>
        </w:rPr>
        <w:t xml:space="preserve">年 </w:t>
      </w:r>
      <w:r>
        <w:rPr>
          <w:rFonts w:hint="eastAsia" w:ascii="宋体" w:hAnsi="宋体"/>
          <w:sz w:val="24"/>
        </w:rPr>
        <w:tab/>
      </w:r>
      <w:r>
        <w:rPr>
          <w:rFonts w:hint="eastAsia" w:ascii="宋体" w:hAnsi="宋体"/>
          <w:sz w:val="24"/>
        </w:rPr>
        <w:t xml:space="preserve">月 </w:t>
      </w:r>
      <w:r>
        <w:rPr>
          <w:rFonts w:hint="eastAsia" w:ascii="宋体" w:hAnsi="宋体"/>
          <w:sz w:val="24"/>
        </w:rPr>
        <w:tab/>
      </w:r>
      <w:r>
        <w:rPr>
          <w:rFonts w:hint="eastAsia" w:ascii="宋体" w:hAnsi="宋体"/>
          <w:sz w:val="24"/>
        </w:rPr>
        <w:t>日</w:t>
      </w:r>
    </w:p>
    <w:p>
      <w:pPr>
        <w:snapToGrid w:val="0"/>
        <w:spacing w:before="120" w:beforeLines="50" w:after="50"/>
        <w:jc w:val="left"/>
      </w:pPr>
      <w:r>
        <w:br w:type="page"/>
      </w:r>
      <w:r>
        <w:rPr>
          <w:rFonts w:hint="eastAsia" w:ascii="宋体" w:hAnsi="宋体"/>
          <w:b/>
          <w:sz w:val="24"/>
        </w:rPr>
        <w:t xml:space="preserve"> 中小企业声明函格式</w:t>
      </w:r>
    </w:p>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中小企业声明函</w:t>
      </w:r>
    </w:p>
    <w:p>
      <w:pPr>
        <w:spacing w:line="588" w:lineRule="exact"/>
        <w:rPr>
          <w:rFonts w:ascii="仿宋_GB2312" w:eastAsia="仿宋_GB2312"/>
          <w:b/>
          <w:spacing w:val="6"/>
          <w:sz w:val="30"/>
          <w:szCs w:val="30"/>
        </w:rPr>
      </w:pPr>
    </w:p>
    <w:p>
      <w:pPr>
        <w:spacing w:line="588" w:lineRule="exact"/>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本公司郑重声明，根据《政府采购促进中小企业发展暂行办法》（财库[2011]181号）的规定，本公司为</w:t>
      </w:r>
      <w:bookmarkStart w:id="88" w:name="OLE_LINK5"/>
      <w:bookmarkStart w:id="89" w:name="OLE_LINK2"/>
      <w:r>
        <w:rPr>
          <w:rFonts w:hint="eastAsia" w:ascii="宋体" w:hAnsi="宋体"/>
          <w:spacing w:val="6"/>
          <w:sz w:val="24"/>
        </w:rPr>
        <w:t>______（请填写：中型、小型、微型）企业</w:t>
      </w:r>
      <w:bookmarkEnd w:id="88"/>
      <w:bookmarkEnd w:id="89"/>
      <w:r>
        <w:rPr>
          <w:rFonts w:hint="eastAsia" w:ascii="宋体" w:hAnsi="宋体"/>
          <w:spacing w:val="6"/>
          <w:sz w:val="24"/>
        </w:rPr>
        <w:t>。即本公司同时满足以下条件：</w:t>
      </w:r>
    </w:p>
    <w:p>
      <w:pPr>
        <w:spacing w:line="588" w:lineRule="exact"/>
        <w:ind w:firstLine="504" w:firstLineChars="200"/>
        <w:rPr>
          <w:rFonts w:ascii="宋体" w:hAnsi="宋体"/>
          <w:spacing w:val="6"/>
          <w:sz w:val="24"/>
        </w:rPr>
      </w:pPr>
      <w:r>
        <w:rPr>
          <w:rFonts w:hint="eastAsia" w:ascii="宋体" w:hAnsi="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504" w:firstLineChars="200"/>
        <w:rPr>
          <w:rFonts w:ascii="宋体" w:hAnsi="宋体"/>
          <w:spacing w:val="6"/>
          <w:sz w:val="24"/>
        </w:rPr>
      </w:pPr>
      <w:r>
        <w:rPr>
          <w:rFonts w:hint="eastAsia" w:ascii="宋体" w:hAnsi="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企业名称（盖章）： </w:t>
      </w:r>
    </w:p>
    <w:p>
      <w:pPr>
        <w:rPr>
          <w:rFonts w:ascii="宋体" w:hAnsi="宋体"/>
          <w:sz w:val="24"/>
        </w:rPr>
      </w:pPr>
      <w:r>
        <w:rPr>
          <w:rFonts w:hint="eastAsia" w:ascii="宋体" w:hAnsi="宋体"/>
          <w:spacing w:val="6"/>
          <w:sz w:val="24"/>
        </w:rPr>
        <w:t xml:space="preserve">                               日  期：         </w:t>
      </w:r>
    </w:p>
    <w:p>
      <w:pPr>
        <w:rPr>
          <w:rFonts w:ascii="宋体" w:hAnsi="宋体"/>
          <w:sz w:val="24"/>
        </w:rPr>
      </w:pPr>
    </w:p>
    <w:p>
      <w:pPr>
        <w:rPr>
          <w:rFonts w:ascii="宋体" w:hAnsi="宋体"/>
          <w:sz w:val="24"/>
        </w:rPr>
      </w:pPr>
    </w:p>
    <w:p>
      <w:r>
        <w:rPr>
          <w:rFonts w:hint="eastAsia" w:ascii="宋体" w:hAnsi="宋体"/>
          <w:sz w:val="24"/>
        </w:rPr>
        <w:t>注：请根据自己的真实情况出具《中小企业声明函》。依法享受中小企业优惠政策的，采购人或采购代理机构在公告中标结果时，同时公告其《中小企业声明函》，接受社会监督。</w:t>
      </w:r>
      <w:r>
        <w:br w:type="page"/>
      </w:r>
    </w:p>
    <w:p>
      <w:pPr>
        <w:snapToGrid w:val="0"/>
        <w:spacing w:before="120" w:beforeLines="50" w:after="50"/>
        <w:ind w:left="142"/>
        <w:jc w:val="left"/>
        <w:rPr>
          <w:rFonts w:ascii="宋体" w:hAnsi="宋体"/>
          <w:b/>
          <w:sz w:val="24"/>
        </w:rPr>
      </w:pPr>
      <w:r>
        <w:rPr>
          <w:rFonts w:hint="eastAsia" w:ascii="宋体" w:hAnsi="宋体"/>
          <w:b/>
          <w:sz w:val="24"/>
        </w:rPr>
        <w:t>残疾人福利性单位声明函格式</w:t>
      </w:r>
    </w:p>
    <w:p>
      <w:pPr>
        <w:spacing w:line="588" w:lineRule="exact"/>
        <w:jc w:val="center"/>
        <w:rPr>
          <w:rFonts w:ascii="仿宋_GB2312" w:eastAsia="仿宋_GB2312"/>
          <w:b/>
          <w:spacing w:val="6"/>
          <w:sz w:val="32"/>
          <w:szCs w:val="32"/>
        </w:rPr>
      </w:pPr>
      <w:bookmarkStart w:id="90" w:name="OLE_LINK14"/>
      <w:bookmarkStart w:id="91" w:name="OLE_LINK13"/>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bookmarkEnd w:id="90"/>
    <w:bookmarkEnd w:id="91"/>
    <w:p>
      <w:pPr>
        <w:spacing w:line="588" w:lineRule="exact"/>
        <w:rPr>
          <w:rFonts w:ascii="仿宋_GB2312" w:eastAsia="仿宋_GB2312"/>
          <w:b/>
          <w:spacing w:val="6"/>
          <w:sz w:val="30"/>
          <w:szCs w:val="30"/>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日  期：</w:t>
      </w:r>
    </w:p>
    <w:p>
      <w:pPr>
        <w:rPr>
          <w:rFonts w:ascii="宋体" w:hAnsi="宋体"/>
          <w:sz w:val="24"/>
        </w:rPr>
      </w:pPr>
    </w:p>
    <w:p>
      <w:pPr>
        <w:rPr>
          <w:rFonts w:ascii="宋体" w:hAnsi="宋体"/>
          <w:sz w:val="24"/>
        </w:rPr>
      </w:pPr>
    </w:p>
    <w:p>
      <w:pPr>
        <w:rPr>
          <w:rFonts w:ascii="宋体" w:hAnsi="宋体"/>
          <w:sz w:val="24"/>
        </w:rPr>
      </w:pPr>
    </w:p>
    <w:p>
      <w:pPr>
        <w:snapToGrid w:val="0"/>
        <w:spacing w:before="120" w:beforeLines="50" w:after="50"/>
        <w:jc w:val="left"/>
      </w:pPr>
      <w:r>
        <w:rPr>
          <w:rFonts w:hint="eastAsia" w:ascii="宋体" w:hAnsi="宋体"/>
          <w:sz w:val="24"/>
        </w:rPr>
        <w:t>注：请根据自己的真实情况出具《残疾人福利性单位声明函》。依法享受中小企业优惠政策的，采购人或采购代理机构在公告中标结果时，同时公告其《残疾人福利性单位声明函》，接受社会监督。</w:t>
      </w:r>
    </w:p>
    <w:p/>
    <w:sectPr>
      <w:pgSz w:w="11906" w:h="16838"/>
      <w:pgMar w:top="1134" w:right="1247" w:bottom="1134"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Century">
    <w:altName w:val="Nyala"/>
    <w:panose1 w:val="02040604050505020304"/>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金山简黑体">
    <w:altName w:val="宋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Nyala">
    <w:panose1 w:val="02000504070300020003"/>
    <w:charset w:val="00"/>
    <w:family w:val="auto"/>
    <w:pitch w:val="default"/>
    <w:sig w:usb0="A000006F" w:usb1="00000000" w:usb2="00000800" w:usb3="00000000" w:csb0="00000093"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40</w:t>
    </w:r>
    <w: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66</w:t>
    </w:r>
    <w:r>
      <w:fldChar w:fldCharType="end"/>
    </w:r>
  </w:p>
  <w:p>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60"/>
      </w:rPr>
    </w:pPr>
    <w:r>
      <w:fldChar w:fldCharType="begin"/>
    </w:r>
    <w:r>
      <w:rPr>
        <w:rStyle w:val="60"/>
      </w:rPr>
      <w:instrText xml:space="preserve">PAGE  </w:instrText>
    </w:r>
    <w:r>
      <w:fldChar w:fldCharType="end"/>
    </w:r>
  </w:p>
  <w:p>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beforeLines="50" w:line="360" w:lineRule="auto"/>
      <w:ind w:right="197" w:rightChars="94"/>
      <w:rPr>
        <w:rFonts w:ascii="宋体" w:hAnsi="宋体"/>
        <w:snapToGrid w:val="0"/>
        <w:spacing w:val="-4"/>
        <w:kern w:val="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055F0C"/>
    <w:multiLevelType w:val="singleLevel"/>
    <w:tmpl w:val="FE055F0C"/>
    <w:lvl w:ilvl="0" w:tentative="0">
      <w:start w:val="1"/>
      <w:numFmt w:val="decimal"/>
      <w:pStyle w:val="22"/>
      <w:lvlText w:val="%1."/>
      <w:lvlJc w:val="left"/>
      <w:pPr>
        <w:tabs>
          <w:tab w:val="left" w:pos="1200"/>
        </w:tabs>
        <w:ind w:left="1200" w:hanging="360"/>
      </w:pPr>
    </w:lvl>
  </w:abstractNum>
  <w:abstractNum w:abstractNumId="1">
    <w:nsid w:val="FFFFFF7E"/>
    <w:multiLevelType w:val="singleLevel"/>
    <w:tmpl w:val="FFFFFF7E"/>
    <w:lvl w:ilvl="0" w:tentative="0">
      <w:start w:val="1"/>
      <w:numFmt w:val="decimal"/>
      <w:lvlText w:val="%1."/>
      <w:lvlJc w:val="left"/>
      <w:pPr>
        <w:tabs>
          <w:tab w:val="left" w:pos="1200"/>
        </w:tabs>
        <w:ind w:left="1200" w:hanging="360"/>
      </w:pPr>
    </w:lvl>
  </w:abstractNum>
  <w:abstractNum w:abstractNumId="2">
    <w:nsid w:val="05CE101D"/>
    <w:multiLevelType w:val="singleLevel"/>
    <w:tmpl w:val="05CE101D"/>
    <w:lvl w:ilvl="0" w:tentative="0">
      <w:start w:val="1"/>
      <w:numFmt w:val="decimal"/>
      <w:suff w:val="nothing"/>
      <w:lvlText w:val="（%1）"/>
      <w:lvlJc w:val="left"/>
    </w:lvl>
  </w:abstractNum>
  <w:abstractNum w:abstractNumId="3">
    <w:nsid w:val="06EA777F"/>
    <w:multiLevelType w:val="multilevel"/>
    <w:tmpl w:val="06EA777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0FF31DD"/>
    <w:multiLevelType w:val="multilevel"/>
    <w:tmpl w:val="10FF31D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D5E23B"/>
    <w:multiLevelType w:val="singleLevel"/>
    <w:tmpl w:val="21D5E23B"/>
    <w:lvl w:ilvl="0" w:tentative="0">
      <w:start w:val="1"/>
      <w:numFmt w:val="decimal"/>
      <w:suff w:val="nothing"/>
      <w:lvlText w:val="（%1）"/>
      <w:lvlJc w:val="left"/>
    </w:lvl>
  </w:abstractNum>
  <w:abstractNum w:abstractNumId="6">
    <w:nsid w:val="2DC8B871"/>
    <w:multiLevelType w:val="singleLevel"/>
    <w:tmpl w:val="2DC8B871"/>
    <w:lvl w:ilvl="0" w:tentative="0">
      <w:start w:val="1"/>
      <w:numFmt w:val="bullet"/>
      <w:pStyle w:val="17"/>
      <w:lvlText w:val=""/>
      <w:lvlJc w:val="left"/>
      <w:pPr>
        <w:tabs>
          <w:tab w:val="left" w:pos="360"/>
        </w:tabs>
        <w:ind w:left="360" w:hanging="360"/>
      </w:pPr>
      <w:rPr>
        <w:rFonts w:hint="default" w:ascii="Wingdings" w:hAnsi="Wingdings"/>
      </w:rPr>
    </w:lvl>
  </w:abstractNum>
  <w:abstractNum w:abstractNumId="7">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8">
    <w:nsid w:val="57244F34"/>
    <w:multiLevelType w:val="multilevel"/>
    <w:tmpl w:val="57244F3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49B9E59"/>
    <w:multiLevelType w:val="singleLevel"/>
    <w:tmpl w:val="649B9E59"/>
    <w:lvl w:ilvl="0" w:tentative="0">
      <w:start w:val="1"/>
      <w:numFmt w:val="decimal"/>
      <w:pStyle w:val="15"/>
      <w:lvlText w:val="%1."/>
      <w:lvlJc w:val="left"/>
      <w:pPr>
        <w:tabs>
          <w:tab w:val="left" w:pos="360"/>
        </w:tabs>
        <w:ind w:left="360" w:hanging="360"/>
      </w:pPr>
    </w:lvl>
  </w:abstractNum>
  <w:abstractNum w:abstractNumId="10">
    <w:nsid w:val="70BD51E6"/>
    <w:multiLevelType w:val="multilevel"/>
    <w:tmpl w:val="70BD51E6"/>
    <w:lvl w:ilvl="0" w:tentative="0">
      <w:start w:val="1"/>
      <w:numFmt w:val="decimal"/>
      <w:lvlText w:val="%1."/>
      <w:lvlJc w:val="left"/>
      <w:pPr>
        <w:ind w:left="840" w:hanging="420"/>
      </w:pPr>
      <w:rPr>
        <w:rFonts w:hint="default" w:ascii="宋体" w:hAnsi="宋体" w:eastAsia="宋体"/>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7"/>
  </w:num>
  <w:num w:numId="2">
    <w:abstractNumId w:val="9"/>
  </w:num>
  <w:num w:numId="3">
    <w:abstractNumId w:val="6"/>
  </w:num>
  <w:num w:numId="4">
    <w:abstractNumId w:val="0"/>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8"/>
  </w:num>
  <w:num w:numId="10">
    <w:abstractNumId w:val="3"/>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8B"/>
    <w:rsid w:val="00002D20"/>
    <w:rsid w:val="000033F5"/>
    <w:rsid w:val="00003B5C"/>
    <w:rsid w:val="00003FC8"/>
    <w:rsid w:val="00005109"/>
    <w:rsid w:val="0000674E"/>
    <w:rsid w:val="00006CE8"/>
    <w:rsid w:val="000072B1"/>
    <w:rsid w:val="00007731"/>
    <w:rsid w:val="00010C8F"/>
    <w:rsid w:val="0001194D"/>
    <w:rsid w:val="000125B8"/>
    <w:rsid w:val="000131C7"/>
    <w:rsid w:val="00013641"/>
    <w:rsid w:val="000136D6"/>
    <w:rsid w:val="000139F4"/>
    <w:rsid w:val="00013A38"/>
    <w:rsid w:val="000147E7"/>
    <w:rsid w:val="000165E4"/>
    <w:rsid w:val="00016BF7"/>
    <w:rsid w:val="000176DD"/>
    <w:rsid w:val="0001776D"/>
    <w:rsid w:val="00017F31"/>
    <w:rsid w:val="0002103A"/>
    <w:rsid w:val="000217E4"/>
    <w:rsid w:val="00021A12"/>
    <w:rsid w:val="00021E54"/>
    <w:rsid w:val="00022984"/>
    <w:rsid w:val="00022FDC"/>
    <w:rsid w:val="00023A54"/>
    <w:rsid w:val="00023C7F"/>
    <w:rsid w:val="00024EB0"/>
    <w:rsid w:val="00025D87"/>
    <w:rsid w:val="0002646A"/>
    <w:rsid w:val="0002651D"/>
    <w:rsid w:val="00027791"/>
    <w:rsid w:val="00027EF8"/>
    <w:rsid w:val="00030C43"/>
    <w:rsid w:val="00031B69"/>
    <w:rsid w:val="0003282C"/>
    <w:rsid w:val="00032F59"/>
    <w:rsid w:val="00033B90"/>
    <w:rsid w:val="00036466"/>
    <w:rsid w:val="000374E1"/>
    <w:rsid w:val="00037F87"/>
    <w:rsid w:val="00037FA2"/>
    <w:rsid w:val="000400D0"/>
    <w:rsid w:val="00040616"/>
    <w:rsid w:val="00042F4A"/>
    <w:rsid w:val="00043BE5"/>
    <w:rsid w:val="00044EA8"/>
    <w:rsid w:val="00045266"/>
    <w:rsid w:val="00045DDB"/>
    <w:rsid w:val="000473E3"/>
    <w:rsid w:val="00050771"/>
    <w:rsid w:val="000522E0"/>
    <w:rsid w:val="000532A3"/>
    <w:rsid w:val="00053D32"/>
    <w:rsid w:val="000548A6"/>
    <w:rsid w:val="00054CD5"/>
    <w:rsid w:val="000550AC"/>
    <w:rsid w:val="0005584D"/>
    <w:rsid w:val="00055C32"/>
    <w:rsid w:val="00056E37"/>
    <w:rsid w:val="00060A49"/>
    <w:rsid w:val="00062B90"/>
    <w:rsid w:val="000630C7"/>
    <w:rsid w:val="000645DD"/>
    <w:rsid w:val="00064F65"/>
    <w:rsid w:val="00064FD0"/>
    <w:rsid w:val="00065BA2"/>
    <w:rsid w:val="0006655B"/>
    <w:rsid w:val="00067BFE"/>
    <w:rsid w:val="00067CED"/>
    <w:rsid w:val="0007041A"/>
    <w:rsid w:val="00070634"/>
    <w:rsid w:val="00070883"/>
    <w:rsid w:val="000718DD"/>
    <w:rsid w:val="00071930"/>
    <w:rsid w:val="0007204D"/>
    <w:rsid w:val="00075366"/>
    <w:rsid w:val="0007578F"/>
    <w:rsid w:val="00076198"/>
    <w:rsid w:val="0007647E"/>
    <w:rsid w:val="00076605"/>
    <w:rsid w:val="000803AB"/>
    <w:rsid w:val="000804EF"/>
    <w:rsid w:val="000818C9"/>
    <w:rsid w:val="00081CBB"/>
    <w:rsid w:val="0008228E"/>
    <w:rsid w:val="00082A53"/>
    <w:rsid w:val="000833BB"/>
    <w:rsid w:val="00083966"/>
    <w:rsid w:val="00083DFB"/>
    <w:rsid w:val="000854AD"/>
    <w:rsid w:val="000858C0"/>
    <w:rsid w:val="00086820"/>
    <w:rsid w:val="00090415"/>
    <w:rsid w:val="00090A61"/>
    <w:rsid w:val="000915C4"/>
    <w:rsid w:val="00091E21"/>
    <w:rsid w:val="00092327"/>
    <w:rsid w:val="00092459"/>
    <w:rsid w:val="00093459"/>
    <w:rsid w:val="00093B8B"/>
    <w:rsid w:val="00093E27"/>
    <w:rsid w:val="00094E22"/>
    <w:rsid w:val="00096F37"/>
    <w:rsid w:val="000976AD"/>
    <w:rsid w:val="00097DB4"/>
    <w:rsid w:val="000A0354"/>
    <w:rsid w:val="000A091F"/>
    <w:rsid w:val="000A0FCC"/>
    <w:rsid w:val="000A1D63"/>
    <w:rsid w:val="000A2877"/>
    <w:rsid w:val="000A3650"/>
    <w:rsid w:val="000A5FD9"/>
    <w:rsid w:val="000A6437"/>
    <w:rsid w:val="000A65FA"/>
    <w:rsid w:val="000A740A"/>
    <w:rsid w:val="000A7E7F"/>
    <w:rsid w:val="000A7ECD"/>
    <w:rsid w:val="000B0BCE"/>
    <w:rsid w:val="000B0F01"/>
    <w:rsid w:val="000B18A4"/>
    <w:rsid w:val="000B1914"/>
    <w:rsid w:val="000B39C3"/>
    <w:rsid w:val="000B4E3E"/>
    <w:rsid w:val="000B553E"/>
    <w:rsid w:val="000B591D"/>
    <w:rsid w:val="000B6B0B"/>
    <w:rsid w:val="000B7DAF"/>
    <w:rsid w:val="000C0398"/>
    <w:rsid w:val="000C0854"/>
    <w:rsid w:val="000C0B3C"/>
    <w:rsid w:val="000C24AE"/>
    <w:rsid w:val="000C289B"/>
    <w:rsid w:val="000C348E"/>
    <w:rsid w:val="000C35E1"/>
    <w:rsid w:val="000C4E24"/>
    <w:rsid w:val="000C5C4A"/>
    <w:rsid w:val="000C6C84"/>
    <w:rsid w:val="000C75D3"/>
    <w:rsid w:val="000C777A"/>
    <w:rsid w:val="000C7833"/>
    <w:rsid w:val="000D1031"/>
    <w:rsid w:val="000D1CE9"/>
    <w:rsid w:val="000D35FD"/>
    <w:rsid w:val="000D4653"/>
    <w:rsid w:val="000D4817"/>
    <w:rsid w:val="000D4FB9"/>
    <w:rsid w:val="000D54B4"/>
    <w:rsid w:val="000D6E4A"/>
    <w:rsid w:val="000D74AA"/>
    <w:rsid w:val="000D7794"/>
    <w:rsid w:val="000D7B14"/>
    <w:rsid w:val="000E10C3"/>
    <w:rsid w:val="000E191F"/>
    <w:rsid w:val="000E1B28"/>
    <w:rsid w:val="000E1DF3"/>
    <w:rsid w:val="000E30F2"/>
    <w:rsid w:val="000E318F"/>
    <w:rsid w:val="000E3D08"/>
    <w:rsid w:val="000E4D1F"/>
    <w:rsid w:val="000E55DA"/>
    <w:rsid w:val="000E5658"/>
    <w:rsid w:val="000E5698"/>
    <w:rsid w:val="000E600F"/>
    <w:rsid w:val="000E65D2"/>
    <w:rsid w:val="000E6906"/>
    <w:rsid w:val="000E6919"/>
    <w:rsid w:val="000F24EC"/>
    <w:rsid w:val="000F2F26"/>
    <w:rsid w:val="000F4E4E"/>
    <w:rsid w:val="000F53D6"/>
    <w:rsid w:val="000F6505"/>
    <w:rsid w:val="000F6833"/>
    <w:rsid w:val="000F6C1F"/>
    <w:rsid w:val="000F6F9A"/>
    <w:rsid w:val="000F754B"/>
    <w:rsid w:val="000F75C1"/>
    <w:rsid w:val="000F7ABA"/>
    <w:rsid w:val="00101AC0"/>
    <w:rsid w:val="00102D93"/>
    <w:rsid w:val="00102FBF"/>
    <w:rsid w:val="00103838"/>
    <w:rsid w:val="00104827"/>
    <w:rsid w:val="001050D1"/>
    <w:rsid w:val="001055AD"/>
    <w:rsid w:val="00106D14"/>
    <w:rsid w:val="001108B2"/>
    <w:rsid w:val="0011108B"/>
    <w:rsid w:val="0011203D"/>
    <w:rsid w:val="001128BF"/>
    <w:rsid w:val="00112E4F"/>
    <w:rsid w:val="001131DD"/>
    <w:rsid w:val="00115D55"/>
    <w:rsid w:val="00115E45"/>
    <w:rsid w:val="00117B7D"/>
    <w:rsid w:val="0012041E"/>
    <w:rsid w:val="00121DC0"/>
    <w:rsid w:val="00122BE7"/>
    <w:rsid w:val="001232EC"/>
    <w:rsid w:val="00123CB8"/>
    <w:rsid w:val="00124DF8"/>
    <w:rsid w:val="0012509C"/>
    <w:rsid w:val="00125B99"/>
    <w:rsid w:val="00126160"/>
    <w:rsid w:val="0013042A"/>
    <w:rsid w:val="001304B2"/>
    <w:rsid w:val="0013089C"/>
    <w:rsid w:val="00131BF0"/>
    <w:rsid w:val="00131F17"/>
    <w:rsid w:val="001323F9"/>
    <w:rsid w:val="0013251F"/>
    <w:rsid w:val="00133346"/>
    <w:rsid w:val="001334C4"/>
    <w:rsid w:val="00134477"/>
    <w:rsid w:val="00134990"/>
    <w:rsid w:val="00134A73"/>
    <w:rsid w:val="00135A71"/>
    <w:rsid w:val="0013777C"/>
    <w:rsid w:val="00137D57"/>
    <w:rsid w:val="00140C2F"/>
    <w:rsid w:val="00140D07"/>
    <w:rsid w:val="0014139A"/>
    <w:rsid w:val="001427B5"/>
    <w:rsid w:val="001431A1"/>
    <w:rsid w:val="00144013"/>
    <w:rsid w:val="00145A17"/>
    <w:rsid w:val="00146DCA"/>
    <w:rsid w:val="001475AD"/>
    <w:rsid w:val="00147884"/>
    <w:rsid w:val="00147B0F"/>
    <w:rsid w:val="00150B0D"/>
    <w:rsid w:val="00151BAE"/>
    <w:rsid w:val="00152289"/>
    <w:rsid w:val="00152901"/>
    <w:rsid w:val="0015339A"/>
    <w:rsid w:val="00153956"/>
    <w:rsid w:val="00153B0A"/>
    <w:rsid w:val="00154146"/>
    <w:rsid w:val="001549BA"/>
    <w:rsid w:val="00154E2B"/>
    <w:rsid w:val="00155C85"/>
    <w:rsid w:val="00156B10"/>
    <w:rsid w:val="00157A60"/>
    <w:rsid w:val="00157B8E"/>
    <w:rsid w:val="00160503"/>
    <w:rsid w:val="001614ED"/>
    <w:rsid w:val="00163826"/>
    <w:rsid w:val="00163BA1"/>
    <w:rsid w:val="00163D2D"/>
    <w:rsid w:val="0016423D"/>
    <w:rsid w:val="00164570"/>
    <w:rsid w:val="00164D1F"/>
    <w:rsid w:val="00165CCC"/>
    <w:rsid w:val="0016642A"/>
    <w:rsid w:val="00167D4D"/>
    <w:rsid w:val="00167F06"/>
    <w:rsid w:val="00171ADB"/>
    <w:rsid w:val="00172029"/>
    <w:rsid w:val="001720E5"/>
    <w:rsid w:val="00172AAC"/>
    <w:rsid w:val="001731AD"/>
    <w:rsid w:val="00174368"/>
    <w:rsid w:val="00174716"/>
    <w:rsid w:val="00174D82"/>
    <w:rsid w:val="00175053"/>
    <w:rsid w:val="00175873"/>
    <w:rsid w:val="00175C59"/>
    <w:rsid w:val="00176287"/>
    <w:rsid w:val="00176818"/>
    <w:rsid w:val="00176E3B"/>
    <w:rsid w:val="00177138"/>
    <w:rsid w:val="0017752D"/>
    <w:rsid w:val="00177832"/>
    <w:rsid w:val="00177D46"/>
    <w:rsid w:val="00181EAC"/>
    <w:rsid w:val="00183844"/>
    <w:rsid w:val="00183911"/>
    <w:rsid w:val="00184648"/>
    <w:rsid w:val="001849F1"/>
    <w:rsid w:val="00186096"/>
    <w:rsid w:val="00187049"/>
    <w:rsid w:val="00190804"/>
    <w:rsid w:val="001932DC"/>
    <w:rsid w:val="001941C1"/>
    <w:rsid w:val="00194FE8"/>
    <w:rsid w:val="00195530"/>
    <w:rsid w:val="001958E3"/>
    <w:rsid w:val="00195F0F"/>
    <w:rsid w:val="00196048"/>
    <w:rsid w:val="0019769B"/>
    <w:rsid w:val="001A0D25"/>
    <w:rsid w:val="001A1C64"/>
    <w:rsid w:val="001A2918"/>
    <w:rsid w:val="001A49A7"/>
    <w:rsid w:val="001A698A"/>
    <w:rsid w:val="001A71C9"/>
    <w:rsid w:val="001A7237"/>
    <w:rsid w:val="001A760C"/>
    <w:rsid w:val="001B11EA"/>
    <w:rsid w:val="001B1E79"/>
    <w:rsid w:val="001B3564"/>
    <w:rsid w:val="001B3AE0"/>
    <w:rsid w:val="001B5154"/>
    <w:rsid w:val="001B6401"/>
    <w:rsid w:val="001C0F05"/>
    <w:rsid w:val="001C12A3"/>
    <w:rsid w:val="001C3308"/>
    <w:rsid w:val="001C373E"/>
    <w:rsid w:val="001C40D1"/>
    <w:rsid w:val="001C4DA8"/>
    <w:rsid w:val="001C5103"/>
    <w:rsid w:val="001C6120"/>
    <w:rsid w:val="001C6B5C"/>
    <w:rsid w:val="001D039B"/>
    <w:rsid w:val="001D0E79"/>
    <w:rsid w:val="001D3E0C"/>
    <w:rsid w:val="001D3E15"/>
    <w:rsid w:val="001D47C5"/>
    <w:rsid w:val="001D4A9D"/>
    <w:rsid w:val="001D5AFA"/>
    <w:rsid w:val="001D5FB5"/>
    <w:rsid w:val="001D6ED6"/>
    <w:rsid w:val="001E01FD"/>
    <w:rsid w:val="001E067C"/>
    <w:rsid w:val="001E07C5"/>
    <w:rsid w:val="001E1BCE"/>
    <w:rsid w:val="001E2549"/>
    <w:rsid w:val="001E2629"/>
    <w:rsid w:val="001E2B4C"/>
    <w:rsid w:val="001E3629"/>
    <w:rsid w:val="001E40F0"/>
    <w:rsid w:val="001E4211"/>
    <w:rsid w:val="001E5102"/>
    <w:rsid w:val="001E5FA6"/>
    <w:rsid w:val="001E70AD"/>
    <w:rsid w:val="001F0A4A"/>
    <w:rsid w:val="001F0FC3"/>
    <w:rsid w:val="001F1ED5"/>
    <w:rsid w:val="001F2701"/>
    <w:rsid w:val="001F274F"/>
    <w:rsid w:val="001F289C"/>
    <w:rsid w:val="001F2A4D"/>
    <w:rsid w:val="001F3D86"/>
    <w:rsid w:val="001F425A"/>
    <w:rsid w:val="001F6874"/>
    <w:rsid w:val="001F7F67"/>
    <w:rsid w:val="00202F25"/>
    <w:rsid w:val="002035B3"/>
    <w:rsid w:val="00204460"/>
    <w:rsid w:val="002051EA"/>
    <w:rsid w:val="00206DAE"/>
    <w:rsid w:val="002074B7"/>
    <w:rsid w:val="00212CBE"/>
    <w:rsid w:val="0021415E"/>
    <w:rsid w:val="002145EB"/>
    <w:rsid w:val="00214F49"/>
    <w:rsid w:val="002151D9"/>
    <w:rsid w:val="00215CC2"/>
    <w:rsid w:val="0022085B"/>
    <w:rsid w:val="00220E53"/>
    <w:rsid w:val="0022176C"/>
    <w:rsid w:val="002225D1"/>
    <w:rsid w:val="00222A07"/>
    <w:rsid w:val="00223F1F"/>
    <w:rsid w:val="002256C2"/>
    <w:rsid w:val="002256D0"/>
    <w:rsid w:val="00225B1A"/>
    <w:rsid w:val="00225EA2"/>
    <w:rsid w:val="002266CB"/>
    <w:rsid w:val="00226987"/>
    <w:rsid w:val="00227052"/>
    <w:rsid w:val="00227798"/>
    <w:rsid w:val="00231FA1"/>
    <w:rsid w:val="0023380D"/>
    <w:rsid w:val="00235B8E"/>
    <w:rsid w:val="00236248"/>
    <w:rsid w:val="0023639E"/>
    <w:rsid w:val="00240204"/>
    <w:rsid w:val="0024065B"/>
    <w:rsid w:val="00241132"/>
    <w:rsid w:val="0024176F"/>
    <w:rsid w:val="002417D8"/>
    <w:rsid w:val="00241BC3"/>
    <w:rsid w:val="00241BFE"/>
    <w:rsid w:val="00244522"/>
    <w:rsid w:val="00244AFB"/>
    <w:rsid w:val="002453DF"/>
    <w:rsid w:val="00245579"/>
    <w:rsid w:val="00245EF8"/>
    <w:rsid w:val="00245F9B"/>
    <w:rsid w:val="00246791"/>
    <w:rsid w:val="00246B86"/>
    <w:rsid w:val="00247CBE"/>
    <w:rsid w:val="00250ADA"/>
    <w:rsid w:val="0025164F"/>
    <w:rsid w:val="00251A34"/>
    <w:rsid w:val="00252012"/>
    <w:rsid w:val="0025240A"/>
    <w:rsid w:val="002528E3"/>
    <w:rsid w:val="00252D82"/>
    <w:rsid w:val="00255110"/>
    <w:rsid w:val="002553DE"/>
    <w:rsid w:val="00255E14"/>
    <w:rsid w:val="00256E38"/>
    <w:rsid w:val="00257CBC"/>
    <w:rsid w:val="00260802"/>
    <w:rsid w:val="00261223"/>
    <w:rsid w:val="00261D08"/>
    <w:rsid w:val="00262162"/>
    <w:rsid w:val="0026216F"/>
    <w:rsid w:val="002624D0"/>
    <w:rsid w:val="00262FF6"/>
    <w:rsid w:val="002630D5"/>
    <w:rsid w:val="0026380E"/>
    <w:rsid w:val="00264B06"/>
    <w:rsid w:val="00264C1B"/>
    <w:rsid w:val="00265749"/>
    <w:rsid w:val="0026593B"/>
    <w:rsid w:val="002674FE"/>
    <w:rsid w:val="0027048E"/>
    <w:rsid w:val="00270F4F"/>
    <w:rsid w:val="00271875"/>
    <w:rsid w:val="002718FF"/>
    <w:rsid w:val="00272182"/>
    <w:rsid w:val="00273E68"/>
    <w:rsid w:val="00274558"/>
    <w:rsid w:val="00274CAB"/>
    <w:rsid w:val="00274E8A"/>
    <w:rsid w:val="00275615"/>
    <w:rsid w:val="002757E1"/>
    <w:rsid w:val="00275858"/>
    <w:rsid w:val="00275D2D"/>
    <w:rsid w:val="002766B8"/>
    <w:rsid w:val="0027680F"/>
    <w:rsid w:val="00276AFC"/>
    <w:rsid w:val="00277365"/>
    <w:rsid w:val="00280E52"/>
    <w:rsid w:val="00281CF2"/>
    <w:rsid w:val="00281EEA"/>
    <w:rsid w:val="002829B7"/>
    <w:rsid w:val="00282BCA"/>
    <w:rsid w:val="00283426"/>
    <w:rsid w:val="00283B11"/>
    <w:rsid w:val="002841A9"/>
    <w:rsid w:val="002841B2"/>
    <w:rsid w:val="00284313"/>
    <w:rsid w:val="00284317"/>
    <w:rsid w:val="0028460D"/>
    <w:rsid w:val="00285154"/>
    <w:rsid w:val="00285C78"/>
    <w:rsid w:val="00285E46"/>
    <w:rsid w:val="0029042F"/>
    <w:rsid w:val="0029049A"/>
    <w:rsid w:val="00291527"/>
    <w:rsid w:val="00292A24"/>
    <w:rsid w:val="00293146"/>
    <w:rsid w:val="002935DB"/>
    <w:rsid w:val="00293D68"/>
    <w:rsid w:val="002944A0"/>
    <w:rsid w:val="002946E4"/>
    <w:rsid w:val="002957D9"/>
    <w:rsid w:val="00295B52"/>
    <w:rsid w:val="00296AF7"/>
    <w:rsid w:val="002972F9"/>
    <w:rsid w:val="00297B78"/>
    <w:rsid w:val="002A0007"/>
    <w:rsid w:val="002A03AA"/>
    <w:rsid w:val="002A0A0C"/>
    <w:rsid w:val="002A208F"/>
    <w:rsid w:val="002A2941"/>
    <w:rsid w:val="002A3691"/>
    <w:rsid w:val="002A38EB"/>
    <w:rsid w:val="002A3E69"/>
    <w:rsid w:val="002A5107"/>
    <w:rsid w:val="002A5261"/>
    <w:rsid w:val="002A535E"/>
    <w:rsid w:val="002A5ED2"/>
    <w:rsid w:val="002A6406"/>
    <w:rsid w:val="002A6A5C"/>
    <w:rsid w:val="002A6CAB"/>
    <w:rsid w:val="002A7A57"/>
    <w:rsid w:val="002B0176"/>
    <w:rsid w:val="002B1365"/>
    <w:rsid w:val="002B1426"/>
    <w:rsid w:val="002B1699"/>
    <w:rsid w:val="002B23D0"/>
    <w:rsid w:val="002B5101"/>
    <w:rsid w:val="002B66AC"/>
    <w:rsid w:val="002B6CCC"/>
    <w:rsid w:val="002B6DB3"/>
    <w:rsid w:val="002B6F64"/>
    <w:rsid w:val="002B72C1"/>
    <w:rsid w:val="002B7350"/>
    <w:rsid w:val="002C0A96"/>
    <w:rsid w:val="002C54E8"/>
    <w:rsid w:val="002C5776"/>
    <w:rsid w:val="002C5ABF"/>
    <w:rsid w:val="002C5EED"/>
    <w:rsid w:val="002C66DE"/>
    <w:rsid w:val="002C7B45"/>
    <w:rsid w:val="002D0FA7"/>
    <w:rsid w:val="002D12FB"/>
    <w:rsid w:val="002D167B"/>
    <w:rsid w:val="002D23C6"/>
    <w:rsid w:val="002D25EB"/>
    <w:rsid w:val="002D6AC4"/>
    <w:rsid w:val="002D6D10"/>
    <w:rsid w:val="002D70D7"/>
    <w:rsid w:val="002D7281"/>
    <w:rsid w:val="002E0B67"/>
    <w:rsid w:val="002E0BAA"/>
    <w:rsid w:val="002E283F"/>
    <w:rsid w:val="002E2F27"/>
    <w:rsid w:val="002E32D2"/>
    <w:rsid w:val="002E5870"/>
    <w:rsid w:val="002E59AB"/>
    <w:rsid w:val="002E617F"/>
    <w:rsid w:val="002E739D"/>
    <w:rsid w:val="002F0704"/>
    <w:rsid w:val="002F26F6"/>
    <w:rsid w:val="002F46B0"/>
    <w:rsid w:val="002F58C2"/>
    <w:rsid w:val="00300388"/>
    <w:rsid w:val="00300498"/>
    <w:rsid w:val="00300DEF"/>
    <w:rsid w:val="00302142"/>
    <w:rsid w:val="00302169"/>
    <w:rsid w:val="00302F11"/>
    <w:rsid w:val="00303254"/>
    <w:rsid w:val="003044D9"/>
    <w:rsid w:val="00305216"/>
    <w:rsid w:val="0030555B"/>
    <w:rsid w:val="00306587"/>
    <w:rsid w:val="0030739C"/>
    <w:rsid w:val="00311C92"/>
    <w:rsid w:val="00313E5E"/>
    <w:rsid w:val="003151CB"/>
    <w:rsid w:val="00316EC7"/>
    <w:rsid w:val="00316EFB"/>
    <w:rsid w:val="003170F4"/>
    <w:rsid w:val="00320B3E"/>
    <w:rsid w:val="00321083"/>
    <w:rsid w:val="00321625"/>
    <w:rsid w:val="003216D5"/>
    <w:rsid w:val="003219D5"/>
    <w:rsid w:val="00321C1A"/>
    <w:rsid w:val="00322BE5"/>
    <w:rsid w:val="003245C1"/>
    <w:rsid w:val="00324B25"/>
    <w:rsid w:val="003253C4"/>
    <w:rsid w:val="003256CF"/>
    <w:rsid w:val="00325B74"/>
    <w:rsid w:val="00327C7C"/>
    <w:rsid w:val="00327C8D"/>
    <w:rsid w:val="00327D37"/>
    <w:rsid w:val="00330AE9"/>
    <w:rsid w:val="00332191"/>
    <w:rsid w:val="003337E8"/>
    <w:rsid w:val="0033539B"/>
    <w:rsid w:val="0033596B"/>
    <w:rsid w:val="00335B98"/>
    <w:rsid w:val="0033650E"/>
    <w:rsid w:val="0033721A"/>
    <w:rsid w:val="00340BA5"/>
    <w:rsid w:val="00340BFB"/>
    <w:rsid w:val="00340EA0"/>
    <w:rsid w:val="00342181"/>
    <w:rsid w:val="00342512"/>
    <w:rsid w:val="0034350D"/>
    <w:rsid w:val="00343A20"/>
    <w:rsid w:val="003449A0"/>
    <w:rsid w:val="00344EDF"/>
    <w:rsid w:val="0034511E"/>
    <w:rsid w:val="00346405"/>
    <w:rsid w:val="00346461"/>
    <w:rsid w:val="00346C72"/>
    <w:rsid w:val="00347834"/>
    <w:rsid w:val="003506DE"/>
    <w:rsid w:val="00350DF8"/>
    <w:rsid w:val="00352551"/>
    <w:rsid w:val="0035279C"/>
    <w:rsid w:val="003536BD"/>
    <w:rsid w:val="003548F0"/>
    <w:rsid w:val="003554AF"/>
    <w:rsid w:val="003557EB"/>
    <w:rsid w:val="003558CC"/>
    <w:rsid w:val="00357424"/>
    <w:rsid w:val="00357EE2"/>
    <w:rsid w:val="0036001E"/>
    <w:rsid w:val="00360470"/>
    <w:rsid w:val="00360C74"/>
    <w:rsid w:val="00360D2F"/>
    <w:rsid w:val="0036165A"/>
    <w:rsid w:val="00361789"/>
    <w:rsid w:val="003627BD"/>
    <w:rsid w:val="00362880"/>
    <w:rsid w:val="00362997"/>
    <w:rsid w:val="00362C59"/>
    <w:rsid w:val="00363040"/>
    <w:rsid w:val="00363FD2"/>
    <w:rsid w:val="00364634"/>
    <w:rsid w:val="00365CD9"/>
    <w:rsid w:val="003668F4"/>
    <w:rsid w:val="00367E49"/>
    <w:rsid w:val="003700E6"/>
    <w:rsid w:val="003713E2"/>
    <w:rsid w:val="00371C86"/>
    <w:rsid w:val="00374BAD"/>
    <w:rsid w:val="00375AF1"/>
    <w:rsid w:val="00375FC5"/>
    <w:rsid w:val="00377740"/>
    <w:rsid w:val="003778B2"/>
    <w:rsid w:val="00377FF2"/>
    <w:rsid w:val="0038062E"/>
    <w:rsid w:val="003807F7"/>
    <w:rsid w:val="0038167C"/>
    <w:rsid w:val="003817B8"/>
    <w:rsid w:val="00382106"/>
    <w:rsid w:val="00382657"/>
    <w:rsid w:val="00382A4E"/>
    <w:rsid w:val="00382B82"/>
    <w:rsid w:val="003837C6"/>
    <w:rsid w:val="0038405A"/>
    <w:rsid w:val="00384698"/>
    <w:rsid w:val="00384F31"/>
    <w:rsid w:val="00387576"/>
    <w:rsid w:val="00391130"/>
    <w:rsid w:val="00391247"/>
    <w:rsid w:val="00391D5A"/>
    <w:rsid w:val="00391FF9"/>
    <w:rsid w:val="0039227D"/>
    <w:rsid w:val="00392454"/>
    <w:rsid w:val="0039746C"/>
    <w:rsid w:val="003A1080"/>
    <w:rsid w:val="003A11F4"/>
    <w:rsid w:val="003A184D"/>
    <w:rsid w:val="003A3CE6"/>
    <w:rsid w:val="003A455C"/>
    <w:rsid w:val="003A5901"/>
    <w:rsid w:val="003A7811"/>
    <w:rsid w:val="003A7CEA"/>
    <w:rsid w:val="003B0BB0"/>
    <w:rsid w:val="003B1135"/>
    <w:rsid w:val="003B11EE"/>
    <w:rsid w:val="003B15F8"/>
    <w:rsid w:val="003B230B"/>
    <w:rsid w:val="003B23BC"/>
    <w:rsid w:val="003B3966"/>
    <w:rsid w:val="003B46FA"/>
    <w:rsid w:val="003B4F59"/>
    <w:rsid w:val="003B5F6A"/>
    <w:rsid w:val="003B6184"/>
    <w:rsid w:val="003B6B7F"/>
    <w:rsid w:val="003B7021"/>
    <w:rsid w:val="003C0C12"/>
    <w:rsid w:val="003C1552"/>
    <w:rsid w:val="003C20ED"/>
    <w:rsid w:val="003C25B6"/>
    <w:rsid w:val="003C29C0"/>
    <w:rsid w:val="003C2AF8"/>
    <w:rsid w:val="003C345E"/>
    <w:rsid w:val="003C424E"/>
    <w:rsid w:val="003C4519"/>
    <w:rsid w:val="003C4E37"/>
    <w:rsid w:val="003C5666"/>
    <w:rsid w:val="003C6323"/>
    <w:rsid w:val="003C63DA"/>
    <w:rsid w:val="003C698E"/>
    <w:rsid w:val="003C723B"/>
    <w:rsid w:val="003D0185"/>
    <w:rsid w:val="003D02CB"/>
    <w:rsid w:val="003D191E"/>
    <w:rsid w:val="003D1A90"/>
    <w:rsid w:val="003D3414"/>
    <w:rsid w:val="003D3C7D"/>
    <w:rsid w:val="003D6268"/>
    <w:rsid w:val="003D78CC"/>
    <w:rsid w:val="003D7D01"/>
    <w:rsid w:val="003E057E"/>
    <w:rsid w:val="003E245E"/>
    <w:rsid w:val="003E2A00"/>
    <w:rsid w:val="003E2E02"/>
    <w:rsid w:val="003E382C"/>
    <w:rsid w:val="003E4531"/>
    <w:rsid w:val="003E4C4E"/>
    <w:rsid w:val="003E534A"/>
    <w:rsid w:val="003E7113"/>
    <w:rsid w:val="003E77DC"/>
    <w:rsid w:val="003F0ABF"/>
    <w:rsid w:val="003F12A0"/>
    <w:rsid w:val="003F144A"/>
    <w:rsid w:val="003F1B02"/>
    <w:rsid w:val="003F2240"/>
    <w:rsid w:val="003F574E"/>
    <w:rsid w:val="003F6A02"/>
    <w:rsid w:val="00400A9F"/>
    <w:rsid w:val="00401621"/>
    <w:rsid w:val="004021C0"/>
    <w:rsid w:val="00402D96"/>
    <w:rsid w:val="00403792"/>
    <w:rsid w:val="00403DD9"/>
    <w:rsid w:val="00404970"/>
    <w:rsid w:val="00405181"/>
    <w:rsid w:val="00405F09"/>
    <w:rsid w:val="004066F4"/>
    <w:rsid w:val="00406FCC"/>
    <w:rsid w:val="00407AEC"/>
    <w:rsid w:val="00407E86"/>
    <w:rsid w:val="00410D29"/>
    <w:rsid w:val="00410FCB"/>
    <w:rsid w:val="00411192"/>
    <w:rsid w:val="00411DDE"/>
    <w:rsid w:val="004121A1"/>
    <w:rsid w:val="00416C56"/>
    <w:rsid w:val="00417B99"/>
    <w:rsid w:val="00417CD5"/>
    <w:rsid w:val="00421FB5"/>
    <w:rsid w:val="00422042"/>
    <w:rsid w:val="004235F4"/>
    <w:rsid w:val="00423E18"/>
    <w:rsid w:val="00423E68"/>
    <w:rsid w:val="0042500C"/>
    <w:rsid w:val="00425D02"/>
    <w:rsid w:val="00426BA5"/>
    <w:rsid w:val="004302EA"/>
    <w:rsid w:val="004305C0"/>
    <w:rsid w:val="0043227C"/>
    <w:rsid w:val="0043254C"/>
    <w:rsid w:val="00432C20"/>
    <w:rsid w:val="00433014"/>
    <w:rsid w:val="0043571B"/>
    <w:rsid w:val="0043610C"/>
    <w:rsid w:val="00437096"/>
    <w:rsid w:val="004439B2"/>
    <w:rsid w:val="00444263"/>
    <w:rsid w:val="00444F55"/>
    <w:rsid w:val="00445DA5"/>
    <w:rsid w:val="00445E38"/>
    <w:rsid w:val="004466F7"/>
    <w:rsid w:val="00446A4D"/>
    <w:rsid w:val="00447304"/>
    <w:rsid w:val="0045075F"/>
    <w:rsid w:val="0045205C"/>
    <w:rsid w:val="0045298E"/>
    <w:rsid w:val="004545D1"/>
    <w:rsid w:val="004548DF"/>
    <w:rsid w:val="00457B29"/>
    <w:rsid w:val="00457CB7"/>
    <w:rsid w:val="00460C35"/>
    <w:rsid w:val="00460EB8"/>
    <w:rsid w:val="00461C43"/>
    <w:rsid w:val="00461D02"/>
    <w:rsid w:val="00462079"/>
    <w:rsid w:val="0046334D"/>
    <w:rsid w:val="004633AE"/>
    <w:rsid w:val="00463C95"/>
    <w:rsid w:val="00463E1C"/>
    <w:rsid w:val="00465153"/>
    <w:rsid w:val="00465602"/>
    <w:rsid w:val="00465980"/>
    <w:rsid w:val="004671B6"/>
    <w:rsid w:val="00467E99"/>
    <w:rsid w:val="004710CD"/>
    <w:rsid w:val="00471CFF"/>
    <w:rsid w:val="00471D12"/>
    <w:rsid w:val="004724C9"/>
    <w:rsid w:val="00473183"/>
    <w:rsid w:val="0047428C"/>
    <w:rsid w:val="00474DD1"/>
    <w:rsid w:val="004757DD"/>
    <w:rsid w:val="00475A2A"/>
    <w:rsid w:val="00475A6C"/>
    <w:rsid w:val="00475DA4"/>
    <w:rsid w:val="004764AF"/>
    <w:rsid w:val="00477AF6"/>
    <w:rsid w:val="00477B3B"/>
    <w:rsid w:val="004801A7"/>
    <w:rsid w:val="00481666"/>
    <w:rsid w:val="004820C5"/>
    <w:rsid w:val="004826A0"/>
    <w:rsid w:val="0048370C"/>
    <w:rsid w:val="00484449"/>
    <w:rsid w:val="00485C42"/>
    <w:rsid w:val="00485F92"/>
    <w:rsid w:val="00486D61"/>
    <w:rsid w:val="00491E87"/>
    <w:rsid w:val="004924D0"/>
    <w:rsid w:val="0049291F"/>
    <w:rsid w:val="004936DE"/>
    <w:rsid w:val="00493892"/>
    <w:rsid w:val="00494407"/>
    <w:rsid w:val="00494B51"/>
    <w:rsid w:val="00494B7D"/>
    <w:rsid w:val="0049544E"/>
    <w:rsid w:val="00496408"/>
    <w:rsid w:val="00496CC0"/>
    <w:rsid w:val="004A03C4"/>
    <w:rsid w:val="004A29A5"/>
    <w:rsid w:val="004A3225"/>
    <w:rsid w:val="004A3EFA"/>
    <w:rsid w:val="004A480D"/>
    <w:rsid w:val="004A7D49"/>
    <w:rsid w:val="004B0BC7"/>
    <w:rsid w:val="004B0E3E"/>
    <w:rsid w:val="004B1233"/>
    <w:rsid w:val="004B27B0"/>
    <w:rsid w:val="004B3F00"/>
    <w:rsid w:val="004B44A9"/>
    <w:rsid w:val="004B4871"/>
    <w:rsid w:val="004B5527"/>
    <w:rsid w:val="004B5914"/>
    <w:rsid w:val="004B7002"/>
    <w:rsid w:val="004B7995"/>
    <w:rsid w:val="004C1388"/>
    <w:rsid w:val="004C1C3E"/>
    <w:rsid w:val="004C3A76"/>
    <w:rsid w:val="004C3FD7"/>
    <w:rsid w:val="004C428E"/>
    <w:rsid w:val="004C4775"/>
    <w:rsid w:val="004C483D"/>
    <w:rsid w:val="004C51D4"/>
    <w:rsid w:val="004C63C7"/>
    <w:rsid w:val="004C644B"/>
    <w:rsid w:val="004C79AB"/>
    <w:rsid w:val="004D039E"/>
    <w:rsid w:val="004D0C9F"/>
    <w:rsid w:val="004D10FB"/>
    <w:rsid w:val="004D1311"/>
    <w:rsid w:val="004D16CA"/>
    <w:rsid w:val="004D1F7F"/>
    <w:rsid w:val="004D2369"/>
    <w:rsid w:val="004D39DA"/>
    <w:rsid w:val="004D518F"/>
    <w:rsid w:val="004D5BB7"/>
    <w:rsid w:val="004D6053"/>
    <w:rsid w:val="004D6606"/>
    <w:rsid w:val="004D69CA"/>
    <w:rsid w:val="004D6DE9"/>
    <w:rsid w:val="004D6FA4"/>
    <w:rsid w:val="004E03AB"/>
    <w:rsid w:val="004E0A89"/>
    <w:rsid w:val="004E1163"/>
    <w:rsid w:val="004E3050"/>
    <w:rsid w:val="004E315E"/>
    <w:rsid w:val="004E3F72"/>
    <w:rsid w:val="004E4A78"/>
    <w:rsid w:val="004E54F9"/>
    <w:rsid w:val="004E5994"/>
    <w:rsid w:val="004E7EC0"/>
    <w:rsid w:val="004E7F48"/>
    <w:rsid w:val="004F014E"/>
    <w:rsid w:val="004F0875"/>
    <w:rsid w:val="004F0992"/>
    <w:rsid w:val="004F3319"/>
    <w:rsid w:val="004F356D"/>
    <w:rsid w:val="004F3BD2"/>
    <w:rsid w:val="004F45EB"/>
    <w:rsid w:val="004F5582"/>
    <w:rsid w:val="004F58FD"/>
    <w:rsid w:val="004F59B8"/>
    <w:rsid w:val="004F62A7"/>
    <w:rsid w:val="004F63FF"/>
    <w:rsid w:val="004F66B3"/>
    <w:rsid w:val="00501134"/>
    <w:rsid w:val="00501295"/>
    <w:rsid w:val="00501C79"/>
    <w:rsid w:val="00502E3A"/>
    <w:rsid w:val="005040D9"/>
    <w:rsid w:val="00504940"/>
    <w:rsid w:val="00504A9B"/>
    <w:rsid w:val="00504F83"/>
    <w:rsid w:val="00506F18"/>
    <w:rsid w:val="005074FF"/>
    <w:rsid w:val="00507C56"/>
    <w:rsid w:val="00507E3F"/>
    <w:rsid w:val="00510305"/>
    <w:rsid w:val="005109D4"/>
    <w:rsid w:val="00510E6A"/>
    <w:rsid w:val="0051160A"/>
    <w:rsid w:val="005118BA"/>
    <w:rsid w:val="00511C13"/>
    <w:rsid w:val="00511E3D"/>
    <w:rsid w:val="00512B6D"/>
    <w:rsid w:val="00512F5E"/>
    <w:rsid w:val="0051512B"/>
    <w:rsid w:val="00516347"/>
    <w:rsid w:val="00517007"/>
    <w:rsid w:val="00521A49"/>
    <w:rsid w:val="00525A53"/>
    <w:rsid w:val="005271B1"/>
    <w:rsid w:val="00530582"/>
    <w:rsid w:val="00530AC4"/>
    <w:rsid w:val="00532421"/>
    <w:rsid w:val="00533169"/>
    <w:rsid w:val="00534CDC"/>
    <w:rsid w:val="005400BF"/>
    <w:rsid w:val="00540A00"/>
    <w:rsid w:val="00540B49"/>
    <w:rsid w:val="00541D93"/>
    <w:rsid w:val="005475DB"/>
    <w:rsid w:val="00547F04"/>
    <w:rsid w:val="00550924"/>
    <w:rsid w:val="00550EF1"/>
    <w:rsid w:val="00552BF4"/>
    <w:rsid w:val="00553B6D"/>
    <w:rsid w:val="00554E95"/>
    <w:rsid w:val="00555007"/>
    <w:rsid w:val="00555161"/>
    <w:rsid w:val="00555DE6"/>
    <w:rsid w:val="0056040A"/>
    <w:rsid w:val="0056044B"/>
    <w:rsid w:val="00563BD0"/>
    <w:rsid w:val="00563D62"/>
    <w:rsid w:val="00564628"/>
    <w:rsid w:val="00565755"/>
    <w:rsid w:val="00566769"/>
    <w:rsid w:val="00566C46"/>
    <w:rsid w:val="00566F96"/>
    <w:rsid w:val="0056725A"/>
    <w:rsid w:val="0056741F"/>
    <w:rsid w:val="00570102"/>
    <w:rsid w:val="005703C2"/>
    <w:rsid w:val="00570505"/>
    <w:rsid w:val="005705E2"/>
    <w:rsid w:val="005711DD"/>
    <w:rsid w:val="005712E6"/>
    <w:rsid w:val="00573251"/>
    <w:rsid w:val="00573D5A"/>
    <w:rsid w:val="00575C14"/>
    <w:rsid w:val="00580557"/>
    <w:rsid w:val="00580DE3"/>
    <w:rsid w:val="00581042"/>
    <w:rsid w:val="00581703"/>
    <w:rsid w:val="005826A9"/>
    <w:rsid w:val="00583908"/>
    <w:rsid w:val="00583D1D"/>
    <w:rsid w:val="005843C9"/>
    <w:rsid w:val="005846ED"/>
    <w:rsid w:val="00584EA4"/>
    <w:rsid w:val="0058608B"/>
    <w:rsid w:val="00586F9A"/>
    <w:rsid w:val="00590BD1"/>
    <w:rsid w:val="00590D26"/>
    <w:rsid w:val="00591276"/>
    <w:rsid w:val="00591DAB"/>
    <w:rsid w:val="0059303F"/>
    <w:rsid w:val="00594B8A"/>
    <w:rsid w:val="005954B7"/>
    <w:rsid w:val="00595F89"/>
    <w:rsid w:val="005962CD"/>
    <w:rsid w:val="00596FA8"/>
    <w:rsid w:val="0059773C"/>
    <w:rsid w:val="00597C3A"/>
    <w:rsid w:val="005A0532"/>
    <w:rsid w:val="005A1270"/>
    <w:rsid w:val="005A1BD1"/>
    <w:rsid w:val="005A4890"/>
    <w:rsid w:val="005A4A26"/>
    <w:rsid w:val="005A51C9"/>
    <w:rsid w:val="005A52AB"/>
    <w:rsid w:val="005A6A6C"/>
    <w:rsid w:val="005A7235"/>
    <w:rsid w:val="005B0652"/>
    <w:rsid w:val="005B1312"/>
    <w:rsid w:val="005B13B1"/>
    <w:rsid w:val="005B1859"/>
    <w:rsid w:val="005B18AE"/>
    <w:rsid w:val="005B3B01"/>
    <w:rsid w:val="005B3D96"/>
    <w:rsid w:val="005B3EBD"/>
    <w:rsid w:val="005B579B"/>
    <w:rsid w:val="005B5872"/>
    <w:rsid w:val="005B5B2F"/>
    <w:rsid w:val="005B607D"/>
    <w:rsid w:val="005B6D18"/>
    <w:rsid w:val="005B7F46"/>
    <w:rsid w:val="005C06CD"/>
    <w:rsid w:val="005C0DA7"/>
    <w:rsid w:val="005C0F3E"/>
    <w:rsid w:val="005C102D"/>
    <w:rsid w:val="005C1833"/>
    <w:rsid w:val="005C1B64"/>
    <w:rsid w:val="005C2519"/>
    <w:rsid w:val="005C2922"/>
    <w:rsid w:val="005C323D"/>
    <w:rsid w:val="005C3772"/>
    <w:rsid w:val="005C39C3"/>
    <w:rsid w:val="005C4513"/>
    <w:rsid w:val="005C4580"/>
    <w:rsid w:val="005C4F10"/>
    <w:rsid w:val="005C5556"/>
    <w:rsid w:val="005C564C"/>
    <w:rsid w:val="005C66D0"/>
    <w:rsid w:val="005C6D88"/>
    <w:rsid w:val="005C71E4"/>
    <w:rsid w:val="005D029E"/>
    <w:rsid w:val="005D1403"/>
    <w:rsid w:val="005D336E"/>
    <w:rsid w:val="005D3B21"/>
    <w:rsid w:val="005D4019"/>
    <w:rsid w:val="005D460F"/>
    <w:rsid w:val="005D63A9"/>
    <w:rsid w:val="005D65D1"/>
    <w:rsid w:val="005D6F49"/>
    <w:rsid w:val="005D7922"/>
    <w:rsid w:val="005D7AB0"/>
    <w:rsid w:val="005E10F7"/>
    <w:rsid w:val="005E1F2C"/>
    <w:rsid w:val="005E3078"/>
    <w:rsid w:val="005E4649"/>
    <w:rsid w:val="005E5A2F"/>
    <w:rsid w:val="005E5A7C"/>
    <w:rsid w:val="005E708A"/>
    <w:rsid w:val="005F0C91"/>
    <w:rsid w:val="005F1B07"/>
    <w:rsid w:val="005F1B3E"/>
    <w:rsid w:val="005F300A"/>
    <w:rsid w:val="005F3402"/>
    <w:rsid w:val="005F37D3"/>
    <w:rsid w:val="005F4060"/>
    <w:rsid w:val="005F42A8"/>
    <w:rsid w:val="005F4926"/>
    <w:rsid w:val="005F5660"/>
    <w:rsid w:val="005F5FE6"/>
    <w:rsid w:val="005F6595"/>
    <w:rsid w:val="005F704C"/>
    <w:rsid w:val="005F7A22"/>
    <w:rsid w:val="005F7B49"/>
    <w:rsid w:val="005F7BB4"/>
    <w:rsid w:val="00600501"/>
    <w:rsid w:val="00600AF6"/>
    <w:rsid w:val="00601838"/>
    <w:rsid w:val="00601ADE"/>
    <w:rsid w:val="0060299B"/>
    <w:rsid w:val="00603B4B"/>
    <w:rsid w:val="006055AF"/>
    <w:rsid w:val="006068DF"/>
    <w:rsid w:val="006068E8"/>
    <w:rsid w:val="006073A3"/>
    <w:rsid w:val="006075CA"/>
    <w:rsid w:val="006075F4"/>
    <w:rsid w:val="006078A8"/>
    <w:rsid w:val="00607BAD"/>
    <w:rsid w:val="00607EC7"/>
    <w:rsid w:val="0061077E"/>
    <w:rsid w:val="00611178"/>
    <w:rsid w:val="0061185B"/>
    <w:rsid w:val="00611D01"/>
    <w:rsid w:val="0061249F"/>
    <w:rsid w:val="00612611"/>
    <w:rsid w:val="00613D74"/>
    <w:rsid w:val="00613F7D"/>
    <w:rsid w:val="0061401C"/>
    <w:rsid w:val="00614D33"/>
    <w:rsid w:val="0061756B"/>
    <w:rsid w:val="00617A2A"/>
    <w:rsid w:val="00621803"/>
    <w:rsid w:val="00624EE8"/>
    <w:rsid w:val="00625145"/>
    <w:rsid w:val="006252EF"/>
    <w:rsid w:val="00626B7F"/>
    <w:rsid w:val="00627C1C"/>
    <w:rsid w:val="00627F35"/>
    <w:rsid w:val="006316B0"/>
    <w:rsid w:val="00631996"/>
    <w:rsid w:val="00632644"/>
    <w:rsid w:val="00632785"/>
    <w:rsid w:val="00632B9C"/>
    <w:rsid w:val="00634B09"/>
    <w:rsid w:val="006351CE"/>
    <w:rsid w:val="00635B15"/>
    <w:rsid w:val="006362D5"/>
    <w:rsid w:val="00637F56"/>
    <w:rsid w:val="006435D6"/>
    <w:rsid w:val="0064380B"/>
    <w:rsid w:val="006441BF"/>
    <w:rsid w:val="006441FD"/>
    <w:rsid w:val="00644D24"/>
    <w:rsid w:val="00645AEE"/>
    <w:rsid w:val="00647C55"/>
    <w:rsid w:val="00647D8E"/>
    <w:rsid w:val="006500F7"/>
    <w:rsid w:val="006515F5"/>
    <w:rsid w:val="00652BA0"/>
    <w:rsid w:val="00652E0F"/>
    <w:rsid w:val="00655633"/>
    <w:rsid w:val="00655D93"/>
    <w:rsid w:val="00660162"/>
    <w:rsid w:val="0066036D"/>
    <w:rsid w:val="00660436"/>
    <w:rsid w:val="00661639"/>
    <w:rsid w:val="0066281E"/>
    <w:rsid w:val="00662F2D"/>
    <w:rsid w:val="006631D3"/>
    <w:rsid w:val="00664491"/>
    <w:rsid w:val="00664504"/>
    <w:rsid w:val="0066465B"/>
    <w:rsid w:val="0066482E"/>
    <w:rsid w:val="00664ABF"/>
    <w:rsid w:val="00664ADA"/>
    <w:rsid w:val="006657EE"/>
    <w:rsid w:val="00670C4A"/>
    <w:rsid w:val="00670F4C"/>
    <w:rsid w:val="0067104A"/>
    <w:rsid w:val="006716B9"/>
    <w:rsid w:val="00671A18"/>
    <w:rsid w:val="00671BBF"/>
    <w:rsid w:val="00671F3E"/>
    <w:rsid w:val="00672482"/>
    <w:rsid w:val="00673163"/>
    <w:rsid w:val="006735D0"/>
    <w:rsid w:val="0067462F"/>
    <w:rsid w:val="006746D9"/>
    <w:rsid w:val="0067546F"/>
    <w:rsid w:val="00676C02"/>
    <w:rsid w:val="00676CE4"/>
    <w:rsid w:val="006771A4"/>
    <w:rsid w:val="0067791A"/>
    <w:rsid w:val="006779D6"/>
    <w:rsid w:val="006801FC"/>
    <w:rsid w:val="00680D8D"/>
    <w:rsid w:val="00681229"/>
    <w:rsid w:val="0068185E"/>
    <w:rsid w:val="00681BE5"/>
    <w:rsid w:val="006829A1"/>
    <w:rsid w:val="00683D98"/>
    <w:rsid w:val="0068500C"/>
    <w:rsid w:val="006861B5"/>
    <w:rsid w:val="0068629B"/>
    <w:rsid w:val="00686359"/>
    <w:rsid w:val="00687335"/>
    <w:rsid w:val="006903A4"/>
    <w:rsid w:val="00690E15"/>
    <w:rsid w:val="006910DA"/>
    <w:rsid w:val="0069137B"/>
    <w:rsid w:val="00691DEE"/>
    <w:rsid w:val="00693EA2"/>
    <w:rsid w:val="0069561C"/>
    <w:rsid w:val="006963B7"/>
    <w:rsid w:val="00697053"/>
    <w:rsid w:val="006A039C"/>
    <w:rsid w:val="006A049E"/>
    <w:rsid w:val="006A436F"/>
    <w:rsid w:val="006A4803"/>
    <w:rsid w:val="006A616C"/>
    <w:rsid w:val="006A75CE"/>
    <w:rsid w:val="006A78F8"/>
    <w:rsid w:val="006A7DF4"/>
    <w:rsid w:val="006A7E27"/>
    <w:rsid w:val="006A7FF3"/>
    <w:rsid w:val="006B010E"/>
    <w:rsid w:val="006B05BE"/>
    <w:rsid w:val="006B0EED"/>
    <w:rsid w:val="006B20BB"/>
    <w:rsid w:val="006B233F"/>
    <w:rsid w:val="006B247B"/>
    <w:rsid w:val="006B28EA"/>
    <w:rsid w:val="006B2FBB"/>
    <w:rsid w:val="006B378A"/>
    <w:rsid w:val="006B4224"/>
    <w:rsid w:val="006B4485"/>
    <w:rsid w:val="006B5423"/>
    <w:rsid w:val="006B5AB2"/>
    <w:rsid w:val="006B6929"/>
    <w:rsid w:val="006C1818"/>
    <w:rsid w:val="006C1A4A"/>
    <w:rsid w:val="006C1F8B"/>
    <w:rsid w:val="006C31AC"/>
    <w:rsid w:val="006C38FF"/>
    <w:rsid w:val="006C4731"/>
    <w:rsid w:val="006C650D"/>
    <w:rsid w:val="006C7253"/>
    <w:rsid w:val="006C7D91"/>
    <w:rsid w:val="006D06AC"/>
    <w:rsid w:val="006D0D8B"/>
    <w:rsid w:val="006D10DC"/>
    <w:rsid w:val="006D1F01"/>
    <w:rsid w:val="006D3D96"/>
    <w:rsid w:val="006D464E"/>
    <w:rsid w:val="006D4B05"/>
    <w:rsid w:val="006D56B7"/>
    <w:rsid w:val="006D5F98"/>
    <w:rsid w:val="006D61E6"/>
    <w:rsid w:val="006D6C44"/>
    <w:rsid w:val="006D7EAF"/>
    <w:rsid w:val="006E0032"/>
    <w:rsid w:val="006E0E5B"/>
    <w:rsid w:val="006E1C3E"/>
    <w:rsid w:val="006E277B"/>
    <w:rsid w:val="006E3023"/>
    <w:rsid w:val="006E449C"/>
    <w:rsid w:val="006E4A89"/>
    <w:rsid w:val="006E4C9E"/>
    <w:rsid w:val="006E50D0"/>
    <w:rsid w:val="006E54BD"/>
    <w:rsid w:val="006E6C81"/>
    <w:rsid w:val="006E7BA5"/>
    <w:rsid w:val="006F01E8"/>
    <w:rsid w:val="006F0ACB"/>
    <w:rsid w:val="006F0D6C"/>
    <w:rsid w:val="006F2D24"/>
    <w:rsid w:val="006F37F7"/>
    <w:rsid w:val="006F3A81"/>
    <w:rsid w:val="006F3D73"/>
    <w:rsid w:val="006F67CF"/>
    <w:rsid w:val="006F68C1"/>
    <w:rsid w:val="00700EE9"/>
    <w:rsid w:val="007013B0"/>
    <w:rsid w:val="0070150D"/>
    <w:rsid w:val="00703B5E"/>
    <w:rsid w:val="00704B6E"/>
    <w:rsid w:val="0070542E"/>
    <w:rsid w:val="0070624C"/>
    <w:rsid w:val="00706451"/>
    <w:rsid w:val="007064D7"/>
    <w:rsid w:val="007079FE"/>
    <w:rsid w:val="0071196A"/>
    <w:rsid w:val="00711F5E"/>
    <w:rsid w:val="00712349"/>
    <w:rsid w:val="007133C0"/>
    <w:rsid w:val="00713613"/>
    <w:rsid w:val="00715739"/>
    <w:rsid w:val="00715A42"/>
    <w:rsid w:val="007162A1"/>
    <w:rsid w:val="00716839"/>
    <w:rsid w:val="00716D39"/>
    <w:rsid w:val="00717B84"/>
    <w:rsid w:val="00717CA8"/>
    <w:rsid w:val="00721E9E"/>
    <w:rsid w:val="007220BF"/>
    <w:rsid w:val="0072217A"/>
    <w:rsid w:val="00722AA6"/>
    <w:rsid w:val="0072324F"/>
    <w:rsid w:val="00724074"/>
    <w:rsid w:val="0072505F"/>
    <w:rsid w:val="007275E0"/>
    <w:rsid w:val="00730D3C"/>
    <w:rsid w:val="007310B7"/>
    <w:rsid w:val="00731237"/>
    <w:rsid w:val="00731F36"/>
    <w:rsid w:val="00732664"/>
    <w:rsid w:val="007333EA"/>
    <w:rsid w:val="0073346E"/>
    <w:rsid w:val="0073351A"/>
    <w:rsid w:val="0073388A"/>
    <w:rsid w:val="007340CE"/>
    <w:rsid w:val="00734858"/>
    <w:rsid w:val="00735CEA"/>
    <w:rsid w:val="0074034F"/>
    <w:rsid w:val="007409D3"/>
    <w:rsid w:val="00740F60"/>
    <w:rsid w:val="00741037"/>
    <w:rsid w:val="00741AA6"/>
    <w:rsid w:val="00741EEC"/>
    <w:rsid w:val="007422B3"/>
    <w:rsid w:val="007435F1"/>
    <w:rsid w:val="0074689C"/>
    <w:rsid w:val="00746B3F"/>
    <w:rsid w:val="007470A0"/>
    <w:rsid w:val="0074722F"/>
    <w:rsid w:val="00747C85"/>
    <w:rsid w:val="007515BE"/>
    <w:rsid w:val="00752C92"/>
    <w:rsid w:val="00752D93"/>
    <w:rsid w:val="007538A0"/>
    <w:rsid w:val="00753DD6"/>
    <w:rsid w:val="007557D6"/>
    <w:rsid w:val="00755AF0"/>
    <w:rsid w:val="007575E1"/>
    <w:rsid w:val="0076101C"/>
    <w:rsid w:val="007611F2"/>
    <w:rsid w:val="00762D81"/>
    <w:rsid w:val="00767DD2"/>
    <w:rsid w:val="00770D03"/>
    <w:rsid w:val="00773244"/>
    <w:rsid w:val="007737D8"/>
    <w:rsid w:val="007741D1"/>
    <w:rsid w:val="00774576"/>
    <w:rsid w:val="0077476D"/>
    <w:rsid w:val="007754A1"/>
    <w:rsid w:val="00776779"/>
    <w:rsid w:val="00776CEF"/>
    <w:rsid w:val="00777746"/>
    <w:rsid w:val="007804DD"/>
    <w:rsid w:val="0078102B"/>
    <w:rsid w:val="0078363B"/>
    <w:rsid w:val="00784432"/>
    <w:rsid w:val="00784609"/>
    <w:rsid w:val="00784DAD"/>
    <w:rsid w:val="007857DC"/>
    <w:rsid w:val="0078609C"/>
    <w:rsid w:val="0078750B"/>
    <w:rsid w:val="0078753C"/>
    <w:rsid w:val="007901CE"/>
    <w:rsid w:val="0079024D"/>
    <w:rsid w:val="007903D3"/>
    <w:rsid w:val="00792A98"/>
    <w:rsid w:val="00793E17"/>
    <w:rsid w:val="00794156"/>
    <w:rsid w:val="007941C6"/>
    <w:rsid w:val="0079575F"/>
    <w:rsid w:val="00795B8D"/>
    <w:rsid w:val="00795BA1"/>
    <w:rsid w:val="00795DDF"/>
    <w:rsid w:val="0079759D"/>
    <w:rsid w:val="007A09C9"/>
    <w:rsid w:val="007A176E"/>
    <w:rsid w:val="007A277D"/>
    <w:rsid w:val="007A41B5"/>
    <w:rsid w:val="007A4481"/>
    <w:rsid w:val="007A4486"/>
    <w:rsid w:val="007A4A4D"/>
    <w:rsid w:val="007A5B9E"/>
    <w:rsid w:val="007A5BDC"/>
    <w:rsid w:val="007A7520"/>
    <w:rsid w:val="007B1DBB"/>
    <w:rsid w:val="007B2FBF"/>
    <w:rsid w:val="007B43A7"/>
    <w:rsid w:val="007B565C"/>
    <w:rsid w:val="007B5828"/>
    <w:rsid w:val="007B595F"/>
    <w:rsid w:val="007C0853"/>
    <w:rsid w:val="007C08A8"/>
    <w:rsid w:val="007C0E86"/>
    <w:rsid w:val="007C1A8F"/>
    <w:rsid w:val="007C249E"/>
    <w:rsid w:val="007C271B"/>
    <w:rsid w:val="007C3289"/>
    <w:rsid w:val="007C3A55"/>
    <w:rsid w:val="007C3DC8"/>
    <w:rsid w:val="007C43FA"/>
    <w:rsid w:val="007C44E1"/>
    <w:rsid w:val="007C4B8F"/>
    <w:rsid w:val="007C5711"/>
    <w:rsid w:val="007C57B9"/>
    <w:rsid w:val="007C6325"/>
    <w:rsid w:val="007D0605"/>
    <w:rsid w:val="007D06AC"/>
    <w:rsid w:val="007D0818"/>
    <w:rsid w:val="007D28C3"/>
    <w:rsid w:val="007D40AC"/>
    <w:rsid w:val="007D4C12"/>
    <w:rsid w:val="007D54F4"/>
    <w:rsid w:val="007D57E0"/>
    <w:rsid w:val="007D5A6C"/>
    <w:rsid w:val="007D6727"/>
    <w:rsid w:val="007D71B7"/>
    <w:rsid w:val="007E0274"/>
    <w:rsid w:val="007E0FF3"/>
    <w:rsid w:val="007E107F"/>
    <w:rsid w:val="007E29DA"/>
    <w:rsid w:val="007E322E"/>
    <w:rsid w:val="007E37F9"/>
    <w:rsid w:val="007E3EE2"/>
    <w:rsid w:val="007E47E7"/>
    <w:rsid w:val="007E4A98"/>
    <w:rsid w:val="007E4EB6"/>
    <w:rsid w:val="007E6CA6"/>
    <w:rsid w:val="007E7EA1"/>
    <w:rsid w:val="007E7FFA"/>
    <w:rsid w:val="007F32E9"/>
    <w:rsid w:val="007F3562"/>
    <w:rsid w:val="007F5172"/>
    <w:rsid w:val="007F568A"/>
    <w:rsid w:val="007F580D"/>
    <w:rsid w:val="007F5969"/>
    <w:rsid w:val="007F5E21"/>
    <w:rsid w:val="007F6B11"/>
    <w:rsid w:val="007F6FB5"/>
    <w:rsid w:val="007F73C5"/>
    <w:rsid w:val="007F7A67"/>
    <w:rsid w:val="00803AAE"/>
    <w:rsid w:val="00803B7E"/>
    <w:rsid w:val="00804D5A"/>
    <w:rsid w:val="008062DA"/>
    <w:rsid w:val="008067B6"/>
    <w:rsid w:val="008073EC"/>
    <w:rsid w:val="00810BC2"/>
    <w:rsid w:val="0081149C"/>
    <w:rsid w:val="00811AFF"/>
    <w:rsid w:val="00811D79"/>
    <w:rsid w:val="00812373"/>
    <w:rsid w:val="008140E8"/>
    <w:rsid w:val="00814941"/>
    <w:rsid w:val="0081606F"/>
    <w:rsid w:val="008160D3"/>
    <w:rsid w:val="00816DBD"/>
    <w:rsid w:val="00817991"/>
    <w:rsid w:val="008227AB"/>
    <w:rsid w:val="00822CCE"/>
    <w:rsid w:val="00822E68"/>
    <w:rsid w:val="008246E7"/>
    <w:rsid w:val="00824925"/>
    <w:rsid w:val="00825545"/>
    <w:rsid w:val="00825BA8"/>
    <w:rsid w:val="00825DBD"/>
    <w:rsid w:val="00825F45"/>
    <w:rsid w:val="0082722B"/>
    <w:rsid w:val="00827B51"/>
    <w:rsid w:val="00827C1B"/>
    <w:rsid w:val="00830C0E"/>
    <w:rsid w:val="008313E6"/>
    <w:rsid w:val="00831F3E"/>
    <w:rsid w:val="0083296B"/>
    <w:rsid w:val="00833852"/>
    <w:rsid w:val="00833AB9"/>
    <w:rsid w:val="00834F93"/>
    <w:rsid w:val="00835BBD"/>
    <w:rsid w:val="00836A1B"/>
    <w:rsid w:val="008411B9"/>
    <w:rsid w:val="00842003"/>
    <w:rsid w:val="0084243A"/>
    <w:rsid w:val="00843ABC"/>
    <w:rsid w:val="00843BC3"/>
    <w:rsid w:val="00846080"/>
    <w:rsid w:val="00847976"/>
    <w:rsid w:val="008503F4"/>
    <w:rsid w:val="008504A0"/>
    <w:rsid w:val="00850506"/>
    <w:rsid w:val="00850C2A"/>
    <w:rsid w:val="00851331"/>
    <w:rsid w:val="00852AE5"/>
    <w:rsid w:val="00853CE3"/>
    <w:rsid w:val="008543AC"/>
    <w:rsid w:val="00854E4A"/>
    <w:rsid w:val="00855542"/>
    <w:rsid w:val="0085562D"/>
    <w:rsid w:val="008558E0"/>
    <w:rsid w:val="00855B42"/>
    <w:rsid w:val="00855C20"/>
    <w:rsid w:val="00856FD4"/>
    <w:rsid w:val="008574CE"/>
    <w:rsid w:val="008601BD"/>
    <w:rsid w:val="0086226C"/>
    <w:rsid w:val="00862799"/>
    <w:rsid w:val="008629A9"/>
    <w:rsid w:val="00862A0A"/>
    <w:rsid w:val="008641C3"/>
    <w:rsid w:val="00865278"/>
    <w:rsid w:val="00865435"/>
    <w:rsid w:val="008664D4"/>
    <w:rsid w:val="0086684F"/>
    <w:rsid w:val="00866AFA"/>
    <w:rsid w:val="00867D56"/>
    <w:rsid w:val="00870659"/>
    <w:rsid w:val="00870BAA"/>
    <w:rsid w:val="0087105F"/>
    <w:rsid w:val="0087193F"/>
    <w:rsid w:val="00871D43"/>
    <w:rsid w:val="0087226C"/>
    <w:rsid w:val="00872667"/>
    <w:rsid w:val="00873205"/>
    <w:rsid w:val="0087377E"/>
    <w:rsid w:val="00873EAD"/>
    <w:rsid w:val="008748CD"/>
    <w:rsid w:val="008750DB"/>
    <w:rsid w:val="008751F2"/>
    <w:rsid w:val="0087527F"/>
    <w:rsid w:val="0087584A"/>
    <w:rsid w:val="00875AF3"/>
    <w:rsid w:val="00876605"/>
    <w:rsid w:val="00881732"/>
    <w:rsid w:val="00882918"/>
    <w:rsid w:val="008844C0"/>
    <w:rsid w:val="008845F3"/>
    <w:rsid w:val="00885244"/>
    <w:rsid w:val="008866EB"/>
    <w:rsid w:val="00886B3F"/>
    <w:rsid w:val="00886F2B"/>
    <w:rsid w:val="00887776"/>
    <w:rsid w:val="0089021A"/>
    <w:rsid w:val="0089022E"/>
    <w:rsid w:val="00890A7C"/>
    <w:rsid w:val="00890CFF"/>
    <w:rsid w:val="00890D11"/>
    <w:rsid w:val="00890F65"/>
    <w:rsid w:val="008910EE"/>
    <w:rsid w:val="00891914"/>
    <w:rsid w:val="00891A26"/>
    <w:rsid w:val="00892987"/>
    <w:rsid w:val="008929FB"/>
    <w:rsid w:val="0089394B"/>
    <w:rsid w:val="008940C7"/>
    <w:rsid w:val="00894A3E"/>
    <w:rsid w:val="008956A5"/>
    <w:rsid w:val="00895796"/>
    <w:rsid w:val="00895E1B"/>
    <w:rsid w:val="0089601B"/>
    <w:rsid w:val="00896784"/>
    <w:rsid w:val="0089768A"/>
    <w:rsid w:val="008A06A8"/>
    <w:rsid w:val="008A1AAC"/>
    <w:rsid w:val="008A1FBA"/>
    <w:rsid w:val="008A23CD"/>
    <w:rsid w:val="008A2B2A"/>
    <w:rsid w:val="008A2EF6"/>
    <w:rsid w:val="008A5D25"/>
    <w:rsid w:val="008A615A"/>
    <w:rsid w:val="008A6A2A"/>
    <w:rsid w:val="008A6A36"/>
    <w:rsid w:val="008A6C91"/>
    <w:rsid w:val="008A7139"/>
    <w:rsid w:val="008A776D"/>
    <w:rsid w:val="008A7823"/>
    <w:rsid w:val="008B04C0"/>
    <w:rsid w:val="008B1931"/>
    <w:rsid w:val="008B29A4"/>
    <w:rsid w:val="008B2C30"/>
    <w:rsid w:val="008B336F"/>
    <w:rsid w:val="008B4CFB"/>
    <w:rsid w:val="008B5941"/>
    <w:rsid w:val="008B6793"/>
    <w:rsid w:val="008B6C22"/>
    <w:rsid w:val="008B70C5"/>
    <w:rsid w:val="008B75C2"/>
    <w:rsid w:val="008B787A"/>
    <w:rsid w:val="008C0E71"/>
    <w:rsid w:val="008C1852"/>
    <w:rsid w:val="008C1EAB"/>
    <w:rsid w:val="008C2E22"/>
    <w:rsid w:val="008C2ED2"/>
    <w:rsid w:val="008C3970"/>
    <w:rsid w:val="008C3D4D"/>
    <w:rsid w:val="008C417E"/>
    <w:rsid w:val="008C497A"/>
    <w:rsid w:val="008C6105"/>
    <w:rsid w:val="008C6334"/>
    <w:rsid w:val="008C742A"/>
    <w:rsid w:val="008D00F3"/>
    <w:rsid w:val="008D20E0"/>
    <w:rsid w:val="008D335C"/>
    <w:rsid w:val="008D35B7"/>
    <w:rsid w:val="008D37F0"/>
    <w:rsid w:val="008D4C72"/>
    <w:rsid w:val="008D561B"/>
    <w:rsid w:val="008D7B13"/>
    <w:rsid w:val="008E08A2"/>
    <w:rsid w:val="008E0CAB"/>
    <w:rsid w:val="008E2C79"/>
    <w:rsid w:val="008E6465"/>
    <w:rsid w:val="008E72C0"/>
    <w:rsid w:val="008E7740"/>
    <w:rsid w:val="008F0367"/>
    <w:rsid w:val="008F051C"/>
    <w:rsid w:val="008F1953"/>
    <w:rsid w:val="008F1B7F"/>
    <w:rsid w:val="008F2871"/>
    <w:rsid w:val="008F33EA"/>
    <w:rsid w:val="008F39C0"/>
    <w:rsid w:val="008F4259"/>
    <w:rsid w:val="008F5EEC"/>
    <w:rsid w:val="008F67D2"/>
    <w:rsid w:val="008F6F89"/>
    <w:rsid w:val="008F723C"/>
    <w:rsid w:val="008F76DC"/>
    <w:rsid w:val="00900B25"/>
    <w:rsid w:val="009013C5"/>
    <w:rsid w:val="0090147B"/>
    <w:rsid w:val="00903158"/>
    <w:rsid w:val="00903166"/>
    <w:rsid w:val="009032BE"/>
    <w:rsid w:val="00905BF0"/>
    <w:rsid w:val="00906BD6"/>
    <w:rsid w:val="009078BA"/>
    <w:rsid w:val="009079F7"/>
    <w:rsid w:val="00907C33"/>
    <w:rsid w:val="009108D2"/>
    <w:rsid w:val="0091106A"/>
    <w:rsid w:val="00911452"/>
    <w:rsid w:val="00912E1B"/>
    <w:rsid w:val="00912F38"/>
    <w:rsid w:val="0091304C"/>
    <w:rsid w:val="0091428A"/>
    <w:rsid w:val="00914E4F"/>
    <w:rsid w:val="009163E7"/>
    <w:rsid w:val="009169F6"/>
    <w:rsid w:val="00920D06"/>
    <w:rsid w:val="0092272F"/>
    <w:rsid w:val="009230A2"/>
    <w:rsid w:val="00923A61"/>
    <w:rsid w:val="009243BC"/>
    <w:rsid w:val="009244D5"/>
    <w:rsid w:val="00926D62"/>
    <w:rsid w:val="00927BEF"/>
    <w:rsid w:val="00930339"/>
    <w:rsid w:val="009303A7"/>
    <w:rsid w:val="00931AE5"/>
    <w:rsid w:val="009324C4"/>
    <w:rsid w:val="00932A7A"/>
    <w:rsid w:val="009330BF"/>
    <w:rsid w:val="009331E1"/>
    <w:rsid w:val="009347A9"/>
    <w:rsid w:val="009352E3"/>
    <w:rsid w:val="00935B7C"/>
    <w:rsid w:val="00935E3A"/>
    <w:rsid w:val="00940008"/>
    <w:rsid w:val="00941503"/>
    <w:rsid w:val="00941C46"/>
    <w:rsid w:val="00941FE0"/>
    <w:rsid w:val="00942F29"/>
    <w:rsid w:val="00942FD1"/>
    <w:rsid w:val="009448F2"/>
    <w:rsid w:val="0094556A"/>
    <w:rsid w:val="009455D1"/>
    <w:rsid w:val="00945FB0"/>
    <w:rsid w:val="009466E9"/>
    <w:rsid w:val="00946CFC"/>
    <w:rsid w:val="00946E51"/>
    <w:rsid w:val="009476EB"/>
    <w:rsid w:val="009479C1"/>
    <w:rsid w:val="00950794"/>
    <w:rsid w:val="009509EF"/>
    <w:rsid w:val="00950DB2"/>
    <w:rsid w:val="00951499"/>
    <w:rsid w:val="00951691"/>
    <w:rsid w:val="00951EDE"/>
    <w:rsid w:val="009523B7"/>
    <w:rsid w:val="00954253"/>
    <w:rsid w:val="00954DAE"/>
    <w:rsid w:val="00955212"/>
    <w:rsid w:val="00955816"/>
    <w:rsid w:val="009559D5"/>
    <w:rsid w:val="009565DA"/>
    <w:rsid w:val="009572AF"/>
    <w:rsid w:val="00957CAD"/>
    <w:rsid w:val="009607AB"/>
    <w:rsid w:val="0096115F"/>
    <w:rsid w:val="00961CD0"/>
    <w:rsid w:val="00962B1F"/>
    <w:rsid w:val="00963B11"/>
    <w:rsid w:val="00964BC2"/>
    <w:rsid w:val="00966084"/>
    <w:rsid w:val="00966623"/>
    <w:rsid w:val="00967E9A"/>
    <w:rsid w:val="009700F0"/>
    <w:rsid w:val="00970728"/>
    <w:rsid w:val="00971DDA"/>
    <w:rsid w:val="009735D1"/>
    <w:rsid w:val="0097446A"/>
    <w:rsid w:val="00974DEA"/>
    <w:rsid w:val="00975D9B"/>
    <w:rsid w:val="00976464"/>
    <w:rsid w:val="00976E76"/>
    <w:rsid w:val="00980742"/>
    <w:rsid w:val="009807BF"/>
    <w:rsid w:val="00981479"/>
    <w:rsid w:val="00982ACD"/>
    <w:rsid w:val="00983008"/>
    <w:rsid w:val="009842BE"/>
    <w:rsid w:val="00984838"/>
    <w:rsid w:val="00984909"/>
    <w:rsid w:val="00984B12"/>
    <w:rsid w:val="00984CE4"/>
    <w:rsid w:val="00984FF3"/>
    <w:rsid w:val="009850C5"/>
    <w:rsid w:val="00986326"/>
    <w:rsid w:val="009863EC"/>
    <w:rsid w:val="00986432"/>
    <w:rsid w:val="00987E2E"/>
    <w:rsid w:val="0099008B"/>
    <w:rsid w:val="009902A5"/>
    <w:rsid w:val="009912A6"/>
    <w:rsid w:val="0099177B"/>
    <w:rsid w:val="00991D9C"/>
    <w:rsid w:val="009928BE"/>
    <w:rsid w:val="0099770A"/>
    <w:rsid w:val="00997769"/>
    <w:rsid w:val="009A022B"/>
    <w:rsid w:val="009A048E"/>
    <w:rsid w:val="009A119F"/>
    <w:rsid w:val="009A27CF"/>
    <w:rsid w:val="009A3BC2"/>
    <w:rsid w:val="009A47B0"/>
    <w:rsid w:val="009A5297"/>
    <w:rsid w:val="009A5E10"/>
    <w:rsid w:val="009A7262"/>
    <w:rsid w:val="009A74F7"/>
    <w:rsid w:val="009A7D0E"/>
    <w:rsid w:val="009B045D"/>
    <w:rsid w:val="009B04CF"/>
    <w:rsid w:val="009B1853"/>
    <w:rsid w:val="009B1D22"/>
    <w:rsid w:val="009B1E86"/>
    <w:rsid w:val="009B233F"/>
    <w:rsid w:val="009B23EC"/>
    <w:rsid w:val="009B2D92"/>
    <w:rsid w:val="009B2ED9"/>
    <w:rsid w:val="009B61C0"/>
    <w:rsid w:val="009B62D0"/>
    <w:rsid w:val="009B6DFA"/>
    <w:rsid w:val="009C039D"/>
    <w:rsid w:val="009C130C"/>
    <w:rsid w:val="009C205B"/>
    <w:rsid w:val="009C2117"/>
    <w:rsid w:val="009C22DD"/>
    <w:rsid w:val="009C4625"/>
    <w:rsid w:val="009C4A38"/>
    <w:rsid w:val="009C64E2"/>
    <w:rsid w:val="009C67E0"/>
    <w:rsid w:val="009C75E3"/>
    <w:rsid w:val="009C7C3E"/>
    <w:rsid w:val="009D010D"/>
    <w:rsid w:val="009D0244"/>
    <w:rsid w:val="009D071E"/>
    <w:rsid w:val="009D0F71"/>
    <w:rsid w:val="009D13DA"/>
    <w:rsid w:val="009D1C64"/>
    <w:rsid w:val="009D1F7A"/>
    <w:rsid w:val="009D2873"/>
    <w:rsid w:val="009D521A"/>
    <w:rsid w:val="009D78E7"/>
    <w:rsid w:val="009E027E"/>
    <w:rsid w:val="009E10F6"/>
    <w:rsid w:val="009E1291"/>
    <w:rsid w:val="009E12BC"/>
    <w:rsid w:val="009E2A07"/>
    <w:rsid w:val="009E2D80"/>
    <w:rsid w:val="009E3896"/>
    <w:rsid w:val="009E4097"/>
    <w:rsid w:val="009E46FC"/>
    <w:rsid w:val="009E47CC"/>
    <w:rsid w:val="009E4EB7"/>
    <w:rsid w:val="009E529B"/>
    <w:rsid w:val="009E56BA"/>
    <w:rsid w:val="009E591B"/>
    <w:rsid w:val="009E65AE"/>
    <w:rsid w:val="009E7E98"/>
    <w:rsid w:val="009F00EE"/>
    <w:rsid w:val="009F0437"/>
    <w:rsid w:val="009F1CDE"/>
    <w:rsid w:val="009F3461"/>
    <w:rsid w:val="009F34AA"/>
    <w:rsid w:val="009F472D"/>
    <w:rsid w:val="009F4CF0"/>
    <w:rsid w:val="009F4E88"/>
    <w:rsid w:val="009F50D1"/>
    <w:rsid w:val="009F5303"/>
    <w:rsid w:val="009F596D"/>
    <w:rsid w:val="009F6A91"/>
    <w:rsid w:val="009F71AA"/>
    <w:rsid w:val="009F754A"/>
    <w:rsid w:val="009F791F"/>
    <w:rsid w:val="00A00BFB"/>
    <w:rsid w:val="00A00E1F"/>
    <w:rsid w:val="00A026F0"/>
    <w:rsid w:val="00A02C18"/>
    <w:rsid w:val="00A03417"/>
    <w:rsid w:val="00A03D5A"/>
    <w:rsid w:val="00A063BC"/>
    <w:rsid w:val="00A102A0"/>
    <w:rsid w:val="00A10620"/>
    <w:rsid w:val="00A114FA"/>
    <w:rsid w:val="00A11E3F"/>
    <w:rsid w:val="00A13817"/>
    <w:rsid w:val="00A153D1"/>
    <w:rsid w:val="00A15CBC"/>
    <w:rsid w:val="00A16194"/>
    <w:rsid w:val="00A16747"/>
    <w:rsid w:val="00A20669"/>
    <w:rsid w:val="00A22330"/>
    <w:rsid w:val="00A22773"/>
    <w:rsid w:val="00A23227"/>
    <w:rsid w:val="00A236A1"/>
    <w:rsid w:val="00A2382B"/>
    <w:rsid w:val="00A23BE1"/>
    <w:rsid w:val="00A2428B"/>
    <w:rsid w:val="00A248CE"/>
    <w:rsid w:val="00A24B3B"/>
    <w:rsid w:val="00A25173"/>
    <w:rsid w:val="00A25537"/>
    <w:rsid w:val="00A26463"/>
    <w:rsid w:val="00A26774"/>
    <w:rsid w:val="00A26860"/>
    <w:rsid w:val="00A30037"/>
    <w:rsid w:val="00A308F4"/>
    <w:rsid w:val="00A30BE4"/>
    <w:rsid w:val="00A33007"/>
    <w:rsid w:val="00A336C5"/>
    <w:rsid w:val="00A3568F"/>
    <w:rsid w:val="00A35751"/>
    <w:rsid w:val="00A3577F"/>
    <w:rsid w:val="00A35B4A"/>
    <w:rsid w:val="00A35BBC"/>
    <w:rsid w:val="00A36724"/>
    <w:rsid w:val="00A367AF"/>
    <w:rsid w:val="00A3714D"/>
    <w:rsid w:val="00A37ED4"/>
    <w:rsid w:val="00A40B4D"/>
    <w:rsid w:val="00A413A5"/>
    <w:rsid w:val="00A41B15"/>
    <w:rsid w:val="00A42ACA"/>
    <w:rsid w:val="00A42C67"/>
    <w:rsid w:val="00A43A3A"/>
    <w:rsid w:val="00A45276"/>
    <w:rsid w:val="00A45280"/>
    <w:rsid w:val="00A456AE"/>
    <w:rsid w:val="00A463BA"/>
    <w:rsid w:val="00A471A3"/>
    <w:rsid w:val="00A50C06"/>
    <w:rsid w:val="00A50CC6"/>
    <w:rsid w:val="00A51FF7"/>
    <w:rsid w:val="00A52143"/>
    <w:rsid w:val="00A521E9"/>
    <w:rsid w:val="00A52201"/>
    <w:rsid w:val="00A52527"/>
    <w:rsid w:val="00A5298E"/>
    <w:rsid w:val="00A52B3E"/>
    <w:rsid w:val="00A53006"/>
    <w:rsid w:val="00A53C6C"/>
    <w:rsid w:val="00A54282"/>
    <w:rsid w:val="00A54DF0"/>
    <w:rsid w:val="00A575DD"/>
    <w:rsid w:val="00A57F3A"/>
    <w:rsid w:val="00A61A5E"/>
    <w:rsid w:val="00A632EA"/>
    <w:rsid w:val="00A63348"/>
    <w:rsid w:val="00A64331"/>
    <w:rsid w:val="00A64C72"/>
    <w:rsid w:val="00A64CA4"/>
    <w:rsid w:val="00A64D1A"/>
    <w:rsid w:val="00A65320"/>
    <w:rsid w:val="00A6642E"/>
    <w:rsid w:val="00A703E4"/>
    <w:rsid w:val="00A704C7"/>
    <w:rsid w:val="00A70CC9"/>
    <w:rsid w:val="00A70DC6"/>
    <w:rsid w:val="00A71986"/>
    <w:rsid w:val="00A73A64"/>
    <w:rsid w:val="00A742AD"/>
    <w:rsid w:val="00A75537"/>
    <w:rsid w:val="00A75A46"/>
    <w:rsid w:val="00A75C47"/>
    <w:rsid w:val="00A7663A"/>
    <w:rsid w:val="00A7683C"/>
    <w:rsid w:val="00A776CE"/>
    <w:rsid w:val="00A77A40"/>
    <w:rsid w:val="00A80329"/>
    <w:rsid w:val="00A80A39"/>
    <w:rsid w:val="00A80DF0"/>
    <w:rsid w:val="00A80F80"/>
    <w:rsid w:val="00A82F33"/>
    <w:rsid w:val="00A8678F"/>
    <w:rsid w:val="00A8689A"/>
    <w:rsid w:val="00A87203"/>
    <w:rsid w:val="00A87C22"/>
    <w:rsid w:val="00A90CB4"/>
    <w:rsid w:val="00A91724"/>
    <w:rsid w:val="00A918DD"/>
    <w:rsid w:val="00A928C9"/>
    <w:rsid w:val="00A933AE"/>
    <w:rsid w:val="00A94182"/>
    <w:rsid w:val="00A9510D"/>
    <w:rsid w:val="00A954C8"/>
    <w:rsid w:val="00A95D2A"/>
    <w:rsid w:val="00A96214"/>
    <w:rsid w:val="00AA04BA"/>
    <w:rsid w:val="00AA1DA0"/>
    <w:rsid w:val="00AA33EB"/>
    <w:rsid w:val="00AA3B68"/>
    <w:rsid w:val="00AA4601"/>
    <w:rsid w:val="00AA55A1"/>
    <w:rsid w:val="00AA6C1B"/>
    <w:rsid w:val="00AA6F57"/>
    <w:rsid w:val="00AA71DE"/>
    <w:rsid w:val="00AB09B6"/>
    <w:rsid w:val="00AB0B64"/>
    <w:rsid w:val="00AB0F30"/>
    <w:rsid w:val="00AB37E6"/>
    <w:rsid w:val="00AB3B1E"/>
    <w:rsid w:val="00AB5A7E"/>
    <w:rsid w:val="00AB61D9"/>
    <w:rsid w:val="00AC1992"/>
    <w:rsid w:val="00AC2CFA"/>
    <w:rsid w:val="00AC369E"/>
    <w:rsid w:val="00AC3EA5"/>
    <w:rsid w:val="00AC430C"/>
    <w:rsid w:val="00AC54BD"/>
    <w:rsid w:val="00AC6868"/>
    <w:rsid w:val="00AD1685"/>
    <w:rsid w:val="00AD19F0"/>
    <w:rsid w:val="00AD26E1"/>
    <w:rsid w:val="00AD272A"/>
    <w:rsid w:val="00AD29CC"/>
    <w:rsid w:val="00AD3DE2"/>
    <w:rsid w:val="00AD4C53"/>
    <w:rsid w:val="00AD4F8A"/>
    <w:rsid w:val="00AD566C"/>
    <w:rsid w:val="00AD62F9"/>
    <w:rsid w:val="00AD797D"/>
    <w:rsid w:val="00AD7D1F"/>
    <w:rsid w:val="00AE0A84"/>
    <w:rsid w:val="00AE191D"/>
    <w:rsid w:val="00AE1E60"/>
    <w:rsid w:val="00AE1E76"/>
    <w:rsid w:val="00AE212F"/>
    <w:rsid w:val="00AE2226"/>
    <w:rsid w:val="00AE2AAE"/>
    <w:rsid w:val="00AE2CAD"/>
    <w:rsid w:val="00AE3F03"/>
    <w:rsid w:val="00AE4DA3"/>
    <w:rsid w:val="00AE563F"/>
    <w:rsid w:val="00AE7F38"/>
    <w:rsid w:val="00AF0451"/>
    <w:rsid w:val="00AF0C7B"/>
    <w:rsid w:val="00AF298C"/>
    <w:rsid w:val="00AF2D06"/>
    <w:rsid w:val="00AF6510"/>
    <w:rsid w:val="00AF6986"/>
    <w:rsid w:val="00AF6C66"/>
    <w:rsid w:val="00AF7285"/>
    <w:rsid w:val="00AF77B7"/>
    <w:rsid w:val="00AF7ED2"/>
    <w:rsid w:val="00B0208C"/>
    <w:rsid w:val="00B037C0"/>
    <w:rsid w:val="00B03884"/>
    <w:rsid w:val="00B03C5C"/>
    <w:rsid w:val="00B05157"/>
    <w:rsid w:val="00B07751"/>
    <w:rsid w:val="00B07B33"/>
    <w:rsid w:val="00B07C94"/>
    <w:rsid w:val="00B10D73"/>
    <w:rsid w:val="00B11C5B"/>
    <w:rsid w:val="00B12080"/>
    <w:rsid w:val="00B121CD"/>
    <w:rsid w:val="00B12343"/>
    <w:rsid w:val="00B12F85"/>
    <w:rsid w:val="00B13409"/>
    <w:rsid w:val="00B13A1B"/>
    <w:rsid w:val="00B14924"/>
    <w:rsid w:val="00B158A3"/>
    <w:rsid w:val="00B159BE"/>
    <w:rsid w:val="00B15C72"/>
    <w:rsid w:val="00B16AD6"/>
    <w:rsid w:val="00B1797A"/>
    <w:rsid w:val="00B17A4E"/>
    <w:rsid w:val="00B2153E"/>
    <w:rsid w:val="00B218F6"/>
    <w:rsid w:val="00B24492"/>
    <w:rsid w:val="00B24757"/>
    <w:rsid w:val="00B25D76"/>
    <w:rsid w:val="00B26909"/>
    <w:rsid w:val="00B27D78"/>
    <w:rsid w:val="00B31201"/>
    <w:rsid w:val="00B31A82"/>
    <w:rsid w:val="00B31DB2"/>
    <w:rsid w:val="00B320CA"/>
    <w:rsid w:val="00B3429E"/>
    <w:rsid w:val="00B3665F"/>
    <w:rsid w:val="00B366D2"/>
    <w:rsid w:val="00B36E86"/>
    <w:rsid w:val="00B3759E"/>
    <w:rsid w:val="00B379BA"/>
    <w:rsid w:val="00B37BF8"/>
    <w:rsid w:val="00B37C52"/>
    <w:rsid w:val="00B37F6D"/>
    <w:rsid w:val="00B40D84"/>
    <w:rsid w:val="00B422BE"/>
    <w:rsid w:val="00B42EB9"/>
    <w:rsid w:val="00B43D66"/>
    <w:rsid w:val="00B4561B"/>
    <w:rsid w:val="00B45A5D"/>
    <w:rsid w:val="00B464E4"/>
    <w:rsid w:val="00B46D5F"/>
    <w:rsid w:val="00B46FC2"/>
    <w:rsid w:val="00B47DC5"/>
    <w:rsid w:val="00B505B3"/>
    <w:rsid w:val="00B520A0"/>
    <w:rsid w:val="00B5258A"/>
    <w:rsid w:val="00B525CE"/>
    <w:rsid w:val="00B528F8"/>
    <w:rsid w:val="00B558E4"/>
    <w:rsid w:val="00B55F67"/>
    <w:rsid w:val="00B565B5"/>
    <w:rsid w:val="00B56DF0"/>
    <w:rsid w:val="00B61EE8"/>
    <w:rsid w:val="00B621FF"/>
    <w:rsid w:val="00B63533"/>
    <w:rsid w:val="00B636AA"/>
    <w:rsid w:val="00B63909"/>
    <w:rsid w:val="00B647D4"/>
    <w:rsid w:val="00B64A0E"/>
    <w:rsid w:val="00B64F4D"/>
    <w:rsid w:val="00B6577B"/>
    <w:rsid w:val="00B6601E"/>
    <w:rsid w:val="00B663AA"/>
    <w:rsid w:val="00B67510"/>
    <w:rsid w:val="00B67B97"/>
    <w:rsid w:val="00B7045A"/>
    <w:rsid w:val="00B711AB"/>
    <w:rsid w:val="00B7255A"/>
    <w:rsid w:val="00B725E7"/>
    <w:rsid w:val="00B72C07"/>
    <w:rsid w:val="00B72DF7"/>
    <w:rsid w:val="00B73E67"/>
    <w:rsid w:val="00B7566F"/>
    <w:rsid w:val="00B83A62"/>
    <w:rsid w:val="00B83F50"/>
    <w:rsid w:val="00B84FC6"/>
    <w:rsid w:val="00B857F5"/>
    <w:rsid w:val="00B85FFE"/>
    <w:rsid w:val="00B8692B"/>
    <w:rsid w:val="00B90623"/>
    <w:rsid w:val="00B90853"/>
    <w:rsid w:val="00B92B9E"/>
    <w:rsid w:val="00B9425C"/>
    <w:rsid w:val="00B95253"/>
    <w:rsid w:val="00B953FF"/>
    <w:rsid w:val="00B967CD"/>
    <w:rsid w:val="00B968A5"/>
    <w:rsid w:val="00B97529"/>
    <w:rsid w:val="00BA14A2"/>
    <w:rsid w:val="00BA14A9"/>
    <w:rsid w:val="00BA28EE"/>
    <w:rsid w:val="00BA30CD"/>
    <w:rsid w:val="00BA6511"/>
    <w:rsid w:val="00BA7172"/>
    <w:rsid w:val="00BA79C6"/>
    <w:rsid w:val="00BA7B01"/>
    <w:rsid w:val="00BB1B33"/>
    <w:rsid w:val="00BB235D"/>
    <w:rsid w:val="00BB2BD9"/>
    <w:rsid w:val="00BB2EAE"/>
    <w:rsid w:val="00BB3206"/>
    <w:rsid w:val="00BB37FB"/>
    <w:rsid w:val="00BB3B0D"/>
    <w:rsid w:val="00BB4191"/>
    <w:rsid w:val="00BB524C"/>
    <w:rsid w:val="00BB61A3"/>
    <w:rsid w:val="00BB6241"/>
    <w:rsid w:val="00BB707E"/>
    <w:rsid w:val="00BB73EF"/>
    <w:rsid w:val="00BC007C"/>
    <w:rsid w:val="00BC04F2"/>
    <w:rsid w:val="00BC0A2A"/>
    <w:rsid w:val="00BC0AB2"/>
    <w:rsid w:val="00BC1EFE"/>
    <w:rsid w:val="00BC26C5"/>
    <w:rsid w:val="00BC331C"/>
    <w:rsid w:val="00BC3D66"/>
    <w:rsid w:val="00BC4780"/>
    <w:rsid w:val="00BC52C8"/>
    <w:rsid w:val="00BC619D"/>
    <w:rsid w:val="00BC61A5"/>
    <w:rsid w:val="00BC66AF"/>
    <w:rsid w:val="00BC6799"/>
    <w:rsid w:val="00BC69A2"/>
    <w:rsid w:val="00BD0570"/>
    <w:rsid w:val="00BD188E"/>
    <w:rsid w:val="00BD1C18"/>
    <w:rsid w:val="00BD32D4"/>
    <w:rsid w:val="00BD3FCF"/>
    <w:rsid w:val="00BD42D2"/>
    <w:rsid w:val="00BD462A"/>
    <w:rsid w:val="00BD5FB1"/>
    <w:rsid w:val="00BD6189"/>
    <w:rsid w:val="00BD7BB4"/>
    <w:rsid w:val="00BE0C27"/>
    <w:rsid w:val="00BE0E39"/>
    <w:rsid w:val="00BE1C54"/>
    <w:rsid w:val="00BE2B60"/>
    <w:rsid w:val="00BE2F87"/>
    <w:rsid w:val="00BE3166"/>
    <w:rsid w:val="00BE4398"/>
    <w:rsid w:val="00BE5F43"/>
    <w:rsid w:val="00BE660B"/>
    <w:rsid w:val="00BE695C"/>
    <w:rsid w:val="00BE6BBE"/>
    <w:rsid w:val="00BE7996"/>
    <w:rsid w:val="00BF044A"/>
    <w:rsid w:val="00BF0700"/>
    <w:rsid w:val="00BF1750"/>
    <w:rsid w:val="00BF1F65"/>
    <w:rsid w:val="00BF1FBD"/>
    <w:rsid w:val="00BF243F"/>
    <w:rsid w:val="00BF4C2B"/>
    <w:rsid w:val="00BF4D8F"/>
    <w:rsid w:val="00BF551D"/>
    <w:rsid w:val="00BF5CA0"/>
    <w:rsid w:val="00BF6ACC"/>
    <w:rsid w:val="00BF7558"/>
    <w:rsid w:val="00BF78A3"/>
    <w:rsid w:val="00C011D2"/>
    <w:rsid w:val="00C025C4"/>
    <w:rsid w:val="00C03F3C"/>
    <w:rsid w:val="00C04DF0"/>
    <w:rsid w:val="00C05A4C"/>
    <w:rsid w:val="00C067FD"/>
    <w:rsid w:val="00C06B9D"/>
    <w:rsid w:val="00C11113"/>
    <w:rsid w:val="00C11E28"/>
    <w:rsid w:val="00C128C9"/>
    <w:rsid w:val="00C12A48"/>
    <w:rsid w:val="00C12D0A"/>
    <w:rsid w:val="00C12F88"/>
    <w:rsid w:val="00C131A8"/>
    <w:rsid w:val="00C1322D"/>
    <w:rsid w:val="00C135A3"/>
    <w:rsid w:val="00C159B1"/>
    <w:rsid w:val="00C161F5"/>
    <w:rsid w:val="00C16A72"/>
    <w:rsid w:val="00C16C92"/>
    <w:rsid w:val="00C209CC"/>
    <w:rsid w:val="00C2146C"/>
    <w:rsid w:val="00C241AF"/>
    <w:rsid w:val="00C243A4"/>
    <w:rsid w:val="00C247EC"/>
    <w:rsid w:val="00C26D52"/>
    <w:rsid w:val="00C26E68"/>
    <w:rsid w:val="00C303E4"/>
    <w:rsid w:val="00C30775"/>
    <w:rsid w:val="00C30993"/>
    <w:rsid w:val="00C30D26"/>
    <w:rsid w:val="00C3151B"/>
    <w:rsid w:val="00C32BE8"/>
    <w:rsid w:val="00C34409"/>
    <w:rsid w:val="00C3698E"/>
    <w:rsid w:val="00C36CCA"/>
    <w:rsid w:val="00C379C5"/>
    <w:rsid w:val="00C37EFD"/>
    <w:rsid w:val="00C40F1D"/>
    <w:rsid w:val="00C423A4"/>
    <w:rsid w:val="00C4274C"/>
    <w:rsid w:val="00C42CEF"/>
    <w:rsid w:val="00C4338A"/>
    <w:rsid w:val="00C4370E"/>
    <w:rsid w:val="00C43823"/>
    <w:rsid w:val="00C44A91"/>
    <w:rsid w:val="00C458D6"/>
    <w:rsid w:val="00C46940"/>
    <w:rsid w:val="00C51B3B"/>
    <w:rsid w:val="00C51D73"/>
    <w:rsid w:val="00C52E97"/>
    <w:rsid w:val="00C53162"/>
    <w:rsid w:val="00C54F68"/>
    <w:rsid w:val="00C556AF"/>
    <w:rsid w:val="00C55A05"/>
    <w:rsid w:val="00C55F71"/>
    <w:rsid w:val="00C56197"/>
    <w:rsid w:val="00C56979"/>
    <w:rsid w:val="00C56F96"/>
    <w:rsid w:val="00C6068C"/>
    <w:rsid w:val="00C61574"/>
    <w:rsid w:val="00C6211D"/>
    <w:rsid w:val="00C63711"/>
    <w:rsid w:val="00C63A46"/>
    <w:rsid w:val="00C63F59"/>
    <w:rsid w:val="00C645D4"/>
    <w:rsid w:val="00C65161"/>
    <w:rsid w:val="00C65585"/>
    <w:rsid w:val="00C65DA1"/>
    <w:rsid w:val="00C672FE"/>
    <w:rsid w:val="00C71279"/>
    <w:rsid w:val="00C713A1"/>
    <w:rsid w:val="00C71828"/>
    <w:rsid w:val="00C730B4"/>
    <w:rsid w:val="00C73312"/>
    <w:rsid w:val="00C75B15"/>
    <w:rsid w:val="00C76028"/>
    <w:rsid w:val="00C76B3A"/>
    <w:rsid w:val="00C76CE3"/>
    <w:rsid w:val="00C77942"/>
    <w:rsid w:val="00C77E47"/>
    <w:rsid w:val="00C80B4B"/>
    <w:rsid w:val="00C81269"/>
    <w:rsid w:val="00C81DF5"/>
    <w:rsid w:val="00C8208D"/>
    <w:rsid w:val="00C82A50"/>
    <w:rsid w:val="00C833EE"/>
    <w:rsid w:val="00C83768"/>
    <w:rsid w:val="00C83B18"/>
    <w:rsid w:val="00C841B4"/>
    <w:rsid w:val="00C84772"/>
    <w:rsid w:val="00C849E0"/>
    <w:rsid w:val="00C849E3"/>
    <w:rsid w:val="00C84C9A"/>
    <w:rsid w:val="00C8582D"/>
    <w:rsid w:val="00C8694D"/>
    <w:rsid w:val="00C9039E"/>
    <w:rsid w:val="00C904B8"/>
    <w:rsid w:val="00C90733"/>
    <w:rsid w:val="00C90BF4"/>
    <w:rsid w:val="00C92ACC"/>
    <w:rsid w:val="00C93EEC"/>
    <w:rsid w:val="00C94B6F"/>
    <w:rsid w:val="00C94FD2"/>
    <w:rsid w:val="00C95341"/>
    <w:rsid w:val="00C964C3"/>
    <w:rsid w:val="00C9687B"/>
    <w:rsid w:val="00C96D9D"/>
    <w:rsid w:val="00C97EE3"/>
    <w:rsid w:val="00CA085D"/>
    <w:rsid w:val="00CA12BA"/>
    <w:rsid w:val="00CA1A68"/>
    <w:rsid w:val="00CA1C0D"/>
    <w:rsid w:val="00CA3409"/>
    <w:rsid w:val="00CA48BE"/>
    <w:rsid w:val="00CA51EC"/>
    <w:rsid w:val="00CA525F"/>
    <w:rsid w:val="00CA5BB2"/>
    <w:rsid w:val="00CA6CAD"/>
    <w:rsid w:val="00CA6CF5"/>
    <w:rsid w:val="00CA70A8"/>
    <w:rsid w:val="00CA74A4"/>
    <w:rsid w:val="00CA7683"/>
    <w:rsid w:val="00CA7EEB"/>
    <w:rsid w:val="00CB009B"/>
    <w:rsid w:val="00CB15E0"/>
    <w:rsid w:val="00CB15F5"/>
    <w:rsid w:val="00CB1EB3"/>
    <w:rsid w:val="00CB2A97"/>
    <w:rsid w:val="00CB2C59"/>
    <w:rsid w:val="00CB34AB"/>
    <w:rsid w:val="00CB400D"/>
    <w:rsid w:val="00CB6208"/>
    <w:rsid w:val="00CB724D"/>
    <w:rsid w:val="00CC0CBC"/>
    <w:rsid w:val="00CC18AC"/>
    <w:rsid w:val="00CC27FD"/>
    <w:rsid w:val="00CC2DA9"/>
    <w:rsid w:val="00CC367F"/>
    <w:rsid w:val="00CC45E0"/>
    <w:rsid w:val="00CC5FC5"/>
    <w:rsid w:val="00CC69F8"/>
    <w:rsid w:val="00CC7BC5"/>
    <w:rsid w:val="00CD1169"/>
    <w:rsid w:val="00CD16C7"/>
    <w:rsid w:val="00CD180F"/>
    <w:rsid w:val="00CD1A40"/>
    <w:rsid w:val="00CD2545"/>
    <w:rsid w:val="00CD25F3"/>
    <w:rsid w:val="00CD2699"/>
    <w:rsid w:val="00CD2AA8"/>
    <w:rsid w:val="00CD39C7"/>
    <w:rsid w:val="00CD3A6D"/>
    <w:rsid w:val="00CD59DD"/>
    <w:rsid w:val="00CD5FB9"/>
    <w:rsid w:val="00CD60C9"/>
    <w:rsid w:val="00CD735F"/>
    <w:rsid w:val="00CD7894"/>
    <w:rsid w:val="00CE0773"/>
    <w:rsid w:val="00CE1743"/>
    <w:rsid w:val="00CE20E3"/>
    <w:rsid w:val="00CE273A"/>
    <w:rsid w:val="00CE2F66"/>
    <w:rsid w:val="00CE321C"/>
    <w:rsid w:val="00CE3700"/>
    <w:rsid w:val="00CE44A9"/>
    <w:rsid w:val="00CE5118"/>
    <w:rsid w:val="00CE59B5"/>
    <w:rsid w:val="00CE64F6"/>
    <w:rsid w:val="00CF0E14"/>
    <w:rsid w:val="00CF1833"/>
    <w:rsid w:val="00CF1AEA"/>
    <w:rsid w:val="00CF3864"/>
    <w:rsid w:val="00CF3FE7"/>
    <w:rsid w:val="00CF447C"/>
    <w:rsid w:val="00CF4C20"/>
    <w:rsid w:val="00CF5762"/>
    <w:rsid w:val="00CF6CA6"/>
    <w:rsid w:val="00CF7485"/>
    <w:rsid w:val="00CF7564"/>
    <w:rsid w:val="00D01080"/>
    <w:rsid w:val="00D0187B"/>
    <w:rsid w:val="00D02466"/>
    <w:rsid w:val="00D03181"/>
    <w:rsid w:val="00D03ADF"/>
    <w:rsid w:val="00D045D7"/>
    <w:rsid w:val="00D05149"/>
    <w:rsid w:val="00D05249"/>
    <w:rsid w:val="00D06861"/>
    <w:rsid w:val="00D072C6"/>
    <w:rsid w:val="00D131BF"/>
    <w:rsid w:val="00D140E6"/>
    <w:rsid w:val="00D14662"/>
    <w:rsid w:val="00D161BA"/>
    <w:rsid w:val="00D179D8"/>
    <w:rsid w:val="00D17BA5"/>
    <w:rsid w:val="00D17EF5"/>
    <w:rsid w:val="00D17F9B"/>
    <w:rsid w:val="00D2211C"/>
    <w:rsid w:val="00D2239F"/>
    <w:rsid w:val="00D22B55"/>
    <w:rsid w:val="00D23561"/>
    <w:rsid w:val="00D247D7"/>
    <w:rsid w:val="00D26B6D"/>
    <w:rsid w:val="00D27632"/>
    <w:rsid w:val="00D27E5F"/>
    <w:rsid w:val="00D308E3"/>
    <w:rsid w:val="00D30AA8"/>
    <w:rsid w:val="00D31C6F"/>
    <w:rsid w:val="00D31D50"/>
    <w:rsid w:val="00D324BC"/>
    <w:rsid w:val="00D32FBD"/>
    <w:rsid w:val="00D33457"/>
    <w:rsid w:val="00D3345B"/>
    <w:rsid w:val="00D33565"/>
    <w:rsid w:val="00D33762"/>
    <w:rsid w:val="00D35177"/>
    <w:rsid w:val="00D354F7"/>
    <w:rsid w:val="00D356E1"/>
    <w:rsid w:val="00D37B3B"/>
    <w:rsid w:val="00D40609"/>
    <w:rsid w:val="00D40983"/>
    <w:rsid w:val="00D40EB8"/>
    <w:rsid w:val="00D41DB1"/>
    <w:rsid w:val="00D42798"/>
    <w:rsid w:val="00D45807"/>
    <w:rsid w:val="00D45CA4"/>
    <w:rsid w:val="00D45EA7"/>
    <w:rsid w:val="00D476E6"/>
    <w:rsid w:val="00D50B06"/>
    <w:rsid w:val="00D51BDD"/>
    <w:rsid w:val="00D51F73"/>
    <w:rsid w:val="00D51F75"/>
    <w:rsid w:val="00D52584"/>
    <w:rsid w:val="00D52AAE"/>
    <w:rsid w:val="00D52C13"/>
    <w:rsid w:val="00D52ED4"/>
    <w:rsid w:val="00D55515"/>
    <w:rsid w:val="00D55743"/>
    <w:rsid w:val="00D55C48"/>
    <w:rsid w:val="00D55E47"/>
    <w:rsid w:val="00D5631A"/>
    <w:rsid w:val="00D56997"/>
    <w:rsid w:val="00D56E56"/>
    <w:rsid w:val="00D60D7F"/>
    <w:rsid w:val="00D62DFA"/>
    <w:rsid w:val="00D63B70"/>
    <w:rsid w:val="00D64702"/>
    <w:rsid w:val="00D67725"/>
    <w:rsid w:val="00D70425"/>
    <w:rsid w:val="00D704D9"/>
    <w:rsid w:val="00D70BD2"/>
    <w:rsid w:val="00D71013"/>
    <w:rsid w:val="00D7101A"/>
    <w:rsid w:val="00D71C1F"/>
    <w:rsid w:val="00D74103"/>
    <w:rsid w:val="00D743A6"/>
    <w:rsid w:val="00D74B66"/>
    <w:rsid w:val="00D775B5"/>
    <w:rsid w:val="00D77B3B"/>
    <w:rsid w:val="00D8079F"/>
    <w:rsid w:val="00D80D79"/>
    <w:rsid w:val="00D81242"/>
    <w:rsid w:val="00D8130B"/>
    <w:rsid w:val="00D81734"/>
    <w:rsid w:val="00D82DCA"/>
    <w:rsid w:val="00D82E02"/>
    <w:rsid w:val="00D83A5A"/>
    <w:rsid w:val="00D84157"/>
    <w:rsid w:val="00D84734"/>
    <w:rsid w:val="00D84DCA"/>
    <w:rsid w:val="00D85114"/>
    <w:rsid w:val="00D85A5C"/>
    <w:rsid w:val="00D85B19"/>
    <w:rsid w:val="00D866CE"/>
    <w:rsid w:val="00D90DD5"/>
    <w:rsid w:val="00D91410"/>
    <w:rsid w:val="00D91438"/>
    <w:rsid w:val="00D91594"/>
    <w:rsid w:val="00D91AF1"/>
    <w:rsid w:val="00D91DFB"/>
    <w:rsid w:val="00D922E4"/>
    <w:rsid w:val="00D92F7F"/>
    <w:rsid w:val="00D9363B"/>
    <w:rsid w:val="00D9453E"/>
    <w:rsid w:val="00D9483A"/>
    <w:rsid w:val="00D954A1"/>
    <w:rsid w:val="00D95519"/>
    <w:rsid w:val="00D95E8F"/>
    <w:rsid w:val="00D964A8"/>
    <w:rsid w:val="00D96678"/>
    <w:rsid w:val="00D9689C"/>
    <w:rsid w:val="00D96D46"/>
    <w:rsid w:val="00D96EB4"/>
    <w:rsid w:val="00DA0C27"/>
    <w:rsid w:val="00DA0CF7"/>
    <w:rsid w:val="00DA1203"/>
    <w:rsid w:val="00DA1ADE"/>
    <w:rsid w:val="00DA1F0C"/>
    <w:rsid w:val="00DA3636"/>
    <w:rsid w:val="00DA3A5B"/>
    <w:rsid w:val="00DA3C78"/>
    <w:rsid w:val="00DA4406"/>
    <w:rsid w:val="00DA48D9"/>
    <w:rsid w:val="00DA53E6"/>
    <w:rsid w:val="00DA6309"/>
    <w:rsid w:val="00DA64A7"/>
    <w:rsid w:val="00DA6CC2"/>
    <w:rsid w:val="00DB0377"/>
    <w:rsid w:val="00DB09A2"/>
    <w:rsid w:val="00DB0E10"/>
    <w:rsid w:val="00DB103D"/>
    <w:rsid w:val="00DB1067"/>
    <w:rsid w:val="00DB1998"/>
    <w:rsid w:val="00DB19F1"/>
    <w:rsid w:val="00DB1A64"/>
    <w:rsid w:val="00DB1FC4"/>
    <w:rsid w:val="00DB21F0"/>
    <w:rsid w:val="00DB297A"/>
    <w:rsid w:val="00DB31DA"/>
    <w:rsid w:val="00DB3A58"/>
    <w:rsid w:val="00DB3BDF"/>
    <w:rsid w:val="00DB3E49"/>
    <w:rsid w:val="00DB4356"/>
    <w:rsid w:val="00DB4F2F"/>
    <w:rsid w:val="00DB5688"/>
    <w:rsid w:val="00DB57AB"/>
    <w:rsid w:val="00DB5A63"/>
    <w:rsid w:val="00DB656B"/>
    <w:rsid w:val="00DB66C6"/>
    <w:rsid w:val="00DB723E"/>
    <w:rsid w:val="00DB75A3"/>
    <w:rsid w:val="00DC0D97"/>
    <w:rsid w:val="00DC16E1"/>
    <w:rsid w:val="00DC1DA1"/>
    <w:rsid w:val="00DC1E1F"/>
    <w:rsid w:val="00DC291D"/>
    <w:rsid w:val="00DC3465"/>
    <w:rsid w:val="00DC43E1"/>
    <w:rsid w:val="00DC5199"/>
    <w:rsid w:val="00DC5A32"/>
    <w:rsid w:val="00DC5E4E"/>
    <w:rsid w:val="00DC651B"/>
    <w:rsid w:val="00DC729A"/>
    <w:rsid w:val="00DC7630"/>
    <w:rsid w:val="00DC7866"/>
    <w:rsid w:val="00DD04AC"/>
    <w:rsid w:val="00DD0891"/>
    <w:rsid w:val="00DD0B35"/>
    <w:rsid w:val="00DD0ECB"/>
    <w:rsid w:val="00DD0F9F"/>
    <w:rsid w:val="00DD11A7"/>
    <w:rsid w:val="00DD2300"/>
    <w:rsid w:val="00DD37CA"/>
    <w:rsid w:val="00DD51F8"/>
    <w:rsid w:val="00DD6388"/>
    <w:rsid w:val="00DD6562"/>
    <w:rsid w:val="00DD6E3C"/>
    <w:rsid w:val="00DE0137"/>
    <w:rsid w:val="00DE01BA"/>
    <w:rsid w:val="00DE03F1"/>
    <w:rsid w:val="00DE0DCF"/>
    <w:rsid w:val="00DE21C6"/>
    <w:rsid w:val="00DE2D49"/>
    <w:rsid w:val="00DE3D3E"/>
    <w:rsid w:val="00DE426F"/>
    <w:rsid w:val="00DE4C0C"/>
    <w:rsid w:val="00DE6B54"/>
    <w:rsid w:val="00DE75F0"/>
    <w:rsid w:val="00DF53EA"/>
    <w:rsid w:val="00DF73F8"/>
    <w:rsid w:val="00DF7BD0"/>
    <w:rsid w:val="00E00303"/>
    <w:rsid w:val="00E00A62"/>
    <w:rsid w:val="00E01849"/>
    <w:rsid w:val="00E01DB2"/>
    <w:rsid w:val="00E02B64"/>
    <w:rsid w:val="00E02CEA"/>
    <w:rsid w:val="00E02DAD"/>
    <w:rsid w:val="00E02EAD"/>
    <w:rsid w:val="00E035AF"/>
    <w:rsid w:val="00E0452C"/>
    <w:rsid w:val="00E05074"/>
    <w:rsid w:val="00E05489"/>
    <w:rsid w:val="00E05D16"/>
    <w:rsid w:val="00E05E28"/>
    <w:rsid w:val="00E06866"/>
    <w:rsid w:val="00E07EFF"/>
    <w:rsid w:val="00E10C99"/>
    <w:rsid w:val="00E10F7F"/>
    <w:rsid w:val="00E11711"/>
    <w:rsid w:val="00E11DFC"/>
    <w:rsid w:val="00E11E63"/>
    <w:rsid w:val="00E13293"/>
    <w:rsid w:val="00E13359"/>
    <w:rsid w:val="00E138BF"/>
    <w:rsid w:val="00E14EFA"/>
    <w:rsid w:val="00E158C1"/>
    <w:rsid w:val="00E158C4"/>
    <w:rsid w:val="00E1698C"/>
    <w:rsid w:val="00E176F9"/>
    <w:rsid w:val="00E203CB"/>
    <w:rsid w:val="00E225A0"/>
    <w:rsid w:val="00E2334A"/>
    <w:rsid w:val="00E23FD5"/>
    <w:rsid w:val="00E250A9"/>
    <w:rsid w:val="00E25230"/>
    <w:rsid w:val="00E26141"/>
    <w:rsid w:val="00E266F5"/>
    <w:rsid w:val="00E27FC7"/>
    <w:rsid w:val="00E308B2"/>
    <w:rsid w:val="00E32C8E"/>
    <w:rsid w:val="00E33257"/>
    <w:rsid w:val="00E3325B"/>
    <w:rsid w:val="00E34F3A"/>
    <w:rsid w:val="00E3637F"/>
    <w:rsid w:val="00E363C1"/>
    <w:rsid w:val="00E3713C"/>
    <w:rsid w:val="00E37E1C"/>
    <w:rsid w:val="00E4033F"/>
    <w:rsid w:val="00E40CBF"/>
    <w:rsid w:val="00E40E0E"/>
    <w:rsid w:val="00E41981"/>
    <w:rsid w:val="00E41C53"/>
    <w:rsid w:val="00E42D9A"/>
    <w:rsid w:val="00E42FFE"/>
    <w:rsid w:val="00E44777"/>
    <w:rsid w:val="00E44A36"/>
    <w:rsid w:val="00E4535F"/>
    <w:rsid w:val="00E4639F"/>
    <w:rsid w:val="00E50114"/>
    <w:rsid w:val="00E506BF"/>
    <w:rsid w:val="00E50CE3"/>
    <w:rsid w:val="00E51468"/>
    <w:rsid w:val="00E5219A"/>
    <w:rsid w:val="00E52C49"/>
    <w:rsid w:val="00E53848"/>
    <w:rsid w:val="00E563C1"/>
    <w:rsid w:val="00E56D4A"/>
    <w:rsid w:val="00E57A30"/>
    <w:rsid w:val="00E602E5"/>
    <w:rsid w:val="00E60BEF"/>
    <w:rsid w:val="00E60C03"/>
    <w:rsid w:val="00E60FBF"/>
    <w:rsid w:val="00E6549C"/>
    <w:rsid w:val="00E654B9"/>
    <w:rsid w:val="00E65E8C"/>
    <w:rsid w:val="00E665E7"/>
    <w:rsid w:val="00E730FC"/>
    <w:rsid w:val="00E74780"/>
    <w:rsid w:val="00E752F7"/>
    <w:rsid w:val="00E754EE"/>
    <w:rsid w:val="00E75848"/>
    <w:rsid w:val="00E7668B"/>
    <w:rsid w:val="00E77BDD"/>
    <w:rsid w:val="00E806D3"/>
    <w:rsid w:val="00E82070"/>
    <w:rsid w:val="00E822E9"/>
    <w:rsid w:val="00E85E4E"/>
    <w:rsid w:val="00E93042"/>
    <w:rsid w:val="00E9316F"/>
    <w:rsid w:val="00E93598"/>
    <w:rsid w:val="00E93D0F"/>
    <w:rsid w:val="00E941EC"/>
    <w:rsid w:val="00E9555B"/>
    <w:rsid w:val="00E955C5"/>
    <w:rsid w:val="00E97C03"/>
    <w:rsid w:val="00EA01D8"/>
    <w:rsid w:val="00EA0327"/>
    <w:rsid w:val="00EA1FBC"/>
    <w:rsid w:val="00EA20A1"/>
    <w:rsid w:val="00EA26D9"/>
    <w:rsid w:val="00EA2844"/>
    <w:rsid w:val="00EA3104"/>
    <w:rsid w:val="00EA3AAD"/>
    <w:rsid w:val="00EA3AF3"/>
    <w:rsid w:val="00EA3CD7"/>
    <w:rsid w:val="00EA3E23"/>
    <w:rsid w:val="00EA4145"/>
    <w:rsid w:val="00EA429D"/>
    <w:rsid w:val="00EA493E"/>
    <w:rsid w:val="00EA75BD"/>
    <w:rsid w:val="00EA7FE7"/>
    <w:rsid w:val="00EB0D39"/>
    <w:rsid w:val="00EB1585"/>
    <w:rsid w:val="00EB3422"/>
    <w:rsid w:val="00EB4EAF"/>
    <w:rsid w:val="00EB5093"/>
    <w:rsid w:val="00EB677F"/>
    <w:rsid w:val="00EB743F"/>
    <w:rsid w:val="00EB756B"/>
    <w:rsid w:val="00EB7AA0"/>
    <w:rsid w:val="00EB7FEC"/>
    <w:rsid w:val="00EC1056"/>
    <w:rsid w:val="00EC222E"/>
    <w:rsid w:val="00EC2716"/>
    <w:rsid w:val="00EC2DBB"/>
    <w:rsid w:val="00EC426D"/>
    <w:rsid w:val="00EC597E"/>
    <w:rsid w:val="00EC5F38"/>
    <w:rsid w:val="00EC613F"/>
    <w:rsid w:val="00EC6BD7"/>
    <w:rsid w:val="00EC72E2"/>
    <w:rsid w:val="00EC7ADD"/>
    <w:rsid w:val="00ED2D55"/>
    <w:rsid w:val="00ED3145"/>
    <w:rsid w:val="00ED393C"/>
    <w:rsid w:val="00ED39A3"/>
    <w:rsid w:val="00ED4060"/>
    <w:rsid w:val="00ED5E02"/>
    <w:rsid w:val="00ED5EED"/>
    <w:rsid w:val="00ED6B1C"/>
    <w:rsid w:val="00ED6E82"/>
    <w:rsid w:val="00EE1B0E"/>
    <w:rsid w:val="00EE2015"/>
    <w:rsid w:val="00EE2725"/>
    <w:rsid w:val="00EE44CF"/>
    <w:rsid w:val="00EE4B75"/>
    <w:rsid w:val="00EE55EC"/>
    <w:rsid w:val="00EE6EBF"/>
    <w:rsid w:val="00EE784F"/>
    <w:rsid w:val="00EE7DB7"/>
    <w:rsid w:val="00EF143F"/>
    <w:rsid w:val="00EF1AAF"/>
    <w:rsid w:val="00EF23D8"/>
    <w:rsid w:val="00EF2B9F"/>
    <w:rsid w:val="00EF3398"/>
    <w:rsid w:val="00EF3D8A"/>
    <w:rsid w:val="00EF644D"/>
    <w:rsid w:val="00EF6B55"/>
    <w:rsid w:val="00EF6BAF"/>
    <w:rsid w:val="00EF6D29"/>
    <w:rsid w:val="00EF773F"/>
    <w:rsid w:val="00F005BA"/>
    <w:rsid w:val="00F00917"/>
    <w:rsid w:val="00F010BB"/>
    <w:rsid w:val="00F02969"/>
    <w:rsid w:val="00F03280"/>
    <w:rsid w:val="00F0362A"/>
    <w:rsid w:val="00F0385C"/>
    <w:rsid w:val="00F03ABE"/>
    <w:rsid w:val="00F04474"/>
    <w:rsid w:val="00F047A4"/>
    <w:rsid w:val="00F04F52"/>
    <w:rsid w:val="00F066CD"/>
    <w:rsid w:val="00F074C9"/>
    <w:rsid w:val="00F07CA2"/>
    <w:rsid w:val="00F07F5E"/>
    <w:rsid w:val="00F10167"/>
    <w:rsid w:val="00F106BB"/>
    <w:rsid w:val="00F1089C"/>
    <w:rsid w:val="00F11223"/>
    <w:rsid w:val="00F11E31"/>
    <w:rsid w:val="00F12F91"/>
    <w:rsid w:val="00F1355F"/>
    <w:rsid w:val="00F13F2A"/>
    <w:rsid w:val="00F1437E"/>
    <w:rsid w:val="00F15671"/>
    <w:rsid w:val="00F15B74"/>
    <w:rsid w:val="00F17421"/>
    <w:rsid w:val="00F202E3"/>
    <w:rsid w:val="00F20C6E"/>
    <w:rsid w:val="00F23938"/>
    <w:rsid w:val="00F24076"/>
    <w:rsid w:val="00F24B83"/>
    <w:rsid w:val="00F2500D"/>
    <w:rsid w:val="00F277E8"/>
    <w:rsid w:val="00F27E3D"/>
    <w:rsid w:val="00F3006F"/>
    <w:rsid w:val="00F301D0"/>
    <w:rsid w:val="00F30C60"/>
    <w:rsid w:val="00F30EF5"/>
    <w:rsid w:val="00F30F33"/>
    <w:rsid w:val="00F3158A"/>
    <w:rsid w:val="00F31720"/>
    <w:rsid w:val="00F31770"/>
    <w:rsid w:val="00F31F7D"/>
    <w:rsid w:val="00F33C38"/>
    <w:rsid w:val="00F33D0D"/>
    <w:rsid w:val="00F34A96"/>
    <w:rsid w:val="00F34EBF"/>
    <w:rsid w:val="00F36E40"/>
    <w:rsid w:val="00F3719A"/>
    <w:rsid w:val="00F371D6"/>
    <w:rsid w:val="00F3772B"/>
    <w:rsid w:val="00F40C5E"/>
    <w:rsid w:val="00F4163A"/>
    <w:rsid w:val="00F41FC9"/>
    <w:rsid w:val="00F423BE"/>
    <w:rsid w:val="00F424A5"/>
    <w:rsid w:val="00F428AC"/>
    <w:rsid w:val="00F471FD"/>
    <w:rsid w:val="00F474CB"/>
    <w:rsid w:val="00F50A8A"/>
    <w:rsid w:val="00F52A6E"/>
    <w:rsid w:val="00F5497A"/>
    <w:rsid w:val="00F55F1A"/>
    <w:rsid w:val="00F577FC"/>
    <w:rsid w:val="00F61161"/>
    <w:rsid w:val="00F61A52"/>
    <w:rsid w:val="00F63C89"/>
    <w:rsid w:val="00F647EC"/>
    <w:rsid w:val="00F657AF"/>
    <w:rsid w:val="00F65A2B"/>
    <w:rsid w:val="00F65AEC"/>
    <w:rsid w:val="00F65F15"/>
    <w:rsid w:val="00F66715"/>
    <w:rsid w:val="00F675EA"/>
    <w:rsid w:val="00F717C1"/>
    <w:rsid w:val="00F72B36"/>
    <w:rsid w:val="00F72BFF"/>
    <w:rsid w:val="00F73022"/>
    <w:rsid w:val="00F75A24"/>
    <w:rsid w:val="00F7611F"/>
    <w:rsid w:val="00F775C9"/>
    <w:rsid w:val="00F820B0"/>
    <w:rsid w:val="00F83F06"/>
    <w:rsid w:val="00F84730"/>
    <w:rsid w:val="00F84B4E"/>
    <w:rsid w:val="00F84E92"/>
    <w:rsid w:val="00F851B7"/>
    <w:rsid w:val="00F858D4"/>
    <w:rsid w:val="00F85FA1"/>
    <w:rsid w:val="00F86968"/>
    <w:rsid w:val="00F86AF8"/>
    <w:rsid w:val="00F876E6"/>
    <w:rsid w:val="00F9008B"/>
    <w:rsid w:val="00F90A1E"/>
    <w:rsid w:val="00F914A9"/>
    <w:rsid w:val="00F91669"/>
    <w:rsid w:val="00F917F7"/>
    <w:rsid w:val="00F91943"/>
    <w:rsid w:val="00F92F3F"/>
    <w:rsid w:val="00F9325D"/>
    <w:rsid w:val="00F93A31"/>
    <w:rsid w:val="00F93D6E"/>
    <w:rsid w:val="00F94270"/>
    <w:rsid w:val="00F95CC2"/>
    <w:rsid w:val="00F96F4C"/>
    <w:rsid w:val="00F97DC9"/>
    <w:rsid w:val="00FA04CD"/>
    <w:rsid w:val="00FA0980"/>
    <w:rsid w:val="00FA181F"/>
    <w:rsid w:val="00FA1C18"/>
    <w:rsid w:val="00FA2137"/>
    <w:rsid w:val="00FA2F37"/>
    <w:rsid w:val="00FA30C1"/>
    <w:rsid w:val="00FA338D"/>
    <w:rsid w:val="00FA3742"/>
    <w:rsid w:val="00FA3837"/>
    <w:rsid w:val="00FA4538"/>
    <w:rsid w:val="00FA4878"/>
    <w:rsid w:val="00FA4998"/>
    <w:rsid w:val="00FA4DC2"/>
    <w:rsid w:val="00FA4E38"/>
    <w:rsid w:val="00FA6484"/>
    <w:rsid w:val="00FA67E3"/>
    <w:rsid w:val="00FA6B72"/>
    <w:rsid w:val="00FA7A2D"/>
    <w:rsid w:val="00FB01D6"/>
    <w:rsid w:val="00FB0CC6"/>
    <w:rsid w:val="00FB0FE6"/>
    <w:rsid w:val="00FB2BF4"/>
    <w:rsid w:val="00FB3388"/>
    <w:rsid w:val="00FB4BCA"/>
    <w:rsid w:val="00FB62B1"/>
    <w:rsid w:val="00FB716E"/>
    <w:rsid w:val="00FB71B0"/>
    <w:rsid w:val="00FB7698"/>
    <w:rsid w:val="00FB7ABA"/>
    <w:rsid w:val="00FB7C46"/>
    <w:rsid w:val="00FC11C6"/>
    <w:rsid w:val="00FC1C1E"/>
    <w:rsid w:val="00FC279A"/>
    <w:rsid w:val="00FC39A1"/>
    <w:rsid w:val="00FC3BD8"/>
    <w:rsid w:val="00FC422C"/>
    <w:rsid w:val="00FC428E"/>
    <w:rsid w:val="00FC4939"/>
    <w:rsid w:val="00FC4B53"/>
    <w:rsid w:val="00FC5C7F"/>
    <w:rsid w:val="00FC6B0B"/>
    <w:rsid w:val="00FC79D5"/>
    <w:rsid w:val="00FD0177"/>
    <w:rsid w:val="00FD01C6"/>
    <w:rsid w:val="00FD0295"/>
    <w:rsid w:val="00FD0B44"/>
    <w:rsid w:val="00FD2315"/>
    <w:rsid w:val="00FD4589"/>
    <w:rsid w:val="00FD4D72"/>
    <w:rsid w:val="00FD5154"/>
    <w:rsid w:val="00FD5A2A"/>
    <w:rsid w:val="00FD5AE2"/>
    <w:rsid w:val="00FD62B4"/>
    <w:rsid w:val="00FD77F8"/>
    <w:rsid w:val="00FD7A8E"/>
    <w:rsid w:val="00FE0A53"/>
    <w:rsid w:val="00FE101E"/>
    <w:rsid w:val="00FE1116"/>
    <w:rsid w:val="00FE27B9"/>
    <w:rsid w:val="00FE4F76"/>
    <w:rsid w:val="00FE69E7"/>
    <w:rsid w:val="00FE6FFE"/>
    <w:rsid w:val="00FE7BFF"/>
    <w:rsid w:val="00FF1737"/>
    <w:rsid w:val="00FF1B72"/>
    <w:rsid w:val="00FF1F4C"/>
    <w:rsid w:val="00FF284C"/>
    <w:rsid w:val="00FF2DE8"/>
    <w:rsid w:val="00FF305D"/>
    <w:rsid w:val="00FF347E"/>
    <w:rsid w:val="00FF51E5"/>
    <w:rsid w:val="00FF5913"/>
    <w:rsid w:val="00FF5D1F"/>
    <w:rsid w:val="00FF5F95"/>
    <w:rsid w:val="00FF62AA"/>
    <w:rsid w:val="00FF734E"/>
    <w:rsid w:val="02A1764C"/>
    <w:rsid w:val="03BD2151"/>
    <w:rsid w:val="063A4F1E"/>
    <w:rsid w:val="072B4F11"/>
    <w:rsid w:val="08AB7381"/>
    <w:rsid w:val="092D7963"/>
    <w:rsid w:val="09FA0D5A"/>
    <w:rsid w:val="0A070656"/>
    <w:rsid w:val="0E7917E1"/>
    <w:rsid w:val="0EFD20DE"/>
    <w:rsid w:val="100561FB"/>
    <w:rsid w:val="1152364D"/>
    <w:rsid w:val="11B65454"/>
    <w:rsid w:val="11C314C7"/>
    <w:rsid w:val="12897921"/>
    <w:rsid w:val="146F2C7A"/>
    <w:rsid w:val="14C43634"/>
    <w:rsid w:val="16020F82"/>
    <w:rsid w:val="1817101E"/>
    <w:rsid w:val="1B811A5A"/>
    <w:rsid w:val="1C317CA9"/>
    <w:rsid w:val="1C8E7527"/>
    <w:rsid w:val="1CFF4AFA"/>
    <w:rsid w:val="1D321E13"/>
    <w:rsid w:val="1DA70DA1"/>
    <w:rsid w:val="1F3748AE"/>
    <w:rsid w:val="20FB481E"/>
    <w:rsid w:val="221617B3"/>
    <w:rsid w:val="2269299D"/>
    <w:rsid w:val="2318655B"/>
    <w:rsid w:val="24BE2EF2"/>
    <w:rsid w:val="25527FD3"/>
    <w:rsid w:val="26FC64F5"/>
    <w:rsid w:val="27706691"/>
    <w:rsid w:val="28387E89"/>
    <w:rsid w:val="29CD0266"/>
    <w:rsid w:val="29ED7AC2"/>
    <w:rsid w:val="2AA82CE3"/>
    <w:rsid w:val="2D940A6E"/>
    <w:rsid w:val="2DDB6012"/>
    <w:rsid w:val="3162172F"/>
    <w:rsid w:val="31AF2E2D"/>
    <w:rsid w:val="33290D8C"/>
    <w:rsid w:val="33BC112A"/>
    <w:rsid w:val="33D414D0"/>
    <w:rsid w:val="340558B9"/>
    <w:rsid w:val="36134522"/>
    <w:rsid w:val="38F46123"/>
    <w:rsid w:val="3A323E2F"/>
    <w:rsid w:val="3AD405D7"/>
    <w:rsid w:val="3BEF6301"/>
    <w:rsid w:val="3F66590D"/>
    <w:rsid w:val="401F67ED"/>
    <w:rsid w:val="41597C31"/>
    <w:rsid w:val="41CA019A"/>
    <w:rsid w:val="42921705"/>
    <w:rsid w:val="42B07D8C"/>
    <w:rsid w:val="431D3DD8"/>
    <w:rsid w:val="44D00BA1"/>
    <w:rsid w:val="46141881"/>
    <w:rsid w:val="46E14757"/>
    <w:rsid w:val="49B06609"/>
    <w:rsid w:val="4D1B391A"/>
    <w:rsid w:val="4D3C1434"/>
    <w:rsid w:val="4EB40A17"/>
    <w:rsid w:val="50A359FD"/>
    <w:rsid w:val="513F044D"/>
    <w:rsid w:val="51B2004B"/>
    <w:rsid w:val="52BE520E"/>
    <w:rsid w:val="54397D84"/>
    <w:rsid w:val="54A14987"/>
    <w:rsid w:val="57F92D5D"/>
    <w:rsid w:val="596E3D16"/>
    <w:rsid w:val="5B161F0B"/>
    <w:rsid w:val="5B507B42"/>
    <w:rsid w:val="5B9D370D"/>
    <w:rsid w:val="5BF444F9"/>
    <w:rsid w:val="5F0551AF"/>
    <w:rsid w:val="5FC742A0"/>
    <w:rsid w:val="60E061FD"/>
    <w:rsid w:val="62F53541"/>
    <w:rsid w:val="630E7FC1"/>
    <w:rsid w:val="63EF472C"/>
    <w:rsid w:val="642F0D17"/>
    <w:rsid w:val="657D0840"/>
    <w:rsid w:val="6657748C"/>
    <w:rsid w:val="67510385"/>
    <w:rsid w:val="685C560B"/>
    <w:rsid w:val="6B241A17"/>
    <w:rsid w:val="6BBF006F"/>
    <w:rsid w:val="6D6F0AAC"/>
    <w:rsid w:val="6DE04266"/>
    <w:rsid w:val="6DF843DF"/>
    <w:rsid w:val="6E9C0F6F"/>
    <w:rsid w:val="71635BFF"/>
    <w:rsid w:val="71CC4875"/>
    <w:rsid w:val="723719A2"/>
    <w:rsid w:val="7253310B"/>
    <w:rsid w:val="726D70E7"/>
    <w:rsid w:val="72FB053E"/>
    <w:rsid w:val="7BFD42D1"/>
    <w:rsid w:val="7C81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03"/>
    <w:qFormat/>
    <w:uiPriority w:val="9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264"/>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70"/>
    <w:qFormat/>
    <w:uiPriority w:val="0"/>
    <w:pPr>
      <w:keepNext/>
      <w:keepLines/>
      <w:spacing w:before="260" w:after="260" w:line="416" w:lineRule="auto"/>
      <w:outlineLvl w:val="2"/>
    </w:pPr>
    <w:rPr>
      <w:rFonts w:ascii="Times New Roman" w:hAnsi="Times New Roman"/>
      <w:b/>
      <w:bCs/>
      <w:kern w:val="0"/>
      <w:sz w:val="32"/>
      <w:szCs w:val="32"/>
    </w:rPr>
  </w:style>
  <w:style w:type="paragraph" w:styleId="6">
    <w:name w:val="heading 4"/>
    <w:basedOn w:val="1"/>
    <w:next w:val="1"/>
    <w:link w:val="348"/>
    <w:qFormat/>
    <w:uiPriority w:val="99"/>
    <w:pPr>
      <w:keepNext/>
      <w:keepLines/>
      <w:tabs>
        <w:tab w:val="left" w:pos="864"/>
      </w:tabs>
      <w:spacing w:before="280" w:after="290" w:line="377" w:lineRule="auto"/>
      <w:ind w:left="1582" w:leftChars="300" w:hanging="862"/>
      <w:outlineLvl w:val="3"/>
    </w:pPr>
    <w:rPr>
      <w:rFonts w:ascii="Arial" w:hAnsi="Arial"/>
      <w:b/>
      <w:bCs/>
      <w:sz w:val="28"/>
      <w:szCs w:val="28"/>
    </w:rPr>
  </w:style>
  <w:style w:type="paragraph" w:styleId="7">
    <w:name w:val="heading 5"/>
    <w:basedOn w:val="1"/>
    <w:next w:val="8"/>
    <w:link w:val="350"/>
    <w:qFormat/>
    <w:uiPriority w:val="0"/>
    <w:pPr>
      <w:keepNext/>
      <w:keepLines/>
      <w:numPr>
        <w:ilvl w:val="4"/>
        <w:numId w:val="1"/>
      </w:numPr>
      <w:spacing w:before="280" w:after="290" w:line="376" w:lineRule="auto"/>
      <w:outlineLvl w:val="4"/>
    </w:pPr>
    <w:rPr>
      <w:rFonts w:ascii="Times New Roman" w:hAnsi="Times New Roman"/>
      <w:b/>
      <w:sz w:val="28"/>
    </w:rPr>
  </w:style>
  <w:style w:type="paragraph" w:styleId="9">
    <w:name w:val="heading 6"/>
    <w:basedOn w:val="1"/>
    <w:next w:val="8"/>
    <w:link w:val="352"/>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359"/>
    <w:qFormat/>
    <w:uiPriority w:val="0"/>
    <w:pPr>
      <w:keepNext/>
      <w:keepLines/>
      <w:numPr>
        <w:ilvl w:val="6"/>
        <w:numId w:val="1"/>
      </w:numPr>
      <w:spacing w:before="240" w:after="64" w:line="320" w:lineRule="auto"/>
      <w:outlineLvl w:val="6"/>
    </w:pPr>
    <w:rPr>
      <w:rFonts w:ascii="Times New Roman" w:hAnsi="Times New Roman"/>
      <w:b/>
      <w:sz w:val="24"/>
    </w:rPr>
  </w:style>
  <w:style w:type="paragraph" w:styleId="11">
    <w:name w:val="heading 8"/>
    <w:basedOn w:val="1"/>
    <w:next w:val="8"/>
    <w:link w:val="262"/>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344"/>
    <w:qFormat/>
    <w:uiPriority w:val="0"/>
    <w:pPr>
      <w:keepNext/>
      <w:keepLines/>
      <w:numPr>
        <w:ilvl w:val="8"/>
        <w:numId w:val="1"/>
      </w:numPr>
      <w:spacing w:before="240" w:after="64" w:line="320" w:lineRule="auto"/>
      <w:outlineLvl w:val="8"/>
    </w:pPr>
    <w:rPr>
      <w:rFonts w:ascii="Arial" w:hAnsi="Arial" w:eastAsia="黑体"/>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32"/>
    <w:qFormat/>
    <w:uiPriority w:val="99"/>
    <w:pPr>
      <w:spacing w:line="380" w:lineRule="exact"/>
    </w:pPr>
    <w:rPr>
      <w:rFonts w:ascii="Times New Roman" w:hAnsi="Times New Roman"/>
      <w:kern w:val="0"/>
      <w:sz w:val="24"/>
    </w:rPr>
  </w:style>
  <w:style w:type="paragraph" w:styleId="8">
    <w:name w:val="Normal Indent"/>
    <w:basedOn w:val="1"/>
    <w:link w:val="299"/>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unhideWhenUsed/>
    <w:qFormat/>
    <w:uiPriority w:val="39"/>
    <w:pPr>
      <w:ind w:left="2520" w:leftChars="1200"/>
    </w:pPr>
    <w:rPr>
      <w:szCs w:val="22"/>
    </w:rPr>
  </w:style>
  <w:style w:type="paragraph" w:styleId="15">
    <w:name w:val="List Number"/>
    <w:basedOn w:val="1"/>
    <w:qFormat/>
    <w:uiPriority w:val="0"/>
    <w:pPr>
      <w:numPr>
        <w:ilvl w:val="0"/>
        <w:numId w:val="2"/>
      </w:numPr>
    </w:pPr>
  </w:style>
  <w:style w:type="paragraph" w:styleId="16">
    <w:name w:val="caption"/>
    <w:basedOn w:val="1"/>
    <w:next w:val="1"/>
    <w:link w:val="310"/>
    <w:qFormat/>
    <w:uiPriority w:val="0"/>
    <w:pPr>
      <w:spacing w:before="152" w:after="160"/>
    </w:pPr>
    <w:rPr>
      <w:rFonts w:ascii="Arial" w:hAnsi="Arial" w:eastAsia="黑体" w:cs="Arial"/>
      <w:sz w:val="20"/>
      <w:szCs w:val="20"/>
    </w:rPr>
  </w:style>
  <w:style w:type="paragraph" w:styleId="17">
    <w:name w:val="List Bullet"/>
    <w:basedOn w:val="1"/>
    <w:qFormat/>
    <w:uiPriority w:val="0"/>
    <w:pPr>
      <w:numPr>
        <w:ilvl w:val="0"/>
        <w:numId w:val="3"/>
      </w:numPr>
    </w:pPr>
  </w:style>
  <w:style w:type="paragraph" w:styleId="18">
    <w:name w:val="Document Map"/>
    <w:basedOn w:val="1"/>
    <w:link w:val="341"/>
    <w:semiHidden/>
    <w:qFormat/>
    <w:uiPriority w:val="99"/>
    <w:pPr>
      <w:shd w:val="clear" w:color="auto" w:fill="000080"/>
    </w:pPr>
  </w:style>
  <w:style w:type="paragraph" w:styleId="19">
    <w:name w:val="annotation text"/>
    <w:basedOn w:val="1"/>
    <w:link w:val="274"/>
    <w:unhideWhenUsed/>
    <w:qFormat/>
    <w:uiPriority w:val="0"/>
    <w:pPr>
      <w:jc w:val="left"/>
    </w:pPr>
    <w:rPr>
      <w:rFonts w:ascii="Times New Roman" w:hAnsi="Times New Roman"/>
    </w:rPr>
  </w:style>
  <w:style w:type="paragraph" w:styleId="20">
    <w:name w:val="Body Text 3"/>
    <w:basedOn w:val="1"/>
    <w:link w:val="276"/>
    <w:qFormat/>
    <w:uiPriority w:val="0"/>
    <w:pPr>
      <w:spacing w:line="500" w:lineRule="exact"/>
    </w:pPr>
    <w:rPr>
      <w:rFonts w:ascii="Times New Roman" w:hAnsi="Times New Roman"/>
      <w:b/>
      <w:bCs/>
      <w:kern w:val="0"/>
      <w:sz w:val="24"/>
    </w:rPr>
  </w:style>
  <w:style w:type="paragraph" w:styleId="21">
    <w:name w:val="Body Text Indent"/>
    <w:basedOn w:val="1"/>
    <w:link w:val="273"/>
    <w:qFormat/>
    <w:uiPriority w:val="0"/>
    <w:pPr>
      <w:ind w:firstLine="830" w:firstLineChars="352"/>
    </w:pPr>
    <w:rPr>
      <w:rFonts w:ascii="仿宋_GB2312" w:hAnsi="Times New Roman" w:eastAsia="仿宋_GB2312"/>
      <w:kern w:val="0"/>
      <w:sz w:val="32"/>
      <w:szCs w:val="20"/>
    </w:rPr>
  </w:style>
  <w:style w:type="paragraph" w:styleId="22">
    <w:name w:val="List Number 3"/>
    <w:basedOn w:val="1"/>
    <w:qFormat/>
    <w:uiPriority w:val="0"/>
    <w:pPr>
      <w:numPr>
        <w:ilvl w:val="0"/>
        <w:numId w:val="4"/>
      </w:numPr>
    </w:pPr>
  </w:style>
  <w:style w:type="paragraph" w:styleId="23">
    <w:name w:val="List 2"/>
    <w:basedOn w:val="1"/>
    <w:qFormat/>
    <w:uiPriority w:val="99"/>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unhideWhenUsed/>
    <w:qFormat/>
    <w:uiPriority w:val="39"/>
    <w:pPr>
      <w:ind w:left="1680" w:leftChars="800"/>
    </w:pPr>
    <w:rPr>
      <w:szCs w:val="22"/>
    </w:rPr>
  </w:style>
  <w:style w:type="paragraph" w:styleId="26">
    <w:name w:val="toc 3"/>
    <w:basedOn w:val="1"/>
    <w:next w:val="1"/>
    <w:unhideWhenUsed/>
    <w:qFormat/>
    <w:uiPriority w:val="39"/>
    <w:pPr>
      <w:ind w:left="840" w:leftChars="400"/>
    </w:pPr>
    <w:rPr>
      <w:szCs w:val="22"/>
    </w:rPr>
  </w:style>
  <w:style w:type="paragraph" w:styleId="27">
    <w:name w:val="Plain Text"/>
    <w:basedOn w:val="1"/>
    <w:link w:val="297"/>
    <w:qFormat/>
    <w:uiPriority w:val="0"/>
    <w:rPr>
      <w:rFonts w:ascii="宋体" w:hAnsi="Courier New"/>
      <w:kern w:val="0"/>
      <w:sz w:val="20"/>
      <w:szCs w:val="21"/>
    </w:rPr>
  </w:style>
  <w:style w:type="paragraph" w:styleId="28">
    <w:name w:val="toc 8"/>
    <w:basedOn w:val="1"/>
    <w:next w:val="1"/>
    <w:unhideWhenUsed/>
    <w:qFormat/>
    <w:uiPriority w:val="39"/>
    <w:pPr>
      <w:ind w:left="2940" w:leftChars="1400"/>
    </w:pPr>
    <w:rPr>
      <w:szCs w:val="22"/>
    </w:rPr>
  </w:style>
  <w:style w:type="paragraph" w:styleId="29">
    <w:name w:val="Date"/>
    <w:basedOn w:val="1"/>
    <w:next w:val="1"/>
    <w:link w:val="351"/>
    <w:qFormat/>
    <w:uiPriority w:val="0"/>
    <w:pPr>
      <w:ind w:left="100" w:leftChars="2500"/>
    </w:pPr>
    <w:rPr>
      <w:rFonts w:ascii="宋体" w:hAnsi="Courier New"/>
      <w:kern w:val="0"/>
      <w:sz w:val="20"/>
      <w:szCs w:val="21"/>
    </w:rPr>
  </w:style>
  <w:style w:type="paragraph" w:styleId="30">
    <w:name w:val="Body Text Indent 2"/>
    <w:basedOn w:val="1"/>
    <w:link w:val="306"/>
    <w:qFormat/>
    <w:uiPriority w:val="0"/>
    <w:pPr>
      <w:ind w:firstLine="630"/>
    </w:pPr>
    <w:rPr>
      <w:rFonts w:ascii="Times New Roman" w:hAnsi="Times New Roman"/>
      <w:kern w:val="0"/>
      <w:sz w:val="32"/>
      <w:szCs w:val="20"/>
    </w:rPr>
  </w:style>
  <w:style w:type="paragraph" w:styleId="31">
    <w:name w:val="endnote text"/>
    <w:basedOn w:val="1"/>
    <w:link w:val="327"/>
    <w:unhideWhenUsed/>
    <w:qFormat/>
    <w:uiPriority w:val="99"/>
    <w:pPr>
      <w:snapToGrid w:val="0"/>
      <w:jc w:val="left"/>
    </w:pPr>
    <w:rPr>
      <w:rFonts w:ascii="Times New Roman" w:hAnsi="Times New Roman"/>
    </w:rPr>
  </w:style>
  <w:style w:type="paragraph" w:styleId="32">
    <w:name w:val="Balloon Text"/>
    <w:basedOn w:val="1"/>
    <w:link w:val="365"/>
    <w:semiHidden/>
    <w:qFormat/>
    <w:uiPriority w:val="99"/>
    <w:rPr>
      <w:rFonts w:ascii="Times New Roman" w:hAnsi="Times New Roman"/>
      <w:kern w:val="0"/>
      <w:sz w:val="18"/>
      <w:szCs w:val="18"/>
    </w:rPr>
  </w:style>
  <w:style w:type="paragraph" w:styleId="33">
    <w:name w:val="footer"/>
    <w:basedOn w:val="1"/>
    <w:link w:val="325"/>
    <w:unhideWhenUsed/>
    <w:qFormat/>
    <w:uiPriority w:val="99"/>
    <w:pPr>
      <w:tabs>
        <w:tab w:val="center" w:pos="4153"/>
        <w:tab w:val="right" w:pos="8306"/>
      </w:tabs>
      <w:snapToGrid w:val="0"/>
      <w:jc w:val="left"/>
    </w:pPr>
    <w:rPr>
      <w:kern w:val="0"/>
      <w:sz w:val="18"/>
      <w:szCs w:val="18"/>
    </w:rPr>
  </w:style>
  <w:style w:type="paragraph" w:styleId="34">
    <w:name w:val="header"/>
    <w:basedOn w:val="1"/>
    <w:link w:val="298"/>
    <w:unhideWhenUsed/>
    <w:qFormat/>
    <w:uiPriority w:val="99"/>
    <w:pPr>
      <w:pBdr>
        <w:bottom w:val="single" w:color="auto" w:sz="6" w:space="1"/>
      </w:pBdr>
      <w:tabs>
        <w:tab w:val="center" w:pos="0"/>
        <w:tab w:val="left" w:pos="8306"/>
      </w:tabs>
      <w:snapToGrid w:val="0"/>
      <w:jc w:val="center"/>
    </w:pPr>
    <w:rPr>
      <w:rFonts w:ascii="Times New Roman" w:hAnsi="Times New Roman"/>
      <w:sz w:val="18"/>
      <w:szCs w:val="18"/>
    </w:rPr>
  </w:style>
  <w:style w:type="paragraph" w:styleId="35">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6">
    <w:name w:val="toc 4"/>
    <w:basedOn w:val="1"/>
    <w:next w:val="1"/>
    <w:unhideWhenUsed/>
    <w:qFormat/>
    <w:uiPriority w:val="39"/>
    <w:pPr>
      <w:ind w:left="1260" w:leftChars="600"/>
    </w:pPr>
    <w:rPr>
      <w:szCs w:val="22"/>
    </w:rPr>
  </w:style>
  <w:style w:type="paragraph" w:styleId="37">
    <w:name w:val="Subtitle"/>
    <w:basedOn w:val="1"/>
    <w:next w:val="1"/>
    <w:link w:val="289"/>
    <w:qFormat/>
    <w:uiPriority w:val="0"/>
    <w:pPr>
      <w:spacing w:before="240" w:after="60" w:line="312" w:lineRule="auto"/>
      <w:jc w:val="center"/>
      <w:outlineLvl w:val="1"/>
    </w:pPr>
    <w:rPr>
      <w:rFonts w:ascii="Cambria" w:hAnsi="Cambria" w:eastAsia="Times New Roman"/>
      <w:b/>
      <w:color w:val="000000"/>
      <w:sz w:val="32"/>
      <w:szCs w:val="32"/>
    </w:rPr>
  </w:style>
  <w:style w:type="paragraph" w:styleId="38">
    <w:name w:val="List"/>
    <w:basedOn w:val="1"/>
    <w:qFormat/>
    <w:uiPriority w:val="0"/>
    <w:pPr>
      <w:ind w:left="200" w:hanging="200" w:hangingChars="200"/>
    </w:pPr>
    <w:rPr>
      <w:sz w:val="28"/>
    </w:rPr>
  </w:style>
  <w:style w:type="paragraph" w:styleId="39">
    <w:name w:val="footnote text"/>
    <w:basedOn w:val="1"/>
    <w:link w:val="321"/>
    <w:unhideWhenUsed/>
    <w:qFormat/>
    <w:uiPriority w:val="0"/>
    <w:pPr>
      <w:snapToGrid w:val="0"/>
      <w:jc w:val="left"/>
    </w:pPr>
    <w:rPr>
      <w:rFonts w:ascii="Times New Roman" w:hAnsi="Times New Roman"/>
      <w:sz w:val="18"/>
      <w:szCs w:val="18"/>
    </w:rPr>
  </w:style>
  <w:style w:type="paragraph" w:styleId="40">
    <w:name w:val="toc 6"/>
    <w:basedOn w:val="1"/>
    <w:next w:val="1"/>
    <w:unhideWhenUsed/>
    <w:qFormat/>
    <w:uiPriority w:val="39"/>
    <w:pPr>
      <w:ind w:left="2100" w:leftChars="1000"/>
    </w:pPr>
    <w:rPr>
      <w:szCs w:val="22"/>
    </w:rPr>
  </w:style>
  <w:style w:type="paragraph" w:styleId="41">
    <w:name w:val="List 5"/>
    <w:basedOn w:val="1"/>
    <w:qFormat/>
    <w:uiPriority w:val="0"/>
    <w:pPr>
      <w:ind w:left="2100" w:hanging="420"/>
    </w:pPr>
    <w:rPr>
      <w:szCs w:val="20"/>
    </w:rPr>
  </w:style>
  <w:style w:type="paragraph" w:styleId="42">
    <w:name w:val="Body Text Indent 3"/>
    <w:basedOn w:val="1"/>
    <w:link w:val="340"/>
    <w:qFormat/>
    <w:uiPriority w:val="99"/>
    <w:pPr>
      <w:spacing w:after="120"/>
      <w:ind w:left="420" w:leftChars="200"/>
    </w:pPr>
    <w:rPr>
      <w:rFonts w:ascii="Times New Roman" w:hAnsi="Times New Roman"/>
      <w:kern w:val="0"/>
      <w:sz w:val="16"/>
      <w:szCs w:val="16"/>
    </w:rPr>
  </w:style>
  <w:style w:type="paragraph" w:styleId="43">
    <w:name w:val="toc 2"/>
    <w:basedOn w:val="1"/>
    <w:next w:val="1"/>
    <w:unhideWhenUsed/>
    <w:qFormat/>
    <w:uiPriority w:val="39"/>
    <w:pPr>
      <w:ind w:left="420" w:leftChars="200"/>
    </w:pPr>
  </w:style>
  <w:style w:type="paragraph" w:styleId="44">
    <w:name w:val="toc 9"/>
    <w:basedOn w:val="1"/>
    <w:next w:val="1"/>
    <w:unhideWhenUsed/>
    <w:qFormat/>
    <w:uiPriority w:val="39"/>
    <w:pPr>
      <w:ind w:left="3360" w:leftChars="1600"/>
    </w:pPr>
    <w:rPr>
      <w:szCs w:val="22"/>
    </w:rPr>
  </w:style>
  <w:style w:type="paragraph" w:styleId="45">
    <w:name w:val="Body Text 2"/>
    <w:basedOn w:val="1"/>
    <w:link w:val="304"/>
    <w:qFormat/>
    <w:uiPriority w:val="0"/>
    <w:pPr>
      <w:spacing w:after="120" w:line="480" w:lineRule="auto"/>
    </w:pPr>
    <w:rPr>
      <w:rFonts w:ascii="Times New Roman" w:hAnsi="Times New Roman"/>
      <w:kern w:val="0"/>
      <w:sz w:val="20"/>
    </w:rPr>
  </w:style>
  <w:style w:type="paragraph" w:styleId="46">
    <w:name w:val="List 4"/>
    <w:basedOn w:val="1"/>
    <w:qFormat/>
    <w:uiPriority w:val="0"/>
    <w:pPr>
      <w:ind w:left="100" w:leftChars="600" w:hanging="200" w:hangingChars="200"/>
    </w:pPr>
  </w:style>
  <w:style w:type="paragraph" w:styleId="47">
    <w:name w:val="List Continue 2"/>
    <w:basedOn w:val="1"/>
    <w:qFormat/>
    <w:uiPriority w:val="0"/>
    <w:pPr>
      <w:spacing w:after="120"/>
      <w:ind w:left="840" w:leftChars="400"/>
    </w:pPr>
  </w:style>
  <w:style w:type="paragraph" w:styleId="48">
    <w:name w:val="HTML Preformatted"/>
    <w:basedOn w:val="1"/>
    <w:link w:val="3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9">
    <w:name w:val="Normal (Web)"/>
    <w:basedOn w:val="1"/>
    <w:qFormat/>
    <w:uiPriority w:val="0"/>
    <w:pPr>
      <w:widowControl/>
      <w:spacing w:before="100" w:beforeAutospacing="1" w:after="100" w:afterAutospacing="1"/>
      <w:jc w:val="left"/>
    </w:pPr>
    <w:rPr>
      <w:rFonts w:ascii="宋体" w:hAnsi="宋体"/>
      <w:kern w:val="0"/>
      <w:sz w:val="24"/>
    </w:rPr>
  </w:style>
  <w:style w:type="paragraph" w:styleId="50">
    <w:name w:val="index 1"/>
    <w:basedOn w:val="1"/>
    <w:next w:val="1"/>
    <w:semiHidden/>
    <w:qFormat/>
    <w:uiPriority w:val="0"/>
    <w:pPr>
      <w:spacing w:line="400" w:lineRule="exact"/>
      <w:ind w:firstLine="420" w:firstLineChars="200"/>
    </w:pPr>
    <w:rPr>
      <w:rFonts w:ascii="宋体" w:hAnsi="Courier New"/>
      <w:b/>
      <w:szCs w:val="20"/>
    </w:rPr>
  </w:style>
  <w:style w:type="paragraph" w:styleId="51">
    <w:name w:val="Title"/>
    <w:basedOn w:val="1"/>
    <w:next w:val="1"/>
    <w:link w:val="260"/>
    <w:qFormat/>
    <w:uiPriority w:val="0"/>
    <w:pPr>
      <w:spacing w:before="240" w:after="60"/>
      <w:jc w:val="center"/>
      <w:outlineLvl w:val="0"/>
    </w:pPr>
    <w:rPr>
      <w:rFonts w:ascii="Cambria" w:hAnsi="Cambria"/>
      <w:b/>
      <w:bCs/>
      <w:sz w:val="32"/>
      <w:szCs w:val="32"/>
    </w:rPr>
  </w:style>
  <w:style w:type="paragraph" w:styleId="52">
    <w:name w:val="annotation subject"/>
    <w:basedOn w:val="19"/>
    <w:next w:val="19"/>
    <w:link w:val="294"/>
    <w:unhideWhenUsed/>
    <w:qFormat/>
    <w:uiPriority w:val="99"/>
    <w:rPr>
      <w:b/>
      <w:bCs/>
    </w:rPr>
  </w:style>
  <w:style w:type="paragraph" w:styleId="53">
    <w:name w:val="Body Text First Indent"/>
    <w:basedOn w:val="2"/>
    <w:qFormat/>
    <w:uiPriority w:val="0"/>
    <w:pPr>
      <w:spacing w:after="120" w:line="240" w:lineRule="auto"/>
      <w:ind w:firstLine="420" w:firstLineChars="100"/>
    </w:pPr>
    <w:rPr>
      <w:sz w:val="21"/>
    </w:rPr>
  </w:style>
  <w:style w:type="paragraph" w:styleId="54">
    <w:name w:val="Body Text First Indent 2"/>
    <w:basedOn w:val="21"/>
    <w:qFormat/>
    <w:uiPriority w:val="0"/>
    <w:pPr>
      <w:spacing w:after="120"/>
      <w:ind w:left="420" w:leftChars="200" w:firstLine="420" w:firstLineChars="200"/>
    </w:pPr>
    <w:rPr>
      <w:rFonts w:ascii="Times New Roman" w:eastAsia="宋体"/>
      <w:sz w:val="21"/>
      <w:szCs w:val="24"/>
    </w:rPr>
  </w:style>
  <w:style w:type="table" w:styleId="56">
    <w:name w:val="Table Grid"/>
    <w:basedOn w:val="5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rFonts w:ascii="Calibri" w:hAnsi="Calibri" w:eastAsia="宋体" w:cs="Times New Roman"/>
      <w:b/>
      <w:bCs/>
    </w:rPr>
  </w:style>
  <w:style w:type="character" w:styleId="59">
    <w:name w:val="endnote reference"/>
    <w:unhideWhenUsed/>
    <w:qFormat/>
    <w:uiPriority w:val="99"/>
    <w:rPr>
      <w:rFonts w:ascii="Calibri" w:hAnsi="Calibri" w:eastAsia="宋体" w:cs="Times New Roman"/>
      <w:vertAlign w:val="superscript"/>
    </w:rPr>
  </w:style>
  <w:style w:type="character" w:styleId="60">
    <w:name w:val="page number"/>
    <w:basedOn w:val="57"/>
    <w:qFormat/>
    <w:uiPriority w:val="0"/>
    <w:rPr>
      <w:rFonts w:ascii="Calibri" w:hAnsi="Calibri" w:eastAsia="宋体" w:cs="Times New Roman"/>
    </w:rPr>
  </w:style>
  <w:style w:type="character" w:styleId="61">
    <w:name w:val="FollowedHyperlink"/>
    <w:qFormat/>
    <w:uiPriority w:val="99"/>
    <w:rPr>
      <w:rFonts w:ascii="Calibri" w:hAnsi="Calibri" w:eastAsia="宋体" w:cs="Times New Roman"/>
      <w:color w:val="800080"/>
      <w:u w:val="single"/>
    </w:rPr>
  </w:style>
  <w:style w:type="character" w:styleId="62">
    <w:name w:val="Emphasis"/>
    <w:qFormat/>
    <w:uiPriority w:val="0"/>
    <w:rPr>
      <w:rFonts w:ascii="Calibri" w:hAnsi="Calibri" w:eastAsia="宋体" w:cs="Times New Roman"/>
      <w:color w:val="CC0000"/>
    </w:rPr>
  </w:style>
  <w:style w:type="character" w:styleId="63">
    <w:name w:val="Hyperlink"/>
    <w:qFormat/>
    <w:uiPriority w:val="99"/>
    <w:rPr>
      <w:rFonts w:ascii="Calibri" w:hAnsi="Calibri" w:eastAsia="宋体" w:cs="Times New Roman"/>
      <w:color w:val="0000FF"/>
      <w:u w:val="single"/>
    </w:rPr>
  </w:style>
  <w:style w:type="character" w:styleId="64">
    <w:name w:val="annotation reference"/>
    <w:unhideWhenUsed/>
    <w:qFormat/>
    <w:uiPriority w:val="0"/>
    <w:rPr>
      <w:rFonts w:ascii="Calibri" w:hAnsi="Calibri" w:eastAsia="宋体" w:cs="Times New Roman"/>
      <w:sz w:val="21"/>
      <w:szCs w:val="21"/>
    </w:rPr>
  </w:style>
  <w:style w:type="character" w:styleId="65">
    <w:name w:val="footnote reference"/>
    <w:unhideWhenUsed/>
    <w:qFormat/>
    <w:uiPriority w:val="99"/>
    <w:rPr>
      <w:rFonts w:ascii="Calibri" w:hAnsi="Calibri" w:eastAsia="宋体" w:cs="Times New Roman"/>
      <w:vertAlign w:val="superscript"/>
    </w:rPr>
  </w:style>
  <w:style w:type="paragraph" w:customStyle="1" w:styleId="6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67">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szCs w:val="20"/>
    </w:rPr>
  </w:style>
  <w:style w:type="paragraph" w:customStyle="1" w:styleId="6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69">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0">
    <w:name w:val="font6"/>
    <w:basedOn w:val="1"/>
    <w:qFormat/>
    <w:uiPriority w:val="0"/>
    <w:pPr>
      <w:widowControl/>
      <w:spacing w:before="100" w:beforeAutospacing="1" w:after="100" w:afterAutospacing="1"/>
      <w:jc w:val="left"/>
    </w:pPr>
    <w:rPr>
      <w:rFonts w:eastAsia="Arial Unicode MS"/>
      <w:kern w:val="0"/>
      <w:szCs w:val="21"/>
      <w:lang w:eastAsia="en-US"/>
    </w:rPr>
  </w:style>
  <w:style w:type="paragraph" w:customStyle="1" w:styleId="71">
    <w:name w:val="Char Char1 Char Char Char Char Char Char"/>
    <w:basedOn w:val="1"/>
    <w:qFormat/>
    <w:uiPriority w:val="0"/>
    <w:pPr>
      <w:widowControl/>
      <w:spacing w:after="160" w:line="240" w:lineRule="exact"/>
      <w:jc w:val="left"/>
    </w:pPr>
    <w:rPr>
      <w:rFonts w:ascii="宋体" w:hAnsi="Courier New"/>
      <w:szCs w:val="20"/>
    </w:rPr>
  </w:style>
  <w:style w:type="paragraph" w:customStyle="1" w:styleId="7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73">
    <w:name w:val="正文段"/>
    <w:basedOn w:val="1"/>
    <w:qFormat/>
    <w:uiPriority w:val="0"/>
    <w:pPr>
      <w:widowControl/>
      <w:snapToGrid w:val="0"/>
      <w:spacing w:after="50" w:afterLines="50"/>
      <w:ind w:firstLine="200" w:firstLineChars="200"/>
    </w:pPr>
    <w:rPr>
      <w:kern w:val="0"/>
      <w:sz w:val="24"/>
      <w:szCs w:val="20"/>
    </w:rPr>
  </w:style>
  <w:style w:type="paragraph" w:customStyle="1" w:styleId="74">
    <w:name w:val="纯文本1"/>
    <w:basedOn w:val="1"/>
    <w:qFormat/>
    <w:uiPriority w:val="0"/>
    <w:pPr>
      <w:adjustRightInd w:val="0"/>
      <w:jc w:val="left"/>
      <w:textAlignment w:val="baseline"/>
    </w:pPr>
    <w:rPr>
      <w:rFonts w:ascii="宋体" w:hAnsi="Courier New"/>
      <w:szCs w:val="20"/>
    </w:rPr>
  </w:style>
  <w:style w:type="paragraph" w:customStyle="1" w:styleId="7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6">
    <w:name w:val="head1"/>
    <w:basedOn w:val="1"/>
    <w:qFormat/>
    <w:uiPriority w:val="0"/>
    <w:pPr>
      <w:widowControl/>
      <w:tabs>
        <w:tab w:val="left" w:pos="2100"/>
      </w:tabs>
      <w:overflowPunct w:val="0"/>
      <w:autoSpaceDE w:val="0"/>
      <w:autoSpaceDN w:val="0"/>
      <w:adjustRightInd w:val="0"/>
      <w:spacing w:before="60" w:after="60"/>
      <w:ind w:left="2100" w:hanging="420"/>
      <w:jc w:val="left"/>
      <w:textAlignment w:val="baseline"/>
      <w:outlineLvl w:val="0"/>
    </w:pPr>
    <w:rPr>
      <w:rFonts w:ascii="黑体" w:hAnsi="¿¬Ìå" w:eastAsia="黑体"/>
      <w:kern w:val="0"/>
      <w:sz w:val="30"/>
      <w:szCs w:val="30"/>
    </w:rPr>
  </w:style>
  <w:style w:type="paragraph" w:customStyle="1" w:styleId="77">
    <w:name w:val="Char4"/>
    <w:basedOn w:val="18"/>
    <w:qFormat/>
    <w:uiPriority w:val="0"/>
    <w:pPr>
      <w:widowControl/>
      <w:ind w:firstLine="454"/>
      <w:jc w:val="left"/>
    </w:pPr>
  </w:style>
  <w:style w:type="paragraph" w:customStyle="1" w:styleId="78">
    <w:name w:val="缺省文本"/>
    <w:basedOn w:val="1"/>
    <w:qFormat/>
    <w:uiPriority w:val="0"/>
    <w:pPr>
      <w:autoSpaceDE w:val="0"/>
      <w:autoSpaceDN w:val="0"/>
      <w:adjustRightInd w:val="0"/>
      <w:spacing w:line="360" w:lineRule="auto"/>
      <w:jc w:val="left"/>
    </w:pPr>
    <w:rPr>
      <w:kern w:val="0"/>
      <w:sz w:val="24"/>
      <w:szCs w:val="20"/>
    </w:rPr>
  </w:style>
  <w:style w:type="paragraph" w:customStyle="1" w:styleId="7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80">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4"/>
    </w:rPr>
  </w:style>
  <w:style w:type="paragraph" w:customStyle="1" w:styleId="8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82">
    <w:name w:val="纯文本2"/>
    <w:basedOn w:val="1"/>
    <w:link w:val="268"/>
    <w:qFormat/>
    <w:uiPriority w:val="0"/>
    <w:rPr>
      <w:rFonts w:ascii="宋体" w:hAnsi="Courier New" w:cs="Century"/>
      <w:szCs w:val="21"/>
    </w:rPr>
  </w:style>
  <w:style w:type="paragraph" w:customStyle="1" w:styleId="83">
    <w:name w:val="p17"/>
    <w:basedOn w:val="1"/>
    <w:qFormat/>
    <w:uiPriority w:val="0"/>
    <w:pPr>
      <w:widowControl/>
    </w:pPr>
    <w:rPr>
      <w:rFonts w:ascii="宋体" w:hAnsi="宋体" w:cs="宋体"/>
      <w:kern w:val="0"/>
      <w:szCs w:val="21"/>
    </w:rPr>
  </w:style>
  <w:style w:type="paragraph" w:customStyle="1" w:styleId="84">
    <w:name w:val="Char1"/>
    <w:basedOn w:val="1"/>
    <w:qFormat/>
    <w:uiPriority w:val="0"/>
    <w:pPr>
      <w:adjustRightInd w:val="0"/>
      <w:spacing w:line="360" w:lineRule="auto"/>
    </w:pPr>
    <w:rPr>
      <w:kern w:val="0"/>
      <w:sz w:val="24"/>
      <w:szCs w:val="20"/>
    </w:rPr>
  </w:style>
  <w:style w:type="paragraph" w:customStyle="1" w:styleId="85">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6">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87">
    <w:name w:val="Char1 Char Char Char Char Char Char Char Char Char Char"/>
    <w:basedOn w:val="1"/>
    <w:qFormat/>
    <w:uiPriority w:val="0"/>
    <w:rPr>
      <w:rFonts w:ascii="Tahoma" w:hAnsi="Tahoma"/>
      <w:sz w:val="24"/>
      <w:szCs w:val="20"/>
    </w:rPr>
  </w:style>
  <w:style w:type="paragraph" w:customStyle="1" w:styleId="88">
    <w:name w:val="Table Text"/>
    <w:qFormat/>
    <w:uiPriority w:val="0"/>
    <w:pPr>
      <w:snapToGrid w:val="0"/>
      <w:spacing w:before="80" w:after="80"/>
    </w:pPr>
    <w:rPr>
      <w:rFonts w:ascii="Arial" w:hAnsi="Arial" w:eastAsia="宋体" w:cs="Arial"/>
      <w:sz w:val="18"/>
      <w:szCs w:val="18"/>
      <w:lang w:val="en-US" w:eastAsia="zh-CN" w:bidi="ar-SA"/>
    </w:rPr>
  </w:style>
  <w:style w:type="paragraph" w:customStyle="1" w:styleId="89">
    <w:name w:val="_Style 49"/>
    <w:basedOn w:val="1"/>
    <w:qFormat/>
    <w:uiPriority w:val="34"/>
    <w:pPr>
      <w:spacing w:line="360" w:lineRule="auto"/>
      <w:ind w:firstLine="420" w:firstLineChars="200"/>
    </w:pPr>
    <w:rPr>
      <w:rFonts w:cs="黑体"/>
      <w:sz w:val="24"/>
      <w:szCs w:val="22"/>
    </w:rPr>
  </w:style>
  <w:style w:type="paragraph" w:customStyle="1" w:styleId="90">
    <w:name w:val="正文1"/>
    <w:basedOn w:val="1"/>
    <w:qFormat/>
    <w:uiPriority w:val="0"/>
    <w:rPr>
      <w:rFonts w:eastAsia="Times New Roman" w:cs="宋体"/>
      <w:kern w:val="0"/>
      <w:szCs w:val="20"/>
      <w:lang w:eastAsia="en-US"/>
    </w:rPr>
  </w:style>
  <w:style w:type="paragraph" w:customStyle="1" w:styleId="91">
    <w:name w:val="xl66"/>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4"/>
    </w:rPr>
  </w:style>
  <w:style w:type="paragraph" w:customStyle="1" w:styleId="93">
    <w:name w:val="font7"/>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94">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5">
    <w:name w:val="xl71"/>
    <w:basedOn w:val="1"/>
    <w:qFormat/>
    <w:uiPriority w:val="0"/>
    <w:pPr>
      <w:widowControl/>
      <w:spacing w:before="100" w:beforeAutospacing="1" w:after="100" w:afterAutospacing="1"/>
      <w:jc w:val="right"/>
    </w:pPr>
    <w:rPr>
      <w:rFonts w:ascii="宋体" w:hAnsi="宋体" w:cs="宋体"/>
      <w:kern w:val="0"/>
      <w:sz w:val="24"/>
    </w:rPr>
  </w:style>
  <w:style w:type="paragraph" w:customStyle="1" w:styleId="9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8">
    <w:name w:val="Char Char Char Char Char Char Char Char Char Char Char Char"/>
    <w:basedOn w:val="1"/>
    <w:qFormat/>
    <w:uiPriority w:val="0"/>
    <w:pPr>
      <w:widowControl/>
      <w:spacing w:after="160" w:line="240" w:lineRule="exact"/>
      <w:jc w:val="left"/>
    </w:pPr>
  </w:style>
  <w:style w:type="paragraph" w:customStyle="1" w:styleId="99">
    <w:name w:val="1"/>
    <w:basedOn w:val="1"/>
    <w:next w:val="27"/>
    <w:qFormat/>
    <w:uiPriority w:val="0"/>
    <w:rPr>
      <w:rFonts w:ascii="宋体" w:hAnsi="Courier New"/>
      <w:szCs w:val="20"/>
    </w:rPr>
  </w:style>
  <w:style w:type="paragraph" w:customStyle="1" w:styleId="100">
    <w:name w:val="列出段落1"/>
    <w:basedOn w:val="1"/>
    <w:qFormat/>
    <w:uiPriority w:val="0"/>
    <w:pPr>
      <w:ind w:firstLine="420" w:firstLineChars="200"/>
    </w:pPr>
  </w:style>
  <w:style w:type="paragraph" w:customStyle="1" w:styleId="101">
    <w:name w:val="2-2ji"/>
    <w:basedOn w:val="4"/>
    <w:qFormat/>
    <w:uiPriority w:val="0"/>
    <w:pPr>
      <w:adjustRightInd w:val="0"/>
      <w:spacing w:before="0" w:after="0" w:line="360" w:lineRule="auto"/>
      <w:jc w:val="center"/>
      <w:textAlignment w:val="baseline"/>
    </w:pPr>
    <w:rPr>
      <w:rFonts w:ascii="宋体" w:hAnsi="宋体" w:eastAsia="宋体"/>
      <w:bCs w:val="0"/>
      <w:sz w:val="36"/>
    </w:rPr>
  </w:style>
  <w:style w:type="paragraph" w:customStyle="1" w:styleId="102">
    <w:name w:val="样式1"/>
    <w:basedOn w:val="1"/>
    <w:qFormat/>
    <w:uiPriority w:val="0"/>
    <w:pPr>
      <w:spacing w:before="120" w:after="120" w:line="300" w:lineRule="auto"/>
    </w:pPr>
    <w:rPr>
      <w:rFonts w:ascii="宋体" w:hAnsi="宋体"/>
      <w:b/>
      <w:sz w:val="24"/>
      <w:szCs w:val="20"/>
    </w:rPr>
  </w:style>
  <w:style w:type="paragraph" w:customStyle="1" w:styleId="103">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rPr>
  </w:style>
  <w:style w:type="paragraph" w:customStyle="1" w:styleId="10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05">
    <w:name w:val="1ji"/>
    <w:basedOn w:val="3"/>
    <w:link w:val="313"/>
    <w:qFormat/>
    <w:uiPriority w:val="0"/>
    <w:pPr>
      <w:keepLines w:val="0"/>
      <w:widowControl/>
      <w:spacing w:before="0" w:after="0" w:line="240" w:lineRule="auto"/>
      <w:jc w:val="center"/>
    </w:pPr>
    <w:rPr>
      <w:rFonts w:ascii="宋体" w:hAnsi="宋体"/>
      <w:sz w:val="36"/>
    </w:rPr>
  </w:style>
  <w:style w:type="paragraph" w:customStyle="1" w:styleId="106">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0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08">
    <w:name w:val="Char Char Char Char Char Char Char Char Char Char Char Char Char"/>
    <w:basedOn w:val="18"/>
    <w:qFormat/>
    <w:uiPriority w:val="0"/>
    <w:rPr>
      <w:rFonts w:ascii="Tahoma" w:hAnsi="Tahoma"/>
      <w:sz w:val="24"/>
    </w:rPr>
  </w:style>
  <w:style w:type="paragraph" w:customStyle="1" w:styleId="109">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李丹江标题"/>
    <w:basedOn w:val="1"/>
    <w:qFormat/>
    <w:uiPriority w:val="0"/>
    <w:rPr>
      <w:rFonts w:ascii="仿宋_GB2312" w:eastAsia="仿宋_GB2312"/>
      <w:b/>
      <w:spacing w:val="-20"/>
      <w:sz w:val="28"/>
      <w:szCs w:val="20"/>
    </w:rPr>
  </w:style>
  <w:style w:type="paragraph" w:customStyle="1" w:styleId="111">
    <w:name w:val="正文 New New New New"/>
    <w:qFormat/>
    <w:uiPriority w:val="0"/>
    <w:pPr>
      <w:widowControl w:val="0"/>
      <w:jc w:val="both"/>
    </w:pPr>
    <w:rPr>
      <w:rFonts w:ascii="Calibri" w:hAnsi="Calibri" w:eastAsia="宋体" w:cs="Times New Roman"/>
      <w:szCs w:val="24"/>
      <w:lang w:val="en-US" w:eastAsia="zh-CN" w:bidi="ar-SA"/>
    </w:rPr>
  </w:style>
  <w:style w:type="paragraph" w:customStyle="1" w:styleId="1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13">
    <w:name w:val="Char11"/>
    <w:basedOn w:val="1"/>
    <w:qFormat/>
    <w:uiPriority w:val="0"/>
    <w:pPr>
      <w:adjustRightInd w:val="0"/>
      <w:spacing w:line="360" w:lineRule="auto"/>
    </w:pPr>
    <w:rPr>
      <w:kern w:val="0"/>
      <w:sz w:val="24"/>
      <w:szCs w:val="20"/>
    </w:rPr>
  </w:style>
  <w:style w:type="paragraph" w:customStyle="1" w:styleId="114">
    <w:name w:val="Char Char Char Char Char Char Char Char Char Char Char Char Char1"/>
    <w:basedOn w:val="18"/>
    <w:qFormat/>
    <w:uiPriority w:val="0"/>
    <w:rPr>
      <w:rFonts w:ascii="Tahoma" w:hAnsi="Tahoma"/>
      <w:sz w:val="24"/>
    </w:rPr>
  </w:style>
  <w:style w:type="paragraph" w:customStyle="1" w:styleId="115">
    <w:name w:val="xl45"/>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color w:val="000000"/>
      <w:kern w:val="0"/>
      <w:sz w:val="40"/>
      <w:szCs w:val="40"/>
    </w:rPr>
  </w:style>
  <w:style w:type="paragraph" w:customStyle="1" w:styleId="116">
    <w:name w:val="Char Char Char1 Char Char Char Char Char Char Char"/>
    <w:basedOn w:val="1"/>
    <w:qFormat/>
    <w:uiPriority w:val="0"/>
  </w:style>
  <w:style w:type="paragraph" w:customStyle="1" w:styleId="117">
    <w:name w:val="Char Char Char"/>
    <w:basedOn w:val="1"/>
    <w:qFormat/>
    <w:uiPriority w:val="0"/>
    <w:rPr>
      <w:rFonts w:ascii="Tahoma" w:hAnsi="Tahoma"/>
      <w:sz w:val="24"/>
      <w:szCs w:val="20"/>
    </w:rPr>
  </w:style>
  <w:style w:type="paragraph" w:customStyle="1" w:styleId="11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9">
    <w:name w:val="彩色列表 - 强调文字颜色 11"/>
    <w:basedOn w:val="1"/>
    <w:qFormat/>
    <w:uiPriority w:val="0"/>
    <w:pPr>
      <w:ind w:firstLine="420" w:firstLineChars="200"/>
    </w:pPr>
    <w:rPr>
      <w:szCs w:val="22"/>
    </w:rPr>
  </w:style>
  <w:style w:type="paragraph" w:customStyle="1" w:styleId="120">
    <w:name w:val="大标题"/>
    <w:basedOn w:val="1"/>
    <w:qFormat/>
    <w:uiPriority w:val="0"/>
    <w:pPr>
      <w:tabs>
        <w:tab w:val="left" w:pos="0"/>
      </w:tabs>
      <w:spacing w:line="360" w:lineRule="auto"/>
      <w:ind w:left="420" w:leftChars="100" w:right="100" w:rightChars="100"/>
      <w:jc w:val="center"/>
      <w:outlineLvl w:val="0"/>
    </w:pPr>
    <w:rPr>
      <w:b/>
      <w:sz w:val="36"/>
    </w:rPr>
  </w:style>
  <w:style w:type="paragraph" w:customStyle="1" w:styleId="121">
    <w:name w:val="正文文本 21"/>
    <w:basedOn w:val="1"/>
    <w:qFormat/>
    <w:uiPriority w:val="0"/>
    <w:pPr>
      <w:adjustRightInd w:val="0"/>
      <w:spacing w:line="460" w:lineRule="exact"/>
      <w:ind w:firstLine="635"/>
      <w:jc w:val="left"/>
      <w:textAlignment w:val="baseline"/>
    </w:pPr>
    <w:rPr>
      <w:sz w:val="28"/>
      <w:szCs w:val="20"/>
    </w:rPr>
  </w:style>
  <w:style w:type="paragraph" w:customStyle="1" w:styleId="122">
    <w:name w:val="样式 标题 2 + 非加粗 首行缩进:  2 字符"/>
    <w:basedOn w:val="4"/>
    <w:qFormat/>
    <w:uiPriority w:val="0"/>
    <w:pPr>
      <w:spacing w:before="0" w:after="0" w:line="600" w:lineRule="exact"/>
      <w:ind w:firstLine="640"/>
      <w:jc w:val="left"/>
    </w:pPr>
    <w:rPr>
      <w:rFonts w:ascii="Times New Roman" w:hAnsi="Times New Roman" w:eastAsia="Times New Roman" w:cs="宋体"/>
      <w:b w:val="0"/>
      <w:bCs w:val="0"/>
      <w:color w:val="000000"/>
      <w:kern w:val="2"/>
      <w:szCs w:val="20"/>
    </w:rPr>
  </w:style>
  <w:style w:type="paragraph" w:customStyle="1" w:styleId="123">
    <w:name w:val="默认段落字体 Para Char"/>
    <w:basedOn w:val="1"/>
    <w:qFormat/>
    <w:uiPriority w:val="0"/>
    <w:pPr>
      <w:adjustRightInd w:val="0"/>
      <w:spacing w:line="360" w:lineRule="auto"/>
    </w:pPr>
    <w:rPr>
      <w:kern w:val="0"/>
      <w:sz w:val="24"/>
      <w:szCs w:val="20"/>
    </w:rPr>
  </w:style>
  <w:style w:type="paragraph" w:customStyle="1" w:styleId="12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25">
    <w:name w:val="附件4"/>
    <w:basedOn w:val="126"/>
    <w:qFormat/>
    <w:uiPriority w:val="0"/>
    <w:pPr>
      <w:tabs>
        <w:tab w:val="left" w:pos="930"/>
        <w:tab w:val="left" w:pos="1894"/>
      </w:tabs>
      <w:ind w:left="1497" w:hanging="57"/>
    </w:pPr>
    <w:rPr>
      <w:b/>
    </w:rPr>
  </w:style>
  <w:style w:type="paragraph" w:customStyle="1" w:styleId="126">
    <w:name w:val="附件3"/>
    <w:basedOn w:val="1"/>
    <w:qFormat/>
    <w:uiPriority w:val="0"/>
    <w:pPr>
      <w:tabs>
        <w:tab w:val="left" w:pos="930"/>
      </w:tabs>
      <w:spacing w:line="360" w:lineRule="exact"/>
      <w:ind w:left="420"/>
    </w:pPr>
    <w:rPr>
      <w:rFonts w:ascii="宋体" w:hAnsi="宋体"/>
      <w:color w:val="000000"/>
    </w:rPr>
  </w:style>
  <w:style w:type="paragraph" w:customStyle="1" w:styleId="127">
    <w:name w:val="默认段落字体 Para Char Char Char Char Char Char Char Char Char Char"/>
    <w:basedOn w:val="1"/>
    <w:qFormat/>
    <w:uiPriority w:val="0"/>
    <w:rPr>
      <w:rFonts w:ascii="Tahoma" w:hAnsi="Tahoma"/>
      <w:sz w:val="24"/>
      <w:u w:val="single"/>
    </w:rPr>
  </w:style>
  <w:style w:type="paragraph" w:customStyle="1" w:styleId="128">
    <w:name w:val="xl4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29">
    <w:name w:val="F2"/>
    <w:basedOn w:val="1"/>
    <w:qFormat/>
    <w:uiPriority w:val="0"/>
    <w:pPr>
      <w:autoSpaceDE w:val="0"/>
      <w:autoSpaceDN w:val="0"/>
      <w:adjustRightInd w:val="0"/>
      <w:ind w:firstLine="601"/>
      <w:textAlignment w:val="baseline"/>
    </w:pPr>
    <w:rPr>
      <w:kern w:val="0"/>
      <w:sz w:val="24"/>
      <w:szCs w:val="20"/>
    </w:rPr>
  </w:style>
  <w:style w:type="paragraph" w:customStyle="1" w:styleId="130">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4"/>
    </w:rPr>
  </w:style>
  <w:style w:type="paragraph" w:customStyle="1" w:styleId="131">
    <w:name w:val="网格表 3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2">
    <w:name w:val="unnamed2"/>
    <w:basedOn w:val="1"/>
    <w:qFormat/>
    <w:uiPriority w:val="0"/>
    <w:pPr>
      <w:widowControl/>
      <w:spacing w:before="60" w:after="60" w:line="300" w:lineRule="atLeast"/>
      <w:ind w:left="15" w:right="15" w:firstLine="400"/>
      <w:jc w:val="left"/>
    </w:pPr>
    <w:rPr>
      <w:rFonts w:ascii="宋体" w:hAnsi="宋体" w:cs="宋体"/>
      <w:color w:val="000000"/>
      <w:kern w:val="0"/>
      <w:szCs w:val="21"/>
    </w:rPr>
  </w:style>
  <w:style w:type="paragraph" w:customStyle="1" w:styleId="133">
    <w:name w:val="Figure Text"/>
    <w:qFormat/>
    <w:uiPriority w:val="0"/>
    <w:pPr>
      <w:snapToGrid w:val="0"/>
      <w:jc w:val="both"/>
    </w:pPr>
    <w:rPr>
      <w:rFonts w:ascii="Arial" w:hAnsi="Arial" w:eastAsia="楷体_GB2312" w:cs="Arial"/>
      <w:sz w:val="18"/>
      <w:szCs w:val="18"/>
      <w:lang w:val="en-US" w:eastAsia="zh-CN" w:bidi="ar-SA"/>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5">
    <w:name w:val="（空）多级符号"/>
    <w:basedOn w:val="1"/>
    <w:qFormat/>
    <w:uiPriority w:val="0"/>
    <w:pPr>
      <w:adjustRightInd w:val="0"/>
      <w:snapToGrid w:val="0"/>
      <w:spacing w:line="520" w:lineRule="exact"/>
      <w:ind w:left="720"/>
    </w:pPr>
    <w:rPr>
      <w:rFonts w:ascii="宋体" w:hAnsi="宋体"/>
    </w:rPr>
  </w:style>
  <w:style w:type="paragraph" w:customStyle="1" w:styleId="136">
    <w:name w:val="无间隔2_0"/>
    <w:qFormat/>
    <w:uiPriority w:val="1"/>
    <w:pPr>
      <w:widowControl w:val="0"/>
      <w:jc w:val="both"/>
    </w:pPr>
    <w:rPr>
      <w:rFonts w:ascii="Calibri" w:hAnsi="Calibri" w:eastAsia="宋体" w:cs="Times New Roman"/>
      <w:kern w:val="2"/>
      <w:sz w:val="21"/>
      <w:szCs w:val="24"/>
      <w:lang w:val="en-US" w:eastAsia="zh-CN" w:bidi="ar-SA"/>
    </w:rPr>
  </w:style>
  <w:style w:type="paragraph" w:customStyle="1" w:styleId="137">
    <w:name w:val="DC正文"/>
    <w:basedOn w:val="1"/>
    <w:link w:val="367"/>
    <w:qFormat/>
    <w:uiPriority w:val="0"/>
    <w:pPr>
      <w:spacing w:line="300" w:lineRule="auto"/>
      <w:ind w:firstLine="480" w:firstLineChars="200"/>
    </w:pPr>
    <w:rPr>
      <w:rFonts w:ascii="宋体" w:hAnsi="宋体"/>
      <w:sz w:val="24"/>
    </w:rPr>
  </w:style>
  <w:style w:type="paragraph" w:customStyle="1" w:styleId="138">
    <w:name w:val="xl80"/>
    <w:basedOn w:val="1"/>
    <w:qFormat/>
    <w:uiPriority w:val="0"/>
    <w:pPr>
      <w:widowControl/>
      <w:pBdr>
        <w:left w:val="single" w:color="auto" w:sz="8" w:space="0"/>
        <w:right w:val="single" w:color="auto" w:sz="4" w:space="0"/>
      </w:pBdr>
      <w:spacing w:before="100" w:beforeAutospacing="1" w:after="100" w:afterAutospacing="1"/>
      <w:jc w:val="center"/>
      <w:textAlignment w:val="center"/>
    </w:pPr>
    <w:rPr>
      <w:b/>
      <w:bCs/>
      <w:kern w:val="0"/>
      <w:sz w:val="24"/>
    </w:rPr>
  </w:style>
  <w:style w:type="paragraph" w:customStyle="1" w:styleId="139">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4"/>
    </w:rPr>
  </w:style>
  <w:style w:type="paragraph" w:customStyle="1" w:styleId="141">
    <w:name w:val="样式 标题 2 + 宋体 五号 行距: 单倍行距"/>
    <w:basedOn w:val="4"/>
    <w:qFormat/>
    <w:uiPriority w:val="0"/>
    <w:pPr>
      <w:tabs>
        <w:tab w:val="left" w:pos="576"/>
      </w:tabs>
      <w:adjustRightInd w:val="0"/>
      <w:spacing w:line="240" w:lineRule="auto"/>
      <w:jc w:val="left"/>
      <w:textAlignment w:val="baseline"/>
    </w:pPr>
    <w:rPr>
      <w:rFonts w:ascii="宋体" w:hAnsi="宋体" w:eastAsia="宋体"/>
      <w:sz w:val="21"/>
      <w:szCs w:val="20"/>
    </w:rPr>
  </w:style>
  <w:style w:type="paragraph" w:customStyle="1" w:styleId="142">
    <w:name w:val="p16"/>
    <w:basedOn w:val="1"/>
    <w:qFormat/>
    <w:uiPriority w:val="0"/>
    <w:pPr>
      <w:widowControl/>
    </w:pPr>
    <w:rPr>
      <w:rFonts w:ascii="宋体" w:hAnsi="宋体" w:cs="宋体"/>
      <w:kern w:val="0"/>
      <w:szCs w:val="21"/>
    </w:rPr>
  </w:style>
  <w:style w:type="paragraph" w:customStyle="1" w:styleId="143">
    <w:name w:val="about_main1"/>
    <w:basedOn w:val="1"/>
    <w:qFormat/>
    <w:uiPriority w:val="0"/>
    <w:pPr>
      <w:widowControl/>
      <w:spacing w:before="30" w:after="100" w:afterAutospacing="1"/>
      <w:jc w:val="left"/>
    </w:pPr>
    <w:rPr>
      <w:rFonts w:ascii="宋体" w:hAnsi="宋体" w:cs="宋体"/>
      <w:kern w:val="0"/>
      <w:sz w:val="24"/>
    </w:rPr>
  </w:style>
  <w:style w:type="paragraph" w:customStyle="1" w:styleId="14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4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46">
    <w:name w:val="Char"/>
    <w:basedOn w:val="18"/>
    <w:qFormat/>
    <w:uiPriority w:val="0"/>
    <w:pPr>
      <w:widowControl/>
      <w:ind w:firstLine="454"/>
      <w:jc w:val="left"/>
    </w:pPr>
    <w:rPr>
      <w:rFonts w:ascii="Tahoma" w:hAnsi="Tahoma" w:cs="宋体"/>
      <w:kern w:val="0"/>
      <w:sz w:val="24"/>
      <w:szCs w:val="20"/>
    </w:rPr>
  </w:style>
  <w:style w:type="paragraph" w:customStyle="1" w:styleId="147">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14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9">
    <w:name w:val="表样式"/>
    <w:basedOn w:val="1"/>
    <w:qFormat/>
    <w:uiPriority w:val="0"/>
    <w:pPr>
      <w:autoSpaceDE w:val="0"/>
      <w:autoSpaceDN w:val="0"/>
      <w:adjustRightInd w:val="0"/>
      <w:spacing w:line="240" w:lineRule="atLeast"/>
      <w:jc w:val="center"/>
      <w:textAlignment w:val="baseline"/>
    </w:pPr>
    <w:rPr>
      <w:kern w:val="0"/>
      <w:szCs w:val="21"/>
    </w:rPr>
  </w:style>
  <w:style w:type="paragraph" w:customStyle="1" w:styleId="150">
    <w:name w:val="font10"/>
    <w:basedOn w:val="1"/>
    <w:qFormat/>
    <w:uiPriority w:val="0"/>
    <w:pPr>
      <w:widowControl/>
      <w:spacing w:before="100" w:beforeAutospacing="1" w:after="100" w:afterAutospacing="1"/>
      <w:jc w:val="left"/>
    </w:pPr>
    <w:rPr>
      <w:rFonts w:hint="eastAsia" w:ascii="宋体" w:hAnsi="宋体"/>
      <w:kern w:val="0"/>
      <w:sz w:val="23"/>
      <w:szCs w:val="23"/>
    </w:rPr>
  </w:style>
  <w:style w:type="paragraph" w:customStyle="1" w:styleId="151">
    <w:name w:val="修订1"/>
    <w:qFormat/>
    <w:uiPriority w:val="0"/>
    <w:rPr>
      <w:rFonts w:ascii="Calibri" w:hAnsi="Calibri" w:eastAsia="宋体" w:cs="Times New Roman"/>
      <w:color w:val="000000"/>
      <w:kern w:val="2"/>
      <w:sz w:val="21"/>
      <w:szCs w:val="24"/>
      <w:lang w:val="en-US" w:eastAsia="zh-CN" w:bidi="ar-SA"/>
    </w:rPr>
  </w:style>
  <w:style w:type="paragraph" w:customStyle="1" w:styleId="152">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3">
    <w:name w:val="默认段落字体 Para Char Char Char Char Char Char Char Char Char1 Char Char Char Char"/>
    <w:basedOn w:val="1"/>
    <w:qFormat/>
    <w:uiPriority w:val="0"/>
    <w:rPr>
      <w:rFonts w:ascii="Tahoma" w:hAnsi="Tahoma"/>
      <w:sz w:val="24"/>
      <w:szCs w:val="20"/>
    </w:rPr>
  </w:style>
  <w:style w:type="paragraph" w:customStyle="1" w:styleId="15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5">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styleId="156">
    <w:name w:val="No Spacing"/>
    <w:qFormat/>
    <w:uiPriority w:val="0"/>
    <w:pPr>
      <w:widowControl w:val="0"/>
      <w:jc w:val="both"/>
    </w:pPr>
    <w:rPr>
      <w:rFonts w:ascii="Calibri" w:hAnsi="Calibri" w:eastAsia="宋体" w:cs="Calibri"/>
      <w:kern w:val="2"/>
      <w:sz w:val="21"/>
      <w:szCs w:val="21"/>
      <w:lang w:val="en-US" w:eastAsia="zh-CN" w:bidi="ar-SA"/>
    </w:rPr>
  </w:style>
  <w:style w:type="paragraph" w:customStyle="1" w:styleId="157">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8">
    <w:name w:val="xl6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59">
    <w:name w:val="我的标题2"/>
    <w:basedOn w:val="1"/>
    <w:qFormat/>
    <w:uiPriority w:val="0"/>
    <w:pPr>
      <w:tabs>
        <w:tab w:val="left" w:pos="0"/>
      </w:tabs>
      <w:adjustRightInd w:val="0"/>
      <w:snapToGrid w:val="0"/>
      <w:spacing w:before="156" w:beforeLines="50" w:after="156" w:afterLines="50" w:line="360" w:lineRule="auto"/>
      <w:ind w:left="210" w:leftChars="100" w:right="210" w:rightChars="100"/>
      <w:jc w:val="center"/>
      <w:outlineLvl w:val="1"/>
    </w:pPr>
    <w:rPr>
      <w:rFonts w:ascii="宋体" w:hAnsi="宋体"/>
      <w:b/>
      <w:sz w:val="24"/>
    </w:rPr>
  </w:style>
  <w:style w:type="paragraph" w:customStyle="1" w:styleId="160">
    <w:name w:val="Char Char Char Char Char Char Char"/>
    <w:basedOn w:val="1"/>
    <w:qFormat/>
    <w:uiPriority w:val="0"/>
  </w:style>
  <w:style w:type="paragraph" w:customStyle="1" w:styleId="161">
    <w:name w:val="报告正文"/>
    <w:basedOn w:val="1"/>
    <w:link w:val="322"/>
    <w:qFormat/>
    <w:uiPriority w:val="0"/>
    <w:pPr>
      <w:adjustRightInd w:val="0"/>
      <w:snapToGrid w:val="0"/>
      <w:spacing w:line="312" w:lineRule="auto"/>
      <w:ind w:left="2600"/>
    </w:pPr>
    <w:rPr>
      <w:rFonts w:ascii="华文细黑" w:hAnsi="华文细黑" w:eastAsia="华文细黑"/>
      <w:sz w:val="20"/>
      <w:szCs w:val="20"/>
    </w:rPr>
  </w:style>
  <w:style w:type="paragraph" w:customStyle="1" w:styleId="162">
    <w:name w:val="表右齐"/>
    <w:basedOn w:val="1"/>
    <w:qFormat/>
    <w:uiPriority w:val="0"/>
    <w:pPr>
      <w:spacing w:line="360" w:lineRule="atLeast"/>
      <w:ind w:left="720" w:right="332"/>
      <w:jc w:val="right"/>
    </w:pPr>
    <w:rPr>
      <w:rFonts w:eastAsia="Times New Roman" w:cs="Arial"/>
      <w:color w:val="000000"/>
      <w:kern w:val="0"/>
      <w:szCs w:val="20"/>
    </w:rPr>
  </w:style>
  <w:style w:type="paragraph" w:customStyle="1" w:styleId="16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5">
    <w:name w:val="xl4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66">
    <w:name w:val="正文文本 22"/>
    <w:basedOn w:val="1"/>
    <w:qFormat/>
    <w:uiPriority w:val="0"/>
    <w:pPr>
      <w:adjustRightInd w:val="0"/>
      <w:spacing w:line="460" w:lineRule="exact"/>
      <w:ind w:firstLine="635"/>
      <w:jc w:val="left"/>
      <w:textAlignment w:val="baseline"/>
    </w:pPr>
    <w:rPr>
      <w:sz w:val="28"/>
      <w:szCs w:val="20"/>
    </w:rPr>
  </w:style>
  <w:style w:type="paragraph" w:customStyle="1" w:styleId="167">
    <w:name w:val="2ji"/>
    <w:basedOn w:val="4"/>
    <w:qFormat/>
    <w:uiPriority w:val="0"/>
    <w:pPr>
      <w:adjustRightInd w:val="0"/>
      <w:spacing w:before="0" w:after="0" w:line="360" w:lineRule="auto"/>
      <w:textAlignment w:val="baseline"/>
    </w:pPr>
    <w:rPr>
      <w:rFonts w:ascii="宋体" w:hAnsi="宋体" w:eastAsia="宋体"/>
      <w:sz w:val="21"/>
      <w:szCs w:val="21"/>
    </w:rPr>
  </w:style>
  <w:style w:type="paragraph" w:customStyle="1" w:styleId="168">
    <w:name w:val="正文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9">
    <w:name w:val="简单回函地址"/>
    <w:basedOn w:val="1"/>
    <w:qFormat/>
    <w:uiPriority w:val="0"/>
    <w:rPr>
      <w:rFonts w:ascii="仿宋_GB2312" w:hAnsi="宋体" w:eastAsia="仿宋_GB2312"/>
      <w:bCs/>
      <w:sz w:val="30"/>
      <w:szCs w:val="20"/>
    </w:rPr>
  </w:style>
  <w:style w:type="paragraph" w:customStyle="1" w:styleId="170">
    <w:name w:val="我的段落"/>
    <w:basedOn w:val="1"/>
    <w:link w:val="349"/>
    <w:qFormat/>
    <w:uiPriority w:val="0"/>
    <w:pPr>
      <w:ind w:firstLine="200" w:firstLineChars="200"/>
    </w:pPr>
    <w:rPr>
      <w:rFonts w:ascii="仿宋_GB2312" w:eastAsia="仿宋_GB2312"/>
      <w:kern w:val="0"/>
      <w:sz w:val="28"/>
      <w:szCs w:val="22"/>
    </w:rPr>
  </w:style>
  <w:style w:type="paragraph" w:customStyle="1" w:styleId="171">
    <w:name w:val="xl24"/>
    <w:basedOn w:val="1"/>
    <w:qFormat/>
    <w:uiPriority w:val="0"/>
    <w:pPr>
      <w:widowControl/>
      <w:tabs>
        <w:tab w:val="left" w:pos="839"/>
      </w:tabs>
      <w:spacing w:before="100" w:beforeAutospacing="1" w:after="100" w:afterAutospacing="1"/>
      <w:jc w:val="left"/>
    </w:pPr>
    <w:rPr>
      <w:rFonts w:hint="eastAsia" w:ascii="宋体" w:hAnsi="宋体" w:cs="Arial Unicode MS"/>
      <w:kern w:val="0"/>
      <w:sz w:val="24"/>
    </w:rPr>
  </w:style>
  <w:style w:type="paragraph" w:styleId="172">
    <w:name w:val="List Paragraph"/>
    <w:basedOn w:val="1"/>
    <w:qFormat/>
    <w:uiPriority w:val="34"/>
    <w:pPr>
      <w:ind w:firstLine="420" w:firstLineChars="200"/>
    </w:pPr>
  </w:style>
  <w:style w:type="paragraph" w:customStyle="1" w:styleId="173">
    <w:name w:val="_正文段落"/>
    <w:basedOn w:val="1"/>
    <w:link w:val="290"/>
    <w:qFormat/>
    <w:uiPriority w:val="0"/>
    <w:pPr>
      <w:spacing w:before="46" w:beforeLines="15" w:after="46" w:afterLines="15" w:line="360" w:lineRule="auto"/>
      <w:ind w:firstLine="480" w:firstLineChars="200"/>
    </w:pPr>
    <w:rPr>
      <w:rFonts w:ascii="宋体" w:hAnsi="宋体"/>
      <w:sz w:val="24"/>
    </w:rPr>
  </w:style>
  <w:style w:type="paragraph" w:customStyle="1" w:styleId="174">
    <w:name w:val="layout_standard"/>
    <w:basedOn w:val="39"/>
    <w:qFormat/>
    <w:uiPriority w:val="0"/>
    <w:pPr>
      <w:widowControl/>
      <w:snapToGrid/>
      <w:spacing w:line="360" w:lineRule="atLeast"/>
    </w:pPr>
    <w:rPr>
      <w:rFonts w:ascii="Arial" w:hAnsi="Arial" w:eastAsia="Times New Roman" w:cs="Arial"/>
      <w:b/>
      <w:color w:val="000000"/>
      <w:kern w:val="0"/>
      <w:sz w:val="36"/>
      <w:szCs w:val="20"/>
      <w:lang w:val="en-GB" w:eastAsia="de-DE"/>
    </w:rPr>
  </w:style>
  <w:style w:type="paragraph" w:customStyle="1" w:styleId="175">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17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77">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78">
    <w:name w:val="Char2"/>
    <w:basedOn w:val="18"/>
    <w:qFormat/>
    <w:uiPriority w:val="0"/>
    <w:pPr>
      <w:widowControl/>
      <w:ind w:firstLine="454"/>
      <w:jc w:val="left"/>
    </w:pPr>
  </w:style>
  <w:style w:type="paragraph" w:customStyle="1" w:styleId="179">
    <w:name w:val="表格内容"/>
    <w:basedOn w:val="1"/>
    <w:qFormat/>
    <w:uiPriority w:val="0"/>
    <w:pPr>
      <w:tabs>
        <w:tab w:val="left" w:pos="0"/>
      </w:tabs>
      <w:jc w:val="center"/>
    </w:pPr>
    <w:rPr>
      <w:rFonts w:ascii="宋体" w:hAnsi="宋体"/>
      <w:sz w:val="24"/>
    </w:rPr>
  </w:style>
  <w:style w:type="paragraph" w:customStyle="1" w:styleId="180">
    <w:name w:val="正文样式1"/>
    <w:basedOn w:val="1"/>
    <w:qFormat/>
    <w:uiPriority w:val="0"/>
    <w:pPr>
      <w:spacing w:line="520" w:lineRule="exact"/>
      <w:ind w:firstLine="510"/>
    </w:pPr>
    <w:rPr>
      <w:rFonts w:ascii="Arial" w:hAnsi="Arial" w:eastAsia="楷体_GB2312"/>
      <w:sz w:val="24"/>
      <w:szCs w:val="20"/>
    </w:rPr>
  </w:style>
  <w:style w:type="paragraph" w:customStyle="1" w:styleId="181">
    <w:name w:val="No Spacing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2">
    <w:name w:val="layout_Position"/>
    <w:basedOn w:val="1"/>
    <w:qFormat/>
    <w:uiPriority w:val="0"/>
    <w:pPr>
      <w:widowControl/>
      <w:spacing w:line="360" w:lineRule="atLeast"/>
      <w:jc w:val="left"/>
    </w:pPr>
    <w:rPr>
      <w:rFonts w:ascii="Arial" w:hAnsi="Arial" w:eastAsia="Times New Roman" w:cs="Arial"/>
      <w:color w:val="000000"/>
      <w:kern w:val="0"/>
      <w:sz w:val="22"/>
      <w:szCs w:val="20"/>
      <w:lang w:val="en-GB" w:eastAsia="de-DE"/>
    </w:rPr>
  </w:style>
  <w:style w:type="paragraph" w:customStyle="1" w:styleId="18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4">
    <w:name w:val="Char Char Char11"/>
    <w:basedOn w:val="18"/>
    <w:qFormat/>
    <w:uiPriority w:val="0"/>
    <w:rPr>
      <w:rFonts w:ascii="Tahoma" w:hAnsi="Tahoma"/>
      <w:sz w:val="24"/>
    </w:rPr>
  </w:style>
  <w:style w:type="paragraph" w:customStyle="1" w:styleId="185">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4"/>
    </w:rPr>
  </w:style>
  <w:style w:type="paragraph" w:customStyle="1" w:styleId="18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88">
    <w:name w:val="Char1 Char Char Char"/>
    <w:basedOn w:val="1"/>
    <w:qFormat/>
    <w:uiPriority w:val="0"/>
    <w:pPr>
      <w:widowControl/>
      <w:spacing w:after="160" w:line="240" w:lineRule="exact"/>
      <w:jc w:val="left"/>
    </w:pPr>
  </w:style>
  <w:style w:type="paragraph" w:customStyle="1" w:styleId="189">
    <w:name w:val="_标题2"/>
    <w:basedOn w:val="4"/>
    <w:next w:val="173"/>
    <w:qFormat/>
    <w:uiPriority w:val="0"/>
    <w:pPr>
      <w:spacing w:before="0" w:after="0" w:line="360" w:lineRule="auto"/>
      <w:jc w:val="left"/>
    </w:pPr>
    <w:rPr>
      <w:rFonts w:ascii="宋体" w:hAnsi="宋体" w:eastAsia="宋体"/>
      <w:color w:val="000000"/>
      <w:kern w:val="44"/>
      <w:sz w:val="28"/>
      <w:szCs w:val="28"/>
    </w:rPr>
  </w:style>
  <w:style w:type="paragraph" w:customStyle="1" w:styleId="190">
    <w:name w:val="Formatvorlage layout_standard + 10 pt"/>
    <w:basedOn w:val="174"/>
    <w:qFormat/>
    <w:uiPriority w:val="0"/>
    <w:rPr>
      <w:rFonts w:ascii="Times New Roman" w:hAnsi="Times New Roman"/>
      <w:sz w:val="22"/>
    </w:rPr>
  </w:style>
  <w:style w:type="paragraph" w:customStyle="1" w:styleId="191">
    <w:name w:val="_Style 190"/>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2">
    <w:name w:val="_Style 1"/>
    <w:basedOn w:val="1"/>
    <w:qFormat/>
    <w:uiPriority w:val="34"/>
    <w:pPr>
      <w:ind w:firstLine="420" w:firstLineChars="200"/>
    </w:pPr>
    <w:rPr>
      <w:szCs w:val="22"/>
    </w:rPr>
  </w:style>
  <w:style w:type="paragraph" w:customStyle="1" w:styleId="193">
    <w:name w:val="DC一级项目符号"/>
    <w:basedOn w:val="1"/>
    <w:link w:val="353"/>
    <w:qFormat/>
    <w:uiPriority w:val="0"/>
    <w:pPr>
      <w:spacing w:line="360" w:lineRule="auto"/>
    </w:pPr>
    <w:rPr>
      <w:rFonts w:ascii="宋体" w:hAnsi="宋体"/>
      <w:sz w:val="24"/>
    </w:rPr>
  </w:style>
  <w:style w:type="paragraph" w:customStyle="1" w:styleId="194">
    <w:name w:val="合同正文"/>
    <w:basedOn w:val="1"/>
    <w:qFormat/>
    <w:uiPriority w:val="0"/>
    <w:pPr>
      <w:adjustRightInd w:val="0"/>
      <w:spacing w:line="580" w:lineRule="exact"/>
    </w:pPr>
    <w:rPr>
      <w:b/>
      <w:sz w:val="24"/>
      <w:szCs w:val="20"/>
    </w:rPr>
  </w:style>
  <w:style w:type="paragraph" w:customStyle="1" w:styleId="195">
    <w:name w:val="答复"/>
    <w:basedOn w:val="1"/>
    <w:qFormat/>
    <w:uiPriority w:val="0"/>
    <w:pPr>
      <w:spacing w:line="360" w:lineRule="auto"/>
    </w:pPr>
    <w:rPr>
      <w:b/>
      <w:sz w:val="24"/>
      <w:szCs w:val="20"/>
    </w:rPr>
  </w:style>
  <w:style w:type="paragraph" w:customStyle="1" w:styleId="196">
    <w:name w:val="我的标题3"/>
    <w:basedOn w:val="159"/>
    <w:qFormat/>
    <w:uiPriority w:val="0"/>
    <w:pPr>
      <w:tabs>
        <w:tab w:val="clear" w:pos="0"/>
      </w:tabs>
      <w:jc w:val="both"/>
      <w:outlineLvl w:val="2"/>
    </w:pPr>
    <w:rPr>
      <w:bCs/>
      <w:sz w:val="21"/>
      <w:szCs w:val="21"/>
    </w:rPr>
  </w:style>
  <w:style w:type="paragraph" w:customStyle="1" w:styleId="19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98">
    <w:name w:val="Char12"/>
    <w:basedOn w:val="1"/>
    <w:qFormat/>
    <w:uiPriority w:val="0"/>
    <w:rPr>
      <w:szCs w:val="21"/>
    </w:rPr>
  </w:style>
  <w:style w:type="paragraph" w:customStyle="1" w:styleId="199">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00">
    <w:name w:val="font9"/>
    <w:basedOn w:val="1"/>
    <w:qFormat/>
    <w:uiPriority w:val="0"/>
    <w:pPr>
      <w:widowControl/>
      <w:spacing w:before="100" w:beforeAutospacing="1" w:after="100" w:afterAutospacing="1"/>
      <w:jc w:val="left"/>
    </w:pPr>
    <w:rPr>
      <w:rFonts w:hint="eastAsia" w:ascii="宋体" w:hAnsi="宋体"/>
      <w:kern w:val="0"/>
      <w:sz w:val="24"/>
      <w:u w:val="single"/>
    </w:rPr>
  </w:style>
  <w:style w:type="paragraph" w:customStyle="1" w:styleId="201">
    <w:name w:val="Formatvorlage layout_standard + 10 pt Zentriert"/>
    <w:basedOn w:val="1"/>
    <w:link w:val="265"/>
    <w:qFormat/>
    <w:uiPriority w:val="0"/>
    <w:pPr>
      <w:spacing w:line="360" w:lineRule="atLeast"/>
    </w:pPr>
    <w:rPr>
      <w:color w:val="000000"/>
      <w:kern w:val="0"/>
    </w:rPr>
  </w:style>
  <w:style w:type="paragraph" w:customStyle="1" w:styleId="20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03">
    <w:name w:val="表格"/>
    <w:basedOn w:val="1"/>
    <w:qFormat/>
    <w:uiPriority w:val="0"/>
    <w:pPr>
      <w:spacing w:line="400" w:lineRule="exact"/>
    </w:pPr>
    <w:rPr>
      <w:sz w:val="24"/>
    </w:rPr>
  </w:style>
  <w:style w:type="paragraph" w:customStyle="1" w:styleId="20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5">
    <w:name w:val="List Paragraph1"/>
    <w:basedOn w:val="1"/>
    <w:qFormat/>
    <w:uiPriority w:val="0"/>
    <w:pPr>
      <w:ind w:firstLine="420" w:firstLineChars="200"/>
    </w:pPr>
  </w:style>
  <w:style w:type="paragraph" w:customStyle="1" w:styleId="20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07">
    <w:name w:val="彩色底纹 - 着色 11"/>
    <w:qFormat/>
    <w:uiPriority w:val="0"/>
    <w:rPr>
      <w:rFonts w:ascii="Calibri" w:hAnsi="Calibri" w:eastAsia="宋体" w:cs="Times New Roman"/>
      <w:kern w:val="2"/>
      <w:sz w:val="21"/>
      <w:szCs w:val="24"/>
      <w:lang w:val="en-US" w:eastAsia="zh-CN" w:bidi="ar-SA"/>
    </w:rPr>
  </w:style>
  <w:style w:type="paragraph" w:customStyle="1" w:styleId="208">
    <w:name w:val="文件目录"/>
    <w:basedOn w:val="1"/>
    <w:qFormat/>
    <w:uiPriority w:val="0"/>
    <w:pPr>
      <w:spacing w:line="600" w:lineRule="exact"/>
      <w:jc w:val="left"/>
    </w:pPr>
    <w:rPr>
      <w:b/>
      <w:sz w:val="30"/>
      <w:szCs w:val="20"/>
    </w:rPr>
  </w:style>
  <w:style w:type="paragraph" w:customStyle="1" w:styleId="209">
    <w:name w:val="样式 标题 1 + 居中 段前: 0 磅 段后: 0 磅 行距: 固定值 30 磅"/>
    <w:basedOn w:val="3"/>
    <w:qFormat/>
    <w:uiPriority w:val="0"/>
    <w:pPr>
      <w:spacing w:before="0" w:after="0" w:line="600" w:lineRule="exact"/>
      <w:jc w:val="center"/>
    </w:pPr>
    <w:rPr>
      <w:rFonts w:eastAsia="Times New Roman" w:cs="宋体"/>
      <w:bCs w:val="0"/>
      <w:color w:val="000000"/>
      <w:kern w:val="2"/>
      <w:szCs w:val="20"/>
    </w:rPr>
  </w:style>
  <w:style w:type="paragraph" w:customStyle="1" w:styleId="210">
    <w:name w:val="444"/>
    <w:basedOn w:val="1"/>
    <w:qFormat/>
    <w:uiPriority w:val="0"/>
    <w:pPr>
      <w:adjustRightInd w:val="0"/>
      <w:spacing w:line="312" w:lineRule="atLeast"/>
      <w:jc w:val="center"/>
      <w:textAlignment w:val="baseline"/>
    </w:pPr>
    <w:rPr>
      <w:b/>
      <w:kern w:val="0"/>
      <w:sz w:val="36"/>
      <w:szCs w:val="36"/>
    </w:rPr>
  </w:style>
  <w:style w:type="paragraph" w:customStyle="1" w:styleId="211">
    <w:name w:val="方案正文"/>
    <w:basedOn w:val="1"/>
    <w:qFormat/>
    <w:uiPriority w:val="0"/>
    <w:pPr>
      <w:spacing w:line="360" w:lineRule="auto"/>
      <w:ind w:firstLine="420"/>
    </w:pPr>
    <w:rPr>
      <w:b/>
      <w:color w:val="0070C0"/>
      <w:szCs w:val="20"/>
    </w:rPr>
  </w:style>
  <w:style w:type="paragraph" w:customStyle="1" w:styleId="212">
    <w:name w:val="列出段落2"/>
    <w:basedOn w:val="1"/>
    <w:qFormat/>
    <w:uiPriority w:val="34"/>
    <w:pPr>
      <w:ind w:firstLine="420" w:firstLineChars="200"/>
    </w:pPr>
  </w:style>
  <w:style w:type="paragraph" w:customStyle="1" w:styleId="213">
    <w:name w:val="正文11"/>
    <w:basedOn w:val="1"/>
    <w:qFormat/>
    <w:uiPriority w:val="0"/>
    <w:rPr>
      <w:rFonts w:eastAsia="Times New Roman" w:cs="宋体"/>
      <w:kern w:val="0"/>
      <w:szCs w:val="20"/>
      <w:lang w:eastAsia="en-US"/>
    </w:rPr>
  </w:style>
  <w:style w:type="paragraph" w:customStyle="1" w:styleId="214">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21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21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7">
    <w:name w:val="p15"/>
    <w:basedOn w:val="1"/>
    <w:qFormat/>
    <w:uiPriority w:val="0"/>
    <w:pPr>
      <w:widowControl/>
    </w:pPr>
    <w:rPr>
      <w:rFonts w:ascii="宋体" w:hAnsi="宋体" w:cs="宋体"/>
      <w:kern w:val="0"/>
      <w:szCs w:val="21"/>
    </w:rPr>
  </w:style>
  <w:style w:type="paragraph" w:customStyle="1" w:styleId="218">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219">
    <w:name w:val="font8"/>
    <w:basedOn w:val="1"/>
    <w:qFormat/>
    <w:uiPriority w:val="0"/>
    <w:pPr>
      <w:widowControl/>
      <w:spacing w:before="100" w:beforeAutospacing="1" w:after="100" w:afterAutospacing="1"/>
      <w:jc w:val="left"/>
    </w:pPr>
    <w:rPr>
      <w:b/>
      <w:bCs/>
      <w:kern w:val="0"/>
      <w:sz w:val="32"/>
      <w:szCs w:val="32"/>
    </w:rPr>
  </w:style>
  <w:style w:type="paragraph" w:customStyle="1" w:styleId="220">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1">
    <w:name w:val="p0"/>
    <w:basedOn w:val="1"/>
    <w:qFormat/>
    <w:uiPriority w:val="0"/>
    <w:pPr>
      <w:widowControl/>
    </w:pPr>
    <w:rPr>
      <w:rFonts w:ascii="宋体" w:hAnsi="宋体" w:cs="宋体"/>
      <w:kern w:val="0"/>
      <w:szCs w:val="21"/>
    </w:rPr>
  </w:style>
  <w:style w:type="paragraph" w:customStyle="1" w:styleId="222">
    <w:name w:val="文件标题"/>
    <w:basedOn w:val="1"/>
    <w:qFormat/>
    <w:uiPriority w:val="0"/>
    <w:pPr>
      <w:jc w:val="center"/>
    </w:pPr>
    <w:rPr>
      <w:b/>
      <w:sz w:val="36"/>
      <w:szCs w:val="20"/>
    </w:rPr>
  </w:style>
  <w:style w:type="paragraph" w:customStyle="1" w:styleId="223">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2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25">
    <w:name w:val="Char1 Char Char Char Char Char Char Char Char Char Char1"/>
    <w:basedOn w:val="1"/>
    <w:qFormat/>
    <w:uiPriority w:val="0"/>
    <w:rPr>
      <w:rFonts w:ascii="Tahoma" w:hAnsi="Tahoma"/>
      <w:sz w:val="24"/>
      <w:szCs w:val="20"/>
    </w:rPr>
  </w:style>
  <w:style w:type="paragraph" w:customStyle="1" w:styleId="226">
    <w:name w:val="样式 首行缩进:  2 字符"/>
    <w:basedOn w:val="1"/>
    <w:qFormat/>
    <w:uiPriority w:val="0"/>
    <w:pPr>
      <w:spacing w:line="400" w:lineRule="exact"/>
      <w:ind w:firstLine="200" w:firstLineChars="200"/>
    </w:pPr>
    <w:rPr>
      <w:rFonts w:cs="宋体"/>
      <w:sz w:val="24"/>
    </w:rPr>
  </w:style>
  <w:style w:type="paragraph" w:customStyle="1" w:styleId="2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8">
    <w:name w:val="表格文字"/>
    <w:basedOn w:val="1"/>
    <w:qFormat/>
    <w:uiPriority w:val="0"/>
    <w:pPr>
      <w:spacing w:line="0" w:lineRule="atLeast"/>
      <w:jc w:val="center"/>
    </w:pPr>
    <w:rPr>
      <w:sz w:val="28"/>
    </w:rPr>
  </w:style>
  <w:style w:type="paragraph" w:customStyle="1" w:styleId="229">
    <w:name w:val="次小点说明 Char"/>
    <w:basedOn w:val="8"/>
    <w:qFormat/>
    <w:uiPriority w:val="0"/>
    <w:pPr>
      <w:ind w:firstLine="0"/>
    </w:pPr>
    <w:rPr>
      <w:sz w:val="24"/>
      <w:szCs w:val="24"/>
    </w:rPr>
  </w:style>
  <w:style w:type="paragraph" w:customStyle="1" w:styleId="230">
    <w:name w:val="五号正文（标准）"/>
    <w:basedOn w:val="1"/>
    <w:qFormat/>
    <w:uiPriority w:val="0"/>
    <w:pPr>
      <w:spacing w:line="360" w:lineRule="auto"/>
      <w:ind w:right="55" w:firstLine="560" w:firstLineChars="200"/>
    </w:pPr>
    <w:rPr>
      <w:rFonts w:eastAsia="仿宋_GB2312"/>
      <w:sz w:val="28"/>
      <w:szCs w:val="20"/>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232">
    <w:name w:val="正文_0"/>
    <w:basedOn w:val="1"/>
    <w:qFormat/>
    <w:uiPriority w:val="0"/>
    <w:rPr>
      <w:rFonts w:cs="宋体"/>
      <w:szCs w:val="21"/>
    </w:rPr>
  </w:style>
  <w:style w:type="paragraph" w:customStyle="1" w:styleId="233">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23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5">
    <w:name w:val="Char Char Char1"/>
    <w:basedOn w:val="18"/>
    <w:qFormat/>
    <w:uiPriority w:val="0"/>
    <w:rPr>
      <w:rFonts w:ascii="Tahoma" w:hAnsi="Tahoma"/>
      <w:sz w:val="24"/>
    </w:rPr>
  </w:style>
  <w:style w:type="paragraph" w:customStyle="1" w:styleId="236">
    <w:name w:val="表头"/>
    <w:basedOn w:val="1"/>
    <w:qFormat/>
    <w:uiPriority w:val="0"/>
    <w:pPr>
      <w:widowControl/>
      <w:tabs>
        <w:tab w:val="left" w:pos="480"/>
      </w:tabs>
      <w:autoSpaceDE w:val="0"/>
      <w:autoSpaceDN w:val="0"/>
      <w:adjustRightInd w:val="0"/>
      <w:ind w:firstLine="482"/>
      <w:textAlignment w:val="bottom"/>
    </w:pPr>
    <w:rPr>
      <w:kern w:val="0"/>
      <w:sz w:val="24"/>
      <w:szCs w:val="21"/>
    </w:rPr>
  </w:style>
  <w:style w:type="paragraph" w:customStyle="1" w:styleId="2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38">
    <w:name w:val="Char Char Char Char Char Char Char1"/>
    <w:basedOn w:val="1"/>
    <w:qFormat/>
    <w:uiPriority w:val="0"/>
  </w:style>
  <w:style w:type="paragraph" w:customStyle="1" w:styleId="239">
    <w:name w:val="CM92"/>
    <w:basedOn w:val="183"/>
    <w:next w:val="183"/>
    <w:qFormat/>
    <w:uiPriority w:val="0"/>
    <w:pPr>
      <w:spacing w:after="530"/>
    </w:pPr>
    <w:rPr>
      <w:rFonts w:cs="Times New Roman"/>
      <w:color w:val="auto"/>
    </w:rPr>
  </w:style>
  <w:style w:type="paragraph" w:customStyle="1" w:styleId="24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41">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42">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3">
    <w:name w:val="font0"/>
    <w:basedOn w:val="1"/>
    <w:qFormat/>
    <w:uiPriority w:val="0"/>
    <w:pPr>
      <w:widowControl/>
      <w:spacing w:before="100" w:beforeAutospacing="1" w:after="100" w:afterAutospacing="1"/>
      <w:jc w:val="left"/>
    </w:pPr>
    <w:rPr>
      <w:rFonts w:ascii="Arial" w:hAnsi="Arial" w:eastAsia="Arial Unicode MS" w:cs="Arial"/>
      <w:kern w:val="0"/>
      <w:sz w:val="20"/>
      <w:szCs w:val="20"/>
    </w:rPr>
  </w:style>
  <w:style w:type="paragraph" w:customStyle="1" w:styleId="244">
    <w:name w:val="附件5"/>
    <w:basedOn w:val="125"/>
    <w:qFormat/>
    <w:uiPriority w:val="0"/>
    <w:pPr>
      <w:tabs>
        <w:tab w:val="left" w:pos="851"/>
        <w:tab w:val="clear" w:pos="1894"/>
      </w:tabs>
      <w:ind w:left="680" w:hanging="113"/>
    </w:pPr>
    <w:rPr>
      <w:b w:val="0"/>
    </w:rPr>
  </w:style>
  <w:style w:type="paragraph" w:customStyle="1" w:styleId="245">
    <w:name w:val="正文首行缩进两字符"/>
    <w:basedOn w:val="1"/>
    <w:qFormat/>
    <w:uiPriority w:val="0"/>
    <w:pPr>
      <w:spacing w:line="360" w:lineRule="auto"/>
      <w:ind w:firstLine="200" w:firstLineChars="200"/>
    </w:pPr>
  </w:style>
  <w:style w:type="paragraph" w:customStyle="1" w:styleId="246">
    <w:name w:val="DC一级编号"/>
    <w:basedOn w:val="1"/>
    <w:qFormat/>
    <w:uiPriority w:val="0"/>
    <w:pPr>
      <w:tabs>
        <w:tab w:val="left" w:pos="540"/>
      </w:tabs>
      <w:spacing w:line="360" w:lineRule="auto"/>
      <w:ind w:left="540" w:hanging="360"/>
    </w:pPr>
    <w:rPr>
      <w:rFonts w:ascii="宋体" w:hAnsi="宋体"/>
      <w:sz w:val="24"/>
    </w:rPr>
  </w:style>
  <w:style w:type="paragraph" w:customStyle="1" w:styleId="2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48">
    <w:name w:val="标题1"/>
    <w:basedOn w:val="1"/>
    <w:qFormat/>
    <w:uiPriority w:val="0"/>
    <w:pPr>
      <w:tabs>
        <w:tab w:val="left" w:pos="0"/>
      </w:tabs>
      <w:spacing w:line="360" w:lineRule="auto"/>
      <w:ind w:left="420" w:leftChars="100" w:right="-212" w:rightChars="100"/>
      <w:jc w:val="center"/>
    </w:pPr>
    <w:rPr>
      <w:rFonts w:ascii="仿宋_GB2312" w:eastAsia="仿宋_GB2312"/>
      <w:b/>
      <w:bCs/>
      <w:sz w:val="30"/>
      <w:szCs w:val="36"/>
    </w:rPr>
  </w:style>
  <w:style w:type="paragraph" w:customStyle="1" w:styleId="24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250">
    <w:name w:val="标准正文"/>
    <w:basedOn w:val="1"/>
    <w:qFormat/>
    <w:uiPriority w:val="0"/>
    <w:pPr>
      <w:spacing w:before="60" w:after="60" w:line="360" w:lineRule="auto"/>
      <w:ind w:firstLine="482"/>
    </w:pPr>
    <w:rPr>
      <w:rFonts w:ascii="Arial" w:hAnsi="Arial"/>
      <w:color w:val="000000"/>
      <w:sz w:val="24"/>
      <w:szCs w:val="20"/>
    </w:rPr>
  </w:style>
  <w:style w:type="paragraph" w:customStyle="1" w:styleId="25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52">
    <w:name w:val="前言、引言标题"/>
    <w:next w:val="1"/>
    <w:qFormat/>
    <w:uiPriority w:val="0"/>
    <w:pPr>
      <w:numPr>
        <w:ilvl w:val="1"/>
        <w:numId w:val="5"/>
      </w:numPr>
      <w:shd w:val="clear" w:color="FFFFFF" w:fill="FFFFFF"/>
      <w:tabs>
        <w:tab w:val="left" w:pos="1200"/>
      </w:tabs>
      <w:spacing w:before="640" w:after="560"/>
      <w:ind w:left="0"/>
      <w:jc w:val="center"/>
      <w:outlineLvl w:val="0"/>
    </w:pPr>
    <w:rPr>
      <w:rFonts w:ascii="黑体" w:hAnsi="Calibri" w:eastAsia="黑体" w:cs="Times New Roman"/>
      <w:sz w:val="32"/>
      <w:lang w:val="en-US" w:eastAsia="zh-CN" w:bidi="ar-SA"/>
    </w:rPr>
  </w:style>
  <w:style w:type="paragraph" w:customStyle="1" w:styleId="253">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4"/>
    </w:rPr>
  </w:style>
  <w:style w:type="paragraph" w:customStyle="1" w:styleId="254">
    <w:name w:val="Char Char Char Char Char Char Char2"/>
    <w:basedOn w:val="1"/>
    <w:qFormat/>
    <w:uiPriority w:val="0"/>
  </w:style>
  <w:style w:type="paragraph" w:customStyle="1" w:styleId="2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56">
    <w:name w:val="我的正文"/>
    <w:basedOn w:val="1"/>
    <w:qFormat/>
    <w:uiPriority w:val="0"/>
    <w:pPr>
      <w:adjustRightInd w:val="0"/>
      <w:snapToGrid w:val="0"/>
      <w:spacing w:line="400" w:lineRule="exact"/>
      <w:ind w:right="210" w:rightChars="100" w:firstLine="420" w:firstLineChars="200"/>
      <w:jc w:val="left"/>
    </w:pPr>
    <w:rPr>
      <w:color w:val="000000"/>
    </w:rPr>
  </w:style>
  <w:style w:type="character" w:customStyle="1" w:styleId="257">
    <w:name w:val="正文文本 3 Char1"/>
    <w:semiHidden/>
    <w:qFormat/>
    <w:uiPriority w:val="99"/>
    <w:rPr>
      <w:rFonts w:ascii="Calibri" w:hAnsi="Calibri" w:eastAsia="微软雅黑" w:cs="Times New Roman"/>
      <w:color w:val="000000"/>
      <w:sz w:val="28"/>
      <w:lang w:val="zh-CN"/>
    </w:rPr>
  </w:style>
  <w:style w:type="character" w:customStyle="1" w:styleId="258">
    <w:name w:val="style11"/>
    <w:qFormat/>
    <w:uiPriority w:val="0"/>
    <w:rPr>
      <w:rFonts w:hint="default" w:ascii="Arial" w:hAnsi="Arial" w:eastAsia="宋体" w:cs="Arial"/>
    </w:rPr>
  </w:style>
  <w:style w:type="character" w:customStyle="1" w:styleId="259">
    <w:name w:val="标题2"/>
    <w:basedOn w:val="57"/>
    <w:qFormat/>
    <w:uiPriority w:val="0"/>
    <w:rPr>
      <w:rFonts w:ascii="Calibri" w:hAnsi="Calibri" w:eastAsia="宋体" w:cs="Times New Roman"/>
    </w:rPr>
  </w:style>
  <w:style w:type="character" w:customStyle="1" w:styleId="260">
    <w:name w:val="标题 Char"/>
    <w:link w:val="51"/>
    <w:qFormat/>
    <w:uiPriority w:val="0"/>
    <w:rPr>
      <w:rFonts w:ascii="Cambria" w:hAnsi="Cambria" w:eastAsia="宋体" w:cs="Times New Roman"/>
      <w:b/>
      <w:bCs/>
      <w:kern w:val="2"/>
      <w:sz w:val="32"/>
      <w:szCs w:val="32"/>
    </w:rPr>
  </w:style>
  <w:style w:type="character" w:customStyle="1" w:styleId="261">
    <w:name w:val="H1 Char1"/>
    <w:qFormat/>
    <w:uiPriority w:val="0"/>
    <w:rPr>
      <w:rFonts w:ascii="Times New Roman" w:hAnsi="Times New Roman" w:eastAsia="宋体" w:cs="Times New Roman"/>
      <w:b/>
      <w:bCs/>
      <w:kern w:val="44"/>
      <w:sz w:val="44"/>
      <w:szCs w:val="44"/>
    </w:rPr>
  </w:style>
  <w:style w:type="character" w:customStyle="1" w:styleId="262">
    <w:name w:val="标题 8 Char"/>
    <w:link w:val="11"/>
    <w:qFormat/>
    <w:uiPriority w:val="0"/>
    <w:rPr>
      <w:rFonts w:ascii="Arial" w:hAnsi="Arial" w:eastAsia="黑体" w:cs="Times New Roman"/>
      <w:kern w:val="2"/>
      <w:sz w:val="24"/>
      <w:szCs w:val="24"/>
    </w:rPr>
  </w:style>
  <w:style w:type="character" w:customStyle="1" w:styleId="263">
    <w:name w:val="页脚 Char1"/>
    <w:qFormat/>
    <w:uiPriority w:val="0"/>
    <w:rPr>
      <w:rFonts w:hint="default" w:ascii="Calibri" w:hAnsi="Calibri" w:eastAsia="宋体" w:cs="Times New Roman"/>
      <w:sz w:val="18"/>
      <w:szCs w:val="18"/>
    </w:rPr>
  </w:style>
  <w:style w:type="character" w:customStyle="1" w:styleId="264">
    <w:name w:val="标题 2 Char"/>
    <w:link w:val="4"/>
    <w:qFormat/>
    <w:uiPriority w:val="0"/>
    <w:rPr>
      <w:rFonts w:ascii="Arial" w:hAnsi="Arial" w:eastAsia="黑体" w:cs="Times New Roman"/>
      <w:b/>
      <w:bCs/>
      <w:sz w:val="32"/>
      <w:szCs w:val="32"/>
    </w:rPr>
  </w:style>
  <w:style w:type="character" w:customStyle="1" w:styleId="265">
    <w:name w:val="op-map-singlepoint-info-right"/>
    <w:link w:val="201"/>
    <w:qFormat/>
    <w:uiPriority w:val="0"/>
    <w:rPr>
      <w:rFonts w:ascii="Calibri" w:hAnsi="Calibri" w:eastAsia="宋体" w:cs="Times New Roman"/>
      <w:color w:val="000000"/>
      <w:sz w:val="21"/>
      <w:szCs w:val="24"/>
    </w:rPr>
  </w:style>
  <w:style w:type="character" w:customStyle="1" w:styleId="266">
    <w:name w:val="10"/>
    <w:qFormat/>
    <w:uiPriority w:val="0"/>
    <w:rPr>
      <w:rFonts w:hint="default" w:ascii="Times New Roman" w:hAnsi="Times New Roman" w:eastAsia="Times New Roman" w:cs="Times New Roman"/>
    </w:rPr>
  </w:style>
  <w:style w:type="character" w:customStyle="1" w:styleId="267">
    <w:name w:val="Char Char"/>
    <w:qFormat/>
    <w:uiPriority w:val="0"/>
    <w:rPr>
      <w:rFonts w:hint="eastAsia" w:ascii="宋体" w:hAnsi="宋体" w:eastAsia="宋体" w:cs="Times New Roman"/>
      <w:spacing w:val="-4"/>
      <w:kern w:val="2"/>
      <w:sz w:val="18"/>
      <w:lang w:val="en-US" w:eastAsia="zh-CN" w:bidi="ar-SA"/>
    </w:rPr>
  </w:style>
  <w:style w:type="character" w:customStyle="1" w:styleId="268">
    <w:name w:val="Plain Text Char1"/>
    <w:link w:val="82"/>
    <w:qFormat/>
    <w:uiPriority w:val="0"/>
    <w:rPr>
      <w:rFonts w:ascii="宋体" w:hAnsi="Courier New" w:eastAsia="宋体" w:cs="Century"/>
      <w:kern w:val="2"/>
      <w:sz w:val="21"/>
      <w:szCs w:val="21"/>
      <w:lang w:val="en-US" w:eastAsia="zh-CN" w:bidi="ar-SA"/>
    </w:rPr>
  </w:style>
  <w:style w:type="character" w:customStyle="1" w:styleId="269">
    <w:name w:val="批注框文本 Char1"/>
    <w:qFormat/>
    <w:uiPriority w:val="99"/>
    <w:rPr>
      <w:rFonts w:hint="default" w:ascii="Times New Roman" w:hAnsi="Times New Roman" w:eastAsia="Times New Roman" w:cs="Times New Roman"/>
      <w:color w:val="000000"/>
      <w:kern w:val="2"/>
      <w:sz w:val="18"/>
      <w:szCs w:val="18"/>
    </w:rPr>
  </w:style>
  <w:style w:type="character" w:customStyle="1" w:styleId="270">
    <w:name w:val="标题 3 Char"/>
    <w:link w:val="5"/>
    <w:qFormat/>
    <w:uiPriority w:val="0"/>
    <w:rPr>
      <w:rFonts w:ascii="Times New Roman" w:hAnsi="Times New Roman" w:eastAsia="宋体" w:cs="Times New Roman"/>
      <w:b/>
      <w:bCs/>
      <w:sz w:val="32"/>
      <w:szCs w:val="32"/>
    </w:rPr>
  </w:style>
  <w:style w:type="character" w:customStyle="1" w:styleId="271">
    <w:name w:val="1051"/>
    <w:qFormat/>
    <w:uiPriority w:val="0"/>
    <w:rPr>
      <w:rFonts w:ascii="Calibri" w:hAnsi="Calibri" w:eastAsia="宋体" w:cs="Times New Roman"/>
      <w:sz w:val="21"/>
      <w:szCs w:val="21"/>
    </w:rPr>
  </w:style>
  <w:style w:type="character" w:customStyle="1" w:styleId="272">
    <w:name w:val="脚注文本 Char1"/>
    <w:semiHidden/>
    <w:qFormat/>
    <w:uiPriority w:val="99"/>
    <w:rPr>
      <w:rFonts w:hint="default" w:ascii="Times New Roman" w:hAnsi="Times New Roman" w:eastAsia="Times New Roman" w:cs="Times New Roman"/>
      <w:color w:val="000000"/>
      <w:sz w:val="18"/>
      <w:szCs w:val="18"/>
    </w:rPr>
  </w:style>
  <w:style w:type="character" w:customStyle="1" w:styleId="273">
    <w:name w:val="正文文本缩进 Char"/>
    <w:link w:val="21"/>
    <w:qFormat/>
    <w:uiPriority w:val="0"/>
    <w:rPr>
      <w:rFonts w:ascii="仿宋_GB2312" w:hAnsi="Times New Roman" w:eastAsia="仿宋_GB2312" w:cs="Times New Roman"/>
      <w:sz w:val="32"/>
      <w:szCs w:val="20"/>
    </w:rPr>
  </w:style>
  <w:style w:type="character" w:customStyle="1" w:styleId="274">
    <w:name w:val="批注文字 Char"/>
    <w:link w:val="19"/>
    <w:qFormat/>
    <w:uiPriority w:val="0"/>
    <w:rPr>
      <w:rFonts w:ascii="Times New Roman" w:hAnsi="Times New Roman" w:eastAsia="宋体" w:cs="Times New Roman"/>
      <w:kern w:val="2"/>
      <w:sz w:val="21"/>
      <w:szCs w:val="24"/>
    </w:rPr>
  </w:style>
  <w:style w:type="character" w:customStyle="1" w:styleId="275">
    <w:name w:val="apple-converted-space"/>
    <w:qFormat/>
    <w:uiPriority w:val="0"/>
    <w:rPr>
      <w:rFonts w:hint="default" w:ascii="Times New Roman" w:hAnsi="Times New Roman" w:eastAsia="Times New Roman" w:cs="Times New Roman"/>
    </w:rPr>
  </w:style>
  <w:style w:type="character" w:customStyle="1" w:styleId="276">
    <w:name w:val="正文文本 3 Char"/>
    <w:link w:val="20"/>
    <w:qFormat/>
    <w:uiPriority w:val="0"/>
    <w:rPr>
      <w:rFonts w:ascii="Times New Roman" w:hAnsi="Times New Roman" w:eastAsia="宋体" w:cs="Times New Roman"/>
      <w:b/>
      <w:bCs/>
      <w:sz w:val="24"/>
      <w:szCs w:val="24"/>
    </w:rPr>
  </w:style>
  <w:style w:type="character" w:customStyle="1" w:styleId="277">
    <w:name w:val="纯文本 Char3"/>
    <w:qFormat/>
    <w:uiPriority w:val="0"/>
    <w:rPr>
      <w:rFonts w:hint="eastAsia" w:ascii="宋体" w:hAnsi="Courier New" w:eastAsia="Times New Roman" w:cs="Courier New"/>
      <w:color w:val="000000"/>
      <w:sz w:val="21"/>
      <w:szCs w:val="21"/>
    </w:rPr>
  </w:style>
  <w:style w:type="character" w:customStyle="1" w:styleId="278">
    <w:name w:val="页眉 Char2"/>
    <w:semiHidden/>
    <w:qFormat/>
    <w:uiPriority w:val="99"/>
    <w:rPr>
      <w:rFonts w:ascii="Calibri" w:hAnsi="Calibri" w:eastAsia="Times New Roman" w:cs="Times New Roman"/>
      <w:color w:val="000000"/>
      <w:kern w:val="2"/>
      <w:sz w:val="18"/>
      <w:szCs w:val="18"/>
    </w:rPr>
  </w:style>
  <w:style w:type="character" w:customStyle="1" w:styleId="279">
    <w:name w:val="HTML 预设格式 Char1"/>
    <w:semiHidden/>
    <w:qFormat/>
    <w:uiPriority w:val="0"/>
    <w:rPr>
      <w:rFonts w:ascii="宋体" w:hAnsi="宋体" w:eastAsia="Times New Roman" w:cs="宋体"/>
      <w:color w:val="000000"/>
      <w:sz w:val="24"/>
      <w:szCs w:val="24"/>
      <w:lang w:val="zh-CN"/>
    </w:rPr>
  </w:style>
  <w:style w:type="character" w:customStyle="1" w:styleId="280">
    <w:name w:val="f151"/>
    <w:qFormat/>
    <w:uiPriority w:val="0"/>
    <w:rPr>
      <w:rFonts w:ascii="Calibri" w:hAnsi="Calibri" w:eastAsia="宋体" w:cs="Times New Roman"/>
      <w:sz w:val="23"/>
      <w:szCs w:val="23"/>
    </w:rPr>
  </w:style>
  <w:style w:type="character" w:customStyle="1" w:styleId="281">
    <w:name w:val="fo Char"/>
    <w:qFormat/>
    <w:uiPriority w:val="0"/>
    <w:rPr>
      <w:rFonts w:ascii="Times New Roman" w:hAnsi="Times New Roman" w:eastAsia="宋体" w:cs="Times New Roman"/>
      <w:sz w:val="18"/>
      <w:szCs w:val="18"/>
    </w:rPr>
  </w:style>
  <w:style w:type="character" w:customStyle="1" w:styleId="282">
    <w:name w:val="apple-style-span"/>
    <w:basedOn w:val="57"/>
    <w:qFormat/>
    <w:uiPriority w:val="0"/>
    <w:rPr>
      <w:rFonts w:ascii="Calibri" w:hAnsi="Calibri" w:eastAsia="宋体" w:cs="Times New Roman"/>
    </w:rPr>
  </w:style>
  <w:style w:type="character" w:customStyle="1" w:styleId="283">
    <w:name w:val="font21"/>
    <w:qFormat/>
    <w:uiPriority w:val="0"/>
    <w:rPr>
      <w:rFonts w:hint="eastAsia" w:ascii="宋体" w:hAnsi="宋体" w:eastAsia="宋体" w:cs="宋体"/>
      <w:color w:val="000000"/>
      <w:sz w:val="18"/>
      <w:szCs w:val="18"/>
      <w:u w:val="none"/>
    </w:rPr>
  </w:style>
  <w:style w:type="character" w:customStyle="1" w:styleId="284">
    <w:name w:val="副标题 Char"/>
    <w:qFormat/>
    <w:uiPriority w:val="0"/>
    <w:rPr>
      <w:rFonts w:ascii="Cambria" w:hAnsi="Cambria" w:eastAsia="宋体" w:cs="Times New Roman"/>
      <w:b/>
      <w:bCs/>
      <w:kern w:val="28"/>
      <w:sz w:val="32"/>
      <w:szCs w:val="32"/>
    </w:rPr>
  </w:style>
  <w:style w:type="character" w:customStyle="1" w:styleId="285">
    <w:name w:val="Char Char8"/>
    <w:qFormat/>
    <w:uiPriority w:val="0"/>
    <w:rPr>
      <w:rFonts w:ascii="宋体" w:hAnsi="Courier New" w:eastAsia="宋体" w:cs="Times New Roman"/>
      <w:szCs w:val="21"/>
      <w:lang w:bidi="ar-SA"/>
    </w:rPr>
  </w:style>
  <w:style w:type="character" w:customStyle="1" w:styleId="286">
    <w:name w:val="Header Char"/>
    <w:qFormat/>
    <w:uiPriority w:val="0"/>
    <w:rPr>
      <w:rFonts w:ascii="Times New Roman" w:hAnsi="Times New Roman" w:eastAsia="宋体" w:cs="Times New Roman"/>
      <w:sz w:val="18"/>
      <w:szCs w:val="18"/>
    </w:rPr>
  </w:style>
  <w:style w:type="character" w:customStyle="1" w:styleId="287">
    <w:name w:val="small"/>
    <w:basedOn w:val="57"/>
    <w:qFormat/>
    <w:uiPriority w:val="0"/>
    <w:rPr>
      <w:rFonts w:ascii="Calibri" w:hAnsi="Calibri" w:eastAsia="宋体" w:cs="Times New Roman"/>
    </w:rPr>
  </w:style>
  <w:style w:type="character" w:customStyle="1" w:styleId="288">
    <w:name w:val="纯文本 Char1"/>
    <w:qFormat/>
    <w:uiPriority w:val="0"/>
    <w:rPr>
      <w:rFonts w:ascii="宋体" w:hAnsi="Courier New" w:eastAsia="宋体" w:cs="Times New Roman"/>
      <w:kern w:val="2"/>
      <w:sz w:val="21"/>
    </w:rPr>
  </w:style>
  <w:style w:type="character" w:customStyle="1" w:styleId="289">
    <w:name w:val="副标题 Char1"/>
    <w:link w:val="37"/>
    <w:qFormat/>
    <w:uiPriority w:val="0"/>
    <w:rPr>
      <w:rFonts w:ascii="Cambria" w:hAnsi="Cambria" w:eastAsia="Times New Roman" w:cs="Cambria"/>
      <w:b/>
      <w:color w:val="000000"/>
      <w:kern w:val="2"/>
      <w:sz w:val="32"/>
      <w:szCs w:val="32"/>
    </w:rPr>
  </w:style>
  <w:style w:type="character" w:customStyle="1" w:styleId="290">
    <w:name w:val="_正文段落 Char"/>
    <w:link w:val="173"/>
    <w:qFormat/>
    <w:uiPriority w:val="0"/>
    <w:rPr>
      <w:rFonts w:ascii="宋体" w:hAnsi="宋体" w:eastAsia="宋体" w:cs="Times New Roman"/>
      <w:kern w:val="2"/>
      <w:sz w:val="24"/>
      <w:szCs w:val="24"/>
      <w:lang w:bidi="ar-SA"/>
    </w:rPr>
  </w:style>
  <w:style w:type="character" w:customStyle="1" w:styleId="291">
    <w:name w:val="第一层条 Char"/>
    <w:qFormat/>
    <w:uiPriority w:val="0"/>
    <w:rPr>
      <w:rFonts w:ascii="Arial" w:hAnsi="Arial" w:eastAsia="宋体" w:cs="Times New Roman"/>
      <w:b/>
      <w:bCs/>
      <w:kern w:val="2"/>
      <w:sz w:val="28"/>
      <w:szCs w:val="32"/>
      <w:lang w:val="en-US" w:eastAsia="zh-CN" w:bidi="ar-SA"/>
    </w:rPr>
  </w:style>
  <w:style w:type="character" w:customStyle="1" w:styleId="292">
    <w:name w:val="white"/>
    <w:basedOn w:val="57"/>
    <w:qFormat/>
    <w:uiPriority w:val="0"/>
    <w:rPr>
      <w:rFonts w:ascii="Calibri" w:hAnsi="Calibri" w:eastAsia="宋体" w:cs="Times New Roman"/>
    </w:rPr>
  </w:style>
  <w:style w:type="character" w:customStyle="1" w:styleId="293">
    <w:name w:val="headline-content4"/>
    <w:basedOn w:val="57"/>
    <w:qFormat/>
    <w:uiPriority w:val="0"/>
    <w:rPr>
      <w:rFonts w:ascii="Calibri" w:hAnsi="Calibri" w:eastAsia="宋体" w:cs="Times New Roman"/>
    </w:rPr>
  </w:style>
  <w:style w:type="character" w:customStyle="1" w:styleId="294">
    <w:name w:val="批注主题 Char"/>
    <w:link w:val="52"/>
    <w:semiHidden/>
    <w:qFormat/>
    <w:uiPriority w:val="99"/>
    <w:rPr>
      <w:rFonts w:ascii="Times New Roman" w:hAnsi="Times New Roman" w:eastAsia="宋体" w:cs="Times New Roman"/>
      <w:b/>
      <w:bCs/>
      <w:kern w:val="2"/>
      <w:sz w:val="21"/>
      <w:szCs w:val="24"/>
    </w:rPr>
  </w:style>
  <w:style w:type="character" w:customStyle="1" w:styleId="295">
    <w:name w:val="正文文本缩进 Char1"/>
    <w:semiHidden/>
    <w:qFormat/>
    <w:uiPriority w:val="99"/>
    <w:rPr>
      <w:rFonts w:ascii="Calibri" w:hAnsi="Calibri" w:eastAsia="Times New Roman" w:cs="Times New Roman"/>
      <w:kern w:val="2"/>
      <w:sz w:val="21"/>
      <w:szCs w:val="22"/>
    </w:rPr>
  </w:style>
  <w:style w:type="character" w:customStyle="1" w:styleId="296">
    <w:name w:val="fo Char1"/>
    <w:qFormat/>
    <w:uiPriority w:val="0"/>
    <w:rPr>
      <w:rFonts w:ascii="Calibri" w:hAnsi="Calibri" w:eastAsia="宋体" w:cs="Times New Roman"/>
      <w:kern w:val="2"/>
      <w:sz w:val="18"/>
      <w:szCs w:val="18"/>
      <w:lang w:bidi="ar-SA"/>
    </w:rPr>
  </w:style>
  <w:style w:type="character" w:customStyle="1" w:styleId="297">
    <w:name w:val="纯文本 Char4"/>
    <w:link w:val="27"/>
    <w:qFormat/>
    <w:uiPriority w:val="0"/>
    <w:rPr>
      <w:rFonts w:ascii="宋体" w:hAnsi="Courier New" w:eastAsia="宋体" w:cs="Courier New"/>
      <w:szCs w:val="21"/>
    </w:rPr>
  </w:style>
  <w:style w:type="character" w:customStyle="1" w:styleId="298">
    <w:name w:val="页眉 Char"/>
    <w:link w:val="34"/>
    <w:qFormat/>
    <w:uiPriority w:val="99"/>
    <w:rPr>
      <w:rFonts w:ascii="Times New Roman" w:hAnsi="Times New Roman" w:eastAsia="宋体" w:cs="Times New Roman"/>
      <w:kern w:val="2"/>
      <w:sz w:val="18"/>
      <w:szCs w:val="18"/>
    </w:rPr>
  </w:style>
  <w:style w:type="character" w:customStyle="1" w:styleId="299">
    <w:name w:val="正文缩进 Char"/>
    <w:link w:val="8"/>
    <w:qFormat/>
    <w:uiPriority w:val="0"/>
    <w:rPr>
      <w:rFonts w:ascii="Calibri" w:hAnsi="Calibri" w:eastAsia="宋体" w:cs="Times New Roman"/>
      <w:kern w:val="2"/>
      <w:sz w:val="21"/>
      <w:lang w:val="en-US" w:eastAsia="zh-CN" w:bidi="ar-SA"/>
    </w:rPr>
  </w:style>
  <w:style w:type="character" w:customStyle="1" w:styleId="300">
    <w:name w:val="批注主题 Char2"/>
    <w:semiHidden/>
    <w:qFormat/>
    <w:uiPriority w:val="99"/>
    <w:rPr>
      <w:rFonts w:ascii="Calibri" w:hAnsi="Calibri" w:eastAsia="宋体" w:cs="Times New Roman"/>
      <w:b/>
      <w:bCs/>
      <w:color w:val="000000"/>
      <w:sz w:val="21"/>
      <w:szCs w:val="24"/>
    </w:rPr>
  </w:style>
  <w:style w:type="character" w:customStyle="1" w:styleId="301">
    <w:name w:val="ca-2"/>
    <w:basedOn w:val="57"/>
    <w:qFormat/>
    <w:uiPriority w:val="0"/>
    <w:rPr>
      <w:rFonts w:ascii="Calibri" w:hAnsi="Calibri" w:eastAsia="宋体" w:cs="Times New Roman"/>
    </w:rPr>
  </w:style>
  <w:style w:type="character" w:customStyle="1" w:styleId="302">
    <w:name w:val="sh141"/>
    <w:qFormat/>
    <w:uiPriority w:val="0"/>
    <w:rPr>
      <w:rFonts w:ascii="Calibri" w:hAnsi="Calibri" w:eastAsia="宋体" w:cs="Times New Roman"/>
      <w:color w:val="2B2B2B"/>
      <w:sz w:val="21"/>
      <w:szCs w:val="21"/>
    </w:rPr>
  </w:style>
  <w:style w:type="character" w:customStyle="1" w:styleId="303">
    <w:name w:val="标题 1 Char"/>
    <w:link w:val="3"/>
    <w:qFormat/>
    <w:uiPriority w:val="99"/>
    <w:rPr>
      <w:rFonts w:ascii="Times New Roman" w:hAnsi="Times New Roman" w:eastAsia="宋体" w:cs="Times New Roman"/>
      <w:b/>
      <w:bCs/>
      <w:kern w:val="44"/>
      <w:sz w:val="44"/>
      <w:szCs w:val="44"/>
    </w:rPr>
  </w:style>
  <w:style w:type="character" w:customStyle="1" w:styleId="304">
    <w:name w:val="正文文本 2 Char"/>
    <w:link w:val="45"/>
    <w:qFormat/>
    <w:uiPriority w:val="0"/>
    <w:rPr>
      <w:rFonts w:ascii="Times New Roman" w:hAnsi="Times New Roman" w:eastAsia="宋体" w:cs="Times New Roman"/>
      <w:szCs w:val="24"/>
    </w:rPr>
  </w:style>
  <w:style w:type="character" w:customStyle="1" w:styleId="305">
    <w:name w:val="批注框文本 Char2"/>
    <w:semiHidden/>
    <w:qFormat/>
    <w:uiPriority w:val="99"/>
    <w:rPr>
      <w:rFonts w:hint="default" w:ascii="Times New Roman" w:hAnsi="Times New Roman" w:eastAsia="Times New Roman" w:cs="Times New Roman"/>
      <w:color w:val="000000"/>
      <w:sz w:val="18"/>
      <w:szCs w:val="18"/>
    </w:rPr>
  </w:style>
  <w:style w:type="character" w:customStyle="1" w:styleId="306">
    <w:name w:val="正文文本缩进 2 Char"/>
    <w:link w:val="30"/>
    <w:qFormat/>
    <w:uiPriority w:val="0"/>
    <w:rPr>
      <w:rFonts w:ascii="Times New Roman" w:hAnsi="Times New Roman" w:eastAsia="宋体" w:cs="Times New Roman"/>
      <w:sz w:val="32"/>
      <w:szCs w:val="20"/>
    </w:rPr>
  </w:style>
  <w:style w:type="character" w:customStyle="1" w:styleId="307">
    <w:name w:val="纯文本 Char"/>
    <w:qFormat/>
    <w:uiPriority w:val="0"/>
    <w:rPr>
      <w:rFonts w:ascii="宋体" w:hAnsi="Courier New" w:eastAsia="宋体" w:cs="Courier New"/>
      <w:szCs w:val="21"/>
    </w:rPr>
  </w:style>
  <w:style w:type="character" w:customStyle="1" w:styleId="308">
    <w:name w:val="font71"/>
    <w:qFormat/>
    <w:uiPriority w:val="0"/>
    <w:rPr>
      <w:rFonts w:hint="eastAsia" w:ascii="宋体" w:hAnsi="宋体" w:eastAsia="宋体" w:cs="宋体"/>
      <w:color w:val="000000"/>
      <w:sz w:val="21"/>
      <w:szCs w:val="21"/>
      <w:u w:val="none"/>
    </w:rPr>
  </w:style>
  <w:style w:type="character" w:customStyle="1" w:styleId="309">
    <w:name w:val="062"/>
    <w:qFormat/>
    <w:uiPriority w:val="0"/>
    <w:rPr>
      <w:rFonts w:ascii="宋体" w:hAnsi="宋体" w:eastAsia="宋体" w:cs="Times New Roman"/>
      <w:b/>
      <w:bCs/>
      <w:sz w:val="32"/>
    </w:rPr>
  </w:style>
  <w:style w:type="character" w:customStyle="1" w:styleId="310">
    <w:name w:val="题注 Char"/>
    <w:link w:val="16"/>
    <w:qFormat/>
    <w:uiPriority w:val="0"/>
    <w:rPr>
      <w:rFonts w:ascii="Arial" w:hAnsi="Arial" w:eastAsia="黑体" w:cs="Arial"/>
      <w:kern w:val="2"/>
      <w:lang w:val="en-US" w:eastAsia="zh-CN" w:bidi="ar-SA"/>
    </w:rPr>
  </w:style>
  <w:style w:type="character" w:customStyle="1" w:styleId="311">
    <w:name w:val="gray12"/>
    <w:basedOn w:val="57"/>
    <w:qFormat/>
    <w:uiPriority w:val="0"/>
    <w:rPr>
      <w:rFonts w:ascii="Calibri" w:hAnsi="Calibri" w:eastAsia="宋体" w:cs="Times New Roman"/>
    </w:rPr>
  </w:style>
  <w:style w:type="character" w:customStyle="1" w:styleId="312">
    <w:name w:val="纯文本 字符"/>
    <w:qFormat/>
    <w:uiPriority w:val="0"/>
    <w:rPr>
      <w:rFonts w:ascii="宋体" w:hAnsi="Courier New" w:eastAsia="宋体" w:cs="Times New Roman"/>
    </w:rPr>
  </w:style>
  <w:style w:type="character" w:customStyle="1" w:styleId="313">
    <w:name w:val="1ji Char"/>
    <w:link w:val="105"/>
    <w:qFormat/>
    <w:uiPriority w:val="0"/>
    <w:rPr>
      <w:rFonts w:ascii="宋体" w:hAnsi="宋体" w:eastAsia="宋体" w:cs="Times New Roman"/>
      <w:b/>
      <w:bCs/>
      <w:kern w:val="44"/>
      <w:sz w:val="36"/>
      <w:szCs w:val="44"/>
      <w:lang w:bidi="ar-SA"/>
    </w:rPr>
  </w:style>
  <w:style w:type="character" w:customStyle="1" w:styleId="314">
    <w:name w:val="textcontents"/>
    <w:basedOn w:val="57"/>
    <w:qFormat/>
    <w:uiPriority w:val="0"/>
    <w:rPr>
      <w:rFonts w:ascii="Calibri" w:hAnsi="Calibri" w:eastAsia="宋体" w:cs="Times New Roman"/>
    </w:rPr>
  </w:style>
  <w:style w:type="character" w:customStyle="1" w:styleId="315">
    <w:name w:val="页脚 Char2"/>
    <w:qFormat/>
    <w:uiPriority w:val="99"/>
    <w:rPr>
      <w:rFonts w:hint="default" w:ascii="Times New Roman" w:hAnsi="Times New Roman" w:eastAsia="Times New Roman" w:cs="Times New Roman"/>
      <w:color w:val="000000"/>
      <w:kern w:val="2"/>
      <w:sz w:val="18"/>
      <w:szCs w:val="18"/>
    </w:rPr>
  </w:style>
  <w:style w:type="character" w:customStyle="1" w:styleId="316">
    <w:name w:val="H6 Char"/>
    <w:qFormat/>
    <w:uiPriority w:val="0"/>
    <w:rPr>
      <w:rFonts w:ascii="Arial" w:hAnsi="Arial" w:eastAsia="黑体" w:cs="Times New Roman"/>
      <w:b/>
      <w:kern w:val="2"/>
      <w:sz w:val="24"/>
      <w:szCs w:val="24"/>
      <w:lang w:val="en-US" w:eastAsia="zh-CN" w:bidi="ar-SA"/>
    </w:rPr>
  </w:style>
  <w:style w:type="character" w:customStyle="1" w:styleId="317">
    <w:name w:val="font61"/>
    <w:qFormat/>
    <w:uiPriority w:val="0"/>
    <w:rPr>
      <w:rFonts w:hint="eastAsia" w:ascii="宋体" w:hAnsi="宋体" w:eastAsia="宋体" w:cs="宋体"/>
      <w:color w:val="auto"/>
      <w:sz w:val="21"/>
      <w:szCs w:val="21"/>
      <w:u w:val="none"/>
    </w:rPr>
  </w:style>
  <w:style w:type="character" w:customStyle="1" w:styleId="318">
    <w:name w:val="普通文字 Char Char2"/>
    <w:qFormat/>
    <w:uiPriority w:val="0"/>
    <w:rPr>
      <w:rFonts w:ascii="宋体" w:hAnsi="Courier New" w:eastAsia="宋体" w:cs="Times New Roman"/>
      <w:kern w:val="2"/>
      <w:sz w:val="21"/>
      <w:lang w:val="en-US" w:eastAsia="zh-CN" w:bidi="ar-SA"/>
    </w:rPr>
  </w:style>
  <w:style w:type="character" w:customStyle="1" w:styleId="319">
    <w:name w:val="Char Char1"/>
    <w:qFormat/>
    <w:uiPriority w:val="0"/>
    <w:rPr>
      <w:rFonts w:hint="eastAsia" w:ascii="宋体" w:hAnsi="宋体" w:eastAsia="宋体" w:cs="Times New Roman"/>
      <w:spacing w:val="-1"/>
      <w:sz w:val="18"/>
      <w:szCs w:val="20"/>
    </w:rPr>
  </w:style>
  <w:style w:type="character" w:customStyle="1" w:styleId="320">
    <w:name w:val="15"/>
    <w:qFormat/>
    <w:uiPriority w:val="0"/>
    <w:rPr>
      <w:rFonts w:hint="default" w:ascii="Times New Roman" w:hAnsi="Times New Roman" w:eastAsia="Times New Roman" w:cs="Times New Roman"/>
    </w:rPr>
  </w:style>
  <w:style w:type="character" w:customStyle="1" w:styleId="321">
    <w:name w:val="脚注文本 Char"/>
    <w:link w:val="39"/>
    <w:semiHidden/>
    <w:qFormat/>
    <w:uiPriority w:val="0"/>
    <w:rPr>
      <w:rFonts w:ascii="Times New Roman" w:hAnsi="Times New Roman" w:eastAsia="宋体" w:cs="Times New Roman"/>
      <w:kern w:val="2"/>
      <w:sz w:val="18"/>
      <w:szCs w:val="18"/>
    </w:rPr>
  </w:style>
  <w:style w:type="character" w:customStyle="1" w:styleId="322">
    <w:name w:val="报告正文 Char"/>
    <w:link w:val="161"/>
    <w:qFormat/>
    <w:uiPriority w:val="0"/>
    <w:rPr>
      <w:rFonts w:ascii="华文细黑" w:hAnsi="华文细黑" w:eastAsia="华文细黑" w:cs="宋体"/>
      <w:kern w:val="2"/>
    </w:rPr>
  </w:style>
  <w:style w:type="character" w:customStyle="1" w:styleId="323">
    <w:name w:val="第四层条 Char"/>
    <w:qFormat/>
    <w:uiPriority w:val="0"/>
    <w:rPr>
      <w:rFonts w:ascii="Calibri" w:hAnsi="Calibri" w:eastAsia="宋体" w:cs="Times New Roman"/>
      <w:b/>
      <w:kern w:val="2"/>
      <w:sz w:val="28"/>
      <w:szCs w:val="24"/>
      <w:lang w:val="en-US" w:eastAsia="zh-CN" w:bidi="ar-SA"/>
    </w:rPr>
  </w:style>
  <w:style w:type="character" w:customStyle="1" w:styleId="324">
    <w:name w:val="日期 Char1"/>
    <w:semiHidden/>
    <w:qFormat/>
    <w:uiPriority w:val="0"/>
    <w:rPr>
      <w:rFonts w:ascii="Calibri" w:hAnsi="Calibri" w:eastAsia="Times New Roman" w:cs="Times New Roman"/>
      <w:color w:val="000000"/>
      <w:kern w:val="2"/>
      <w:sz w:val="21"/>
      <w:szCs w:val="24"/>
    </w:rPr>
  </w:style>
  <w:style w:type="character" w:customStyle="1" w:styleId="325">
    <w:name w:val="页脚 Char"/>
    <w:link w:val="33"/>
    <w:qFormat/>
    <w:uiPriority w:val="99"/>
    <w:rPr>
      <w:rFonts w:ascii="Calibri" w:hAnsi="Calibri" w:eastAsia="宋体" w:cs="Times New Roman"/>
      <w:sz w:val="18"/>
      <w:szCs w:val="18"/>
    </w:rPr>
  </w:style>
  <w:style w:type="character" w:customStyle="1" w:styleId="326">
    <w:name w:val="Char Char11"/>
    <w:qFormat/>
    <w:uiPriority w:val="0"/>
    <w:rPr>
      <w:rFonts w:ascii="Arial" w:hAnsi="Arial" w:eastAsia="宋体" w:cs="Times New Roman"/>
      <w:b/>
      <w:bCs/>
      <w:kern w:val="2"/>
      <w:sz w:val="32"/>
      <w:szCs w:val="32"/>
      <w:lang w:bidi="ar-SA"/>
    </w:rPr>
  </w:style>
  <w:style w:type="character" w:customStyle="1" w:styleId="327">
    <w:name w:val="尾注文本 Char"/>
    <w:link w:val="31"/>
    <w:semiHidden/>
    <w:qFormat/>
    <w:uiPriority w:val="99"/>
    <w:rPr>
      <w:rFonts w:ascii="Times New Roman" w:hAnsi="Times New Roman" w:eastAsia="宋体" w:cs="Times New Roman"/>
      <w:kern w:val="2"/>
      <w:sz w:val="21"/>
      <w:szCs w:val="24"/>
    </w:rPr>
  </w:style>
  <w:style w:type="character" w:customStyle="1" w:styleId="328">
    <w:name w:val="graytext1"/>
    <w:qFormat/>
    <w:uiPriority w:val="0"/>
    <w:rPr>
      <w:rFonts w:ascii="Calibri" w:hAnsi="Calibri" w:eastAsia="宋体" w:cs="Times New Roman"/>
      <w:color w:val="666666"/>
    </w:rPr>
  </w:style>
  <w:style w:type="character" w:customStyle="1" w:styleId="329">
    <w:name w:val="HTML 预设格式 Char"/>
    <w:link w:val="48"/>
    <w:qFormat/>
    <w:uiPriority w:val="0"/>
    <w:rPr>
      <w:rFonts w:ascii="黑体" w:hAnsi="Courier New" w:eastAsia="黑体" w:cs="Times New Roman"/>
    </w:rPr>
  </w:style>
  <w:style w:type="character" w:customStyle="1" w:styleId="330">
    <w:name w:val="页眉 Char1"/>
    <w:qFormat/>
    <w:uiPriority w:val="0"/>
    <w:rPr>
      <w:rFonts w:hint="default" w:ascii="Calibri" w:hAnsi="Calibri" w:eastAsia="宋体" w:cs="Times New Roman"/>
      <w:sz w:val="18"/>
      <w:szCs w:val="18"/>
    </w:rPr>
  </w:style>
  <w:style w:type="character" w:customStyle="1" w:styleId="331">
    <w:name w:val="页眉 Char3"/>
    <w:semiHidden/>
    <w:qFormat/>
    <w:uiPriority w:val="99"/>
    <w:rPr>
      <w:rFonts w:hint="default" w:ascii="Times New Roman" w:hAnsi="Times New Roman" w:eastAsia="Times New Roman" w:cs="Times New Roman"/>
      <w:color w:val="000000"/>
      <w:sz w:val="18"/>
      <w:szCs w:val="18"/>
    </w:rPr>
  </w:style>
  <w:style w:type="character" w:customStyle="1" w:styleId="332">
    <w:name w:val="正文文本 Char"/>
    <w:link w:val="2"/>
    <w:qFormat/>
    <w:uiPriority w:val="99"/>
    <w:rPr>
      <w:rFonts w:ascii="Times New Roman" w:hAnsi="Times New Roman" w:eastAsia="宋体" w:cs="Times New Roman"/>
      <w:sz w:val="24"/>
      <w:szCs w:val="24"/>
    </w:rPr>
  </w:style>
  <w:style w:type="character" w:customStyle="1" w:styleId="333">
    <w:name w:val="正文文本 Char1"/>
    <w:qFormat/>
    <w:uiPriority w:val="99"/>
    <w:rPr>
      <w:rFonts w:ascii="金山简黑体" w:hAnsi="金山简黑体" w:eastAsia="Times New Roman" w:cs="Courier New"/>
      <w:b/>
      <w:color w:val="000000"/>
      <w:spacing w:val="-50"/>
      <w:sz w:val="44"/>
      <w:lang w:val="zh-CN"/>
    </w:rPr>
  </w:style>
  <w:style w:type="character" w:customStyle="1" w:styleId="334">
    <w:name w:val="批注文字 Char2"/>
    <w:semiHidden/>
    <w:qFormat/>
    <w:uiPriority w:val="0"/>
    <w:rPr>
      <w:rFonts w:ascii="Calibri" w:hAnsi="Calibri" w:eastAsia="宋体" w:cs="Times New Roman"/>
      <w:color w:val="000000"/>
      <w:sz w:val="21"/>
      <w:szCs w:val="24"/>
    </w:rPr>
  </w:style>
  <w:style w:type="character" w:customStyle="1" w:styleId="335">
    <w:name w:val="正文文字首行缩进 Char"/>
    <w:qFormat/>
    <w:uiPriority w:val="0"/>
    <w:rPr>
      <w:rFonts w:ascii="Calibri" w:hAnsi="Calibri" w:eastAsia="宋体" w:cs="Times New Roman"/>
      <w:kern w:val="2"/>
      <w:sz w:val="21"/>
      <w:szCs w:val="24"/>
      <w:lang w:val="en-US" w:eastAsia="zh-CN" w:bidi="ar-SA"/>
    </w:rPr>
  </w:style>
  <w:style w:type="character" w:customStyle="1" w:styleId="336">
    <w:name w:val="正文文本缩进 Char2"/>
    <w:semiHidden/>
    <w:qFormat/>
    <w:uiPriority w:val="99"/>
    <w:rPr>
      <w:rFonts w:hint="default" w:ascii="Times New Roman" w:hAnsi="Times New Roman" w:eastAsia="Times New Roman" w:cs="Times New Roman"/>
      <w:color w:val="000000"/>
      <w:sz w:val="21"/>
      <w:szCs w:val="24"/>
    </w:rPr>
  </w:style>
  <w:style w:type="character" w:customStyle="1" w:styleId="337">
    <w:name w:val="text11"/>
    <w:qFormat/>
    <w:uiPriority w:val="0"/>
    <w:rPr>
      <w:rFonts w:hint="default" w:ascii="Verdana" w:hAnsi="Verdana" w:eastAsia="宋体" w:cs="Times New Roman"/>
      <w:color w:val="4E4E4E"/>
      <w:sz w:val="18"/>
      <w:szCs w:val="18"/>
    </w:rPr>
  </w:style>
  <w:style w:type="character" w:customStyle="1" w:styleId="338">
    <w:name w:val="letter list Char"/>
    <w:qFormat/>
    <w:uiPriority w:val="0"/>
    <w:rPr>
      <w:rFonts w:ascii="Calibri" w:hAnsi="Calibri" w:eastAsia="宋体" w:cs="Times New Roman"/>
      <w:b/>
      <w:kern w:val="2"/>
      <w:sz w:val="24"/>
      <w:szCs w:val="24"/>
      <w:lang w:val="en-US" w:eastAsia="zh-CN" w:bidi="ar-SA"/>
    </w:rPr>
  </w:style>
  <w:style w:type="character" w:customStyle="1" w:styleId="339">
    <w:name w:val="font11"/>
    <w:qFormat/>
    <w:uiPriority w:val="0"/>
    <w:rPr>
      <w:rFonts w:hint="eastAsia" w:ascii="宋体" w:hAnsi="宋体" w:eastAsia="宋体" w:cs="宋体"/>
      <w:color w:val="FF0000"/>
      <w:sz w:val="18"/>
      <w:szCs w:val="18"/>
      <w:u w:val="none"/>
    </w:rPr>
  </w:style>
  <w:style w:type="character" w:customStyle="1" w:styleId="340">
    <w:name w:val="正文文本缩进 3 Char"/>
    <w:link w:val="42"/>
    <w:qFormat/>
    <w:uiPriority w:val="99"/>
    <w:rPr>
      <w:rFonts w:ascii="Times New Roman" w:hAnsi="Times New Roman" w:eastAsia="宋体" w:cs="Times New Roman"/>
      <w:sz w:val="16"/>
      <w:szCs w:val="16"/>
    </w:rPr>
  </w:style>
  <w:style w:type="character" w:customStyle="1" w:styleId="341">
    <w:name w:val="文档结构图 Char"/>
    <w:link w:val="18"/>
    <w:semiHidden/>
    <w:qFormat/>
    <w:uiPriority w:val="99"/>
    <w:rPr>
      <w:rFonts w:ascii="Calibri" w:hAnsi="Calibri" w:eastAsia="宋体" w:cs="Times New Roman"/>
      <w:kern w:val="2"/>
      <w:sz w:val="21"/>
      <w:szCs w:val="24"/>
      <w:shd w:val="clear" w:color="auto" w:fill="000080"/>
    </w:rPr>
  </w:style>
  <w:style w:type="character" w:customStyle="1" w:styleId="342">
    <w:name w:val="三级标题 Char"/>
    <w:qFormat/>
    <w:uiPriority w:val="0"/>
    <w:rPr>
      <w:rFonts w:ascii="Arial" w:hAnsi="Arial" w:eastAsia="黑体" w:cs="Times New Roman"/>
      <w:kern w:val="2"/>
      <w:sz w:val="21"/>
      <w:szCs w:val="24"/>
      <w:lang w:val="en-US" w:eastAsia="zh-CN" w:bidi="ar-SA"/>
    </w:rPr>
  </w:style>
  <w:style w:type="character" w:customStyle="1" w:styleId="343">
    <w:name w:val="正文文本 2 Char1"/>
    <w:semiHidden/>
    <w:qFormat/>
    <w:uiPriority w:val="0"/>
    <w:rPr>
      <w:rFonts w:ascii="Calibri" w:hAnsi="Calibri" w:eastAsia="Times New Roman" w:cs="宋体"/>
      <w:color w:val="000000"/>
      <w:szCs w:val="24"/>
      <w:lang w:val="zh-CN"/>
    </w:rPr>
  </w:style>
  <w:style w:type="character" w:customStyle="1" w:styleId="344">
    <w:name w:val="标题 9 Char"/>
    <w:link w:val="12"/>
    <w:qFormat/>
    <w:uiPriority w:val="0"/>
    <w:rPr>
      <w:rFonts w:ascii="Arial" w:hAnsi="Arial" w:eastAsia="黑体" w:cs="Times New Roman"/>
      <w:kern w:val="2"/>
      <w:sz w:val="21"/>
      <w:szCs w:val="24"/>
    </w:rPr>
  </w:style>
  <w:style w:type="character" w:customStyle="1" w:styleId="345">
    <w:name w:val="grame"/>
    <w:basedOn w:val="57"/>
    <w:qFormat/>
    <w:uiPriority w:val="0"/>
    <w:rPr>
      <w:rFonts w:ascii="Calibri" w:hAnsi="Calibri" w:eastAsia="宋体" w:cs="Times New Roman"/>
    </w:rPr>
  </w:style>
  <w:style w:type="character" w:customStyle="1" w:styleId="346">
    <w:name w:val="Legal Level 1.1.1. Char"/>
    <w:qFormat/>
    <w:uiPriority w:val="0"/>
    <w:rPr>
      <w:rFonts w:ascii="Arial" w:hAnsi="Arial" w:eastAsia="黑体" w:cs="Times New Roman"/>
      <w:kern w:val="2"/>
      <w:sz w:val="24"/>
      <w:szCs w:val="24"/>
      <w:lang w:val="en-US" w:eastAsia="zh-CN" w:bidi="ar-SA"/>
    </w:rPr>
  </w:style>
  <w:style w:type="character" w:customStyle="1" w:styleId="347">
    <w:name w:val="H1 Char"/>
    <w:qFormat/>
    <w:uiPriority w:val="0"/>
    <w:rPr>
      <w:rFonts w:ascii="Calibri" w:hAnsi="Calibri" w:eastAsia="宋体" w:cs="Times New Roman"/>
      <w:b/>
      <w:bCs/>
      <w:kern w:val="44"/>
      <w:sz w:val="44"/>
      <w:szCs w:val="44"/>
      <w:lang w:val="en-US" w:eastAsia="zh-CN" w:bidi="ar-SA"/>
    </w:rPr>
  </w:style>
  <w:style w:type="character" w:customStyle="1" w:styleId="348">
    <w:name w:val="标题 4 Char"/>
    <w:link w:val="6"/>
    <w:qFormat/>
    <w:uiPriority w:val="99"/>
    <w:rPr>
      <w:rFonts w:ascii="Arial" w:hAnsi="Arial" w:eastAsia="宋体" w:cs="Times New Roman"/>
      <w:b/>
      <w:bCs/>
      <w:kern w:val="2"/>
      <w:sz w:val="28"/>
      <w:szCs w:val="28"/>
      <w:lang w:val="en-US" w:eastAsia="zh-CN" w:bidi="ar-SA"/>
    </w:rPr>
  </w:style>
  <w:style w:type="character" w:customStyle="1" w:styleId="349">
    <w:name w:val="我的段落 字符"/>
    <w:link w:val="170"/>
    <w:qFormat/>
    <w:uiPriority w:val="0"/>
    <w:rPr>
      <w:rFonts w:ascii="仿宋_GB2312" w:hAnsi="Calibri" w:eastAsia="仿宋_GB2312" w:cs="Times New Roman"/>
      <w:sz w:val="28"/>
      <w:szCs w:val="22"/>
    </w:rPr>
  </w:style>
  <w:style w:type="character" w:customStyle="1" w:styleId="350">
    <w:name w:val="标题 5 Char"/>
    <w:link w:val="7"/>
    <w:qFormat/>
    <w:uiPriority w:val="0"/>
    <w:rPr>
      <w:rFonts w:ascii="Times New Roman" w:hAnsi="Times New Roman" w:eastAsia="宋体" w:cs="Times New Roman"/>
      <w:b/>
      <w:kern w:val="2"/>
      <w:sz w:val="28"/>
      <w:szCs w:val="24"/>
    </w:rPr>
  </w:style>
  <w:style w:type="character" w:customStyle="1" w:styleId="351">
    <w:name w:val="日期 Char"/>
    <w:link w:val="29"/>
    <w:qFormat/>
    <w:uiPriority w:val="0"/>
    <w:rPr>
      <w:rFonts w:ascii="宋体" w:hAnsi="Courier New" w:eastAsia="宋体" w:cs="Courier New"/>
      <w:szCs w:val="21"/>
    </w:rPr>
  </w:style>
  <w:style w:type="character" w:customStyle="1" w:styleId="352">
    <w:name w:val="标题 6 Char"/>
    <w:link w:val="9"/>
    <w:qFormat/>
    <w:uiPriority w:val="0"/>
    <w:rPr>
      <w:rFonts w:ascii="Arial" w:hAnsi="Arial" w:eastAsia="黑体" w:cs="Times New Roman"/>
      <w:b/>
      <w:kern w:val="2"/>
      <w:sz w:val="24"/>
      <w:szCs w:val="24"/>
    </w:rPr>
  </w:style>
  <w:style w:type="character" w:customStyle="1" w:styleId="353">
    <w:name w:val="DC一级项目符号 Char"/>
    <w:link w:val="193"/>
    <w:qFormat/>
    <w:uiPriority w:val="0"/>
    <w:rPr>
      <w:rFonts w:ascii="宋体" w:hAnsi="宋体" w:eastAsia="宋体" w:cs="Times New Roman"/>
      <w:kern w:val="2"/>
      <w:sz w:val="24"/>
      <w:szCs w:val="24"/>
      <w:lang w:bidi="ar-SA"/>
    </w:rPr>
  </w:style>
  <w:style w:type="character" w:customStyle="1" w:styleId="354">
    <w:name w:val="case31"/>
    <w:qFormat/>
    <w:uiPriority w:val="0"/>
    <w:rPr>
      <w:rFonts w:hint="default" w:ascii="_x000B__x000C_" w:hAnsi="_x000B__x000C_" w:eastAsia="宋体" w:cs="Times New Roman"/>
      <w:sz w:val="21"/>
      <w:szCs w:val="21"/>
    </w:rPr>
  </w:style>
  <w:style w:type="character" w:customStyle="1" w:styleId="355">
    <w:name w:val="手改 Char Char"/>
    <w:qFormat/>
    <w:uiPriority w:val="0"/>
    <w:rPr>
      <w:rFonts w:ascii="Calibri" w:hAnsi="Calibri" w:eastAsia="宋体" w:cs="Times New Roman"/>
      <w:kern w:val="2"/>
      <w:sz w:val="24"/>
      <w:szCs w:val="24"/>
      <w:lang w:val="en-US" w:eastAsia="zh-CN" w:bidi="ar-SA"/>
    </w:rPr>
  </w:style>
  <w:style w:type="character" w:customStyle="1" w:styleId="356">
    <w:name w:val="第二层条 Char"/>
    <w:qFormat/>
    <w:uiPriority w:val="0"/>
    <w:rPr>
      <w:rFonts w:ascii="Calibri" w:hAnsi="Calibri" w:eastAsia="宋体" w:cs="Times New Roman"/>
      <w:b/>
      <w:bCs/>
      <w:kern w:val="2"/>
      <w:sz w:val="28"/>
      <w:szCs w:val="32"/>
      <w:lang w:val="en-US" w:eastAsia="zh-CN" w:bidi="ar-SA"/>
    </w:rPr>
  </w:style>
  <w:style w:type="character" w:customStyle="1" w:styleId="357">
    <w:name w:val="正文文本缩进 3 Char1"/>
    <w:semiHidden/>
    <w:qFormat/>
    <w:uiPriority w:val="99"/>
    <w:rPr>
      <w:rFonts w:hint="default" w:ascii="Times New Roman" w:hAnsi="Times New Roman" w:eastAsia="Times New Roman" w:cs="Times New Roman"/>
      <w:color w:val="000000"/>
      <w:sz w:val="16"/>
      <w:szCs w:val="16"/>
    </w:rPr>
  </w:style>
  <w:style w:type="character" w:customStyle="1" w:styleId="358">
    <w:name w:val="正文文本缩进 2 Char1"/>
    <w:semiHidden/>
    <w:qFormat/>
    <w:uiPriority w:val="0"/>
    <w:rPr>
      <w:rFonts w:ascii="Calibri" w:hAnsi="Calibri" w:eastAsia="Times New Roman" w:cs="Times New Roman"/>
      <w:color w:val="000000"/>
      <w:kern w:val="2"/>
      <w:sz w:val="21"/>
      <w:szCs w:val="24"/>
    </w:rPr>
  </w:style>
  <w:style w:type="character" w:customStyle="1" w:styleId="359">
    <w:name w:val="标题 7 Char"/>
    <w:link w:val="10"/>
    <w:qFormat/>
    <w:uiPriority w:val="0"/>
    <w:rPr>
      <w:rFonts w:ascii="Times New Roman" w:hAnsi="Times New Roman" w:eastAsia="宋体" w:cs="Times New Roman"/>
      <w:b/>
      <w:kern w:val="2"/>
      <w:sz w:val="24"/>
      <w:szCs w:val="24"/>
    </w:rPr>
  </w:style>
  <w:style w:type="character" w:customStyle="1" w:styleId="360">
    <w:name w:val="批注文字 Char1"/>
    <w:qFormat/>
    <w:uiPriority w:val="99"/>
    <w:rPr>
      <w:rFonts w:hint="default" w:ascii="Times New Roman" w:hAnsi="Times New Roman" w:eastAsia="Times New Roman" w:cs="Times New Roman"/>
      <w:kern w:val="2"/>
      <w:sz w:val="21"/>
      <w:szCs w:val="24"/>
    </w:rPr>
  </w:style>
  <w:style w:type="character" w:customStyle="1" w:styleId="361">
    <w:name w:val="H1 Char2"/>
    <w:qFormat/>
    <w:uiPriority w:val="0"/>
    <w:rPr>
      <w:rFonts w:ascii="Calibri" w:hAnsi="Calibri" w:eastAsia="宋体" w:cs="Times New Roman"/>
      <w:b/>
      <w:bCs/>
      <w:kern w:val="44"/>
      <w:sz w:val="44"/>
      <w:szCs w:val="44"/>
      <w:lang w:val="en-US" w:eastAsia="zh-CN" w:bidi="ar-SA"/>
    </w:rPr>
  </w:style>
  <w:style w:type="character" w:customStyle="1" w:styleId="362">
    <w:name w:val="Char Char20"/>
    <w:qFormat/>
    <w:uiPriority w:val="0"/>
    <w:rPr>
      <w:rFonts w:ascii="Arial" w:hAnsi="Arial" w:eastAsia="宋体" w:cs="Times New Roman"/>
      <w:b/>
      <w:bCs/>
      <w:kern w:val="2"/>
      <w:sz w:val="32"/>
      <w:szCs w:val="32"/>
    </w:rPr>
  </w:style>
  <w:style w:type="character" w:customStyle="1" w:styleId="363">
    <w:name w:val="纯文本 Char2"/>
    <w:qFormat/>
    <w:uiPriority w:val="99"/>
    <w:rPr>
      <w:rFonts w:ascii="宋体" w:hAnsi="宋体" w:eastAsia="Times New Roman" w:cs="Courier New"/>
      <w:color w:val="000000"/>
      <w:kern w:val="1"/>
      <w:sz w:val="21"/>
    </w:rPr>
  </w:style>
  <w:style w:type="character" w:customStyle="1" w:styleId="364">
    <w:name w:val="Ò³Ã¼ Char"/>
    <w:qFormat/>
    <w:uiPriority w:val="0"/>
    <w:rPr>
      <w:rFonts w:ascii="Calibri" w:hAnsi="Calibri" w:eastAsia="宋体" w:cs="Times New Roman"/>
      <w:kern w:val="2"/>
      <w:sz w:val="18"/>
      <w:szCs w:val="18"/>
      <w:lang w:bidi="ar-SA"/>
    </w:rPr>
  </w:style>
  <w:style w:type="character" w:customStyle="1" w:styleId="365">
    <w:name w:val="批注框文本 Char"/>
    <w:link w:val="32"/>
    <w:semiHidden/>
    <w:qFormat/>
    <w:uiPriority w:val="99"/>
    <w:rPr>
      <w:rFonts w:ascii="Times New Roman" w:hAnsi="Times New Roman" w:eastAsia="宋体" w:cs="Times New Roman"/>
      <w:sz w:val="18"/>
      <w:szCs w:val="18"/>
    </w:rPr>
  </w:style>
  <w:style w:type="character" w:customStyle="1" w:styleId="366">
    <w:name w:val="文档结构图 Char1"/>
    <w:semiHidden/>
    <w:qFormat/>
    <w:uiPriority w:val="99"/>
    <w:rPr>
      <w:rFonts w:hint="eastAsia" w:ascii="宋体" w:hAnsi="Times New Roman" w:eastAsia="Times New Roman" w:cs="Times New Roman"/>
      <w:color w:val="000000"/>
      <w:sz w:val="18"/>
      <w:szCs w:val="18"/>
    </w:rPr>
  </w:style>
  <w:style w:type="character" w:customStyle="1" w:styleId="367">
    <w:name w:val="DC正文 Char"/>
    <w:link w:val="137"/>
    <w:qFormat/>
    <w:uiPriority w:val="0"/>
    <w:rPr>
      <w:rFonts w:ascii="宋体" w:hAnsi="宋体" w:eastAsia="宋体" w:cs="Times New Roman"/>
      <w:kern w:val="2"/>
      <w:sz w:val="24"/>
      <w:szCs w:val="24"/>
      <w:lang w:bidi="ar-SA"/>
    </w:rPr>
  </w:style>
  <w:style w:type="character" w:customStyle="1" w:styleId="368">
    <w:name w:val="页脚 Char3"/>
    <w:semiHidden/>
    <w:qFormat/>
    <w:uiPriority w:val="99"/>
    <w:rPr>
      <w:rFonts w:hint="default" w:ascii="Times New Roman" w:hAnsi="Times New Roman" w:eastAsia="Times New Roman" w:cs="Times New Roman"/>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5688</Words>
  <Characters>32427</Characters>
  <Lines>270</Lines>
  <Paragraphs>76</Paragraphs>
  <TotalTime>23</TotalTime>
  <ScaleCrop>false</ScaleCrop>
  <LinksUpToDate>false</LinksUpToDate>
  <CharactersWithSpaces>38039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2020-08-06T12:56:00Z</dcterms:created>
  <dc:creator>S.</dc:creator>
  <cp:lastModifiedBy>S.</cp:lastModifiedBy>
  <dcterms:modified xsi:type="dcterms:W3CDTF">2020-08-10T07:36:48Z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