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u w:val="single"/>
          <w:lang w:eastAsia="zh-CN"/>
        </w:rPr>
        <w:t>广西中竟达建设工程咨询有限公司</w:t>
      </w:r>
    </w:p>
    <w:p>
      <w:pPr>
        <w:pStyle w:val="7"/>
        <w:rPr>
          <w:rFonts w:hint="eastAsia" w:ascii="仿宋" w:hAnsi="仿宋" w:eastAsia="仿宋" w:cs="仿宋"/>
          <w:sz w:val="20"/>
        </w:rPr>
      </w:pPr>
    </w:p>
    <w:p>
      <w:pPr>
        <w:pStyle w:val="7"/>
        <w:rPr>
          <w:rFonts w:hint="eastAsia" w:ascii="仿宋" w:hAnsi="仿宋" w:eastAsia="仿宋" w:cs="仿宋"/>
          <w:sz w:val="20"/>
        </w:rPr>
      </w:pPr>
    </w:p>
    <w:p>
      <w:pPr>
        <w:pStyle w:val="7"/>
        <w:rPr>
          <w:rFonts w:hint="eastAsia" w:ascii="仿宋" w:hAnsi="仿宋" w:eastAsia="仿宋" w:cs="仿宋"/>
          <w:sz w:val="20"/>
        </w:rPr>
      </w:pPr>
    </w:p>
    <w:p>
      <w:pPr>
        <w:pStyle w:val="7"/>
        <w:rPr>
          <w:rFonts w:hint="eastAsia" w:ascii="仿宋" w:hAnsi="仿宋" w:eastAsia="仿宋" w:cs="仿宋"/>
          <w:sz w:val="20"/>
        </w:rPr>
      </w:pPr>
    </w:p>
    <w:p>
      <w:pPr>
        <w:spacing w:before="0" w:line="1127" w:lineRule="exact"/>
        <w:ind w:right="329"/>
        <w:jc w:val="both"/>
        <w:rPr>
          <w:rFonts w:hint="eastAsia" w:ascii="仿宋" w:hAnsi="仿宋" w:eastAsia="仿宋" w:cs="仿宋"/>
          <w:b/>
          <w:sz w:val="90"/>
          <w14:shadow w14:blurRad="50800" w14:dist="38100" w14:dir="2700000" w14:sx="100000" w14:sy="100000" w14:kx="0" w14:ky="0" w14:algn="tl">
            <w14:srgbClr w14:val="000000">
              <w14:alpha w14:val="60000"/>
            </w14:srgbClr>
          </w14:shadow>
        </w:rPr>
      </w:pPr>
    </w:p>
    <w:p>
      <w:pPr>
        <w:spacing w:before="0" w:line="1127" w:lineRule="exact"/>
        <w:ind w:left="268" w:right="329" w:firstLine="0"/>
        <w:jc w:val="center"/>
        <w:rPr>
          <w:rFonts w:hint="eastAsia" w:ascii="仿宋" w:hAnsi="仿宋" w:eastAsia="仿宋" w:cs="仿宋"/>
          <w:b/>
          <w:sz w:val="90"/>
        </w:rPr>
      </w:pPr>
      <w:r>
        <w:rPr>
          <w:rFonts w:hint="eastAsia" w:ascii="仿宋" w:hAnsi="仿宋" w:eastAsia="仿宋" w:cs="仿宋"/>
          <w:b/>
          <w:sz w:val="90"/>
          <w14:shadow w14:blurRad="50800" w14:dist="38100" w14:dir="2700000" w14:sx="100000" w14:sy="100000" w14:kx="0" w14:ky="0" w14:algn="tl">
            <w14:srgbClr w14:val="000000">
              <w14:alpha w14:val="60000"/>
            </w14:srgbClr>
          </w14:shadow>
        </w:rPr>
        <w:t>公开招标文件</w:t>
      </w:r>
    </w:p>
    <w:p>
      <w:pPr>
        <w:pStyle w:val="7"/>
        <w:spacing w:before="2"/>
        <w:rPr>
          <w:rFonts w:hint="eastAsia" w:ascii="仿宋" w:hAnsi="仿宋" w:eastAsia="仿宋" w:cs="仿宋"/>
          <w:b/>
          <w:sz w:val="68"/>
        </w:rPr>
      </w:pPr>
    </w:p>
    <w:p>
      <w:pPr>
        <w:spacing w:before="0" w:line="228" w:lineRule="auto"/>
        <w:ind w:left="282" w:right="329" w:firstLine="0"/>
        <w:jc w:val="center"/>
        <w:rPr>
          <w:rFonts w:hint="eastAsia" w:ascii="仿宋" w:hAnsi="仿宋" w:eastAsia="仿宋" w:cs="仿宋"/>
          <w:b/>
          <w:sz w:val="36"/>
          <w:lang w:val="en-US" w:eastAsia="zh-CN"/>
        </w:rPr>
      </w:pPr>
      <w:r>
        <w:rPr>
          <w:rFonts w:hint="eastAsia" w:ascii="仿宋" w:hAnsi="仿宋" w:eastAsia="仿宋" w:cs="仿宋"/>
          <w:b/>
          <w:sz w:val="36"/>
          <w:lang w:val="en-US" w:eastAsia="zh-CN"/>
        </w:rPr>
        <w:t xml:space="preserve">        </w:t>
      </w:r>
    </w:p>
    <w:p>
      <w:pPr>
        <w:spacing w:before="0" w:line="228" w:lineRule="auto"/>
        <w:ind w:left="282" w:right="329" w:firstLine="0"/>
        <w:jc w:val="center"/>
        <w:rPr>
          <w:rFonts w:hint="eastAsia" w:ascii="仿宋" w:hAnsi="仿宋" w:eastAsia="仿宋" w:cs="仿宋"/>
          <w:b/>
          <w:sz w:val="36"/>
          <w:lang w:val="en-US" w:eastAsia="zh-CN"/>
        </w:rPr>
      </w:pPr>
    </w:p>
    <w:p>
      <w:pPr>
        <w:pStyle w:val="7"/>
        <w:ind w:left="3253" w:hanging="3253" w:hangingChars="900"/>
        <w:rPr>
          <w:rFonts w:hint="eastAsia" w:ascii="仿宋" w:hAnsi="仿宋" w:eastAsia="仿宋" w:cs="仿宋"/>
          <w:b/>
          <w:sz w:val="32"/>
          <w:szCs w:val="32"/>
        </w:rPr>
      </w:pPr>
      <w:r>
        <w:rPr>
          <w:rFonts w:hint="eastAsia" w:ascii="仿宋" w:hAnsi="仿宋" w:eastAsia="仿宋" w:cs="仿宋"/>
          <w:b/>
          <w:sz w:val="36"/>
          <w:lang w:val="en-US" w:eastAsia="zh-CN"/>
        </w:rPr>
        <w:t xml:space="preserve">      </w:t>
      </w:r>
      <w:r>
        <w:rPr>
          <w:rFonts w:hint="eastAsia" w:ascii="仿宋" w:hAnsi="仿宋" w:eastAsia="仿宋" w:cs="仿宋"/>
          <w:b/>
          <w:sz w:val="32"/>
          <w:szCs w:val="32"/>
          <w:lang w:val="en-US" w:eastAsia="zh-CN"/>
        </w:rPr>
        <w:t xml:space="preserve">    </w:t>
      </w:r>
      <w:r>
        <w:rPr>
          <w:rFonts w:hint="eastAsia" w:ascii="仿宋" w:hAnsi="仿宋" w:eastAsia="仿宋" w:cs="仿宋"/>
          <w:b/>
          <w:sz w:val="32"/>
          <w:szCs w:val="32"/>
        </w:rPr>
        <w:t>项目名称：</w:t>
      </w:r>
      <w:r>
        <w:rPr>
          <w:rFonts w:hint="eastAsia" w:ascii="仿宋" w:hAnsi="仿宋" w:eastAsia="仿宋" w:cs="仿宋"/>
          <w:b/>
          <w:sz w:val="32"/>
          <w:szCs w:val="32"/>
          <w:lang w:eastAsia="zh-CN"/>
        </w:rPr>
        <w:t>2020年-2021年森林查暨森林资源管理“一张图”年度更新工作经费</w:t>
      </w:r>
    </w:p>
    <w:p>
      <w:pPr>
        <w:pStyle w:val="7"/>
        <w:spacing w:before="6"/>
        <w:rPr>
          <w:rFonts w:hint="eastAsia" w:ascii="仿宋" w:hAnsi="仿宋" w:eastAsia="仿宋" w:cs="仿宋"/>
          <w:b/>
          <w:sz w:val="32"/>
          <w:szCs w:val="32"/>
        </w:rPr>
      </w:pPr>
    </w:p>
    <w:p>
      <w:pPr>
        <w:spacing w:before="1"/>
        <w:ind w:left="282" w:right="329" w:firstLine="1606" w:firstLineChars="500"/>
        <w:jc w:val="both"/>
        <w:rPr>
          <w:rFonts w:hint="eastAsia" w:ascii="仿宋" w:hAnsi="仿宋" w:eastAsia="仿宋" w:cs="仿宋"/>
          <w:b/>
          <w:sz w:val="32"/>
          <w:szCs w:val="32"/>
          <w:lang w:eastAsia="zh-CN"/>
        </w:rPr>
      </w:pPr>
      <w:r>
        <w:rPr>
          <w:rFonts w:hint="eastAsia" w:ascii="仿宋" w:hAnsi="仿宋" w:eastAsia="仿宋" w:cs="仿宋"/>
          <w:b/>
          <w:sz w:val="32"/>
          <w:szCs w:val="32"/>
        </w:rPr>
        <w:t>项目编号：</w:t>
      </w:r>
      <w:r>
        <w:rPr>
          <w:rFonts w:hint="eastAsia" w:ascii="仿宋" w:hAnsi="仿宋" w:eastAsia="仿宋" w:cs="仿宋"/>
          <w:b/>
          <w:sz w:val="32"/>
          <w:szCs w:val="32"/>
          <w:lang w:eastAsia="zh-CN"/>
        </w:rPr>
        <w:t>YLZC2020-G3-2301</w:t>
      </w:r>
      <w:r>
        <w:rPr>
          <w:rFonts w:hint="eastAsia" w:ascii="仿宋" w:hAnsi="仿宋" w:eastAsia="仿宋" w:cs="仿宋"/>
          <w:b/>
          <w:sz w:val="32"/>
          <w:szCs w:val="32"/>
          <w:lang w:val="en-US" w:eastAsia="zh-CN"/>
        </w:rPr>
        <w:t>39</w:t>
      </w:r>
      <w:r>
        <w:rPr>
          <w:rFonts w:hint="eastAsia" w:ascii="仿宋" w:hAnsi="仿宋" w:eastAsia="仿宋" w:cs="仿宋"/>
          <w:b/>
          <w:sz w:val="32"/>
          <w:szCs w:val="32"/>
          <w:lang w:eastAsia="zh-CN"/>
        </w:rPr>
        <w:t>-GXZJ</w:t>
      </w:r>
    </w:p>
    <w:p>
      <w:pPr>
        <w:pStyle w:val="7"/>
        <w:rPr>
          <w:rFonts w:hint="eastAsia" w:ascii="仿宋" w:hAnsi="仿宋" w:eastAsia="仿宋" w:cs="仿宋"/>
          <w:b/>
          <w:sz w:val="36"/>
        </w:rPr>
      </w:pPr>
    </w:p>
    <w:p>
      <w:pPr>
        <w:pStyle w:val="7"/>
        <w:rPr>
          <w:rFonts w:hint="eastAsia" w:ascii="仿宋" w:hAnsi="仿宋" w:eastAsia="仿宋" w:cs="仿宋"/>
          <w:b/>
          <w:sz w:val="36"/>
        </w:rPr>
      </w:pPr>
    </w:p>
    <w:p>
      <w:pPr>
        <w:pStyle w:val="7"/>
        <w:rPr>
          <w:rFonts w:hint="eastAsia" w:ascii="仿宋" w:hAnsi="仿宋" w:eastAsia="仿宋" w:cs="仿宋"/>
          <w:b/>
          <w:sz w:val="36"/>
        </w:rPr>
      </w:pPr>
    </w:p>
    <w:p>
      <w:pPr>
        <w:pStyle w:val="7"/>
        <w:spacing w:before="4"/>
        <w:rPr>
          <w:rFonts w:hint="eastAsia" w:ascii="仿宋" w:hAnsi="仿宋" w:eastAsia="仿宋" w:cs="仿宋"/>
          <w:b/>
          <w:sz w:val="50"/>
        </w:rPr>
      </w:pPr>
    </w:p>
    <w:p>
      <w:pPr>
        <w:spacing w:before="0"/>
        <w:ind w:left="275" w:right="329" w:firstLine="2891" w:firstLineChars="900"/>
        <w:jc w:val="both"/>
        <w:rPr>
          <w:rFonts w:hint="eastAsia" w:ascii="仿宋" w:hAnsi="仿宋" w:eastAsia="仿宋" w:cs="仿宋"/>
          <w:b/>
          <w:sz w:val="32"/>
          <w:szCs w:val="32"/>
          <w:lang w:eastAsia="zh-CN"/>
        </w:rPr>
      </w:pPr>
      <w:r>
        <w:rPr>
          <w:rFonts w:hint="eastAsia" w:ascii="仿宋" w:hAnsi="仿宋" w:eastAsia="仿宋" w:cs="仿宋"/>
          <w:b/>
          <w:sz w:val="32"/>
          <w:szCs w:val="32"/>
        </w:rPr>
        <w:t>招标单位：</w:t>
      </w:r>
      <w:r>
        <w:rPr>
          <w:rFonts w:hint="eastAsia" w:ascii="仿宋" w:hAnsi="仿宋" w:eastAsia="仿宋" w:cs="仿宋"/>
          <w:b/>
          <w:sz w:val="32"/>
          <w:szCs w:val="32"/>
          <w:lang w:eastAsia="zh-CN"/>
        </w:rPr>
        <w:t>博白县自然资源局</w:t>
      </w:r>
    </w:p>
    <w:p>
      <w:pPr>
        <w:pStyle w:val="7"/>
        <w:rPr>
          <w:rFonts w:hint="eastAsia" w:ascii="仿宋" w:hAnsi="仿宋" w:eastAsia="仿宋" w:cs="仿宋"/>
          <w:b/>
          <w:sz w:val="32"/>
          <w:szCs w:val="32"/>
        </w:rPr>
      </w:pPr>
    </w:p>
    <w:p>
      <w:pPr>
        <w:pStyle w:val="7"/>
        <w:spacing w:before="6"/>
        <w:rPr>
          <w:rFonts w:hint="eastAsia" w:ascii="仿宋" w:hAnsi="仿宋" w:eastAsia="仿宋" w:cs="仿宋"/>
          <w:b/>
          <w:sz w:val="32"/>
          <w:szCs w:val="32"/>
        </w:rPr>
      </w:pPr>
    </w:p>
    <w:p>
      <w:pPr>
        <w:spacing w:before="0" w:line="482" w:lineRule="auto"/>
        <w:ind w:left="1695" w:right="1210" w:rightChars="0" w:firstLine="0"/>
        <w:jc w:val="center"/>
        <w:rPr>
          <w:rFonts w:hint="eastAsia" w:ascii="仿宋" w:hAnsi="仿宋" w:eastAsia="仿宋" w:cs="仿宋"/>
          <w:b/>
          <w:sz w:val="32"/>
          <w:szCs w:val="32"/>
        </w:rPr>
      </w:pPr>
      <w:r>
        <w:rPr>
          <w:rFonts w:hint="eastAsia" w:ascii="仿宋" w:hAnsi="仿宋" w:eastAsia="仿宋" w:cs="仿宋"/>
          <w:b/>
          <w:w w:val="95"/>
          <w:sz w:val="32"/>
          <w:szCs w:val="32"/>
          <w:lang w:val="en-US" w:eastAsia="zh-CN"/>
        </w:rPr>
        <w:t xml:space="preserve"> </w:t>
      </w:r>
      <w:r>
        <w:rPr>
          <w:rFonts w:hint="eastAsia" w:ascii="仿宋" w:hAnsi="仿宋" w:eastAsia="仿宋" w:cs="仿宋"/>
          <w:b/>
          <w:w w:val="95"/>
          <w:sz w:val="32"/>
          <w:szCs w:val="32"/>
        </w:rPr>
        <w:t>招标代理机构：</w:t>
      </w:r>
      <w:r>
        <w:rPr>
          <w:rFonts w:hint="eastAsia" w:ascii="仿宋" w:hAnsi="仿宋" w:eastAsia="仿宋" w:cs="仿宋"/>
          <w:b/>
          <w:w w:val="95"/>
          <w:sz w:val="32"/>
          <w:szCs w:val="32"/>
          <w:lang w:eastAsia="zh-CN"/>
        </w:rPr>
        <w:t>广西中竟达建设工程咨询有限公司</w:t>
      </w:r>
      <w:r>
        <w:rPr>
          <w:rFonts w:hint="eastAsia" w:ascii="仿宋" w:hAnsi="仿宋" w:eastAsia="仿宋" w:cs="仿宋"/>
          <w:b/>
          <w:sz w:val="32"/>
          <w:szCs w:val="32"/>
          <w:lang w:val="en-US" w:eastAsia="zh-CN"/>
        </w:rPr>
        <w:t>2020</w:t>
      </w:r>
      <w:r>
        <w:rPr>
          <w:rFonts w:hint="eastAsia" w:ascii="仿宋" w:hAnsi="仿宋" w:eastAsia="仿宋" w:cs="仿宋"/>
          <w:b/>
          <w:sz w:val="32"/>
          <w:szCs w:val="32"/>
        </w:rPr>
        <w:t>年</w:t>
      </w:r>
      <w:r>
        <w:rPr>
          <w:rFonts w:hint="eastAsia" w:ascii="仿宋" w:hAnsi="仿宋" w:eastAsia="仿宋" w:cs="仿宋"/>
          <w:b/>
          <w:sz w:val="32"/>
          <w:szCs w:val="32"/>
          <w:lang w:val="en-US" w:eastAsia="zh-CN"/>
        </w:rPr>
        <w:t>8</w:t>
      </w:r>
      <w:r>
        <w:rPr>
          <w:rFonts w:hint="eastAsia" w:ascii="仿宋" w:hAnsi="仿宋" w:eastAsia="仿宋" w:cs="仿宋"/>
          <w:b/>
          <w:sz w:val="32"/>
          <w:szCs w:val="32"/>
        </w:rPr>
        <w:t>月</w:t>
      </w:r>
    </w:p>
    <w:p>
      <w:pPr>
        <w:spacing w:after="0" w:line="482" w:lineRule="auto"/>
        <w:jc w:val="center"/>
        <w:rPr>
          <w:rFonts w:hint="eastAsia" w:ascii="仿宋" w:hAnsi="仿宋" w:eastAsia="仿宋" w:cs="仿宋"/>
          <w:sz w:val="32"/>
          <w:szCs w:val="32"/>
        </w:rPr>
        <w:sectPr>
          <w:type w:val="continuous"/>
          <w:pgSz w:w="11910" w:h="16840"/>
          <w:pgMar w:top="1600" w:right="920" w:bottom="280" w:left="980" w:header="720" w:footer="720" w:gutter="0"/>
        </w:sectPr>
      </w:pPr>
    </w:p>
    <w:p>
      <w:pPr>
        <w:pStyle w:val="7"/>
        <w:spacing w:before="6"/>
        <w:rPr>
          <w:rFonts w:ascii="宋体"/>
          <w:b/>
          <w:sz w:val="3"/>
        </w:rPr>
      </w:pPr>
    </w:p>
    <w:p>
      <w:pPr>
        <w:pStyle w:val="7"/>
        <w:spacing w:line="20" w:lineRule="exact"/>
        <w:ind w:left="95"/>
        <w:rPr>
          <w:rFonts w:ascii="宋体"/>
          <w:sz w:val="2"/>
        </w:rPr>
      </w:pPr>
      <w:r>
        <w:rPr>
          <w:rFonts w:ascii="宋体"/>
          <w:sz w:val="2"/>
        </w:rPr>
        <mc:AlternateContent>
          <mc:Choice Requires="wpg">
            <w:drawing>
              <wp:inline distT="0" distB="0" distL="114300" distR="114300">
                <wp:extent cx="6187440" cy="9525"/>
                <wp:effectExtent l="0" t="0" r="0" b="0"/>
                <wp:docPr id="2" name="组合 2"/>
                <wp:cNvGraphicFramePr/>
                <a:graphic xmlns:a="http://schemas.openxmlformats.org/drawingml/2006/main">
                  <a:graphicData uri="http://schemas.microsoft.com/office/word/2010/wordprocessingGroup">
                    <wpg:wgp>
                      <wpg:cNvGrpSpPr/>
                      <wpg:grpSpPr>
                        <a:xfrm>
                          <a:off x="0" y="0"/>
                          <a:ext cx="6187440" cy="9525"/>
                          <a:chOff x="0" y="0"/>
                          <a:chExt cx="9744" cy="15"/>
                        </a:xfrm>
                      </wpg:grpSpPr>
                      <wps:wsp>
                        <wps:cNvPr id="1" name="直线 3"/>
                        <wps:cNvCnPr/>
                        <wps:spPr>
                          <a:xfrm>
                            <a:off x="0" y="7"/>
                            <a:ext cx="9744"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87.2pt;" coordsize="9744,15" o:gfxdata="UEsDBAoAAAAAAIdO4kAAAAAAAAAAAAAAAAAEAAAAZHJzL1BLAwQUAAAACACHTuJAgbtZP9UAAAAD&#10;AQAADwAAAGRycy9kb3ducmV2LnhtbE2PT0vDQBDF74LfYRnBW7uJtv6J2RQp6qkItoJ4m2anSWh2&#10;NmS3SfvtHb3Uy4PhPd77Tb44ulYN1IfGs4F0moAiLr1tuDLwuXmdPIAKEdli65kMnCjAori8yDGz&#10;fuQPGtaxUlLCIUMDdYxdpnUoa3IYpr4jFm/ne4dRzr7StsdRyl2rb5LkTjtsWBZq7GhZU7lfH5yB&#10;txHH59v0ZVjtd8vT92b+/rVKyZjrqzR5AhXpGM9h+MUXdCiEaesPbINqDcgj8U/Fe7yfzUBtJTQH&#10;XeT6P3vxA1BLAwQUAAAACACHTuJAyo4sLi8CAACwBAAADgAAAGRycy9lMm9Eb2MueG1spZTNjtMw&#10;EMfvSLyD5TtNU/YzarqH7W4vCFZaeICp4ySW/CXbbdo7B47ceQ1OcOBp0L4GYydNYVdIaOnB9cfM&#10;eP6/8WR+tVOSbLnzwuiS5pMpJVwzUwndlPTD+9tXF5T4ALoCaTQv6Z57erV4+WLe2YLPTGtkxR3B&#10;INoXnS1pG4ItssyzlivwE2O5xsPaOAUBl67JKgcdRlcym02nZ1lnXGWdYdx73F32h3SR4tc1Z+Fd&#10;XXseiCwp5hbS6NK4jmO2mEPROLCtYEMa8IwsFAiNl46hlhCAbJx4EkoJ5ow3dZgwozJT14LxpAHV&#10;5NNHalbObGzS0hRdY0dMiPYRp2eHZW+3d46IqqQzSjQoLNHD948/P38is8ims02BJitn7+2dGzaa&#10;fhXl7mqn4j8KIbtEdT9S5btAGG6e5RfnJycIn+HZ5enstIfOWqzMEyfW3gxul+jU++TJIzvclsWk&#10;xhw6iw/HH9n4/2Nz34LlCbmPwgc2+cjmy9eHbz/I655NMrnWAxhfeGT0VyrnvewDlaO89AhHdVBY&#10;58OKG0XipKRS6JgQFLB94wOWAE0PJnFbatIh1zzRAmyhWkJAcMpiUb1ukq83UlS3Qsro4V2zvpaO&#10;bCE2RfrF3DDuH2bxkiX4trdLR72ElkN1oysS9hafi8a+pjEFxStKJMfPQJxhQCgCCPkvlni11JhB&#10;LGYPMc7WptpjATbWiaZFEnnKcih4sk5tkTIfWjj23e/rZHX80Cx+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IG7WT/VAAAAAwEAAA8AAAAAAAAAAQAgAAAAIgAAAGRycy9kb3ducmV2LnhtbFBLAQIU&#10;ABQAAAAIAIdO4kDKjiwuLwIAALAEAAAOAAAAAAAAAAEAIAAAACQBAABkcnMvZTJvRG9jLnhtbFBL&#10;BQYAAAAABgAGAFkBAADFBQAAAAA=&#10;">
                <o:lock v:ext="edit" aspectratio="f"/>
                <v:line id="直线 3" o:spid="_x0000_s1026" o:spt="20" style="position:absolute;left:0;top:7;height:0;width:9744;" filled="f" stroked="t" coordsize="21600,21600" o:gfxdata="UEsDBAoAAAAAAIdO4kAAAAAAAAAAAAAAAAAEAAAAZHJzL1BLAwQUAAAACACHTuJAH71KT7kAAADa&#10;AAAADwAAAGRycy9kb3ducmV2LnhtbEVPzWoCMRC+F3yHMEJvNWsPWrZGD7KFIj3o2gcYNtNN6Gay&#10;bKau+vRGKHgaPr7fWW3OoVMnGpKPbGA+K0ARN9F6bg18Hz9e3kAlQbbYRSYDF0qwWU+eVljaOPKB&#10;TrW0KodwKtGAE+lLrVPjKGCaxZ44cz9xCCgZDq22A445PHT6tSgWOqDn3OCwp62j5rf+Cwbq/de4&#10;2F2vY7WsPSYR76pqa8zzdF68gxI6y0P87/60eT7cX7lfvb4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B+9Sk+5AAAA2gAA&#10;AA8AAAAAAAAAAQAgAAAAIgAAAGRycy9kb3ducmV2LnhtbFBLAQIUABQAAAAIAIdO4kAzLwWeOwAA&#10;ADkAAAAQAAAAAAAAAAEAIAAAAAgBAABkcnMvc2hhcGV4bWwueG1sUEsFBgAAAAAGAAYAWwEAALID&#10;AAAAAA==&#10;">
                  <v:fill on="f" focussize="0,0"/>
                  <v:stroke weight="0.72pt" color="#000000" joinstyle="round"/>
                  <v:imagedata o:title=""/>
                  <o:lock v:ext="edit" aspectratio="f"/>
                </v:line>
                <w10:wrap type="none"/>
                <w10:anchorlock/>
              </v:group>
            </w:pict>
          </mc:Fallback>
        </mc:AlternateContent>
      </w:r>
    </w:p>
    <w:p>
      <w:pPr>
        <w:tabs>
          <w:tab w:val="left" w:pos="880"/>
        </w:tabs>
        <w:spacing w:before="36"/>
        <w:ind w:left="0" w:right="59" w:firstLine="0"/>
        <w:jc w:val="center"/>
        <w:rPr>
          <w:rFonts w:hint="eastAsia" w:ascii="宋体" w:eastAsia="宋体"/>
          <w:sz w:val="44"/>
        </w:rPr>
      </w:pPr>
      <w:r>
        <w:rPr>
          <w:rFonts w:hint="eastAsia" w:ascii="宋体" w:eastAsia="宋体"/>
          <w:sz w:val="44"/>
        </w:rPr>
        <w:t>目</w:t>
      </w:r>
      <w:r>
        <w:rPr>
          <w:rFonts w:hint="eastAsia" w:ascii="宋体" w:eastAsia="宋体"/>
          <w:sz w:val="44"/>
        </w:rPr>
        <w:tab/>
      </w:r>
      <w:r>
        <w:rPr>
          <w:rFonts w:hint="eastAsia" w:ascii="宋体" w:eastAsia="宋体"/>
          <w:sz w:val="44"/>
        </w:rPr>
        <w:t>录</w:t>
      </w:r>
    </w:p>
    <w:p>
      <w:pPr>
        <w:tabs>
          <w:tab w:val="right" w:leader="dot" w:pos="8421"/>
        </w:tabs>
        <w:spacing w:before="241"/>
        <w:ind w:left="102" w:right="0" w:firstLine="0"/>
        <w:jc w:val="left"/>
        <w:rPr>
          <w:rFonts w:hint="eastAsia" w:ascii="宋体" w:eastAsia="宋体"/>
          <w:sz w:val="32"/>
          <w:lang w:eastAsia="zh-CN"/>
        </w:rPr>
      </w:pPr>
      <w:r>
        <w:rPr>
          <w:rFonts w:hint="eastAsia" w:ascii="宋体" w:eastAsia="宋体"/>
          <w:sz w:val="32"/>
        </w:rPr>
        <w:t>第一章：公开招标告</w:t>
      </w:r>
      <w:r>
        <w:rPr>
          <w:rFonts w:hint="eastAsia" w:ascii="宋体" w:eastAsia="宋体"/>
          <w:sz w:val="32"/>
        </w:rPr>
        <w:tab/>
      </w:r>
      <w:r>
        <w:rPr>
          <w:rFonts w:hint="eastAsia" w:ascii="宋体" w:eastAsia="宋体"/>
          <w:sz w:val="32"/>
          <w:lang w:val="en-US" w:eastAsia="zh-CN"/>
        </w:rPr>
        <w:t>1</w:t>
      </w:r>
    </w:p>
    <w:p>
      <w:pPr>
        <w:tabs>
          <w:tab w:val="right" w:leader="dot" w:pos="8424"/>
        </w:tabs>
        <w:spacing w:before="5"/>
        <w:ind w:left="102" w:right="0" w:firstLine="0"/>
        <w:jc w:val="left"/>
        <w:rPr>
          <w:rFonts w:hint="eastAsia" w:ascii="宋体" w:eastAsia="宋体"/>
          <w:sz w:val="32"/>
          <w:lang w:eastAsia="zh-CN"/>
        </w:rPr>
      </w:pPr>
      <w:r>
        <w:rPr>
          <w:rFonts w:hint="eastAsia" w:ascii="宋体" w:eastAsia="宋体"/>
          <w:sz w:val="32"/>
        </w:rPr>
        <w:t>第二章：服务采购需求</w:t>
      </w:r>
      <w:r>
        <w:rPr>
          <w:rFonts w:hint="eastAsia" w:ascii="宋体" w:eastAsia="宋体"/>
          <w:sz w:val="32"/>
        </w:rPr>
        <w:tab/>
      </w:r>
      <w:r>
        <w:rPr>
          <w:rFonts w:hint="eastAsia" w:ascii="宋体" w:eastAsia="宋体"/>
          <w:sz w:val="32"/>
          <w:lang w:val="en-US" w:eastAsia="zh-CN"/>
        </w:rPr>
        <w:t>3</w:t>
      </w:r>
    </w:p>
    <w:p>
      <w:pPr>
        <w:tabs>
          <w:tab w:val="right" w:leader="dot" w:pos="8421"/>
        </w:tabs>
        <w:spacing w:before="5"/>
        <w:ind w:left="102" w:right="0" w:firstLine="0"/>
        <w:jc w:val="left"/>
        <w:rPr>
          <w:rFonts w:hint="eastAsia" w:ascii="宋体" w:eastAsia="宋体"/>
          <w:sz w:val="32"/>
          <w:lang w:eastAsia="zh-CN"/>
        </w:rPr>
      </w:pPr>
      <w:r>
        <w:rPr>
          <w:rFonts w:hint="eastAsia" w:ascii="宋体" w:eastAsia="宋体"/>
          <w:sz w:val="32"/>
        </w:rPr>
        <w:t>第三章：投标人须知</w:t>
      </w:r>
      <w:r>
        <w:rPr>
          <w:rFonts w:hint="eastAsia" w:ascii="宋体" w:eastAsia="宋体"/>
          <w:sz w:val="32"/>
        </w:rPr>
        <w:tab/>
      </w:r>
      <w:r>
        <w:rPr>
          <w:rFonts w:hint="eastAsia" w:ascii="宋体" w:eastAsia="宋体"/>
          <w:sz w:val="32"/>
          <w:lang w:val="en-US" w:eastAsia="zh-CN"/>
        </w:rPr>
        <w:t>6</w:t>
      </w:r>
    </w:p>
    <w:p>
      <w:pPr>
        <w:tabs>
          <w:tab w:val="right" w:leader="dot" w:pos="8582"/>
        </w:tabs>
        <w:spacing w:before="5"/>
        <w:ind w:left="102" w:right="0" w:firstLine="0"/>
        <w:jc w:val="left"/>
        <w:rPr>
          <w:rFonts w:hint="eastAsia" w:ascii="宋体" w:eastAsia="宋体"/>
          <w:sz w:val="32"/>
          <w:lang w:eastAsia="zh-CN"/>
        </w:rPr>
      </w:pPr>
      <w:r>
        <w:rPr>
          <w:rFonts w:hint="eastAsia" w:ascii="宋体" w:eastAsia="宋体"/>
          <w:sz w:val="32"/>
        </w:rPr>
        <w:t>第四章：评标办法</w:t>
      </w:r>
      <w:r>
        <w:rPr>
          <w:rFonts w:hint="eastAsia" w:ascii="宋体" w:eastAsia="宋体"/>
          <w:sz w:val="32"/>
        </w:rPr>
        <w:tab/>
      </w:r>
      <w:r>
        <w:rPr>
          <w:rFonts w:hint="eastAsia" w:ascii="宋体" w:eastAsia="宋体"/>
          <w:sz w:val="32"/>
        </w:rPr>
        <w:t>2</w:t>
      </w:r>
      <w:r>
        <w:rPr>
          <w:rFonts w:hint="eastAsia" w:ascii="宋体" w:eastAsia="宋体"/>
          <w:sz w:val="32"/>
          <w:lang w:val="en-US" w:eastAsia="zh-CN"/>
        </w:rPr>
        <w:t>0</w:t>
      </w:r>
    </w:p>
    <w:p>
      <w:pPr>
        <w:tabs>
          <w:tab w:val="right" w:leader="dot" w:pos="8582"/>
        </w:tabs>
        <w:spacing w:before="5"/>
        <w:ind w:left="102" w:right="0" w:firstLine="0"/>
        <w:jc w:val="left"/>
        <w:rPr>
          <w:rFonts w:hint="default" w:ascii="宋体" w:eastAsia="宋体"/>
          <w:sz w:val="32"/>
          <w:lang w:val="en-US" w:eastAsia="zh-CN"/>
        </w:rPr>
      </w:pPr>
      <w:r>
        <w:rPr>
          <w:rFonts w:hint="eastAsia" w:ascii="宋体" w:eastAsia="宋体"/>
          <w:sz w:val="32"/>
        </w:rPr>
        <w:t>第五章：采购合同（合同主要条款及式）</w:t>
      </w:r>
      <w:r>
        <w:rPr>
          <w:rFonts w:hint="eastAsia" w:ascii="宋体" w:eastAsia="宋体"/>
          <w:sz w:val="32"/>
        </w:rPr>
        <w:tab/>
      </w:r>
      <w:r>
        <w:rPr>
          <w:rFonts w:hint="eastAsia" w:ascii="宋体" w:eastAsia="宋体"/>
          <w:sz w:val="32"/>
          <w:lang w:val="en-US" w:eastAsia="zh-CN"/>
        </w:rPr>
        <w:t>24</w:t>
      </w:r>
    </w:p>
    <w:p>
      <w:pPr>
        <w:tabs>
          <w:tab w:val="right" w:leader="dot" w:pos="8582"/>
        </w:tabs>
        <w:spacing w:before="6"/>
        <w:ind w:left="102" w:right="0" w:firstLine="0"/>
        <w:jc w:val="left"/>
        <w:rPr>
          <w:rFonts w:hint="default" w:ascii="宋体" w:eastAsia="宋体"/>
          <w:sz w:val="32"/>
          <w:lang w:val="en-US" w:eastAsia="zh-CN"/>
        </w:rPr>
      </w:pPr>
      <w:r>
        <w:rPr>
          <w:rFonts w:hint="eastAsia" w:ascii="宋体" w:eastAsia="宋体"/>
          <w:sz w:val="32"/>
        </w:rPr>
        <w:t>第六章：投标文件（格式）</w:t>
      </w:r>
      <w:r>
        <w:rPr>
          <w:rFonts w:hint="eastAsia" w:ascii="宋体" w:eastAsia="宋体"/>
          <w:sz w:val="32"/>
        </w:rPr>
        <w:tab/>
      </w:r>
      <w:r>
        <w:rPr>
          <w:rFonts w:hint="eastAsia" w:ascii="宋体" w:eastAsia="宋体"/>
          <w:sz w:val="32"/>
          <w:lang w:val="en-US" w:eastAsia="zh-CN"/>
        </w:rPr>
        <w:t>28</w:t>
      </w:r>
    </w:p>
    <w:p>
      <w:pPr>
        <w:spacing w:after="0"/>
        <w:jc w:val="left"/>
        <w:rPr>
          <w:rFonts w:hint="eastAsia" w:ascii="宋体" w:eastAsia="宋体"/>
          <w:sz w:val="32"/>
        </w:rPr>
        <w:sectPr>
          <w:headerReference r:id="rId3" w:type="default"/>
          <w:footerReference r:id="rId4" w:type="default"/>
          <w:pgSz w:w="11910" w:h="16840"/>
          <w:pgMar w:top="1060" w:right="920" w:bottom="1140" w:left="980" w:header="880" w:footer="948" w:gutter="0"/>
          <w:pgNumType w:start="2"/>
        </w:sectPr>
      </w:pPr>
    </w:p>
    <w:p>
      <w:pPr>
        <w:pStyle w:val="7"/>
        <w:spacing w:before="6"/>
        <w:rPr>
          <w:rFonts w:ascii="宋体"/>
          <w:sz w:val="3"/>
        </w:rPr>
      </w:pPr>
    </w:p>
    <w:p>
      <w:pPr>
        <w:pStyle w:val="7"/>
        <w:spacing w:line="20" w:lineRule="exact"/>
        <w:ind w:left="95"/>
        <w:rPr>
          <w:rFonts w:ascii="宋体"/>
          <w:sz w:val="2"/>
        </w:rPr>
      </w:pPr>
      <w:r>
        <w:rPr>
          <w:rFonts w:ascii="宋体"/>
          <w:sz w:val="2"/>
        </w:rPr>
        <mc:AlternateContent>
          <mc:Choice Requires="wpg">
            <w:drawing>
              <wp:inline distT="0" distB="0" distL="114300" distR="114300">
                <wp:extent cx="6187440" cy="9525"/>
                <wp:effectExtent l="0" t="0" r="0" b="0"/>
                <wp:docPr id="4" name="组合 4"/>
                <wp:cNvGraphicFramePr/>
                <a:graphic xmlns:a="http://schemas.openxmlformats.org/drawingml/2006/main">
                  <a:graphicData uri="http://schemas.microsoft.com/office/word/2010/wordprocessingGroup">
                    <wpg:wgp>
                      <wpg:cNvGrpSpPr/>
                      <wpg:grpSpPr>
                        <a:xfrm>
                          <a:off x="0" y="0"/>
                          <a:ext cx="6187440" cy="9525"/>
                          <a:chOff x="0" y="0"/>
                          <a:chExt cx="9744" cy="15"/>
                        </a:xfrm>
                      </wpg:grpSpPr>
                      <wps:wsp>
                        <wps:cNvPr id="3" name="直线 5"/>
                        <wps:cNvCnPr/>
                        <wps:spPr>
                          <a:xfrm>
                            <a:off x="0" y="7"/>
                            <a:ext cx="9744"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_x0000_s1026" o:spid="_x0000_s1026" o:spt="203" style="height:0.75pt;width:487.2pt;" coordsize="9744,15" o:gfxdata="UEsDBAoAAAAAAIdO4kAAAAAAAAAAAAAAAAAEAAAAZHJzL1BLAwQUAAAACACHTuJAgbtZP9UAAAAD&#10;AQAADwAAAGRycy9kb3ducmV2LnhtbE2PT0vDQBDF74LfYRnBW7uJtv6J2RQp6qkItoJ4m2anSWh2&#10;NmS3SfvtHb3Uy4PhPd77Tb44ulYN1IfGs4F0moAiLr1tuDLwuXmdPIAKEdli65kMnCjAori8yDGz&#10;fuQPGtaxUlLCIUMDdYxdpnUoa3IYpr4jFm/ne4dRzr7StsdRyl2rb5LkTjtsWBZq7GhZU7lfH5yB&#10;txHH59v0ZVjtd8vT92b+/rVKyZjrqzR5AhXpGM9h+MUXdCiEaesPbINqDcgj8U/Fe7yfzUBtJTQH&#10;XeT6P3vxA1BLAwQUAAAACACHTuJA+xxVtDACAACwBAAADgAAAGRycy9lMm9Eb2MueG1spZTNjtMw&#10;EMfvSLyD5TtNs3S/oqZ72O72gmClhQeYOk5iyV+y3aa9c+DIndfgBAeeBu1rMHbSFHaFhJYeXH/M&#10;jP/zG0/mVzslyZY7L4wuaT6ZUsI1M5XQTUk/vL99dUGJD6ArkEbzku65p1eLly/mnS34iWmNrLgj&#10;GET7orMlbUOwRZZ51nIFfmIs13hYG6cg4NI1WeWgw+hKZifT6VnWGVdZZxj3HneX/SFdpPh1zVl4&#10;V9eeByJLitpCGl0a13HMFnMoGge2FWyQAc9QoUBovHQMtYQAZOPEk1BKMGe8qcOEGZWZuhaMpxww&#10;m3z6KJuVMxubcmmKrrEjJkT7iNOzw7K32ztHRFXSGSUaFJbo4fvHn58/kVlk09mmQJOVs/f2zg0b&#10;Tb+K6e5qp+I/JkJ2iep+pMp3gTDcPMsvzmczhM/w7PL05LSHzlqszBMn1t4Mbpfo1PvkySM73JZF&#10;UaOGzuLD8Uc2/v/Y3LdgeULuY+IDm9cjmy9fH779IElQvBlNrvUAxhceGf2Vynmf9oHKMb30CMfs&#10;oLDOhxU3isRJSaXQURAUsH3jA5YATQ8mcVtq0iHXPNECbKFaQkBwymJRvW6SrzdSVLdCyujhXbO+&#10;lo5sITZF+kVtGPcPs3jJEnzb26WjPoWWQ3WjKxL2Fp+Lxr6mUYLiFSWS42cgzjAgFAGE/BdLvFpq&#10;VBCR9hDjbG2qPRZgY51oWiSRJ5VDwZN1aoukfGjh2He/r5PV8UOz+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Bu1k/1QAAAAMBAAAPAAAAAAAAAAEAIAAAACIAAABkcnMvZG93bnJldi54bWxQSwEC&#10;FAAUAAAACACHTuJA+xxVtDACAACwBAAADgAAAAAAAAABACAAAAAkAQAAZHJzL2Uyb0RvYy54bWxQ&#10;SwUGAAAAAAYABgBZAQAAxgUAAAAA&#10;">
                <o:lock v:ext="edit" aspectratio="f"/>
                <v:line id="直线 5" o:spid="_x0000_s1026" o:spt="20" style="position:absolute;left:0;top:7;height:0;width:9744;" filled="f" stroked="t" coordsize="21600,21600" o:gfxdata="UEsDBAoAAAAAAIdO4kAAAAAAAAAAAAAAAAAEAAAAZHJzL1BLAwQUAAAACACHTuJAgCNxo7wAAADa&#10;AAAADwAAAGRycy9kb3ducmV2LnhtbEWPQWsCMRSE7wX/Q3iCt5q1gp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AjcaO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p>
      <w:pPr>
        <w:spacing w:before="128"/>
        <w:ind w:left="282" w:right="778" w:firstLine="0"/>
        <w:jc w:val="center"/>
        <w:rPr>
          <w:sz w:val="44"/>
        </w:rPr>
      </w:pPr>
      <w:bookmarkStart w:id="0" w:name="第一章公开招标公告"/>
      <w:bookmarkEnd w:id="0"/>
      <w:r>
        <w:rPr>
          <w:sz w:val="44"/>
        </w:rPr>
        <w:t>第一章 公开招标公告</w:t>
      </w:r>
    </w:p>
    <w:p>
      <w:pPr>
        <w:pStyle w:val="5"/>
        <w:spacing w:before="361"/>
        <w:ind w:left="268" w:right="329"/>
        <w:jc w:val="center"/>
        <w:rPr>
          <w:rFonts w:hint="eastAsia" w:eastAsia="仿宋"/>
          <w:lang w:eastAsia="zh-CN"/>
        </w:rPr>
      </w:pPr>
      <w:r>
        <w:rPr>
          <w:rFonts w:hint="eastAsia"/>
          <w:lang w:eastAsia="zh-CN"/>
        </w:rPr>
        <w:t>广西中竟达建设工程咨询有限公司</w:t>
      </w:r>
    </w:p>
    <w:p>
      <w:pPr>
        <w:pStyle w:val="7"/>
        <w:spacing w:before="10"/>
        <w:rPr>
          <w:b/>
          <w:sz w:val="19"/>
        </w:rPr>
      </w:pPr>
    </w:p>
    <w:p>
      <w:pPr>
        <w:spacing w:before="0" w:line="367" w:lineRule="auto"/>
        <w:ind w:left="337" w:right="396" w:firstLine="0"/>
        <w:jc w:val="center"/>
        <w:rPr>
          <w:rFonts w:hint="eastAsia"/>
          <w:b/>
          <w:spacing w:val="-1"/>
          <w:w w:val="95"/>
          <w:sz w:val="28"/>
          <w:lang w:val="en-US" w:eastAsia="zh-CN"/>
        </w:rPr>
      </w:pPr>
      <w:r>
        <w:rPr>
          <w:b/>
          <w:spacing w:val="-1"/>
          <w:w w:val="95"/>
          <w:sz w:val="28"/>
        </w:rPr>
        <w:t>关于</w:t>
      </w:r>
      <w:r>
        <w:rPr>
          <w:rFonts w:hint="eastAsia"/>
          <w:b/>
          <w:spacing w:val="-1"/>
          <w:w w:val="95"/>
          <w:sz w:val="28"/>
          <w:lang w:val="en-US" w:eastAsia="zh-CN"/>
        </w:rPr>
        <w:t>2020年-2021年森林查暨森林资源管理“一张图”年度更新工作经费</w:t>
      </w:r>
    </w:p>
    <w:p>
      <w:pPr>
        <w:spacing w:before="0" w:line="367" w:lineRule="auto"/>
        <w:ind w:left="337" w:right="396" w:firstLine="0"/>
        <w:jc w:val="center"/>
        <w:rPr>
          <w:b/>
          <w:sz w:val="28"/>
        </w:rPr>
      </w:pPr>
      <w:r>
        <w:rPr>
          <w:b/>
          <w:w w:val="95"/>
          <w:sz w:val="28"/>
        </w:rPr>
        <w:t>（项目编</w:t>
      </w:r>
      <w:r>
        <w:rPr>
          <w:b/>
          <w:sz w:val="28"/>
        </w:rPr>
        <w:t>号：</w:t>
      </w:r>
      <w:r>
        <w:rPr>
          <w:rFonts w:hint="eastAsia"/>
          <w:b/>
          <w:sz w:val="28"/>
          <w:lang w:eastAsia="zh-CN"/>
        </w:rPr>
        <w:t>YLZC2020-G3-230139-GXZJ</w:t>
      </w:r>
      <w:r>
        <w:rPr>
          <w:b/>
          <w:sz w:val="28"/>
        </w:rPr>
        <w:t>）招标公告</w:t>
      </w:r>
    </w:p>
    <w:p>
      <w:pPr>
        <w:pStyle w:val="7"/>
        <w:spacing w:before="87" w:line="328" w:lineRule="auto"/>
        <w:ind w:left="102" w:right="195" w:firstLine="777"/>
      </w:pPr>
      <w:r>
        <w:rPr>
          <w:spacing w:val="-10"/>
        </w:rPr>
        <w:t>受</w:t>
      </w:r>
      <w:r>
        <w:rPr>
          <w:rFonts w:hint="eastAsia"/>
          <w:spacing w:val="-10"/>
          <w:lang w:eastAsia="zh-CN"/>
        </w:rPr>
        <w:t>博白县自然资源局</w:t>
      </w:r>
      <w:r>
        <w:rPr>
          <w:spacing w:val="-10"/>
        </w:rPr>
        <w:t>的委托，根据《中华人民共和国政府采购法》、《中华人民共和国政府采购法实施条例》及财政部令第87号《政府采购货物和服务招标投标管理办法》等规定，就</w:t>
      </w:r>
      <w:r>
        <w:rPr>
          <w:rFonts w:hint="eastAsia"/>
          <w:spacing w:val="-10"/>
          <w:lang w:val="en-US" w:eastAsia="zh-CN"/>
        </w:rPr>
        <w:t>2020年-2021年森林查暨森林资源管理“一张图”年度更新工作经费</w:t>
      </w:r>
      <w:r>
        <w:rPr>
          <w:spacing w:val="-10"/>
        </w:rPr>
        <w:t>进行公开招标，欢迎符合条件的供应商前来投标，现将本次公开招标的有关事项公告如下：</w:t>
      </w:r>
    </w:p>
    <w:p>
      <w:pPr>
        <w:pStyle w:val="7"/>
        <w:numPr>
          <w:ilvl w:val="0"/>
          <w:numId w:val="1"/>
        </w:numPr>
        <w:spacing w:line="328" w:lineRule="auto"/>
        <w:ind w:left="582" w:right="770" w:rightChars="0"/>
        <w:rPr>
          <w:rFonts w:hint="eastAsia"/>
          <w:spacing w:val="-10"/>
          <w:lang w:eastAsia="zh-CN"/>
        </w:rPr>
      </w:pPr>
      <w:r>
        <w:rPr>
          <w:spacing w:val="-10"/>
        </w:rPr>
        <w:t>项目名称：</w:t>
      </w:r>
      <w:r>
        <w:rPr>
          <w:rFonts w:hint="eastAsia"/>
          <w:spacing w:val="-10"/>
          <w:lang w:eastAsia="zh-CN"/>
        </w:rPr>
        <w:t>2020年-2021年森林查暨森林资源管理“一张图”年度更新工作经费</w:t>
      </w:r>
    </w:p>
    <w:p>
      <w:pPr>
        <w:pStyle w:val="7"/>
        <w:numPr>
          <w:ilvl w:val="0"/>
          <w:numId w:val="1"/>
        </w:numPr>
        <w:spacing w:line="328" w:lineRule="auto"/>
        <w:ind w:left="582" w:leftChars="0" w:right="1560" w:rightChars="0" w:firstLine="0" w:firstLineChars="0"/>
        <w:rPr>
          <w:rFonts w:hint="eastAsia"/>
          <w:spacing w:val="-9"/>
          <w:lang w:eastAsia="zh-CN"/>
        </w:rPr>
      </w:pPr>
      <w:r>
        <w:rPr>
          <w:spacing w:val="-10"/>
        </w:rPr>
        <w:t>项目编号：</w:t>
      </w:r>
      <w:r>
        <w:rPr>
          <w:rFonts w:hint="eastAsia"/>
          <w:spacing w:val="-9"/>
          <w:lang w:eastAsia="zh-CN"/>
        </w:rPr>
        <w:t>YLZC2020-G3-230139-GXZJ</w:t>
      </w:r>
    </w:p>
    <w:p>
      <w:pPr>
        <w:pStyle w:val="7"/>
        <w:numPr>
          <w:ilvl w:val="0"/>
          <w:numId w:val="0"/>
        </w:numPr>
        <w:spacing w:line="328" w:lineRule="auto"/>
        <w:ind w:left="582" w:leftChars="0" w:right="1560" w:rightChars="0" w:firstLine="444" w:firstLineChars="200"/>
        <w:rPr>
          <w:rFonts w:hint="default"/>
          <w:spacing w:val="-9"/>
          <w:lang w:val="en-US" w:eastAsia="zh-CN"/>
        </w:rPr>
      </w:pPr>
      <w:r>
        <w:rPr>
          <w:rFonts w:hint="eastAsia"/>
          <w:spacing w:val="-9"/>
          <w:lang w:val="en-US" w:eastAsia="zh-CN"/>
        </w:rPr>
        <w:t>采购计划文号：YLZC2020-G3-62286-001</w:t>
      </w:r>
    </w:p>
    <w:p>
      <w:pPr>
        <w:pStyle w:val="7"/>
        <w:spacing w:line="328" w:lineRule="auto"/>
        <w:ind w:left="102" w:right="221" w:firstLine="444"/>
      </w:pPr>
      <w:r>
        <w:rPr>
          <w:spacing w:val="-11"/>
        </w:rPr>
        <w:t>三、采购项目的名称、数量、简要规格描述或项目基本概况介绍:</w:t>
      </w:r>
      <w:r>
        <w:rPr>
          <w:rFonts w:hint="eastAsia"/>
          <w:spacing w:val="-10"/>
          <w:lang w:eastAsia="zh-CN"/>
        </w:rPr>
        <w:t>2020年-2021年森林查暨森林资源管理“一张图”年度更新工作经费一项</w:t>
      </w:r>
      <w:r>
        <w:rPr>
          <w:rFonts w:hint="eastAsia"/>
          <w:spacing w:val="-11"/>
          <w:lang w:val="en-US" w:eastAsia="zh-CN"/>
        </w:rPr>
        <w:t>，</w:t>
      </w:r>
      <w:r>
        <w:rPr>
          <w:spacing w:val="-10"/>
        </w:rPr>
        <w:t>详见招标项目采购需求。</w:t>
      </w:r>
    </w:p>
    <w:p>
      <w:pPr>
        <w:pStyle w:val="7"/>
        <w:spacing w:line="328" w:lineRule="auto"/>
        <w:ind w:left="546" w:right="1884"/>
      </w:pPr>
      <w:r>
        <w:rPr>
          <w:spacing w:val="-10"/>
        </w:rPr>
        <w:t>四、采购预算金额： 人民币</w:t>
      </w:r>
      <w:r>
        <w:rPr>
          <w:rFonts w:hint="eastAsia"/>
          <w:spacing w:val="-10"/>
          <w:lang w:eastAsia="zh-CN"/>
        </w:rPr>
        <w:t>贰佰伍拾万元</w:t>
      </w:r>
      <w:r>
        <w:rPr>
          <w:spacing w:val="-10"/>
        </w:rPr>
        <w:t>整（</w:t>
      </w:r>
      <w:r>
        <w:rPr>
          <w:rFonts w:ascii="Times New Roman" w:hAnsi="Times New Roman" w:eastAsia="Times New Roman"/>
          <w:spacing w:val="-10"/>
        </w:rPr>
        <w:t>¥</w:t>
      </w:r>
      <w:r>
        <w:rPr>
          <w:rFonts w:hint="eastAsia" w:eastAsia="宋体"/>
          <w:spacing w:val="-10"/>
          <w:lang w:val="en-US" w:eastAsia="zh-CN"/>
        </w:rPr>
        <w:t>2500000</w:t>
      </w:r>
      <w:r>
        <w:rPr>
          <w:spacing w:val="-10"/>
        </w:rPr>
        <w:t>.00元）</w:t>
      </w:r>
      <w:r>
        <w:t>。</w:t>
      </w:r>
    </w:p>
    <w:p>
      <w:pPr>
        <w:pStyle w:val="7"/>
        <w:spacing w:line="328" w:lineRule="auto"/>
        <w:ind w:left="546" w:right="1884"/>
      </w:pPr>
      <w:r>
        <w:rPr>
          <w:spacing w:val="-10"/>
        </w:rPr>
        <w:t>五、本项目需要落实的政府采购政策：</w:t>
      </w:r>
    </w:p>
    <w:p>
      <w:pPr>
        <w:pStyle w:val="14"/>
        <w:numPr>
          <w:ilvl w:val="0"/>
          <w:numId w:val="2"/>
        </w:numPr>
        <w:tabs>
          <w:tab w:val="left" w:pos="339"/>
        </w:tabs>
        <w:spacing w:before="0" w:after="0" w:line="305" w:lineRule="exact"/>
        <w:ind w:left="338" w:right="0" w:hanging="237"/>
        <w:jc w:val="left"/>
        <w:rPr>
          <w:sz w:val="24"/>
        </w:rPr>
      </w:pPr>
      <w:r>
        <w:rPr>
          <w:spacing w:val="-10"/>
          <w:sz w:val="24"/>
        </w:rPr>
        <w:t>政府采购促进中小企业发展。</w:t>
      </w:r>
    </w:p>
    <w:p>
      <w:pPr>
        <w:pStyle w:val="14"/>
        <w:numPr>
          <w:ilvl w:val="0"/>
          <w:numId w:val="2"/>
        </w:numPr>
        <w:tabs>
          <w:tab w:val="left" w:pos="339"/>
        </w:tabs>
        <w:spacing w:before="103" w:after="0" w:line="240" w:lineRule="auto"/>
        <w:ind w:left="338" w:right="0" w:hanging="237"/>
        <w:jc w:val="left"/>
        <w:rPr>
          <w:sz w:val="24"/>
        </w:rPr>
      </w:pPr>
      <w:r>
        <w:rPr>
          <w:spacing w:val="-10"/>
          <w:sz w:val="24"/>
        </w:rPr>
        <w:t>政府采购支持采用本国产品的政策。</w:t>
      </w:r>
    </w:p>
    <w:p>
      <w:pPr>
        <w:pStyle w:val="14"/>
        <w:numPr>
          <w:ilvl w:val="0"/>
          <w:numId w:val="2"/>
        </w:numPr>
        <w:tabs>
          <w:tab w:val="left" w:pos="339"/>
        </w:tabs>
        <w:spacing w:before="112" w:after="0" w:line="240" w:lineRule="auto"/>
        <w:ind w:left="338" w:right="0" w:hanging="237"/>
        <w:jc w:val="left"/>
        <w:rPr>
          <w:sz w:val="24"/>
        </w:rPr>
      </w:pPr>
      <w:r>
        <w:rPr>
          <w:spacing w:val="-10"/>
          <w:sz w:val="24"/>
        </w:rPr>
        <w:t>强制采购、优先采购环境标志产品、节能产品。</w:t>
      </w:r>
    </w:p>
    <w:p>
      <w:pPr>
        <w:pStyle w:val="14"/>
        <w:numPr>
          <w:ilvl w:val="0"/>
          <w:numId w:val="2"/>
        </w:numPr>
        <w:tabs>
          <w:tab w:val="left" w:pos="339"/>
        </w:tabs>
        <w:spacing w:before="113" w:after="0" w:line="240" w:lineRule="auto"/>
        <w:ind w:left="338" w:right="0" w:hanging="237"/>
        <w:jc w:val="left"/>
        <w:rPr>
          <w:sz w:val="24"/>
        </w:rPr>
      </w:pPr>
      <w:r>
        <w:rPr>
          <w:spacing w:val="-10"/>
          <w:sz w:val="24"/>
        </w:rPr>
        <w:t>政府采购促进残疾人就业政策。</w:t>
      </w:r>
    </w:p>
    <w:p>
      <w:pPr>
        <w:pStyle w:val="14"/>
        <w:numPr>
          <w:ilvl w:val="0"/>
          <w:numId w:val="2"/>
        </w:numPr>
        <w:tabs>
          <w:tab w:val="left" w:pos="339"/>
        </w:tabs>
        <w:spacing w:before="112" w:after="0" w:line="328" w:lineRule="auto"/>
        <w:ind w:left="582" w:right="6670" w:hanging="480"/>
        <w:jc w:val="left"/>
        <w:rPr>
          <w:sz w:val="24"/>
        </w:rPr>
      </w:pPr>
      <w:r>
        <w:rPr>
          <w:spacing w:val="-11"/>
          <w:sz w:val="24"/>
        </w:rPr>
        <w:t>政府采购支持监狱企业发展。</w:t>
      </w:r>
      <w:r>
        <w:rPr>
          <w:spacing w:val="-9"/>
          <w:sz w:val="24"/>
        </w:rPr>
        <w:t>六、投标人资格要求:</w:t>
      </w:r>
    </w:p>
    <w:p>
      <w:pPr>
        <w:pStyle w:val="7"/>
        <w:spacing w:line="305" w:lineRule="exact"/>
        <w:ind w:left="546"/>
        <w:rPr>
          <w:color w:val="auto"/>
        </w:rPr>
      </w:pPr>
      <w:r>
        <w:rPr>
          <w:color w:val="auto"/>
        </w:rPr>
        <w:t>1、符合《中华人民共和国政府采购法》第二十二条的规定。</w:t>
      </w:r>
    </w:p>
    <w:p>
      <w:pPr>
        <w:pStyle w:val="7"/>
        <w:spacing w:before="113" w:line="328" w:lineRule="auto"/>
        <w:ind w:left="102" w:right="334" w:firstLine="444"/>
        <w:rPr>
          <w:color w:val="FF0000"/>
        </w:rPr>
      </w:pPr>
      <w:r>
        <w:rPr>
          <w:color w:val="auto"/>
          <w:spacing w:val="-10"/>
        </w:rPr>
        <w:t>2、国内注册（指按国家有关规定要求注册的），具有独立法人资格并具备林业调查规划设计乙级以上（含乙级）</w:t>
      </w:r>
      <w:r>
        <w:rPr>
          <w:color w:val="auto"/>
          <w:spacing w:val="-9"/>
        </w:rPr>
        <w:t>资质的单位。</w:t>
      </w:r>
    </w:p>
    <w:p>
      <w:pPr>
        <w:pStyle w:val="7"/>
        <w:spacing w:line="305" w:lineRule="exact"/>
        <w:ind w:left="546"/>
      </w:pPr>
      <w:r>
        <w:t>3、本项目不接受联合体投标；</w:t>
      </w:r>
    </w:p>
    <w:p>
      <w:pPr>
        <w:pStyle w:val="7"/>
        <w:spacing w:before="112"/>
        <w:ind w:left="546"/>
      </w:pPr>
      <w:r>
        <w:t>4、本项目不接受未购买本项目招标文件的投标人投标；</w:t>
      </w:r>
    </w:p>
    <w:p>
      <w:pPr>
        <w:pStyle w:val="7"/>
        <w:spacing w:before="113" w:line="328" w:lineRule="auto"/>
        <w:ind w:left="102" w:right="171" w:firstLine="444"/>
        <w:jc w:val="both"/>
      </w:pPr>
      <w:r>
        <w:rPr>
          <w:spacing w:val="-10"/>
        </w:rPr>
        <w:t>5、对在“信用中国”网站(www.creditchina.gov.cn)、中国政府采购网(www.ccgp.gov.cn</w:t>
      </w:r>
      <w:r>
        <w:rPr>
          <w:spacing w:val="-5"/>
        </w:rPr>
        <w:t>)等</w:t>
      </w:r>
      <w:r>
        <w:rPr>
          <w:spacing w:val="-10"/>
        </w:rPr>
        <w:t>渠道列入失信被执行人、重大税收违法案件当事人名单、政府采购严重违法失信行为记录名单及其他不符合《中华人民共和国政府采购法》第二十二条规定条件的供应商，不得参与政府采购活</w:t>
      </w:r>
      <w:r>
        <w:rPr>
          <w:spacing w:val="-5"/>
        </w:rPr>
        <w:t>动；</w:t>
      </w:r>
    </w:p>
    <w:p>
      <w:pPr>
        <w:pStyle w:val="7"/>
        <w:spacing w:line="328" w:lineRule="auto"/>
        <w:ind w:left="102" w:right="334" w:firstLine="444"/>
        <w:rPr>
          <w:sz w:val="12"/>
        </w:rPr>
      </w:pPr>
      <w:r>
        <w:rPr>
          <w:spacing w:val="-10"/>
        </w:rPr>
        <w:t>6、单位负责人为同一人或者存在直接控股、管理关系的不同供应商，不得参加同一合同项下的政府采购活动。除单一来源采购项目外，为采购项目提供整体设计、规范编制或者项目管</w:t>
      </w:r>
    </w:p>
    <w:p>
      <w:pPr>
        <w:pStyle w:val="7"/>
        <w:spacing w:before="66" w:line="328" w:lineRule="auto"/>
        <w:ind w:left="582" w:right="2273" w:hanging="480"/>
      </w:pPr>
      <w:r>
        <w:rPr>
          <w:spacing w:val="-10"/>
        </w:rPr>
        <w:t>理、监理、检测等服务的供应商，不得再参加该采购项目的其他采购活动。</w:t>
      </w:r>
      <w:r>
        <w:rPr>
          <w:spacing w:val="-9"/>
        </w:rPr>
        <w:t>七、招标文件的获取:</w:t>
      </w:r>
    </w:p>
    <w:p>
      <w:pPr>
        <w:numPr>
          <w:ilvl w:val="0"/>
          <w:numId w:val="3"/>
        </w:numPr>
        <w:spacing w:line="360" w:lineRule="auto"/>
        <w:ind w:firstLine="420"/>
        <w:rPr>
          <w:rFonts w:hint="eastAsia"/>
          <w:color w:val="auto"/>
          <w:spacing w:val="-2"/>
          <w:sz w:val="24"/>
          <w:szCs w:val="24"/>
          <w:lang w:eastAsia="zh-CN"/>
        </w:rPr>
      </w:pPr>
      <w:r>
        <w:rPr>
          <w:rFonts w:hint="eastAsia"/>
          <w:color w:val="000000"/>
          <w:spacing w:val="-2"/>
          <w:sz w:val="24"/>
          <w:szCs w:val="24"/>
          <w:lang w:eastAsia="zh-CN"/>
        </w:rPr>
        <w:t>获取</w:t>
      </w:r>
      <w:r>
        <w:rPr>
          <w:rFonts w:hint="eastAsia"/>
          <w:color w:val="000000"/>
          <w:spacing w:val="-2"/>
          <w:sz w:val="24"/>
          <w:szCs w:val="24"/>
        </w:rPr>
        <w:t>时间</w:t>
      </w:r>
      <w:r>
        <w:rPr>
          <w:rFonts w:hint="eastAsia"/>
          <w:color w:val="auto"/>
          <w:spacing w:val="-2"/>
          <w:sz w:val="24"/>
          <w:szCs w:val="24"/>
        </w:rPr>
        <w:t>：</w:t>
      </w:r>
      <w:r>
        <w:rPr>
          <w:rFonts w:hint="eastAsia"/>
          <w:color w:val="auto"/>
          <w:spacing w:val="-2"/>
          <w:sz w:val="24"/>
          <w:szCs w:val="24"/>
          <w:lang w:eastAsia="zh-CN"/>
        </w:rPr>
        <w:t>自公告发布之日起至</w:t>
      </w:r>
      <w:r>
        <w:rPr>
          <w:rFonts w:hint="eastAsia"/>
          <w:color w:val="auto"/>
          <w:spacing w:val="-2"/>
          <w:sz w:val="24"/>
          <w:szCs w:val="24"/>
          <w:lang w:val="en-US" w:eastAsia="zh-CN"/>
        </w:rPr>
        <w:t>2020年8月20日18时00分止</w:t>
      </w:r>
      <w:r>
        <w:rPr>
          <w:rFonts w:hint="eastAsia"/>
          <w:color w:val="auto"/>
          <w:spacing w:val="-2"/>
          <w:sz w:val="24"/>
          <w:szCs w:val="24"/>
        </w:rPr>
        <w:t>（</w:t>
      </w:r>
      <w:r>
        <w:rPr>
          <w:rFonts w:hint="eastAsia"/>
          <w:color w:val="auto"/>
          <w:spacing w:val="-2"/>
          <w:sz w:val="24"/>
          <w:szCs w:val="24"/>
          <w:lang w:eastAsia="zh-CN"/>
        </w:rPr>
        <w:t>北京时间）</w:t>
      </w:r>
    </w:p>
    <w:p>
      <w:pPr>
        <w:numPr>
          <w:ilvl w:val="0"/>
          <w:numId w:val="0"/>
        </w:numPr>
        <w:spacing w:line="360" w:lineRule="auto"/>
        <w:ind w:left="420" w:leftChars="0" w:right="0" w:rightChars="0"/>
        <w:rPr>
          <w:rFonts w:hint="eastAsia" w:eastAsia="仿宋"/>
          <w:color w:val="auto"/>
          <w:spacing w:val="-2"/>
          <w:sz w:val="24"/>
          <w:szCs w:val="24"/>
          <w:lang w:eastAsia="zh-CN"/>
        </w:rPr>
      </w:pPr>
      <w:r>
        <w:rPr>
          <w:rFonts w:hint="eastAsia"/>
          <w:color w:val="auto"/>
          <w:spacing w:val="-2"/>
          <w:sz w:val="24"/>
          <w:szCs w:val="24"/>
        </w:rPr>
        <w:t>2.</w:t>
      </w:r>
      <w:r>
        <w:rPr>
          <w:rFonts w:hint="eastAsia"/>
          <w:color w:val="auto"/>
          <w:spacing w:val="-2"/>
          <w:sz w:val="24"/>
          <w:szCs w:val="24"/>
          <w:lang w:eastAsia="zh-CN"/>
        </w:rPr>
        <w:t>获取</w:t>
      </w:r>
      <w:r>
        <w:rPr>
          <w:rFonts w:hint="eastAsia"/>
          <w:color w:val="auto"/>
          <w:spacing w:val="-2"/>
          <w:sz w:val="24"/>
          <w:szCs w:val="24"/>
        </w:rPr>
        <w:t>地点：</w:t>
      </w:r>
      <w:r>
        <w:rPr>
          <w:rFonts w:hint="eastAsia"/>
          <w:color w:val="auto"/>
          <w:spacing w:val="-2"/>
          <w:sz w:val="24"/>
          <w:szCs w:val="24"/>
          <w:lang w:eastAsia="zh-CN"/>
        </w:rPr>
        <w:t>登录政采云免费获取文件</w:t>
      </w:r>
    </w:p>
    <w:p>
      <w:pPr>
        <w:pStyle w:val="7"/>
        <w:spacing w:line="328" w:lineRule="auto"/>
        <w:ind w:right="195" w:firstLine="472" w:firstLineChars="200"/>
        <w:rPr>
          <w:rFonts w:hint="default" w:ascii="仿宋" w:hAnsi="仿宋" w:eastAsia="仿宋" w:cs="仿宋"/>
          <w:color w:val="auto"/>
          <w:kern w:val="0"/>
          <w:sz w:val="24"/>
          <w:szCs w:val="24"/>
          <w:lang w:val="en-US" w:eastAsia="zh-CN" w:bidi="ar"/>
        </w:rPr>
      </w:pPr>
      <w:r>
        <w:rPr>
          <w:rFonts w:hint="eastAsia" w:cs="仿宋"/>
          <w:color w:val="auto"/>
          <w:spacing w:val="-2"/>
          <w:sz w:val="24"/>
          <w:szCs w:val="24"/>
          <w:lang w:val="en-US" w:eastAsia="zh-CN"/>
        </w:rPr>
        <w:t>3</w:t>
      </w:r>
      <w:r>
        <w:rPr>
          <w:rFonts w:hint="eastAsia" w:ascii="仿宋" w:hAnsi="仿宋" w:eastAsia="仿宋" w:cs="仿宋"/>
          <w:color w:val="auto"/>
          <w:spacing w:val="-2"/>
          <w:sz w:val="24"/>
          <w:szCs w:val="24"/>
          <w:lang w:val="en-US" w:eastAsia="zh-CN"/>
        </w:rPr>
        <w:t>.</w:t>
      </w:r>
      <w:r>
        <w:rPr>
          <w:rFonts w:hint="eastAsia" w:ascii="仿宋" w:hAnsi="仿宋" w:eastAsia="仿宋" w:cs="仿宋"/>
          <w:color w:val="auto"/>
          <w:kern w:val="0"/>
          <w:sz w:val="24"/>
          <w:szCs w:val="24"/>
          <w:lang w:val="en-US" w:eastAsia="zh-CN" w:bidi="ar"/>
        </w:rPr>
        <w:t xml:space="preserve"> 获取</w:t>
      </w:r>
      <w:r>
        <w:rPr>
          <w:rFonts w:hint="eastAsia" w:cs="仿宋"/>
          <w:color w:val="auto"/>
          <w:kern w:val="0"/>
          <w:sz w:val="24"/>
          <w:szCs w:val="24"/>
          <w:lang w:val="en-US" w:eastAsia="zh-CN" w:bidi="ar"/>
        </w:rPr>
        <w:t>招标</w:t>
      </w:r>
      <w:r>
        <w:rPr>
          <w:rFonts w:hint="eastAsia" w:ascii="仿宋" w:hAnsi="仿宋" w:eastAsia="仿宋" w:cs="仿宋"/>
          <w:color w:val="auto"/>
          <w:kern w:val="0"/>
          <w:sz w:val="24"/>
          <w:szCs w:val="24"/>
          <w:lang w:val="en-US" w:eastAsia="zh-CN" w:bidi="ar"/>
        </w:rPr>
        <w:t>文件的方式：</w:t>
      </w:r>
      <w:r>
        <w:rPr>
          <w:rFonts w:hint="eastAsia" w:cs="仿宋"/>
          <w:color w:val="auto"/>
          <w:kern w:val="0"/>
          <w:sz w:val="24"/>
          <w:szCs w:val="24"/>
          <w:lang w:val="en-US" w:eastAsia="zh-CN" w:bidi="ar"/>
        </w:rPr>
        <w:t>投标人可以登陆政采云平台（http://www.zcygov.con/）上自行下载招标文件，未注册的供应商可在政采云平台上完成注册后再进行报名，如在操作过程中遇到问题或需要技术支持，请致电政采云客服热线400-811-7190。</w:t>
      </w:r>
    </w:p>
    <w:p>
      <w:pPr>
        <w:spacing w:line="400" w:lineRule="exact"/>
        <w:ind w:firstLine="594" w:firstLineChars="300"/>
      </w:pPr>
      <w:r>
        <w:rPr>
          <w:color w:val="auto"/>
          <w:spacing w:val="-11"/>
        </w:rPr>
        <w:t>八、投标保证金 (人民币) ：</w:t>
      </w:r>
      <w:r>
        <w:rPr>
          <w:rFonts w:hint="eastAsia"/>
          <w:color w:val="auto"/>
          <w:spacing w:val="-11"/>
          <w:lang w:eastAsia="zh-CN"/>
        </w:rPr>
        <w:t>本项目不收取投标保证金</w:t>
      </w:r>
    </w:p>
    <w:p>
      <w:pPr>
        <w:pStyle w:val="7"/>
        <w:spacing w:line="304" w:lineRule="exact"/>
        <w:ind w:left="582"/>
      </w:pPr>
      <w:r>
        <w:rPr>
          <w:rFonts w:hint="eastAsia"/>
          <w:lang w:eastAsia="zh-CN"/>
        </w:rPr>
        <w:t>九</w:t>
      </w:r>
      <w:r>
        <w:t>、开标时间及地点：</w:t>
      </w:r>
    </w:p>
    <w:p>
      <w:pPr>
        <w:spacing w:line="360" w:lineRule="exact"/>
        <w:ind w:firstLine="440" w:firstLineChars="200"/>
        <w:jc w:val="left"/>
      </w:pPr>
      <w:r>
        <w:rPr>
          <w:rFonts w:hint="eastAsia" w:hAnsi="宋体"/>
          <w:color w:val="auto"/>
          <w:szCs w:val="21"/>
        </w:rPr>
        <w:t>投标人应于</w:t>
      </w:r>
      <w:r>
        <w:rPr>
          <w:rFonts w:hint="eastAsia" w:hAnsi="宋体"/>
          <w:color w:val="auto"/>
          <w:szCs w:val="21"/>
          <w:lang w:val="en-US" w:eastAsia="zh-CN"/>
        </w:rPr>
        <w:t>2020</w:t>
      </w:r>
      <w:r>
        <w:rPr>
          <w:rFonts w:hint="eastAsia" w:hAnsi="宋体"/>
          <w:color w:val="auto"/>
          <w:szCs w:val="21"/>
        </w:rPr>
        <w:t>年</w:t>
      </w:r>
      <w:r>
        <w:rPr>
          <w:rFonts w:hint="eastAsia" w:hAnsi="宋体"/>
          <w:color w:val="auto"/>
          <w:szCs w:val="21"/>
          <w:lang w:val="en-US" w:eastAsia="zh-CN"/>
        </w:rPr>
        <w:t>9</w:t>
      </w:r>
      <w:r>
        <w:rPr>
          <w:rFonts w:hint="eastAsia" w:hAnsi="宋体"/>
          <w:color w:val="auto"/>
          <w:szCs w:val="21"/>
        </w:rPr>
        <w:t>月</w:t>
      </w:r>
      <w:r>
        <w:rPr>
          <w:rFonts w:hint="eastAsia" w:hAnsi="宋体"/>
          <w:color w:val="auto"/>
          <w:szCs w:val="21"/>
          <w:lang w:val="en-US" w:eastAsia="zh-CN"/>
        </w:rPr>
        <w:t>4</w:t>
      </w:r>
      <w:r>
        <w:rPr>
          <w:rFonts w:hint="eastAsia" w:hAnsi="宋体"/>
          <w:color w:val="auto"/>
          <w:szCs w:val="21"/>
        </w:rPr>
        <w:t>日</w:t>
      </w:r>
      <w:r>
        <w:rPr>
          <w:rFonts w:hint="eastAsia" w:hAnsi="宋体"/>
          <w:color w:val="auto"/>
          <w:szCs w:val="21"/>
          <w:lang w:val="en-US" w:eastAsia="zh-CN"/>
        </w:rPr>
        <w:t>15</w:t>
      </w:r>
      <w:r>
        <w:rPr>
          <w:rFonts w:hint="eastAsia" w:hAnsi="宋体"/>
          <w:color w:val="auto"/>
          <w:szCs w:val="21"/>
        </w:rPr>
        <w:t>时</w:t>
      </w:r>
      <w:r>
        <w:rPr>
          <w:rFonts w:hint="eastAsia" w:hAnsi="宋体"/>
          <w:color w:val="auto"/>
          <w:szCs w:val="21"/>
          <w:lang w:val="en-US" w:eastAsia="zh-CN"/>
        </w:rPr>
        <w:t>30分</w:t>
      </w:r>
      <w:r>
        <w:rPr>
          <w:rFonts w:hint="eastAsia" w:hAnsi="宋体"/>
          <w:color w:val="auto"/>
          <w:spacing w:val="-2"/>
        </w:rPr>
        <w:t>整</w:t>
      </w:r>
      <w:r>
        <w:rPr>
          <w:rFonts w:hint="eastAsia" w:hAnsi="宋体"/>
          <w:color w:val="auto"/>
          <w:szCs w:val="21"/>
        </w:rPr>
        <w:t>止，</w:t>
      </w:r>
      <w:r>
        <w:rPr>
          <w:rFonts w:hint="eastAsia" w:hAnsi="宋体"/>
          <w:color w:val="000000"/>
          <w:szCs w:val="21"/>
        </w:rPr>
        <w:t>将投标文件密封提交到</w:t>
      </w:r>
      <w:r>
        <w:rPr>
          <w:rFonts w:hint="eastAsia" w:hAnsi="宋体"/>
          <w:color w:val="000000"/>
          <w:spacing w:val="-2"/>
          <w:szCs w:val="21"/>
        </w:rPr>
        <w:t>博白县公共资源交易中心(博白县博白镇锦绣东路，博白县政务服务中心六楼)开标室</w:t>
      </w:r>
      <w:r>
        <w:rPr>
          <w:rFonts w:hint="eastAsia" w:hAnsi="宋体"/>
          <w:color w:val="000000"/>
          <w:szCs w:val="21"/>
        </w:rPr>
        <w:t>，逾期送达的将予以拒收。</w:t>
      </w:r>
      <w:r>
        <w:rPr>
          <w:spacing w:val="-10"/>
        </w:rPr>
        <w:t>投标人必须派法定代表人或委托代理人出席开标会议(法定代表人须携带法定代表人完整有效的身份证明书原件（加盖公章</w:t>
      </w:r>
      <w:r>
        <w:rPr>
          <w:spacing w:val="-8"/>
        </w:rPr>
        <w:t>）、身份证原</w:t>
      </w:r>
      <w:r>
        <w:rPr>
          <w:spacing w:val="-10"/>
        </w:rPr>
        <w:t>件和复印件出席；委托代理人须携带完整有效的身份证原件和复印件、法定代表人授权委托书原件（加盖公章</w:t>
      </w:r>
      <w:r>
        <w:rPr>
          <w:spacing w:val="-8"/>
        </w:rPr>
        <w:t>）</w:t>
      </w:r>
      <w:r>
        <w:rPr>
          <w:spacing w:val="-10"/>
        </w:rPr>
        <w:t>，需加</w:t>
      </w:r>
      <w:r>
        <w:rPr>
          <w:spacing w:val="-9"/>
        </w:rPr>
        <w:t>盖投标人公章)。</w:t>
      </w:r>
    </w:p>
    <w:p>
      <w:pPr>
        <w:pStyle w:val="7"/>
        <w:spacing w:line="300" w:lineRule="exact"/>
        <w:ind w:left="582"/>
      </w:pPr>
      <w:r>
        <w:t>十、信息公告发布媒体：</w:t>
      </w:r>
    </w:p>
    <w:p>
      <w:pPr>
        <w:pStyle w:val="7"/>
        <w:spacing w:before="112" w:line="328" w:lineRule="auto"/>
        <w:ind w:left="582" w:right="425" w:hanging="480"/>
        <w:rPr>
          <w:spacing w:val="-10"/>
        </w:rPr>
      </w:pPr>
      <w:r>
        <w:rPr>
          <w:spacing w:val="-10"/>
        </w:rPr>
        <w:t>依法在广西壮族自治区政府采购网、中国政府采购网网上发布。</w:t>
      </w:r>
    </w:p>
    <w:p>
      <w:pPr>
        <w:pStyle w:val="7"/>
        <w:spacing w:before="112" w:line="328" w:lineRule="auto"/>
        <w:ind w:left="569" w:leftChars="242" w:right="425" w:hanging="37" w:hangingChars="17"/>
      </w:pPr>
      <w:r>
        <w:rPr>
          <w:spacing w:val="-9"/>
        </w:rPr>
        <w:t>十</w:t>
      </w:r>
      <w:r>
        <w:rPr>
          <w:rFonts w:hint="eastAsia"/>
          <w:spacing w:val="-9"/>
          <w:lang w:eastAsia="zh-CN"/>
        </w:rPr>
        <w:t>一</w:t>
      </w:r>
      <w:r>
        <w:rPr>
          <w:spacing w:val="-9"/>
        </w:rPr>
        <w:t>、联系事项：</w:t>
      </w:r>
    </w:p>
    <w:p>
      <w:pPr>
        <w:pStyle w:val="14"/>
        <w:numPr>
          <w:ilvl w:val="0"/>
          <w:numId w:val="4"/>
        </w:numPr>
        <w:tabs>
          <w:tab w:val="left" w:pos="339"/>
        </w:tabs>
        <w:spacing w:before="0" w:after="0" w:line="328" w:lineRule="auto"/>
        <w:ind w:left="546" w:right="5610" w:rightChars="0" w:hanging="444"/>
        <w:jc w:val="left"/>
        <w:rPr>
          <w:sz w:val="24"/>
        </w:rPr>
      </w:pPr>
      <w:r>
        <w:rPr>
          <w:rFonts w:hint="eastAsia"/>
          <w:spacing w:val="-11"/>
          <w:sz w:val="24"/>
          <w:lang w:val="en-US" w:eastAsia="zh-CN"/>
        </w:rPr>
        <w:t xml:space="preserve"> </w:t>
      </w:r>
      <w:r>
        <w:rPr>
          <w:spacing w:val="-11"/>
          <w:sz w:val="24"/>
        </w:rPr>
        <w:t>采购人名称：</w:t>
      </w:r>
      <w:r>
        <w:rPr>
          <w:rFonts w:hint="eastAsia"/>
          <w:spacing w:val="-11"/>
          <w:sz w:val="24"/>
          <w:lang w:eastAsia="zh-CN"/>
        </w:rPr>
        <w:t>博白县自然资源局</w:t>
      </w:r>
    </w:p>
    <w:p>
      <w:pPr>
        <w:pStyle w:val="14"/>
        <w:numPr>
          <w:ilvl w:val="0"/>
          <w:numId w:val="0"/>
        </w:numPr>
        <w:tabs>
          <w:tab w:val="left" w:pos="339"/>
        </w:tabs>
        <w:spacing w:before="0" w:after="0" w:line="328" w:lineRule="auto"/>
        <w:ind w:right="4730" w:rightChars="0" w:firstLine="440" w:firstLineChars="200"/>
        <w:jc w:val="left"/>
        <w:rPr>
          <w:rFonts w:hint="default" w:eastAsia="仿宋"/>
          <w:sz w:val="24"/>
          <w:lang w:val="en-US" w:eastAsia="zh-CN"/>
        </w:rPr>
      </w:pPr>
      <w:r>
        <w:rPr>
          <w:spacing w:val="-10"/>
          <w:sz w:val="24"/>
        </w:rPr>
        <w:t>地址：</w:t>
      </w:r>
      <w:r>
        <w:rPr>
          <w:rFonts w:hint="eastAsia"/>
          <w:spacing w:val="-10"/>
          <w:sz w:val="24"/>
          <w:lang w:eastAsia="zh-CN"/>
        </w:rPr>
        <w:t>博白县博白镇绿珠大道东路</w:t>
      </w:r>
      <w:r>
        <w:rPr>
          <w:rFonts w:hint="eastAsia"/>
          <w:spacing w:val="-10"/>
          <w:sz w:val="24"/>
          <w:lang w:val="en-US" w:eastAsia="zh-CN"/>
        </w:rPr>
        <w:t>036号</w:t>
      </w:r>
    </w:p>
    <w:p>
      <w:pPr>
        <w:pStyle w:val="7"/>
        <w:tabs>
          <w:tab w:val="left" w:pos="3068"/>
        </w:tabs>
        <w:spacing w:line="328" w:lineRule="auto"/>
        <w:ind w:left="102" w:right="5012" w:firstLine="333"/>
        <w:rPr>
          <w:rFonts w:hint="default"/>
          <w:spacing w:val="-9"/>
          <w:lang w:val="en-US"/>
        </w:rPr>
      </w:pPr>
      <w:r>
        <w:rPr>
          <w:spacing w:val="-10"/>
        </w:rPr>
        <w:t>项目</w:t>
      </w:r>
      <w:r>
        <w:rPr>
          <w:spacing w:val="-8"/>
        </w:rPr>
        <w:t>联</w:t>
      </w:r>
      <w:r>
        <w:rPr>
          <w:spacing w:val="-10"/>
        </w:rPr>
        <w:t>系人：</w:t>
      </w:r>
      <w:r>
        <w:rPr>
          <w:rFonts w:hint="eastAsia"/>
          <w:spacing w:val="-10"/>
          <w:lang w:eastAsia="zh-CN"/>
        </w:rPr>
        <w:t>吴文蔚</w:t>
      </w:r>
      <w:r>
        <w:rPr>
          <w:rFonts w:hint="eastAsia"/>
          <w:spacing w:val="-10"/>
          <w:lang w:val="en-US" w:eastAsia="zh-CN"/>
        </w:rPr>
        <w:t xml:space="preserve">  </w:t>
      </w:r>
      <w:r>
        <w:rPr>
          <w:spacing w:val="-10"/>
        </w:rPr>
        <w:t>电话：</w:t>
      </w:r>
      <w:r>
        <w:rPr>
          <w:rFonts w:hint="eastAsia"/>
          <w:spacing w:val="-10"/>
          <w:lang w:val="en-US" w:eastAsia="zh-CN"/>
        </w:rPr>
        <w:t>13669457737</w:t>
      </w:r>
    </w:p>
    <w:p>
      <w:pPr>
        <w:pStyle w:val="7"/>
        <w:tabs>
          <w:tab w:val="left" w:pos="3068"/>
        </w:tabs>
        <w:spacing w:line="328" w:lineRule="auto"/>
        <w:ind w:left="102" w:right="330" w:rightChars="0" w:firstLine="333"/>
        <w:rPr>
          <w:rFonts w:hint="eastAsia" w:eastAsia="仿宋"/>
          <w:lang w:eastAsia="zh-CN"/>
        </w:rPr>
      </w:pPr>
      <w:r>
        <w:rPr>
          <w:spacing w:val="-9"/>
        </w:rPr>
        <w:t>2.</w:t>
      </w:r>
      <w:r>
        <w:rPr>
          <w:spacing w:val="-10"/>
        </w:rPr>
        <w:t>招标</w:t>
      </w:r>
      <w:r>
        <w:rPr>
          <w:spacing w:val="-8"/>
        </w:rPr>
        <w:t>代</w:t>
      </w:r>
      <w:r>
        <w:rPr>
          <w:spacing w:val="-10"/>
        </w:rPr>
        <w:t>理机构</w:t>
      </w:r>
      <w:r>
        <w:rPr>
          <w:spacing w:val="-8"/>
        </w:rPr>
        <w:t>：</w:t>
      </w:r>
      <w:r>
        <w:rPr>
          <w:rFonts w:hint="eastAsia"/>
          <w:spacing w:val="-10"/>
          <w:lang w:eastAsia="zh-CN"/>
        </w:rPr>
        <w:t>广西中竟达建设工程咨询有限公司</w:t>
      </w:r>
    </w:p>
    <w:p>
      <w:pPr>
        <w:keepNext w:val="0"/>
        <w:keepLines w:val="0"/>
        <w:pageBreakBefore w:val="0"/>
        <w:widowControl w:val="0"/>
        <w:kinsoku/>
        <w:wordWrap/>
        <w:overflowPunct/>
        <w:topLinePunct w:val="0"/>
        <w:autoSpaceDE/>
        <w:autoSpaceDN/>
        <w:bidi w:val="0"/>
        <w:adjustRightInd/>
        <w:snapToGrid w:val="0"/>
        <w:spacing w:line="360" w:lineRule="auto"/>
        <w:ind w:firstLine="440" w:firstLineChars="200"/>
        <w:textAlignment w:val="auto"/>
      </w:pPr>
      <w:r>
        <w:t>地址：</w:t>
      </w:r>
      <w:r>
        <w:rPr>
          <w:rFonts w:hint="eastAsia" w:ascii="宋体" w:hAnsi="宋体" w:cs="宋体"/>
          <w:color w:val="auto"/>
          <w:lang w:eastAsia="zh-CN"/>
        </w:rPr>
        <w:t>博白县大转盘工商银行三楼</w:t>
      </w:r>
    </w:p>
    <w:p>
      <w:pPr>
        <w:pStyle w:val="7"/>
        <w:tabs>
          <w:tab w:val="left" w:pos="3068"/>
          <w:tab w:val="left" w:pos="5720"/>
        </w:tabs>
        <w:spacing w:before="108" w:line="328" w:lineRule="auto"/>
        <w:ind w:left="102" w:right="1210" w:rightChars="0" w:firstLine="444"/>
        <w:rPr>
          <w:rFonts w:hint="eastAsia"/>
          <w:spacing w:val="-9"/>
          <w:lang w:val="en-US" w:eastAsia="zh-CN"/>
        </w:rPr>
      </w:pPr>
      <w:r>
        <w:rPr>
          <w:spacing w:val="-10"/>
        </w:rPr>
        <w:t>项目</w:t>
      </w:r>
      <w:r>
        <w:rPr>
          <w:spacing w:val="-8"/>
        </w:rPr>
        <w:t>联</w:t>
      </w:r>
      <w:r>
        <w:rPr>
          <w:spacing w:val="-10"/>
        </w:rPr>
        <w:t>系人：</w:t>
      </w:r>
      <w:r>
        <w:rPr>
          <w:rFonts w:hint="eastAsia"/>
          <w:spacing w:val="-8"/>
          <w:lang w:eastAsia="zh-CN"/>
        </w:rPr>
        <w:t>冯工</w:t>
      </w:r>
      <w:r>
        <w:tab/>
      </w:r>
      <w:r>
        <w:rPr>
          <w:spacing w:val="-10"/>
        </w:rPr>
        <w:t>联系</w:t>
      </w:r>
      <w:r>
        <w:rPr>
          <w:spacing w:val="-8"/>
        </w:rPr>
        <w:t>电</w:t>
      </w:r>
      <w:r>
        <w:rPr>
          <w:spacing w:val="-10"/>
        </w:rPr>
        <w:t>话</w:t>
      </w:r>
      <w:r>
        <w:rPr>
          <w:spacing w:val="-9"/>
        </w:rPr>
        <w:t>：077</w:t>
      </w:r>
      <w:r>
        <w:rPr>
          <w:rFonts w:hint="eastAsia"/>
          <w:spacing w:val="-9"/>
          <w:lang w:val="en-US" w:eastAsia="zh-CN"/>
        </w:rPr>
        <w:t>5</w:t>
      </w:r>
      <w:r>
        <w:rPr>
          <w:spacing w:val="-9"/>
        </w:rPr>
        <w:t>-</w:t>
      </w:r>
      <w:r>
        <w:rPr>
          <w:rFonts w:hint="eastAsia"/>
          <w:spacing w:val="-9"/>
          <w:lang w:val="en-US" w:eastAsia="zh-CN"/>
        </w:rPr>
        <w:t>8669903</w:t>
      </w:r>
    </w:p>
    <w:p>
      <w:pPr>
        <w:pStyle w:val="7"/>
        <w:tabs>
          <w:tab w:val="left" w:pos="3068"/>
          <w:tab w:val="left" w:pos="5720"/>
        </w:tabs>
        <w:spacing w:before="108" w:line="328" w:lineRule="auto"/>
        <w:ind w:left="102" w:right="1210" w:rightChars="0" w:firstLine="444"/>
        <w:rPr>
          <w:rFonts w:hint="eastAsia" w:hAnsi="宋体"/>
          <w:color w:val="000000"/>
          <w:szCs w:val="21"/>
        </w:rPr>
      </w:pPr>
      <w:r>
        <w:rPr>
          <w:spacing w:val="-10"/>
        </w:rPr>
        <w:t>3、政</w:t>
      </w:r>
      <w:r>
        <w:rPr>
          <w:spacing w:val="-8"/>
        </w:rPr>
        <w:t>府</w:t>
      </w:r>
      <w:r>
        <w:rPr>
          <w:spacing w:val="-10"/>
        </w:rPr>
        <w:t>采购监</w:t>
      </w:r>
      <w:r>
        <w:rPr>
          <w:spacing w:val="-8"/>
        </w:rPr>
        <w:t>督</w:t>
      </w:r>
      <w:r>
        <w:rPr>
          <w:spacing w:val="-10"/>
        </w:rPr>
        <w:t>管理部</w:t>
      </w:r>
      <w:r>
        <w:rPr>
          <w:spacing w:val="-8"/>
        </w:rPr>
        <w:t>门</w:t>
      </w:r>
      <w:r>
        <w:t>：</w:t>
      </w:r>
    </w:p>
    <w:p>
      <w:pPr>
        <w:spacing w:line="360" w:lineRule="exact"/>
        <w:ind w:firstLine="440" w:firstLineChars="200"/>
        <w:jc w:val="left"/>
      </w:pPr>
      <w:r>
        <w:rPr>
          <w:rFonts w:hint="eastAsia" w:hAnsi="宋体"/>
          <w:color w:val="000000"/>
          <w:szCs w:val="21"/>
        </w:rPr>
        <w:t>博白县政府采购监督管理办公室</w:t>
      </w:r>
      <w:r>
        <w:t>；联系电话：</w:t>
      </w:r>
      <w:r>
        <w:rPr>
          <w:rFonts w:hint="eastAsia" w:hAnsi="宋体"/>
          <w:color w:val="000000"/>
          <w:szCs w:val="21"/>
        </w:rPr>
        <w:t xml:space="preserve">0775-8331612  </w:t>
      </w:r>
    </w:p>
    <w:p>
      <w:pPr>
        <w:pStyle w:val="7"/>
        <w:spacing w:before="112"/>
        <w:ind w:left="6092"/>
      </w:pPr>
    </w:p>
    <w:p>
      <w:pPr>
        <w:pStyle w:val="7"/>
        <w:spacing w:before="112"/>
        <w:ind w:left="6092"/>
      </w:pPr>
    </w:p>
    <w:p>
      <w:pPr>
        <w:pStyle w:val="7"/>
        <w:spacing w:before="112"/>
        <w:ind w:left="6092"/>
      </w:pPr>
    </w:p>
    <w:p>
      <w:pPr>
        <w:spacing w:after="0"/>
        <w:jc w:val="right"/>
      </w:pPr>
    </w:p>
    <w:p>
      <w:pPr>
        <w:pStyle w:val="2"/>
        <w:rPr>
          <w:rFonts w:hint="eastAsia" w:ascii="仿宋" w:hAnsi="仿宋" w:eastAsia="仿宋" w:cs="仿宋"/>
          <w:lang w:val="en-US" w:eastAsia="zh-CN"/>
        </w:rPr>
      </w:pPr>
      <w:r>
        <w:rPr>
          <w:rFonts w:hint="eastAsia"/>
          <w:lang w:val="en-US" w:eastAsia="zh-CN"/>
        </w:rPr>
        <w:t xml:space="preserve">                                       </w:t>
      </w:r>
      <w:r>
        <w:rPr>
          <w:rFonts w:hint="eastAsia" w:ascii="仿宋" w:hAnsi="仿宋" w:eastAsia="仿宋" w:cs="仿宋"/>
          <w:lang w:val="en-US" w:eastAsia="zh-CN"/>
        </w:rPr>
        <w:t>广西中竟达建设工程咨询有限公司</w:t>
      </w:r>
    </w:p>
    <w:p>
      <w:pPr>
        <w:pStyle w:val="7"/>
        <w:spacing w:before="6"/>
        <w:rPr>
          <w:sz w:val="16"/>
        </w:rPr>
      </w:pPr>
    </w:p>
    <w:p>
      <w:pPr>
        <w:pStyle w:val="4"/>
        <w:rPr>
          <w:rFonts w:hint="eastAsia" w:ascii="仿宋" w:hAnsi="仿宋" w:eastAsia="仿宋" w:cs="仿宋"/>
          <w:b w:val="0"/>
          <w:bCs w:val="0"/>
          <w:color w:val="auto"/>
          <w:sz w:val="24"/>
          <w:szCs w:val="24"/>
          <w:lang w:val="en-US" w:eastAsia="zh-CN"/>
        </w:rPr>
      </w:pPr>
      <w:r>
        <w:rPr>
          <w:rFonts w:hint="eastAsia" w:cs="仿宋"/>
          <w:b w:val="0"/>
          <w:bCs w:val="0"/>
          <w:lang w:val="en-US" w:eastAsia="zh-CN"/>
        </w:rPr>
        <w:t xml:space="preserve">                </w:t>
      </w:r>
      <w:r>
        <w:rPr>
          <w:rFonts w:hint="eastAsia" w:cs="仿宋"/>
          <w:b w:val="0"/>
          <w:bCs w:val="0"/>
          <w:sz w:val="24"/>
          <w:szCs w:val="24"/>
          <w:lang w:val="en-US" w:eastAsia="zh-CN"/>
        </w:rPr>
        <w:t xml:space="preserve"> </w:t>
      </w:r>
      <w:r>
        <w:rPr>
          <w:rFonts w:hint="eastAsia" w:cs="仿宋"/>
          <w:b w:val="0"/>
          <w:bCs w:val="0"/>
          <w:color w:val="auto"/>
          <w:sz w:val="24"/>
          <w:szCs w:val="24"/>
          <w:lang w:val="en-US" w:eastAsia="zh-CN"/>
        </w:rPr>
        <w:t>2020</w:t>
      </w:r>
      <w:r>
        <w:rPr>
          <w:rFonts w:hint="eastAsia" w:ascii="仿宋" w:hAnsi="仿宋" w:eastAsia="仿宋" w:cs="仿宋"/>
          <w:b w:val="0"/>
          <w:bCs w:val="0"/>
          <w:color w:val="auto"/>
          <w:sz w:val="24"/>
          <w:szCs w:val="24"/>
          <w:lang w:val="en-US" w:eastAsia="zh-CN"/>
        </w:rPr>
        <w:t>年</w:t>
      </w:r>
      <w:r>
        <w:rPr>
          <w:rFonts w:hint="eastAsia" w:cs="仿宋"/>
          <w:b w:val="0"/>
          <w:bCs w:val="0"/>
          <w:color w:val="auto"/>
          <w:sz w:val="24"/>
          <w:szCs w:val="24"/>
          <w:lang w:val="en-US" w:eastAsia="zh-CN"/>
        </w:rPr>
        <w:t>8</w:t>
      </w:r>
      <w:r>
        <w:rPr>
          <w:rFonts w:hint="eastAsia" w:ascii="仿宋" w:hAnsi="仿宋" w:eastAsia="仿宋" w:cs="仿宋"/>
          <w:b w:val="0"/>
          <w:bCs w:val="0"/>
          <w:color w:val="auto"/>
          <w:sz w:val="24"/>
          <w:szCs w:val="24"/>
          <w:lang w:val="en-US" w:eastAsia="zh-CN"/>
        </w:rPr>
        <w:t>月</w:t>
      </w:r>
      <w:r>
        <w:rPr>
          <w:rFonts w:hint="eastAsia" w:cs="仿宋"/>
          <w:b w:val="0"/>
          <w:bCs w:val="0"/>
          <w:color w:val="auto"/>
          <w:sz w:val="24"/>
          <w:szCs w:val="24"/>
          <w:lang w:val="en-US" w:eastAsia="zh-CN"/>
        </w:rPr>
        <w:t>13</w:t>
      </w:r>
      <w:r>
        <w:rPr>
          <w:rFonts w:hint="eastAsia" w:ascii="仿宋" w:hAnsi="仿宋" w:eastAsia="仿宋" w:cs="仿宋"/>
          <w:b w:val="0"/>
          <w:bCs w:val="0"/>
          <w:color w:val="auto"/>
          <w:sz w:val="24"/>
          <w:szCs w:val="24"/>
          <w:lang w:val="en-US" w:eastAsia="zh-CN"/>
        </w:rPr>
        <w:t>日</w:t>
      </w:r>
    </w:p>
    <w:p>
      <w:pPr>
        <w:pStyle w:val="4"/>
      </w:pPr>
    </w:p>
    <w:p>
      <w:pPr>
        <w:pStyle w:val="4"/>
        <w:ind w:left="0" w:leftChars="0" w:firstLine="0" w:firstLineChars="0"/>
        <w:jc w:val="both"/>
      </w:pPr>
    </w:p>
    <w:p>
      <w:pPr>
        <w:pStyle w:val="4"/>
      </w:pPr>
      <w:r>
        <w:t>第二章 招标项目采购需求</w:t>
      </w:r>
    </w:p>
    <w:p>
      <w:pPr>
        <w:spacing w:after="0"/>
        <w:rPr>
          <w:color w:val="FF0000"/>
        </w:rPr>
      </w:pPr>
    </w:p>
    <w:p>
      <w:pPr>
        <w:pStyle w:val="7"/>
        <w:spacing w:before="3"/>
        <w:rPr>
          <w:b/>
          <w:sz w:val="15"/>
        </w:rPr>
      </w:pPr>
    </w:p>
    <w:p>
      <w:pPr>
        <w:ind w:firstLine="480" w:firstLineChars="200"/>
        <w:rPr>
          <w:rFonts w:hint="default"/>
          <w:sz w:val="24"/>
          <w:szCs w:val="24"/>
          <w:lang w:val="en-US" w:eastAsia="zh-CN"/>
        </w:rPr>
      </w:pPr>
      <w:r>
        <w:rPr>
          <w:rFonts w:hint="eastAsia"/>
          <w:sz w:val="24"/>
          <w:szCs w:val="24"/>
          <w:lang w:eastAsia="zh-CN"/>
        </w:rPr>
        <w:t>为深入贯彻党的十九大、十九届二中、三中全会精神和习近平新时代中国特色社会主义思想，全面推进广西生态文明建设，夯实森林资源管理基础，加强森林资源保护管理，加大对破坏森林资源违法行为的打击力度，根据国家林业和草原局</w:t>
      </w:r>
      <w:r>
        <w:rPr>
          <w:rFonts w:hint="eastAsia"/>
          <w:sz w:val="24"/>
          <w:szCs w:val="24"/>
          <w:lang w:val="en-US" w:eastAsia="zh-CN"/>
        </w:rPr>
        <w:t>2020年-2021年森林督查暨森林资源管理“一张图”年度更新工作部署，结合广西森林资源管理实际，决定在全区统筹开展广西2020年森林督查、森林资源管理“一张图”年度更新、生态公益林和天然商品林监测等工作，现将有关事项通知如下：</w:t>
      </w:r>
    </w:p>
    <w:p>
      <w:pPr>
        <w:numPr>
          <w:ilvl w:val="0"/>
          <w:numId w:val="5"/>
        </w:numPr>
        <w:rPr>
          <w:rFonts w:hint="eastAsia"/>
          <w:b/>
          <w:bCs/>
          <w:sz w:val="24"/>
          <w:szCs w:val="24"/>
          <w:lang w:eastAsia="zh-CN"/>
        </w:rPr>
      </w:pPr>
      <w:r>
        <w:rPr>
          <w:rFonts w:hint="eastAsia"/>
          <w:b/>
          <w:bCs/>
          <w:sz w:val="24"/>
          <w:szCs w:val="24"/>
          <w:lang w:eastAsia="zh-CN"/>
        </w:rPr>
        <w:t>高度重视，充分认识森林督查和“一张图”年度更新的重要性</w:t>
      </w:r>
    </w:p>
    <w:p>
      <w:pPr>
        <w:numPr>
          <w:ilvl w:val="0"/>
          <w:numId w:val="0"/>
        </w:numPr>
        <w:ind w:firstLine="420"/>
        <w:rPr>
          <w:rFonts w:hint="eastAsia"/>
          <w:sz w:val="24"/>
          <w:szCs w:val="24"/>
          <w:lang w:val="en-US" w:eastAsia="zh-CN"/>
        </w:rPr>
      </w:pPr>
      <w:r>
        <w:rPr>
          <w:rFonts w:hint="eastAsia"/>
          <w:sz w:val="24"/>
          <w:szCs w:val="24"/>
          <w:lang w:val="en-US" w:eastAsia="zh-CN"/>
        </w:rPr>
        <w:t>森林督查工作是贯彻落实习近平总书记等中央领导同志对林业草原建设工作的重要批示指示精神重要举措，是推进广西生态文明建设，维护广西生态优势的重要抓手。当前，广西经济正快速发展，林地资源需求与保护的矛盾也日益突出，违法使用林地现象屡禁不止。部分地区森林资源管理基础薄弱，管理不到位，无证或超证采伐较严重。公益林和天然商品林补助标准低，保护压力持续加大。各级林业主管部门对此高度重视，认真学习领会习近平生态文明思想，牢固树立绿水青山就是金山银山的发展理念，通过森林督查，发现和查处破坏森林资源违法行为，不断提升森林资源保护管理水平，切实担负起保护民展森林资源的重大职责，为推进全区森林资源持续增长、生态环境稳步向好，持续巩固和擦亮广西“山清水秀生态美”的金字招牌提供有力支持。</w:t>
      </w:r>
    </w:p>
    <w:p>
      <w:pPr>
        <w:numPr>
          <w:ilvl w:val="0"/>
          <w:numId w:val="0"/>
        </w:numPr>
        <w:ind w:firstLine="420"/>
        <w:rPr>
          <w:rFonts w:hint="eastAsia"/>
          <w:sz w:val="24"/>
          <w:szCs w:val="24"/>
          <w:lang w:val="en-US" w:eastAsia="zh-CN"/>
        </w:rPr>
      </w:pPr>
      <w:r>
        <w:rPr>
          <w:rFonts w:hint="eastAsia"/>
          <w:sz w:val="24"/>
          <w:szCs w:val="24"/>
          <w:lang w:val="en-US" w:eastAsia="zh-CN"/>
        </w:rPr>
        <w:t>2020年，国家林业和草原局将原森林资源及林地变更调查工作升级为森林资源管理“一张图”年度更新工作，各地务必要高度重视，充分认识此项工作的重要性，全面整合现有森林资源二类调查、林地一张图、自治区级以上公益和天然商品林落界等成果、严格按照《2020年-2020年广西森林督查垦森林资源管理“一张图”年度更新实施方案》和《2020年广西森林督查垦森林资源管理“一张图”年度更新操作细作》规定，抓好落实，确实工作进度和工作质量，为全区森林资源保护管理奠定坚实基础。</w:t>
      </w:r>
    </w:p>
    <w:p>
      <w:pPr>
        <w:numPr>
          <w:ilvl w:val="0"/>
          <w:numId w:val="5"/>
        </w:numPr>
        <w:ind w:left="0" w:leftChars="0" w:firstLine="0" w:firstLineChars="0"/>
        <w:rPr>
          <w:rFonts w:hint="eastAsia"/>
          <w:b/>
          <w:bCs/>
          <w:sz w:val="24"/>
          <w:szCs w:val="24"/>
          <w:lang w:val="en-US" w:eastAsia="zh-CN"/>
        </w:rPr>
      </w:pPr>
      <w:r>
        <w:rPr>
          <w:rFonts w:hint="eastAsia"/>
          <w:b/>
          <w:bCs/>
          <w:sz w:val="24"/>
          <w:szCs w:val="24"/>
          <w:lang w:val="en-US" w:eastAsia="zh-CN"/>
        </w:rPr>
        <w:t>强化措施，确保按时完成核实工作</w:t>
      </w:r>
    </w:p>
    <w:p>
      <w:pPr>
        <w:numPr>
          <w:ilvl w:val="0"/>
          <w:numId w:val="6"/>
        </w:numPr>
        <w:ind w:leftChars="0"/>
        <w:rPr>
          <w:rFonts w:hint="eastAsia"/>
          <w:sz w:val="24"/>
          <w:szCs w:val="24"/>
          <w:lang w:val="en-US" w:eastAsia="zh-CN"/>
        </w:rPr>
      </w:pPr>
      <w:r>
        <w:rPr>
          <w:rFonts w:hint="eastAsia"/>
          <w:sz w:val="24"/>
          <w:szCs w:val="24"/>
          <w:lang w:val="en-US" w:eastAsia="zh-CN"/>
        </w:rPr>
        <w:t>强化协调，统筹推进</w:t>
      </w:r>
    </w:p>
    <w:p>
      <w:pPr>
        <w:numPr>
          <w:ilvl w:val="0"/>
          <w:numId w:val="0"/>
        </w:numPr>
        <w:rPr>
          <w:rFonts w:hint="eastAsia"/>
          <w:sz w:val="24"/>
          <w:szCs w:val="24"/>
          <w:lang w:val="en-US" w:eastAsia="zh-CN"/>
        </w:rPr>
      </w:pPr>
      <w:r>
        <w:rPr>
          <w:rFonts w:hint="eastAsia"/>
          <w:sz w:val="24"/>
          <w:szCs w:val="24"/>
          <w:lang w:val="en-US" w:eastAsia="zh-CN"/>
        </w:rPr>
        <w:t xml:space="preserve">  根据国家林业和草原局工作部署，森林督查和森林资源管理“一张图”年度更新工作共用一套遥感数据、一次判读区划、一次核实验证、一次现地复核，协调开展，同步推进，提高效率、减轻负担，实现国家、自治区、市、县森林资源一张图、一套数、一个体系监测、一个平台管理的目标要求，从根本上解决业务管理与基础数据之间相互脱节问题，为行政管理、执法提供精准依据。我区按照要求，统筹推进森林督查、森林资源管理“一张图”年度更新、生态公益林和天然商品林保护管理等工作，各级林业主管部门要制定工作方案，统一组织安排，建立各业务管理部门（森林资源管理，公益林和天然林保护管理，国有林场、自然保护区、森林公园、湿地公园）之间的协调配合机制，统筹推进，确保各项基础数据的准确、完整、统一。</w:t>
      </w:r>
    </w:p>
    <w:p>
      <w:pPr>
        <w:numPr>
          <w:ilvl w:val="0"/>
          <w:numId w:val="0"/>
        </w:numPr>
        <w:rPr>
          <w:rFonts w:hint="eastAsia" w:asciiTheme="minorHAnsi" w:hAnsiTheme="minorHAnsi" w:eastAsiaTheme="minorEastAsia" w:cstheme="minorBidi"/>
          <w:kern w:val="2"/>
          <w:sz w:val="24"/>
          <w:szCs w:val="24"/>
          <w:lang w:val="en-US" w:eastAsia="zh-CN" w:bidi="ar-SA"/>
        </w:rPr>
      </w:pPr>
      <w:r>
        <w:rPr>
          <w:rFonts w:hint="eastAsia"/>
          <w:sz w:val="24"/>
          <w:szCs w:val="24"/>
          <w:lang w:val="en-US" w:eastAsia="zh-CN"/>
        </w:rPr>
        <w:t xml:space="preserve">     此外，2019年是全区森林资源管理工作筑牢基础、改革创新的一年，任务十分艰巨，特别是全区森林资源规划设计调查工作，森林经营方案编制、采伐限额编制等工作十分重要，各地和单位务必做好森林督查、森林资源管理“一张图”年度更新工作与其他各项工作的统筹协调工作，同步推进、同步核实、同步完成，避免重复调查核实。各县林业主管部门要严格对照全区森林督查暨森林资源管理“一张图”年度更新实施方案明确的时间步骤要求，按时上报成果。</w:t>
      </w:r>
    </w:p>
    <w:p>
      <w:pPr>
        <w:numPr>
          <w:ilvl w:val="0"/>
          <w:numId w:val="7"/>
        </w:numPr>
        <w:rPr>
          <w:rFonts w:hint="eastAsia"/>
          <w:sz w:val="24"/>
          <w:szCs w:val="24"/>
          <w:lang w:eastAsia="zh-CN"/>
        </w:rPr>
      </w:pPr>
      <w:r>
        <w:rPr>
          <w:rFonts w:hint="eastAsia"/>
          <w:sz w:val="24"/>
          <w:szCs w:val="24"/>
          <w:lang w:eastAsia="zh-CN"/>
        </w:rPr>
        <w:t>强化领导，明确责任</w:t>
      </w:r>
    </w:p>
    <w:p>
      <w:pPr>
        <w:numPr>
          <w:ilvl w:val="0"/>
          <w:numId w:val="0"/>
        </w:numPr>
        <w:rPr>
          <w:rFonts w:hint="eastAsia"/>
          <w:sz w:val="24"/>
          <w:szCs w:val="24"/>
          <w:lang w:val="en-US" w:eastAsia="zh-CN"/>
        </w:rPr>
      </w:pPr>
      <w:r>
        <w:rPr>
          <w:rFonts w:hint="eastAsia"/>
          <w:sz w:val="24"/>
          <w:szCs w:val="24"/>
          <w:lang w:val="en-US" w:eastAsia="zh-CN"/>
        </w:rPr>
        <w:t xml:space="preserve">     自治区林业局负责森林督查和森林资源管理“一张图”年度更新的组织领导和协调工作；广西林业设计院负责技术培训、技术指导、数据汇总等工作；广西森林资源监测中心负责自治区级抽查恒丰质量检查工作；各市县林业主管部门要按照《2020年-2020年广西森林督查暨森林资源管理“一张图”年度更新实施方案》要求落实好责任，层层落实，统筹协调，上下联动，高效推进各项工作.</w:t>
      </w:r>
    </w:p>
    <w:p>
      <w:pPr>
        <w:numPr>
          <w:ilvl w:val="0"/>
          <w:numId w:val="7"/>
        </w:numPr>
        <w:ind w:left="0" w:leftChars="0" w:firstLine="0" w:firstLineChars="0"/>
        <w:rPr>
          <w:rFonts w:hint="eastAsia"/>
          <w:sz w:val="24"/>
          <w:szCs w:val="24"/>
          <w:lang w:val="en-US" w:eastAsia="zh-CN"/>
        </w:rPr>
      </w:pPr>
      <w:r>
        <w:rPr>
          <w:rFonts w:hint="eastAsia"/>
          <w:sz w:val="24"/>
          <w:szCs w:val="24"/>
          <w:lang w:val="en-US" w:eastAsia="zh-CN"/>
        </w:rPr>
        <w:t>准确把握重点，确保成果质量</w:t>
      </w:r>
    </w:p>
    <w:p>
      <w:pPr>
        <w:widowControl w:val="0"/>
        <w:numPr>
          <w:ilvl w:val="0"/>
          <w:numId w:val="0"/>
        </w:numPr>
        <w:ind w:firstLine="420"/>
        <w:jc w:val="both"/>
        <w:rPr>
          <w:rFonts w:hint="eastAsia"/>
          <w:sz w:val="24"/>
          <w:szCs w:val="24"/>
          <w:lang w:val="en-US" w:eastAsia="zh-CN"/>
        </w:rPr>
      </w:pPr>
      <w:r>
        <w:rPr>
          <w:rFonts w:hint="eastAsia"/>
          <w:sz w:val="24"/>
          <w:szCs w:val="24"/>
          <w:lang w:val="en-US" w:eastAsia="zh-CN"/>
        </w:rPr>
        <w:t>县级林业主管部门要严格按照实施方案和操作细节，不折不扣的落实好森林督查和森林资源管理“一张图”年度更新的工作要求，积极开展现地核实，及时更新资源档案，既要如实反映出森林资源管理的实际情况，也要严肃查处、全面整改森林资源保护中存在的主要问题，广西森林生态监测中心要做好自治区级抽查复核工作，组织开展自治区级检查工作，严把质量关；广西林业设计院要加大对地方林业主管部门的培训和指导力度，做好事前指导、事中检查、事后验收，确保成果质量。</w:t>
      </w:r>
    </w:p>
    <w:p>
      <w:pPr>
        <w:widowControl w:val="0"/>
        <w:numPr>
          <w:ilvl w:val="0"/>
          <w:numId w:val="7"/>
        </w:numPr>
        <w:ind w:left="0" w:leftChars="0" w:firstLine="0" w:firstLineChars="0"/>
        <w:jc w:val="both"/>
        <w:rPr>
          <w:rFonts w:hint="eastAsia"/>
          <w:sz w:val="24"/>
          <w:szCs w:val="24"/>
          <w:lang w:val="en-US" w:eastAsia="zh-CN"/>
        </w:rPr>
      </w:pPr>
      <w:r>
        <w:rPr>
          <w:rFonts w:hint="eastAsia"/>
          <w:sz w:val="24"/>
          <w:szCs w:val="24"/>
          <w:lang w:val="en-US" w:eastAsia="zh-CN"/>
        </w:rPr>
        <w:t>强化经费保障，严格资金管理</w:t>
      </w:r>
    </w:p>
    <w:p>
      <w:pPr>
        <w:widowControl w:val="0"/>
        <w:numPr>
          <w:ilvl w:val="0"/>
          <w:numId w:val="0"/>
        </w:numPr>
        <w:ind w:firstLine="420"/>
        <w:jc w:val="both"/>
        <w:rPr>
          <w:rFonts w:hint="eastAsia"/>
          <w:sz w:val="24"/>
          <w:szCs w:val="24"/>
          <w:lang w:val="en-US" w:eastAsia="zh-CN"/>
        </w:rPr>
      </w:pPr>
      <w:r>
        <w:rPr>
          <w:rFonts w:hint="eastAsia"/>
          <w:sz w:val="24"/>
          <w:szCs w:val="24"/>
          <w:lang w:val="en-US" w:eastAsia="zh-CN"/>
        </w:rPr>
        <w:t>按照国家林业和草原局工作要求，森林督查和森林资源管理“一张图”年度更新经费按照事权支出，各县林业主管部门要做好年度财政预算工作，将此项工作经费纳入本级政府财政预算，各调查单位要根据本单位技术人员情况自行组织技术力量或委托技术单位完成现地核实和年度更新工作，调查经费严格实行“专款专用”，用于购置仪器设备、外业调查劳保物品、外业调查补助、成果编制等开支。</w:t>
      </w:r>
    </w:p>
    <w:p>
      <w:pPr>
        <w:widowControl w:val="0"/>
        <w:numPr>
          <w:ilvl w:val="0"/>
          <w:numId w:val="7"/>
        </w:numPr>
        <w:ind w:left="0" w:leftChars="0" w:firstLine="0" w:firstLineChars="0"/>
        <w:jc w:val="both"/>
        <w:rPr>
          <w:rFonts w:hint="eastAsia"/>
          <w:sz w:val="24"/>
          <w:szCs w:val="24"/>
          <w:lang w:val="en-US" w:eastAsia="zh-CN"/>
        </w:rPr>
      </w:pPr>
      <w:r>
        <w:rPr>
          <w:rFonts w:hint="eastAsia"/>
          <w:sz w:val="24"/>
          <w:szCs w:val="24"/>
          <w:lang w:val="en-US" w:eastAsia="zh-CN"/>
        </w:rPr>
        <w:t>强化日常管理，及时更新数据</w:t>
      </w:r>
    </w:p>
    <w:p>
      <w:pPr>
        <w:widowControl w:val="0"/>
        <w:numPr>
          <w:ilvl w:val="0"/>
          <w:numId w:val="0"/>
        </w:numPr>
        <w:jc w:val="both"/>
        <w:rPr>
          <w:rFonts w:hint="eastAsia"/>
          <w:sz w:val="24"/>
          <w:szCs w:val="24"/>
          <w:lang w:val="en-US" w:eastAsia="zh-CN"/>
        </w:rPr>
      </w:pPr>
      <w:r>
        <w:rPr>
          <w:rFonts w:hint="eastAsia"/>
          <w:sz w:val="24"/>
          <w:szCs w:val="24"/>
          <w:lang w:val="en-US" w:eastAsia="zh-CN"/>
        </w:rPr>
        <w:t xml:space="preserve">     各县（市、区）林业主管部门要建立辖区内各林业调查设计单位日常调查设计成果更新森林资源管理“一张图”的管理办法，积极引导辖区内各林业调查设计单位参与森林督查和森林资源管理“一张图”年度更新工作；建立各林业调查设计单位的林地变更调查成果应用备案制，确保森林资源管理“一张图”成果推广应用。</w:t>
      </w:r>
    </w:p>
    <w:p>
      <w:pPr>
        <w:widowControl w:val="0"/>
        <w:numPr>
          <w:ilvl w:val="0"/>
          <w:numId w:val="7"/>
        </w:numPr>
        <w:ind w:left="0" w:leftChars="0" w:firstLine="0" w:firstLineChars="0"/>
        <w:jc w:val="both"/>
        <w:rPr>
          <w:rFonts w:hint="eastAsia"/>
          <w:sz w:val="24"/>
          <w:szCs w:val="24"/>
          <w:lang w:val="en-US" w:eastAsia="zh-CN"/>
        </w:rPr>
      </w:pPr>
      <w:r>
        <w:rPr>
          <w:rFonts w:hint="eastAsia"/>
          <w:sz w:val="24"/>
          <w:szCs w:val="24"/>
          <w:lang w:val="en-US" w:eastAsia="zh-CN"/>
        </w:rPr>
        <w:t>严格数据管理，确保数据安全</w:t>
      </w:r>
    </w:p>
    <w:p>
      <w:pPr>
        <w:widowControl w:val="0"/>
        <w:numPr>
          <w:ilvl w:val="0"/>
          <w:numId w:val="0"/>
        </w:numPr>
        <w:ind w:firstLine="420"/>
        <w:jc w:val="both"/>
        <w:rPr>
          <w:rFonts w:hint="eastAsia"/>
          <w:sz w:val="24"/>
          <w:szCs w:val="24"/>
          <w:lang w:val="en-US" w:eastAsia="zh-CN"/>
        </w:rPr>
      </w:pPr>
      <w:r>
        <w:rPr>
          <w:rFonts w:hint="eastAsia"/>
          <w:sz w:val="24"/>
          <w:szCs w:val="24"/>
          <w:lang w:val="en-US" w:eastAsia="zh-CN"/>
        </w:rPr>
        <w:t>各级林业主管部门和有关单位要提高数据保密意识，按照相关数据保密规定认真做好基础数据和成果数据的安全保密工作，在调查成果正式公布以前，任何单位和个人不得外传、公布、翻印或引用、网上传输基础数据、中间成果数据和成果数据。自治区林业局将对各地工作进度和质量进行通报。</w:t>
      </w:r>
    </w:p>
    <w:p>
      <w:pPr>
        <w:widowControl w:val="0"/>
        <w:numPr>
          <w:ilvl w:val="0"/>
          <w:numId w:val="8"/>
        </w:numPr>
        <w:ind w:firstLine="420"/>
        <w:jc w:val="both"/>
        <w:rPr>
          <w:rFonts w:hint="eastAsia"/>
          <w:b/>
          <w:bCs/>
          <w:sz w:val="24"/>
          <w:szCs w:val="24"/>
          <w:lang w:val="en-US" w:eastAsia="zh-CN"/>
        </w:rPr>
      </w:pPr>
      <w:r>
        <w:rPr>
          <w:rFonts w:hint="eastAsia"/>
          <w:b/>
          <w:bCs/>
          <w:sz w:val="24"/>
          <w:szCs w:val="24"/>
          <w:lang w:val="en-US" w:eastAsia="zh-CN"/>
        </w:rPr>
        <w:t>森林督查整改工作要求</w:t>
      </w:r>
    </w:p>
    <w:p>
      <w:pPr>
        <w:widowControl w:val="0"/>
        <w:numPr>
          <w:ilvl w:val="0"/>
          <w:numId w:val="0"/>
        </w:numPr>
        <w:jc w:val="both"/>
        <w:rPr>
          <w:rFonts w:hint="eastAsia"/>
          <w:b w:val="0"/>
          <w:bCs w:val="0"/>
          <w:sz w:val="24"/>
          <w:szCs w:val="24"/>
          <w:lang w:val="en-US" w:eastAsia="zh-CN"/>
        </w:rPr>
      </w:pPr>
      <w:r>
        <w:rPr>
          <w:rFonts w:hint="eastAsia"/>
          <w:b/>
          <w:bCs/>
          <w:sz w:val="24"/>
          <w:szCs w:val="24"/>
          <w:lang w:val="en-US" w:eastAsia="zh-CN"/>
        </w:rPr>
        <w:t xml:space="preserve">    </w:t>
      </w:r>
      <w:r>
        <w:rPr>
          <w:rFonts w:hint="eastAsia"/>
          <w:b w:val="0"/>
          <w:bCs w:val="0"/>
          <w:sz w:val="24"/>
          <w:szCs w:val="24"/>
          <w:lang w:val="en-US" w:eastAsia="zh-CN"/>
        </w:rPr>
        <w:t xml:space="preserve">  在森林督查和森林资源管理一张图年度更新工作中，对发现违法破坏森林资源问题，以及擅自违法变更森林资源管理一张图，逃避使用林地、采伐林木审核审批或隐瞒违法行为的，必须依法处理。各地要采取有力措施，加大对破坏森林资源行为的依法处置和督办问题整改力度。建立案件销号制度，将违法问题线索登记入库，逐一查结销号，我局将通报各地查处整改结果和典型案例，督促案件查处有结果、有成效，对问题落实整改不力的县、区，将进行区域限批、行政约谈。依法依纪严肃追究造成森林资源破坏的直接责任人员的责任，对问题严重的，要按照《党政领导干部生态环境损害责任追究办法（试行）》的有关规定，追究有关负责同志的责任。要建立健全森林资源保护管理长效机制，切实落实好地方政府保护发展森林资源目标责任制，进一步加强森林资源保护管理工作。各地对森林督查中发现重大问题，要依法查处并及时上报局林政处。</w:t>
      </w:r>
    </w:p>
    <w:p>
      <w:pPr>
        <w:widowControl w:val="0"/>
        <w:numPr>
          <w:ilvl w:val="0"/>
          <w:numId w:val="8"/>
        </w:numPr>
        <w:ind w:left="0" w:leftChars="0" w:firstLine="420" w:firstLineChars="0"/>
        <w:jc w:val="both"/>
        <w:rPr>
          <w:rFonts w:hint="eastAsia"/>
          <w:b/>
          <w:bCs/>
          <w:sz w:val="24"/>
          <w:szCs w:val="24"/>
          <w:lang w:val="en-US" w:eastAsia="zh-CN"/>
        </w:rPr>
      </w:pPr>
      <w:r>
        <w:rPr>
          <w:rFonts w:hint="eastAsia"/>
          <w:b/>
          <w:bCs/>
          <w:sz w:val="24"/>
          <w:szCs w:val="24"/>
          <w:lang w:val="en-US" w:eastAsia="zh-CN"/>
        </w:rPr>
        <w:t>其他要求</w:t>
      </w:r>
    </w:p>
    <w:p>
      <w:pPr>
        <w:widowControl w:val="0"/>
        <w:numPr>
          <w:ilvl w:val="0"/>
          <w:numId w:val="9"/>
        </w:numPr>
        <w:ind w:left="630" w:leftChars="0" w:firstLine="0" w:firstLineChars="0"/>
        <w:jc w:val="both"/>
        <w:rPr>
          <w:rFonts w:hint="eastAsia"/>
          <w:b w:val="0"/>
          <w:bCs w:val="0"/>
          <w:sz w:val="24"/>
          <w:szCs w:val="24"/>
          <w:lang w:val="en-US" w:eastAsia="zh-CN"/>
        </w:rPr>
      </w:pPr>
      <w:r>
        <w:rPr>
          <w:rFonts w:hint="eastAsia"/>
          <w:b w:val="0"/>
          <w:bCs w:val="0"/>
          <w:sz w:val="24"/>
          <w:szCs w:val="24"/>
          <w:lang w:val="en-US" w:eastAsia="zh-CN"/>
        </w:rPr>
        <w:t>各县要明确森林督查暨森林资源管理“一张图”年度更新工作负责人、技术负责人、联络员1-2名。</w:t>
      </w:r>
    </w:p>
    <w:p>
      <w:pPr>
        <w:widowControl w:val="0"/>
        <w:numPr>
          <w:ilvl w:val="0"/>
          <w:numId w:val="9"/>
        </w:numPr>
        <w:ind w:left="630" w:leftChars="0" w:firstLine="0" w:firstLineChars="0"/>
        <w:jc w:val="both"/>
        <w:rPr>
          <w:rFonts w:hint="default"/>
          <w:b w:val="0"/>
          <w:bCs w:val="0"/>
          <w:sz w:val="24"/>
          <w:szCs w:val="24"/>
          <w:lang w:val="en-US" w:eastAsia="zh-CN"/>
        </w:rPr>
      </w:pPr>
      <w:r>
        <w:rPr>
          <w:rFonts w:hint="eastAsia"/>
          <w:b w:val="0"/>
          <w:bCs w:val="0"/>
          <w:sz w:val="24"/>
          <w:szCs w:val="24"/>
          <w:lang w:val="en-US" w:eastAsia="zh-CN"/>
        </w:rPr>
        <w:t>各单位要结合实际，研究制定详细、合理、可行的工作实施方案。</w:t>
      </w:r>
    </w:p>
    <w:p>
      <w:pPr>
        <w:widowControl w:val="0"/>
        <w:numPr>
          <w:ilvl w:val="0"/>
          <w:numId w:val="9"/>
        </w:numPr>
        <w:ind w:left="630" w:leftChars="0" w:firstLine="0" w:firstLineChars="0"/>
        <w:jc w:val="both"/>
        <w:rPr>
          <w:rFonts w:hint="default"/>
          <w:b w:val="0"/>
          <w:bCs w:val="0"/>
          <w:sz w:val="24"/>
          <w:szCs w:val="24"/>
          <w:lang w:val="en-US" w:eastAsia="zh-CN"/>
        </w:rPr>
      </w:pPr>
      <w:r>
        <w:rPr>
          <w:rFonts w:hint="eastAsia"/>
          <w:b w:val="0"/>
          <w:bCs w:val="0"/>
          <w:sz w:val="24"/>
          <w:szCs w:val="24"/>
          <w:lang w:val="en-US" w:eastAsia="zh-CN"/>
        </w:rPr>
        <w:t>各区直林场、局直属自然保护区、中国林科院热林中心，砂糖林场等单位应独立开展各项工作，完成成果及时报所在辖县林业主管部门汇总。</w:t>
      </w:r>
    </w:p>
    <w:p>
      <w:pPr>
        <w:pStyle w:val="6"/>
        <w:spacing w:line="304" w:lineRule="exact"/>
        <w:ind w:left="572"/>
      </w:pPr>
      <w:r>
        <w:rPr>
          <w:rFonts w:hint="eastAsia"/>
          <w:lang w:eastAsia="zh-CN"/>
        </w:rPr>
        <w:t>五</w:t>
      </w:r>
      <w:r>
        <w:t>、报价依据：</w:t>
      </w:r>
    </w:p>
    <w:p>
      <w:pPr>
        <w:pStyle w:val="7"/>
        <w:spacing w:before="110" w:line="328" w:lineRule="auto"/>
        <w:ind w:left="102" w:right="545" w:firstLine="480"/>
      </w:pPr>
      <w:r>
        <w:t>本次报价采用人民币的报价方式，由投标人自行报价，超出采购预算价做报价无效处理。</w:t>
      </w:r>
    </w:p>
    <w:p>
      <w:pPr>
        <w:spacing w:before="0" w:line="328" w:lineRule="auto"/>
        <w:ind w:left="572" w:right="5170" w:rightChars="0" w:firstLine="0"/>
        <w:jc w:val="left"/>
        <w:rPr>
          <w:color w:val="auto"/>
          <w:sz w:val="24"/>
        </w:rPr>
      </w:pPr>
      <w:r>
        <w:rPr>
          <w:rFonts w:hint="eastAsia"/>
          <w:b/>
          <w:sz w:val="24"/>
          <w:lang w:eastAsia="zh-CN"/>
        </w:rPr>
        <w:t>六</w:t>
      </w:r>
      <w:r>
        <w:rPr>
          <w:b/>
          <w:sz w:val="24"/>
        </w:rPr>
        <w:t>、完成时间：</w:t>
      </w:r>
      <w:r>
        <w:rPr>
          <w:rFonts w:hint="eastAsia"/>
          <w:color w:val="auto"/>
          <w:sz w:val="24"/>
          <w:lang w:eastAsia="zh-CN"/>
        </w:rPr>
        <w:t>自签订合同的</w:t>
      </w:r>
      <w:r>
        <w:rPr>
          <w:rFonts w:hint="eastAsia"/>
          <w:color w:val="auto"/>
          <w:sz w:val="24"/>
          <w:lang w:val="en-US" w:eastAsia="zh-CN"/>
        </w:rPr>
        <w:t>60日内</w:t>
      </w:r>
      <w:r>
        <w:rPr>
          <w:color w:val="auto"/>
          <w:sz w:val="24"/>
        </w:rPr>
        <w:t>。</w:t>
      </w:r>
      <w:r>
        <w:rPr>
          <w:rFonts w:hint="eastAsia"/>
          <w:color w:val="auto"/>
          <w:sz w:val="24"/>
          <w:lang w:eastAsia="zh-CN"/>
        </w:rPr>
        <w:t>七</w:t>
      </w:r>
      <w:r>
        <w:rPr>
          <w:b/>
          <w:color w:val="auto"/>
          <w:sz w:val="24"/>
        </w:rPr>
        <w:t>、服务地点：</w:t>
      </w:r>
      <w:r>
        <w:rPr>
          <w:rFonts w:hint="eastAsia"/>
          <w:color w:val="auto"/>
          <w:sz w:val="24"/>
          <w:lang w:eastAsia="zh-CN"/>
        </w:rPr>
        <w:t>博白</w:t>
      </w:r>
      <w:r>
        <w:rPr>
          <w:color w:val="auto"/>
          <w:sz w:val="24"/>
        </w:rPr>
        <w:t>县内。</w:t>
      </w:r>
    </w:p>
    <w:p>
      <w:pPr>
        <w:spacing w:before="0" w:line="328" w:lineRule="auto"/>
        <w:ind w:left="572" w:right="5170" w:rightChars="0" w:firstLine="0"/>
        <w:jc w:val="left"/>
        <w:rPr>
          <w:b/>
          <w:color w:val="auto"/>
          <w:sz w:val="24"/>
        </w:rPr>
      </w:pPr>
      <w:r>
        <w:rPr>
          <w:rFonts w:hint="eastAsia"/>
          <w:color w:val="auto"/>
          <w:sz w:val="24"/>
          <w:lang w:eastAsia="zh-CN"/>
        </w:rPr>
        <w:t>八</w:t>
      </w:r>
      <w:r>
        <w:rPr>
          <w:b/>
          <w:color w:val="auto"/>
          <w:sz w:val="24"/>
        </w:rPr>
        <w:t>、付款方式：</w:t>
      </w:r>
    </w:p>
    <w:p>
      <w:pPr>
        <w:pStyle w:val="7"/>
        <w:spacing w:line="328" w:lineRule="auto"/>
        <w:ind w:left="102" w:right="195" w:firstLine="470"/>
        <w:rPr>
          <w:color w:val="auto"/>
        </w:rPr>
      </w:pPr>
      <w:r>
        <w:rPr>
          <w:color w:val="auto"/>
        </w:rPr>
        <w:t>1、采购人按实际完成的服务工作进行结算，具体付款方式由采购人与成交人自行协商， 并在服务合同中明确。</w:t>
      </w:r>
    </w:p>
    <w:p>
      <w:pPr>
        <w:pStyle w:val="2"/>
        <w:ind w:firstLine="480" w:firstLineChars="200"/>
        <w:rPr>
          <w:rFonts w:hint="eastAsia" w:ascii="仿宋" w:hAnsi="仿宋" w:eastAsia="仿宋" w:cs="仿宋"/>
        </w:rPr>
        <w:sectPr>
          <w:headerReference r:id="rId5" w:type="default"/>
          <w:footerReference r:id="rId6" w:type="default"/>
          <w:pgSz w:w="11910" w:h="16840"/>
          <w:pgMar w:top="1140" w:right="920" w:bottom="1140" w:left="980" w:header="900" w:footer="948" w:gutter="0"/>
          <w:pgNumType w:fmt="decimal" w:start="1"/>
        </w:sectPr>
      </w:pPr>
      <w:r>
        <w:rPr>
          <w:rFonts w:hint="eastAsia" w:ascii="仿宋" w:hAnsi="仿宋" w:eastAsia="仿宋" w:cs="仿宋"/>
          <w:color w:val="auto"/>
        </w:rPr>
        <w:t>2、对于未成交的投标人，采购人或招标代理机构不给予任何形式的费用补偿。</w:t>
      </w:r>
    </w:p>
    <w:p>
      <w:pPr>
        <w:pStyle w:val="7"/>
        <w:spacing w:before="6"/>
        <w:rPr>
          <w:sz w:val="20"/>
        </w:rPr>
      </w:pPr>
    </w:p>
    <w:p>
      <w:pPr>
        <w:pStyle w:val="3"/>
        <w:tabs>
          <w:tab w:val="left" w:pos="1704"/>
        </w:tabs>
        <w:spacing w:before="54"/>
        <w:ind w:left="418"/>
        <w:jc w:val="center"/>
        <w:rPr>
          <w:b/>
          <w:sz w:val="32"/>
        </w:rPr>
      </w:pPr>
      <w:r>
        <w:t>第三章</w:t>
      </w:r>
      <w:r>
        <w:tab/>
      </w:r>
      <w:r>
        <w:t>投标人须知及前附表</w:t>
      </w:r>
    </w:p>
    <w:tbl>
      <w:tblPr>
        <w:tblStyle w:val="11"/>
        <w:tblpPr w:leftFromText="180" w:rightFromText="180" w:vertAnchor="text" w:horzAnchor="page" w:tblpX="1162" w:tblpY="240"/>
        <w:tblOverlap w:val="never"/>
        <w:tblW w:w="965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3"/>
        <w:gridCol w:w="89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723" w:type="dxa"/>
          </w:tcPr>
          <w:p>
            <w:pPr>
              <w:pStyle w:val="15"/>
              <w:spacing w:before="3"/>
              <w:ind w:left="40" w:right="24"/>
              <w:jc w:val="center"/>
              <w:rPr>
                <w:sz w:val="24"/>
              </w:rPr>
            </w:pPr>
            <w:r>
              <w:rPr>
                <w:sz w:val="24"/>
              </w:rPr>
              <w:t>序号</w:t>
            </w:r>
          </w:p>
        </w:tc>
        <w:tc>
          <w:tcPr>
            <w:tcW w:w="8927" w:type="dxa"/>
          </w:tcPr>
          <w:p>
            <w:pPr>
              <w:pStyle w:val="15"/>
              <w:spacing w:before="3"/>
              <w:ind w:left="3566" w:right="3546"/>
              <w:jc w:val="center"/>
              <w:rPr>
                <w:sz w:val="24"/>
              </w:rPr>
            </w:pPr>
            <w:r>
              <w:rPr>
                <w:sz w:val="24"/>
              </w:rPr>
              <w:t>内容、要求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2" w:hRule="atLeast"/>
        </w:trPr>
        <w:tc>
          <w:tcPr>
            <w:tcW w:w="723" w:type="dxa"/>
          </w:tcPr>
          <w:p>
            <w:pPr>
              <w:pStyle w:val="15"/>
              <w:spacing w:before="1"/>
              <w:ind w:left="16"/>
              <w:jc w:val="center"/>
              <w:rPr>
                <w:sz w:val="24"/>
              </w:rPr>
            </w:pPr>
            <w:r>
              <w:rPr>
                <w:sz w:val="24"/>
              </w:rPr>
              <w:t>1</w:t>
            </w:r>
          </w:p>
        </w:tc>
        <w:tc>
          <w:tcPr>
            <w:tcW w:w="8927" w:type="dxa"/>
          </w:tcPr>
          <w:p>
            <w:pPr>
              <w:pStyle w:val="15"/>
              <w:spacing w:before="1"/>
              <w:ind w:left="111"/>
              <w:rPr>
                <w:rFonts w:hint="eastAsia" w:eastAsia="仿宋"/>
                <w:sz w:val="24"/>
                <w:lang w:eastAsia="zh-CN"/>
              </w:rPr>
            </w:pPr>
            <w:r>
              <w:rPr>
                <w:b/>
                <w:sz w:val="24"/>
              </w:rPr>
              <w:t>项目名称：</w:t>
            </w:r>
            <w:r>
              <w:rPr>
                <w:rFonts w:hint="eastAsia"/>
                <w:sz w:val="24"/>
                <w:lang w:eastAsia="zh-CN"/>
              </w:rPr>
              <w:t>2020年-2021年森林查暨森林资源管理“一张图”年度更新工作经费</w:t>
            </w:r>
          </w:p>
          <w:p>
            <w:pPr>
              <w:pStyle w:val="15"/>
              <w:spacing w:before="165" w:line="289" w:lineRule="exact"/>
              <w:ind w:left="111"/>
              <w:rPr>
                <w:rFonts w:hint="eastAsia" w:eastAsia="仿宋"/>
                <w:sz w:val="24"/>
                <w:lang w:eastAsia="zh-CN"/>
              </w:rPr>
            </w:pPr>
            <w:r>
              <w:rPr>
                <w:b/>
                <w:sz w:val="24"/>
              </w:rPr>
              <w:t>项目编号：</w:t>
            </w:r>
            <w:r>
              <w:rPr>
                <w:rFonts w:hint="eastAsia"/>
                <w:sz w:val="24"/>
                <w:lang w:eastAsia="zh-CN"/>
              </w:rPr>
              <w:t>YLZC2020-G3-230139-GXZJ</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69" w:hRule="atLeast"/>
        </w:trPr>
        <w:tc>
          <w:tcPr>
            <w:tcW w:w="723" w:type="dxa"/>
          </w:tcPr>
          <w:p>
            <w:pPr>
              <w:pStyle w:val="15"/>
              <w:spacing w:before="2"/>
              <w:ind w:left="16"/>
              <w:jc w:val="center"/>
              <w:rPr>
                <w:sz w:val="24"/>
              </w:rPr>
            </w:pPr>
            <w:r>
              <w:rPr>
                <w:sz w:val="24"/>
              </w:rPr>
              <w:t>2</w:t>
            </w:r>
          </w:p>
        </w:tc>
        <w:tc>
          <w:tcPr>
            <w:tcW w:w="8927" w:type="dxa"/>
          </w:tcPr>
          <w:p>
            <w:pPr>
              <w:pStyle w:val="15"/>
              <w:spacing w:before="2"/>
              <w:ind w:left="224"/>
              <w:rPr>
                <w:b/>
                <w:sz w:val="24"/>
              </w:rPr>
            </w:pPr>
            <w:r>
              <w:rPr>
                <w:b/>
                <w:sz w:val="24"/>
              </w:rPr>
              <w:t>投标报价及费用：</w:t>
            </w:r>
          </w:p>
          <w:p>
            <w:pPr>
              <w:pStyle w:val="15"/>
              <w:spacing w:before="158" w:line="364" w:lineRule="auto"/>
              <w:ind w:left="224" w:right="34"/>
              <w:rPr>
                <w:sz w:val="24"/>
              </w:rPr>
            </w:pPr>
            <w:r>
              <w:rPr>
                <w:sz w:val="24"/>
              </w:rPr>
              <w:t>1、本项目投标应以人民币报价，项目采购预算金额为：人民币</w:t>
            </w:r>
            <w:r>
              <w:rPr>
                <w:rFonts w:hint="eastAsia"/>
                <w:sz w:val="24"/>
                <w:lang w:eastAsia="zh-CN"/>
              </w:rPr>
              <w:t>贰佰伍拾万</w:t>
            </w:r>
            <w:r>
              <w:rPr>
                <w:sz w:val="24"/>
              </w:rPr>
              <w:t>元整（</w:t>
            </w:r>
            <w:r>
              <w:rPr>
                <w:rFonts w:hint="eastAsia" w:ascii="宋体" w:hAnsi="宋体" w:eastAsia="宋体"/>
                <w:sz w:val="24"/>
              </w:rPr>
              <w:t>¥</w:t>
            </w:r>
            <w:r>
              <w:rPr>
                <w:rFonts w:hint="eastAsia" w:ascii="宋体" w:hAnsi="宋体" w:eastAsia="宋体"/>
                <w:sz w:val="24"/>
                <w:lang w:val="en-US" w:eastAsia="zh-CN"/>
              </w:rPr>
              <w:t>250</w:t>
            </w:r>
            <w:r>
              <w:rPr>
                <w:rFonts w:hint="eastAsia" w:eastAsia="宋体"/>
                <w:sz w:val="24"/>
                <w:lang w:val="en-US" w:eastAsia="zh-CN"/>
              </w:rPr>
              <w:t>0000</w:t>
            </w:r>
            <w:r>
              <w:rPr>
                <w:sz w:val="24"/>
              </w:rPr>
              <w:t>.00元）；</w:t>
            </w:r>
          </w:p>
          <w:p>
            <w:pPr>
              <w:pStyle w:val="15"/>
              <w:spacing w:line="306" w:lineRule="exact"/>
              <w:ind w:left="224"/>
              <w:rPr>
                <w:sz w:val="24"/>
              </w:rPr>
            </w:pPr>
            <w:r>
              <w:rPr>
                <w:sz w:val="24"/>
              </w:rPr>
              <w:t>2、不论投标结果如何，投标人均应自行承担所有与投标有关的全部费用；</w:t>
            </w:r>
          </w:p>
          <w:p>
            <w:pPr>
              <w:spacing w:line="360" w:lineRule="auto"/>
              <w:ind w:firstLine="220" w:firstLineChars="100"/>
              <w:rPr>
                <w:sz w:val="24"/>
              </w:rPr>
            </w:pPr>
            <w:r>
              <w:rPr>
                <w:sz w:val="22"/>
              </w:rPr>
              <w:t>3、</w:t>
            </w:r>
            <w:r>
              <w:rPr>
                <w:rFonts w:hint="eastAsia" w:ascii="宋体" w:hAnsi="宋体" w:cs="宋体"/>
                <w:color w:val="auto"/>
              </w:rPr>
              <w:t>项目的</w:t>
            </w:r>
            <w:r>
              <w:rPr>
                <w:rFonts w:hint="eastAsia" w:ascii="宋体" w:hAnsi="宋体" w:cs="宋体"/>
                <w:color w:val="auto"/>
                <w:lang w:eastAsia="zh-CN"/>
              </w:rPr>
              <w:t>采购</w:t>
            </w:r>
            <w:r>
              <w:rPr>
                <w:rFonts w:hint="eastAsia" w:ascii="宋体" w:hAnsi="宋体" w:cs="宋体"/>
                <w:color w:val="auto"/>
              </w:rPr>
              <w:t>代理服务费按国家发展改革委《关于进一步放开建设项目专业服务价格的通知 》发改价格〔2015〕299 号文执行，方式为由</w:t>
            </w:r>
            <w:r>
              <w:rPr>
                <w:rFonts w:hint="eastAsia" w:ascii="宋体" w:hAnsi="宋体" w:cs="宋体"/>
                <w:color w:val="auto"/>
                <w:lang w:eastAsia="zh-CN"/>
              </w:rPr>
              <w:t>中标供应商</w:t>
            </w:r>
            <w:r>
              <w:rPr>
                <w:rFonts w:hint="eastAsia" w:ascii="宋体" w:hAnsi="宋体" w:cs="宋体"/>
                <w:color w:val="auto"/>
              </w:rPr>
              <w:t>向采购代理机构支付。领取成交通知书前，</w:t>
            </w:r>
            <w:r>
              <w:rPr>
                <w:rFonts w:hint="eastAsia" w:ascii="宋体" w:hAnsi="宋体" w:cs="宋体"/>
                <w:color w:val="auto"/>
                <w:lang w:eastAsia="zh-CN"/>
              </w:rPr>
              <w:t>中标供应商</w:t>
            </w:r>
            <w:r>
              <w:rPr>
                <w:rFonts w:hint="eastAsia" w:ascii="宋体" w:hAnsi="宋体" w:cs="宋体"/>
                <w:color w:val="auto"/>
              </w:rPr>
              <w:t>应向采购代理机构一次付清采购代理服务费。否则，采购代理机构将视之为违约</w:t>
            </w:r>
            <w:r>
              <w:rPr>
                <w:sz w:val="24"/>
              </w:rPr>
              <w:t>，开标产生的评审费用也由中标供应商支付。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723" w:type="dxa"/>
          </w:tcPr>
          <w:p>
            <w:pPr>
              <w:pStyle w:val="15"/>
              <w:spacing w:before="90"/>
              <w:ind w:left="16"/>
              <w:jc w:val="center"/>
              <w:rPr>
                <w:sz w:val="24"/>
              </w:rPr>
            </w:pPr>
            <w:r>
              <w:rPr>
                <w:sz w:val="24"/>
              </w:rPr>
              <w:t>3</w:t>
            </w:r>
          </w:p>
        </w:tc>
        <w:tc>
          <w:tcPr>
            <w:tcW w:w="8927" w:type="dxa"/>
          </w:tcPr>
          <w:p>
            <w:pPr>
              <w:pStyle w:val="15"/>
              <w:spacing w:before="1"/>
              <w:ind w:left="5"/>
              <w:rPr>
                <w:b/>
                <w:sz w:val="24"/>
              </w:rPr>
            </w:pPr>
            <w:r>
              <w:rPr>
                <w:b/>
                <w:sz w:val="24"/>
              </w:rPr>
              <w:t>投标保证金 (人民币) ：</w:t>
            </w:r>
            <w:r>
              <w:rPr>
                <w:rFonts w:hint="eastAsia"/>
                <w:b/>
                <w:sz w:val="24"/>
                <w:lang w:eastAsia="zh-CN"/>
              </w:rPr>
              <w:t>本项目不收取投标保证金</w:t>
            </w:r>
            <w:r>
              <w:rPr>
                <w:b/>
                <w:sz w:val="24"/>
              </w:rPr>
              <w:t>。</w:t>
            </w:r>
          </w:p>
          <w:p>
            <w:pPr>
              <w:pStyle w:val="15"/>
              <w:spacing w:before="5" w:line="295" w:lineRule="exact"/>
              <w:rPr>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4" w:hRule="atLeast"/>
        </w:trPr>
        <w:tc>
          <w:tcPr>
            <w:tcW w:w="723" w:type="dxa"/>
          </w:tcPr>
          <w:p>
            <w:pPr>
              <w:pStyle w:val="15"/>
              <w:spacing w:before="1"/>
              <w:ind w:left="16"/>
              <w:jc w:val="center"/>
              <w:rPr>
                <w:sz w:val="24"/>
              </w:rPr>
            </w:pPr>
            <w:r>
              <w:rPr>
                <w:sz w:val="24"/>
              </w:rPr>
              <w:t>4</w:t>
            </w:r>
          </w:p>
        </w:tc>
        <w:tc>
          <w:tcPr>
            <w:tcW w:w="8927" w:type="dxa"/>
          </w:tcPr>
          <w:p>
            <w:pPr>
              <w:pStyle w:val="15"/>
              <w:spacing w:line="306" w:lineRule="exact"/>
              <w:rPr>
                <w:sz w:val="24"/>
              </w:rPr>
            </w:pPr>
            <w:r>
              <w:rPr>
                <w:b/>
                <w:spacing w:val="-4"/>
                <w:sz w:val="24"/>
              </w:rPr>
              <w:t>答疑与澄清</w:t>
            </w:r>
            <w:r>
              <w:rPr>
                <w:spacing w:val="-5"/>
                <w:sz w:val="24"/>
              </w:rPr>
              <w:t>：投标人如认为招标文件表述不清晰、存在歧视性、排他性或者其 违法内容的，应当于购买招标文件后</w:t>
            </w:r>
            <w:r>
              <w:rPr>
                <w:spacing w:val="4"/>
                <w:sz w:val="24"/>
              </w:rPr>
              <w:t>7</w:t>
            </w:r>
            <w:r>
              <w:rPr>
                <w:spacing w:val="-3"/>
                <w:sz w:val="24"/>
              </w:rPr>
              <w:t>个工作日内，以书面形式向招标人提出书</w:t>
            </w:r>
            <w:r>
              <w:rPr>
                <w:sz w:val="24"/>
              </w:rPr>
              <w:t>面质疑；招标人对质疑事项做出答复，并将以书面形式送达所有已报名的投标</w:t>
            </w:r>
            <w:r>
              <w:rPr>
                <w:spacing w:val="-5"/>
                <w:sz w:val="24"/>
              </w:rPr>
              <w:t>人；招标人可以视招标具体情况，延长投标截止时间和开标时间，但至少应当在招标文件要求提交投标文件的截止时间</w:t>
            </w:r>
            <w:r>
              <w:rPr>
                <w:rFonts w:hint="eastAsia"/>
                <w:spacing w:val="-5"/>
                <w:sz w:val="24"/>
                <w:lang w:val="en-US" w:eastAsia="zh-CN"/>
              </w:rPr>
              <w:t>3</w:t>
            </w:r>
            <w:r>
              <w:rPr>
                <w:spacing w:val="-5"/>
                <w:sz w:val="24"/>
              </w:rPr>
              <w:t>日前，将变更时间书面通知所有招标文</w:t>
            </w:r>
            <w:r>
              <w:rPr>
                <w:sz w:val="24"/>
              </w:rPr>
              <w:t>件收受人，并在招标公告约定的媒体信息发布平台发布变更公告。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723" w:type="dxa"/>
            <w:tcBorders>
              <w:bottom w:val="single" w:color="auto" w:sz="4" w:space="0"/>
            </w:tcBorders>
          </w:tcPr>
          <w:p>
            <w:pPr>
              <w:pStyle w:val="15"/>
              <w:spacing w:before="103"/>
              <w:ind w:left="16"/>
              <w:jc w:val="center"/>
              <w:rPr>
                <w:sz w:val="24"/>
              </w:rPr>
            </w:pPr>
            <w:r>
              <w:rPr>
                <w:sz w:val="24"/>
              </w:rPr>
              <w:t>5</w:t>
            </w:r>
          </w:p>
        </w:tc>
        <w:tc>
          <w:tcPr>
            <w:tcW w:w="8927" w:type="dxa"/>
          </w:tcPr>
          <w:p>
            <w:pPr>
              <w:pStyle w:val="15"/>
              <w:spacing w:before="58"/>
              <w:ind w:left="111"/>
              <w:rPr>
                <w:sz w:val="24"/>
              </w:rPr>
            </w:pPr>
            <w:r>
              <w:rPr>
                <w:b/>
                <w:sz w:val="24"/>
              </w:rPr>
              <w:t>投标文件组成：</w:t>
            </w:r>
            <w:r>
              <w:rPr>
                <w:sz w:val="24"/>
              </w:rPr>
              <w:t>投标文件正本</w:t>
            </w:r>
            <w:r>
              <w:rPr>
                <w:sz w:val="24"/>
                <w:u w:val="single"/>
              </w:rPr>
              <w:t>壹</w:t>
            </w:r>
            <w:r>
              <w:rPr>
                <w:sz w:val="24"/>
              </w:rPr>
              <w:t>份，副本</w:t>
            </w:r>
            <w:r>
              <w:rPr>
                <w:sz w:val="24"/>
                <w:u w:val="single"/>
              </w:rPr>
              <w:t>肆</w:t>
            </w:r>
            <w:r>
              <w:rPr>
                <w:sz w:val="24"/>
              </w:rPr>
              <w:t>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723" w:type="dxa"/>
            <w:tcBorders>
              <w:top w:val="single" w:color="auto" w:sz="4" w:space="0"/>
              <w:left w:val="single" w:color="auto" w:sz="4" w:space="0"/>
              <w:bottom w:val="single" w:color="auto" w:sz="4" w:space="0"/>
              <w:right w:val="single" w:color="auto" w:sz="4" w:space="0"/>
            </w:tcBorders>
          </w:tcPr>
          <w:p>
            <w:pPr>
              <w:pStyle w:val="15"/>
              <w:spacing w:before="3"/>
              <w:ind w:left="16"/>
              <w:jc w:val="center"/>
              <w:rPr>
                <w:sz w:val="24"/>
              </w:rPr>
            </w:pPr>
            <w:r>
              <w:rPr>
                <w:sz w:val="24"/>
              </w:rPr>
              <w:t>6</w:t>
            </w:r>
          </w:p>
        </w:tc>
        <w:tc>
          <w:tcPr>
            <w:tcW w:w="8927" w:type="dxa"/>
            <w:tcBorders>
              <w:left w:val="single" w:color="auto" w:sz="4" w:space="0"/>
            </w:tcBorders>
          </w:tcPr>
          <w:p>
            <w:pPr>
              <w:pStyle w:val="15"/>
              <w:spacing w:before="27"/>
              <w:ind w:left="111"/>
              <w:rPr>
                <w:color w:val="auto"/>
                <w:sz w:val="24"/>
              </w:rPr>
            </w:pPr>
            <w:r>
              <w:rPr>
                <w:b/>
                <w:spacing w:val="-1"/>
                <w:sz w:val="24"/>
              </w:rPr>
              <w:t>投标截止时间及地点</w:t>
            </w:r>
            <w:r>
              <w:rPr>
                <w:rFonts w:hint="eastAsia"/>
                <w:b/>
                <w:spacing w:val="-1"/>
                <w:sz w:val="24"/>
                <w:lang w:eastAsia="zh-CN"/>
              </w:rPr>
              <w:t>：</w:t>
            </w:r>
            <w:r>
              <w:rPr>
                <w:spacing w:val="-3"/>
                <w:sz w:val="24"/>
              </w:rPr>
              <w:t>投标</w:t>
            </w:r>
            <w:r>
              <w:rPr>
                <w:color w:val="auto"/>
                <w:spacing w:val="-3"/>
                <w:sz w:val="24"/>
              </w:rPr>
              <w:t>人应于</w:t>
            </w:r>
            <w:r>
              <w:rPr>
                <w:rFonts w:hint="eastAsia" w:ascii="宋体" w:eastAsia="宋体"/>
                <w:color w:val="auto"/>
                <w:sz w:val="24"/>
                <w:lang w:val="en-US" w:eastAsia="zh-CN"/>
              </w:rPr>
              <w:t>2020</w:t>
            </w:r>
            <w:r>
              <w:rPr>
                <w:rFonts w:hint="eastAsia" w:ascii="宋体" w:eastAsia="宋体"/>
                <w:color w:val="auto"/>
                <w:spacing w:val="6"/>
                <w:sz w:val="24"/>
              </w:rPr>
              <w:t>年</w:t>
            </w:r>
            <w:r>
              <w:rPr>
                <w:rFonts w:hint="eastAsia" w:ascii="宋体" w:eastAsia="宋体"/>
                <w:color w:val="auto"/>
                <w:spacing w:val="6"/>
                <w:sz w:val="24"/>
                <w:lang w:val="en-US" w:eastAsia="zh-CN"/>
              </w:rPr>
              <w:t>9</w:t>
            </w:r>
            <w:r>
              <w:rPr>
                <w:rFonts w:hint="eastAsia" w:ascii="宋体" w:eastAsia="宋体"/>
                <w:color w:val="auto"/>
                <w:spacing w:val="6"/>
                <w:sz w:val="24"/>
              </w:rPr>
              <w:t>月</w:t>
            </w:r>
            <w:r>
              <w:rPr>
                <w:rFonts w:hint="eastAsia" w:ascii="宋体" w:eastAsia="宋体"/>
                <w:color w:val="auto"/>
                <w:spacing w:val="6"/>
                <w:sz w:val="24"/>
                <w:lang w:val="en-US" w:eastAsia="zh-CN"/>
              </w:rPr>
              <w:t>4</w:t>
            </w:r>
            <w:r>
              <w:rPr>
                <w:rFonts w:hint="eastAsia" w:ascii="宋体" w:eastAsia="宋体"/>
                <w:color w:val="auto"/>
                <w:spacing w:val="6"/>
                <w:sz w:val="24"/>
              </w:rPr>
              <w:t>日</w:t>
            </w:r>
            <w:r>
              <w:rPr>
                <w:rFonts w:hint="eastAsia" w:ascii="宋体" w:eastAsia="宋体"/>
                <w:color w:val="auto"/>
                <w:spacing w:val="3"/>
                <w:sz w:val="24"/>
                <w:lang w:val="en-US" w:eastAsia="zh-CN"/>
              </w:rPr>
              <w:t>15</w:t>
            </w:r>
            <w:r>
              <w:rPr>
                <w:rFonts w:hint="eastAsia" w:ascii="宋体" w:eastAsia="宋体"/>
                <w:color w:val="auto"/>
                <w:spacing w:val="7"/>
                <w:sz w:val="24"/>
              </w:rPr>
              <w:t>时</w:t>
            </w:r>
            <w:r>
              <w:rPr>
                <w:rFonts w:hint="eastAsia" w:ascii="宋体" w:eastAsia="宋体"/>
                <w:color w:val="auto"/>
                <w:sz w:val="24"/>
                <w:lang w:val="en-US" w:eastAsia="zh-CN"/>
              </w:rPr>
              <w:t>30</w:t>
            </w:r>
            <w:r>
              <w:rPr>
                <w:rFonts w:hint="eastAsia" w:ascii="宋体" w:eastAsia="宋体"/>
                <w:color w:val="auto"/>
                <w:spacing w:val="7"/>
                <w:sz w:val="24"/>
              </w:rPr>
              <w:t>分</w:t>
            </w:r>
            <w:r>
              <w:rPr>
                <w:color w:val="auto"/>
                <w:spacing w:val="-2"/>
                <w:sz w:val="24"/>
              </w:rPr>
              <w:t>止将投标文件密封送</w:t>
            </w:r>
          </w:p>
          <w:p>
            <w:pPr>
              <w:pStyle w:val="15"/>
              <w:spacing w:before="158"/>
              <w:ind w:left="111"/>
              <w:rPr>
                <w:sz w:val="24"/>
              </w:rPr>
            </w:pPr>
            <w:r>
              <w:rPr>
                <w:sz w:val="24"/>
              </w:rPr>
              <w:t>交到</w:t>
            </w:r>
            <w:r>
              <w:rPr>
                <w:rFonts w:hint="eastAsia"/>
                <w:color w:val="000000"/>
                <w:spacing w:val="-2"/>
                <w:sz w:val="24"/>
                <w:szCs w:val="24"/>
              </w:rPr>
              <w:t>博白县公共资源交易中心(博白县博白镇锦绣东路，博白县政务服务中心六楼)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3" w:hRule="atLeast"/>
        </w:trPr>
        <w:tc>
          <w:tcPr>
            <w:tcW w:w="723" w:type="dxa"/>
            <w:tcBorders>
              <w:top w:val="single" w:color="auto" w:sz="4" w:space="0"/>
              <w:left w:val="single" w:color="auto" w:sz="4" w:space="0"/>
              <w:bottom w:val="single" w:color="auto" w:sz="4" w:space="0"/>
              <w:right w:val="single" w:color="auto" w:sz="4" w:space="0"/>
            </w:tcBorders>
          </w:tcPr>
          <w:p>
            <w:pPr>
              <w:pStyle w:val="15"/>
              <w:spacing w:before="3"/>
              <w:ind w:left="16"/>
              <w:jc w:val="center"/>
              <w:rPr>
                <w:sz w:val="24"/>
              </w:rPr>
            </w:pPr>
          </w:p>
        </w:tc>
        <w:tc>
          <w:tcPr>
            <w:tcW w:w="8927" w:type="dxa"/>
            <w:tcBorders>
              <w:left w:val="single" w:color="auto" w:sz="4" w:space="0"/>
            </w:tcBorders>
          </w:tcPr>
          <w:p>
            <w:pPr>
              <w:pStyle w:val="15"/>
              <w:spacing w:before="158"/>
              <w:ind w:left="111"/>
              <w:rPr>
                <w:sz w:val="24"/>
              </w:rPr>
            </w:pPr>
            <w:r>
              <w:rPr>
                <w:sz w:val="24"/>
              </w:rPr>
              <w:t>逾期送达或未密封将予以拒收（或作无效投标文件处理）。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
              <w:ind w:left="0" w:leftChars="0" w:right="222" w:rightChars="0"/>
              <w:jc w:val="right"/>
              <w:rPr>
                <w:sz w:val="24"/>
              </w:rPr>
            </w:pPr>
            <w:r>
              <w:rPr>
                <w:sz w:val="24"/>
              </w:rPr>
              <w:t>7</w:t>
            </w:r>
          </w:p>
        </w:tc>
        <w:tc>
          <w:tcPr>
            <w:tcW w:w="8927" w:type="dxa"/>
            <w:tcBorders>
              <w:left w:val="single" w:color="auto" w:sz="4" w:space="0"/>
            </w:tcBorders>
            <w:vAlign w:val="top"/>
          </w:tcPr>
          <w:p>
            <w:pPr>
              <w:pStyle w:val="15"/>
              <w:spacing w:before="158"/>
              <w:ind w:left="111" w:leftChars="0" w:right="0" w:rightChars="0"/>
              <w:rPr>
                <w:sz w:val="24"/>
              </w:rPr>
            </w:pPr>
            <w:r>
              <w:rPr>
                <w:b/>
                <w:sz w:val="24"/>
              </w:rPr>
              <w:t>开标时间及地</w:t>
            </w:r>
            <w:r>
              <w:rPr>
                <w:b/>
                <w:color w:val="auto"/>
                <w:sz w:val="24"/>
              </w:rPr>
              <w:t>点：</w:t>
            </w:r>
            <w:r>
              <w:rPr>
                <w:rFonts w:hint="eastAsia" w:ascii="宋体" w:eastAsia="宋体"/>
                <w:color w:val="auto"/>
                <w:sz w:val="24"/>
                <w:lang w:val="en-US" w:eastAsia="zh-CN"/>
              </w:rPr>
              <w:t>2020</w:t>
            </w:r>
            <w:r>
              <w:rPr>
                <w:rFonts w:hint="eastAsia" w:ascii="宋体" w:eastAsia="宋体"/>
                <w:color w:val="auto"/>
                <w:sz w:val="24"/>
              </w:rPr>
              <w:t>年</w:t>
            </w:r>
            <w:r>
              <w:rPr>
                <w:rFonts w:hint="eastAsia" w:ascii="宋体" w:eastAsia="宋体"/>
                <w:color w:val="auto"/>
                <w:sz w:val="24"/>
                <w:lang w:val="en-US" w:eastAsia="zh-CN"/>
              </w:rPr>
              <w:t>9</w:t>
            </w:r>
            <w:r>
              <w:rPr>
                <w:rFonts w:hint="eastAsia" w:ascii="宋体" w:eastAsia="宋体"/>
                <w:color w:val="auto"/>
                <w:sz w:val="24"/>
              </w:rPr>
              <w:t>月</w:t>
            </w:r>
            <w:r>
              <w:rPr>
                <w:rFonts w:hint="eastAsia" w:ascii="宋体" w:eastAsia="宋体"/>
                <w:color w:val="auto"/>
                <w:sz w:val="24"/>
                <w:lang w:val="en-US" w:eastAsia="zh-CN"/>
              </w:rPr>
              <w:t>4</w:t>
            </w:r>
            <w:r>
              <w:rPr>
                <w:rFonts w:hint="eastAsia" w:ascii="宋体" w:eastAsia="宋体"/>
                <w:color w:val="auto"/>
                <w:sz w:val="24"/>
              </w:rPr>
              <w:t>日</w:t>
            </w:r>
            <w:r>
              <w:rPr>
                <w:rFonts w:hint="eastAsia" w:ascii="宋体" w:eastAsia="宋体"/>
                <w:color w:val="auto"/>
                <w:sz w:val="24"/>
                <w:lang w:val="en-US" w:eastAsia="zh-CN"/>
              </w:rPr>
              <w:t>15</w:t>
            </w:r>
            <w:r>
              <w:rPr>
                <w:rFonts w:hint="eastAsia" w:ascii="宋体" w:eastAsia="宋体"/>
                <w:color w:val="auto"/>
                <w:sz w:val="24"/>
              </w:rPr>
              <w:t>时</w:t>
            </w:r>
            <w:r>
              <w:rPr>
                <w:rFonts w:hint="eastAsia" w:ascii="宋体" w:eastAsia="宋体"/>
                <w:color w:val="auto"/>
                <w:sz w:val="24"/>
                <w:lang w:val="en-US" w:eastAsia="zh-CN"/>
              </w:rPr>
              <w:t>30</w:t>
            </w:r>
            <w:r>
              <w:rPr>
                <w:rFonts w:hint="eastAsia" w:ascii="宋体" w:eastAsia="宋体"/>
                <w:color w:val="auto"/>
                <w:sz w:val="24"/>
              </w:rPr>
              <w:t>分</w:t>
            </w:r>
            <w:r>
              <w:rPr>
                <w:color w:val="auto"/>
                <w:sz w:val="24"/>
              </w:rPr>
              <w:t>止截标后</w:t>
            </w:r>
            <w:r>
              <w:rPr>
                <w:sz w:val="24"/>
              </w:rPr>
              <w:t>，在</w:t>
            </w:r>
            <w:r>
              <w:rPr>
                <w:rFonts w:hint="eastAsia"/>
                <w:color w:val="000000"/>
                <w:spacing w:val="-2"/>
                <w:sz w:val="24"/>
                <w:szCs w:val="24"/>
              </w:rPr>
              <w:t>博白县公共资源交易中心(博白县博白镇锦绣东路，博白县政务服务中心六楼)</w:t>
            </w:r>
            <w:r>
              <w:rPr>
                <w:sz w:val="24"/>
              </w:rPr>
              <w:t>评标室。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89"/>
              <w:ind w:left="0" w:leftChars="0" w:right="222" w:rightChars="0"/>
              <w:jc w:val="right"/>
              <w:rPr>
                <w:sz w:val="24"/>
              </w:rPr>
            </w:pPr>
            <w:r>
              <w:rPr>
                <w:sz w:val="24"/>
              </w:rPr>
              <w:t>8</w:t>
            </w:r>
          </w:p>
        </w:tc>
        <w:tc>
          <w:tcPr>
            <w:tcW w:w="8927" w:type="dxa"/>
            <w:tcBorders>
              <w:left w:val="single" w:color="auto" w:sz="4" w:space="0"/>
            </w:tcBorders>
            <w:vAlign w:val="top"/>
          </w:tcPr>
          <w:p>
            <w:pPr>
              <w:pStyle w:val="15"/>
              <w:spacing w:before="46"/>
              <w:ind w:left="111" w:leftChars="0" w:right="0" w:rightChars="0"/>
              <w:rPr>
                <w:sz w:val="24"/>
              </w:rPr>
            </w:pPr>
            <w:r>
              <w:rPr>
                <w:b/>
                <w:sz w:val="24"/>
              </w:rPr>
              <w:t>现场踏勘：</w:t>
            </w:r>
            <w:r>
              <w:rPr>
                <w:sz w:val="24"/>
              </w:rPr>
              <w:t>招标人不统一组织踏勘现场，由投标人自行踏勘。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3"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90"/>
              <w:ind w:left="0" w:leftChars="0" w:right="222" w:rightChars="0"/>
              <w:jc w:val="right"/>
              <w:rPr>
                <w:sz w:val="24"/>
              </w:rPr>
            </w:pPr>
            <w:r>
              <w:rPr>
                <w:sz w:val="24"/>
              </w:rPr>
              <w:t>9</w:t>
            </w:r>
          </w:p>
        </w:tc>
        <w:tc>
          <w:tcPr>
            <w:tcW w:w="8927" w:type="dxa"/>
            <w:tcBorders>
              <w:left w:val="single" w:color="auto" w:sz="4" w:space="0"/>
            </w:tcBorders>
            <w:vAlign w:val="top"/>
          </w:tcPr>
          <w:p>
            <w:pPr>
              <w:pStyle w:val="15"/>
              <w:spacing w:before="44"/>
              <w:ind w:left="111" w:leftChars="0" w:right="0" w:rightChars="0"/>
              <w:rPr>
                <w:sz w:val="24"/>
              </w:rPr>
            </w:pPr>
            <w:r>
              <w:rPr>
                <w:b/>
                <w:sz w:val="24"/>
              </w:rPr>
              <w:t>评标方法：</w:t>
            </w:r>
            <w:r>
              <w:rPr>
                <w:sz w:val="24"/>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2"/>
              <w:ind w:left="0" w:leftChars="0" w:right="162" w:rightChars="0"/>
              <w:jc w:val="right"/>
              <w:rPr>
                <w:sz w:val="24"/>
              </w:rPr>
            </w:pPr>
            <w:r>
              <w:rPr>
                <w:sz w:val="24"/>
              </w:rPr>
              <w:t>10</w:t>
            </w:r>
          </w:p>
        </w:tc>
        <w:tc>
          <w:tcPr>
            <w:tcW w:w="8927" w:type="dxa"/>
            <w:tcBorders>
              <w:left w:val="single" w:color="auto" w:sz="4" w:space="0"/>
            </w:tcBorders>
            <w:vAlign w:val="top"/>
          </w:tcPr>
          <w:p>
            <w:pPr>
              <w:pStyle w:val="15"/>
              <w:spacing w:before="8" w:line="460" w:lineRule="atLeast"/>
              <w:ind w:left="77" w:leftChars="0" w:right="439" w:rightChars="0"/>
              <w:rPr>
                <w:sz w:val="24"/>
              </w:rPr>
            </w:pPr>
            <w:r>
              <w:rPr>
                <w:b/>
                <w:sz w:val="24"/>
              </w:rPr>
              <w:t>本项目采购预算价：人民币</w:t>
            </w:r>
            <w:r>
              <w:rPr>
                <w:rFonts w:hint="eastAsia"/>
                <w:b/>
                <w:sz w:val="24"/>
                <w:lang w:eastAsia="zh-CN"/>
              </w:rPr>
              <w:t>贰佰伍拾万元</w:t>
            </w:r>
            <w:r>
              <w:rPr>
                <w:b/>
                <w:sz w:val="24"/>
              </w:rPr>
              <w:t>整（</w:t>
            </w:r>
            <w:r>
              <w:rPr>
                <w:rFonts w:hint="eastAsia" w:ascii="宋体" w:hAnsi="宋体" w:eastAsia="宋体"/>
                <w:b/>
                <w:sz w:val="24"/>
              </w:rPr>
              <w:t>¥</w:t>
            </w:r>
            <w:r>
              <w:rPr>
                <w:rFonts w:hint="eastAsia" w:eastAsia="宋体"/>
                <w:b/>
                <w:sz w:val="24"/>
                <w:lang w:val="en-US" w:eastAsia="zh-CN"/>
              </w:rPr>
              <w:t>2500000</w:t>
            </w:r>
            <w:r>
              <w:rPr>
                <w:b/>
                <w:sz w:val="24"/>
              </w:rPr>
              <w:t>.00元）。</w:t>
            </w:r>
            <w:r>
              <w:rPr>
                <w:sz w:val="24"/>
              </w:rPr>
              <w:t>投标人投标报价高于本项目采购预算价均作无效投标处理。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
              <w:ind w:left="0" w:leftChars="0" w:right="162" w:rightChars="0"/>
              <w:jc w:val="right"/>
              <w:rPr>
                <w:sz w:val="24"/>
              </w:rPr>
            </w:pPr>
            <w:r>
              <w:rPr>
                <w:sz w:val="24"/>
              </w:rPr>
              <w:t>11</w:t>
            </w:r>
          </w:p>
        </w:tc>
        <w:tc>
          <w:tcPr>
            <w:tcW w:w="8927" w:type="dxa"/>
            <w:tcBorders>
              <w:left w:val="single" w:color="auto" w:sz="4" w:space="0"/>
            </w:tcBorders>
            <w:vAlign w:val="top"/>
          </w:tcPr>
          <w:p>
            <w:pPr>
              <w:pStyle w:val="15"/>
              <w:spacing w:before="7" w:line="460" w:lineRule="atLeast"/>
              <w:ind w:left="111" w:leftChars="0" w:right="-15" w:rightChars="0"/>
              <w:rPr>
                <w:sz w:val="24"/>
              </w:rPr>
            </w:pPr>
            <w:r>
              <w:rPr>
                <w:b/>
                <w:sz w:val="24"/>
              </w:rPr>
              <w:t>公告发布媒体：</w:t>
            </w:r>
            <w:r>
              <w:rPr>
                <w:sz w:val="24"/>
              </w:rPr>
              <w:t>依法在广西壮族自治区政府采购网、中国政府采购网。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11"/>
              <w:ind w:left="0" w:leftChars="0" w:right="162" w:rightChars="0"/>
              <w:jc w:val="right"/>
              <w:rPr>
                <w:sz w:val="24"/>
              </w:rPr>
            </w:pPr>
            <w:r>
              <w:rPr>
                <w:sz w:val="24"/>
              </w:rPr>
              <w:t>12</w:t>
            </w:r>
          </w:p>
        </w:tc>
        <w:tc>
          <w:tcPr>
            <w:tcW w:w="8927" w:type="dxa"/>
            <w:tcBorders>
              <w:left w:val="single" w:color="auto" w:sz="4" w:space="0"/>
            </w:tcBorders>
            <w:vAlign w:val="top"/>
          </w:tcPr>
          <w:p>
            <w:pPr>
              <w:pStyle w:val="15"/>
              <w:spacing w:before="22"/>
              <w:ind w:left="111" w:leftChars="0" w:right="0" w:rightChars="0"/>
              <w:rPr>
                <w:sz w:val="24"/>
              </w:rPr>
            </w:pPr>
            <w:r>
              <w:rPr>
                <w:b/>
                <w:sz w:val="24"/>
              </w:rPr>
              <w:t>履约保证金：</w:t>
            </w:r>
            <w:r>
              <w:rPr>
                <w:sz w:val="24"/>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13"/>
              <w:ind w:left="0" w:leftChars="0" w:right="162" w:rightChars="0"/>
              <w:jc w:val="right"/>
              <w:rPr>
                <w:sz w:val="24"/>
              </w:rPr>
            </w:pPr>
            <w:r>
              <w:rPr>
                <w:sz w:val="24"/>
              </w:rPr>
              <w:t>13</w:t>
            </w:r>
          </w:p>
        </w:tc>
        <w:tc>
          <w:tcPr>
            <w:tcW w:w="8927" w:type="dxa"/>
            <w:tcBorders>
              <w:left w:val="single" w:color="auto" w:sz="4" w:space="0"/>
            </w:tcBorders>
            <w:vAlign w:val="top"/>
          </w:tcPr>
          <w:p>
            <w:pPr>
              <w:pStyle w:val="15"/>
              <w:spacing w:before="27"/>
              <w:ind w:left="111" w:leftChars="0" w:right="0" w:rightChars="0"/>
              <w:rPr>
                <w:sz w:val="24"/>
              </w:rPr>
            </w:pPr>
            <w:r>
              <w:rPr>
                <w:b/>
                <w:sz w:val="24"/>
              </w:rPr>
              <w:t>签订合同时间：</w:t>
            </w:r>
            <w:r>
              <w:rPr>
                <w:sz w:val="24"/>
              </w:rPr>
              <w:t>中标通知书发出之日起</w:t>
            </w:r>
            <w:r>
              <w:rPr>
                <w:rFonts w:hint="eastAsia"/>
                <w:sz w:val="24"/>
                <w:lang w:val="en-US" w:eastAsia="zh-CN"/>
              </w:rPr>
              <w:t>25</w:t>
            </w:r>
            <w:r>
              <w:rPr>
                <w:sz w:val="24"/>
              </w:rPr>
              <w:t>日内签订合同.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15"/>
              <w:ind w:left="0" w:leftChars="0" w:right="162" w:rightChars="0"/>
              <w:jc w:val="right"/>
              <w:rPr>
                <w:sz w:val="24"/>
              </w:rPr>
            </w:pPr>
            <w:r>
              <w:rPr>
                <w:sz w:val="24"/>
              </w:rPr>
              <w:t>14</w:t>
            </w:r>
          </w:p>
        </w:tc>
        <w:tc>
          <w:tcPr>
            <w:tcW w:w="8927" w:type="dxa"/>
            <w:tcBorders>
              <w:left w:val="single" w:color="auto" w:sz="4" w:space="0"/>
            </w:tcBorders>
            <w:vAlign w:val="top"/>
          </w:tcPr>
          <w:p>
            <w:pPr>
              <w:pStyle w:val="15"/>
              <w:spacing w:before="26"/>
              <w:ind w:left="111" w:leftChars="0" w:right="0" w:rightChars="0"/>
              <w:rPr>
                <w:sz w:val="24"/>
              </w:rPr>
            </w:pPr>
            <w:r>
              <w:rPr>
                <w:rFonts w:hint="eastAsia"/>
                <w:b/>
                <w:sz w:val="24"/>
                <w:lang w:eastAsia="zh-CN"/>
              </w:rPr>
              <w:t>服务期</w:t>
            </w:r>
            <w:r>
              <w:rPr>
                <w:b/>
                <w:sz w:val="24"/>
              </w:rPr>
              <w:t>时间</w:t>
            </w:r>
            <w:r>
              <w:rPr>
                <w:b/>
                <w:color w:val="auto"/>
                <w:sz w:val="24"/>
              </w:rPr>
              <w:t>：</w:t>
            </w:r>
            <w:r>
              <w:rPr>
                <w:rFonts w:hint="eastAsia"/>
                <w:color w:val="auto"/>
                <w:sz w:val="24"/>
                <w:lang w:eastAsia="zh-CN"/>
              </w:rPr>
              <w:t>自签订合同的</w:t>
            </w:r>
            <w:r>
              <w:rPr>
                <w:rFonts w:hint="eastAsia"/>
                <w:color w:val="auto"/>
                <w:sz w:val="24"/>
                <w:lang w:val="en-US" w:eastAsia="zh-CN"/>
              </w:rPr>
              <w:t>60日内</w:t>
            </w:r>
            <w:r>
              <w:rPr>
                <w:color w:val="auto"/>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12"/>
              <w:ind w:left="12" w:leftChars="0" w:right="0" w:rightChars="0"/>
              <w:rPr>
                <w:sz w:val="24"/>
              </w:rPr>
            </w:pPr>
            <w:r>
              <w:rPr>
                <w:sz w:val="24"/>
              </w:rPr>
              <w:t>15</w:t>
            </w:r>
          </w:p>
        </w:tc>
        <w:tc>
          <w:tcPr>
            <w:tcW w:w="8927" w:type="dxa"/>
            <w:tcBorders>
              <w:left w:val="single" w:color="auto" w:sz="4" w:space="0"/>
            </w:tcBorders>
            <w:vAlign w:val="top"/>
          </w:tcPr>
          <w:p>
            <w:pPr>
              <w:pStyle w:val="15"/>
              <w:spacing w:before="66"/>
              <w:ind w:left="111" w:leftChars="0" w:right="0" w:rightChars="0"/>
              <w:rPr>
                <w:sz w:val="24"/>
              </w:rPr>
            </w:pPr>
            <w:r>
              <w:rPr>
                <w:b/>
                <w:sz w:val="24"/>
              </w:rPr>
              <w:t>采购资金来源：</w:t>
            </w:r>
            <w:r>
              <w:rPr>
                <w:sz w:val="24"/>
              </w:rPr>
              <w:t>财政资金。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89"/>
              <w:ind w:left="12" w:leftChars="0" w:right="0" w:rightChars="0"/>
              <w:rPr>
                <w:sz w:val="24"/>
              </w:rPr>
            </w:pPr>
            <w:r>
              <w:rPr>
                <w:sz w:val="24"/>
              </w:rPr>
              <w:t>16</w:t>
            </w:r>
          </w:p>
        </w:tc>
        <w:tc>
          <w:tcPr>
            <w:tcW w:w="8927" w:type="dxa"/>
            <w:tcBorders>
              <w:left w:val="single" w:color="auto" w:sz="4" w:space="0"/>
            </w:tcBorders>
            <w:vAlign w:val="top"/>
          </w:tcPr>
          <w:p>
            <w:pPr>
              <w:pStyle w:val="15"/>
              <w:spacing w:before="46"/>
              <w:ind w:left="111" w:leftChars="0" w:right="0" w:rightChars="0"/>
              <w:rPr>
                <w:sz w:val="24"/>
              </w:rPr>
            </w:pPr>
            <w:r>
              <w:rPr>
                <w:b/>
                <w:sz w:val="24"/>
              </w:rPr>
              <w:t>付款方式：</w:t>
            </w:r>
            <w:r>
              <w:rPr>
                <w:sz w:val="24"/>
              </w:rPr>
              <w:t>详见</w:t>
            </w:r>
            <w:r>
              <w:rPr>
                <w:rFonts w:hint="eastAsia"/>
                <w:sz w:val="24"/>
                <w:lang w:eastAsia="zh-CN"/>
              </w:rPr>
              <w:t>第二章的项目采购需求</w:t>
            </w:r>
            <w:r>
              <w:rPr>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
              <w:ind w:left="0" w:leftChars="0" w:right="167" w:rightChars="0"/>
              <w:jc w:val="right"/>
              <w:rPr>
                <w:sz w:val="24"/>
              </w:rPr>
            </w:pPr>
            <w:r>
              <w:rPr>
                <w:sz w:val="24"/>
              </w:rPr>
              <w:t>17</w:t>
            </w:r>
          </w:p>
        </w:tc>
        <w:tc>
          <w:tcPr>
            <w:tcW w:w="8927" w:type="dxa"/>
            <w:tcBorders>
              <w:left w:val="single" w:color="auto" w:sz="4" w:space="0"/>
            </w:tcBorders>
            <w:vAlign w:val="top"/>
          </w:tcPr>
          <w:p>
            <w:pPr>
              <w:pStyle w:val="15"/>
              <w:spacing w:before="1"/>
              <w:ind w:left="5"/>
              <w:rPr>
                <w:sz w:val="24"/>
              </w:rPr>
            </w:pPr>
            <w:r>
              <w:rPr>
                <w:b/>
                <w:sz w:val="24"/>
              </w:rPr>
              <w:t>评标委员会组成：</w:t>
            </w:r>
            <w:r>
              <w:rPr>
                <w:sz w:val="24"/>
              </w:rPr>
              <w:t>评标委员会构成：5人，其中招标人代表 1人、专家4人。</w:t>
            </w:r>
          </w:p>
          <w:p>
            <w:pPr>
              <w:pStyle w:val="15"/>
              <w:spacing w:before="5"/>
              <w:rPr>
                <w:rFonts w:ascii="Times New Roman"/>
                <w:sz w:val="25"/>
              </w:rPr>
            </w:pPr>
          </w:p>
          <w:p>
            <w:pPr>
              <w:pStyle w:val="15"/>
              <w:spacing w:before="1"/>
              <w:ind w:left="5" w:right="1138"/>
              <w:rPr>
                <w:sz w:val="24"/>
              </w:rPr>
            </w:pPr>
            <w:r>
              <w:rPr>
                <w:b/>
                <w:sz w:val="24"/>
              </w:rPr>
              <w:t>评标专家确定方式：</w:t>
            </w:r>
            <w:r>
              <w:rPr>
                <w:sz w:val="24"/>
              </w:rPr>
              <w:t>在</w:t>
            </w:r>
            <w:r>
              <w:rPr>
                <w:rFonts w:hint="eastAsia"/>
                <w:sz w:val="24"/>
                <w:lang w:eastAsia="zh-CN"/>
              </w:rPr>
              <w:t>政采云</w:t>
            </w:r>
            <w:r>
              <w:rPr>
                <w:sz w:val="24"/>
              </w:rPr>
              <w:t>评审专家库管理系统上抽取</w:t>
            </w:r>
          </w:p>
          <w:p>
            <w:pPr>
              <w:pStyle w:val="15"/>
              <w:spacing w:before="1"/>
              <w:ind w:left="5" w:leftChars="0" w:right="1138" w:rightChars="0"/>
              <w:rPr>
                <w:sz w:val="24"/>
              </w:rPr>
            </w:pPr>
            <w:r>
              <w:rPr>
                <w:b/>
                <w:sz w:val="24"/>
              </w:rPr>
              <w:t>是否授权评标委员会确定拟中标供应商：</w:t>
            </w:r>
            <w:r>
              <w:rPr>
                <w:sz w:val="24"/>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90"/>
              <w:ind w:left="0" w:leftChars="0" w:right="162" w:rightChars="0"/>
              <w:jc w:val="right"/>
              <w:rPr>
                <w:sz w:val="24"/>
              </w:rPr>
            </w:pPr>
            <w:r>
              <w:rPr>
                <w:sz w:val="24"/>
              </w:rPr>
              <w:t>18</w:t>
            </w:r>
          </w:p>
        </w:tc>
        <w:tc>
          <w:tcPr>
            <w:tcW w:w="8927" w:type="dxa"/>
            <w:tcBorders>
              <w:left w:val="single" w:color="auto" w:sz="4" w:space="0"/>
            </w:tcBorders>
            <w:vAlign w:val="top"/>
          </w:tcPr>
          <w:p>
            <w:pPr>
              <w:pStyle w:val="15"/>
              <w:spacing w:before="1"/>
              <w:ind w:left="111" w:leftChars="0" w:right="0" w:rightChars="0"/>
              <w:rPr>
                <w:b/>
                <w:sz w:val="24"/>
              </w:rPr>
            </w:pPr>
            <w:r>
              <w:rPr>
                <w:b/>
                <w:sz w:val="24"/>
              </w:rPr>
              <w:t>投标有效期：</w:t>
            </w:r>
            <w:r>
              <w:rPr>
                <w:sz w:val="24"/>
              </w:rPr>
              <w:t>自投标截至之日起</w:t>
            </w:r>
            <w:r>
              <w:rPr>
                <w:sz w:val="24"/>
                <w:u w:val="single"/>
              </w:rPr>
              <w:t>90</w:t>
            </w:r>
            <w:r>
              <w:rPr>
                <w:sz w:val="24"/>
              </w:rPr>
              <w:t>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89"/>
              <w:ind w:left="0" w:leftChars="0" w:right="162" w:rightChars="0"/>
              <w:jc w:val="right"/>
              <w:rPr>
                <w:sz w:val="24"/>
              </w:rPr>
            </w:pPr>
            <w:r>
              <w:rPr>
                <w:sz w:val="24"/>
              </w:rPr>
              <w:t>19</w:t>
            </w:r>
          </w:p>
        </w:tc>
        <w:tc>
          <w:tcPr>
            <w:tcW w:w="8927" w:type="dxa"/>
            <w:tcBorders>
              <w:left w:val="single" w:color="auto" w:sz="4" w:space="0"/>
            </w:tcBorders>
            <w:vAlign w:val="top"/>
          </w:tcPr>
          <w:p>
            <w:pPr>
              <w:pStyle w:val="15"/>
              <w:spacing w:before="3"/>
              <w:ind w:left="111" w:leftChars="0" w:right="0" w:rightChars="0"/>
              <w:rPr>
                <w:b/>
                <w:sz w:val="24"/>
              </w:rPr>
            </w:pPr>
            <w:r>
              <w:rPr>
                <w:b/>
                <w:sz w:val="24"/>
              </w:rPr>
              <w:t>解释：</w:t>
            </w:r>
            <w:r>
              <w:rPr>
                <w:sz w:val="24"/>
              </w:rPr>
              <w:t>本招标文件的解释权属于招标招标代理机构。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5" w:hRule="atLeast"/>
        </w:trPr>
        <w:tc>
          <w:tcPr>
            <w:tcW w:w="723" w:type="dxa"/>
            <w:tcBorders>
              <w:top w:val="single" w:color="auto" w:sz="4" w:space="0"/>
              <w:left w:val="single" w:color="auto" w:sz="4" w:space="0"/>
              <w:bottom w:val="single" w:color="auto" w:sz="4" w:space="0"/>
              <w:right w:val="single" w:color="auto" w:sz="4" w:space="0"/>
            </w:tcBorders>
            <w:vAlign w:val="top"/>
          </w:tcPr>
          <w:p>
            <w:pPr>
              <w:pStyle w:val="15"/>
              <w:spacing w:before="153"/>
              <w:ind w:left="0" w:leftChars="0" w:right="162" w:rightChars="0"/>
              <w:jc w:val="right"/>
              <w:rPr>
                <w:sz w:val="24"/>
              </w:rPr>
            </w:pPr>
            <w:r>
              <w:rPr>
                <w:sz w:val="24"/>
              </w:rPr>
              <w:t>20</w:t>
            </w:r>
          </w:p>
        </w:tc>
        <w:tc>
          <w:tcPr>
            <w:tcW w:w="8927" w:type="dxa"/>
            <w:tcBorders>
              <w:left w:val="single" w:color="auto" w:sz="4" w:space="0"/>
            </w:tcBorders>
            <w:vAlign w:val="top"/>
          </w:tcPr>
          <w:p>
            <w:pPr>
              <w:pStyle w:val="15"/>
              <w:numPr>
                <w:ilvl w:val="0"/>
                <w:numId w:val="10"/>
              </w:numPr>
              <w:tabs>
                <w:tab w:val="left" w:pos="354"/>
              </w:tabs>
              <w:spacing w:before="2" w:after="0" w:line="364" w:lineRule="auto"/>
              <w:ind w:left="111" w:right="89" w:firstLine="0"/>
              <w:jc w:val="both"/>
              <w:rPr>
                <w:sz w:val="24"/>
              </w:rPr>
            </w:pPr>
            <w:r>
              <w:rPr>
                <w:spacing w:val="4"/>
                <w:sz w:val="24"/>
              </w:rPr>
              <w:t>本招标文件中描述投标人的“公章”是指根据我国对公章的管理规定，用</w:t>
            </w:r>
            <w:r>
              <w:rPr>
                <w:spacing w:val="6"/>
                <w:sz w:val="24"/>
              </w:rPr>
              <w:t>投标人法定主体行为名称制作的印章，除本招标文件有特殊规定外，投标人的财务章、部门章、分公司章、工会章、合同章、投标专用章、业务专用章</w:t>
            </w:r>
            <w:r>
              <w:rPr>
                <w:sz w:val="24"/>
              </w:rPr>
              <w:t>等其它形式印章均不能代替公章。</w:t>
            </w:r>
          </w:p>
          <w:p>
            <w:pPr>
              <w:pStyle w:val="15"/>
              <w:numPr>
                <w:ilvl w:val="0"/>
                <w:numId w:val="10"/>
              </w:numPr>
              <w:tabs>
                <w:tab w:val="left" w:pos="354"/>
              </w:tabs>
              <w:spacing w:before="4" w:after="0" w:line="362" w:lineRule="auto"/>
              <w:ind w:left="111" w:right="89" w:firstLine="0"/>
              <w:jc w:val="left"/>
              <w:rPr>
                <w:sz w:val="24"/>
              </w:rPr>
            </w:pPr>
            <w:r>
              <w:rPr>
                <w:spacing w:val="4"/>
                <w:sz w:val="24"/>
              </w:rPr>
              <w:t>本招标文件中描述投标人的“签字”是指投标人的法定代表人或被授权人</w:t>
            </w:r>
            <w:r>
              <w:rPr>
                <w:spacing w:val="6"/>
                <w:sz w:val="24"/>
              </w:rPr>
              <w:t>亲自在招标文件规定签署处亲笔写上个人的名字的行为，私章、签字章、印</w:t>
            </w:r>
          </w:p>
          <w:p>
            <w:pPr>
              <w:pStyle w:val="15"/>
              <w:spacing w:before="5"/>
              <w:ind w:left="111" w:leftChars="0" w:right="0" w:rightChars="0"/>
              <w:rPr>
                <w:b/>
                <w:sz w:val="24"/>
              </w:rPr>
            </w:pPr>
            <w:r>
              <w:rPr>
                <w:sz w:val="24"/>
              </w:rPr>
              <w:t>鉴、影印等其它形式均不能代替亲笔签字。</w:t>
            </w:r>
          </w:p>
        </w:tc>
      </w:tr>
    </w:tbl>
    <w:p>
      <w:pPr>
        <w:pStyle w:val="7"/>
        <w:rPr>
          <w:b/>
          <w:sz w:val="32"/>
        </w:rPr>
      </w:pPr>
    </w:p>
    <w:p>
      <w:pPr>
        <w:pStyle w:val="7"/>
        <w:rPr>
          <w:b/>
          <w:sz w:val="32"/>
        </w:rPr>
      </w:pPr>
    </w:p>
    <w:p>
      <w:pPr>
        <w:pStyle w:val="7"/>
        <w:rPr>
          <w:b/>
          <w:sz w:val="32"/>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7"/>
        <w:spacing w:before="10"/>
        <w:rPr>
          <w:rFonts w:ascii="Times New Roman"/>
          <w:sz w:val="28"/>
        </w:rPr>
      </w:pPr>
    </w:p>
    <w:p>
      <w:pPr>
        <w:pStyle w:val="6"/>
        <w:tabs>
          <w:tab w:val="left" w:pos="964"/>
        </w:tabs>
        <w:spacing w:before="67"/>
        <w:ind w:left="0" w:right="17"/>
        <w:jc w:val="center"/>
      </w:pPr>
      <w:r>
        <w:t>一、总</w:t>
      </w:r>
      <w:r>
        <w:tab/>
      </w:r>
      <w:r>
        <w:t>则</w:t>
      </w:r>
    </w:p>
    <w:p>
      <w:pPr>
        <w:pStyle w:val="7"/>
        <w:spacing w:before="10"/>
        <w:rPr>
          <w:b/>
          <w:sz w:val="28"/>
        </w:rPr>
      </w:pPr>
    </w:p>
    <w:p>
      <w:pPr>
        <w:spacing w:before="0"/>
        <w:ind w:left="570" w:right="0" w:firstLine="0"/>
        <w:jc w:val="left"/>
        <w:rPr>
          <w:b/>
          <w:sz w:val="24"/>
        </w:rPr>
      </w:pPr>
      <w:r>
        <w:rPr>
          <w:b/>
          <w:sz w:val="24"/>
        </w:rPr>
        <w:t>（一）适用范围</w:t>
      </w:r>
    </w:p>
    <w:p>
      <w:pPr>
        <w:pStyle w:val="7"/>
        <w:spacing w:before="158" w:line="364" w:lineRule="auto"/>
        <w:ind w:left="100" w:right="99" w:firstLine="444"/>
      </w:pPr>
      <w:r>
        <w:t>本招标文件适用于</w:t>
      </w:r>
      <w:r>
        <w:rPr>
          <w:rFonts w:hint="eastAsia"/>
          <w:u w:val="single"/>
          <w:lang w:eastAsia="zh-CN"/>
        </w:rPr>
        <w:t>2020年-2021年森林查暨森林资源管理“一张图”年度更新工作经费</w:t>
      </w:r>
      <w:r>
        <w:t>的招标、投标、评标、定标、验收、合同履约、付款等行为（法律、法规另有规定的，从其规定）。</w:t>
      </w:r>
    </w:p>
    <w:p>
      <w:pPr>
        <w:pStyle w:val="6"/>
        <w:spacing w:before="158"/>
      </w:pPr>
      <w:r>
        <w:t>（二）定义</w:t>
      </w:r>
    </w:p>
    <w:p>
      <w:pPr>
        <w:pStyle w:val="14"/>
        <w:numPr>
          <w:ilvl w:val="1"/>
          <w:numId w:val="11"/>
        </w:numPr>
        <w:tabs>
          <w:tab w:val="left" w:pos="1116"/>
        </w:tabs>
        <w:spacing w:before="160" w:after="0" w:line="362" w:lineRule="auto"/>
        <w:ind w:left="392" w:right="526" w:firstLine="480"/>
        <w:jc w:val="left"/>
        <w:rPr>
          <w:sz w:val="24"/>
        </w:rPr>
      </w:pPr>
      <w:r>
        <w:rPr>
          <w:spacing w:val="-3"/>
          <w:sz w:val="24"/>
        </w:rPr>
        <w:t>招标人系指组织本次招标的</w:t>
      </w:r>
      <w:r>
        <w:rPr>
          <w:rFonts w:hint="eastAsia"/>
          <w:spacing w:val="-3"/>
          <w:sz w:val="24"/>
          <w:lang w:eastAsia="zh-CN"/>
        </w:rPr>
        <w:t>博白县自然资源局</w:t>
      </w:r>
      <w:r>
        <w:rPr>
          <w:spacing w:val="-3"/>
          <w:sz w:val="24"/>
        </w:rPr>
        <w:t>，招标招标代理机构系指组织本次招标的。</w:t>
      </w:r>
    </w:p>
    <w:p>
      <w:pPr>
        <w:pStyle w:val="14"/>
        <w:numPr>
          <w:ilvl w:val="1"/>
          <w:numId w:val="11"/>
        </w:numPr>
        <w:tabs>
          <w:tab w:val="left" w:pos="1113"/>
        </w:tabs>
        <w:spacing w:before="5" w:after="0" w:line="240" w:lineRule="auto"/>
        <w:ind w:left="1112" w:right="0" w:hanging="241"/>
        <w:jc w:val="left"/>
        <w:rPr>
          <w:sz w:val="24"/>
        </w:rPr>
      </w:pPr>
      <w:r>
        <w:rPr>
          <w:sz w:val="24"/>
        </w:rPr>
        <w:t>“投标人”系指向招标方提交投标文件的单位或自然人。</w:t>
      </w:r>
    </w:p>
    <w:p>
      <w:pPr>
        <w:pStyle w:val="14"/>
        <w:numPr>
          <w:ilvl w:val="1"/>
          <w:numId w:val="11"/>
        </w:numPr>
        <w:tabs>
          <w:tab w:val="left" w:pos="1116"/>
        </w:tabs>
        <w:spacing w:before="158" w:after="0" w:line="364" w:lineRule="auto"/>
        <w:ind w:left="392" w:right="286" w:firstLine="480"/>
        <w:jc w:val="left"/>
        <w:rPr>
          <w:sz w:val="24"/>
        </w:rPr>
      </w:pPr>
      <w:r>
        <w:rPr>
          <w:spacing w:val="-3"/>
          <w:sz w:val="24"/>
        </w:rPr>
        <w:t>“产品”系指供方按招标文件规定，须向招标人提供的一切设备、政府购买服务、</w:t>
      </w:r>
      <w:r>
        <w:rPr>
          <w:spacing w:val="-2"/>
          <w:sz w:val="24"/>
        </w:rPr>
        <w:t>保险、税金、备品备件、工具、手册及其它有关技术资料和材料。</w:t>
      </w:r>
    </w:p>
    <w:p>
      <w:pPr>
        <w:pStyle w:val="14"/>
        <w:numPr>
          <w:ilvl w:val="1"/>
          <w:numId w:val="11"/>
        </w:numPr>
        <w:tabs>
          <w:tab w:val="left" w:pos="1116"/>
        </w:tabs>
        <w:spacing w:before="0" w:after="0" w:line="364" w:lineRule="auto"/>
        <w:ind w:left="392" w:right="286" w:firstLine="480"/>
        <w:jc w:val="left"/>
        <w:rPr>
          <w:sz w:val="24"/>
        </w:rPr>
      </w:pPr>
      <w:r>
        <w:rPr>
          <w:spacing w:val="-3"/>
          <w:sz w:val="24"/>
        </w:rPr>
        <w:t>“服务”系指招标文件规定投标人须承担的安装、调试、技术协助、校准、培训、</w:t>
      </w:r>
      <w:r>
        <w:rPr>
          <w:spacing w:val="-2"/>
          <w:sz w:val="24"/>
        </w:rPr>
        <w:t>技术指导以及其他类似的义务。</w:t>
      </w:r>
    </w:p>
    <w:p>
      <w:pPr>
        <w:pStyle w:val="14"/>
        <w:numPr>
          <w:ilvl w:val="1"/>
          <w:numId w:val="11"/>
        </w:numPr>
        <w:tabs>
          <w:tab w:val="left" w:pos="1113"/>
        </w:tabs>
        <w:spacing w:before="0" w:after="0" w:line="306" w:lineRule="exact"/>
        <w:ind w:left="1112" w:right="0" w:hanging="241"/>
        <w:jc w:val="left"/>
        <w:rPr>
          <w:sz w:val="24"/>
        </w:rPr>
      </w:pPr>
      <w:r>
        <w:rPr>
          <w:sz w:val="24"/>
        </w:rPr>
        <w:t>“项目”系指投标人按招标文件规定向招标人提供的产品和服务。</w:t>
      </w:r>
    </w:p>
    <w:p>
      <w:pPr>
        <w:pStyle w:val="14"/>
        <w:numPr>
          <w:ilvl w:val="1"/>
          <w:numId w:val="11"/>
        </w:numPr>
        <w:tabs>
          <w:tab w:val="left" w:pos="1113"/>
        </w:tabs>
        <w:spacing w:before="160" w:after="0" w:line="240" w:lineRule="auto"/>
        <w:ind w:left="1112" w:right="0" w:hanging="241"/>
        <w:jc w:val="left"/>
        <w:rPr>
          <w:sz w:val="24"/>
        </w:rPr>
      </w:pPr>
      <w:r>
        <w:rPr>
          <w:sz w:val="24"/>
        </w:rPr>
        <w:t>“书面形式”包括信函、传真、电报等。</w:t>
      </w:r>
    </w:p>
    <w:p>
      <w:pPr>
        <w:pStyle w:val="14"/>
        <w:numPr>
          <w:ilvl w:val="1"/>
          <w:numId w:val="11"/>
        </w:numPr>
        <w:tabs>
          <w:tab w:val="left" w:pos="1113"/>
        </w:tabs>
        <w:spacing w:before="160" w:after="0" w:line="240" w:lineRule="auto"/>
        <w:ind w:left="1112" w:right="0" w:hanging="241"/>
        <w:jc w:val="left"/>
        <w:rPr>
          <w:sz w:val="24"/>
        </w:rPr>
      </w:pPr>
      <w:r>
        <w:rPr>
          <w:sz w:val="24"/>
        </w:rPr>
        <w:t>“▲”系指实质性要求条款。</w:t>
      </w:r>
    </w:p>
    <w:p>
      <w:pPr>
        <w:spacing w:before="158" w:line="362" w:lineRule="auto"/>
        <w:ind w:left="580" w:right="7749" w:hanging="24"/>
        <w:jc w:val="left"/>
        <w:rPr>
          <w:sz w:val="24"/>
        </w:rPr>
      </w:pPr>
      <w:r>
        <w:rPr>
          <w:b/>
          <w:w w:val="95"/>
          <w:sz w:val="24"/>
        </w:rPr>
        <w:t>（</w:t>
      </w:r>
      <w:r>
        <w:rPr>
          <w:b/>
          <w:spacing w:val="4"/>
          <w:w w:val="95"/>
          <w:sz w:val="24"/>
        </w:rPr>
        <w:t>三</w:t>
      </w:r>
      <w:r>
        <w:rPr>
          <w:b/>
          <w:w w:val="95"/>
          <w:sz w:val="24"/>
        </w:rPr>
        <w:t>）</w:t>
      </w:r>
      <w:r>
        <w:rPr>
          <w:b/>
          <w:spacing w:val="3"/>
          <w:w w:val="95"/>
          <w:sz w:val="24"/>
        </w:rPr>
        <w:t>招标方式</w:t>
      </w:r>
      <w:r>
        <w:rPr>
          <w:spacing w:val="-1"/>
          <w:sz w:val="24"/>
        </w:rPr>
        <w:t>公开招标方式。</w:t>
      </w:r>
    </w:p>
    <w:p>
      <w:pPr>
        <w:pStyle w:val="6"/>
        <w:spacing w:before="5"/>
        <w:ind w:left="555"/>
      </w:pPr>
      <w:r>
        <w:rPr>
          <w:w w:val="90"/>
        </w:rPr>
        <w:t>（</w:t>
      </w:r>
      <w:r>
        <w:rPr>
          <w:spacing w:val="4"/>
          <w:w w:val="90"/>
        </w:rPr>
        <w:t>四</w:t>
      </w:r>
      <w:r>
        <w:rPr>
          <w:w w:val="90"/>
        </w:rPr>
        <w:t>）</w:t>
      </w:r>
      <w:r>
        <w:rPr>
          <w:spacing w:val="3"/>
          <w:w w:val="90"/>
        </w:rPr>
        <w:t>投标委托</w:t>
      </w:r>
    </w:p>
    <w:p>
      <w:pPr>
        <w:pStyle w:val="7"/>
        <w:spacing w:before="8"/>
        <w:rPr>
          <w:b/>
          <w:sz w:val="19"/>
        </w:rPr>
      </w:pPr>
    </w:p>
    <w:p>
      <w:pPr>
        <w:pStyle w:val="7"/>
        <w:spacing w:line="364" w:lineRule="auto"/>
        <w:ind w:left="100" w:right="309" w:firstLine="480"/>
      </w:pPr>
      <w:r>
        <w:t>投标人代表须携带有效身份证件。如投标人代表不是法定代表人，须有法定代表人出具的授权委托书（正本用原件，副本用复印件，格式见第六章）和有效身份证件。</w:t>
      </w:r>
    </w:p>
    <w:p>
      <w:pPr>
        <w:pStyle w:val="6"/>
        <w:spacing w:line="306" w:lineRule="exact"/>
      </w:pPr>
      <w:r>
        <w:t>（五）投标费用</w:t>
      </w:r>
    </w:p>
    <w:p>
      <w:pPr>
        <w:pStyle w:val="7"/>
        <w:spacing w:before="11"/>
        <w:rPr>
          <w:b/>
          <w:sz w:val="19"/>
        </w:rPr>
      </w:pPr>
    </w:p>
    <w:p>
      <w:pPr>
        <w:pStyle w:val="7"/>
        <w:ind w:left="580"/>
      </w:pPr>
      <w:r>
        <w:t>1、投标人均应自行承担所有与投标有关的全部费用（招标文件有相关的规定除外）。</w:t>
      </w:r>
    </w:p>
    <w:p>
      <w:pPr>
        <w:pStyle w:val="7"/>
        <w:spacing w:before="6"/>
        <w:rPr>
          <w:sz w:val="19"/>
        </w:rPr>
      </w:pPr>
    </w:p>
    <w:p>
      <w:pPr>
        <w:pStyle w:val="6"/>
      </w:pPr>
      <w:r>
        <w:t>（六）联合体投标</w:t>
      </w:r>
    </w:p>
    <w:p>
      <w:pPr>
        <w:pStyle w:val="7"/>
        <w:spacing w:before="10"/>
        <w:rPr>
          <w:b/>
          <w:sz w:val="19"/>
        </w:rPr>
      </w:pPr>
    </w:p>
    <w:p>
      <w:pPr>
        <w:pStyle w:val="7"/>
        <w:ind w:left="580"/>
      </w:pPr>
      <w:r>
        <w:t>本项目不接受联合体投标。</w:t>
      </w:r>
    </w:p>
    <w:p>
      <w:pPr>
        <w:pStyle w:val="7"/>
        <w:spacing w:before="9"/>
        <w:rPr>
          <w:sz w:val="19"/>
        </w:rPr>
      </w:pPr>
    </w:p>
    <w:p>
      <w:pPr>
        <w:pStyle w:val="6"/>
      </w:pPr>
      <w:r>
        <w:t>（七）特别说明</w:t>
      </w:r>
    </w:p>
    <w:p>
      <w:pPr>
        <w:spacing w:after="0"/>
        <w:sectPr>
          <w:footerReference r:id="rId7" w:type="default"/>
          <w:pgSz w:w="11910" w:h="16840"/>
          <w:pgMar w:top="1140" w:right="920" w:bottom="940" w:left="980" w:header="900" w:footer="757" w:gutter="0"/>
          <w:pgNumType w:fmt="decimal"/>
        </w:sectPr>
      </w:pPr>
    </w:p>
    <w:p>
      <w:pPr>
        <w:pStyle w:val="7"/>
        <w:spacing w:before="3"/>
        <w:rPr>
          <w:b/>
          <w:sz w:val="18"/>
        </w:rPr>
      </w:pPr>
    </w:p>
    <w:p>
      <w:pPr>
        <w:pStyle w:val="7"/>
        <w:spacing w:before="67" w:line="364" w:lineRule="auto"/>
        <w:ind w:left="100" w:right="309" w:firstLine="480"/>
        <w:jc w:val="both"/>
      </w:pPr>
      <w:r>
        <w:t>▲1.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pPr>
        <w:pStyle w:val="7"/>
        <w:spacing w:line="364" w:lineRule="auto"/>
        <w:ind w:left="100" w:right="309" w:firstLine="480"/>
        <w:jc w:val="both"/>
      </w:pPr>
      <w:r>
        <w:t>评审时，提供相同品牌产品且通过资格审查、符合性审查的不同投标人参加同一合同项下投标的，按一家投标人计算，评审后得分最高的同品牌供应商获得中标候选人推荐资格； 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7"/>
        <w:spacing w:line="362" w:lineRule="auto"/>
        <w:ind w:left="100" w:right="309" w:firstLine="480"/>
      </w:pPr>
      <w:r>
        <w:rPr>
          <w:spacing w:val="-1"/>
        </w:rPr>
        <w:t>非单一产品采购项目，采购人应当根据采购项目技术构成、产品价格比重等合理确定核</w:t>
      </w:r>
      <w:r>
        <w:t>心产品，并在招标文件中载明。多家投标人提供的核心产品品牌相同的，按前两款规定处 理。</w:t>
      </w:r>
    </w:p>
    <w:p>
      <w:pPr>
        <w:pStyle w:val="7"/>
        <w:spacing w:before="4" w:line="364" w:lineRule="auto"/>
        <w:ind w:left="102" w:right="305" w:firstLine="480"/>
        <w:jc w:val="both"/>
      </w:pPr>
      <w:r>
        <w:t>▲2.投标人投标所使用的资格、信誉、荣誉、业绩与企业认证必须为本法人所拥有。投标人投标所使用的采购项目实施人员必须为本法人员工（或必须为本法人或控股公司正式员工）。</w:t>
      </w:r>
    </w:p>
    <w:p>
      <w:pPr>
        <w:pStyle w:val="7"/>
        <w:spacing w:line="362" w:lineRule="auto"/>
        <w:ind w:left="102" w:right="305" w:firstLine="480"/>
      </w:pPr>
      <w:r>
        <w:t>▲3.投标人应仔细阅读招标文件的所有内容，按照招标文件的要求提交投标文件，并对所提供的全部资料的真实性承担法律责任。</w:t>
      </w:r>
    </w:p>
    <w:p>
      <w:pPr>
        <w:pStyle w:val="7"/>
        <w:spacing w:before="4" w:line="364" w:lineRule="auto"/>
        <w:ind w:left="102" w:right="305" w:firstLine="480"/>
      </w:pPr>
      <w:r>
        <w:t>▲4.</w:t>
      </w:r>
      <w:r>
        <w:rPr>
          <w:spacing w:val="-1"/>
        </w:rPr>
        <w:t>投标人在投标活动中提供任何虚假材料，其投标无效，并报监管部门查处；中标后</w:t>
      </w:r>
      <w:r>
        <w:t>发现的，中标人须依照《中华人民共和国消费者权益保护法》第49条之规定双倍赔偿采购 人，且民事赔偿并不免除违法投标人的行政与刑事责任。</w:t>
      </w:r>
    </w:p>
    <w:p>
      <w:pPr>
        <w:spacing w:before="90" w:line="436" w:lineRule="auto"/>
        <w:ind w:left="580" w:right="7388" w:hanging="8"/>
        <w:jc w:val="left"/>
        <w:rPr>
          <w:sz w:val="24"/>
        </w:rPr>
      </w:pPr>
      <w:r>
        <w:rPr>
          <w:b/>
          <w:sz w:val="24"/>
        </w:rPr>
        <w:t>（八） 质疑和投诉</w:t>
      </w:r>
      <w:r>
        <w:rPr>
          <w:sz w:val="24"/>
        </w:rPr>
        <w:t>1、 质疑</w:t>
      </w:r>
    </w:p>
    <w:p>
      <w:pPr>
        <w:pStyle w:val="14"/>
        <w:numPr>
          <w:ilvl w:val="1"/>
          <w:numId w:val="12"/>
        </w:numPr>
        <w:tabs>
          <w:tab w:val="left" w:pos="941"/>
        </w:tabs>
        <w:spacing w:before="2" w:after="0" w:line="364" w:lineRule="auto"/>
        <w:ind w:left="100" w:right="156" w:firstLine="480"/>
        <w:jc w:val="both"/>
        <w:rPr>
          <w:sz w:val="24"/>
        </w:rPr>
      </w:pPr>
      <w:r>
        <w:rPr>
          <w:sz w:val="24"/>
        </w:rPr>
        <w:t>投标人认为招标文件、招标过程和中标结果使自己的权益受到损害的，可以在其知道或者应知其权益受到损害之日起七个工作日内，依照有关规定，以书面形式向招标代理机构</w:t>
      </w:r>
      <w:r>
        <w:rPr>
          <w:spacing w:val="-5"/>
          <w:sz w:val="24"/>
        </w:rPr>
        <w:t>或招标人提出质疑并及时索要书面回执。</w:t>
      </w:r>
    </w:p>
    <w:p>
      <w:pPr>
        <w:pStyle w:val="14"/>
        <w:numPr>
          <w:ilvl w:val="1"/>
          <w:numId w:val="12"/>
        </w:numPr>
        <w:tabs>
          <w:tab w:val="left" w:pos="915"/>
        </w:tabs>
        <w:spacing w:before="0" w:after="0" w:line="364" w:lineRule="auto"/>
        <w:ind w:left="100" w:right="245" w:firstLine="458"/>
        <w:jc w:val="left"/>
        <w:rPr>
          <w:sz w:val="24"/>
        </w:rPr>
      </w:pPr>
      <w:r>
        <w:rPr>
          <w:spacing w:val="-5"/>
          <w:sz w:val="24"/>
        </w:rPr>
        <w:t>招标代理机构或招标人应当依照</w:t>
      </w:r>
      <w:r>
        <w:rPr>
          <w:sz w:val="24"/>
        </w:rPr>
        <w:t>1.1</w:t>
      </w:r>
      <w:r>
        <w:rPr>
          <w:spacing w:val="-7"/>
          <w:sz w:val="24"/>
        </w:rPr>
        <w:t>项的规定就招标人委托授权范围内的事项在收到投</w:t>
      </w:r>
      <w:r>
        <w:rPr>
          <w:spacing w:val="-8"/>
          <w:sz w:val="24"/>
        </w:rPr>
        <w:t>标人的书面质疑后七个工作日内做出答复，但答复的内容不得涉及商业秘密。</w:t>
      </w:r>
    </w:p>
    <w:p>
      <w:pPr>
        <w:pStyle w:val="14"/>
        <w:numPr>
          <w:ilvl w:val="1"/>
          <w:numId w:val="12"/>
        </w:numPr>
        <w:tabs>
          <w:tab w:val="left" w:pos="941"/>
        </w:tabs>
        <w:spacing w:before="0" w:after="0" w:line="240" w:lineRule="auto"/>
        <w:ind w:left="941" w:right="0" w:hanging="361"/>
        <w:jc w:val="left"/>
        <w:rPr>
          <w:sz w:val="24"/>
        </w:rPr>
      </w:pPr>
      <w:r>
        <w:rPr>
          <w:sz w:val="24"/>
        </w:rPr>
        <w:t>质疑书的要求</w:t>
      </w:r>
    </w:p>
    <w:p>
      <w:pPr>
        <w:pStyle w:val="7"/>
        <w:spacing w:before="4"/>
        <w:rPr>
          <w:sz w:val="19"/>
        </w:rPr>
      </w:pPr>
    </w:p>
    <w:p>
      <w:pPr>
        <w:pStyle w:val="14"/>
        <w:numPr>
          <w:ilvl w:val="2"/>
          <w:numId w:val="12"/>
        </w:numPr>
        <w:tabs>
          <w:tab w:val="left" w:pos="1181"/>
        </w:tabs>
        <w:spacing w:before="0" w:after="0" w:line="364" w:lineRule="auto"/>
        <w:ind w:left="100" w:right="189" w:firstLine="480"/>
        <w:jc w:val="left"/>
        <w:rPr>
          <w:sz w:val="24"/>
        </w:rPr>
      </w:pPr>
      <w:r>
        <w:rPr>
          <w:sz w:val="24"/>
        </w:rPr>
        <w:t>质疑人提供的书面材料（如材料中有外文资料应同时附上中文译本）</w:t>
      </w:r>
      <w:r>
        <w:rPr>
          <w:spacing w:val="-4"/>
          <w:sz w:val="24"/>
        </w:rPr>
        <w:t>应当包括以下</w:t>
      </w:r>
      <w:r>
        <w:rPr>
          <w:sz w:val="24"/>
        </w:rPr>
        <w:t>内容：</w:t>
      </w:r>
    </w:p>
    <w:p>
      <w:pPr>
        <w:spacing w:after="0" w:line="364" w:lineRule="auto"/>
        <w:jc w:val="left"/>
        <w:rPr>
          <w:sz w:val="24"/>
        </w:rPr>
        <w:sectPr>
          <w:pgSz w:w="11910" w:h="16840"/>
          <w:pgMar w:top="1140" w:right="920" w:bottom="940" w:left="980" w:header="900" w:footer="757" w:gutter="0"/>
          <w:pgNumType w:fmt="decimal"/>
        </w:sectPr>
      </w:pPr>
    </w:p>
    <w:p>
      <w:pPr>
        <w:pStyle w:val="7"/>
        <w:spacing w:before="3"/>
        <w:rPr>
          <w:sz w:val="18"/>
        </w:rPr>
      </w:pPr>
    </w:p>
    <w:p>
      <w:pPr>
        <w:pStyle w:val="7"/>
        <w:spacing w:before="67" w:line="364" w:lineRule="auto"/>
        <w:ind w:left="100" w:right="309" w:firstLine="480"/>
      </w:pPr>
      <w:r>
        <w:t>质疑人的单位名称或姓名、详细地址、邮政编码、联系电话等；被质疑人的单位名称或姓名等；</w:t>
      </w:r>
    </w:p>
    <w:p>
      <w:pPr>
        <w:pStyle w:val="7"/>
        <w:spacing w:line="306" w:lineRule="exact"/>
        <w:ind w:left="580"/>
      </w:pPr>
      <w:r>
        <w:t>权益受到损害的事实及理由；</w:t>
      </w:r>
    </w:p>
    <w:p>
      <w:pPr>
        <w:pStyle w:val="7"/>
        <w:spacing w:before="10"/>
        <w:rPr>
          <w:sz w:val="19"/>
        </w:rPr>
      </w:pPr>
    </w:p>
    <w:p>
      <w:pPr>
        <w:pStyle w:val="7"/>
        <w:ind w:left="580"/>
      </w:pPr>
      <w:r>
        <w:t>有关违纪违规的情况和有效证明材料；质疑人的签章及质疑时间；</w:t>
      </w:r>
    </w:p>
    <w:p>
      <w:pPr>
        <w:pStyle w:val="7"/>
        <w:spacing w:before="158" w:line="364" w:lineRule="auto"/>
        <w:ind w:left="100" w:right="309" w:firstLine="480"/>
      </w:pPr>
      <w:r>
        <w:t>质疑书应当署名，质疑供应商为自然人的，应当由本人签字；质疑供应商为法人或者其他组织的，应当由法定代表人或者主要负责人签字并加盖公章；</w:t>
      </w:r>
    </w:p>
    <w:p>
      <w:pPr>
        <w:pStyle w:val="7"/>
        <w:spacing w:before="2" w:line="362" w:lineRule="auto"/>
        <w:ind w:left="100" w:right="309" w:firstLine="480"/>
      </w:pPr>
      <w:r>
        <w:t>质疑供应商可以委托代理人办理质疑事务，代理人办理质疑事务时，除提交质疑书外， 还应当提交质疑供应商的授权委托书，授权委托书应当载明委托代理的具体权限和事项。</w:t>
      </w:r>
    </w:p>
    <w:p>
      <w:pPr>
        <w:pStyle w:val="7"/>
        <w:spacing w:before="5" w:line="434" w:lineRule="auto"/>
        <w:ind w:left="580" w:right="3909"/>
      </w:pPr>
      <w:r>
        <w:t>如不按上述规定质疑的，视为无效质疑，不予受理。2.投诉</w:t>
      </w:r>
    </w:p>
    <w:p>
      <w:pPr>
        <w:pStyle w:val="14"/>
        <w:numPr>
          <w:ilvl w:val="1"/>
          <w:numId w:val="13"/>
        </w:numPr>
        <w:tabs>
          <w:tab w:val="left" w:pos="927"/>
        </w:tabs>
        <w:spacing w:before="5" w:after="0" w:line="362" w:lineRule="auto"/>
        <w:ind w:left="100" w:right="240" w:firstLine="465"/>
        <w:jc w:val="left"/>
        <w:rPr>
          <w:sz w:val="24"/>
        </w:rPr>
      </w:pPr>
      <w:r>
        <w:rPr>
          <w:spacing w:val="-3"/>
          <w:sz w:val="24"/>
        </w:rPr>
        <w:t>投诉人必须首先经过质疑程序，在对招标代理机构或招标人的答复不满意或者招标代理机构（或招标人）未在规定的时间内做出答复的，可以在答复期满后十五个工作日内按</w:t>
      </w:r>
    </w:p>
    <w:p>
      <w:pPr>
        <w:spacing w:before="3" w:line="364" w:lineRule="auto"/>
        <w:ind w:left="100" w:right="207" w:firstLine="0"/>
        <w:jc w:val="left"/>
        <w:rPr>
          <w:sz w:val="22"/>
        </w:rPr>
      </w:pPr>
      <w:r>
        <w:rPr>
          <w:spacing w:val="-5"/>
          <w:sz w:val="22"/>
        </w:rPr>
        <w:t>《政府采购供应商投诉处理办法》</w:t>
      </w:r>
      <w:r>
        <w:rPr>
          <w:sz w:val="22"/>
        </w:rPr>
        <w:t>（</w:t>
      </w:r>
      <w:r>
        <w:rPr>
          <w:spacing w:val="-8"/>
          <w:sz w:val="22"/>
        </w:rPr>
        <w:t>中华人民共和国财政部第</w:t>
      </w:r>
      <w:r>
        <w:rPr>
          <w:sz w:val="22"/>
        </w:rPr>
        <w:t>20</w:t>
      </w:r>
      <w:r>
        <w:rPr>
          <w:spacing w:val="-22"/>
          <w:sz w:val="22"/>
        </w:rPr>
        <w:t>号令</w:t>
      </w:r>
      <w:r>
        <w:rPr>
          <w:spacing w:val="-27"/>
          <w:sz w:val="22"/>
        </w:rPr>
        <w:t>）</w:t>
      </w:r>
      <w:r>
        <w:rPr>
          <w:spacing w:val="-5"/>
          <w:sz w:val="22"/>
        </w:rPr>
        <w:t>及向</w:t>
      </w:r>
      <w:r>
        <w:rPr>
          <w:rFonts w:hint="eastAsia"/>
          <w:spacing w:val="-5"/>
          <w:sz w:val="22"/>
          <w:lang w:eastAsia="zh-CN"/>
        </w:rPr>
        <w:t>博白</w:t>
      </w:r>
      <w:r>
        <w:rPr>
          <w:spacing w:val="-5"/>
          <w:sz w:val="22"/>
        </w:rPr>
        <w:t>县财政局政府采购监督</w:t>
      </w:r>
      <w:r>
        <w:rPr>
          <w:spacing w:val="-3"/>
          <w:sz w:val="22"/>
        </w:rPr>
        <w:t>管理部门投诉。</w:t>
      </w:r>
    </w:p>
    <w:p>
      <w:pPr>
        <w:pStyle w:val="14"/>
        <w:numPr>
          <w:ilvl w:val="1"/>
          <w:numId w:val="13"/>
        </w:numPr>
        <w:tabs>
          <w:tab w:val="left" w:pos="941"/>
        </w:tabs>
        <w:spacing w:before="2" w:after="0" w:line="364" w:lineRule="auto"/>
        <w:ind w:left="100" w:right="189" w:firstLine="480"/>
        <w:jc w:val="left"/>
        <w:rPr>
          <w:sz w:val="24"/>
        </w:rPr>
      </w:pPr>
      <w:r>
        <w:rPr>
          <w:spacing w:val="-1"/>
          <w:sz w:val="24"/>
        </w:rPr>
        <w:t>政府采购监督管理部门在处理投诉事项期间，可以视具体情况书面通知招标人暂停采</w:t>
      </w:r>
      <w:r>
        <w:rPr>
          <w:sz w:val="24"/>
        </w:rPr>
        <w:t>购活动。</w:t>
      </w:r>
    </w:p>
    <w:p>
      <w:pPr>
        <w:pStyle w:val="3"/>
      </w:pPr>
      <w:bookmarkStart w:id="1" w:name="二、招标文件"/>
      <w:bookmarkEnd w:id="1"/>
      <w:r>
        <w:t>二、招标文件</w:t>
      </w:r>
    </w:p>
    <w:p>
      <w:pPr>
        <w:spacing w:before="64" w:line="550" w:lineRule="atLeast"/>
        <w:ind w:left="580" w:right="3589" w:hanging="8"/>
        <w:jc w:val="left"/>
        <w:rPr>
          <w:sz w:val="24"/>
        </w:rPr>
      </w:pPr>
      <w:r>
        <w:rPr>
          <w:b/>
          <w:sz w:val="24"/>
        </w:rPr>
        <w:t>（一）</w:t>
      </w:r>
      <w:r>
        <w:rPr>
          <w:b/>
          <w:spacing w:val="-11"/>
          <w:sz w:val="24"/>
        </w:rPr>
        <w:t xml:space="preserve"> 招标文件的构成。本招标文件由以下部份组成： </w:t>
      </w:r>
      <w:r>
        <w:rPr>
          <w:sz w:val="24"/>
        </w:rPr>
        <w:t>1.招标公告；</w:t>
      </w:r>
    </w:p>
    <w:p>
      <w:pPr>
        <w:pStyle w:val="14"/>
        <w:numPr>
          <w:ilvl w:val="0"/>
          <w:numId w:val="14"/>
        </w:numPr>
        <w:tabs>
          <w:tab w:val="left" w:pos="821"/>
        </w:tabs>
        <w:spacing w:before="104" w:after="0" w:line="240" w:lineRule="auto"/>
        <w:ind w:left="821" w:right="0" w:hanging="241"/>
        <w:jc w:val="left"/>
        <w:rPr>
          <w:sz w:val="24"/>
        </w:rPr>
      </w:pPr>
      <w:r>
        <w:rPr>
          <w:sz w:val="24"/>
        </w:rPr>
        <w:t>招标项目采购需求；</w:t>
      </w:r>
    </w:p>
    <w:p>
      <w:pPr>
        <w:pStyle w:val="14"/>
        <w:numPr>
          <w:ilvl w:val="0"/>
          <w:numId w:val="14"/>
        </w:numPr>
        <w:tabs>
          <w:tab w:val="left" w:pos="821"/>
        </w:tabs>
        <w:spacing w:before="96" w:after="0" w:line="240" w:lineRule="auto"/>
        <w:ind w:left="821" w:right="0" w:hanging="241"/>
        <w:jc w:val="left"/>
        <w:rPr>
          <w:sz w:val="24"/>
        </w:rPr>
      </w:pPr>
      <w:r>
        <w:rPr>
          <w:sz w:val="24"/>
        </w:rPr>
        <w:t>投标人须知；</w:t>
      </w:r>
    </w:p>
    <w:p>
      <w:pPr>
        <w:pStyle w:val="14"/>
        <w:numPr>
          <w:ilvl w:val="0"/>
          <w:numId w:val="14"/>
        </w:numPr>
        <w:tabs>
          <w:tab w:val="left" w:pos="821"/>
        </w:tabs>
        <w:spacing w:before="93" w:after="0" w:line="240" w:lineRule="auto"/>
        <w:ind w:left="821" w:right="0" w:hanging="241"/>
        <w:jc w:val="left"/>
        <w:rPr>
          <w:sz w:val="24"/>
        </w:rPr>
      </w:pPr>
      <w:r>
        <w:rPr>
          <w:sz w:val="24"/>
        </w:rPr>
        <w:t>评标办法及标准；</w:t>
      </w:r>
    </w:p>
    <w:p>
      <w:pPr>
        <w:pStyle w:val="14"/>
        <w:numPr>
          <w:ilvl w:val="0"/>
          <w:numId w:val="14"/>
        </w:numPr>
        <w:tabs>
          <w:tab w:val="left" w:pos="821"/>
        </w:tabs>
        <w:spacing w:before="96" w:after="0" w:line="240" w:lineRule="auto"/>
        <w:ind w:left="821" w:right="0" w:hanging="241"/>
        <w:jc w:val="left"/>
        <w:rPr>
          <w:sz w:val="24"/>
        </w:rPr>
      </w:pPr>
      <w:r>
        <w:rPr>
          <w:sz w:val="24"/>
        </w:rPr>
        <w:t>合同主要条款；</w:t>
      </w:r>
    </w:p>
    <w:p>
      <w:pPr>
        <w:pStyle w:val="14"/>
        <w:numPr>
          <w:ilvl w:val="0"/>
          <w:numId w:val="14"/>
        </w:numPr>
        <w:tabs>
          <w:tab w:val="left" w:pos="821"/>
        </w:tabs>
        <w:spacing w:before="96" w:after="0" w:line="240" w:lineRule="auto"/>
        <w:ind w:left="821" w:right="0" w:hanging="241"/>
        <w:jc w:val="left"/>
        <w:rPr>
          <w:sz w:val="24"/>
        </w:rPr>
      </w:pPr>
      <w:r>
        <w:rPr>
          <w:sz w:val="24"/>
        </w:rPr>
        <w:t>投标文件格式。</w:t>
      </w:r>
    </w:p>
    <w:p>
      <w:pPr>
        <w:pStyle w:val="6"/>
        <w:spacing w:before="96"/>
        <w:ind w:left="580"/>
      </w:pPr>
      <w:r>
        <w:t>（二）投标人的风险</w:t>
      </w:r>
    </w:p>
    <w:p>
      <w:pPr>
        <w:pStyle w:val="7"/>
        <w:spacing w:before="98" w:line="362" w:lineRule="auto"/>
        <w:ind w:left="100" w:right="309" w:firstLine="480"/>
      </w:pPr>
      <w:r>
        <w:t>投标人没有按照招标文件要求提供全部资料，或者投标人没有对招标文件在各方面作出实质性响应是投标人的风险，并可能导致其投标被拒绝。</w:t>
      </w:r>
    </w:p>
    <w:p>
      <w:pPr>
        <w:pStyle w:val="6"/>
        <w:spacing w:before="122"/>
      </w:pPr>
      <w:r>
        <w:t>（三）招标文件的澄清与修改</w:t>
      </w:r>
    </w:p>
    <w:p>
      <w:pPr>
        <w:pStyle w:val="7"/>
        <w:spacing w:before="11"/>
        <w:rPr>
          <w:b/>
          <w:sz w:val="19"/>
        </w:rPr>
      </w:pPr>
    </w:p>
    <w:p>
      <w:pPr>
        <w:pStyle w:val="14"/>
        <w:numPr>
          <w:ilvl w:val="0"/>
          <w:numId w:val="15"/>
        </w:numPr>
        <w:tabs>
          <w:tab w:val="left" w:pos="821"/>
        </w:tabs>
        <w:spacing w:before="0" w:after="0" w:line="240" w:lineRule="auto"/>
        <w:ind w:left="821" w:right="0" w:hanging="241"/>
        <w:jc w:val="left"/>
        <w:rPr>
          <w:sz w:val="22"/>
        </w:rPr>
      </w:pPr>
      <w:r>
        <w:rPr>
          <w:sz w:val="24"/>
        </w:rPr>
        <w:t>投标人应认真阅读本招标文件，发现其中有误或有不合理要求的，投标人必须在收到</w:t>
      </w:r>
    </w:p>
    <w:p>
      <w:pPr>
        <w:spacing w:after="0" w:line="240" w:lineRule="auto"/>
        <w:jc w:val="left"/>
        <w:rPr>
          <w:sz w:val="22"/>
        </w:rPr>
        <w:sectPr>
          <w:pgSz w:w="11910" w:h="16840"/>
          <w:pgMar w:top="1140" w:right="920" w:bottom="940" w:left="980" w:header="900" w:footer="757" w:gutter="0"/>
          <w:pgNumType w:fmt="decimal"/>
        </w:sectPr>
      </w:pPr>
    </w:p>
    <w:p>
      <w:pPr>
        <w:pStyle w:val="7"/>
        <w:spacing w:before="3"/>
        <w:rPr>
          <w:sz w:val="18"/>
        </w:rPr>
      </w:pPr>
    </w:p>
    <w:p>
      <w:pPr>
        <w:pStyle w:val="7"/>
        <w:spacing w:before="67" w:line="364" w:lineRule="auto"/>
        <w:ind w:left="100" w:right="238"/>
        <w:jc w:val="both"/>
      </w:pPr>
      <w:r>
        <w:t>招标文件之日起七个工作日内以书面形式要求招标采购单位澄清。招标代理机构对已发出的招标文件进行必要澄清、答复、修改或补充的，应当在招标文件要求提交投标文件截止时间十五日前，在财政部门指定的政府采购信息发布媒体上发布更正公告，所有与本项目相关的澄清、修改、补遗的内容作为招标文件的组成部分。该所有通知文件在政府采购信息媒体发</w:t>
      </w:r>
      <w:r>
        <w:rPr>
          <w:spacing w:val="-12"/>
        </w:rPr>
        <w:t>布之日起，视为投标人已收到该通知。投标人未及时关注网站上发布的通知文件造成的损失，由投标人负责。</w:t>
      </w:r>
    </w:p>
    <w:p>
      <w:pPr>
        <w:pStyle w:val="7"/>
        <w:spacing w:line="364" w:lineRule="auto"/>
        <w:ind w:left="100" w:right="159" w:firstLine="465"/>
        <w:jc w:val="both"/>
      </w:pPr>
      <w:r>
        <w:t>（四）招标文件澄清、答复、修改、补充的内容为招标文件的组成部分。当招标文件与招标文件的答复、澄清、修改、补充通知就同一内容的表述不一致时，以最后发出的书面文件为准。</w:t>
      </w:r>
    </w:p>
    <w:p>
      <w:pPr>
        <w:pStyle w:val="7"/>
        <w:spacing w:line="364" w:lineRule="auto"/>
        <w:ind w:left="100" w:right="287"/>
      </w:pPr>
      <w:r>
        <w:t>招标文件的澄清、答复、修改或补充都应该通过本招标代理机构以法定形式发，采购人非通过本机构，不得擅自澄清、答复、修改或补充招标文件。</w:t>
      </w:r>
    </w:p>
    <w:p>
      <w:pPr>
        <w:pStyle w:val="7"/>
        <w:spacing w:line="364" w:lineRule="auto"/>
        <w:ind w:left="100" w:right="159" w:firstLine="465"/>
        <w:jc w:val="both"/>
      </w:pPr>
      <w:r>
        <w:t>（五）采购人可以视采购具体情况，延长投标截止时间和开标时间，但至少应当在招标文件要求提交投标文件的截止时间3个工作日前将变更时间书面通知所有招标文件收受人，并在财政部门指定的政府采购信息发布媒体上发布变更公告。</w:t>
      </w:r>
    </w:p>
    <w:p>
      <w:pPr>
        <w:pStyle w:val="6"/>
        <w:spacing w:line="307" w:lineRule="exact"/>
      </w:pPr>
      <w:r>
        <w:t>三、投标文件的编制</w:t>
      </w:r>
    </w:p>
    <w:p>
      <w:pPr>
        <w:pStyle w:val="7"/>
        <w:spacing w:before="2"/>
        <w:rPr>
          <w:b/>
          <w:sz w:val="19"/>
        </w:rPr>
      </w:pPr>
    </w:p>
    <w:p>
      <w:pPr>
        <w:spacing w:before="1"/>
        <w:ind w:left="570" w:right="0" w:firstLine="0"/>
        <w:jc w:val="left"/>
        <w:rPr>
          <w:b/>
          <w:sz w:val="24"/>
        </w:rPr>
      </w:pPr>
      <w:r>
        <w:rPr>
          <w:b/>
          <w:sz w:val="24"/>
        </w:rPr>
        <w:t>（一）投标文件的组成</w:t>
      </w:r>
    </w:p>
    <w:p>
      <w:pPr>
        <w:pStyle w:val="7"/>
        <w:spacing w:before="10"/>
        <w:rPr>
          <w:b/>
          <w:sz w:val="19"/>
        </w:rPr>
      </w:pPr>
    </w:p>
    <w:p>
      <w:pPr>
        <w:pStyle w:val="7"/>
        <w:spacing w:line="362" w:lineRule="auto"/>
        <w:ind w:left="100" w:right="309" w:firstLine="480"/>
      </w:pPr>
      <w:r>
        <w:t>投标文件由资格审查文件、报价文件、技术文件三部份组成。（注：▲项为必须提交的内容，未提供的做投标无效处理）</w:t>
      </w:r>
    </w:p>
    <w:p>
      <w:pPr>
        <w:pStyle w:val="6"/>
        <w:spacing w:before="5"/>
        <w:ind w:left="572"/>
      </w:pPr>
      <w:r>
        <w:t>1、 资格审查文件</w:t>
      </w:r>
    </w:p>
    <w:p>
      <w:pPr>
        <w:pStyle w:val="7"/>
        <w:spacing w:before="8"/>
        <w:rPr>
          <w:b/>
          <w:sz w:val="19"/>
        </w:rPr>
      </w:pPr>
    </w:p>
    <w:p>
      <w:pPr>
        <w:pStyle w:val="7"/>
        <w:ind w:left="580"/>
      </w:pPr>
      <w:r>
        <w:t>▲（1）有效的营业执照副本复印件；</w:t>
      </w:r>
    </w:p>
    <w:p>
      <w:pPr>
        <w:pStyle w:val="7"/>
        <w:spacing w:before="11"/>
        <w:rPr>
          <w:sz w:val="19"/>
        </w:rPr>
      </w:pPr>
    </w:p>
    <w:p>
      <w:pPr>
        <w:pStyle w:val="7"/>
        <w:ind w:left="580"/>
      </w:pPr>
      <w:r>
        <w:t>▲（2）有效的资质证书副本复印件；；</w:t>
      </w:r>
    </w:p>
    <w:p>
      <w:pPr>
        <w:pStyle w:val="7"/>
        <w:spacing w:before="8"/>
        <w:rPr>
          <w:sz w:val="19"/>
        </w:rPr>
      </w:pPr>
    </w:p>
    <w:p>
      <w:pPr>
        <w:pStyle w:val="7"/>
        <w:ind w:left="580"/>
      </w:pPr>
      <w:r>
        <w:t>▲（</w:t>
      </w:r>
      <w:r>
        <w:rPr>
          <w:rFonts w:hint="eastAsia"/>
          <w:lang w:val="en-US" w:eastAsia="zh-CN"/>
        </w:rPr>
        <w:t>3</w:t>
      </w:r>
      <w:r>
        <w:t>）投标人开户许可证复印件；</w:t>
      </w:r>
    </w:p>
    <w:p>
      <w:pPr>
        <w:pStyle w:val="7"/>
        <w:spacing w:before="11"/>
        <w:rPr>
          <w:sz w:val="19"/>
        </w:rPr>
      </w:pPr>
    </w:p>
    <w:p>
      <w:pPr>
        <w:pStyle w:val="7"/>
        <w:ind w:left="580"/>
      </w:pPr>
      <w:r>
        <w:t>▲（</w:t>
      </w:r>
      <w:r>
        <w:rPr>
          <w:rFonts w:hint="eastAsia"/>
          <w:lang w:val="en-US" w:eastAsia="zh-CN"/>
        </w:rPr>
        <w:t>4</w:t>
      </w:r>
      <w:r>
        <w:t>）投标声明书(格式见附件)；</w:t>
      </w:r>
    </w:p>
    <w:p>
      <w:pPr>
        <w:pStyle w:val="7"/>
        <w:rPr>
          <w:sz w:val="20"/>
        </w:rPr>
      </w:pPr>
    </w:p>
    <w:p>
      <w:pPr>
        <w:pStyle w:val="7"/>
        <w:spacing w:line="362" w:lineRule="auto"/>
        <w:ind w:left="100" w:right="161" w:firstLine="475"/>
      </w:pPr>
      <w:r>
        <w:rPr>
          <w:spacing w:val="-89"/>
        </w:rPr>
        <w:t>▲</w:t>
      </w:r>
      <w:r>
        <w:rPr>
          <w:spacing w:val="14"/>
        </w:rPr>
        <w:t>（</w:t>
      </w:r>
      <w:r>
        <w:rPr>
          <w:rFonts w:hint="eastAsia"/>
          <w:spacing w:val="16"/>
          <w:lang w:val="en-US" w:eastAsia="zh-CN"/>
        </w:rPr>
        <w:t>5</w:t>
      </w:r>
      <w:r>
        <w:rPr>
          <w:spacing w:val="-92"/>
        </w:rPr>
        <w:t>）</w:t>
      </w:r>
      <w:r>
        <w:rPr>
          <w:spacing w:val="11"/>
        </w:rPr>
        <w:t>法人授权委托书和委托代理人完整有效的身份证正反面复印件</w:t>
      </w:r>
      <w:r>
        <w:rPr>
          <w:spacing w:val="16"/>
        </w:rPr>
        <w:t>（</w:t>
      </w:r>
      <w:r>
        <w:rPr>
          <w:spacing w:val="10"/>
        </w:rPr>
        <w:t>委托代理时提</w:t>
      </w:r>
      <w:r>
        <w:t>供</w:t>
      </w:r>
      <w:r>
        <w:rPr>
          <w:spacing w:val="-120"/>
        </w:rPr>
        <w:t>）</w:t>
      </w:r>
      <w:r>
        <w:t>；</w:t>
      </w:r>
    </w:p>
    <w:p>
      <w:pPr>
        <w:pStyle w:val="7"/>
        <w:spacing w:before="101" w:line="364" w:lineRule="auto"/>
        <w:ind w:left="100" w:right="108" w:firstLine="530"/>
      </w:pPr>
      <w:r>
        <w:t>▲（</w:t>
      </w:r>
      <w:r>
        <w:rPr>
          <w:rFonts w:hint="eastAsia"/>
          <w:lang w:val="en-US" w:eastAsia="zh-CN"/>
        </w:rPr>
        <w:t>6</w:t>
      </w:r>
      <w:r>
        <w:t>）投标人在递交截止之日前半年内连续三个月依法纳税的完税凭证复印件或者《依法纳税或依法免税证明》复印件（如为新成立的投标单位请按实际依法缴纳的月份提供，必</w:t>
      </w:r>
    </w:p>
    <w:p>
      <w:pPr>
        <w:spacing w:after="0" w:line="364" w:lineRule="auto"/>
        <w:sectPr>
          <w:pgSz w:w="11910" w:h="16840"/>
          <w:pgMar w:top="1140" w:right="920" w:bottom="940" w:left="980" w:header="900" w:footer="757" w:gutter="0"/>
          <w:pgNumType w:fmt="decimal"/>
        </w:sectPr>
      </w:pPr>
    </w:p>
    <w:p>
      <w:pPr>
        <w:pStyle w:val="7"/>
        <w:spacing w:before="3"/>
        <w:rPr>
          <w:sz w:val="18"/>
        </w:rPr>
      </w:pPr>
    </w:p>
    <w:p>
      <w:pPr>
        <w:pStyle w:val="7"/>
        <w:spacing w:before="67"/>
        <w:ind w:left="100"/>
      </w:pPr>
      <w:r>
        <w:t>须提供，加盖投标单位公章）；</w:t>
      </w:r>
    </w:p>
    <w:p>
      <w:pPr>
        <w:pStyle w:val="7"/>
        <w:spacing w:before="160" w:line="364" w:lineRule="auto"/>
        <w:ind w:left="100" w:right="159" w:firstLine="592"/>
        <w:jc w:val="both"/>
      </w:pPr>
      <w:r>
        <w:t>▲（</w:t>
      </w:r>
      <w:r>
        <w:rPr>
          <w:rFonts w:hint="eastAsia"/>
          <w:lang w:val="en-US" w:eastAsia="zh-CN"/>
        </w:rPr>
        <w:t>7</w:t>
      </w:r>
      <w:r>
        <w:t>）投标人在递交截止之日前半年内连续三个月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w:t>
      </w:r>
      <w:r>
        <w:rPr>
          <w:rFonts w:hint="eastAsia"/>
          <w:lang w:eastAsia="zh-CN"/>
        </w:rPr>
        <w:t>投标</w:t>
      </w:r>
      <w:r>
        <w:t>人所在地社保部门出具的《依法缴纳或依法免缴社保费证明》（如为新成立的投标单位请按实际依法缴纳的月份提供，必须提供，加盖投标单位公章）；</w:t>
      </w:r>
    </w:p>
    <w:p>
      <w:pPr>
        <w:pStyle w:val="7"/>
        <w:spacing w:line="364" w:lineRule="auto"/>
        <w:ind w:left="100" w:right="189" w:firstLine="480"/>
      </w:pPr>
      <w:r>
        <w:t>▲（</w:t>
      </w:r>
      <w:r>
        <w:rPr>
          <w:rFonts w:hint="eastAsia"/>
          <w:lang w:val="en-US" w:eastAsia="zh-CN"/>
        </w:rPr>
        <w:t>8</w:t>
      </w:r>
      <w:r>
        <w:t>）投标人20</w:t>
      </w:r>
      <w:r>
        <w:rPr>
          <w:rFonts w:hint="eastAsia"/>
          <w:lang w:val="en-US" w:eastAsia="zh-CN"/>
        </w:rPr>
        <w:t>19</w:t>
      </w:r>
      <w:r>
        <w:t>年度</w:t>
      </w:r>
      <w:r>
        <w:rPr>
          <w:rFonts w:hint="eastAsia"/>
          <w:lang w:eastAsia="zh-CN"/>
        </w:rPr>
        <w:t>财务</w:t>
      </w:r>
      <w:r>
        <w:t>报表，（如</w:t>
      </w:r>
      <w:r>
        <w:rPr>
          <w:rFonts w:hint="eastAsia"/>
          <w:lang w:eastAsia="zh-CN"/>
        </w:rPr>
        <w:t>是</w:t>
      </w:r>
      <w:r>
        <w:t>新成立的投标单位则按实际月份提供，必须提供，加盖投标单位公章）；</w:t>
      </w:r>
    </w:p>
    <w:p>
      <w:pPr>
        <w:pStyle w:val="7"/>
        <w:spacing w:line="364" w:lineRule="auto"/>
        <w:ind w:left="100" w:right="507" w:firstLine="520"/>
        <w:rPr>
          <w:rFonts w:hint="eastAsia"/>
          <w:lang w:eastAsia="zh-CN"/>
        </w:rPr>
      </w:pPr>
      <w:r>
        <w:t>▲（</w:t>
      </w:r>
      <w:r>
        <w:rPr>
          <w:rFonts w:hint="eastAsia"/>
          <w:lang w:val="en-US" w:eastAsia="zh-CN"/>
        </w:rPr>
        <w:t>9</w:t>
      </w:r>
      <w:r>
        <w:t>）投标人在“信用中国”网站(www.creditchina.gov.cn)、中国政府采购网(www.ccgp.gov.cn)等渠道的信用查询页面打印文件（必须提交，加盖投标单位公章）</w:t>
      </w:r>
      <w:r>
        <w:rPr>
          <w:rFonts w:hint="eastAsia"/>
          <w:lang w:eastAsia="zh-CN"/>
        </w:rPr>
        <w:t>；</w:t>
      </w:r>
    </w:p>
    <w:p>
      <w:pPr>
        <w:pStyle w:val="7"/>
        <w:spacing w:line="364" w:lineRule="auto"/>
        <w:ind w:left="100" w:right="507" w:firstLine="520"/>
        <w:rPr>
          <w:rFonts w:hint="eastAsia"/>
          <w:lang w:eastAsia="zh-CN"/>
        </w:rPr>
      </w:pPr>
      <w:r>
        <w:t>▲</w:t>
      </w:r>
      <w:r>
        <w:rPr>
          <w:rFonts w:hint="eastAsia"/>
          <w:lang w:eastAsia="zh-CN"/>
        </w:rPr>
        <w:t>（</w:t>
      </w:r>
      <w:r>
        <w:rPr>
          <w:rFonts w:hint="eastAsia"/>
          <w:lang w:val="en-US" w:eastAsia="zh-CN"/>
        </w:rPr>
        <w:t>10</w:t>
      </w:r>
      <w:r>
        <w:rPr>
          <w:rFonts w:hint="eastAsia"/>
          <w:lang w:eastAsia="zh-CN"/>
        </w:rPr>
        <w:t>）参加政府采购活动前3年内在经营活动中没有重大违法记录的书面声明(必须提供，加盖单位公章)。</w:t>
      </w:r>
    </w:p>
    <w:p>
      <w:pPr>
        <w:pStyle w:val="7"/>
        <w:spacing w:line="364" w:lineRule="auto"/>
        <w:ind w:left="100" w:right="507" w:firstLine="520"/>
        <w:rPr>
          <w:b/>
          <w:bCs/>
          <w:sz w:val="22"/>
        </w:rPr>
      </w:pPr>
      <w:r>
        <w:rPr>
          <w:rFonts w:hint="eastAsia"/>
          <w:b/>
          <w:bCs/>
          <w:lang w:val="en-US" w:eastAsia="zh-CN"/>
        </w:rPr>
        <w:t>2.</w:t>
      </w:r>
      <w:r>
        <w:rPr>
          <w:b/>
          <w:bCs/>
        </w:rPr>
        <w:t>报价文件：</w:t>
      </w:r>
    </w:p>
    <w:p>
      <w:pPr>
        <w:pStyle w:val="7"/>
        <w:spacing w:before="11"/>
        <w:rPr>
          <w:b/>
          <w:sz w:val="19"/>
        </w:rPr>
      </w:pPr>
    </w:p>
    <w:p>
      <w:pPr>
        <w:pStyle w:val="7"/>
        <w:ind w:left="580"/>
      </w:pPr>
      <w:r>
        <w:t>▲（1）投标函（格式见第六章）；</w:t>
      </w:r>
    </w:p>
    <w:p>
      <w:pPr>
        <w:pStyle w:val="7"/>
        <w:spacing w:before="8"/>
        <w:rPr>
          <w:sz w:val="19"/>
        </w:rPr>
      </w:pPr>
    </w:p>
    <w:p>
      <w:pPr>
        <w:spacing w:before="0" w:line="434" w:lineRule="auto"/>
        <w:ind w:left="702" w:right="4749" w:hanging="123"/>
        <w:jc w:val="left"/>
        <w:rPr>
          <w:b/>
          <w:sz w:val="24"/>
        </w:rPr>
      </w:pPr>
      <w:r>
        <w:rPr>
          <w:sz w:val="24"/>
        </w:rPr>
        <w:t xml:space="preserve">▲（2）投标报价明细表（格式见第六章）； </w:t>
      </w:r>
      <w:r>
        <w:rPr>
          <w:b/>
          <w:sz w:val="24"/>
        </w:rPr>
        <w:t>3.技术文件</w:t>
      </w:r>
    </w:p>
    <w:p>
      <w:pPr>
        <w:pStyle w:val="7"/>
        <w:spacing w:before="6"/>
        <w:ind w:left="580"/>
      </w:pPr>
      <w:r>
        <w:t>▲（1）针对本项目的服务大纲：</w:t>
      </w:r>
    </w:p>
    <w:p>
      <w:pPr>
        <w:pStyle w:val="7"/>
        <w:spacing w:before="10"/>
        <w:rPr>
          <w:sz w:val="19"/>
        </w:rPr>
      </w:pPr>
    </w:p>
    <w:p>
      <w:pPr>
        <w:pStyle w:val="7"/>
        <w:ind w:left="580"/>
      </w:pPr>
      <w:r>
        <w:t>①服务范围及服务内容；</w:t>
      </w:r>
    </w:p>
    <w:p>
      <w:pPr>
        <w:pStyle w:val="7"/>
        <w:spacing w:before="3"/>
        <w:rPr>
          <w:sz w:val="19"/>
        </w:rPr>
      </w:pPr>
    </w:p>
    <w:p>
      <w:pPr>
        <w:pStyle w:val="7"/>
        <w:spacing w:before="1"/>
        <w:ind w:left="580"/>
      </w:pPr>
      <w:r>
        <w:t>②服务目标；</w:t>
      </w:r>
    </w:p>
    <w:p>
      <w:pPr>
        <w:pStyle w:val="7"/>
        <w:spacing w:before="10"/>
        <w:rPr>
          <w:sz w:val="19"/>
        </w:rPr>
      </w:pPr>
    </w:p>
    <w:p>
      <w:pPr>
        <w:pStyle w:val="7"/>
        <w:ind w:left="580"/>
      </w:pPr>
      <w:r>
        <w:t>③项目服务计划书及项目服务承诺；</w:t>
      </w:r>
    </w:p>
    <w:p>
      <w:pPr>
        <w:pStyle w:val="7"/>
        <w:spacing w:before="8"/>
        <w:rPr>
          <w:sz w:val="19"/>
        </w:rPr>
      </w:pPr>
    </w:p>
    <w:p>
      <w:pPr>
        <w:pStyle w:val="7"/>
        <w:spacing w:before="1"/>
        <w:ind w:left="580"/>
      </w:pPr>
      <w:r>
        <w:t>④服务保证措施（由投标人自行考虑编排)；</w:t>
      </w:r>
    </w:p>
    <w:p>
      <w:pPr>
        <w:pStyle w:val="7"/>
        <w:spacing w:before="10"/>
        <w:rPr>
          <w:sz w:val="19"/>
        </w:rPr>
      </w:pPr>
    </w:p>
    <w:p>
      <w:pPr>
        <w:pStyle w:val="7"/>
        <w:ind w:left="580"/>
      </w:pPr>
      <w:r>
        <w:t>▲（2）拟投入本项目服务工作的主要服务人员汇总表；</w:t>
      </w:r>
    </w:p>
    <w:p>
      <w:pPr>
        <w:pStyle w:val="7"/>
        <w:spacing w:before="6"/>
        <w:rPr>
          <w:sz w:val="19"/>
        </w:rPr>
      </w:pPr>
    </w:p>
    <w:p>
      <w:pPr>
        <w:pStyle w:val="14"/>
        <w:numPr>
          <w:ilvl w:val="1"/>
          <w:numId w:val="15"/>
        </w:numPr>
        <w:tabs>
          <w:tab w:val="left" w:pos="1421"/>
        </w:tabs>
        <w:spacing w:before="0" w:after="0" w:line="240" w:lineRule="auto"/>
        <w:ind w:left="1421" w:right="0" w:hanging="601"/>
        <w:jc w:val="left"/>
        <w:rPr>
          <w:sz w:val="24"/>
        </w:rPr>
      </w:pPr>
      <w:r>
        <w:rPr>
          <w:sz w:val="24"/>
        </w:rPr>
        <w:t>拟投入本服务项目的主要设备；</w:t>
      </w:r>
    </w:p>
    <w:p>
      <w:pPr>
        <w:pStyle w:val="7"/>
        <w:spacing w:before="8"/>
        <w:rPr>
          <w:sz w:val="19"/>
        </w:rPr>
      </w:pPr>
    </w:p>
    <w:p>
      <w:pPr>
        <w:pStyle w:val="14"/>
        <w:numPr>
          <w:ilvl w:val="1"/>
          <w:numId w:val="15"/>
        </w:numPr>
        <w:tabs>
          <w:tab w:val="left" w:pos="1421"/>
        </w:tabs>
        <w:spacing w:before="0" w:after="0" w:line="364" w:lineRule="auto"/>
        <w:ind w:left="100" w:right="293" w:firstLine="720"/>
        <w:jc w:val="left"/>
        <w:rPr>
          <w:sz w:val="22"/>
        </w:rPr>
      </w:pPr>
      <w:r>
        <w:rPr>
          <w:sz w:val="24"/>
        </w:rPr>
        <w:t>业绩证明材料【</w:t>
      </w:r>
      <w:r>
        <w:rPr>
          <w:rFonts w:hint="eastAsia" w:ascii="Times New Roman" w:hAnsi="Times New Roman"/>
          <w:color w:val="auto"/>
          <w:szCs w:val="21"/>
          <w:highlight w:val="none"/>
        </w:rPr>
        <w:t>投标人201</w:t>
      </w:r>
      <w:r>
        <w:rPr>
          <w:rFonts w:hint="eastAsia" w:ascii="Times New Roman" w:hAnsi="Times New Roman"/>
          <w:color w:val="auto"/>
          <w:szCs w:val="21"/>
          <w:highlight w:val="none"/>
          <w:lang w:val="en-US" w:eastAsia="zh-CN"/>
        </w:rPr>
        <w:t>6</w:t>
      </w:r>
      <w:r>
        <w:rPr>
          <w:rFonts w:hint="eastAsia" w:ascii="Times New Roman" w:hAnsi="Times New Roman"/>
          <w:color w:val="auto"/>
          <w:szCs w:val="21"/>
          <w:highlight w:val="none"/>
        </w:rPr>
        <w:t>年</w:t>
      </w:r>
      <w:r>
        <w:rPr>
          <w:rFonts w:hint="eastAsia" w:ascii="Times New Roman" w:hAnsi="Times New Roman"/>
          <w:color w:val="auto"/>
          <w:szCs w:val="21"/>
          <w:highlight w:val="none"/>
          <w:lang w:val="en-US" w:eastAsia="zh-CN"/>
        </w:rPr>
        <w:t>6</w:t>
      </w:r>
      <w:r>
        <w:rPr>
          <w:rFonts w:hint="eastAsia" w:ascii="Times New Roman" w:hAnsi="Times New Roman"/>
          <w:color w:val="auto"/>
          <w:szCs w:val="21"/>
          <w:highlight w:val="none"/>
        </w:rPr>
        <w:t>月</w:t>
      </w:r>
      <w:r>
        <w:rPr>
          <w:rFonts w:hint="eastAsia" w:ascii="Times New Roman" w:hAnsi="Times New Roman"/>
          <w:color w:val="auto"/>
          <w:szCs w:val="21"/>
          <w:highlight w:val="none"/>
          <w:lang w:val="en-US" w:eastAsia="zh-CN"/>
        </w:rPr>
        <w:t>1日</w:t>
      </w:r>
      <w:r>
        <w:rPr>
          <w:rFonts w:hint="eastAsia" w:ascii="Times New Roman" w:hAnsi="Times New Roman"/>
          <w:color w:val="auto"/>
          <w:szCs w:val="21"/>
          <w:highlight w:val="none"/>
        </w:rPr>
        <w:t>以来</w:t>
      </w:r>
      <w:r>
        <w:rPr>
          <w:rFonts w:ascii="Times New Roman" w:hAnsi="Times New Roman"/>
          <w:color w:val="auto"/>
          <w:szCs w:val="21"/>
          <w:highlight w:val="none"/>
        </w:rPr>
        <w:t>具有同类服务项目的业绩证明材料（无不良记录，证明材料以提供同一项目的</w:t>
      </w:r>
      <w:r>
        <w:rPr>
          <w:rFonts w:hint="eastAsia" w:ascii="Times New Roman" w:hAnsi="Times New Roman"/>
          <w:color w:val="auto"/>
          <w:szCs w:val="21"/>
          <w:highlight w:val="none"/>
        </w:rPr>
        <w:t>服务合同</w:t>
      </w:r>
      <w:r>
        <w:rPr>
          <w:rFonts w:hint="eastAsia" w:ascii="Times New Roman" w:hAnsi="Times New Roman"/>
          <w:color w:val="auto"/>
          <w:szCs w:val="21"/>
          <w:highlight w:val="none"/>
          <w:lang w:eastAsia="zh-CN"/>
        </w:rPr>
        <w:t>或项目中标通知书</w:t>
      </w:r>
      <w:r>
        <w:rPr>
          <w:rFonts w:hint="eastAsia" w:ascii="Times New Roman" w:hAnsi="Times New Roman"/>
          <w:color w:val="auto"/>
          <w:szCs w:val="21"/>
          <w:highlight w:val="none"/>
        </w:rPr>
        <w:t>为准</w:t>
      </w:r>
      <w:r>
        <w:rPr>
          <w:rFonts w:ascii="Times New Roman" w:hAnsi="Times New Roman"/>
          <w:color w:val="auto"/>
          <w:szCs w:val="21"/>
          <w:highlight w:val="none"/>
        </w:rPr>
        <w:t>，其中项目服务合同清晰反映项目名称、采购内容、签订时间）</w:t>
      </w:r>
      <w:r>
        <w:rPr>
          <w:sz w:val="22"/>
        </w:rPr>
        <w:t>】；</w:t>
      </w:r>
    </w:p>
    <w:p>
      <w:pPr>
        <w:pStyle w:val="14"/>
        <w:numPr>
          <w:ilvl w:val="1"/>
          <w:numId w:val="15"/>
        </w:numPr>
        <w:tabs>
          <w:tab w:val="left" w:pos="1414"/>
        </w:tabs>
        <w:spacing w:before="0" w:after="0" w:line="364" w:lineRule="auto"/>
        <w:ind w:left="100" w:right="344" w:firstLine="722"/>
        <w:jc w:val="left"/>
        <w:rPr>
          <w:sz w:val="18"/>
        </w:rPr>
      </w:pPr>
      <w:r>
        <w:rPr>
          <w:spacing w:val="-5"/>
          <w:sz w:val="24"/>
        </w:rPr>
        <w:t>林业项目成果奖项【投标人自</w:t>
      </w:r>
      <w:r>
        <w:rPr>
          <w:sz w:val="24"/>
        </w:rPr>
        <w:t>2016</w:t>
      </w:r>
      <w:r>
        <w:rPr>
          <w:spacing w:val="-8"/>
          <w:sz w:val="24"/>
        </w:rPr>
        <w:t>年1月1日以来获得省部级</w:t>
      </w:r>
      <w:r>
        <w:rPr>
          <w:sz w:val="24"/>
        </w:rPr>
        <w:t>（含）</w:t>
      </w:r>
      <w:r>
        <w:rPr>
          <w:spacing w:val="-3"/>
          <w:sz w:val="24"/>
        </w:rPr>
        <w:t>以上行政主管部门或工程协会颁发的林业项目成果奖项的</w:t>
      </w:r>
      <w:r>
        <w:rPr>
          <w:sz w:val="24"/>
        </w:rPr>
        <w:t>（以获奖证书复印件为准）】；</w:t>
      </w:r>
    </w:p>
    <w:p>
      <w:pPr>
        <w:pStyle w:val="14"/>
        <w:numPr>
          <w:ilvl w:val="1"/>
          <w:numId w:val="15"/>
        </w:numPr>
        <w:tabs>
          <w:tab w:val="left" w:pos="1414"/>
        </w:tabs>
        <w:spacing w:before="67" w:after="0" w:line="439" w:lineRule="auto"/>
        <w:ind w:left="580" w:right="2859" w:firstLine="232"/>
        <w:jc w:val="left"/>
        <w:rPr>
          <w:b/>
          <w:sz w:val="24"/>
        </w:rPr>
      </w:pPr>
      <w:r>
        <w:rPr>
          <w:spacing w:val="-4"/>
          <w:sz w:val="24"/>
        </w:rPr>
        <w:t>招标文件要求提交的或投标人认为应提交的其他资料。</w:t>
      </w:r>
      <w:r>
        <w:rPr>
          <w:b/>
          <w:sz w:val="24"/>
        </w:rPr>
        <w:t>以上投标文件内容必须加盖投标人公章。</w:t>
      </w:r>
    </w:p>
    <w:p>
      <w:pPr>
        <w:pStyle w:val="6"/>
        <w:spacing w:before="2"/>
        <w:ind w:left="572"/>
      </w:pPr>
      <w:r>
        <w:t>（二） 投标文件的语言及计量</w:t>
      </w:r>
    </w:p>
    <w:p>
      <w:pPr>
        <w:pStyle w:val="7"/>
        <w:spacing w:before="6"/>
        <w:rPr>
          <w:b/>
          <w:sz w:val="19"/>
        </w:rPr>
      </w:pPr>
    </w:p>
    <w:p>
      <w:pPr>
        <w:pStyle w:val="14"/>
        <w:numPr>
          <w:ilvl w:val="0"/>
          <w:numId w:val="16"/>
        </w:numPr>
        <w:tabs>
          <w:tab w:val="left" w:pos="812"/>
        </w:tabs>
        <w:spacing w:before="0" w:after="0" w:line="364" w:lineRule="auto"/>
        <w:ind w:left="100" w:right="490" w:firstLine="472"/>
        <w:jc w:val="left"/>
        <w:rPr>
          <w:sz w:val="24"/>
        </w:rPr>
      </w:pPr>
      <w:r>
        <w:rPr>
          <w:spacing w:val="-3"/>
          <w:sz w:val="24"/>
        </w:rPr>
        <w:t>投标文件以及投标方与招标方就有关投标事宜的所有来往函电，均应以中文汉语书</w:t>
      </w:r>
      <w:r>
        <w:rPr>
          <w:spacing w:val="-12"/>
          <w:sz w:val="24"/>
        </w:rPr>
        <w:t>写。除签名、盖章、专用名称等特殊情形外，以中文汉语以外的文字表述的投标文件视同未提</w:t>
      </w:r>
      <w:r>
        <w:rPr>
          <w:spacing w:val="-6"/>
          <w:sz w:val="24"/>
        </w:rPr>
        <w:t>供。</w:t>
      </w:r>
    </w:p>
    <w:p>
      <w:pPr>
        <w:pStyle w:val="14"/>
        <w:numPr>
          <w:ilvl w:val="0"/>
          <w:numId w:val="16"/>
        </w:numPr>
        <w:tabs>
          <w:tab w:val="left" w:pos="825"/>
        </w:tabs>
        <w:spacing w:before="2" w:after="0" w:line="364" w:lineRule="auto"/>
        <w:ind w:left="100" w:right="159" w:firstLine="480"/>
        <w:jc w:val="both"/>
        <w:rPr>
          <w:sz w:val="24"/>
        </w:rPr>
      </w:pPr>
      <w:r>
        <w:rPr>
          <w:sz w:val="24"/>
        </w:rPr>
        <w:t>投标计量单位，招标文件已有明确规定的，使用招标文件规定的计量单位；招标文件没有规定的，应采用中华人民共和国法定计量单位</w:t>
      </w:r>
      <w:r>
        <w:rPr>
          <w:spacing w:val="4"/>
          <w:sz w:val="24"/>
        </w:rPr>
        <w:t>（</w:t>
      </w:r>
      <w:r>
        <w:rPr>
          <w:sz w:val="24"/>
        </w:rPr>
        <w:t>货币单位：人民币元</w:t>
      </w:r>
      <w:r>
        <w:rPr>
          <w:spacing w:val="3"/>
          <w:sz w:val="24"/>
        </w:rPr>
        <w:t>）</w:t>
      </w:r>
      <w:r>
        <w:rPr>
          <w:sz w:val="24"/>
        </w:rPr>
        <w:t>，否则视同未响应。</w:t>
      </w:r>
    </w:p>
    <w:p>
      <w:pPr>
        <w:pStyle w:val="6"/>
        <w:spacing w:line="305" w:lineRule="exact"/>
        <w:ind w:left="572"/>
        <w:jc w:val="both"/>
      </w:pPr>
      <w:r>
        <w:t>（三） 投标报价</w:t>
      </w:r>
    </w:p>
    <w:p>
      <w:pPr>
        <w:pStyle w:val="7"/>
        <w:spacing w:before="8"/>
        <w:rPr>
          <w:b/>
          <w:sz w:val="19"/>
        </w:rPr>
      </w:pPr>
    </w:p>
    <w:p>
      <w:pPr>
        <w:pStyle w:val="14"/>
        <w:numPr>
          <w:ilvl w:val="0"/>
          <w:numId w:val="17"/>
        </w:numPr>
        <w:tabs>
          <w:tab w:val="left" w:pos="821"/>
        </w:tabs>
        <w:spacing w:before="0" w:after="0" w:line="240" w:lineRule="auto"/>
        <w:ind w:left="821" w:right="0" w:hanging="241"/>
        <w:jc w:val="left"/>
        <w:rPr>
          <w:sz w:val="24"/>
        </w:rPr>
      </w:pPr>
      <w:r>
        <w:rPr>
          <w:sz w:val="24"/>
        </w:rPr>
        <w:t>投标报价应按招标文件中相关附表格式填写。</w:t>
      </w:r>
    </w:p>
    <w:p>
      <w:pPr>
        <w:pStyle w:val="7"/>
        <w:spacing w:before="11"/>
        <w:rPr>
          <w:sz w:val="19"/>
        </w:rPr>
      </w:pPr>
    </w:p>
    <w:p>
      <w:pPr>
        <w:pStyle w:val="14"/>
        <w:numPr>
          <w:ilvl w:val="0"/>
          <w:numId w:val="17"/>
        </w:numPr>
        <w:tabs>
          <w:tab w:val="left" w:pos="821"/>
        </w:tabs>
        <w:spacing w:before="0" w:after="0" w:line="240" w:lineRule="auto"/>
        <w:ind w:left="821" w:right="0" w:hanging="241"/>
        <w:jc w:val="left"/>
        <w:rPr>
          <w:sz w:val="24"/>
        </w:rPr>
      </w:pPr>
      <w:r>
        <w:rPr>
          <w:sz w:val="24"/>
        </w:rPr>
        <w:t>投标报价是履行合同的最终价格，应包括服务等一切税金和费用。</w:t>
      </w:r>
    </w:p>
    <w:p>
      <w:pPr>
        <w:pStyle w:val="7"/>
        <w:spacing w:before="8"/>
        <w:rPr>
          <w:sz w:val="19"/>
        </w:rPr>
      </w:pPr>
    </w:p>
    <w:p>
      <w:pPr>
        <w:pStyle w:val="14"/>
        <w:numPr>
          <w:ilvl w:val="0"/>
          <w:numId w:val="17"/>
        </w:numPr>
        <w:tabs>
          <w:tab w:val="left" w:pos="821"/>
        </w:tabs>
        <w:spacing w:before="0" w:after="0" w:line="240" w:lineRule="auto"/>
        <w:ind w:left="821" w:right="0" w:hanging="241"/>
        <w:jc w:val="left"/>
        <w:rPr>
          <w:sz w:val="24"/>
        </w:rPr>
      </w:pPr>
      <w:r>
        <w:rPr>
          <w:sz w:val="24"/>
        </w:rPr>
        <w:t>投标人须就第二章《招标项目采购需求》中的服务内容作完整唯一报价。</w:t>
      </w:r>
    </w:p>
    <w:p>
      <w:pPr>
        <w:pStyle w:val="7"/>
        <w:spacing w:before="6"/>
        <w:rPr>
          <w:sz w:val="19"/>
        </w:rPr>
      </w:pPr>
    </w:p>
    <w:p>
      <w:pPr>
        <w:pStyle w:val="14"/>
        <w:numPr>
          <w:ilvl w:val="0"/>
          <w:numId w:val="17"/>
        </w:numPr>
        <w:tabs>
          <w:tab w:val="left" w:pos="821"/>
        </w:tabs>
        <w:spacing w:before="0" w:after="0" w:line="240" w:lineRule="auto"/>
        <w:ind w:left="821" w:right="0" w:hanging="241"/>
        <w:jc w:val="left"/>
        <w:rPr>
          <w:sz w:val="24"/>
        </w:rPr>
      </w:pPr>
      <w:r>
        <w:rPr>
          <w:sz w:val="24"/>
        </w:rPr>
        <w:t>投标文件只允许有一个报价，有选择的或有条件的报价将不予接受。</w:t>
      </w:r>
    </w:p>
    <w:p>
      <w:pPr>
        <w:pStyle w:val="7"/>
        <w:spacing w:before="10"/>
        <w:rPr>
          <w:sz w:val="19"/>
        </w:rPr>
      </w:pPr>
    </w:p>
    <w:p>
      <w:pPr>
        <w:pStyle w:val="6"/>
        <w:spacing w:before="1"/>
        <w:ind w:left="572"/>
      </w:pPr>
      <w:r>
        <w:t>（四） 投标文件的有效期</w:t>
      </w:r>
    </w:p>
    <w:p>
      <w:pPr>
        <w:pStyle w:val="7"/>
        <w:spacing w:before="8"/>
        <w:rPr>
          <w:b/>
          <w:sz w:val="19"/>
        </w:rPr>
      </w:pPr>
    </w:p>
    <w:p>
      <w:pPr>
        <w:pStyle w:val="14"/>
        <w:numPr>
          <w:ilvl w:val="0"/>
          <w:numId w:val="18"/>
        </w:numPr>
        <w:tabs>
          <w:tab w:val="left" w:pos="781"/>
        </w:tabs>
        <w:spacing w:before="0" w:after="0" w:line="240" w:lineRule="auto"/>
        <w:ind w:left="780" w:right="0" w:hanging="237"/>
        <w:jc w:val="left"/>
        <w:rPr>
          <w:sz w:val="24"/>
        </w:rPr>
      </w:pPr>
      <w:r>
        <w:rPr>
          <w:spacing w:val="-9"/>
          <w:sz w:val="24"/>
        </w:rPr>
        <w:t>自投标截止之日起</w:t>
      </w:r>
      <w:r>
        <w:rPr>
          <w:sz w:val="24"/>
        </w:rPr>
        <w:t>90</w:t>
      </w:r>
      <w:r>
        <w:rPr>
          <w:spacing w:val="-10"/>
          <w:sz w:val="24"/>
        </w:rPr>
        <w:t>天投标文件应保持有效。有效期不足的投标文件将被拒绝。</w:t>
      </w:r>
    </w:p>
    <w:p>
      <w:pPr>
        <w:pStyle w:val="7"/>
        <w:spacing w:before="8"/>
        <w:rPr>
          <w:sz w:val="19"/>
        </w:rPr>
      </w:pPr>
    </w:p>
    <w:p>
      <w:pPr>
        <w:pStyle w:val="14"/>
        <w:numPr>
          <w:ilvl w:val="0"/>
          <w:numId w:val="18"/>
        </w:numPr>
        <w:tabs>
          <w:tab w:val="left" w:pos="807"/>
        </w:tabs>
        <w:spacing w:before="0" w:after="0" w:line="362" w:lineRule="auto"/>
        <w:ind w:left="100" w:right="360" w:firstLine="465"/>
        <w:jc w:val="left"/>
        <w:rPr>
          <w:sz w:val="24"/>
        </w:rPr>
      </w:pPr>
      <w:r>
        <w:rPr>
          <w:spacing w:val="-3"/>
          <w:sz w:val="24"/>
        </w:rPr>
        <w:t>在特殊情况下，招标人可与投标人协商延长投标书的有效期，这种要求和答复均以书面形式进行。</w:t>
      </w:r>
    </w:p>
    <w:p>
      <w:pPr>
        <w:pStyle w:val="14"/>
        <w:numPr>
          <w:ilvl w:val="0"/>
          <w:numId w:val="18"/>
        </w:numPr>
        <w:tabs>
          <w:tab w:val="left" w:pos="821"/>
        </w:tabs>
        <w:spacing w:before="0" w:after="0" w:line="306" w:lineRule="exact"/>
        <w:ind w:left="821" w:right="0" w:hanging="241"/>
        <w:jc w:val="left"/>
        <w:rPr>
          <w:sz w:val="24"/>
        </w:rPr>
      </w:pPr>
      <w:r>
        <w:rPr>
          <w:sz w:val="24"/>
        </w:rPr>
        <w:t>中标人的投标文件自开标之日起至合同履行完毕止均应保持有效。</w:t>
      </w:r>
    </w:p>
    <w:p>
      <w:pPr>
        <w:pStyle w:val="7"/>
        <w:spacing w:before="11"/>
        <w:rPr>
          <w:sz w:val="19"/>
        </w:rPr>
      </w:pPr>
    </w:p>
    <w:p>
      <w:pPr>
        <w:pStyle w:val="6"/>
        <w:numPr>
          <w:ilvl w:val="0"/>
          <w:numId w:val="19"/>
        </w:numPr>
      </w:pPr>
      <w:r>
        <w:t>投标保证金</w:t>
      </w:r>
    </w:p>
    <w:p/>
    <w:p>
      <w:pPr>
        <w:numPr>
          <w:ilvl w:val="0"/>
          <w:numId w:val="0"/>
        </w:numPr>
        <w:ind w:right="0" w:rightChars="0"/>
        <w:rPr>
          <w:rFonts w:hint="default" w:eastAsia="仿宋"/>
          <w:lang w:val="en-US" w:eastAsia="zh-CN"/>
        </w:rPr>
      </w:pPr>
      <w:r>
        <w:rPr>
          <w:rFonts w:hint="eastAsia"/>
          <w:lang w:val="en-US" w:eastAsia="zh-CN"/>
        </w:rPr>
        <w:t xml:space="preserve">     </w:t>
      </w:r>
      <w:r>
        <w:rPr>
          <w:rFonts w:hint="eastAsia"/>
          <w:b w:val="0"/>
          <w:bCs w:val="0"/>
          <w:lang w:val="en-US" w:eastAsia="zh-CN"/>
        </w:rPr>
        <w:t xml:space="preserve">   本项目不收取投标保证金</w:t>
      </w:r>
    </w:p>
    <w:p>
      <w:pPr>
        <w:pStyle w:val="6"/>
        <w:spacing w:before="160"/>
        <w:ind w:left="572"/>
      </w:pPr>
      <w:r>
        <w:t>（六）投标文件的签署和份数</w:t>
      </w:r>
    </w:p>
    <w:p>
      <w:pPr>
        <w:pStyle w:val="14"/>
        <w:numPr>
          <w:ilvl w:val="0"/>
          <w:numId w:val="20"/>
        </w:numPr>
        <w:tabs>
          <w:tab w:val="left" w:pos="808"/>
        </w:tabs>
        <w:spacing w:before="161" w:after="0" w:line="364" w:lineRule="auto"/>
        <w:ind w:left="100" w:right="159" w:firstLine="465"/>
        <w:jc w:val="both"/>
        <w:rPr>
          <w:sz w:val="24"/>
        </w:rPr>
      </w:pPr>
      <w:r>
        <w:rPr>
          <w:sz w:val="24"/>
        </w:rPr>
        <w:t>投标人应按本招标文件规定的格式和顺序编制、装订投标文件并标注页码，投标文件内容不完整、编排混乱导致投标文件被误读、漏读或者查找不到相关内容的，是投标人的责任。</w:t>
      </w:r>
    </w:p>
    <w:p>
      <w:pPr>
        <w:pStyle w:val="14"/>
        <w:numPr>
          <w:ilvl w:val="0"/>
          <w:numId w:val="20"/>
        </w:numPr>
        <w:tabs>
          <w:tab w:val="left" w:pos="825"/>
        </w:tabs>
        <w:spacing w:before="0" w:after="0" w:line="364" w:lineRule="auto"/>
        <w:ind w:left="100" w:right="159" w:firstLine="480"/>
        <w:jc w:val="left"/>
        <w:rPr>
          <w:sz w:val="24"/>
        </w:rPr>
      </w:pPr>
      <w:r>
        <w:rPr>
          <w:sz w:val="24"/>
        </w:rPr>
        <w:t>投标人应把资格审查文件、报价文件、技术文件合并装订成册，正本</w:t>
      </w:r>
      <w:r>
        <w:rPr>
          <w:spacing w:val="4"/>
          <w:sz w:val="24"/>
        </w:rPr>
        <w:t>1</w:t>
      </w:r>
      <w:r>
        <w:rPr>
          <w:spacing w:val="2"/>
          <w:sz w:val="24"/>
        </w:rPr>
        <w:t>份副本</w:t>
      </w:r>
      <w:r>
        <w:rPr>
          <w:spacing w:val="4"/>
          <w:sz w:val="24"/>
        </w:rPr>
        <w:t>4</w:t>
      </w:r>
      <w:r>
        <w:rPr>
          <w:spacing w:val="1"/>
          <w:sz w:val="24"/>
        </w:rPr>
        <w:t>份，投</w:t>
      </w:r>
      <w:r>
        <w:rPr>
          <w:spacing w:val="-3"/>
          <w:sz w:val="24"/>
        </w:rPr>
        <w:t>标文件的封面应注明“正本”、“副本”字样。活页装订的投标文件将被拒绝。</w:t>
      </w:r>
    </w:p>
    <w:p>
      <w:pPr>
        <w:pStyle w:val="14"/>
        <w:numPr>
          <w:ilvl w:val="0"/>
          <w:numId w:val="20"/>
        </w:numPr>
        <w:tabs>
          <w:tab w:val="left" w:pos="807"/>
        </w:tabs>
        <w:spacing w:before="0" w:after="0" w:line="364" w:lineRule="auto"/>
        <w:ind w:left="100" w:right="360" w:firstLine="465"/>
        <w:jc w:val="left"/>
        <w:rPr>
          <w:sz w:val="24"/>
        </w:rPr>
      </w:pPr>
      <w:r>
        <w:rPr>
          <w:spacing w:val="-3"/>
          <w:sz w:val="24"/>
        </w:rPr>
        <w:t>投标文件的正本需打印或用不褪色的墨水填写，副本可为正本的复印件，一旦正本和副本不符，以正本为准。</w:t>
      </w:r>
    </w:p>
    <w:p>
      <w:pPr>
        <w:pStyle w:val="14"/>
        <w:numPr>
          <w:ilvl w:val="0"/>
          <w:numId w:val="20"/>
        </w:numPr>
        <w:tabs>
          <w:tab w:val="left" w:pos="807"/>
        </w:tabs>
        <w:spacing w:before="0" w:after="0" w:line="364" w:lineRule="auto"/>
        <w:ind w:left="100" w:right="360" w:firstLine="465"/>
        <w:jc w:val="left"/>
        <w:rPr>
          <w:sz w:val="24"/>
        </w:rPr>
      </w:pPr>
      <w:r>
        <w:rPr>
          <w:spacing w:val="-3"/>
          <w:sz w:val="24"/>
        </w:rPr>
        <w:t>投标文件须由投标人在规定位置盖公章并由法定代表人或法定代表人的授权委托人签署，投标人应写全称。</w:t>
      </w:r>
    </w:p>
    <w:p>
      <w:pPr>
        <w:pStyle w:val="14"/>
        <w:numPr>
          <w:ilvl w:val="0"/>
          <w:numId w:val="20"/>
        </w:numPr>
        <w:tabs>
          <w:tab w:val="left" w:pos="781"/>
        </w:tabs>
        <w:spacing w:before="0" w:after="0" w:line="364" w:lineRule="auto"/>
        <w:ind w:left="100" w:right="329" w:firstLine="444"/>
        <w:jc w:val="left"/>
        <w:rPr>
          <w:sz w:val="24"/>
        </w:rPr>
      </w:pPr>
      <w:r>
        <w:rPr>
          <w:spacing w:val="-8"/>
          <w:sz w:val="24"/>
        </w:rPr>
        <w:t>投标文件不得涂改，若有修改错漏处，须加盖单位公章及法定代表人</w:t>
      </w:r>
      <w:r>
        <w:rPr>
          <w:sz w:val="24"/>
        </w:rPr>
        <w:t>（或授权委托人） 签字或盖印鉴章。投标文件因字迹潦草或表达不清所引起的后果由投标人负责。</w:t>
      </w:r>
    </w:p>
    <w:p>
      <w:pPr>
        <w:tabs>
          <w:tab w:val="left" w:pos="1539"/>
        </w:tabs>
        <w:spacing w:before="0" w:line="362" w:lineRule="auto"/>
        <w:ind w:left="580" w:right="4613" w:hanging="8"/>
        <w:jc w:val="left"/>
        <w:rPr>
          <w:sz w:val="24"/>
        </w:rPr>
      </w:pPr>
      <w:r>
        <w:rPr>
          <w:b/>
          <w:sz w:val="24"/>
        </w:rPr>
        <w:t>（七）</w:t>
      </w:r>
      <w:r>
        <w:rPr>
          <w:b/>
          <w:sz w:val="24"/>
        </w:rPr>
        <w:tab/>
      </w:r>
      <w:r>
        <w:rPr>
          <w:b/>
          <w:sz w:val="24"/>
        </w:rPr>
        <w:t>投标文件的包装、递交、修改和撤</w:t>
      </w:r>
      <w:r>
        <w:rPr>
          <w:b/>
          <w:spacing w:val="-14"/>
          <w:sz w:val="24"/>
        </w:rPr>
        <w:t>回</w:t>
      </w:r>
      <w:r>
        <w:rPr>
          <w:sz w:val="24"/>
        </w:rPr>
        <w:t>1.投标文件的包封。</w:t>
      </w:r>
    </w:p>
    <w:p>
      <w:pPr>
        <w:pStyle w:val="14"/>
        <w:numPr>
          <w:ilvl w:val="1"/>
          <w:numId w:val="21"/>
        </w:numPr>
        <w:tabs>
          <w:tab w:val="left" w:pos="941"/>
        </w:tabs>
        <w:spacing w:before="0" w:after="0" w:line="364" w:lineRule="auto"/>
        <w:ind w:left="100" w:right="189" w:firstLine="480"/>
        <w:jc w:val="left"/>
        <w:rPr>
          <w:sz w:val="24"/>
        </w:rPr>
      </w:pPr>
      <w:r>
        <w:rPr>
          <w:sz w:val="24"/>
        </w:rPr>
        <w:t>投标文件正、副本全部装入一个投标文件袋（盒、箱）</w:t>
      </w:r>
      <w:r>
        <w:rPr>
          <w:spacing w:val="-2"/>
          <w:sz w:val="24"/>
        </w:rPr>
        <w:t>中并加以密封，封口处必须加</w:t>
      </w:r>
      <w:r>
        <w:rPr>
          <w:sz w:val="24"/>
        </w:rPr>
        <w:t>盖投标人单位公章或密封章以示密封。</w:t>
      </w:r>
    </w:p>
    <w:p>
      <w:pPr>
        <w:pStyle w:val="14"/>
        <w:numPr>
          <w:ilvl w:val="1"/>
          <w:numId w:val="21"/>
        </w:numPr>
        <w:tabs>
          <w:tab w:val="left" w:pos="941"/>
        </w:tabs>
        <w:spacing w:before="0" w:after="0" w:line="364" w:lineRule="auto"/>
        <w:ind w:left="100" w:right="189" w:firstLine="480"/>
        <w:jc w:val="left"/>
        <w:rPr>
          <w:sz w:val="24"/>
        </w:rPr>
      </w:pPr>
      <w:r>
        <w:rPr>
          <w:spacing w:val="-1"/>
          <w:sz w:val="24"/>
        </w:rPr>
        <w:t>投标文件封套上应写明投标人名称、投标人地址、投标项目名称、项目编号、所投标</w:t>
      </w:r>
      <w:r>
        <w:rPr>
          <w:sz w:val="24"/>
        </w:rPr>
        <w:t>及“开标时启封”字样。</w:t>
      </w:r>
    </w:p>
    <w:p>
      <w:pPr>
        <w:pStyle w:val="14"/>
        <w:numPr>
          <w:ilvl w:val="1"/>
          <w:numId w:val="21"/>
        </w:numPr>
        <w:tabs>
          <w:tab w:val="left" w:pos="941"/>
        </w:tabs>
        <w:spacing w:before="0" w:after="0" w:line="240" w:lineRule="auto"/>
        <w:ind w:left="941" w:right="0" w:hanging="361"/>
        <w:jc w:val="left"/>
        <w:rPr>
          <w:sz w:val="24"/>
        </w:rPr>
      </w:pPr>
      <w:r>
        <w:rPr>
          <w:sz w:val="24"/>
        </w:rPr>
        <w:t>未按规定密封或标记的投标文件将被拒绝接收，由此造成的后果由投标人承担。</w:t>
      </w:r>
    </w:p>
    <w:p>
      <w:pPr>
        <w:pStyle w:val="7"/>
        <w:spacing w:before="3"/>
        <w:rPr>
          <w:sz w:val="18"/>
        </w:rPr>
      </w:pPr>
    </w:p>
    <w:p>
      <w:pPr>
        <w:pStyle w:val="14"/>
        <w:numPr>
          <w:ilvl w:val="0"/>
          <w:numId w:val="22"/>
        </w:numPr>
        <w:tabs>
          <w:tab w:val="left" w:pos="821"/>
        </w:tabs>
        <w:spacing w:before="67" w:after="0" w:line="240" w:lineRule="auto"/>
        <w:ind w:left="821" w:right="0" w:hanging="241"/>
        <w:jc w:val="left"/>
        <w:rPr>
          <w:sz w:val="24"/>
        </w:rPr>
      </w:pPr>
      <w:r>
        <w:rPr>
          <w:sz w:val="24"/>
        </w:rPr>
        <w:t>投标文件的递交</w:t>
      </w:r>
    </w:p>
    <w:p>
      <w:pPr>
        <w:pStyle w:val="14"/>
        <w:numPr>
          <w:ilvl w:val="1"/>
          <w:numId w:val="22"/>
        </w:numPr>
        <w:tabs>
          <w:tab w:val="left" w:pos="941"/>
        </w:tabs>
        <w:spacing w:before="160" w:after="0" w:line="240" w:lineRule="auto"/>
        <w:ind w:left="941" w:right="0" w:hanging="361"/>
        <w:jc w:val="left"/>
        <w:rPr>
          <w:sz w:val="24"/>
        </w:rPr>
      </w:pPr>
      <w:r>
        <w:rPr>
          <w:sz w:val="24"/>
        </w:rPr>
        <w:t>投标文件的递交不得迟于本须知前附表规定的截止时间。</w:t>
      </w:r>
    </w:p>
    <w:p>
      <w:pPr>
        <w:pStyle w:val="14"/>
        <w:numPr>
          <w:ilvl w:val="1"/>
          <w:numId w:val="22"/>
        </w:numPr>
        <w:tabs>
          <w:tab w:val="left" w:pos="941"/>
        </w:tabs>
        <w:spacing w:before="158" w:after="0" w:line="364" w:lineRule="auto"/>
        <w:ind w:left="100" w:right="189" w:firstLine="480"/>
        <w:jc w:val="left"/>
        <w:rPr>
          <w:sz w:val="24"/>
        </w:rPr>
      </w:pPr>
      <w:r>
        <w:rPr>
          <w:spacing w:val="-1"/>
          <w:sz w:val="24"/>
        </w:rPr>
        <w:t>投标人必须在规定时间内将投标文件送到本须知前附表规定地点，超过投标截止时间</w:t>
      </w:r>
      <w:r>
        <w:rPr>
          <w:sz w:val="24"/>
        </w:rPr>
        <w:t>送达的投标文件将不予受理。</w:t>
      </w:r>
    </w:p>
    <w:p>
      <w:pPr>
        <w:pStyle w:val="6"/>
        <w:tabs>
          <w:tab w:val="left" w:pos="1539"/>
        </w:tabs>
        <w:spacing w:line="306" w:lineRule="exact"/>
        <w:ind w:left="572"/>
      </w:pPr>
      <w:r>
        <w:t>（八）</w:t>
      </w:r>
      <w:r>
        <w:tab/>
      </w:r>
      <w:r>
        <w:t>投标文件的修改或撤回</w:t>
      </w:r>
    </w:p>
    <w:p>
      <w:pPr>
        <w:pStyle w:val="7"/>
        <w:spacing w:before="161" w:line="364" w:lineRule="auto"/>
        <w:ind w:left="100" w:right="159" w:firstLine="465"/>
        <w:jc w:val="both"/>
      </w:pPr>
      <w:r>
        <w:t>投标人在投标截止时间之前，可以对已提交的投标文件进行修改或撤回，并书面通知招标采购人；投标截止时间后，投标人不得撤回、修改投标文件。修改后重新递交的投标文件应当按本招标文件的要求盖章和密封。</w:t>
      </w:r>
    </w:p>
    <w:p>
      <w:pPr>
        <w:pStyle w:val="7"/>
        <w:spacing w:line="362" w:lineRule="auto"/>
        <w:ind w:left="100" w:right="309" w:firstLine="480"/>
      </w:pPr>
      <w:r>
        <w:t>在招标文件要求提交投标文件的截止时间之后送达的投标文件，为无效投标文件，招标采购单位应当拒收。</w:t>
      </w:r>
    </w:p>
    <w:p>
      <w:pPr>
        <w:pStyle w:val="6"/>
        <w:spacing w:before="2"/>
      </w:pPr>
      <w:r>
        <w:t>（九）投标无效的情形</w:t>
      </w:r>
    </w:p>
    <w:p>
      <w:pPr>
        <w:pStyle w:val="7"/>
        <w:spacing w:before="160"/>
        <w:ind w:left="580"/>
      </w:pPr>
      <w:r>
        <w:t>实质上没有响应招标文件要求的投标将被视为无效投标。</w:t>
      </w:r>
    </w:p>
    <w:p>
      <w:pPr>
        <w:pStyle w:val="7"/>
        <w:spacing w:before="8"/>
        <w:rPr>
          <w:sz w:val="19"/>
        </w:rPr>
      </w:pPr>
    </w:p>
    <w:p>
      <w:pPr>
        <w:pStyle w:val="6"/>
        <w:spacing w:line="364" w:lineRule="auto"/>
        <w:ind w:left="100" w:right="243" w:firstLine="470"/>
      </w:pPr>
      <w:r>
        <w:t>1.在资格审查时，未按招标文件提供以下材料，或材料不符合要求的，投标文件将视为无效：</w:t>
      </w:r>
    </w:p>
    <w:p>
      <w:pPr>
        <w:pStyle w:val="7"/>
        <w:spacing w:before="93"/>
        <w:ind w:left="580"/>
      </w:pPr>
      <w:r>
        <w:t>▲（1）有效的营业执照副本复印件；</w:t>
      </w:r>
    </w:p>
    <w:p>
      <w:pPr>
        <w:pStyle w:val="7"/>
        <w:spacing w:before="10"/>
        <w:rPr>
          <w:sz w:val="19"/>
        </w:rPr>
      </w:pPr>
    </w:p>
    <w:p>
      <w:pPr>
        <w:pStyle w:val="7"/>
        <w:spacing w:before="1"/>
        <w:ind w:left="580"/>
      </w:pPr>
      <w:r>
        <w:t>▲（2）有效的资质证书副本复印件；</w:t>
      </w:r>
    </w:p>
    <w:p>
      <w:pPr>
        <w:pStyle w:val="7"/>
        <w:spacing w:before="9"/>
        <w:rPr>
          <w:sz w:val="19"/>
        </w:rPr>
      </w:pPr>
    </w:p>
    <w:p>
      <w:pPr>
        <w:pStyle w:val="7"/>
        <w:ind w:left="580"/>
      </w:pPr>
      <w:r>
        <w:t>▲（</w:t>
      </w:r>
      <w:r>
        <w:rPr>
          <w:rFonts w:hint="eastAsia"/>
          <w:lang w:val="en-US" w:eastAsia="zh-CN"/>
        </w:rPr>
        <w:t>3</w:t>
      </w:r>
      <w:r>
        <w:t>）投标人开户许可证复印件；</w:t>
      </w:r>
    </w:p>
    <w:p>
      <w:pPr>
        <w:pStyle w:val="7"/>
        <w:spacing w:before="10"/>
        <w:rPr>
          <w:sz w:val="19"/>
        </w:rPr>
      </w:pPr>
    </w:p>
    <w:p>
      <w:pPr>
        <w:pStyle w:val="7"/>
        <w:ind w:left="580"/>
      </w:pPr>
      <w:r>
        <w:t>▲（</w:t>
      </w:r>
      <w:r>
        <w:rPr>
          <w:rFonts w:hint="eastAsia"/>
          <w:lang w:val="en-US" w:eastAsia="zh-CN"/>
        </w:rPr>
        <w:t>4</w:t>
      </w:r>
      <w:r>
        <w:t>）投标声明书(格式见附件)；</w:t>
      </w:r>
    </w:p>
    <w:p>
      <w:pPr>
        <w:pStyle w:val="7"/>
        <w:rPr>
          <w:sz w:val="20"/>
        </w:rPr>
      </w:pPr>
    </w:p>
    <w:p>
      <w:pPr>
        <w:pStyle w:val="7"/>
        <w:spacing w:before="1"/>
        <w:ind w:left="212" w:firstLine="360" w:firstLineChars="1500"/>
      </w:pPr>
      <w:r>
        <w:rPr>
          <w:spacing w:val="-108"/>
        </w:rPr>
        <w:t>▲</w:t>
      </w:r>
      <w:r>
        <w:t>（</w:t>
      </w:r>
      <w:r>
        <w:rPr>
          <w:rFonts w:hint="eastAsia"/>
          <w:lang w:val="en-US" w:eastAsia="zh-CN"/>
        </w:rPr>
        <w:t>5</w:t>
      </w:r>
      <w:r>
        <w:rPr>
          <w:spacing w:val="-108"/>
        </w:rPr>
        <w:t>）</w:t>
      </w:r>
      <w:r>
        <w:rPr>
          <w:spacing w:val="-5"/>
        </w:rPr>
        <w:t>法人授权委托书和委托代理人完整有效的身份证正反面复印件</w:t>
      </w:r>
      <w:r>
        <w:t>（委托代理时提供</w:t>
      </w:r>
      <w:r>
        <w:rPr>
          <w:spacing w:val="-120"/>
        </w:rPr>
        <w:t>）</w:t>
      </w:r>
      <w:r>
        <w:t>；</w:t>
      </w:r>
    </w:p>
    <w:p>
      <w:pPr>
        <w:pStyle w:val="7"/>
        <w:rPr>
          <w:sz w:val="20"/>
        </w:rPr>
      </w:pPr>
    </w:p>
    <w:p>
      <w:pPr>
        <w:pStyle w:val="7"/>
        <w:spacing w:line="364" w:lineRule="auto"/>
        <w:ind w:left="100" w:right="159" w:firstLine="424"/>
        <w:jc w:val="both"/>
      </w:pPr>
      <w:r>
        <w:t>▲（</w:t>
      </w:r>
      <w:r>
        <w:rPr>
          <w:rFonts w:hint="eastAsia"/>
          <w:lang w:val="en-US" w:eastAsia="zh-CN"/>
        </w:rPr>
        <w:t>6</w:t>
      </w:r>
      <w:r>
        <w:t>）投标人在递交截止之日前半年内连续三个月依法纳税的完税凭证复印件或者《依法纳税或依法免税证明》复印件（如为新成立的投标单位请按实际依法缴纳的月份提供，必须提供，加盖投标单位公章）；</w:t>
      </w:r>
    </w:p>
    <w:p>
      <w:pPr>
        <w:pStyle w:val="7"/>
        <w:spacing w:line="305" w:lineRule="exact"/>
        <w:ind w:left="488"/>
      </w:pPr>
      <w:r>
        <w:rPr>
          <w:spacing w:val="-17"/>
        </w:rPr>
        <w:t>▲（</w:t>
      </w:r>
      <w:r>
        <w:rPr>
          <w:rFonts w:hint="eastAsia"/>
          <w:spacing w:val="-17"/>
          <w:lang w:val="en-US" w:eastAsia="zh-CN"/>
        </w:rPr>
        <w:t>7</w:t>
      </w:r>
      <w:r>
        <w:rPr>
          <w:spacing w:val="-17"/>
        </w:rPr>
        <w:t>）</w:t>
      </w:r>
      <w:r>
        <w:rPr>
          <w:spacing w:val="3"/>
        </w:rPr>
        <w:t>投标人在递交截止之日前半年内连续三个月依法缴纳社会保障资金的凭证复印件</w:t>
      </w:r>
    </w:p>
    <w:p>
      <w:pPr>
        <w:pStyle w:val="7"/>
        <w:spacing w:before="160" w:line="364" w:lineRule="auto"/>
        <w:ind w:left="100" w:right="159"/>
        <w:jc w:val="both"/>
      </w:pPr>
      <w:r>
        <w:rPr>
          <w:spacing w:val="4"/>
        </w:rPr>
        <w:t>（</w:t>
      </w:r>
      <w:r>
        <w:t>如社保部门开具的证明、收款收据等，或银行缴款凭证、回单等，如为非社保部门开具的</w:t>
      </w:r>
      <w:r>
        <w:rPr>
          <w:spacing w:val="15"/>
        </w:rPr>
        <w:t>凭证或回单的，应清晰反映：缴款单位名称、社保单位名称、保险名称、缴款金额等内</w:t>
      </w:r>
      <w:r>
        <w:rPr>
          <w:spacing w:val="4"/>
        </w:rPr>
        <w:t>容</w:t>
      </w:r>
      <w:r>
        <w:t>）。无缴费记录的，应提供</w:t>
      </w:r>
      <w:r>
        <w:rPr>
          <w:rFonts w:hint="eastAsia"/>
          <w:lang w:eastAsia="zh-CN"/>
        </w:rPr>
        <w:t>投</w:t>
      </w:r>
      <w:r>
        <w:t>标人所在地社保部门出具的《依法缴纳或依法免缴社保费证</w:t>
      </w:r>
      <w:r>
        <w:rPr>
          <w:spacing w:val="9"/>
        </w:rPr>
        <w:t>明》（</w:t>
      </w:r>
      <w:r>
        <w:rPr>
          <w:spacing w:val="8"/>
        </w:rPr>
        <w:t>如为新成立的投标单位请按实际依法缴纳的月份提供，必须提供，加盖投标单位公</w:t>
      </w:r>
    </w:p>
    <w:p>
      <w:pPr>
        <w:pStyle w:val="7"/>
        <w:spacing w:before="3"/>
        <w:rPr>
          <w:sz w:val="18"/>
        </w:rPr>
      </w:pPr>
    </w:p>
    <w:p>
      <w:pPr>
        <w:pStyle w:val="7"/>
        <w:spacing w:before="67"/>
        <w:ind w:left="100"/>
      </w:pPr>
      <w:r>
        <w:t>章）；</w:t>
      </w:r>
    </w:p>
    <w:p>
      <w:pPr>
        <w:pStyle w:val="7"/>
        <w:spacing w:before="160" w:line="364" w:lineRule="auto"/>
        <w:ind w:left="100" w:right="189" w:firstLine="480"/>
      </w:pPr>
      <w:r>
        <w:t>▲（</w:t>
      </w:r>
      <w:r>
        <w:rPr>
          <w:rFonts w:hint="eastAsia"/>
          <w:lang w:val="en-US" w:eastAsia="zh-CN"/>
        </w:rPr>
        <w:t>8</w:t>
      </w:r>
      <w:r>
        <w:t>）投标人201</w:t>
      </w:r>
      <w:r>
        <w:rPr>
          <w:rFonts w:hint="eastAsia"/>
          <w:lang w:val="en-US" w:eastAsia="zh-CN"/>
        </w:rPr>
        <w:t>9</w:t>
      </w:r>
      <w:r>
        <w:t>年度</w:t>
      </w:r>
      <w:r>
        <w:rPr>
          <w:rFonts w:hint="eastAsia"/>
          <w:lang w:eastAsia="zh-CN"/>
        </w:rPr>
        <w:t>财务</w:t>
      </w:r>
      <w:r>
        <w:t>报表，（如</w:t>
      </w:r>
      <w:r>
        <w:rPr>
          <w:rFonts w:hint="eastAsia"/>
          <w:lang w:eastAsia="zh-CN"/>
        </w:rPr>
        <w:t>是</w:t>
      </w:r>
      <w:r>
        <w:t>新成立的投标单位则按实际月份提供，必须提供，加盖投标单位公章）；</w:t>
      </w:r>
    </w:p>
    <w:p>
      <w:pPr>
        <w:pStyle w:val="7"/>
        <w:spacing w:line="364" w:lineRule="auto"/>
        <w:ind w:left="100" w:right="507" w:firstLine="520"/>
        <w:rPr>
          <w:rFonts w:hint="eastAsia"/>
          <w:lang w:eastAsia="zh-CN"/>
        </w:rPr>
      </w:pPr>
      <w:r>
        <w:t>▲（</w:t>
      </w:r>
      <w:r>
        <w:rPr>
          <w:rFonts w:hint="eastAsia"/>
          <w:lang w:val="en-US" w:eastAsia="zh-CN"/>
        </w:rPr>
        <w:t>9</w:t>
      </w:r>
      <w:r>
        <w:t>）投标人在“信用中国”网站(www.creditchina.gov.cn)、中国政府采购网(www.ccgp.gov.cn)等渠道的信用查询页面打印文件（必须提交，加盖投标单位公章）</w:t>
      </w:r>
      <w:r>
        <w:rPr>
          <w:rFonts w:hint="eastAsia"/>
          <w:lang w:eastAsia="zh-CN"/>
        </w:rPr>
        <w:t>；</w:t>
      </w:r>
    </w:p>
    <w:p>
      <w:pPr>
        <w:pStyle w:val="7"/>
        <w:spacing w:line="364" w:lineRule="auto"/>
        <w:ind w:left="100" w:right="507" w:firstLine="520"/>
        <w:rPr>
          <w:rFonts w:hint="eastAsia"/>
          <w:lang w:eastAsia="zh-CN"/>
        </w:rPr>
      </w:pPr>
      <w:r>
        <w:t>▲</w:t>
      </w:r>
      <w:r>
        <w:rPr>
          <w:rFonts w:hint="eastAsia"/>
          <w:lang w:eastAsia="zh-CN"/>
        </w:rPr>
        <w:t>（</w:t>
      </w:r>
      <w:r>
        <w:rPr>
          <w:rFonts w:hint="eastAsia"/>
          <w:lang w:val="en-US" w:eastAsia="zh-CN"/>
        </w:rPr>
        <w:t>10</w:t>
      </w:r>
      <w:r>
        <w:rPr>
          <w:rFonts w:hint="eastAsia"/>
          <w:lang w:eastAsia="zh-CN"/>
        </w:rPr>
        <w:t>）参加政府采购活动前3年内在经营活动中没有重大违法记录的书面声明(必须提供，加盖单位公章)；</w:t>
      </w:r>
    </w:p>
    <w:p>
      <w:pPr>
        <w:pStyle w:val="6"/>
        <w:spacing w:line="306" w:lineRule="exact"/>
      </w:pPr>
      <w:r>
        <w:t>2、在符合性审查时，如发现下列情形之一的，投标文件将被视为无效：</w:t>
      </w:r>
    </w:p>
    <w:p>
      <w:pPr>
        <w:pStyle w:val="14"/>
        <w:numPr>
          <w:ilvl w:val="0"/>
          <w:numId w:val="23"/>
        </w:numPr>
        <w:tabs>
          <w:tab w:val="left" w:pos="1172"/>
        </w:tabs>
        <w:spacing w:before="159" w:after="0" w:line="240" w:lineRule="auto"/>
        <w:ind w:left="1171" w:right="0" w:hanging="602"/>
        <w:jc w:val="left"/>
        <w:rPr>
          <w:sz w:val="24"/>
        </w:rPr>
      </w:pPr>
      <w:r>
        <w:rPr>
          <w:sz w:val="24"/>
        </w:rPr>
        <w:t>▲超越了按照法律法规规定必须获得行政许可或者行政审批的经营范围的；</w:t>
      </w:r>
    </w:p>
    <w:p>
      <w:pPr>
        <w:pStyle w:val="14"/>
        <w:numPr>
          <w:ilvl w:val="0"/>
          <w:numId w:val="23"/>
        </w:numPr>
        <w:tabs>
          <w:tab w:val="left" w:pos="1172"/>
        </w:tabs>
        <w:spacing w:before="159" w:after="0" w:line="240" w:lineRule="auto"/>
        <w:ind w:left="1171" w:right="0" w:hanging="602"/>
        <w:jc w:val="left"/>
        <w:rPr>
          <w:sz w:val="24"/>
        </w:rPr>
      </w:pPr>
      <w:r>
        <w:rPr>
          <w:sz w:val="24"/>
        </w:rPr>
        <w:t>▲投标代表人未能出具身份证明或与法定代表人授权委托人身份不符的；</w:t>
      </w:r>
    </w:p>
    <w:p>
      <w:pPr>
        <w:pStyle w:val="14"/>
        <w:numPr>
          <w:ilvl w:val="0"/>
          <w:numId w:val="23"/>
        </w:numPr>
        <w:tabs>
          <w:tab w:val="left" w:pos="1172"/>
        </w:tabs>
        <w:spacing w:before="160" w:after="0" w:line="240" w:lineRule="auto"/>
        <w:ind w:left="1171" w:right="0" w:hanging="602"/>
        <w:jc w:val="left"/>
        <w:rPr>
          <w:sz w:val="24"/>
        </w:rPr>
      </w:pPr>
      <w:r>
        <w:rPr>
          <w:sz w:val="24"/>
        </w:rPr>
        <w:t>▲项目不齐全或者内容虚假的；</w:t>
      </w:r>
    </w:p>
    <w:p>
      <w:pPr>
        <w:pStyle w:val="14"/>
        <w:numPr>
          <w:ilvl w:val="0"/>
          <w:numId w:val="23"/>
        </w:numPr>
        <w:tabs>
          <w:tab w:val="left" w:pos="1172"/>
        </w:tabs>
        <w:spacing w:before="158" w:after="0" w:line="364" w:lineRule="auto"/>
        <w:ind w:left="100" w:right="197" w:firstLine="470"/>
        <w:jc w:val="left"/>
        <w:rPr>
          <w:sz w:val="24"/>
        </w:rPr>
      </w:pPr>
      <w:r>
        <w:rPr>
          <w:spacing w:val="-1"/>
          <w:sz w:val="24"/>
        </w:rPr>
        <w:t>▲投标文件的实质性内容未使用中文表述、意思表述不明确、前后矛盾或者使用计</w:t>
      </w:r>
      <w:r>
        <w:rPr>
          <w:sz w:val="24"/>
        </w:rPr>
        <w:t>量单位不符合招标文件要求的（经评标委员会认定并允许其当场更正的笔误除外）；</w:t>
      </w:r>
    </w:p>
    <w:p>
      <w:pPr>
        <w:pStyle w:val="14"/>
        <w:numPr>
          <w:ilvl w:val="0"/>
          <w:numId w:val="23"/>
        </w:numPr>
        <w:tabs>
          <w:tab w:val="left" w:pos="1172"/>
        </w:tabs>
        <w:spacing w:before="0" w:after="0" w:line="306" w:lineRule="exact"/>
        <w:ind w:left="1171" w:right="0" w:hanging="602"/>
        <w:jc w:val="left"/>
        <w:rPr>
          <w:sz w:val="24"/>
        </w:rPr>
      </w:pPr>
      <w:r>
        <w:rPr>
          <w:sz w:val="24"/>
        </w:rPr>
        <w:t>▲投标有效期、服务时间等商务条款不能满足招标文件要求的；</w:t>
      </w:r>
    </w:p>
    <w:p>
      <w:pPr>
        <w:pStyle w:val="14"/>
        <w:numPr>
          <w:ilvl w:val="0"/>
          <w:numId w:val="23"/>
        </w:numPr>
        <w:tabs>
          <w:tab w:val="left" w:pos="1181"/>
        </w:tabs>
        <w:spacing w:before="161" w:after="0" w:line="240" w:lineRule="auto"/>
        <w:ind w:left="1181" w:right="0" w:hanging="601"/>
        <w:jc w:val="left"/>
        <w:rPr>
          <w:sz w:val="24"/>
        </w:rPr>
      </w:pPr>
      <w:r>
        <w:rPr>
          <w:sz w:val="24"/>
        </w:rPr>
        <w:t>▲未实质性响应招标文件要求或者投标文件有招标方不能接受的附加条件的；</w:t>
      </w:r>
    </w:p>
    <w:p>
      <w:pPr>
        <w:pStyle w:val="7"/>
        <w:spacing w:before="6"/>
        <w:rPr>
          <w:sz w:val="18"/>
        </w:rPr>
      </w:pPr>
    </w:p>
    <w:p>
      <w:pPr>
        <w:pStyle w:val="6"/>
        <w:ind w:left="580"/>
      </w:pPr>
      <w:r>
        <w:rPr>
          <w:b w:val="0"/>
        </w:rPr>
        <w:t>3.</w:t>
      </w:r>
      <w:r>
        <w:t>在技术评审时，如发现下列情形之一的，投标文件将被视为无效：</w:t>
      </w:r>
    </w:p>
    <w:p>
      <w:pPr>
        <w:pStyle w:val="14"/>
        <w:numPr>
          <w:ilvl w:val="0"/>
          <w:numId w:val="24"/>
        </w:numPr>
        <w:tabs>
          <w:tab w:val="left" w:pos="1181"/>
        </w:tabs>
        <w:spacing w:before="94" w:after="0" w:line="312" w:lineRule="auto"/>
        <w:ind w:left="100" w:right="189" w:firstLine="480"/>
        <w:jc w:val="left"/>
        <w:rPr>
          <w:sz w:val="24"/>
        </w:rPr>
      </w:pPr>
      <w:r>
        <w:rPr>
          <w:spacing w:val="-1"/>
          <w:sz w:val="24"/>
        </w:rPr>
        <w:t>未提供或未如实提供投标服务的服务标准，或者投标文件标明的响应或偏离与事实</w:t>
      </w:r>
      <w:r>
        <w:rPr>
          <w:sz w:val="24"/>
        </w:rPr>
        <w:t>不符或虚假投标的。</w:t>
      </w:r>
    </w:p>
    <w:p>
      <w:pPr>
        <w:pStyle w:val="14"/>
        <w:numPr>
          <w:ilvl w:val="0"/>
          <w:numId w:val="24"/>
        </w:numPr>
        <w:tabs>
          <w:tab w:val="left" w:pos="1181"/>
        </w:tabs>
        <w:spacing w:before="0" w:after="0" w:line="312" w:lineRule="auto"/>
        <w:ind w:left="100" w:right="189" w:firstLine="480"/>
        <w:jc w:val="left"/>
        <w:rPr>
          <w:sz w:val="24"/>
        </w:rPr>
      </w:pPr>
      <w:r>
        <w:rPr>
          <w:spacing w:val="-1"/>
          <w:sz w:val="24"/>
        </w:rPr>
        <w:t>明显不符合招标文件要求的服务标准、质量标准，或者与招标文件中服务标准、质</w:t>
      </w:r>
      <w:r>
        <w:rPr>
          <w:sz w:val="24"/>
        </w:rPr>
        <w:t>量标准发生实质性偏离的。</w:t>
      </w:r>
    </w:p>
    <w:p>
      <w:pPr>
        <w:pStyle w:val="14"/>
        <w:numPr>
          <w:ilvl w:val="0"/>
          <w:numId w:val="24"/>
        </w:numPr>
        <w:tabs>
          <w:tab w:val="left" w:pos="1181"/>
        </w:tabs>
        <w:spacing w:before="1" w:after="0" w:line="312" w:lineRule="auto"/>
        <w:ind w:left="580" w:right="1389" w:firstLine="0"/>
        <w:jc w:val="left"/>
        <w:rPr>
          <w:b/>
          <w:sz w:val="24"/>
        </w:rPr>
      </w:pPr>
      <w:r>
        <w:rPr>
          <w:sz w:val="24"/>
        </w:rPr>
        <w:t>投标服务方案不明确，存在一个或一个以上备选（替代）</w:t>
      </w:r>
      <w:r>
        <w:rPr>
          <w:spacing w:val="-4"/>
          <w:sz w:val="24"/>
        </w:rPr>
        <w:t>投标方案的。</w:t>
      </w:r>
      <w:r>
        <w:rPr>
          <w:b/>
          <w:sz w:val="24"/>
        </w:rPr>
        <w:t>4、在报价评审时，如发现下列情形之一的，投标文件将被视为无效：</w:t>
      </w:r>
    </w:p>
    <w:p>
      <w:pPr>
        <w:pStyle w:val="14"/>
        <w:numPr>
          <w:ilvl w:val="0"/>
          <w:numId w:val="25"/>
        </w:numPr>
        <w:tabs>
          <w:tab w:val="left" w:pos="1181"/>
        </w:tabs>
        <w:spacing w:before="0" w:after="0" w:line="307" w:lineRule="exact"/>
        <w:ind w:left="1181" w:right="0" w:hanging="601"/>
        <w:jc w:val="left"/>
        <w:rPr>
          <w:sz w:val="24"/>
        </w:rPr>
      </w:pPr>
      <w:r>
        <w:rPr>
          <w:sz w:val="24"/>
        </w:rPr>
        <w:t>未采用人民币报价或者未按照招标文件标明的币种报价的。</w:t>
      </w:r>
    </w:p>
    <w:p>
      <w:pPr>
        <w:pStyle w:val="14"/>
        <w:numPr>
          <w:ilvl w:val="0"/>
          <w:numId w:val="25"/>
        </w:numPr>
        <w:tabs>
          <w:tab w:val="left" w:pos="1181"/>
        </w:tabs>
        <w:spacing w:before="94" w:after="0" w:line="240" w:lineRule="auto"/>
        <w:ind w:left="1181" w:right="0" w:hanging="601"/>
        <w:jc w:val="left"/>
        <w:rPr>
          <w:sz w:val="24"/>
        </w:rPr>
      </w:pPr>
      <w:r>
        <w:rPr>
          <w:sz w:val="24"/>
        </w:rPr>
        <w:t>报价超出最高限价，或者超出采购预算金额，招标人不能支付的。</w:t>
      </w:r>
    </w:p>
    <w:p>
      <w:pPr>
        <w:pStyle w:val="14"/>
        <w:numPr>
          <w:ilvl w:val="0"/>
          <w:numId w:val="25"/>
        </w:numPr>
        <w:tabs>
          <w:tab w:val="left" w:pos="1181"/>
        </w:tabs>
        <w:spacing w:before="91" w:after="0" w:line="312" w:lineRule="auto"/>
        <w:ind w:left="100" w:right="429" w:firstLine="480"/>
        <w:jc w:val="left"/>
        <w:rPr>
          <w:sz w:val="24"/>
        </w:rPr>
      </w:pPr>
      <w:r>
        <w:rPr>
          <w:sz w:val="24"/>
        </w:rPr>
        <w:t>投标报价具有选择性，或者开标价格与投标文件承诺的优惠（折扣）</w:t>
      </w:r>
      <w:r>
        <w:rPr>
          <w:spacing w:val="-4"/>
          <w:sz w:val="24"/>
        </w:rPr>
        <w:t>价格不一致</w:t>
      </w:r>
      <w:r>
        <w:rPr>
          <w:sz w:val="24"/>
        </w:rPr>
        <w:t>的。</w:t>
      </w:r>
    </w:p>
    <w:p>
      <w:pPr>
        <w:pStyle w:val="14"/>
        <w:numPr>
          <w:ilvl w:val="0"/>
          <w:numId w:val="25"/>
        </w:numPr>
        <w:tabs>
          <w:tab w:val="left" w:pos="1181"/>
        </w:tabs>
        <w:spacing w:before="2" w:after="0" w:line="312" w:lineRule="auto"/>
        <w:ind w:left="100" w:right="189" w:firstLine="480"/>
        <w:jc w:val="left"/>
        <w:rPr>
          <w:sz w:val="24"/>
        </w:rPr>
      </w:pPr>
      <w:r>
        <w:rPr>
          <w:spacing w:val="-1"/>
          <w:sz w:val="24"/>
        </w:rPr>
        <w:t>投标人未就所投项目的全部内容作完整唯一报价的，或有漏项报价的或有选择的或</w:t>
      </w:r>
      <w:r>
        <w:rPr>
          <w:sz w:val="24"/>
        </w:rPr>
        <w:t>有条件的报价的。</w:t>
      </w:r>
    </w:p>
    <w:p>
      <w:pPr>
        <w:pStyle w:val="6"/>
        <w:spacing w:line="252" w:lineRule="auto"/>
        <w:ind w:right="6147"/>
      </w:pPr>
      <w:r>
        <w:t>5、被拒绝的投标文件为无效。四、开标</w:t>
      </w:r>
    </w:p>
    <w:p>
      <w:pPr>
        <w:spacing w:before="141"/>
        <w:ind w:left="555" w:right="0" w:firstLine="0"/>
        <w:jc w:val="left"/>
        <w:rPr>
          <w:b/>
          <w:sz w:val="24"/>
        </w:rPr>
      </w:pPr>
      <w:r>
        <w:rPr>
          <w:b/>
          <w:sz w:val="24"/>
        </w:rPr>
        <w:t>（一）开标准备</w:t>
      </w:r>
    </w:p>
    <w:p>
      <w:pPr>
        <w:pStyle w:val="7"/>
        <w:spacing w:before="10"/>
        <w:rPr>
          <w:b/>
          <w:sz w:val="19"/>
        </w:rPr>
      </w:pPr>
    </w:p>
    <w:p>
      <w:pPr>
        <w:pStyle w:val="7"/>
        <w:spacing w:before="1" w:line="364" w:lineRule="auto"/>
        <w:ind w:left="100" w:right="197" w:firstLine="480"/>
        <w:rPr>
          <w:sz w:val="18"/>
        </w:rPr>
      </w:pPr>
      <w:r>
        <w:t>招标代理机构将在规定的时间和地点进行开标，投标人的法定代表人或其授权代表应参</w:t>
      </w:r>
      <w:r>
        <w:rPr>
          <w:spacing w:val="-10"/>
        </w:rPr>
        <w:t>加开标会并签到。投标人的法定代表人或其授权代表未按时签到的，视同放弃开标监督权利、认可开标结果。</w:t>
      </w:r>
    </w:p>
    <w:p>
      <w:pPr>
        <w:pStyle w:val="6"/>
        <w:spacing w:before="67"/>
        <w:ind w:left="572"/>
      </w:pPr>
      <w:r>
        <w:t>（二） 开标程序：</w:t>
      </w:r>
    </w:p>
    <w:p>
      <w:pPr>
        <w:pStyle w:val="14"/>
        <w:numPr>
          <w:ilvl w:val="0"/>
          <w:numId w:val="26"/>
        </w:numPr>
        <w:tabs>
          <w:tab w:val="left" w:pos="821"/>
        </w:tabs>
        <w:spacing w:before="160" w:after="0" w:line="240" w:lineRule="auto"/>
        <w:ind w:left="821" w:right="0" w:hanging="241"/>
        <w:jc w:val="left"/>
        <w:rPr>
          <w:sz w:val="24"/>
        </w:rPr>
      </w:pPr>
      <w:r>
        <w:rPr>
          <w:sz w:val="24"/>
        </w:rPr>
        <w:t>开标会由招标代理机构主持，主持人宣布开标会议开始；</w:t>
      </w:r>
    </w:p>
    <w:p>
      <w:pPr>
        <w:pStyle w:val="14"/>
        <w:numPr>
          <w:ilvl w:val="0"/>
          <w:numId w:val="26"/>
        </w:numPr>
        <w:tabs>
          <w:tab w:val="left" w:pos="821"/>
        </w:tabs>
        <w:spacing w:before="158" w:after="0" w:line="240" w:lineRule="auto"/>
        <w:ind w:left="821" w:right="0" w:hanging="241"/>
        <w:jc w:val="left"/>
        <w:rPr>
          <w:sz w:val="24"/>
        </w:rPr>
      </w:pPr>
      <w:r>
        <w:rPr>
          <w:sz w:val="24"/>
        </w:rPr>
        <w:t>主持人介绍参加开标会的人员名单，宣布开标纪律；</w:t>
      </w:r>
    </w:p>
    <w:p>
      <w:pPr>
        <w:pStyle w:val="14"/>
        <w:numPr>
          <w:ilvl w:val="0"/>
          <w:numId w:val="26"/>
        </w:numPr>
        <w:tabs>
          <w:tab w:val="left" w:pos="821"/>
        </w:tabs>
        <w:spacing w:before="161" w:after="0" w:line="240" w:lineRule="auto"/>
        <w:ind w:left="821" w:right="0" w:hanging="241"/>
        <w:jc w:val="left"/>
        <w:rPr>
          <w:sz w:val="24"/>
        </w:rPr>
      </w:pPr>
      <w:r>
        <w:rPr>
          <w:sz w:val="24"/>
        </w:rPr>
        <w:t>主持人宣布评标期间的有关事项；告知应当回避的情形，提请有关人员回避；</w:t>
      </w:r>
    </w:p>
    <w:p>
      <w:pPr>
        <w:pStyle w:val="14"/>
        <w:numPr>
          <w:ilvl w:val="0"/>
          <w:numId w:val="26"/>
        </w:numPr>
        <w:tabs>
          <w:tab w:val="left" w:pos="797"/>
        </w:tabs>
        <w:spacing w:before="158" w:after="0" w:line="364" w:lineRule="auto"/>
        <w:ind w:left="100" w:right="159" w:firstLine="458"/>
        <w:jc w:val="both"/>
        <w:rPr>
          <w:sz w:val="24"/>
        </w:rPr>
      </w:pPr>
      <w:r>
        <w:rPr>
          <w:spacing w:val="-4"/>
          <w:sz w:val="24"/>
        </w:rPr>
        <w:t>投标人代表及监督人员一同检查各投标人的资格证件</w:t>
      </w:r>
      <w:r>
        <w:rPr>
          <w:sz w:val="24"/>
        </w:rPr>
        <w:t>（</w:t>
      </w:r>
      <w:r>
        <w:rPr>
          <w:spacing w:val="-3"/>
          <w:sz w:val="24"/>
        </w:rPr>
        <w:t>如为法定代表人到场的请供提本</w:t>
      </w:r>
      <w:r>
        <w:rPr>
          <w:sz w:val="24"/>
        </w:rPr>
        <w:t>人有效的身份证原件及营业执照副本复印件；如为委托代理人到</w:t>
      </w:r>
      <w:r>
        <w:rPr>
          <w:spacing w:val="8"/>
          <w:sz w:val="24"/>
        </w:rPr>
        <w:t>场的请提供本人有效的身份证原件及法定代表人授权委托书原件</w:t>
      </w:r>
      <w:r>
        <w:rPr>
          <w:sz w:val="24"/>
        </w:rPr>
        <w:t>）并签字确认，对无资格证件、证件不齐或无效的投标文件将做无效投标处理，其投标文件将在开标会结束后予以退回；</w:t>
      </w:r>
    </w:p>
    <w:p>
      <w:pPr>
        <w:pStyle w:val="14"/>
        <w:numPr>
          <w:ilvl w:val="0"/>
          <w:numId w:val="26"/>
        </w:numPr>
        <w:tabs>
          <w:tab w:val="left" w:pos="807"/>
        </w:tabs>
        <w:spacing w:before="0" w:after="0" w:line="364" w:lineRule="auto"/>
        <w:ind w:left="100" w:right="360" w:firstLine="465"/>
        <w:jc w:val="left"/>
        <w:rPr>
          <w:sz w:val="24"/>
        </w:rPr>
      </w:pPr>
      <w:r>
        <w:rPr>
          <w:spacing w:val="-3"/>
          <w:sz w:val="24"/>
        </w:rPr>
        <w:t>投标人或其当场推荐的代表、参加开标的监督人员，或者招标人委托的公证机构检查投标文件密封的完整性并签字确认；</w:t>
      </w:r>
    </w:p>
    <w:p>
      <w:pPr>
        <w:pStyle w:val="14"/>
        <w:numPr>
          <w:ilvl w:val="0"/>
          <w:numId w:val="26"/>
        </w:numPr>
        <w:tabs>
          <w:tab w:val="left" w:pos="807"/>
        </w:tabs>
        <w:spacing w:before="0" w:after="0" w:line="364" w:lineRule="auto"/>
        <w:ind w:left="100" w:right="360" w:firstLine="465"/>
        <w:jc w:val="left"/>
        <w:rPr>
          <w:sz w:val="24"/>
        </w:rPr>
      </w:pPr>
      <w:r>
        <w:rPr>
          <w:spacing w:val="-3"/>
          <w:sz w:val="24"/>
        </w:rPr>
        <w:t>按各投标人提交投标文件时间的先后顺序打开投标文件外包装，清点投标文件正本、副本数量；</w:t>
      </w:r>
    </w:p>
    <w:p>
      <w:pPr>
        <w:pStyle w:val="14"/>
        <w:numPr>
          <w:ilvl w:val="0"/>
          <w:numId w:val="26"/>
        </w:numPr>
        <w:tabs>
          <w:tab w:val="left" w:pos="821"/>
        </w:tabs>
        <w:spacing w:before="0" w:after="0" w:line="240" w:lineRule="auto"/>
        <w:ind w:left="821" w:right="0" w:hanging="241"/>
        <w:jc w:val="left"/>
        <w:rPr>
          <w:sz w:val="24"/>
        </w:rPr>
      </w:pPr>
      <w:r>
        <w:rPr>
          <w:sz w:val="24"/>
        </w:rPr>
        <w:t>唱标；</w:t>
      </w:r>
    </w:p>
    <w:p>
      <w:pPr>
        <w:pStyle w:val="7"/>
        <w:spacing w:before="4"/>
        <w:rPr>
          <w:sz w:val="19"/>
        </w:rPr>
      </w:pPr>
    </w:p>
    <w:p>
      <w:pPr>
        <w:pStyle w:val="14"/>
        <w:numPr>
          <w:ilvl w:val="0"/>
          <w:numId w:val="26"/>
        </w:numPr>
        <w:tabs>
          <w:tab w:val="left" w:pos="790"/>
        </w:tabs>
        <w:spacing w:before="0" w:after="0" w:line="364" w:lineRule="auto"/>
        <w:ind w:left="100" w:right="293" w:firstLine="451"/>
        <w:jc w:val="both"/>
        <w:rPr>
          <w:sz w:val="24"/>
        </w:rPr>
      </w:pPr>
      <w:r>
        <w:rPr>
          <w:spacing w:val="-8"/>
          <w:sz w:val="24"/>
        </w:rPr>
        <w:t>招标代理机构做开标记录，投标人代表对开标记录进行当场校核及勘误，并签字确认； 同时由记录人、监督人当场签字确认。投标人代表未到场签字确认或者拒绝签字确认的，不影响评标过程；</w:t>
      </w:r>
    </w:p>
    <w:p>
      <w:pPr>
        <w:pStyle w:val="14"/>
        <w:numPr>
          <w:ilvl w:val="0"/>
          <w:numId w:val="26"/>
        </w:numPr>
        <w:tabs>
          <w:tab w:val="left" w:pos="807"/>
        </w:tabs>
        <w:spacing w:before="0" w:after="0" w:line="364" w:lineRule="auto"/>
        <w:ind w:left="570" w:right="7532" w:hanging="5"/>
        <w:jc w:val="left"/>
        <w:rPr>
          <w:b/>
          <w:sz w:val="24"/>
        </w:rPr>
      </w:pPr>
      <w:r>
        <w:rPr>
          <w:spacing w:val="-5"/>
          <w:sz w:val="24"/>
        </w:rPr>
        <w:t>开标会议结束。</w:t>
      </w:r>
      <w:r>
        <w:rPr>
          <w:b/>
          <w:sz w:val="24"/>
        </w:rPr>
        <w:t>五、评标</w:t>
      </w:r>
    </w:p>
    <w:p>
      <w:pPr>
        <w:pStyle w:val="6"/>
        <w:spacing w:before="1"/>
      </w:pPr>
      <w:r>
        <w:t>（一）组建评标委员会</w:t>
      </w:r>
    </w:p>
    <w:p>
      <w:pPr>
        <w:pStyle w:val="14"/>
        <w:numPr>
          <w:ilvl w:val="0"/>
          <w:numId w:val="27"/>
        </w:numPr>
        <w:tabs>
          <w:tab w:val="left" w:pos="812"/>
        </w:tabs>
        <w:spacing w:before="160" w:after="0" w:line="240" w:lineRule="auto"/>
        <w:ind w:left="811" w:right="0" w:hanging="242"/>
        <w:jc w:val="left"/>
        <w:rPr>
          <w:sz w:val="24"/>
        </w:rPr>
      </w:pPr>
      <w:r>
        <w:rPr>
          <w:sz w:val="24"/>
        </w:rPr>
        <w:t>评标委员会构成：5人，其中招标人代表 1人、专家4人。</w:t>
      </w:r>
    </w:p>
    <w:p>
      <w:pPr>
        <w:pStyle w:val="14"/>
        <w:numPr>
          <w:ilvl w:val="0"/>
          <w:numId w:val="27"/>
        </w:numPr>
        <w:tabs>
          <w:tab w:val="left" w:pos="812"/>
        </w:tabs>
        <w:spacing w:before="161" w:after="0" w:line="240" w:lineRule="auto"/>
        <w:ind w:left="811" w:right="0" w:hanging="242"/>
        <w:jc w:val="left"/>
        <w:rPr>
          <w:sz w:val="24"/>
        </w:rPr>
      </w:pPr>
      <w:r>
        <w:rPr>
          <w:sz w:val="24"/>
        </w:rPr>
        <w:t>评标专家确定方式：在</w:t>
      </w:r>
      <w:r>
        <w:rPr>
          <w:rFonts w:hint="eastAsia"/>
          <w:sz w:val="24"/>
          <w:lang w:eastAsia="zh-CN"/>
        </w:rPr>
        <w:t>政采云</w:t>
      </w:r>
      <w:r>
        <w:rPr>
          <w:sz w:val="24"/>
        </w:rPr>
        <w:t>专家库管理系统上抽取</w:t>
      </w:r>
    </w:p>
    <w:p>
      <w:pPr>
        <w:pStyle w:val="6"/>
        <w:spacing w:before="160"/>
      </w:pPr>
      <w:r>
        <w:t>（二）评标的方式</w:t>
      </w:r>
    </w:p>
    <w:p>
      <w:pPr>
        <w:pStyle w:val="7"/>
        <w:spacing w:before="11"/>
        <w:rPr>
          <w:b/>
          <w:sz w:val="19"/>
        </w:rPr>
      </w:pPr>
    </w:p>
    <w:p>
      <w:pPr>
        <w:pStyle w:val="7"/>
        <w:ind w:left="580"/>
      </w:pPr>
      <w:r>
        <w:t>本项目采用不公开方式评标，评标的依据为招标文件和投标文件。</w:t>
      </w:r>
    </w:p>
    <w:p>
      <w:pPr>
        <w:pStyle w:val="6"/>
        <w:spacing w:before="9" w:line="550" w:lineRule="atLeast"/>
        <w:ind w:left="688" w:right="7629" w:hanging="116"/>
      </w:pPr>
      <w:r>
        <w:t>（三） 评标程序1.资格审查</w:t>
      </w:r>
    </w:p>
    <w:p>
      <w:pPr>
        <w:pStyle w:val="7"/>
        <w:spacing w:before="167" w:line="364" w:lineRule="auto"/>
        <w:ind w:left="100" w:right="309" w:firstLine="480"/>
        <w:jc w:val="both"/>
        <w:rPr>
          <w:sz w:val="18"/>
        </w:rPr>
      </w:pPr>
      <w:r>
        <w:t>开标结束后，采购人、招标代理机构根据双方签订的代理协议约定，应当依法对投标人的资格进行审查。资格审查标准为本招标文件中载明对投标人资格要求的条件。本项目资格审查采用合格式，凡符合招标文件规定的投标人资格要求的条件的投标人均通过资格审查。</w:t>
      </w:r>
    </w:p>
    <w:p>
      <w:pPr>
        <w:pStyle w:val="7"/>
        <w:spacing w:before="67"/>
        <w:ind w:left="570"/>
      </w:pPr>
      <w:r>
        <w:t>投标人有下列情形之一的，资格审查不通过：</w:t>
      </w:r>
    </w:p>
    <w:p>
      <w:pPr>
        <w:pStyle w:val="7"/>
        <w:spacing w:before="8"/>
        <w:rPr>
          <w:sz w:val="19"/>
        </w:rPr>
      </w:pPr>
    </w:p>
    <w:p>
      <w:pPr>
        <w:pStyle w:val="7"/>
        <w:ind w:left="580"/>
      </w:pPr>
      <w:r>
        <w:t>▲（1）未提供有效的营业执照副本复印件；</w:t>
      </w:r>
    </w:p>
    <w:p>
      <w:pPr>
        <w:pStyle w:val="7"/>
        <w:spacing w:before="10"/>
        <w:rPr>
          <w:sz w:val="19"/>
        </w:rPr>
      </w:pPr>
    </w:p>
    <w:p>
      <w:pPr>
        <w:pStyle w:val="7"/>
        <w:spacing w:before="1"/>
        <w:ind w:left="580"/>
      </w:pPr>
      <w:r>
        <w:t>▲（2）未提供有效的资质证书副本复印件；</w:t>
      </w:r>
    </w:p>
    <w:p>
      <w:pPr>
        <w:pStyle w:val="7"/>
        <w:spacing w:before="9"/>
        <w:rPr>
          <w:sz w:val="19"/>
        </w:rPr>
      </w:pPr>
    </w:p>
    <w:p>
      <w:pPr>
        <w:pStyle w:val="7"/>
        <w:ind w:left="580"/>
      </w:pPr>
      <w:r>
        <w:t>▲（</w:t>
      </w:r>
      <w:r>
        <w:rPr>
          <w:rFonts w:hint="eastAsia"/>
          <w:lang w:val="en-US" w:eastAsia="zh-CN"/>
        </w:rPr>
        <w:t>3</w:t>
      </w:r>
      <w:r>
        <w:t>）未提供投标人开户许可证复印件；</w:t>
      </w:r>
    </w:p>
    <w:p>
      <w:pPr>
        <w:pStyle w:val="7"/>
        <w:spacing w:before="10"/>
        <w:rPr>
          <w:sz w:val="19"/>
        </w:rPr>
      </w:pPr>
    </w:p>
    <w:p>
      <w:pPr>
        <w:pStyle w:val="7"/>
        <w:ind w:left="580"/>
      </w:pPr>
      <w:r>
        <w:t>▲（</w:t>
      </w:r>
      <w:r>
        <w:rPr>
          <w:rFonts w:hint="eastAsia"/>
          <w:lang w:val="en-US" w:eastAsia="zh-CN"/>
        </w:rPr>
        <w:t>4</w:t>
      </w:r>
      <w:r>
        <w:t>）未提供投标声明书(格式见附件)；</w:t>
      </w:r>
    </w:p>
    <w:p>
      <w:pPr>
        <w:pStyle w:val="7"/>
        <w:rPr>
          <w:sz w:val="20"/>
        </w:rPr>
      </w:pPr>
    </w:p>
    <w:p>
      <w:pPr>
        <w:pStyle w:val="7"/>
        <w:spacing w:before="1" w:line="364" w:lineRule="auto"/>
        <w:ind w:left="100" w:right="891" w:firstLine="404" w:firstLineChars="1443"/>
      </w:pPr>
      <w:r>
        <w:rPr>
          <w:spacing w:val="-106"/>
        </w:rPr>
        <w:t>▲</w:t>
      </w:r>
      <w:r>
        <w:t>（</w:t>
      </w:r>
      <w:r>
        <w:rPr>
          <w:rFonts w:hint="eastAsia"/>
          <w:lang w:val="en-US" w:eastAsia="zh-CN"/>
        </w:rPr>
        <w:t>5</w:t>
      </w:r>
      <w:r>
        <w:rPr>
          <w:spacing w:val="-108"/>
        </w:rPr>
        <w:t>）</w:t>
      </w:r>
      <w:r>
        <w:rPr>
          <w:spacing w:val="-6"/>
        </w:rPr>
        <w:t>未提供法人授权委托书和委托代理人完整有效的身份证正反面复印件</w:t>
      </w:r>
      <w:r>
        <w:t>（委托代理时提供</w:t>
      </w:r>
      <w:r>
        <w:rPr>
          <w:spacing w:val="-120"/>
        </w:rPr>
        <w:t>）</w:t>
      </w:r>
      <w:r>
        <w:t>；</w:t>
      </w:r>
    </w:p>
    <w:p>
      <w:pPr>
        <w:pStyle w:val="7"/>
        <w:spacing w:line="364" w:lineRule="auto"/>
        <w:ind w:left="100" w:right="886" w:firstLine="424"/>
        <w:jc w:val="both"/>
      </w:pPr>
      <w:r>
        <w:t>▲（</w:t>
      </w:r>
      <w:r>
        <w:rPr>
          <w:rFonts w:hint="eastAsia"/>
          <w:lang w:val="en-US" w:eastAsia="zh-CN"/>
        </w:rPr>
        <w:t>6</w:t>
      </w:r>
      <w:r>
        <w:t>）投标人在递交截止之日前半年内连续三个月依法纳税的完税凭证复印件或者《依法纳税或依法免税证明》复印件（如为新成立的投标单位请按实际依法缴纳的月份提供，必须提供，加盖投标单位公章）；</w:t>
      </w:r>
    </w:p>
    <w:p>
      <w:pPr>
        <w:pStyle w:val="7"/>
        <w:spacing w:line="364" w:lineRule="auto"/>
        <w:ind w:left="100" w:right="888" w:firstLine="396"/>
        <w:jc w:val="both"/>
      </w:pPr>
      <w:r>
        <w:t>▲（</w:t>
      </w:r>
      <w:r>
        <w:rPr>
          <w:rFonts w:hint="eastAsia"/>
          <w:lang w:val="en-US" w:eastAsia="zh-CN"/>
        </w:rPr>
        <w:t>7</w:t>
      </w:r>
      <w:r>
        <w:t>）投标人在递交截止之日前半年内连续三个月依法缴纳社会保障资金的凭证复印件（如社保部门开具的证明、收款收据等，或银行缴款凭证、回单等，如为非社保部门开具的凭证或回单的，应清晰反映：缴款单位名称、社保单位名称、保险名称、缴款金额等内容）。无缴费记录的，应提供</w:t>
      </w:r>
      <w:r>
        <w:rPr>
          <w:rFonts w:hint="eastAsia"/>
          <w:lang w:eastAsia="zh-CN"/>
        </w:rPr>
        <w:t>投</w:t>
      </w:r>
      <w:r>
        <w:t>标人所在地社保部门出具的《依法缴纳或依法免缴社保费证明》（如</w:t>
      </w:r>
      <w:r>
        <w:rPr>
          <w:rFonts w:hint="eastAsia"/>
          <w:lang w:eastAsia="zh-CN"/>
        </w:rPr>
        <w:t>审</w:t>
      </w:r>
      <w:r>
        <w:t>计为新成立的投标单位请按实际依法缴纳的月份提供，必须提供，加盖投标单位公章）；</w:t>
      </w:r>
    </w:p>
    <w:p>
      <w:pPr>
        <w:pStyle w:val="7"/>
        <w:spacing w:line="362" w:lineRule="auto"/>
        <w:ind w:left="100" w:right="909" w:firstLine="480"/>
      </w:pPr>
      <w:r>
        <w:t>▲（</w:t>
      </w:r>
      <w:r>
        <w:rPr>
          <w:rFonts w:hint="eastAsia"/>
          <w:lang w:val="en-US" w:eastAsia="zh-CN"/>
        </w:rPr>
        <w:t>8</w:t>
      </w:r>
      <w:r>
        <w:t>）投标人201</w:t>
      </w:r>
      <w:r>
        <w:rPr>
          <w:rFonts w:hint="eastAsia"/>
          <w:lang w:val="en-US" w:eastAsia="zh-CN"/>
        </w:rPr>
        <w:t>9</w:t>
      </w:r>
      <w:r>
        <w:t>年度</w:t>
      </w:r>
      <w:r>
        <w:rPr>
          <w:rFonts w:hint="eastAsia"/>
          <w:lang w:eastAsia="zh-CN"/>
        </w:rPr>
        <w:t>财务</w:t>
      </w:r>
      <w:r>
        <w:t>报表，（如</w:t>
      </w:r>
      <w:r>
        <w:rPr>
          <w:rFonts w:hint="eastAsia"/>
          <w:lang w:eastAsia="zh-CN"/>
        </w:rPr>
        <w:t>是</w:t>
      </w:r>
      <w:r>
        <w:t>新成立的投标单位则按实际月份提供，必须提供，加盖投标单位公章）；</w:t>
      </w:r>
    </w:p>
    <w:p>
      <w:pPr>
        <w:pStyle w:val="7"/>
        <w:spacing w:line="364" w:lineRule="auto"/>
        <w:ind w:left="100" w:right="159" w:firstLine="520"/>
        <w:rPr>
          <w:rFonts w:hint="eastAsia"/>
          <w:lang w:eastAsia="zh-CN"/>
        </w:rPr>
      </w:pPr>
      <w:r>
        <w:t>▲（</w:t>
      </w:r>
      <w:r>
        <w:rPr>
          <w:rFonts w:hint="eastAsia"/>
          <w:lang w:val="en-US" w:eastAsia="zh-CN"/>
        </w:rPr>
        <w:t>9</w:t>
      </w:r>
      <w:r>
        <w:t>）未提供投标人在“信用中国”网站(www.creditchina.gov.cn)、中国政府采购网(www.ccgp.gov.cn)等渠道的信用查询页面打印文件（必须提交，加盖投标单位公章）</w:t>
      </w:r>
      <w:r>
        <w:rPr>
          <w:rFonts w:hint="eastAsia"/>
          <w:lang w:eastAsia="zh-CN"/>
        </w:rPr>
        <w:t>；</w:t>
      </w:r>
    </w:p>
    <w:p>
      <w:pPr>
        <w:pStyle w:val="7"/>
        <w:spacing w:line="364" w:lineRule="auto"/>
        <w:ind w:left="100" w:right="159" w:firstLine="520"/>
        <w:rPr>
          <w:rFonts w:hint="eastAsia"/>
          <w:lang w:eastAsia="zh-CN"/>
        </w:rPr>
      </w:pPr>
      <w:r>
        <w:t>▲</w:t>
      </w:r>
      <w:r>
        <w:rPr>
          <w:rFonts w:hint="eastAsia"/>
          <w:lang w:eastAsia="zh-CN"/>
        </w:rPr>
        <w:t>（</w:t>
      </w:r>
      <w:r>
        <w:rPr>
          <w:rFonts w:hint="eastAsia"/>
          <w:lang w:val="en-US" w:eastAsia="zh-CN"/>
        </w:rPr>
        <w:t>10</w:t>
      </w:r>
      <w:r>
        <w:rPr>
          <w:rFonts w:hint="eastAsia"/>
          <w:lang w:eastAsia="zh-CN"/>
        </w:rPr>
        <w:t>）参加政府采购活动前3年内在经营活动中没有重大违法记录的书面声明(必须提供，加盖单位公章)；</w:t>
      </w:r>
    </w:p>
    <w:p>
      <w:pPr>
        <w:pStyle w:val="6"/>
        <w:spacing w:line="306" w:lineRule="exact"/>
        <w:ind w:left="555"/>
      </w:pPr>
      <w:r>
        <w:t>2.综合评审</w:t>
      </w:r>
    </w:p>
    <w:p>
      <w:pPr>
        <w:pStyle w:val="14"/>
        <w:numPr>
          <w:ilvl w:val="0"/>
          <w:numId w:val="28"/>
        </w:numPr>
        <w:tabs>
          <w:tab w:val="left" w:pos="1181"/>
        </w:tabs>
        <w:spacing w:before="160" w:after="0" w:line="240" w:lineRule="auto"/>
        <w:ind w:left="1181" w:right="0" w:hanging="601"/>
        <w:jc w:val="left"/>
        <w:rPr>
          <w:sz w:val="24"/>
        </w:rPr>
      </w:pPr>
      <w:r>
        <w:rPr>
          <w:sz w:val="24"/>
        </w:rPr>
        <w:t>评标委员会审查投标文件的实质性内容是否符合招标文件的实质性要求。</w:t>
      </w:r>
    </w:p>
    <w:p>
      <w:pPr>
        <w:pStyle w:val="14"/>
        <w:numPr>
          <w:ilvl w:val="0"/>
          <w:numId w:val="28"/>
        </w:numPr>
        <w:tabs>
          <w:tab w:val="left" w:pos="1143"/>
        </w:tabs>
        <w:spacing w:before="158" w:after="0" w:line="364" w:lineRule="auto"/>
        <w:ind w:left="100" w:right="171" w:firstLine="451"/>
        <w:jc w:val="left"/>
        <w:rPr>
          <w:sz w:val="24"/>
        </w:rPr>
      </w:pPr>
      <w:r>
        <w:rPr>
          <w:spacing w:val="-8"/>
          <w:sz w:val="24"/>
        </w:rPr>
        <w:t>评标委员会将根据投标人的投标文件进行审查、核对，如有疑问，将对投标人进行询标，投标人要向评标委员会澄清有关问题，并最终以书面形式进行答复。</w:t>
      </w:r>
    </w:p>
    <w:p>
      <w:pPr>
        <w:pStyle w:val="14"/>
        <w:numPr>
          <w:ilvl w:val="0"/>
          <w:numId w:val="28"/>
        </w:numPr>
        <w:tabs>
          <w:tab w:val="left" w:pos="1181"/>
        </w:tabs>
        <w:spacing w:before="0" w:after="0" w:line="364" w:lineRule="auto"/>
        <w:ind w:left="100" w:right="189" w:firstLine="480"/>
        <w:jc w:val="left"/>
        <w:rPr>
          <w:sz w:val="24"/>
        </w:rPr>
      </w:pPr>
      <w:r>
        <w:rPr>
          <w:spacing w:val="-1"/>
          <w:sz w:val="24"/>
        </w:rPr>
        <w:t xml:space="preserve">投标人代表未到场或者拒绝澄清或者澄清的内容改变了投标文件的实质性内容的， </w:t>
      </w:r>
      <w:r>
        <w:rPr>
          <w:sz w:val="24"/>
        </w:rPr>
        <w:t>评标委员会有权视该投标文件无效。</w:t>
      </w:r>
    </w:p>
    <w:p>
      <w:pPr>
        <w:pStyle w:val="14"/>
        <w:numPr>
          <w:ilvl w:val="0"/>
          <w:numId w:val="28"/>
        </w:numPr>
        <w:tabs>
          <w:tab w:val="left" w:pos="1169"/>
        </w:tabs>
        <w:spacing w:before="0" w:after="0" w:line="306" w:lineRule="exact"/>
        <w:ind w:left="1169" w:right="0" w:hanging="597"/>
        <w:jc w:val="left"/>
        <w:rPr>
          <w:sz w:val="24"/>
        </w:rPr>
      </w:pPr>
      <w:r>
        <w:rPr>
          <w:spacing w:val="-3"/>
          <w:sz w:val="24"/>
        </w:rPr>
        <w:t>各投标人的技术得分为所有评委的有效评分的算术平均数，由指定专人进行计算复</w:t>
      </w:r>
    </w:p>
    <w:p>
      <w:pPr>
        <w:pStyle w:val="7"/>
        <w:tabs>
          <w:tab w:val="center" w:pos="5005"/>
        </w:tabs>
        <w:spacing w:before="159"/>
        <w:ind w:left="100"/>
        <w:rPr>
          <w:sz w:val="18"/>
        </w:rPr>
      </w:pPr>
      <w:r>
        <w:t>核。</w:t>
      </w:r>
      <w:r>
        <w:rPr>
          <w:rFonts w:hint="eastAsia"/>
          <w:lang w:eastAsia="zh-CN"/>
        </w:rPr>
        <w:tab/>
      </w:r>
    </w:p>
    <w:p>
      <w:pPr>
        <w:pStyle w:val="14"/>
        <w:numPr>
          <w:ilvl w:val="0"/>
          <w:numId w:val="28"/>
        </w:numPr>
        <w:tabs>
          <w:tab w:val="left" w:pos="1181"/>
        </w:tabs>
        <w:spacing w:before="67" w:after="0" w:line="240" w:lineRule="auto"/>
        <w:ind w:left="1181" w:right="0" w:hanging="601"/>
        <w:jc w:val="left"/>
        <w:rPr>
          <w:sz w:val="24"/>
        </w:rPr>
      </w:pPr>
      <w:r>
        <w:rPr>
          <w:spacing w:val="-4"/>
          <w:sz w:val="24"/>
        </w:rPr>
        <w:t>评标委员会根据本项目的评分标准计算各投标人的商务报价得分。</w:t>
      </w:r>
    </w:p>
    <w:p>
      <w:pPr>
        <w:pStyle w:val="14"/>
        <w:numPr>
          <w:ilvl w:val="0"/>
          <w:numId w:val="28"/>
        </w:numPr>
        <w:tabs>
          <w:tab w:val="left" w:pos="1121"/>
        </w:tabs>
        <w:spacing w:before="98" w:after="0" w:line="314" w:lineRule="auto"/>
        <w:ind w:left="100" w:right="596" w:firstLine="439"/>
        <w:jc w:val="left"/>
        <w:rPr>
          <w:sz w:val="24"/>
        </w:rPr>
      </w:pPr>
      <w:r>
        <w:rPr>
          <w:spacing w:val="-12"/>
          <w:sz w:val="24"/>
        </w:rPr>
        <w:t>评标委员会完成评标后，评委对各部分得分汇总，计算出本项目最终得分、评标价</w:t>
      </w:r>
      <w:r>
        <w:rPr>
          <w:spacing w:val="-5"/>
          <w:sz w:val="24"/>
        </w:rPr>
        <w:t>等。评标委员会按评标原则推荐中标候选人同时起草评标报告。</w:t>
      </w:r>
    </w:p>
    <w:p>
      <w:pPr>
        <w:pStyle w:val="6"/>
        <w:spacing w:before="5"/>
      </w:pPr>
      <w:r>
        <w:t>（四）澄清问题的形式</w:t>
      </w:r>
    </w:p>
    <w:p>
      <w:pPr>
        <w:pStyle w:val="7"/>
        <w:spacing w:before="89" w:line="316" w:lineRule="auto"/>
        <w:ind w:left="100" w:right="159" w:firstLine="480"/>
        <w:jc w:val="both"/>
      </w:pPr>
      <w: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pPr>
        <w:pStyle w:val="6"/>
        <w:spacing w:before="1"/>
      </w:pPr>
      <w:r>
        <w:t>（五）错误修正</w:t>
      </w:r>
    </w:p>
    <w:p>
      <w:pPr>
        <w:pStyle w:val="7"/>
        <w:spacing w:before="86"/>
        <w:ind w:left="580"/>
      </w:pPr>
      <w:r>
        <w:t>投标文件如果出现计算或表达上的错误，修正错误的原则如下：</w:t>
      </w:r>
    </w:p>
    <w:p>
      <w:pPr>
        <w:pStyle w:val="14"/>
        <w:numPr>
          <w:ilvl w:val="0"/>
          <w:numId w:val="29"/>
        </w:numPr>
        <w:tabs>
          <w:tab w:val="left" w:pos="764"/>
        </w:tabs>
        <w:spacing w:before="98" w:after="0" w:line="240" w:lineRule="auto"/>
        <w:ind w:left="763" w:right="0" w:hanging="233"/>
        <w:jc w:val="left"/>
        <w:rPr>
          <w:sz w:val="24"/>
        </w:rPr>
      </w:pPr>
      <w:r>
        <w:rPr>
          <w:spacing w:val="-12"/>
          <w:sz w:val="24"/>
        </w:rPr>
        <w:t>开标一览表总价与投标报价明细表汇总数不一致的，以开标一览表为准；</w:t>
      </w:r>
    </w:p>
    <w:p>
      <w:pPr>
        <w:pStyle w:val="14"/>
        <w:numPr>
          <w:ilvl w:val="0"/>
          <w:numId w:val="29"/>
        </w:numPr>
        <w:tabs>
          <w:tab w:val="left" w:pos="821"/>
        </w:tabs>
        <w:spacing w:before="96" w:after="0" w:line="240" w:lineRule="auto"/>
        <w:ind w:left="821" w:right="0" w:hanging="241"/>
        <w:jc w:val="left"/>
        <w:rPr>
          <w:sz w:val="24"/>
        </w:rPr>
      </w:pPr>
      <w:r>
        <w:rPr>
          <w:sz w:val="24"/>
        </w:rPr>
        <w:t>投标文件的大写金额和小写金额不一致的，以大写金额为准；</w:t>
      </w:r>
    </w:p>
    <w:p>
      <w:pPr>
        <w:pStyle w:val="14"/>
        <w:numPr>
          <w:ilvl w:val="0"/>
          <w:numId w:val="29"/>
        </w:numPr>
        <w:tabs>
          <w:tab w:val="left" w:pos="821"/>
        </w:tabs>
        <w:spacing w:before="96" w:after="0" w:line="240" w:lineRule="auto"/>
        <w:ind w:left="821" w:right="0" w:hanging="241"/>
        <w:jc w:val="left"/>
        <w:rPr>
          <w:sz w:val="24"/>
        </w:rPr>
      </w:pPr>
      <w:r>
        <w:rPr>
          <w:sz w:val="24"/>
        </w:rPr>
        <w:t>总价金额与按单价汇总金额不一致的，以单价金额计算结果为准；</w:t>
      </w:r>
    </w:p>
    <w:p>
      <w:pPr>
        <w:pStyle w:val="14"/>
        <w:numPr>
          <w:ilvl w:val="0"/>
          <w:numId w:val="29"/>
        </w:numPr>
        <w:tabs>
          <w:tab w:val="left" w:pos="821"/>
        </w:tabs>
        <w:spacing w:before="2" w:after="0" w:line="240" w:lineRule="auto"/>
        <w:ind w:left="821" w:right="0" w:hanging="241"/>
        <w:jc w:val="left"/>
        <w:rPr>
          <w:sz w:val="24"/>
        </w:rPr>
      </w:pPr>
      <w:r>
        <w:rPr>
          <w:sz w:val="24"/>
        </w:rPr>
        <w:t>对不同文字文本投标文件的解释发生异议的，以中文文本为准。</w:t>
      </w:r>
    </w:p>
    <w:p>
      <w:pPr>
        <w:pStyle w:val="6"/>
        <w:spacing w:before="4" w:line="316" w:lineRule="auto"/>
        <w:ind w:left="100" w:right="123" w:firstLine="470"/>
        <w:jc w:val="both"/>
      </w:pPr>
      <w:r>
        <w:rPr>
          <w:w w:val="95"/>
        </w:rPr>
        <w:t>按上述修正错误的原则及方法调整或修正投标文件的投标报价，投标人同意并签字确认  后，调整后的投标报价对投标人具有约束作用。如果投标人不接受修正后的报价，则其投标</w:t>
      </w:r>
      <w:r>
        <w:t>将作为无效投标处理。</w:t>
      </w:r>
    </w:p>
    <w:p>
      <w:pPr>
        <w:spacing w:before="0" w:line="304" w:lineRule="exact"/>
        <w:ind w:left="572" w:right="0" w:firstLine="0"/>
        <w:jc w:val="both"/>
        <w:rPr>
          <w:b/>
          <w:sz w:val="24"/>
        </w:rPr>
      </w:pPr>
      <w:r>
        <w:rPr>
          <w:b/>
          <w:sz w:val="24"/>
        </w:rPr>
        <w:t>（六）</w:t>
      </w:r>
      <w:r>
        <w:rPr>
          <w:b/>
          <w:spacing w:val="-10"/>
          <w:sz w:val="24"/>
        </w:rPr>
        <w:t xml:space="preserve"> 评标原则和评标方法</w:t>
      </w:r>
    </w:p>
    <w:p>
      <w:pPr>
        <w:pStyle w:val="14"/>
        <w:numPr>
          <w:ilvl w:val="0"/>
          <w:numId w:val="30"/>
        </w:numPr>
        <w:tabs>
          <w:tab w:val="left" w:pos="808"/>
        </w:tabs>
        <w:spacing w:before="2" w:after="0" w:line="316" w:lineRule="auto"/>
        <w:ind w:left="100" w:right="159" w:firstLine="465"/>
        <w:jc w:val="both"/>
        <w:rPr>
          <w:sz w:val="24"/>
        </w:rPr>
      </w:pPr>
      <w:r>
        <w:rPr>
          <w:sz w:val="24"/>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pPr>
        <w:pStyle w:val="14"/>
        <w:numPr>
          <w:ilvl w:val="0"/>
          <w:numId w:val="30"/>
        </w:numPr>
        <w:tabs>
          <w:tab w:val="left" w:pos="790"/>
        </w:tabs>
        <w:spacing w:before="0" w:after="0" w:line="364" w:lineRule="auto"/>
        <w:ind w:left="100" w:right="339" w:firstLine="451"/>
        <w:jc w:val="left"/>
        <w:rPr>
          <w:sz w:val="24"/>
        </w:rPr>
      </w:pPr>
      <w:r>
        <w:rPr>
          <w:spacing w:val="-6"/>
          <w:sz w:val="24"/>
        </w:rPr>
        <w:t>评标方法。本项目评标方法是</w:t>
      </w:r>
      <w:r>
        <w:rPr>
          <w:b/>
          <w:spacing w:val="-1"/>
          <w:sz w:val="24"/>
          <w:u w:val="single"/>
        </w:rPr>
        <w:t>综合评分法</w:t>
      </w:r>
      <w:r>
        <w:rPr>
          <w:spacing w:val="-10"/>
          <w:sz w:val="24"/>
        </w:rPr>
        <w:t>，具体评标内容及评分标准等详见《第四章： 评标办法及评分标准》。</w:t>
      </w:r>
    </w:p>
    <w:p>
      <w:pPr>
        <w:pStyle w:val="6"/>
        <w:spacing w:line="306" w:lineRule="exact"/>
      </w:pPr>
      <w:r>
        <w:t>（七）评标过程的监控</w:t>
      </w:r>
    </w:p>
    <w:p>
      <w:pPr>
        <w:pStyle w:val="7"/>
        <w:spacing w:before="158" w:line="364" w:lineRule="auto"/>
        <w:ind w:left="100" w:right="309" w:firstLine="480"/>
      </w:pPr>
      <w:r>
        <w:t>本项目评标过程实行全程录音、录像监控，投标人在评标过程中所进行的试图影响评标结果的不公正活动，可能导致其投标被拒绝。</w:t>
      </w:r>
    </w:p>
    <w:p>
      <w:pPr>
        <w:pStyle w:val="3"/>
      </w:pPr>
      <w:bookmarkStart w:id="2" w:name="六、评标结果"/>
      <w:bookmarkEnd w:id="2"/>
      <w:r>
        <w:t>六、评标结果</w:t>
      </w:r>
    </w:p>
    <w:p>
      <w:pPr>
        <w:pStyle w:val="7"/>
        <w:spacing w:before="210" w:line="364" w:lineRule="auto"/>
        <w:ind w:left="100" w:right="197" w:firstLine="470"/>
      </w:pPr>
      <w:r>
        <w:t>（一）招标代理机构将在评标结束后2个工作日内将评标报告送招标人，招标人在五个工作日内按照评标报告中推荐的中标候选供应商顺序确定中标供应商。招标人也可以事先授权评标委员会直接确定中标供应商。</w:t>
      </w:r>
    </w:p>
    <w:p>
      <w:pPr>
        <w:pStyle w:val="7"/>
        <w:spacing w:line="314" w:lineRule="auto"/>
        <w:ind w:left="100" w:right="161" w:firstLine="480"/>
      </w:pPr>
      <w:r>
        <w:rPr>
          <w:spacing w:val="4"/>
        </w:rPr>
        <w:t>（</w:t>
      </w:r>
      <w:r>
        <w:rPr>
          <w:spacing w:val="7"/>
        </w:rPr>
        <w:t>二</w:t>
      </w:r>
      <w:r>
        <w:rPr>
          <w:spacing w:val="-60"/>
        </w:rPr>
        <w:t>）</w:t>
      </w:r>
      <w:r>
        <w:rPr>
          <w:spacing w:val="3"/>
        </w:rPr>
        <w:t>中标供应商确定后，招标代理机构在广西壮族自治区政府采购网、中国政府采购网网上发布中标公告。</w:t>
      </w:r>
    </w:p>
    <w:p>
      <w:pPr>
        <w:pStyle w:val="7"/>
        <w:spacing w:before="2"/>
        <w:ind w:left="580"/>
        <w:rPr>
          <w:sz w:val="18"/>
        </w:rPr>
      </w:pPr>
      <w:r>
        <w:t>（三）在发布中标公告的同时，招标代理机构向中标供应商发出中标通知书。采购人或</w:t>
      </w:r>
    </w:p>
    <w:p>
      <w:pPr>
        <w:pStyle w:val="7"/>
        <w:spacing w:before="67" w:line="316" w:lineRule="auto"/>
        <w:ind w:left="100" w:right="159"/>
        <w:jc w:val="both"/>
      </w:pPr>
      <w:r>
        <w:t>招标代理发出中标通知书前，应当对中标人信用进行查询，对列入失信被执行人、重大税收违法案件当事人名单、政府采购严重违法失信行为记录名单及其他不符合《中华人民共和国政府采购法》第二十二条规定条件的供应商，取消其中标资格，并确定排名第二的中标候选人为中标人。</w:t>
      </w:r>
    </w:p>
    <w:p>
      <w:pPr>
        <w:pStyle w:val="7"/>
        <w:spacing w:line="314" w:lineRule="auto"/>
        <w:ind w:left="100" w:right="159" w:firstLine="480"/>
      </w:pPr>
      <w:r>
        <w:t>排名第二的中标候选人因前款规定的同样原因被取消中标资格的，采购人可以确定排名第三的中标候选人为中标人。</w:t>
      </w:r>
    </w:p>
    <w:p>
      <w:pPr>
        <w:pStyle w:val="7"/>
        <w:spacing w:before="2" w:line="306" w:lineRule="exact"/>
        <w:ind w:left="580"/>
      </w:pPr>
      <w:r>
        <w:t>以上信息查询记录及相关证据与采购文件一并保存。</w:t>
      </w:r>
    </w:p>
    <w:p>
      <w:pPr>
        <w:pStyle w:val="7"/>
        <w:spacing w:line="316" w:lineRule="auto"/>
        <w:ind w:left="100" w:right="159" w:firstLine="480"/>
        <w:jc w:val="both"/>
      </w:pPr>
      <w:r>
        <w:t>（四）投标人认为招标文件、招标过程和中标结果使自己的权益受到损害的，可以在知道或者应知其权益受到损害之日起七个工作日内，以书面形式向招标代理机构或招标人提出质疑，并及时索要书面回执。</w:t>
      </w:r>
    </w:p>
    <w:p>
      <w:pPr>
        <w:pStyle w:val="7"/>
        <w:spacing w:line="316" w:lineRule="auto"/>
        <w:ind w:left="100" w:right="159" w:firstLine="480"/>
      </w:pPr>
      <w:r>
        <w:t>（五）招标代理机构或招标人应当按照有关规定就招标人委托授权范围内的事项在收到投标人的书面质疑后七个工作日内做出答复，但答复的内容不得涉及商业秘密。</w:t>
      </w:r>
    </w:p>
    <w:p>
      <w:pPr>
        <w:pStyle w:val="7"/>
        <w:spacing w:line="316" w:lineRule="auto"/>
        <w:ind w:left="100" w:right="549" w:firstLine="480"/>
      </w:pPr>
      <w:r>
        <w:t>（六）招标代理机构或招标人无义务向未中标的供应商解释未中标原因和退还投标文件。</w:t>
      </w:r>
    </w:p>
    <w:p>
      <w:pPr>
        <w:pStyle w:val="6"/>
        <w:spacing w:line="297" w:lineRule="exact"/>
        <w:ind w:left="812"/>
      </w:pPr>
      <w:r>
        <w:t>七、签订合同</w:t>
      </w:r>
    </w:p>
    <w:p>
      <w:pPr>
        <w:spacing w:before="98"/>
        <w:ind w:left="570" w:right="0" w:firstLine="0"/>
        <w:jc w:val="left"/>
        <w:rPr>
          <w:b/>
          <w:sz w:val="24"/>
        </w:rPr>
      </w:pPr>
      <w:r>
        <w:rPr>
          <w:b/>
          <w:sz w:val="24"/>
        </w:rPr>
        <w:t>（一）合同授予标准</w:t>
      </w:r>
    </w:p>
    <w:p>
      <w:pPr>
        <w:pStyle w:val="7"/>
        <w:spacing w:before="96" w:line="314" w:lineRule="auto"/>
        <w:ind w:left="100" w:right="159" w:firstLine="480"/>
      </w:pPr>
      <w:r>
        <w:t>合同将授予被确定实质上响应招标文件要求，具备履行合同能力，综合评分排名第一的投标人。</w:t>
      </w:r>
    </w:p>
    <w:p>
      <w:pPr>
        <w:pStyle w:val="6"/>
        <w:spacing w:before="5"/>
      </w:pPr>
      <w:r>
        <w:t>（二）签订合同</w:t>
      </w:r>
    </w:p>
    <w:p>
      <w:pPr>
        <w:pStyle w:val="7"/>
        <w:spacing w:before="5"/>
        <w:ind w:left="580"/>
      </w:pPr>
      <w:r>
        <w:t>投标人接到中标通知书后，应按中标通知书规定的时间、地点与招标人签订合同。</w:t>
      </w:r>
    </w:p>
    <w:p>
      <w:pPr>
        <w:pStyle w:val="7"/>
        <w:spacing w:before="95" w:line="316" w:lineRule="auto"/>
        <w:ind w:left="100" w:right="159" w:firstLine="480"/>
        <w:rPr>
          <w:rFonts w:hint="eastAsia" w:eastAsia="仿宋"/>
          <w:lang w:eastAsia="zh-CN"/>
        </w:rPr>
      </w:pPr>
      <w:r>
        <w:t>如中标供应商不按中标通知书的规定签订合同，则按中标供应商违约处理</w:t>
      </w:r>
      <w:r>
        <w:rPr>
          <w:rFonts w:hint="eastAsia"/>
          <w:lang w:eastAsia="zh-CN"/>
        </w:rPr>
        <w:t>。</w:t>
      </w:r>
    </w:p>
    <w:p>
      <w:pPr>
        <w:pStyle w:val="7"/>
        <w:spacing w:line="316" w:lineRule="auto"/>
        <w:ind w:left="100" w:right="77" w:firstLine="472"/>
      </w:pPr>
      <w:r>
        <w:t>中标供应商因不可抗力或者自身原因不能履行采购合同的，招标人可以与中标供应商之后排名第一的中标候选供应商签订采购合同，以此类推。</w:t>
      </w:r>
    </w:p>
    <w:p>
      <w:pPr>
        <w:pStyle w:val="3"/>
      </w:pPr>
      <w:bookmarkStart w:id="3" w:name="八、其他事项"/>
      <w:bookmarkEnd w:id="3"/>
      <w:r>
        <w:t>八、其他事项</w:t>
      </w:r>
    </w:p>
    <w:p>
      <w:pPr>
        <w:pStyle w:val="7"/>
        <w:spacing w:before="93" w:line="316" w:lineRule="auto"/>
        <w:ind w:left="100" w:right="243" w:firstLine="480"/>
        <w:jc w:val="both"/>
      </w:pPr>
      <w:r>
        <w:t>本项目代理服务费按国家发展改革委《关于进一步放开建设项目专业服务价格的通知》</w:t>
      </w:r>
      <w:r>
        <w:rPr>
          <w:spacing w:val="-3"/>
        </w:rPr>
        <w:t>发改价格〔</w:t>
      </w:r>
      <w:r>
        <w:t>2015</w:t>
      </w:r>
      <w:r>
        <w:rPr>
          <w:spacing w:val="-5"/>
        </w:rPr>
        <w:t>〕</w:t>
      </w:r>
      <w:r>
        <w:t>299</w:t>
      </w:r>
      <w:r>
        <w:rPr>
          <w:spacing w:val="-8"/>
        </w:rPr>
        <w:t>号文执行，由中标人向招标代理机构支付，中标人还应支付评标过程产</w:t>
      </w:r>
      <w:r>
        <w:t>生的评审费用，否则，招标代理机构将视之为违约。</w:t>
      </w:r>
    </w:p>
    <w:p>
      <w:pPr>
        <w:spacing w:after="0" w:line="316" w:lineRule="auto"/>
        <w:jc w:val="both"/>
        <w:sectPr>
          <w:footerReference r:id="rId8" w:type="default"/>
          <w:pgSz w:w="11910" w:h="16840"/>
          <w:pgMar w:top="1140" w:right="920" w:bottom="940" w:left="980" w:header="900" w:footer="757" w:gutter="0"/>
          <w:pgNumType w:fmt="decimal"/>
        </w:sectPr>
      </w:pPr>
    </w:p>
    <w:p>
      <w:pPr>
        <w:pStyle w:val="7"/>
        <w:spacing w:before="4"/>
        <w:rPr>
          <w:sz w:val="19"/>
        </w:rPr>
      </w:pPr>
    </w:p>
    <w:p>
      <w:pPr>
        <w:pStyle w:val="3"/>
        <w:tabs>
          <w:tab w:val="left" w:pos="3301"/>
        </w:tabs>
        <w:spacing w:before="54"/>
        <w:ind w:left="1900"/>
      </w:pPr>
      <w:r>
        <w:t>第四章</w:t>
      </w:r>
      <w:r>
        <w:tab/>
      </w:r>
      <w:r>
        <w:t>评标办法及评分标准</w:t>
      </w:r>
    </w:p>
    <w:p>
      <w:pPr>
        <w:pStyle w:val="6"/>
        <w:spacing w:before="213"/>
        <w:ind w:left="572"/>
      </w:pPr>
      <w:r>
        <w:t>一、评标原则</w:t>
      </w:r>
    </w:p>
    <w:p>
      <w:pPr>
        <w:pStyle w:val="7"/>
        <w:spacing w:before="182"/>
        <w:ind w:left="100"/>
      </w:pPr>
      <w:r>
        <w:t>(一)、评标委员会构成：5人，其中招标人代表 1人、专家4人。</w:t>
      </w:r>
    </w:p>
    <w:p>
      <w:pPr>
        <w:pStyle w:val="7"/>
        <w:spacing w:before="180"/>
        <w:ind w:left="700"/>
      </w:pPr>
      <w:r>
        <w:t>评标专家确定方式：在</w:t>
      </w:r>
      <w:r>
        <w:rPr>
          <w:rFonts w:hint="eastAsia"/>
          <w:lang w:eastAsia="zh-CN"/>
        </w:rPr>
        <w:t>政采云</w:t>
      </w:r>
      <w:bookmarkStart w:id="5" w:name="_GoBack"/>
      <w:bookmarkEnd w:id="5"/>
      <w:r>
        <w:t>评审专家库管理系统上抽取。</w:t>
      </w:r>
    </w:p>
    <w:p>
      <w:pPr>
        <w:pStyle w:val="7"/>
        <w:spacing w:before="182" w:line="316" w:lineRule="auto"/>
        <w:ind w:left="100" w:right="309" w:firstLine="480"/>
      </w:pPr>
      <w:r>
        <w:t>（二）评标依据：评委将以招投标文件为评标依据，对投标人的投标报价，技术分，商务分等三方面内容按百分制打分。</w:t>
      </w:r>
    </w:p>
    <w:p>
      <w:pPr>
        <w:pStyle w:val="7"/>
        <w:spacing w:before="2"/>
        <w:ind w:left="580"/>
      </w:pPr>
      <w:r>
        <w:t>（三）评标方式：以封闭方式进行。</w:t>
      </w:r>
    </w:p>
    <w:p>
      <w:pPr>
        <w:pStyle w:val="7"/>
        <w:spacing w:before="88"/>
        <w:ind w:left="580"/>
      </w:pPr>
      <w:r>
        <w:t>（四）小型和微型企业最终报价扣除计算。</w:t>
      </w:r>
    </w:p>
    <w:p>
      <w:pPr>
        <w:pStyle w:val="7"/>
        <w:spacing w:before="93" w:line="316" w:lineRule="auto"/>
        <w:ind w:left="100" w:right="159" w:firstLine="712"/>
        <w:jc w:val="both"/>
      </w:pPr>
      <w:r>
        <w:t>按照《政府采购促进中小企业发展暂行办法》</w:t>
      </w:r>
      <w:r>
        <w:rPr>
          <w:spacing w:val="-3"/>
        </w:rPr>
        <w:t>（</w:t>
      </w:r>
      <w:r>
        <w:t>财库[2011]181</w:t>
      </w:r>
      <w:r>
        <w:rPr>
          <w:spacing w:val="19"/>
        </w:rPr>
        <w:t>号</w:t>
      </w:r>
      <w:r>
        <w:t>）</w:t>
      </w:r>
      <w:r>
        <w:rPr>
          <w:spacing w:val="-2"/>
        </w:rPr>
        <w:t>，投标单位认定为</w:t>
      </w:r>
      <w:r>
        <w:t>小型和微型企业的（以投标文件提供的符合规定的有关证明材料为准。监狱企业等同于小微</w:t>
      </w:r>
      <w:r>
        <w:rPr>
          <w:spacing w:val="2"/>
        </w:rPr>
        <w:t>企业</w:t>
      </w:r>
      <w:r>
        <w:rPr>
          <w:spacing w:val="3"/>
        </w:rPr>
        <w:t>）</w:t>
      </w:r>
      <w:r>
        <w:t>，并提供本企业制造的货物，由本企业承担工程、提供服务，或者提供其他小型、微</w:t>
      </w:r>
      <w:r>
        <w:rPr>
          <w:spacing w:val="-3"/>
        </w:rPr>
        <w:t>型企业制造的货物的</w:t>
      </w:r>
      <w:r>
        <w:t>（不包括使用大型企业注册商标的货物</w:t>
      </w:r>
      <w:r>
        <w:rPr>
          <w:spacing w:val="-13"/>
        </w:rPr>
        <w:t>）</w:t>
      </w:r>
      <w:r>
        <w:rPr>
          <w:spacing w:val="-8"/>
        </w:rPr>
        <w:t>，对投标价给予</w:t>
      </w:r>
      <w:r>
        <w:t>6</w:t>
      </w:r>
      <w:r>
        <w:rPr>
          <w:spacing w:val="-6"/>
        </w:rPr>
        <w:t>%的扣除，扣除后的价格为评标报价，即评标报价=投标价×</w:t>
      </w:r>
      <w:r>
        <w:rPr>
          <w:spacing w:val="-5"/>
        </w:rPr>
        <w:t>（1-6%）；</w:t>
      </w:r>
      <w:r>
        <w:t>大中型企业与小型、微型企业组成联合体投标，其中小型、微型企业的协议合同金额占到联合体协议合同总金额30%以上的，联合体投标价给予2%的扣除，扣除后的价格为评标价，即评标报价=投标价×（1-2%）；</w:t>
      </w:r>
      <w:r>
        <w:rPr>
          <w:spacing w:val="-3"/>
        </w:rPr>
        <w:t>除上述情</w:t>
      </w:r>
      <w:r>
        <w:t>况外，评标报价=投标价，以评标报价进行评审。</w:t>
      </w:r>
    </w:p>
    <w:p>
      <w:pPr>
        <w:pStyle w:val="7"/>
        <w:spacing w:line="242" w:lineRule="auto"/>
        <w:ind w:left="100" w:right="189" w:firstLine="480"/>
      </w:pPr>
      <w:r>
        <w:t>（五）根据财政部《关于印发〈政府采购促进中小企业发展暂行办法〉的通知》（财库[2011]181号）第五条的规定，对小型和微型企业产品的价格给予6%的扣除，用扣除后的价格参与评审。即对投标人投标总价中的小型和微型企业产品的价格给予6%的扣除后加上原来未享受优惠政策的部分投标价格作为评标价计算价格分（投标人在投标文件中提供《中小企业声明函》证明材料，并对材料的真实性负责，否则不予价格扣除）。</w:t>
      </w:r>
    </w:p>
    <w:p>
      <w:pPr>
        <w:pStyle w:val="7"/>
        <w:spacing w:line="314" w:lineRule="auto"/>
        <w:ind w:left="100" w:right="4162" w:firstLine="465"/>
      </w:pPr>
      <w:r>
        <w:t>（六）未享受优惠政策的投标人的投标报价即为评标价。</w:t>
      </w:r>
    </w:p>
    <w:p>
      <w:pPr>
        <w:pStyle w:val="6"/>
        <w:spacing w:before="6"/>
        <w:ind w:left="565"/>
      </w:pPr>
      <w:r>
        <w:t>二、评分办法</w:t>
      </w:r>
    </w:p>
    <w:p>
      <w:pPr>
        <w:pStyle w:val="7"/>
        <w:spacing w:before="100"/>
        <w:ind w:left="580"/>
      </w:pPr>
      <w:r>
        <w:t>（一）评标标准：本招标项目评标方法采用综合评分法，实行百分制。</w:t>
      </w:r>
    </w:p>
    <w:p>
      <w:pPr>
        <w:pStyle w:val="7"/>
        <w:spacing w:before="9"/>
        <w:rPr>
          <w:sz w:val="22"/>
        </w:rPr>
      </w:pPr>
    </w:p>
    <w:tbl>
      <w:tblPr>
        <w:tblStyle w:val="11"/>
        <w:tblW w:w="9672" w:type="dxa"/>
        <w:tblInd w:w="3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0"/>
        <w:gridCol w:w="7792"/>
        <w:gridCol w:w="8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080" w:type="dxa"/>
          </w:tcPr>
          <w:p>
            <w:pPr>
              <w:pStyle w:val="15"/>
              <w:spacing w:before="2"/>
              <w:ind w:left="320"/>
              <w:rPr>
                <w:b/>
                <w:sz w:val="22"/>
              </w:rPr>
            </w:pPr>
            <w:r>
              <w:rPr>
                <w:b/>
                <w:spacing w:val="-1"/>
                <w:sz w:val="22"/>
              </w:rPr>
              <w:t>评分</w:t>
            </w:r>
          </w:p>
          <w:p>
            <w:pPr>
              <w:pStyle w:val="15"/>
              <w:spacing w:before="4" w:line="263" w:lineRule="exact"/>
              <w:ind w:left="320"/>
              <w:rPr>
                <w:b/>
                <w:sz w:val="22"/>
              </w:rPr>
            </w:pPr>
            <w:r>
              <w:rPr>
                <w:b/>
                <w:spacing w:val="-1"/>
                <w:sz w:val="22"/>
              </w:rPr>
              <w:t>项目</w:t>
            </w:r>
          </w:p>
        </w:tc>
        <w:tc>
          <w:tcPr>
            <w:tcW w:w="7792" w:type="dxa"/>
          </w:tcPr>
          <w:p>
            <w:pPr>
              <w:pStyle w:val="15"/>
              <w:spacing w:before="144"/>
              <w:ind w:left="1570" w:right="1560"/>
              <w:jc w:val="center"/>
              <w:rPr>
                <w:b/>
                <w:sz w:val="22"/>
              </w:rPr>
            </w:pPr>
            <w:r>
              <w:rPr>
                <w:b/>
                <w:sz w:val="22"/>
              </w:rPr>
              <w:t>评分细则</w:t>
            </w:r>
          </w:p>
        </w:tc>
        <w:tc>
          <w:tcPr>
            <w:tcW w:w="800" w:type="dxa"/>
          </w:tcPr>
          <w:p>
            <w:pPr>
              <w:pStyle w:val="15"/>
              <w:spacing w:before="144"/>
              <w:ind w:left="125" w:right="116"/>
              <w:jc w:val="center"/>
              <w:rPr>
                <w:b/>
                <w:sz w:val="22"/>
              </w:rPr>
            </w:pPr>
            <w:r>
              <w:rPr>
                <w:b/>
                <w:sz w:val="22"/>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7" w:hRule="atLeast"/>
        </w:trPr>
        <w:tc>
          <w:tcPr>
            <w:tcW w:w="1080" w:type="dxa"/>
          </w:tcPr>
          <w:p>
            <w:pPr>
              <w:pStyle w:val="15"/>
              <w:rPr>
                <w:sz w:val="24"/>
              </w:rPr>
            </w:pPr>
          </w:p>
          <w:p>
            <w:pPr>
              <w:pStyle w:val="15"/>
              <w:rPr>
                <w:sz w:val="24"/>
              </w:rPr>
            </w:pPr>
          </w:p>
          <w:p>
            <w:pPr>
              <w:pStyle w:val="15"/>
              <w:spacing w:before="12"/>
              <w:rPr>
                <w:sz w:val="24"/>
              </w:rPr>
            </w:pPr>
          </w:p>
          <w:p>
            <w:pPr>
              <w:pStyle w:val="15"/>
              <w:ind w:left="179"/>
              <w:rPr>
                <w:b/>
                <w:sz w:val="24"/>
              </w:rPr>
            </w:pPr>
            <w:r>
              <w:rPr>
                <w:b/>
                <w:sz w:val="24"/>
              </w:rPr>
              <w:t>价格分</w:t>
            </w:r>
          </w:p>
          <w:p>
            <w:pPr>
              <w:pStyle w:val="15"/>
              <w:spacing w:before="2" w:line="242" w:lineRule="auto"/>
              <w:ind w:left="299" w:right="286"/>
              <w:rPr>
                <w:b/>
                <w:sz w:val="24"/>
              </w:rPr>
            </w:pPr>
            <w:r>
              <w:rPr>
                <w:b/>
                <w:sz w:val="24"/>
              </w:rPr>
              <w:t>（15 分）</w:t>
            </w:r>
          </w:p>
        </w:tc>
        <w:tc>
          <w:tcPr>
            <w:tcW w:w="7792" w:type="dxa"/>
          </w:tcPr>
          <w:p>
            <w:pPr>
              <w:pStyle w:val="15"/>
              <w:spacing w:before="80" w:line="312" w:lineRule="auto"/>
              <w:ind w:left="107" w:right="180" w:firstLine="480"/>
              <w:rPr>
                <w:sz w:val="24"/>
              </w:rPr>
            </w:pPr>
            <w:r>
              <w:rPr>
                <w:sz w:val="24"/>
              </w:rPr>
              <w:t>1、以进入评标的最低的评标报价为15分，按照《政府采购促进中小企业发展暂行办法》（财库[2011]181号），对小型和微型企业的（以投标文件提供的符合规定的有关证明材料为准）投标价给予6%的扣除，扣除后的价格为评标报价，即评标报价=投标报价×（1-</w:t>
            </w:r>
          </w:p>
          <w:p>
            <w:pPr>
              <w:pStyle w:val="15"/>
              <w:spacing w:line="312" w:lineRule="auto"/>
              <w:ind w:left="107" w:right="300"/>
              <w:rPr>
                <w:sz w:val="24"/>
              </w:rPr>
            </w:pPr>
            <w:r>
              <w:rPr>
                <w:sz w:val="24"/>
              </w:rPr>
              <w:t>6%）；</w:t>
            </w:r>
            <w:r>
              <w:rPr>
                <w:spacing w:val="-1"/>
                <w:sz w:val="24"/>
              </w:rPr>
              <w:t>大中型企业与小型、微型企业组成联合体投标，其中小型、</w:t>
            </w:r>
            <w:r>
              <w:rPr>
                <w:sz w:val="24"/>
              </w:rPr>
              <w:t>微型企业产品的协议合同金额占到联合体协议合同总金额30%以上</w:t>
            </w:r>
          </w:p>
          <w:p>
            <w:pPr>
              <w:pStyle w:val="15"/>
              <w:spacing w:before="2" w:line="297" w:lineRule="exact"/>
              <w:ind w:left="107"/>
              <w:rPr>
                <w:sz w:val="24"/>
              </w:rPr>
            </w:pPr>
            <w:r>
              <w:rPr>
                <w:sz w:val="24"/>
              </w:rPr>
              <w:t>的，联合体投标价给予2%的扣除，扣除后的价格为评标报价，即评</w:t>
            </w:r>
          </w:p>
        </w:tc>
        <w:tc>
          <w:tcPr>
            <w:tcW w:w="800" w:type="dxa"/>
          </w:tcPr>
          <w:p>
            <w:pPr>
              <w:pStyle w:val="15"/>
              <w:rPr>
                <w:sz w:val="24"/>
              </w:rPr>
            </w:pPr>
          </w:p>
          <w:p>
            <w:pPr>
              <w:pStyle w:val="15"/>
              <w:rPr>
                <w:sz w:val="24"/>
              </w:rPr>
            </w:pPr>
          </w:p>
          <w:p>
            <w:pPr>
              <w:pStyle w:val="15"/>
              <w:rPr>
                <w:sz w:val="24"/>
              </w:rPr>
            </w:pPr>
          </w:p>
          <w:p>
            <w:pPr>
              <w:pStyle w:val="15"/>
              <w:spacing w:before="1"/>
              <w:rPr>
                <w:sz w:val="25"/>
              </w:rPr>
            </w:pPr>
          </w:p>
          <w:p>
            <w:pPr>
              <w:pStyle w:val="15"/>
              <w:spacing w:before="1"/>
              <w:ind w:left="125" w:right="116"/>
              <w:jc w:val="center"/>
              <w:rPr>
                <w:sz w:val="24"/>
              </w:rPr>
            </w:pPr>
            <w:r>
              <w:rPr>
                <w:sz w:val="24"/>
              </w:rPr>
              <w:t>15</w:t>
            </w:r>
          </w:p>
        </w:tc>
      </w:tr>
    </w:tbl>
    <w:p>
      <w:pPr>
        <w:spacing w:after="0"/>
        <w:jc w:val="center"/>
        <w:rPr>
          <w:sz w:val="24"/>
        </w:rPr>
        <w:sectPr>
          <w:pgSz w:w="11910" w:h="16840"/>
          <w:pgMar w:top="1140" w:right="920" w:bottom="940" w:left="980" w:header="900" w:footer="757" w:gutter="0"/>
          <w:pgNumType w:fmt="decimal"/>
        </w:sectPr>
      </w:pPr>
    </w:p>
    <w:p>
      <w:pPr>
        <w:pStyle w:val="7"/>
        <w:rPr>
          <w:rFonts w:ascii="Times New Roman"/>
          <w:sz w:val="26"/>
        </w:rPr>
      </w:pPr>
    </w:p>
    <w:tbl>
      <w:tblPr>
        <w:tblStyle w:val="11"/>
        <w:tblW w:w="5011"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078"/>
        <w:gridCol w:w="1256"/>
        <w:gridCol w:w="7133"/>
        <w:gridCol w:w="5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560" w:hRule="atLeast"/>
        </w:trPr>
        <w:tc>
          <w:tcPr>
            <w:tcW w:w="537" w:type="pct"/>
          </w:tcPr>
          <w:p>
            <w:pPr>
              <w:pStyle w:val="15"/>
              <w:rPr>
                <w:rFonts w:ascii="Times New Roman"/>
                <w:sz w:val="22"/>
              </w:rPr>
            </w:pPr>
          </w:p>
        </w:tc>
        <w:tc>
          <w:tcPr>
            <w:tcW w:w="4176" w:type="pct"/>
            <w:gridSpan w:val="2"/>
          </w:tcPr>
          <w:p>
            <w:pPr>
              <w:pStyle w:val="15"/>
              <w:spacing w:before="80" w:line="288" w:lineRule="auto"/>
              <w:ind w:left="587" w:right="180" w:hanging="480"/>
              <w:rPr>
                <w:sz w:val="24"/>
              </w:rPr>
            </w:pPr>
            <w:r>
              <w:rPr>
                <w:sz w:val="24"/>
              </w:rPr>
              <w:t>标报价=投标报价×（1-2%）；除上述情况外，评标报价=投标报价</w:t>
            </w:r>
          </w:p>
          <w:p>
            <w:pPr>
              <w:pStyle w:val="15"/>
              <w:spacing w:before="80" w:line="288" w:lineRule="auto"/>
              <w:ind w:left="587" w:right="180" w:hanging="480"/>
              <w:rPr>
                <w:sz w:val="24"/>
              </w:rPr>
            </w:pPr>
            <w:r>
              <w:rPr>
                <w:sz w:val="24"/>
              </w:rPr>
              <w:t xml:space="preserve"> 2</w:t>
            </w:r>
            <w:r>
              <w:rPr>
                <w:spacing w:val="-1"/>
                <w:sz w:val="24"/>
              </w:rPr>
              <w:t>、确定有效投标报价：投标人投标报价高于采购预算价的为无</w:t>
            </w:r>
          </w:p>
          <w:p>
            <w:pPr>
              <w:pStyle w:val="15"/>
              <w:spacing w:line="299" w:lineRule="exact"/>
              <w:ind w:left="107"/>
              <w:rPr>
                <w:sz w:val="24"/>
              </w:rPr>
            </w:pPr>
            <w:r>
              <w:rPr>
                <w:sz w:val="24"/>
              </w:rPr>
              <w:t>效投标。</w:t>
            </w:r>
          </w:p>
          <w:p>
            <w:pPr>
              <w:pStyle w:val="15"/>
              <w:spacing w:before="52" w:line="280" w:lineRule="auto"/>
              <w:ind w:right="180"/>
              <w:rPr>
                <w:sz w:val="24"/>
              </w:rPr>
            </w:pPr>
            <w:r>
              <w:rPr>
                <w:sz w:val="24"/>
              </w:rPr>
              <w:t>3、价格分采用低价优先法计算。评审基准价为满足招标文件要求，低于采购预算价且投标报价最低的投标报价。</w:t>
            </w:r>
          </w:p>
          <w:p>
            <w:pPr>
              <w:pStyle w:val="15"/>
              <w:spacing w:before="1"/>
              <w:ind w:left="107"/>
              <w:rPr>
                <w:sz w:val="24"/>
              </w:rPr>
            </w:pPr>
            <w:r>
              <w:rPr>
                <w:sz w:val="24"/>
              </w:rPr>
              <w:t>投标人价格分=投标人最低报价（金额）/某投标人报价（金额）×</w:t>
            </w:r>
          </w:p>
          <w:p>
            <w:pPr>
              <w:pStyle w:val="15"/>
              <w:spacing w:before="52" w:line="290" w:lineRule="exact"/>
              <w:ind w:left="107"/>
              <w:rPr>
                <w:sz w:val="24"/>
              </w:rPr>
            </w:pPr>
            <w:r>
              <w:rPr>
                <w:sz w:val="24"/>
              </w:rPr>
              <w:t>15分</w:t>
            </w:r>
          </w:p>
        </w:tc>
        <w:tc>
          <w:tcPr>
            <w:tcW w:w="286" w:type="pct"/>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2" w:hRule="atLeast"/>
        </w:trPr>
        <w:tc>
          <w:tcPr>
            <w:tcW w:w="537" w:type="pct"/>
            <w:vMerge w:val="restart"/>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159"/>
              <w:ind w:left="179"/>
              <w:rPr>
                <w:b/>
                <w:sz w:val="24"/>
              </w:rPr>
            </w:pPr>
            <w:r>
              <w:rPr>
                <w:b/>
                <w:sz w:val="24"/>
              </w:rPr>
              <w:t>商务分</w:t>
            </w:r>
          </w:p>
          <w:p>
            <w:pPr>
              <w:pStyle w:val="15"/>
              <w:spacing w:before="3" w:line="242" w:lineRule="auto"/>
              <w:ind w:left="299" w:right="286"/>
              <w:rPr>
                <w:b/>
                <w:sz w:val="24"/>
              </w:rPr>
            </w:pPr>
            <w:r>
              <w:rPr>
                <w:b/>
                <w:sz w:val="24"/>
              </w:rPr>
              <w:t>（35 分）</w:t>
            </w:r>
          </w:p>
        </w:tc>
        <w:tc>
          <w:tcPr>
            <w:tcW w:w="4176" w:type="pct"/>
            <w:gridSpan w:val="2"/>
          </w:tcPr>
          <w:p>
            <w:pPr>
              <w:bidi w:val="0"/>
              <w:jc w:val="left"/>
              <w:rPr>
                <w:sz w:val="24"/>
              </w:rPr>
            </w:pPr>
          </w:p>
          <w:p>
            <w:pPr>
              <w:bidi w:val="0"/>
              <w:jc w:val="left"/>
            </w:pPr>
            <w:r>
              <w:rPr>
                <w:sz w:val="24"/>
              </w:rPr>
              <w:t>1、投标人具备的资质：必须具备林业调查规划设计乙级级以上资质。具备林业调查规划设计乙级资质得</w:t>
            </w:r>
            <w:r>
              <w:rPr>
                <w:rFonts w:hint="eastAsia"/>
                <w:sz w:val="24"/>
                <w:lang w:val="en-US" w:eastAsia="zh-CN"/>
              </w:rPr>
              <w:t>2</w:t>
            </w:r>
            <w:r>
              <w:rPr>
                <w:spacing w:val="-2"/>
                <w:sz w:val="24"/>
              </w:rPr>
              <w:t>分，具备林业调查规划设计</w:t>
            </w:r>
            <w:r>
              <w:rPr>
                <w:sz w:val="24"/>
              </w:rPr>
              <w:t>甲B级资质得4分，具备林业调查规划设计甲A级资质得</w:t>
            </w:r>
            <w:r>
              <w:rPr>
                <w:rFonts w:hint="eastAsia"/>
                <w:sz w:val="24"/>
                <w:lang w:val="en-US" w:eastAsia="zh-CN"/>
              </w:rPr>
              <w:t>8</w:t>
            </w:r>
            <w:r>
              <w:rPr>
                <w:sz w:val="24"/>
              </w:rPr>
              <w:t>分。</w:t>
            </w:r>
          </w:p>
        </w:tc>
        <w:tc>
          <w:tcPr>
            <w:tcW w:w="286" w:type="pct"/>
          </w:tcPr>
          <w:p>
            <w:pPr>
              <w:pStyle w:val="15"/>
              <w:spacing w:before="5"/>
              <w:rPr>
                <w:rFonts w:ascii="Times New Roman"/>
                <w:sz w:val="33"/>
              </w:rPr>
            </w:pPr>
          </w:p>
          <w:p>
            <w:pPr>
              <w:pStyle w:val="15"/>
              <w:ind w:left="9"/>
              <w:jc w:val="center"/>
              <w:rPr>
                <w:rFonts w:hint="eastAsia" w:eastAsia="仿宋"/>
                <w:sz w:val="24"/>
                <w:lang w:eastAsia="zh-CN"/>
              </w:rPr>
            </w:pPr>
            <w:r>
              <w:rPr>
                <w:rFonts w:hint="eastAsia"/>
                <w:sz w:val="24"/>
                <w:lang w:val="en-US" w:eastAsia="zh-CN"/>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537" w:type="pct"/>
            <w:vMerge w:val="continue"/>
            <w:tcBorders>
              <w:top w:val="nil"/>
            </w:tcBorders>
          </w:tcPr>
          <w:p>
            <w:pPr>
              <w:rPr>
                <w:sz w:val="2"/>
                <w:szCs w:val="2"/>
              </w:rPr>
            </w:pPr>
          </w:p>
        </w:tc>
        <w:tc>
          <w:tcPr>
            <w:tcW w:w="4176" w:type="pct"/>
            <w:gridSpan w:val="2"/>
          </w:tcPr>
          <w:p>
            <w:pPr>
              <w:pStyle w:val="15"/>
              <w:spacing w:before="47" w:line="280" w:lineRule="auto"/>
              <w:ind w:left="107" w:right="89"/>
              <w:rPr>
                <w:sz w:val="24"/>
              </w:rPr>
            </w:pPr>
            <w:r>
              <w:rPr>
                <w:sz w:val="24"/>
              </w:rPr>
              <w:t>2、类似项目业绩：2016年至今完成过</w:t>
            </w:r>
            <w:r>
              <w:rPr>
                <w:rFonts w:hint="eastAsia"/>
                <w:sz w:val="24"/>
                <w:lang w:eastAsia="zh-CN"/>
              </w:rPr>
              <w:t>同类服务项目的业绩证明材料每个</w:t>
            </w:r>
            <w:r>
              <w:rPr>
                <w:sz w:val="24"/>
              </w:rPr>
              <w:t>得</w:t>
            </w:r>
            <w:r>
              <w:rPr>
                <w:rFonts w:hint="eastAsia"/>
                <w:sz w:val="24"/>
                <w:lang w:val="en-US" w:eastAsia="zh-CN"/>
              </w:rPr>
              <w:t>3</w:t>
            </w:r>
            <w:r>
              <w:rPr>
                <w:sz w:val="24"/>
              </w:rPr>
              <w:t>分，满分18分</w:t>
            </w:r>
            <w:r>
              <w:rPr>
                <w:b/>
                <w:sz w:val="24"/>
              </w:rPr>
              <w:t>（以委托合同或中标通知书复印件为准，不提供不计分）</w:t>
            </w:r>
            <w:r>
              <w:rPr>
                <w:sz w:val="24"/>
              </w:rPr>
              <w:t>。</w:t>
            </w:r>
          </w:p>
        </w:tc>
        <w:tc>
          <w:tcPr>
            <w:tcW w:w="286" w:type="pct"/>
          </w:tcPr>
          <w:p>
            <w:pPr>
              <w:pStyle w:val="15"/>
              <w:spacing w:before="6"/>
              <w:rPr>
                <w:rFonts w:ascii="Times New Roman"/>
                <w:sz w:val="33"/>
              </w:rPr>
            </w:pPr>
          </w:p>
          <w:p>
            <w:pPr>
              <w:pStyle w:val="15"/>
              <w:ind w:left="125" w:right="116"/>
              <w:jc w:val="center"/>
              <w:rPr>
                <w:sz w:val="24"/>
              </w:rPr>
            </w:pPr>
            <w:r>
              <w:rPr>
                <w:sz w:val="24"/>
              </w:rPr>
              <w:t>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21" w:hRule="atLeast"/>
        </w:trPr>
        <w:tc>
          <w:tcPr>
            <w:tcW w:w="537" w:type="pct"/>
            <w:vMerge w:val="continue"/>
            <w:tcBorders>
              <w:top w:val="nil"/>
            </w:tcBorders>
          </w:tcPr>
          <w:p>
            <w:pPr>
              <w:rPr>
                <w:sz w:val="2"/>
                <w:szCs w:val="2"/>
              </w:rPr>
            </w:pPr>
          </w:p>
        </w:tc>
        <w:tc>
          <w:tcPr>
            <w:tcW w:w="4176" w:type="pct"/>
            <w:gridSpan w:val="2"/>
          </w:tcPr>
          <w:p>
            <w:pPr>
              <w:pStyle w:val="15"/>
              <w:rPr>
                <w:rFonts w:ascii="Times New Roman"/>
                <w:sz w:val="29"/>
              </w:rPr>
            </w:pPr>
          </w:p>
          <w:p>
            <w:pPr>
              <w:pStyle w:val="15"/>
              <w:spacing w:line="280" w:lineRule="auto"/>
              <w:ind w:left="107" w:right="96"/>
              <w:rPr>
                <w:sz w:val="24"/>
              </w:rPr>
            </w:pPr>
            <w:r>
              <w:rPr>
                <w:sz w:val="24"/>
              </w:rPr>
              <w:t>3、投标人自201</w:t>
            </w:r>
            <w:r>
              <w:rPr>
                <w:rFonts w:hint="eastAsia"/>
                <w:sz w:val="24"/>
                <w:lang w:val="en-US" w:eastAsia="zh-CN"/>
              </w:rPr>
              <w:t>6</w:t>
            </w:r>
            <w:r>
              <w:rPr>
                <w:sz w:val="24"/>
              </w:rPr>
              <w:t>年至今荣获省级级以上科学技术进步奖每项得</w:t>
            </w:r>
            <w:r>
              <w:rPr>
                <w:rFonts w:hint="eastAsia"/>
                <w:sz w:val="24"/>
                <w:lang w:val="en-US" w:eastAsia="zh-CN"/>
              </w:rPr>
              <w:t>3</w:t>
            </w:r>
            <w:r>
              <w:rPr>
                <w:sz w:val="24"/>
              </w:rPr>
              <w:t>分，满分</w:t>
            </w:r>
            <w:r>
              <w:rPr>
                <w:rFonts w:hint="eastAsia"/>
                <w:sz w:val="24"/>
                <w:lang w:val="en-US" w:eastAsia="zh-CN"/>
              </w:rPr>
              <w:t>9</w:t>
            </w:r>
            <w:r>
              <w:rPr>
                <w:sz w:val="24"/>
              </w:rPr>
              <w:t>分（</w:t>
            </w:r>
            <w:r>
              <w:rPr>
                <w:b/>
                <w:sz w:val="24"/>
              </w:rPr>
              <w:t>以获奖证书复印件为准，不提供不计分</w:t>
            </w:r>
            <w:r>
              <w:rPr>
                <w:sz w:val="24"/>
              </w:rPr>
              <w:t>）</w:t>
            </w:r>
          </w:p>
        </w:tc>
        <w:tc>
          <w:tcPr>
            <w:tcW w:w="286" w:type="pct"/>
          </w:tcPr>
          <w:p>
            <w:pPr>
              <w:pStyle w:val="15"/>
              <w:rPr>
                <w:rFonts w:ascii="Times New Roman"/>
                <w:sz w:val="24"/>
              </w:rPr>
            </w:pPr>
          </w:p>
          <w:p>
            <w:pPr>
              <w:pStyle w:val="15"/>
              <w:spacing w:before="214"/>
              <w:ind w:left="9"/>
              <w:jc w:val="center"/>
              <w:rPr>
                <w:rFonts w:hint="eastAsia" w:eastAsia="仿宋"/>
                <w:sz w:val="24"/>
                <w:lang w:eastAsia="zh-CN"/>
              </w:rPr>
            </w:pPr>
            <w:r>
              <w:rPr>
                <w:rFonts w:hint="eastAsia"/>
                <w:sz w:val="24"/>
                <w:lang w:val="en-US" w:eastAsia="zh-CN"/>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7" w:hRule="atLeast"/>
        </w:trPr>
        <w:tc>
          <w:tcPr>
            <w:tcW w:w="537" w:type="pct"/>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2"/>
              <w:rPr>
                <w:rFonts w:ascii="Times New Roman"/>
                <w:sz w:val="25"/>
              </w:rPr>
            </w:pPr>
          </w:p>
          <w:p>
            <w:pPr>
              <w:pStyle w:val="15"/>
              <w:spacing w:before="1"/>
              <w:ind w:left="179"/>
              <w:rPr>
                <w:b/>
                <w:sz w:val="24"/>
              </w:rPr>
            </w:pPr>
            <w:r>
              <w:rPr>
                <w:b/>
                <w:sz w:val="24"/>
              </w:rPr>
              <w:t>技术分</w:t>
            </w:r>
          </w:p>
          <w:p>
            <w:pPr>
              <w:pStyle w:val="15"/>
              <w:spacing w:before="4" w:line="242" w:lineRule="auto"/>
              <w:ind w:left="299" w:right="286"/>
              <w:rPr>
                <w:b/>
                <w:sz w:val="24"/>
              </w:rPr>
            </w:pPr>
            <w:r>
              <w:rPr>
                <w:b/>
                <w:sz w:val="24"/>
              </w:rPr>
              <w:t>（50 分）</w:t>
            </w:r>
          </w:p>
        </w:tc>
        <w:tc>
          <w:tcPr>
            <w:tcW w:w="625" w:type="pct"/>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3"/>
              <w:rPr>
                <w:rFonts w:ascii="Times New Roman"/>
                <w:sz w:val="32"/>
              </w:rPr>
            </w:pPr>
          </w:p>
          <w:p>
            <w:pPr>
              <w:pStyle w:val="15"/>
              <w:spacing w:before="1" w:line="280" w:lineRule="auto"/>
              <w:ind w:left="155" w:right="143"/>
              <w:jc w:val="both"/>
              <w:rPr>
                <w:sz w:val="24"/>
              </w:rPr>
            </w:pPr>
            <w:r>
              <w:rPr>
                <w:sz w:val="24"/>
              </w:rPr>
              <w:t>项目服务计划书及项目服务承诺</w:t>
            </w:r>
          </w:p>
        </w:tc>
        <w:tc>
          <w:tcPr>
            <w:tcW w:w="3550" w:type="pct"/>
          </w:tcPr>
          <w:p>
            <w:pPr>
              <w:pStyle w:val="15"/>
              <w:spacing w:before="47" w:line="280" w:lineRule="auto"/>
              <w:ind w:left="108" w:right="89"/>
              <w:jc w:val="both"/>
              <w:rPr>
                <w:sz w:val="24"/>
              </w:rPr>
            </w:pPr>
            <w:r>
              <w:rPr>
                <w:b/>
                <w:sz w:val="24"/>
              </w:rPr>
              <w:t>项目服务计划。</w:t>
            </w:r>
            <w:r>
              <w:rPr>
                <w:sz w:val="24"/>
              </w:rPr>
              <w:t>根据投标人的服务方案说明详细、完善、必要性、科学合理，满足本项目需求及招标人服务要求等情况进行综合评分。</w:t>
            </w:r>
          </w:p>
          <w:p>
            <w:pPr>
              <w:pStyle w:val="15"/>
              <w:spacing w:before="1"/>
              <w:ind w:left="588"/>
              <w:rPr>
                <w:sz w:val="24"/>
              </w:rPr>
            </w:pPr>
            <w:r>
              <w:rPr>
                <w:sz w:val="24"/>
              </w:rPr>
              <w:t>差(0分)</w:t>
            </w:r>
          </w:p>
          <w:p>
            <w:pPr>
              <w:pStyle w:val="15"/>
              <w:spacing w:before="53" w:line="280" w:lineRule="auto"/>
              <w:ind w:left="108" w:right="96" w:firstLine="480"/>
              <w:jc w:val="both"/>
              <w:rPr>
                <w:sz w:val="24"/>
              </w:rPr>
            </w:pPr>
            <w:r>
              <w:rPr>
                <w:sz w:val="24"/>
              </w:rPr>
              <w:t>没有对本项目的理解认识程度分析论述的计划，没有对项目工作任务、技术要求、工作成果等认识；采用的技术规范不符合本项目的特点。</w:t>
            </w:r>
          </w:p>
          <w:p>
            <w:pPr>
              <w:pStyle w:val="15"/>
              <w:ind w:left="588"/>
              <w:rPr>
                <w:sz w:val="24"/>
              </w:rPr>
            </w:pPr>
            <w:r>
              <w:rPr>
                <w:sz w:val="24"/>
              </w:rPr>
              <w:t>中(6分)</w:t>
            </w:r>
          </w:p>
          <w:p>
            <w:pPr>
              <w:pStyle w:val="15"/>
              <w:spacing w:before="53" w:line="280" w:lineRule="auto"/>
              <w:ind w:left="108" w:right="96" w:firstLine="480"/>
              <w:jc w:val="both"/>
              <w:rPr>
                <w:sz w:val="24"/>
              </w:rPr>
            </w:pPr>
            <w:r>
              <w:rPr>
                <w:sz w:val="24"/>
              </w:rPr>
              <w:t>对本项目的理解认识程度分析论述浅显，项目工作任务、技术要求、工作成果等认识一般；采用的技术规范不符合本项目的特点。</w:t>
            </w:r>
          </w:p>
          <w:p>
            <w:pPr>
              <w:pStyle w:val="15"/>
              <w:spacing w:before="1"/>
              <w:ind w:left="588"/>
              <w:rPr>
                <w:sz w:val="24"/>
              </w:rPr>
            </w:pPr>
            <w:r>
              <w:rPr>
                <w:sz w:val="24"/>
              </w:rPr>
              <w:t>良（13分）</w:t>
            </w:r>
          </w:p>
          <w:p>
            <w:pPr>
              <w:pStyle w:val="15"/>
              <w:spacing w:before="52" w:line="280" w:lineRule="auto"/>
              <w:ind w:left="108" w:right="96" w:firstLine="480"/>
              <w:jc w:val="both"/>
              <w:rPr>
                <w:sz w:val="24"/>
              </w:rPr>
            </w:pPr>
            <w:r>
              <w:rPr>
                <w:sz w:val="24"/>
              </w:rPr>
              <w:t>对本项目的理解认识程度分析论述一般，能考虑到本项目的实际情况，项目工作任务、技术要求、工作成果等认识较到位；采用的技术规范基本符合本项目的特点。</w:t>
            </w:r>
          </w:p>
          <w:p>
            <w:pPr>
              <w:pStyle w:val="15"/>
              <w:spacing w:before="1"/>
              <w:ind w:left="588"/>
              <w:rPr>
                <w:sz w:val="24"/>
              </w:rPr>
            </w:pPr>
            <w:r>
              <w:rPr>
                <w:sz w:val="24"/>
              </w:rPr>
              <w:t>优（20分）</w:t>
            </w:r>
          </w:p>
          <w:p>
            <w:pPr>
              <w:pStyle w:val="15"/>
              <w:spacing w:line="360" w:lineRule="atLeast"/>
              <w:ind w:left="108" w:right="228" w:firstLine="480"/>
              <w:rPr>
                <w:sz w:val="24"/>
              </w:rPr>
            </w:pPr>
            <w:r>
              <w:rPr>
                <w:sz w:val="24"/>
              </w:rPr>
              <w:t>能够借鉴项目区同类或类似主要业绩或经验，熟悉本项目实际工作条件，对本项目工作任务、技术要求、工作成果</w:t>
            </w:r>
          </w:p>
        </w:tc>
        <w:tc>
          <w:tcPr>
            <w:tcW w:w="286" w:type="pct"/>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4"/>
              <w:rPr>
                <w:rFonts w:ascii="Times New Roman"/>
                <w:sz w:val="28"/>
              </w:rPr>
            </w:pPr>
          </w:p>
          <w:p>
            <w:pPr>
              <w:pStyle w:val="15"/>
              <w:ind w:left="125" w:right="116"/>
              <w:jc w:val="center"/>
              <w:rPr>
                <w:sz w:val="24"/>
              </w:rPr>
            </w:pPr>
            <w:r>
              <w:rPr>
                <w:sz w:val="24"/>
              </w:rPr>
              <w:t>20</w:t>
            </w:r>
          </w:p>
        </w:tc>
      </w:tr>
    </w:tbl>
    <w:p>
      <w:pPr>
        <w:spacing w:after="0"/>
        <w:jc w:val="center"/>
        <w:rPr>
          <w:sz w:val="24"/>
        </w:rPr>
        <w:sectPr>
          <w:pgSz w:w="11910" w:h="16840"/>
          <w:pgMar w:top="1140" w:right="920" w:bottom="940" w:left="980" w:header="900" w:footer="757" w:gutter="0"/>
          <w:pgNumType w:fmt="decimal"/>
        </w:sectPr>
      </w:pPr>
    </w:p>
    <w:p>
      <w:pPr>
        <w:pStyle w:val="7"/>
        <w:rPr>
          <w:rFonts w:ascii="Times New Roman"/>
          <w:sz w:val="26"/>
        </w:rPr>
      </w:pPr>
    </w:p>
    <w:tbl>
      <w:tblPr>
        <w:tblStyle w:val="11"/>
        <w:tblW w:w="9193" w:type="dxa"/>
        <w:tblInd w:w="3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0"/>
        <w:gridCol w:w="791"/>
        <w:gridCol w:w="6589"/>
        <w:gridCol w:w="7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1080" w:type="dxa"/>
            <w:vMerge w:val="restart"/>
          </w:tcPr>
          <w:p>
            <w:pPr>
              <w:pStyle w:val="15"/>
              <w:rPr>
                <w:rFonts w:ascii="Times New Roman"/>
                <w:sz w:val="22"/>
              </w:rPr>
            </w:pPr>
          </w:p>
        </w:tc>
        <w:tc>
          <w:tcPr>
            <w:tcW w:w="791" w:type="dxa"/>
            <w:vMerge w:val="restart"/>
          </w:tcPr>
          <w:p>
            <w:pPr>
              <w:pStyle w:val="15"/>
              <w:rPr>
                <w:rFonts w:ascii="Times New Roman"/>
                <w:sz w:val="22"/>
              </w:rPr>
            </w:pPr>
          </w:p>
        </w:tc>
        <w:tc>
          <w:tcPr>
            <w:tcW w:w="6589" w:type="dxa"/>
          </w:tcPr>
          <w:p>
            <w:pPr>
              <w:pStyle w:val="15"/>
              <w:spacing w:line="360" w:lineRule="exact"/>
              <w:ind w:right="228"/>
              <w:jc w:val="both"/>
              <w:rPr>
                <w:sz w:val="24"/>
              </w:rPr>
            </w:pPr>
            <w:r>
              <w:rPr>
                <w:sz w:val="24"/>
              </w:rPr>
              <w:t>等认识非常到位，能够深入分析论述，而且能充分考虑到本项目的具体情况并采取针对性措施，对任务完成和成果检查验收保障性强；采用的技术规范明确、完整，十分符合本项目的特点。</w:t>
            </w:r>
          </w:p>
        </w:tc>
        <w:tc>
          <w:tcPr>
            <w:tcW w:w="733"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1" w:hRule="atLeast"/>
        </w:trPr>
        <w:tc>
          <w:tcPr>
            <w:tcW w:w="1080" w:type="dxa"/>
            <w:vMerge w:val="continue"/>
            <w:tcBorders>
              <w:top w:val="nil"/>
            </w:tcBorders>
          </w:tcPr>
          <w:p>
            <w:pPr>
              <w:rPr>
                <w:sz w:val="2"/>
                <w:szCs w:val="2"/>
              </w:rPr>
            </w:pPr>
          </w:p>
        </w:tc>
        <w:tc>
          <w:tcPr>
            <w:tcW w:w="791" w:type="dxa"/>
            <w:vMerge w:val="continue"/>
            <w:tcBorders>
              <w:top w:val="nil"/>
            </w:tcBorders>
          </w:tcPr>
          <w:p>
            <w:pPr>
              <w:rPr>
                <w:sz w:val="2"/>
                <w:szCs w:val="2"/>
              </w:rPr>
            </w:pPr>
          </w:p>
        </w:tc>
        <w:tc>
          <w:tcPr>
            <w:tcW w:w="6589" w:type="dxa"/>
          </w:tcPr>
          <w:p>
            <w:pPr>
              <w:pStyle w:val="15"/>
              <w:spacing w:before="48" w:line="280" w:lineRule="auto"/>
              <w:ind w:left="108" w:right="87"/>
              <w:jc w:val="both"/>
              <w:rPr>
                <w:sz w:val="24"/>
              </w:rPr>
            </w:pPr>
            <w:r>
              <w:rPr>
                <w:b/>
                <w:sz w:val="24"/>
              </w:rPr>
              <w:t>项目工作时间进度计划。</w:t>
            </w:r>
            <w:r>
              <w:rPr>
                <w:sz w:val="24"/>
              </w:rPr>
              <w:t>根据投标人对本项目工作时间进度计划的安排及说明的科学性、合理性、有效性、紧密程度及招标人服务要求等情况进行综合评分。</w:t>
            </w:r>
          </w:p>
          <w:p>
            <w:pPr>
              <w:pStyle w:val="15"/>
              <w:spacing w:before="1"/>
              <w:ind w:left="588"/>
              <w:rPr>
                <w:sz w:val="24"/>
              </w:rPr>
            </w:pPr>
            <w:r>
              <w:rPr>
                <w:sz w:val="24"/>
              </w:rPr>
              <w:t>差(0分)</w:t>
            </w:r>
          </w:p>
          <w:p>
            <w:pPr>
              <w:pStyle w:val="15"/>
              <w:spacing w:before="52" w:line="280" w:lineRule="auto"/>
              <w:ind w:left="108" w:right="96" w:firstLine="480"/>
              <w:jc w:val="both"/>
              <w:rPr>
                <w:sz w:val="24"/>
              </w:rPr>
            </w:pPr>
            <w:r>
              <w:rPr>
                <w:sz w:val="24"/>
              </w:rPr>
              <w:t>没有对本项目的理解认识程度分析论述的计划，没有对项目工作任务、技术要求、工作成果等认识；采用的技术规范不符合本项目的特点。</w:t>
            </w:r>
          </w:p>
          <w:p>
            <w:pPr>
              <w:pStyle w:val="15"/>
              <w:spacing w:before="1"/>
              <w:ind w:left="588"/>
              <w:rPr>
                <w:sz w:val="24"/>
              </w:rPr>
            </w:pPr>
            <w:r>
              <w:rPr>
                <w:sz w:val="24"/>
              </w:rPr>
              <w:t>中(2分)</w:t>
            </w:r>
          </w:p>
          <w:p>
            <w:pPr>
              <w:pStyle w:val="15"/>
              <w:spacing w:before="52" w:line="280" w:lineRule="auto"/>
              <w:ind w:left="108" w:right="96" w:firstLine="480"/>
              <w:jc w:val="both"/>
              <w:rPr>
                <w:sz w:val="24"/>
              </w:rPr>
            </w:pPr>
            <w:r>
              <w:rPr>
                <w:sz w:val="24"/>
              </w:rPr>
              <w:t>对本项目基本工作流程分析论述浅显，各阶段投入技术力量与工作量的关系分析浅显，各阶段中间成果提供时间滞后于项目业主或上级部门的时间要求。</w:t>
            </w:r>
          </w:p>
          <w:p>
            <w:pPr>
              <w:pStyle w:val="15"/>
              <w:spacing w:before="1"/>
              <w:ind w:left="588"/>
              <w:rPr>
                <w:sz w:val="24"/>
              </w:rPr>
            </w:pPr>
            <w:r>
              <w:rPr>
                <w:sz w:val="24"/>
              </w:rPr>
              <w:t>良（3.5分）</w:t>
            </w:r>
          </w:p>
          <w:p>
            <w:pPr>
              <w:pStyle w:val="15"/>
              <w:spacing w:before="53" w:line="280" w:lineRule="auto"/>
              <w:ind w:left="108" w:right="96" w:firstLine="480"/>
              <w:jc w:val="both"/>
              <w:rPr>
                <w:sz w:val="24"/>
              </w:rPr>
            </w:pPr>
            <w:r>
              <w:rPr>
                <w:sz w:val="24"/>
              </w:rPr>
              <w:t>对本项目基本工作流程分析论述一般，各阶段投入技术力量与工作量的关系分析一般，各阶段中间成果提供时间基本能够满足项目业主或上级部门的时间要求。</w:t>
            </w:r>
          </w:p>
          <w:p>
            <w:pPr>
              <w:pStyle w:val="15"/>
              <w:spacing w:line="263" w:lineRule="exact"/>
              <w:ind w:left="588"/>
              <w:rPr>
                <w:sz w:val="24"/>
              </w:rPr>
            </w:pPr>
            <w:r>
              <w:rPr>
                <w:sz w:val="24"/>
              </w:rPr>
              <w:t>优（5分）</w:t>
            </w:r>
          </w:p>
          <w:p>
            <w:pPr>
              <w:pStyle w:val="15"/>
              <w:spacing w:before="2" w:line="360" w:lineRule="exact"/>
              <w:ind w:left="108" w:right="96" w:firstLine="480"/>
              <w:jc w:val="both"/>
              <w:rPr>
                <w:sz w:val="24"/>
              </w:rPr>
            </w:pPr>
            <w:r>
              <w:rPr>
                <w:sz w:val="24"/>
              </w:rPr>
              <w:t>对本项目基本工作流程分析论述非常到位，各阶段投入技术力量与工作量的关系分析到位，有相关数据和本项目区成功案例支撑，各阶段中间成果提供时间能够满足项目业主或上级部门的时间要求。</w:t>
            </w:r>
          </w:p>
        </w:tc>
        <w:tc>
          <w:tcPr>
            <w:tcW w:w="733" w:type="dxa"/>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5"/>
              <w:rPr>
                <w:rFonts w:ascii="Times New Roman"/>
                <w:sz w:val="33"/>
              </w:rPr>
            </w:pPr>
          </w:p>
          <w:p>
            <w:pPr>
              <w:pStyle w:val="15"/>
              <w:ind w:left="306"/>
              <w:rPr>
                <w:sz w:val="24"/>
              </w:rPr>
            </w:pPr>
            <w:r>
              <w:rPr>
                <w:sz w:val="24"/>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2" w:hRule="atLeast"/>
        </w:trPr>
        <w:tc>
          <w:tcPr>
            <w:tcW w:w="1080" w:type="dxa"/>
            <w:vMerge w:val="continue"/>
            <w:tcBorders>
              <w:top w:val="nil"/>
            </w:tcBorders>
          </w:tcPr>
          <w:p>
            <w:pPr>
              <w:rPr>
                <w:sz w:val="2"/>
                <w:szCs w:val="2"/>
              </w:rPr>
            </w:pPr>
          </w:p>
        </w:tc>
        <w:tc>
          <w:tcPr>
            <w:tcW w:w="791" w:type="dxa"/>
            <w:vMerge w:val="continue"/>
            <w:tcBorders>
              <w:top w:val="nil"/>
            </w:tcBorders>
          </w:tcPr>
          <w:p>
            <w:pPr>
              <w:rPr>
                <w:sz w:val="2"/>
                <w:szCs w:val="2"/>
              </w:rPr>
            </w:pPr>
          </w:p>
        </w:tc>
        <w:tc>
          <w:tcPr>
            <w:tcW w:w="6589" w:type="dxa"/>
          </w:tcPr>
          <w:p>
            <w:pPr>
              <w:pStyle w:val="15"/>
              <w:spacing w:before="47" w:line="280" w:lineRule="auto"/>
              <w:ind w:left="108" w:right="84"/>
              <w:rPr>
                <w:sz w:val="24"/>
              </w:rPr>
            </w:pPr>
            <w:r>
              <w:rPr>
                <w:b/>
                <w:sz w:val="24"/>
              </w:rPr>
              <w:t>其他相关服务要求及承诺。</w:t>
            </w:r>
            <w:r>
              <w:rPr>
                <w:sz w:val="24"/>
              </w:rPr>
              <w:t>根据投标人对配合招标人及其他项目负责单位做出的积极承诺情况进行综合评分。</w:t>
            </w:r>
          </w:p>
          <w:p>
            <w:pPr>
              <w:pStyle w:val="15"/>
              <w:spacing w:before="1"/>
              <w:ind w:left="588"/>
              <w:rPr>
                <w:sz w:val="24"/>
              </w:rPr>
            </w:pPr>
            <w:r>
              <w:rPr>
                <w:sz w:val="24"/>
              </w:rPr>
              <w:t>差(0分)</w:t>
            </w:r>
          </w:p>
          <w:p>
            <w:pPr>
              <w:pStyle w:val="15"/>
              <w:spacing w:before="52" w:line="280" w:lineRule="auto"/>
              <w:ind w:left="108" w:right="99" w:firstLine="480"/>
              <w:rPr>
                <w:sz w:val="24"/>
              </w:rPr>
            </w:pPr>
            <w:r>
              <w:rPr>
                <w:sz w:val="24"/>
              </w:rPr>
              <w:t>无承诺；或承诺无实质性内容或内容表达混乱，可信度达不到本项目要求。</w:t>
            </w:r>
          </w:p>
          <w:p>
            <w:pPr>
              <w:pStyle w:val="15"/>
              <w:spacing w:before="1"/>
              <w:ind w:left="588"/>
              <w:rPr>
                <w:sz w:val="24"/>
              </w:rPr>
            </w:pPr>
            <w:r>
              <w:rPr>
                <w:sz w:val="24"/>
              </w:rPr>
              <w:t>中(2分)</w:t>
            </w:r>
          </w:p>
          <w:p>
            <w:pPr>
              <w:pStyle w:val="15"/>
              <w:spacing w:before="52" w:line="280" w:lineRule="auto"/>
              <w:ind w:left="588" w:right="708"/>
              <w:rPr>
                <w:sz w:val="24"/>
              </w:rPr>
            </w:pPr>
            <w:r>
              <w:rPr>
                <w:sz w:val="24"/>
              </w:rPr>
              <w:t>承诺实质性内容或内容表达混乱，可信度达一般。良（3.5分）</w:t>
            </w:r>
          </w:p>
          <w:p>
            <w:pPr>
              <w:pStyle w:val="15"/>
              <w:spacing w:before="1" w:line="280" w:lineRule="auto"/>
              <w:ind w:left="108" w:right="96" w:firstLine="480"/>
              <w:rPr>
                <w:sz w:val="24"/>
              </w:rPr>
            </w:pPr>
            <w:r>
              <w:rPr>
                <w:sz w:val="24"/>
              </w:rPr>
              <w:t>对本项目完成进度、成果质量、技术服务、成果保密等提出承诺，承诺内容基本可行和可信。</w:t>
            </w:r>
          </w:p>
          <w:p>
            <w:pPr>
              <w:pStyle w:val="15"/>
              <w:spacing w:line="260" w:lineRule="exact"/>
              <w:ind w:left="588"/>
              <w:rPr>
                <w:sz w:val="24"/>
              </w:rPr>
            </w:pPr>
            <w:r>
              <w:rPr>
                <w:sz w:val="24"/>
              </w:rPr>
              <w:t>优（5分）</w:t>
            </w:r>
          </w:p>
          <w:p>
            <w:pPr>
              <w:pStyle w:val="15"/>
              <w:spacing w:before="4"/>
              <w:ind w:left="108" w:firstLine="480"/>
              <w:rPr>
                <w:sz w:val="24"/>
              </w:rPr>
            </w:pPr>
            <w:r>
              <w:rPr>
                <w:sz w:val="24"/>
              </w:rPr>
              <w:t>对本项目完成进度、成果质量、技术服务、成果保密等</w:t>
            </w:r>
          </w:p>
          <w:p>
            <w:pPr>
              <w:pStyle w:val="15"/>
              <w:spacing w:before="2" w:line="310" w:lineRule="atLeast"/>
              <w:ind w:left="108" w:right="96"/>
              <w:rPr>
                <w:sz w:val="24"/>
              </w:rPr>
            </w:pPr>
            <w:r>
              <w:rPr>
                <w:sz w:val="24"/>
              </w:rPr>
              <w:t>提出有实质性内容的承诺，承诺内容符合客观实际，可信度高。</w:t>
            </w:r>
          </w:p>
        </w:tc>
        <w:tc>
          <w:tcPr>
            <w:tcW w:w="733" w:type="dxa"/>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2"/>
              <w:rPr>
                <w:rFonts w:ascii="Times New Roman"/>
                <w:sz w:val="29"/>
              </w:rPr>
            </w:pPr>
          </w:p>
          <w:p>
            <w:pPr>
              <w:pStyle w:val="15"/>
              <w:ind w:left="306"/>
              <w:rPr>
                <w:sz w:val="24"/>
              </w:rPr>
            </w:pPr>
            <w:r>
              <w:rPr>
                <w:sz w:val="24"/>
              </w:rPr>
              <w:t>5</w:t>
            </w:r>
          </w:p>
        </w:tc>
      </w:tr>
    </w:tbl>
    <w:p>
      <w:pPr>
        <w:spacing w:after="0"/>
        <w:rPr>
          <w:sz w:val="24"/>
        </w:rPr>
        <w:sectPr>
          <w:pgSz w:w="11910" w:h="16840"/>
          <w:pgMar w:top="1140" w:right="920" w:bottom="940" w:left="980" w:header="900" w:footer="757" w:gutter="0"/>
          <w:pgNumType w:fmt="decimal"/>
        </w:sectPr>
      </w:pPr>
    </w:p>
    <w:p>
      <w:pPr>
        <w:pStyle w:val="7"/>
        <w:rPr>
          <w:rFonts w:ascii="Times New Roman"/>
          <w:sz w:val="26"/>
        </w:rPr>
      </w:pPr>
    </w:p>
    <w:tbl>
      <w:tblPr>
        <w:tblStyle w:val="11"/>
        <w:tblW w:w="9193" w:type="dxa"/>
        <w:tblInd w:w="3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0"/>
        <w:gridCol w:w="791"/>
        <w:gridCol w:w="6589"/>
        <w:gridCol w:w="7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60" w:hRule="atLeast"/>
        </w:trPr>
        <w:tc>
          <w:tcPr>
            <w:tcW w:w="1080" w:type="dxa"/>
          </w:tcPr>
          <w:p>
            <w:pPr>
              <w:pStyle w:val="15"/>
              <w:rPr>
                <w:rFonts w:ascii="Times New Roman"/>
                <w:sz w:val="22"/>
              </w:rPr>
            </w:pPr>
          </w:p>
        </w:tc>
        <w:tc>
          <w:tcPr>
            <w:tcW w:w="791" w:type="dxa"/>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1"/>
              <w:rPr>
                <w:rFonts w:ascii="Times New Roman"/>
                <w:sz w:val="25"/>
              </w:rPr>
            </w:pPr>
          </w:p>
          <w:p>
            <w:pPr>
              <w:pStyle w:val="15"/>
              <w:spacing w:line="280" w:lineRule="auto"/>
              <w:ind w:left="155" w:right="143"/>
              <w:rPr>
                <w:sz w:val="24"/>
              </w:rPr>
            </w:pPr>
            <w:r>
              <w:rPr>
                <w:sz w:val="24"/>
              </w:rPr>
              <w:t>人员配备</w:t>
            </w:r>
          </w:p>
        </w:tc>
        <w:tc>
          <w:tcPr>
            <w:tcW w:w="6589" w:type="dxa"/>
          </w:tcPr>
          <w:p>
            <w:pPr>
              <w:pStyle w:val="15"/>
              <w:spacing w:before="68" w:line="307" w:lineRule="auto"/>
              <w:ind w:left="108" w:right="307" w:firstLine="439"/>
              <w:rPr>
                <w:sz w:val="22"/>
              </w:rPr>
            </w:pPr>
            <w:r>
              <w:rPr>
                <w:sz w:val="22"/>
              </w:rPr>
              <w:t>拟投入专门负责本项目工作技术人员：（应提供相应的职称证书等材料复印件，不提供不计分）</w:t>
            </w:r>
          </w:p>
          <w:p>
            <w:pPr>
              <w:pStyle w:val="15"/>
              <w:spacing w:line="286" w:lineRule="exact"/>
              <w:ind w:left="588"/>
              <w:rPr>
                <w:sz w:val="24"/>
              </w:rPr>
            </w:pPr>
            <w:r>
              <w:rPr>
                <w:sz w:val="24"/>
              </w:rPr>
              <w:t>一档：拟投入专门负责本项目工作技术人员15人及以上</w:t>
            </w:r>
          </w:p>
          <w:p>
            <w:pPr>
              <w:pStyle w:val="15"/>
              <w:spacing w:before="53" w:line="280" w:lineRule="auto"/>
              <w:ind w:left="108" w:right="108"/>
              <w:rPr>
                <w:sz w:val="24"/>
              </w:rPr>
            </w:pPr>
            <w:r>
              <w:rPr>
                <w:sz w:val="24"/>
              </w:rPr>
              <w:t>（含），且具有正高级职称技术人员不少于2人、副高级职称以上（含）技术人员不少于8人（含8人）的，得20分。</w:t>
            </w:r>
          </w:p>
          <w:p>
            <w:pPr>
              <w:pStyle w:val="15"/>
              <w:ind w:left="588"/>
              <w:rPr>
                <w:sz w:val="24"/>
              </w:rPr>
            </w:pPr>
            <w:r>
              <w:rPr>
                <w:sz w:val="24"/>
              </w:rPr>
              <w:t>二档：拟投入专门负责本项目工作技术人员12人及以上</w:t>
            </w:r>
          </w:p>
          <w:p>
            <w:pPr>
              <w:pStyle w:val="15"/>
              <w:spacing w:before="53"/>
              <w:ind w:left="108"/>
              <w:rPr>
                <w:sz w:val="24"/>
              </w:rPr>
            </w:pPr>
            <w:r>
              <w:rPr>
                <w:sz w:val="24"/>
              </w:rPr>
              <w:t>（含），且具有副高级职称以上（含）技术人员不少于5人</w:t>
            </w:r>
          </w:p>
          <w:p>
            <w:pPr>
              <w:pStyle w:val="15"/>
              <w:spacing w:before="52"/>
              <w:ind w:left="108"/>
              <w:rPr>
                <w:sz w:val="24"/>
              </w:rPr>
            </w:pPr>
            <w:r>
              <w:rPr>
                <w:sz w:val="24"/>
              </w:rPr>
              <w:t>（含5人）的，得1</w:t>
            </w:r>
            <w:r>
              <w:rPr>
                <w:rFonts w:hint="eastAsia"/>
                <w:sz w:val="24"/>
                <w:lang w:val="en-US" w:eastAsia="zh-CN"/>
              </w:rPr>
              <w:t>5</w:t>
            </w:r>
            <w:r>
              <w:rPr>
                <w:sz w:val="24"/>
              </w:rPr>
              <w:t>分；</w:t>
            </w:r>
          </w:p>
          <w:p>
            <w:pPr>
              <w:pStyle w:val="15"/>
              <w:spacing w:before="53"/>
              <w:ind w:left="588"/>
              <w:rPr>
                <w:sz w:val="24"/>
              </w:rPr>
            </w:pPr>
            <w:r>
              <w:rPr>
                <w:sz w:val="24"/>
              </w:rPr>
              <w:t>三档：拟投入专门负责本项目工作技术人员8人及以上</w:t>
            </w:r>
          </w:p>
          <w:p>
            <w:pPr>
              <w:pStyle w:val="15"/>
              <w:spacing w:line="360" w:lineRule="atLeast"/>
              <w:ind w:left="108" w:right="108"/>
              <w:rPr>
                <w:sz w:val="24"/>
              </w:rPr>
            </w:pPr>
            <w:r>
              <w:rPr>
                <w:sz w:val="24"/>
              </w:rPr>
              <w:t>（含），且具有副高级职称以上（含）技术人员少于2人（含2人）的，得5分；</w:t>
            </w:r>
          </w:p>
        </w:tc>
        <w:tc>
          <w:tcPr>
            <w:tcW w:w="733" w:type="dxa"/>
          </w:tcPr>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rPr>
                <w:rFonts w:ascii="Times New Roman"/>
                <w:sz w:val="24"/>
              </w:rPr>
            </w:pPr>
          </w:p>
          <w:p>
            <w:pPr>
              <w:pStyle w:val="15"/>
              <w:spacing w:before="171"/>
              <w:ind w:right="234"/>
              <w:jc w:val="right"/>
              <w:rPr>
                <w:sz w:val="24"/>
              </w:rPr>
            </w:pPr>
            <w:r>
              <w:rPr>
                <w:sz w:val="24"/>
              </w:rPr>
              <w:t>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80" w:type="dxa"/>
          </w:tcPr>
          <w:p>
            <w:pPr>
              <w:pStyle w:val="15"/>
              <w:spacing w:before="142"/>
              <w:ind w:left="179"/>
              <w:rPr>
                <w:b/>
                <w:sz w:val="24"/>
              </w:rPr>
            </w:pPr>
            <w:r>
              <w:rPr>
                <w:b/>
                <w:sz w:val="24"/>
              </w:rPr>
              <w:t>总得分</w:t>
            </w:r>
          </w:p>
        </w:tc>
        <w:tc>
          <w:tcPr>
            <w:tcW w:w="7380" w:type="dxa"/>
            <w:gridSpan w:val="2"/>
          </w:tcPr>
          <w:p>
            <w:pPr>
              <w:pStyle w:val="15"/>
              <w:spacing w:before="166"/>
              <w:ind w:left="1570" w:right="1560"/>
              <w:jc w:val="center"/>
              <w:rPr>
                <w:sz w:val="24"/>
              </w:rPr>
            </w:pPr>
            <w:r>
              <w:rPr>
                <w:sz w:val="24"/>
              </w:rPr>
              <w:t>投标人总得分=价格分＋商务分＋技术分</w:t>
            </w:r>
          </w:p>
        </w:tc>
        <w:tc>
          <w:tcPr>
            <w:tcW w:w="733" w:type="dxa"/>
          </w:tcPr>
          <w:p>
            <w:pPr>
              <w:pStyle w:val="15"/>
              <w:spacing w:before="142"/>
              <w:ind w:right="174"/>
              <w:jc w:val="right"/>
              <w:rPr>
                <w:sz w:val="24"/>
              </w:rPr>
            </w:pPr>
            <w:r>
              <w:rPr>
                <w:sz w:val="24"/>
              </w:rPr>
              <w:t>100</w:t>
            </w:r>
          </w:p>
        </w:tc>
      </w:tr>
    </w:tbl>
    <w:p>
      <w:pPr>
        <w:spacing w:before="96" w:line="336" w:lineRule="auto"/>
        <w:ind w:left="100" w:right="3909" w:firstLine="480"/>
        <w:jc w:val="left"/>
        <w:rPr>
          <w:b/>
          <w:sz w:val="24"/>
        </w:rPr>
      </w:pPr>
      <w:r>
        <w:rPr>
          <w:sz w:val="24"/>
        </w:rPr>
        <w:t xml:space="preserve">（二）计分办法（评分分值保留至小数点后两位）： </w:t>
      </w:r>
      <w:r>
        <w:rPr>
          <w:b/>
          <w:sz w:val="24"/>
        </w:rPr>
        <w:t>三、中标候选人推荐原则</w:t>
      </w:r>
    </w:p>
    <w:p>
      <w:pPr>
        <w:pStyle w:val="7"/>
        <w:spacing w:line="282" w:lineRule="exact"/>
        <w:ind w:left="580"/>
      </w:pPr>
      <w:r>
        <w:t>评标委员会将根据总得分由高到低排列次序（总得分相同时，以投标报价由低到高顺序</w:t>
      </w:r>
    </w:p>
    <w:p>
      <w:pPr>
        <w:pStyle w:val="7"/>
        <w:spacing w:before="98" w:line="316" w:lineRule="auto"/>
        <w:ind w:left="100" w:right="159"/>
        <w:jc w:val="both"/>
      </w:pPr>
      <w:r>
        <w:t>排列；总得分相同且投标报价相同的，按技术方案分由高到低顺序排列；总得分相同、投标报价相同且技术方案分相同的，按服务方案分由高到低顺序排列）并推荐三名中标候选供应商。招标人应当确定评审委员会推荐排名第一的中标候选人为中标人。排名第一的中标候选人放弃中标、因不可抗力提出不能履行合同，招标人可以确定排名第二的中标候选人为中标人。排名第二的中标候选人因前款规定的同样原因不能签订合同的，招标人可以确定排名第三的中标候选人为中标人。</w:t>
      </w:r>
    </w:p>
    <w:p>
      <w:pPr>
        <w:pStyle w:val="7"/>
        <w:spacing w:line="316" w:lineRule="auto"/>
        <w:ind w:left="100" w:right="257" w:firstLine="530"/>
      </w:pPr>
      <w:r>
        <w:rPr>
          <w:spacing w:val="-1"/>
        </w:rPr>
        <w:t>注：如招标文件存在《广西壮族自治区政府采购当事人行为规则》下列的情形，评标委</w:t>
      </w:r>
      <w:r>
        <w:rPr>
          <w:spacing w:val="-8"/>
        </w:rPr>
        <w:t>员会不得作为评审依据：招标代理机构不得在招标文件中列入限制、排斥潜在供应商的商务、技术条款；不得为迎合招标人列入单一品牌的规格技术标准及其他有违公平竞争的条款；不得以不合理的注册资本金、销售业绩及资格条件等条款对潜在供应商实行歧视或差别待遇。</w:t>
      </w:r>
    </w:p>
    <w:p>
      <w:pPr>
        <w:spacing w:after="0" w:line="316" w:lineRule="auto"/>
        <w:sectPr>
          <w:pgSz w:w="11910" w:h="16840"/>
          <w:pgMar w:top="1140" w:right="920" w:bottom="940" w:left="980" w:header="900" w:footer="757" w:gutter="0"/>
          <w:pgNumType w:fmt="decimal"/>
        </w:sectPr>
      </w:pPr>
    </w:p>
    <w:p>
      <w:pPr>
        <w:pStyle w:val="7"/>
        <w:spacing w:before="6"/>
        <w:rPr>
          <w:sz w:val="20"/>
        </w:rPr>
      </w:pPr>
    </w:p>
    <w:p>
      <w:pPr>
        <w:pStyle w:val="3"/>
        <w:tabs>
          <w:tab w:val="left" w:pos="1995"/>
        </w:tabs>
        <w:spacing w:before="54" w:line="407" w:lineRule="exact"/>
        <w:ind w:left="579"/>
        <w:jc w:val="center"/>
      </w:pPr>
      <w:r>
        <w:t>第五章</w:t>
      </w:r>
      <w:r>
        <w:tab/>
      </w:r>
      <w:r>
        <w:t>合同主要条款格式（供参考）</w:t>
      </w:r>
    </w:p>
    <w:p>
      <w:pPr>
        <w:spacing w:before="0" w:line="407" w:lineRule="exact"/>
        <w:ind w:left="745" w:right="329" w:firstLine="0"/>
        <w:jc w:val="center"/>
        <w:rPr>
          <w:b/>
          <w:sz w:val="32"/>
        </w:rPr>
      </w:pPr>
      <w:r>
        <w:rPr>
          <w:b/>
          <w:sz w:val="32"/>
        </w:rPr>
        <w:t>《广西壮族自治区政府采购合同》</w:t>
      </w:r>
    </w:p>
    <w:p>
      <w:pPr>
        <w:spacing w:before="91"/>
        <w:ind w:left="5644" w:right="0" w:firstLine="0"/>
        <w:jc w:val="left"/>
        <w:rPr>
          <w:sz w:val="21"/>
        </w:rPr>
      </w:pPr>
      <w:r>
        <w:rPr>
          <w:sz w:val="21"/>
        </w:rPr>
        <w:t>合同编号：</w:t>
      </w:r>
    </w:p>
    <w:p>
      <w:pPr>
        <w:pStyle w:val="7"/>
        <w:tabs>
          <w:tab w:val="left" w:pos="5432"/>
        </w:tabs>
        <w:spacing w:before="4"/>
        <w:ind w:left="392"/>
      </w:pPr>
      <w:r>
        <w:t>采购单位（甲方）</w:t>
      </w:r>
      <w:r>
        <w:tab/>
      </w:r>
      <w:r>
        <w:rPr>
          <w:spacing w:val="40"/>
        </w:rPr>
        <w:t>采</w:t>
      </w:r>
      <w:r>
        <w:rPr>
          <w:spacing w:val="38"/>
        </w:rPr>
        <w:t>购计划</w:t>
      </w:r>
      <w:r>
        <w:rPr>
          <w:spacing w:val="-41"/>
        </w:rPr>
        <w:t>号</w:t>
      </w:r>
      <w:r>
        <w:t>：</w:t>
      </w:r>
    </w:p>
    <w:p>
      <w:pPr>
        <w:pStyle w:val="7"/>
        <w:tabs>
          <w:tab w:val="left" w:pos="5552"/>
        </w:tabs>
        <w:spacing w:before="119"/>
        <w:ind w:left="392"/>
      </w:pPr>
      <w:r>
        <w:t>供应商（乙方）</w:t>
      </w:r>
      <w:r>
        <w:tab/>
      </w:r>
      <w:r>
        <w:t>招标编</w:t>
      </w:r>
      <w:r>
        <w:rPr>
          <w:spacing w:val="-41"/>
        </w:rPr>
        <w:t>号</w:t>
      </w:r>
      <w:r>
        <w:t>：</w:t>
      </w:r>
    </w:p>
    <w:p>
      <w:pPr>
        <w:pStyle w:val="7"/>
        <w:tabs>
          <w:tab w:val="left" w:pos="5432"/>
        </w:tabs>
        <w:spacing w:before="118"/>
        <w:ind w:left="392"/>
      </w:pPr>
      <w:r>
        <w:t>签订地点</w:t>
      </w:r>
      <w:r>
        <w:tab/>
      </w:r>
      <w:r>
        <w:t>签订时间</w:t>
      </w:r>
    </w:p>
    <w:p>
      <w:pPr>
        <w:pStyle w:val="7"/>
        <w:spacing w:before="117" w:line="316" w:lineRule="auto"/>
        <w:ind w:left="100" w:right="309" w:firstLine="480"/>
      </w:pPr>
      <w:r>
        <w:t>根据《中华人民共和国政府采购法》、《中华人民共和国合同法》等法律、法规规定， 按照招标文件规定条款和中标供应商承诺，甲乙双方签订本合同。</w:t>
      </w:r>
    </w:p>
    <w:p>
      <w:pPr>
        <w:pStyle w:val="6"/>
        <w:spacing w:line="304" w:lineRule="exact"/>
      </w:pPr>
      <w:r>
        <w:t>第一条</w:t>
      </w:r>
    </w:p>
    <w:p>
      <w:pPr>
        <w:pStyle w:val="7"/>
        <w:tabs>
          <w:tab w:val="left" w:pos="2859"/>
          <w:tab w:val="left" w:pos="8379"/>
          <w:tab w:val="left" w:pos="9907"/>
        </w:tabs>
        <w:spacing w:before="192"/>
        <w:ind w:left="820"/>
        <w:rPr>
          <w:rFonts w:ascii="Times New Roman" w:hAnsi="Times New Roman" w:eastAsia="Times New Roman"/>
        </w:rPr>
      </w:pPr>
      <w:r>
        <w:rPr>
          <w:rFonts w:hint="eastAsia"/>
          <w:u w:val="single"/>
          <w:lang w:eastAsia="zh-CN"/>
        </w:rPr>
        <w:t>博白县自然资源局</w:t>
      </w:r>
      <w:r>
        <w:rPr>
          <w:u w:val="single"/>
        </w:rPr>
        <w:tab/>
      </w:r>
      <w:r>
        <w:t>（以下称“甲方”）将规划修编项目</w:t>
      </w:r>
      <w:r>
        <w:rPr>
          <w:u w:val="single"/>
        </w:rPr>
        <w:t>《</w:t>
      </w:r>
      <w:r>
        <w:rPr>
          <w:u w:val="single"/>
        </w:rPr>
        <w:tab/>
      </w:r>
      <w:r>
        <w:rPr>
          <w:u w:val="single"/>
        </w:rPr>
        <w:t>》</w:t>
      </w:r>
      <w:r>
        <w:t>委托</w:t>
      </w:r>
      <w:r>
        <w:rPr>
          <w:rFonts w:ascii="Times New Roman" w:hAnsi="Times New Roman" w:eastAsia="Times New Roman"/>
          <w:u w:val="single"/>
        </w:rPr>
        <w:t xml:space="preserve"> </w:t>
      </w:r>
      <w:r>
        <w:rPr>
          <w:rFonts w:ascii="Times New Roman" w:hAnsi="Times New Roman" w:eastAsia="Times New Roman"/>
          <w:u w:val="single"/>
        </w:rPr>
        <w:tab/>
      </w:r>
    </w:p>
    <w:p>
      <w:pPr>
        <w:pStyle w:val="7"/>
        <w:spacing w:before="2" w:line="242" w:lineRule="auto"/>
        <w:ind w:left="820" w:right="309"/>
      </w:pPr>
      <w:r>
        <w:t>（以下称“乙方”）研究。为此，双方经协商，签订本合同，明确各自的权利义和有关事项。</w:t>
      </w:r>
    </w:p>
    <w:p>
      <w:pPr>
        <w:pStyle w:val="6"/>
        <w:spacing w:before="96"/>
        <w:ind w:left="100"/>
      </w:pPr>
      <w:r>
        <w:t>第二条</w:t>
      </w:r>
    </w:p>
    <w:p>
      <w:pPr>
        <w:pStyle w:val="7"/>
        <w:spacing w:before="96" w:line="316" w:lineRule="auto"/>
        <w:ind w:left="100" w:right="171" w:firstLine="448"/>
      </w:pPr>
      <w:r>
        <w:rPr>
          <w:spacing w:val="-10"/>
        </w:rPr>
        <w:t>在签订本协议之前，乙方应当按照投标文件中提出的本项目的编制计划，经甲方同意后，作为本合同的附件。</w:t>
      </w:r>
    </w:p>
    <w:p>
      <w:pPr>
        <w:pStyle w:val="6"/>
        <w:spacing w:line="307" w:lineRule="exact"/>
      </w:pPr>
      <w:r>
        <w:t>第三条</w:t>
      </w:r>
    </w:p>
    <w:p>
      <w:pPr>
        <w:pStyle w:val="7"/>
        <w:spacing w:before="96"/>
        <w:ind w:left="580"/>
      </w:pPr>
      <w:r>
        <w:t>乙方应按下列时间要求完成项目编制工作：</w:t>
      </w:r>
    </w:p>
    <w:p>
      <w:pPr>
        <w:pStyle w:val="7"/>
        <w:tabs>
          <w:tab w:val="left" w:pos="2739"/>
          <w:tab w:val="left" w:pos="3219"/>
          <w:tab w:val="left" w:pos="3699"/>
        </w:tabs>
        <w:spacing w:before="98" w:line="314" w:lineRule="auto"/>
        <w:ind w:left="100" w:right="189" w:firstLine="360"/>
      </w:pPr>
      <w:r>
        <w:t>（一）乙方应在</w:t>
      </w:r>
      <w:r>
        <w:rPr>
          <w:rFonts w:hint="eastAsia"/>
          <w:lang w:val="en-US" w:eastAsia="zh-CN"/>
        </w:rPr>
        <w:t>2020</w:t>
      </w:r>
      <w:r>
        <w:t>年</w:t>
      </w:r>
      <w:r>
        <w:rPr>
          <w:rFonts w:hint="eastAsia"/>
          <w:lang w:val="en-US" w:eastAsia="zh-CN"/>
        </w:rPr>
        <w:t xml:space="preserve">   </w:t>
      </w:r>
      <w:r>
        <w:t>月</w:t>
      </w:r>
      <w:r>
        <w:tab/>
      </w:r>
      <w:r>
        <w:t>日 之前，按要求基本完成项目编制，向甲方提交项目初</w:t>
      </w:r>
      <w:r>
        <w:rPr>
          <w:spacing w:val="-18"/>
        </w:rPr>
        <w:t>步</w:t>
      </w:r>
      <w:r>
        <w:t>成果。</w:t>
      </w:r>
    </w:p>
    <w:p>
      <w:pPr>
        <w:pStyle w:val="7"/>
        <w:tabs>
          <w:tab w:val="left" w:pos="7187"/>
        </w:tabs>
        <w:spacing w:before="3" w:line="314" w:lineRule="auto"/>
        <w:ind w:left="100" w:right="213" w:firstLine="480"/>
      </w:pPr>
      <w:r>
        <w:t>（二</w:t>
      </w:r>
      <w:r>
        <w:rPr>
          <w:spacing w:val="-15"/>
        </w:rPr>
        <w:t>）</w:t>
      </w:r>
      <w:r>
        <w:t>甲方对初步成果提出修改</w:t>
      </w:r>
      <w:r>
        <w:rPr>
          <w:spacing w:val="-17"/>
        </w:rPr>
        <w:t>、</w:t>
      </w:r>
      <w:r>
        <w:t>补充意见后</w:t>
      </w:r>
      <w:r>
        <w:rPr>
          <w:spacing w:val="-17"/>
        </w:rPr>
        <w:t>，</w:t>
      </w:r>
      <w:r>
        <w:t>乙方应在</w:t>
      </w:r>
      <w:r>
        <w:rPr>
          <w:u w:val="single"/>
        </w:rPr>
        <w:t xml:space="preserve"> </w:t>
      </w:r>
      <w:r>
        <w:rPr>
          <w:u w:val="single"/>
        </w:rPr>
        <w:tab/>
      </w:r>
      <w:r>
        <w:t>日内完成修改</w:t>
      </w:r>
      <w:r>
        <w:rPr>
          <w:spacing w:val="-15"/>
        </w:rPr>
        <w:t>、</w:t>
      </w:r>
      <w:r>
        <w:t>补充</w:t>
      </w:r>
      <w:r>
        <w:rPr>
          <w:spacing w:val="-17"/>
        </w:rPr>
        <w:t>，</w:t>
      </w:r>
      <w:r>
        <w:rPr>
          <w:spacing w:val="-18"/>
        </w:rPr>
        <w:t>并</w:t>
      </w:r>
      <w:r>
        <w:rPr>
          <w:spacing w:val="-20"/>
        </w:rPr>
        <w:t>提</w:t>
      </w:r>
      <w:r>
        <w:t>交项目最终成果草案。</w:t>
      </w:r>
    </w:p>
    <w:p>
      <w:pPr>
        <w:pStyle w:val="7"/>
        <w:tabs>
          <w:tab w:val="left" w:pos="9231"/>
        </w:tabs>
        <w:spacing w:before="3" w:line="316" w:lineRule="auto"/>
        <w:ind w:left="100" w:right="776" w:firstLine="480"/>
      </w:pPr>
      <w:r>
        <w:rPr>
          <w:spacing w:val="-1"/>
        </w:rPr>
        <w:t>（</w:t>
      </w:r>
      <w:r>
        <w:t>三</w:t>
      </w:r>
      <w:r>
        <w:rPr>
          <w:spacing w:val="-27"/>
        </w:rPr>
        <w:t>）</w:t>
      </w:r>
      <w:r>
        <w:t>专家评审组在最终审定中对项目成果提出修改</w:t>
      </w:r>
      <w:r>
        <w:rPr>
          <w:spacing w:val="-29"/>
        </w:rPr>
        <w:t>、</w:t>
      </w:r>
      <w:r>
        <w:t>补充意见的</w:t>
      </w:r>
      <w:r>
        <w:rPr>
          <w:spacing w:val="-27"/>
        </w:rPr>
        <w:t>，</w:t>
      </w:r>
      <w:r>
        <w:t>乙方应在</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 xml:space="preserve"> </w:t>
      </w:r>
      <w:r>
        <w:t>日之</w:t>
      </w:r>
      <w:r>
        <w:rPr>
          <w:spacing w:val="-17"/>
        </w:rPr>
        <w:t>内</w:t>
      </w:r>
      <w:r>
        <w:t>完成修改、补充工作。</w:t>
      </w:r>
    </w:p>
    <w:p>
      <w:pPr>
        <w:pStyle w:val="6"/>
        <w:spacing w:before="4"/>
        <w:ind w:left="555"/>
      </w:pPr>
      <w:r>
        <w:t>第四条</w:t>
      </w:r>
    </w:p>
    <w:p>
      <w:pPr>
        <w:pStyle w:val="7"/>
        <w:spacing w:before="89"/>
        <w:ind w:left="565"/>
      </w:pPr>
      <w:r>
        <w:t>甲方有权对乙方是否按照预定的进度开展项目编制工作的情况进行检查、督促。</w:t>
      </w:r>
    </w:p>
    <w:p>
      <w:pPr>
        <w:pStyle w:val="6"/>
        <w:spacing w:before="191"/>
      </w:pPr>
      <w:r>
        <w:rPr>
          <w:w w:val="95"/>
        </w:rPr>
        <w:t>第五条</w:t>
      </w:r>
    </w:p>
    <w:p>
      <w:pPr>
        <w:pStyle w:val="7"/>
        <w:spacing w:before="96" w:line="316" w:lineRule="auto"/>
        <w:ind w:left="570" w:right="2511" w:hanging="5"/>
        <w:rPr>
          <w:b/>
        </w:rPr>
      </w:pPr>
      <w:r>
        <w:rPr>
          <w:spacing w:val="-4"/>
        </w:rPr>
        <w:t>乙方对最终成果应当以纸质材料并附电子数据的形式向甲方提供。</w:t>
      </w:r>
      <w:r>
        <w:rPr>
          <w:b/>
        </w:rPr>
        <w:t>第六条</w:t>
      </w:r>
    </w:p>
    <w:p>
      <w:pPr>
        <w:pStyle w:val="7"/>
        <w:spacing w:before="2"/>
        <w:ind w:left="580"/>
      </w:pPr>
      <w:r>
        <w:t>（一）乙方所提供的技术服务质量必须与招投标文件和承诺相一致。</w:t>
      </w:r>
    </w:p>
    <w:p>
      <w:pPr>
        <w:pStyle w:val="7"/>
        <w:spacing w:before="88"/>
        <w:ind w:left="580"/>
      </w:pPr>
      <w:r>
        <w:t>（二）乙方提供不符合招投标文件和本合同规定的服务成果，甲方有权拒绝接受。</w:t>
      </w:r>
    </w:p>
    <w:p>
      <w:pPr>
        <w:pStyle w:val="7"/>
        <w:spacing w:before="96" w:line="316" w:lineRule="auto"/>
        <w:ind w:left="100" w:right="309" w:firstLine="480"/>
      </w:pPr>
      <w:r>
        <w:t>（三）乙方应对提交的服务成果（设计文件）作出全面检查和整理，并列出清单，作为甲方验收和使用的技术条件依据，清单应随提交的服务成果交给甲方。</w:t>
      </w:r>
    </w:p>
    <w:p>
      <w:pPr>
        <w:pStyle w:val="7"/>
        <w:spacing w:line="314" w:lineRule="auto"/>
        <w:ind w:left="100" w:right="309" w:firstLine="480"/>
      </w:pPr>
      <w:r>
        <w:t>（四）乙方应按要求提交服务成果（设计文件）材料，如有缺失应及时补齐，否则视为逾期交付</w:t>
      </w:r>
    </w:p>
    <w:p>
      <w:pPr>
        <w:spacing w:after="0" w:line="314" w:lineRule="auto"/>
        <w:sectPr>
          <w:pgSz w:w="11910" w:h="16840"/>
          <w:pgMar w:top="1140" w:right="920" w:bottom="940" w:left="980" w:header="900" w:footer="757" w:gutter="0"/>
          <w:pgNumType w:fmt="decimal"/>
        </w:sectPr>
      </w:pPr>
    </w:p>
    <w:p>
      <w:pPr>
        <w:pStyle w:val="7"/>
        <w:spacing w:before="12"/>
        <w:rPr>
          <w:sz w:val="25"/>
        </w:rPr>
      </w:pPr>
    </w:p>
    <w:p>
      <w:pPr>
        <w:pStyle w:val="7"/>
        <w:spacing w:before="66" w:line="316" w:lineRule="auto"/>
        <w:ind w:left="100" w:right="159"/>
        <w:jc w:val="both"/>
      </w:pPr>
      <w:r>
        <w:t>（五）乙方在指定地点提交服务成果后，甲方应在七个工作日内进行验收，逾期不验收的， 乙方可视同验收合格。验收合格后由甲乙双方签署最终服务成果验收单并加盖采购单位公章，甲乙双方各执一份。</w:t>
      </w:r>
    </w:p>
    <w:p>
      <w:pPr>
        <w:pStyle w:val="7"/>
        <w:spacing w:line="316" w:lineRule="auto"/>
        <w:ind w:left="100" w:right="159" w:firstLine="480"/>
        <w:jc w:val="both"/>
      </w:pPr>
      <w:r>
        <w:t>（六）采购人委托招标代理机构组织的验收项目，其验收时间以该项目验收方案确定的验收时间为准，验收结果以该项目验收报告结论为准。在验收过程中发现乙方有违约问题， 可暂缓资金结算，待违约问题解决后，方可办理资金结算事宜。</w:t>
      </w:r>
    </w:p>
    <w:p>
      <w:pPr>
        <w:pStyle w:val="6"/>
        <w:spacing w:line="304" w:lineRule="exact"/>
      </w:pPr>
      <w:r>
        <w:t>第七条</w:t>
      </w:r>
    </w:p>
    <w:p>
      <w:pPr>
        <w:pStyle w:val="7"/>
        <w:spacing w:before="90" w:line="316" w:lineRule="auto"/>
        <w:ind w:left="100" w:right="159" w:firstLine="480"/>
        <w:jc w:val="both"/>
      </w:pPr>
      <w:r>
        <w:t>（一）乙方应保证所提供的最终服务成果（设计文件）不会侵犯任何第三方的专利权、商标权、工业设计权、著作权或其他权利。乙方应按招标文件规定的时间向甲方提供最终服务成果的有关技术资料。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7"/>
        <w:spacing w:line="316" w:lineRule="auto"/>
        <w:ind w:left="100" w:right="309" w:firstLine="480"/>
      </w:pPr>
      <w:r>
        <w:t xml:space="preserve">（二）乙方所交付的规划知识产权归甲方所有。甲方对该编制成果享有发表权和修改 </w:t>
      </w:r>
      <w:r>
        <w:rPr>
          <w:spacing w:val="-1"/>
        </w:rPr>
        <w:t>权。项目完成时间以专家评审组通过之日为完成日；不组织专家评审的项目，以甲方付清全</w:t>
      </w:r>
      <w:r>
        <w:t>部编制经费之日为完成日。</w:t>
      </w:r>
    </w:p>
    <w:p>
      <w:pPr>
        <w:pStyle w:val="6"/>
        <w:spacing w:line="304" w:lineRule="exact"/>
      </w:pPr>
      <w:r>
        <w:t>第八条</w:t>
      </w:r>
    </w:p>
    <w:p>
      <w:pPr>
        <w:pStyle w:val="7"/>
        <w:tabs>
          <w:tab w:val="left" w:pos="4595"/>
          <w:tab w:val="left" w:pos="6255"/>
        </w:tabs>
        <w:spacing w:before="92" w:line="316" w:lineRule="auto"/>
        <w:ind w:left="100" w:right="214" w:firstLine="480"/>
      </w:pPr>
      <w:r>
        <w:t>本项目的经费总额为人民币</w:t>
      </w:r>
      <w:r>
        <w:rPr>
          <w:u w:val="single"/>
        </w:rPr>
        <w:t xml:space="preserve"> </w:t>
      </w:r>
      <w:r>
        <w:rPr>
          <w:u w:val="single"/>
        </w:rPr>
        <w:tab/>
      </w:r>
      <w:r>
        <w:t>万</w:t>
      </w:r>
      <w:r>
        <w:rPr>
          <w:spacing w:val="-20"/>
        </w:rPr>
        <w:t>元</w:t>
      </w:r>
      <w:r>
        <w:t>（</w:t>
      </w:r>
      <w:r>
        <w:rPr>
          <w:u w:val="single"/>
        </w:rPr>
        <w:t>￥</w:t>
      </w:r>
      <w:r>
        <w:rPr>
          <w:u w:val="single"/>
        </w:rPr>
        <w:tab/>
      </w:r>
      <w:r>
        <w:t>元</w:t>
      </w:r>
      <w:r>
        <w:rPr>
          <w:spacing w:val="-22"/>
        </w:rPr>
        <w:t>），</w:t>
      </w:r>
      <w:r>
        <w:t>其中包括专家咨询费</w:t>
      </w:r>
      <w:r>
        <w:rPr>
          <w:spacing w:val="-20"/>
        </w:rPr>
        <w:t>、</w:t>
      </w:r>
      <w:r>
        <w:t>差</w:t>
      </w:r>
      <w:r>
        <w:rPr>
          <w:spacing w:val="-15"/>
        </w:rPr>
        <w:t>旅</w:t>
      </w:r>
      <w:r>
        <w:rPr>
          <w:spacing w:val="-17"/>
        </w:rPr>
        <w:t>费</w:t>
      </w:r>
      <w:r>
        <w:t>及专题审查费等。</w:t>
      </w:r>
    </w:p>
    <w:p>
      <w:pPr>
        <w:pStyle w:val="7"/>
        <w:spacing w:line="307" w:lineRule="exact"/>
        <w:ind w:left="580"/>
      </w:pPr>
      <w:r>
        <w:t>（一）本合同执行中相关的一切税费均由乙方负担。</w:t>
      </w:r>
    </w:p>
    <w:p>
      <w:pPr>
        <w:pStyle w:val="7"/>
        <w:spacing w:before="98" w:line="314" w:lineRule="auto"/>
        <w:ind w:left="100" w:right="909" w:firstLine="480"/>
        <w:rPr>
          <w:color w:val="auto"/>
        </w:rPr>
      </w:pPr>
      <w:r>
        <w:t>（二）</w:t>
      </w:r>
      <w:r>
        <w:rPr>
          <w:color w:val="auto"/>
        </w:rPr>
        <w:t>本合同签订后，由甲方在</w:t>
      </w:r>
      <w:r>
        <w:rPr>
          <w:rFonts w:hint="eastAsia"/>
          <w:color w:val="auto"/>
          <w:u w:val="single"/>
          <w:lang w:val="en-US" w:eastAsia="zh-CN"/>
        </w:rPr>
        <w:t xml:space="preserve">   </w:t>
      </w:r>
      <w:r>
        <w:rPr>
          <w:color w:val="auto"/>
        </w:rPr>
        <w:t>年</w:t>
      </w:r>
      <w:r>
        <w:rPr>
          <w:rFonts w:hint="eastAsia"/>
          <w:color w:val="auto"/>
          <w:u w:val="single"/>
          <w:lang w:val="en-US" w:eastAsia="zh-CN"/>
        </w:rPr>
        <w:t xml:space="preserve">   </w:t>
      </w:r>
      <w:r>
        <w:rPr>
          <w:rFonts w:hint="eastAsia"/>
          <w:color w:val="auto"/>
          <w:lang w:eastAsia="zh-CN"/>
        </w:rPr>
        <w:t>月</w:t>
      </w:r>
      <w:r>
        <w:rPr>
          <w:rFonts w:hint="eastAsia"/>
          <w:color w:val="auto"/>
          <w:u w:val="single"/>
          <w:lang w:val="en-US" w:eastAsia="zh-CN"/>
        </w:rPr>
        <w:t xml:space="preserve">  </w:t>
      </w:r>
      <w:r>
        <w:rPr>
          <w:rFonts w:hint="eastAsia"/>
          <w:color w:val="auto"/>
          <w:lang w:val="en-US" w:eastAsia="zh-CN"/>
        </w:rPr>
        <w:t>日</w:t>
      </w:r>
      <w:r>
        <w:rPr>
          <w:color w:val="auto"/>
        </w:rPr>
        <w:t>前支付合同总额的</w:t>
      </w:r>
      <w:r>
        <w:rPr>
          <w:rFonts w:hint="eastAsia"/>
          <w:color w:val="auto"/>
          <w:u w:val="single"/>
          <w:lang w:val="en-US" w:eastAsia="zh-CN"/>
        </w:rPr>
        <w:t xml:space="preserve">    </w:t>
      </w:r>
      <w:r>
        <w:rPr>
          <w:color w:val="auto"/>
        </w:rPr>
        <w:t>，</w:t>
      </w:r>
      <w:r>
        <w:rPr>
          <w:color w:val="auto"/>
          <w:spacing w:val="-3"/>
        </w:rPr>
        <w:t>其成果材料须本</w:t>
      </w:r>
      <w:r>
        <w:rPr>
          <w:color w:val="auto"/>
        </w:rPr>
        <w:t>项目的要求按时完成，</w:t>
      </w:r>
      <w:r>
        <w:rPr>
          <w:rFonts w:hint="eastAsia"/>
          <w:color w:val="auto"/>
          <w:u w:val="single"/>
          <w:lang w:val="en-US" w:eastAsia="zh-CN"/>
        </w:rPr>
        <w:t xml:space="preserve">    </w:t>
      </w:r>
      <w:r>
        <w:rPr>
          <w:color w:val="auto"/>
        </w:rPr>
        <w:t>年</w:t>
      </w:r>
      <w:r>
        <w:rPr>
          <w:rFonts w:hint="eastAsia"/>
          <w:color w:val="auto"/>
          <w:u w:val="single"/>
          <w:lang w:val="en-US" w:eastAsia="zh-CN"/>
        </w:rPr>
        <w:t xml:space="preserve">   </w:t>
      </w:r>
      <w:r>
        <w:rPr>
          <w:rFonts w:hint="eastAsia"/>
          <w:color w:val="auto"/>
          <w:lang w:val="en-US" w:eastAsia="zh-CN"/>
        </w:rPr>
        <w:t>月</w:t>
      </w:r>
      <w:r>
        <w:rPr>
          <w:rFonts w:hint="eastAsia"/>
          <w:color w:val="auto"/>
          <w:u w:val="single"/>
          <w:lang w:val="en-US" w:eastAsia="zh-CN"/>
        </w:rPr>
        <w:t xml:space="preserve">   </w:t>
      </w:r>
      <w:r>
        <w:rPr>
          <w:rFonts w:hint="eastAsia"/>
          <w:color w:val="auto"/>
          <w:lang w:val="en-US" w:eastAsia="zh-CN"/>
        </w:rPr>
        <w:t>日</w:t>
      </w:r>
      <w:r>
        <w:rPr>
          <w:color w:val="auto"/>
        </w:rPr>
        <w:t>前全部付清项目合同款。</w:t>
      </w:r>
    </w:p>
    <w:p>
      <w:pPr>
        <w:pStyle w:val="6"/>
        <w:spacing w:before="97"/>
        <w:ind w:left="580"/>
      </w:pPr>
      <w:r>
        <w:t>第九条</w:t>
      </w:r>
    </w:p>
    <w:p>
      <w:pPr>
        <w:pStyle w:val="7"/>
        <w:spacing w:before="98" w:line="316" w:lineRule="auto"/>
        <w:ind w:left="100" w:right="309" w:firstLine="480"/>
      </w:pPr>
      <w:r>
        <w:t>（一）乙方应按招标文件规定的服务内容、技术要求、质量标准向甲方提供无瑕疵的服务成果。乙方对提交的最终服务成果质量负责，自成果验收合同之日起，质量保质期1年。</w:t>
      </w:r>
    </w:p>
    <w:p>
      <w:pPr>
        <w:pStyle w:val="7"/>
        <w:spacing w:line="316" w:lineRule="auto"/>
        <w:ind w:left="100" w:right="309" w:firstLine="480"/>
      </w:pPr>
      <w:r>
        <w:t>（二）如在使用过程中发生质量问题，乙方在接到甲方通知后在24小时内到达甲方现场处理。</w:t>
      </w:r>
    </w:p>
    <w:p>
      <w:pPr>
        <w:pStyle w:val="7"/>
        <w:spacing w:line="314" w:lineRule="auto"/>
        <w:ind w:left="580" w:right="353"/>
        <w:rPr>
          <w:b/>
        </w:rPr>
      </w:pPr>
      <w:r>
        <w:t>（三</w:t>
      </w:r>
      <w:r>
        <w:rPr>
          <w:spacing w:val="-41"/>
        </w:rPr>
        <w:t>）</w:t>
      </w:r>
      <w:r>
        <w:rPr>
          <w:spacing w:val="-8"/>
        </w:rPr>
        <w:t>在质保期内，乙方应对设计成果的质量及安全问题负责处理解决并承担一切费用。</w:t>
      </w:r>
      <w:r>
        <w:rPr>
          <w:b/>
          <w:spacing w:val="-8"/>
        </w:rPr>
        <w:t>第十条</w:t>
      </w:r>
    </w:p>
    <w:p>
      <w:pPr>
        <w:pStyle w:val="7"/>
        <w:ind w:left="580"/>
      </w:pPr>
      <w:r>
        <w:t>甲方或者乙方如违反合同约定的，分别按下列规定承担违约责任：</w:t>
      </w:r>
    </w:p>
    <w:p>
      <w:pPr>
        <w:pStyle w:val="7"/>
        <w:spacing w:before="95" w:line="314" w:lineRule="auto"/>
        <w:ind w:left="100" w:right="309" w:firstLine="480"/>
      </w:pPr>
      <w:r>
        <w:t>（一）甲方违反本合同约定，延迟支付项目经费的，乙方可以终止项目编制，并要求甲方向乙方支付已开展工作的相应费用。</w:t>
      </w:r>
    </w:p>
    <w:p>
      <w:pPr>
        <w:pStyle w:val="7"/>
        <w:tabs>
          <w:tab w:val="left" w:pos="1539"/>
        </w:tabs>
        <w:spacing w:before="4"/>
        <w:ind w:left="580"/>
      </w:pPr>
      <w:r>
        <w:t>（二）</w:t>
      </w:r>
      <w:r>
        <w:tab/>
      </w:r>
      <w:r>
        <w:t>乙方违反合同约定，或项目成果不符合要求的，按以下规定处理：</w:t>
      </w:r>
    </w:p>
    <w:p>
      <w:pPr>
        <w:pStyle w:val="14"/>
        <w:numPr>
          <w:ilvl w:val="0"/>
          <w:numId w:val="31"/>
        </w:numPr>
        <w:tabs>
          <w:tab w:val="left" w:pos="1165"/>
        </w:tabs>
        <w:spacing w:before="95" w:after="0" w:line="316" w:lineRule="auto"/>
        <w:ind w:left="100" w:right="240" w:firstLine="465"/>
        <w:jc w:val="left"/>
        <w:rPr>
          <w:sz w:val="24"/>
        </w:rPr>
      </w:pPr>
      <w:r>
        <w:rPr>
          <w:spacing w:val="-3"/>
          <w:sz w:val="24"/>
        </w:rPr>
        <w:t>未经甲方同意，乙方延迟提交项目成果情况突出的，甲方可以终止委托合同，收回部分或者全部已支付的费用；</w:t>
      </w:r>
    </w:p>
    <w:p>
      <w:pPr>
        <w:spacing w:after="0" w:line="316" w:lineRule="auto"/>
        <w:jc w:val="left"/>
        <w:rPr>
          <w:sz w:val="24"/>
        </w:rPr>
        <w:sectPr>
          <w:pgSz w:w="11910" w:h="16840"/>
          <w:pgMar w:top="1140" w:right="920" w:bottom="940" w:left="980" w:header="900" w:footer="757" w:gutter="0"/>
          <w:pgNumType w:fmt="decimal"/>
        </w:sectPr>
      </w:pPr>
    </w:p>
    <w:p>
      <w:pPr>
        <w:pStyle w:val="7"/>
        <w:spacing w:before="3"/>
        <w:rPr>
          <w:sz w:val="18"/>
        </w:rPr>
      </w:pPr>
    </w:p>
    <w:p>
      <w:pPr>
        <w:pStyle w:val="14"/>
        <w:numPr>
          <w:ilvl w:val="0"/>
          <w:numId w:val="31"/>
        </w:numPr>
        <w:tabs>
          <w:tab w:val="left" w:pos="1181"/>
        </w:tabs>
        <w:spacing w:before="67" w:after="0" w:line="316" w:lineRule="auto"/>
        <w:ind w:left="100" w:right="252" w:firstLine="480"/>
        <w:jc w:val="both"/>
        <w:rPr>
          <w:sz w:val="24"/>
        </w:rPr>
      </w:pPr>
      <w:r>
        <w:rPr>
          <w:spacing w:val="-6"/>
          <w:sz w:val="24"/>
        </w:rPr>
        <w:t>乙方所提供的技术服务、技术标准、材料等质量不合格的，应及时补充或修改，未</w:t>
      </w:r>
      <w:r>
        <w:rPr>
          <w:sz w:val="24"/>
        </w:rPr>
        <w:t>及时补充或修改的按逾期提交服务成果处罚；因质量问题甲方不同意接收的或特殊情况甲方同意接收的，乙方应向甲方支付合同总金额的</w:t>
      </w:r>
      <w:r>
        <w:rPr>
          <w:sz w:val="24"/>
          <w:u w:val="single"/>
        </w:rPr>
        <w:t xml:space="preserve"> %作为</w:t>
      </w:r>
      <w:r>
        <w:rPr>
          <w:sz w:val="24"/>
        </w:rPr>
        <w:t>违约金并赔偿甲方经济损失。</w:t>
      </w:r>
    </w:p>
    <w:p>
      <w:pPr>
        <w:pStyle w:val="14"/>
        <w:numPr>
          <w:ilvl w:val="0"/>
          <w:numId w:val="31"/>
        </w:numPr>
        <w:tabs>
          <w:tab w:val="left" w:pos="1188"/>
          <w:tab w:val="left" w:pos="8139"/>
          <w:tab w:val="left" w:pos="9171"/>
        </w:tabs>
        <w:spacing w:before="0" w:after="0" w:line="316" w:lineRule="auto"/>
        <w:ind w:left="100" w:right="135" w:firstLine="480"/>
        <w:jc w:val="both"/>
        <w:rPr>
          <w:sz w:val="24"/>
        </w:rPr>
      </w:pPr>
      <w:r>
        <w:rPr>
          <w:sz w:val="24"/>
        </w:rPr>
        <w:t>乙方提供的设计成果如侵犯了第三方合法权益而引发的任何纠纷或诉讼</w:t>
      </w:r>
      <w:r>
        <w:rPr>
          <w:spacing w:val="-41"/>
          <w:sz w:val="24"/>
        </w:rPr>
        <w:t>，</w:t>
      </w:r>
      <w:r>
        <w:rPr>
          <w:sz w:val="24"/>
        </w:rPr>
        <w:t>均由乙方负责交</w:t>
      </w:r>
      <w:r>
        <w:rPr>
          <w:spacing w:val="-27"/>
          <w:sz w:val="24"/>
        </w:rPr>
        <w:t>。</w:t>
      </w:r>
      <w:r>
        <w:rPr>
          <w:sz w:val="24"/>
        </w:rPr>
        <w:t>乙方逾期交付服务成果的</w:t>
      </w:r>
      <w:r>
        <w:rPr>
          <w:spacing w:val="-29"/>
          <w:sz w:val="24"/>
        </w:rPr>
        <w:t>，</w:t>
      </w:r>
      <w:r>
        <w:rPr>
          <w:sz w:val="24"/>
        </w:rPr>
        <w:t>每天向对方偿付合同总金额的</w:t>
      </w:r>
      <w:r>
        <w:rPr>
          <w:sz w:val="24"/>
          <w:u w:val="single"/>
        </w:rPr>
        <w:t xml:space="preserve"> </w:t>
      </w:r>
      <w:r>
        <w:rPr>
          <w:sz w:val="24"/>
          <w:u w:val="single"/>
        </w:rPr>
        <w:tab/>
      </w:r>
      <w:r>
        <w:rPr>
          <w:spacing w:val="7"/>
          <w:sz w:val="24"/>
          <w:u w:val="single"/>
        </w:rPr>
        <w:t>‰</w:t>
      </w:r>
      <w:r>
        <w:rPr>
          <w:spacing w:val="9"/>
          <w:sz w:val="24"/>
          <w:u w:val="single"/>
        </w:rPr>
        <w:t>作为</w:t>
      </w:r>
      <w:r>
        <w:rPr>
          <w:spacing w:val="9"/>
          <w:sz w:val="24"/>
        </w:rPr>
        <w:t>违约</w:t>
      </w:r>
      <w:r>
        <w:rPr>
          <w:spacing w:val="7"/>
          <w:sz w:val="24"/>
        </w:rPr>
        <w:t>金</w:t>
      </w:r>
      <w:r>
        <w:rPr>
          <w:spacing w:val="-14"/>
          <w:sz w:val="24"/>
        </w:rPr>
        <w:t xml:space="preserve">， </w:t>
      </w:r>
      <w:r>
        <w:rPr>
          <w:spacing w:val="4"/>
          <w:sz w:val="24"/>
        </w:rPr>
        <w:t>但</w:t>
      </w:r>
      <w:r>
        <w:rPr>
          <w:sz w:val="24"/>
        </w:rPr>
        <w:t>违</w:t>
      </w:r>
      <w:r>
        <w:rPr>
          <w:spacing w:val="4"/>
          <w:sz w:val="24"/>
        </w:rPr>
        <w:t>约</w:t>
      </w:r>
      <w:r>
        <w:rPr>
          <w:spacing w:val="-12"/>
          <w:sz w:val="24"/>
        </w:rPr>
        <w:t>金</w:t>
      </w:r>
      <w:r>
        <w:rPr>
          <w:spacing w:val="4"/>
          <w:sz w:val="24"/>
        </w:rPr>
        <w:t>累</w:t>
      </w:r>
      <w:r>
        <w:rPr>
          <w:sz w:val="24"/>
        </w:rPr>
        <w:t>计</w:t>
      </w:r>
      <w:r>
        <w:rPr>
          <w:spacing w:val="4"/>
          <w:sz w:val="24"/>
        </w:rPr>
        <w:t>不得</w:t>
      </w:r>
      <w:r>
        <w:rPr>
          <w:sz w:val="24"/>
        </w:rPr>
        <w:t>超</w:t>
      </w:r>
      <w:r>
        <w:rPr>
          <w:spacing w:val="4"/>
          <w:sz w:val="24"/>
        </w:rPr>
        <w:t>过合</w:t>
      </w:r>
      <w:r>
        <w:rPr>
          <w:sz w:val="24"/>
        </w:rPr>
        <w:t>同</w:t>
      </w:r>
      <w:r>
        <w:rPr>
          <w:spacing w:val="4"/>
          <w:sz w:val="24"/>
        </w:rPr>
        <w:t>总金</w:t>
      </w:r>
      <w:r>
        <w:rPr>
          <w:sz w:val="24"/>
        </w:rPr>
        <w:t>额</w:t>
      </w:r>
      <w:r>
        <w:rPr>
          <w:spacing w:val="4"/>
          <w:sz w:val="24"/>
        </w:rPr>
        <w:t>的</w:t>
      </w:r>
      <w:r>
        <w:rPr>
          <w:spacing w:val="4"/>
          <w:sz w:val="24"/>
          <w:u w:val="single"/>
        </w:rPr>
        <w:t xml:space="preserve"> </w:t>
      </w:r>
      <w:r>
        <w:rPr>
          <w:spacing w:val="26"/>
          <w:sz w:val="24"/>
        </w:rPr>
        <w:t xml:space="preserve"> </w:t>
      </w:r>
      <w:r>
        <w:rPr>
          <w:spacing w:val="4"/>
          <w:sz w:val="24"/>
        </w:rPr>
        <w:t>%，</w:t>
      </w:r>
      <w:r>
        <w:rPr>
          <w:sz w:val="24"/>
        </w:rPr>
        <w:t>超</w:t>
      </w:r>
      <w:r>
        <w:rPr>
          <w:spacing w:val="4"/>
          <w:sz w:val="24"/>
        </w:rPr>
        <w:t>过</w:t>
      </w:r>
      <w:r>
        <w:rPr>
          <w:sz w:val="24"/>
        </w:rPr>
        <w:t>10</w:t>
      </w:r>
      <w:r>
        <w:rPr>
          <w:spacing w:val="4"/>
          <w:sz w:val="24"/>
        </w:rPr>
        <w:t>天</w:t>
      </w:r>
      <w:r>
        <w:rPr>
          <w:sz w:val="24"/>
        </w:rPr>
        <w:t>对</w:t>
      </w:r>
      <w:r>
        <w:rPr>
          <w:spacing w:val="4"/>
          <w:sz w:val="24"/>
        </w:rPr>
        <w:t>方有</w:t>
      </w:r>
      <w:r>
        <w:rPr>
          <w:sz w:val="24"/>
        </w:rPr>
        <w:t>权</w:t>
      </w:r>
      <w:r>
        <w:rPr>
          <w:spacing w:val="4"/>
          <w:sz w:val="24"/>
        </w:rPr>
        <w:t>解除</w:t>
      </w:r>
      <w:r>
        <w:rPr>
          <w:sz w:val="24"/>
        </w:rPr>
        <w:t>合</w:t>
      </w:r>
      <w:r>
        <w:rPr>
          <w:spacing w:val="4"/>
          <w:sz w:val="24"/>
        </w:rPr>
        <w:t>同，</w:t>
      </w:r>
      <w:r>
        <w:rPr>
          <w:sz w:val="24"/>
        </w:rPr>
        <w:t>违</w:t>
      </w:r>
      <w:r>
        <w:rPr>
          <w:spacing w:val="4"/>
          <w:sz w:val="24"/>
        </w:rPr>
        <w:t>约方</w:t>
      </w:r>
      <w:r>
        <w:rPr>
          <w:sz w:val="24"/>
        </w:rPr>
        <w:t>承</w:t>
      </w:r>
      <w:r>
        <w:rPr>
          <w:spacing w:val="4"/>
          <w:sz w:val="24"/>
        </w:rPr>
        <w:t>担因</w:t>
      </w:r>
      <w:r>
        <w:rPr>
          <w:sz w:val="24"/>
        </w:rPr>
        <w:t>此给对方造成的</w:t>
      </w:r>
      <w:r>
        <w:rPr>
          <w:spacing w:val="-10"/>
          <w:sz w:val="24"/>
        </w:rPr>
        <w:t>经</w:t>
      </w:r>
      <w:r>
        <w:rPr>
          <w:sz w:val="24"/>
        </w:rPr>
        <w:t>济损失</w:t>
      </w:r>
      <w:r>
        <w:rPr>
          <w:spacing w:val="-27"/>
          <w:sz w:val="24"/>
        </w:rPr>
        <w:t>；</w:t>
      </w:r>
      <w:r>
        <w:rPr>
          <w:sz w:val="24"/>
        </w:rPr>
        <w:t>甲方延期付服务款额的</w:t>
      </w:r>
      <w:r>
        <w:rPr>
          <w:spacing w:val="-29"/>
          <w:sz w:val="24"/>
        </w:rPr>
        <w:t>，</w:t>
      </w:r>
      <w:r>
        <w:rPr>
          <w:sz w:val="24"/>
        </w:rPr>
        <w:t>每天向乙方偿付合同总金额的</w:t>
      </w:r>
      <w:r>
        <w:rPr>
          <w:sz w:val="24"/>
          <w:u w:val="single"/>
        </w:rPr>
        <w:t xml:space="preserve"> </w:t>
      </w:r>
      <w:r>
        <w:rPr>
          <w:sz w:val="24"/>
          <w:u w:val="single"/>
        </w:rPr>
        <w:tab/>
      </w:r>
      <w:r>
        <w:rPr>
          <w:sz w:val="24"/>
          <w:u w:val="single"/>
        </w:rPr>
        <w:t>‰</w:t>
      </w:r>
      <w:r>
        <w:rPr>
          <w:spacing w:val="76"/>
          <w:sz w:val="24"/>
        </w:rPr>
        <w:t xml:space="preserve"> </w:t>
      </w:r>
      <w:r>
        <w:rPr>
          <w:sz w:val="24"/>
        </w:rPr>
        <w:t>作为滞纳金</w:t>
      </w:r>
      <w:r>
        <w:rPr>
          <w:spacing w:val="-27"/>
          <w:sz w:val="24"/>
        </w:rPr>
        <w:t>，</w:t>
      </w:r>
      <w:r>
        <w:rPr>
          <w:sz w:val="24"/>
        </w:rPr>
        <w:t>但滞纳金</w:t>
      </w:r>
      <w:r>
        <w:rPr>
          <w:spacing w:val="-17"/>
          <w:sz w:val="24"/>
        </w:rPr>
        <w:t>累</w:t>
      </w:r>
      <w:r>
        <w:rPr>
          <w:sz w:val="24"/>
        </w:rPr>
        <w:t>计不得超过合同总金额的</w:t>
      </w:r>
      <w:r>
        <w:rPr>
          <w:spacing w:val="119"/>
          <w:sz w:val="24"/>
        </w:rPr>
        <w:t xml:space="preserve"> </w:t>
      </w:r>
      <w:r>
        <w:rPr>
          <w:sz w:val="24"/>
        </w:rPr>
        <w:t>%。</w:t>
      </w:r>
    </w:p>
    <w:p>
      <w:pPr>
        <w:pStyle w:val="14"/>
        <w:numPr>
          <w:ilvl w:val="0"/>
          <w:numId w:val="32"/>
        </w:numPr>
        <w:tabs>
          <w:tab w:val="left" w:pos="1157"/>
        </w:tabs>
        <w:spacing w:before="0" w:after="0" w:line="314" w:lineRule="auto"/>
        <w:ind w:left="100" w:right="356" w:firstLine="463"/>
        <w:jc w:val="left"/>
        <w:rPr>
          <w:sz w:val="24"/>
        </w:rPr>
      </w:pPr>
      <w:r>
        <w:rPr>
          <w:spacing w:val="-5"/>
          <w:sz w:val="24"/>
        </w:rPr>
        <w:t>乙方提供的设计文件在质量保证期内，因设计、工艺或材料的缺陷和其它质量原因造成的问题，由乙方负责，费用从合同款中扣除，不足另补。</w:t>
      </w:r>
    </w:p>
    <w:p>
      <w:pPr>
        <w:pStyle w:val="14"/>
        <w:numPr>
          <w:ilvl w:val="0"/>
          <w:numId w:val="32"/>
        </w:numPr>
        <w:tabs>
          <w:tab w:val="left" w:pos="1169"/>
        </w:tabs>
        <w:spacing w:before="0" w:after="0" w:line="314" w:lineRule="auto"/>
        <w:ind w:left="100" w:right="273" w:firstLine="472"/>
        <w:jc w:val="left"/>
        <w:rPr>
          <w:sz w:val="24"/>
        </w:rPr>
      </w:pPr>
      <w:r>
        <w:rPr>
          <w:spacing w:val="-3"/>
          <w:sz w:val="24"/>
        </w:rPr>
        <w:t>乙方提交的项目成果经甲方初审或者专家评审未通过的，甲方对剩余经费可以不予</w:t>
      </w:r>
      <w:r>
        <w:rPr>
          <w:spacing w:val="-5"/>
          <w:sz w:val="24"/>
        </w:rPr>
        <w:t>支付或者只付部分。</w:t>
      </w:r>
    </w:p>
    <w:p>
      <w:pPr>
        <w:pStyle w:val="14"/>
        <w:numPr>
          <w:ilvl w:val="0"/>
          <w:numId w:val="32"/>
        </w:numPr>
        <w:tabs>
          <w:tab w:val="left" w:pos="1165"/>
        </w:tabs>
        <w:spacing w:before="1" w:after="0" w:line="316" w:lineRule="auto"/>
        <w:ind w:left="570" w:right="2868" w:hanging="5"/>
        <w:jc w:val="left"/>
        <w:rPr>
          <w:b/>
          <w:sz w:val="24"/>
        </w:rPr>
      </w:pPr>
      <w:r>
        <w:rPr>
          <w:spacing w:val="-3"/>
          <w:sz w:val="24"/>
        </w:rPr>
        <w:t>其它违约行为甲乙双方另行商定违约金并赔偿经济损失。</w:t>
      </w:r>
      <w:r>
        <w:rPr>
          <w:b/>
          <w:spacing w:val="-3"/>
          <w:sz w:val="24"/>
        </w:rPr>
        <w:t>第十一条</w:t>
      </w:r>
    </w:p>
    <w:p>
      <w:pPr>
        <w:pStyle w:val="7"/>
        <w:spacing w:line="316" w:lineRule="auto"/>
        <w:ind w:left="100" w:right="309" w:firstLine="480"/>
      </w:pPr>
      <w:r>
        <w:t>项目组成员的组成名单，应当经甲方同意后，作为本合同的附件。项目组成员一般不得变更。如因特殊情况确需变更的，乙方应征得甲方的同意。</w:t>
      </w:r>
    </w:p>
    <w:p>
      <w:pPr>
        <w:pStyle w:val="6"/>
        <w:spacing w:before="1"/>
      </w:pPr>
      <w:r>
        <w:t>第十二条</w:t>
      </w:r>
    </w:p>
    <w:p>
      <w:pPr>
        <w:pStyle w:val="14"/>
        <w:numPr>
          <w:ilvl w:val="0"/>
          <w:numId w:val="33"/>
        </w:numPr>
        <w:tabs>
          <w:tab w:val="left" w:pos="742"/>
        </w:tabs>
        <w:spacing w:before="89" w:after="0" w:line="314" w:lineRule="auto"/>
        <w:ind w:left="100" w:right="255" w:firstLine="412"/>
        <w:jc w:val="left"/>
        <w:rPr>
          <w:sz w:val="24"/>
        </w:rPr>
      </w:pPr>
      <w:r>
        <w:rPr>
          <w:spacing w:val="-17"/>
          <w:sz w:val="24"/>
        </w:rPr>
        <w:t>在合同有效期内，任何一方因不可抗力事件导致不能履行合同，则合同履行期可延长，其延长期与不可抗力影响期相同。</w:t>
      </w:r>
    </w:p>
    <w:p>
      <w:pPr>
        <w:pStyle w:val="14"/>
        <w:numPr>
          <w:ilvl w:val="0"/>
          <w:numId w:val="33"/>
        </w:numPr>
        <w:tabs>
          <w:tab w:val="left" w:pos="821"/>
        </w:tabs>
        <w:spacing w:before="5" w:after="0" w:line="240" w:lineRule="auto"/>
        <w:ind w:left="821" w:right="0" w:hanging="241"/>
        <w:jc w:val="left"/>
        <w:rPr>
          <w:sz w:val="24"/>
        </w:rPr>
      </w:pPr>
      <w:r>
        <w:rPr>
          <w:sz w:val="24"/>
        </w:rPr>
        <w:t>不可抗力事件发生后，应立即通知对方，并寄送有关权威机构出具的证明。</w:t>
      </w:r>
    </w:p>
    <w:p>
      <w:pPr>
        <w:pStyle w:val="14"/>
        <w:numPr>
          <w:ilvl w:val="0"/>
          <w:numId w:val="33"/>
        </w:numPr>
        <w:tabs>
          <w:tab w:val="left" w:pos="781"/>
        </w:tabs>
        <w:spacing w:before="89" w:after="0" w:line="240" w:lineRule="auto"/>
        <w:ind w:left="780" w:right="0" w:hanging="237"/>
        <w:jc w:val="left"/>
        <w:rPr>
          <w:sz w:val="24"/>
        </w:rPr>
      </w:pPr>
      <w:r>
        <w:rPr>
          <w:spacing w:val="-9"/>
          <w:sz w:val="24"/>
        </w:rPr>
        <w:t>不可抗力事件延续</w:t>
      </w:r>
      <w:r>
        <w:rPr>
          <w:sz w:val="24"/>
        </w:rPr>
        <w:t>120</w:t>
      </w:r>
      <w:r>
        <w:rPr>
          <w:spacing w:val="-10"/>
          <w:sz w:val="24"/>
        </w:rPr>
        <w:t>天以上，双方应通过友好协商，确定是否继续履行合同。</w:t>
      </w:r>
    </w:p>
    <w:p>
      <w:pPr>
        <w:pStyle w:val="6"/>
        <w:spacing w:before="189"/>
      </w:pPr>
      <w:r>
        <w:t>第十三条</w:t>
      </w:r>
    </w:p>
    <w:p>
      <w:pPr>
        <w:pStyle w:val="7"/>
        <w:spacing w:before="98" w:line="316" w:lineRule="auto"/>
        <w:ind w:left="100" w:right="327" w:firstLine="480"/>
      </w:pPr>
      <w:r>
        <w:t>1</w:t>
      </w:r>
      <w:r>
        <w:rPr>
          <w:spacing w:val="-12"/>
        </w:rPr>
        <w:t>、因服务质量问题发生争议的，应邀请国家认可的机构对服务质量进行鉴定。服务质量符合标准的，鉴定费由甲方承担；不符合标准的，鉴定费由乙方承担。</w:t>
      </w:r>
    </w:p>
    <w:p>
      <w:pPr>
        <w:pStyle w:val="7"/>
        <w:spacing w:line="316" w:lineRule="auto"/>
        <w:ind w:left="100" w:right="291" w:firstLine="480"/>
      </w:pPr>
      <w:r>
        <w:t>2</w:t>
      </w:r>
      <w:r>
        <w:rPr>
          <w:spacing w:val="-10"/>
        </w:rPr>
        <w:t>、因履行本合同引起的或与本合同有关的争议，甲乙双方应首先通过友好协商解决，如果协商不能解决，可向甲方所在地人民法院提起诉讼。</w:t>
      </w:r>
    </w:p>
    <w:p>
      <w:pPr>
        <w:spacing w:before="0" w:line="314" w:lineRule="auto"/>
        <w:ind w:left="580" w:right="5949" w:firstLine="0"/>
        <w:jc w:val="left"/>
        <w:rPr>
          <w:b/>
          <w:sz w:val="24"/>
        </w:rPr>
      </w:pPr>
      <w:r>
        <w:rPr>
          <w:sz w:val="24"/>
        </w:rPr>
        <w:t>3、诉讼期间，本合同继续履行。</w:t>
      </w:r>
      <w:r>
        <w:rPr>
          <w:b/>
          <w:sz w:val="24"/>
        </w:rPr>
        <w:t>第十四条</w:t>
      </w:r>
    </w:p>
    <w:p>
      <w:pPr>
        <w:pStyle w:val="7"/>
        <w:spacing w:before="5"/>
        <w:ind w:left="580"/>
      </w:pPr>
      <w:r>
        <w:t>1、合同经双方法定代表人或授权代表签字并加盖单位公章后生效。</w:t>
      </w:r>
    </w:p>
    <w:p>
      <w:pPr>
        <w:pStyle w:val="7"/>
        <w:spacing w:before="88" w:line="316" w:lineRule="auto"/>
        <w:ind w:left="100" w:right="252" w:firstLine="480"/>
      </w:pPr>
      <w:r>
        <w:t>2</w:t>
      </w:r>
      <w:r>
        <w:rPr>
          <w:spacing w:val="-10"/>
        </w:rPr>
        <w:t>、合同执行中涉及采购资金和采购内容修改或补充的，须经财政部门审批，并签书面补充协议报财政部门备案，方可作为主合同不可分割的一部分。</w:t>
      </w:r>
    </w:p>
    <w:p>
      <w:pPr>
        <w:pStyle w:val="7"/>
        <w:spacing w:line="316" w:lineRule="auto"/>
        <w:ind w:left="100" w:right="4509" w:firstLine="480"/>
      </w:pPr>
      <w:r>
        <w:t>3、本合同未尽事宜，遵照《合同法》有关条文执行。</w:t>
      </w:r>
    </w:p>
    <w:p>
      <w:pPr>
        <w:pStyle w:val="6"/>
        <w:spacing w:line="307" w:lineRule="exact"/>
        <w:ind w:left="580"/>
      </w:pPr>
      <w:r>
        <w:t>第十五条</w:t>
      </w:r>
    </w:p>
    <w:p>
      <w:pPr>
        <w:spacing w:after="0" w:line="307" w:lineRule="exact"/>
        <w:sectPr>
          <w:footerReference r:id="rId9" w:type="default"/>
          <w:pgSz w:w="11910" w:h="16840"/>
          <w:pgMar w:top="1140" w:right="920" w:bottom="940" w:left="980" w:header="900" w:footer="757" w:gutter="0"/>
          <w:pgNumType w:fmt="decimal"/>
        </w:sectPr>
      </w:pPr>
    </w:p>
    <w:p>
      <w:pPr>
        <w:pStyle w:val="7"/>
        <w:spacing w:before="3"/>
        <w:rPr>
          <w:b/>
          <w:sz w:val="18"/>
        </w:rPr>
      </w:pPr>
    </w:p>
    <w:p>
      <w:pPr>
        <w:pStyle w:val="7"/>
        <w:spacing w:before="67" w:line="316" w:lineRule="auto"/>
        <w:ind w:left="100" w:right="189" w:firstLine="480"/>
      </w:pPr>
      <w:r>
        <w:t>1、除《中华人民共和国政府采购法》第50条规定的情形外，本合同一经签订，甲乙双方不得擅自变更、中止或终止。</w:t>
      </w:r>
    </w:p>
    <w:p>
      <w:pPr>
        <w:pStyle w:val="7"/>
        <w:spacing w:line="307" w:lineRule="exact"/>
        <w:ind w:left="580"/>
      </w:pPr>
      <w:r>
        <w:t>2、乙方不得擅自转让（无进口资格的供应商委托进口货物除外）其应履行的合同义务。</w:t>
      </w:r>
    </w:p>
    <w:p>
      <w:pPr>
        <w:pStyle w:val="6"/>
        <w:spacing w:before="194"/>
      </w:pPr>
      <w:r>
        <w:t>第十六条</w:t>
      </w:r>
    </w:p>
    <w:p>
      <w:pPr>
        <w:pStyle w:val="7"/>
        <w:spacing w:before="100"/>
        <w:ind w:left="570"/>
      </w:pPr>
      <w:r>
        <w:t>本合同签订依据：</w:t>
      </w:r>
    </w:p>
    <w:p>
      <w:pPr>
        <w:pStyle w:val="7"/>
        <w:spacing w:before="101"/>
        <w:ind w:left="570"/>
      </w:pPr>
      <w:r>
        <w:t>1、政府采购招标文件；</w:t>
      </w:r>
    </w:p>
    <w:p>
      <w:pPr>
        <w:pStyle w:val="7"/>
        <w:spacing w:before="98"/>
        <w:ind w:left="580"/>
      </w:pPr>
      <w:r>
        <w:t>2、乙方提供的投标文件；</w:t>
      </w:r>
    </w:p>
    <w:p>
      <w:pPr>
        <w:pStyle w:val="7"/>
        <w:spacing w:before="96"/>
        <w:ind w:left="580"/>
      </w:pPr>
      <w:r>
        <w:t>3、投标承诺书；</w:t>
      </w:r>
    </w:p>
    <w:p>
      <w:pPr>
        <w:pStyle w:val="7"/>
        <w:spacing w:before="95"/>
        <w:ind w:left="580"/>
      </w:pPr>
      <w:r>
        <w:t>4、中标或成交通知书。</w:t>
      </w:r>
    </w:p>
    <w:p>
      <w:pPr>
        <w:pStyle w:val="6"/>
        <w:spacing w:before="187"/>
        <w:ind w:left="580"/>
      </w:pPr>
      <w:r>
        <w:t>第十七条</w:t>
      </w:r>
    </w:p>
    <w:p>
      <w:pPr>
        <w:pStyle w:val="7"/>
        <w:spacing w:before="101" w:line="316" w:lineRule="auto"/>
        <w:ind w:left="100" w:right="309" w:firstLine="480"/>
      </w:pPr>
      <w:r>
        <w:t>本合同一式六份，具有同等法律效力，财政部门（政府采购监管部门）、招标代理机构各一份，甲乙双方各两份。</w:t>
      </w:r>
    </w:p>
    <w:p>
      <w:pPr>
        <w:pStyle w:val="7"/>
        <w:spacing w:line="316" w:lineRule="auto"/>
        <w:ind w:left="100" w:right="309" w:firstLine="480"/>
      </w:pPr>
      <w:r>
        <w:t>本合同甲乙双方签字盖章后生效，自签订之日起七个工作日内，招标代理机构应当将合同副本报同级财政部门备案。</w:t>
      </w:r>
    </w:p>
    <w:p>
      <w:pPr>
        <w:pStyle w:val="7"/>
        <w:spacing w:before="8" w:after="1"/>
        <w:rPr>
          <w:sz w:val="20"/>
        </w:rPr>
      </w:pPr>
    </w:p>
    <w:tbl>
      <w:tblPr>
        <w:tblStyle w:val="11"/>
        <w:tblW w:w="9033" w:type="dxa"/>
        <w:tblInd w:w="46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16"/>
        <w:gridCol w:w="45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7" w:hRule="atLeast"/>
        </w:trPr>
        <w:tc>
          <w:tcPr>
            <w:tcW w:w="4516" w:type="dxa"/>
          </w:tcPr>
          <w:p>
            <w:pPr>
              <w:pStyle w:val="15"/>
              <w:spacing w:before="4"/>
              <w:ind w:left="484"/>
              <w:rPr>
                <w:sz w:val="24"/>
              </w:rPr>
            </w:pPr>
            <w:r>
              <w:rPr>
                <w:sz w:val="24"/>
              </w:rPr>
              <w:t>甲方（章）</w:t>
            </w:r>
          </w:p>
          <w:p>
            <w:pPr>
              <w:pStyle w:val="15"/>
              <w:tabs>
                <w:tab w:val="left" w:pos="1444"/>
                <w:tab w:val="left" w:pos="2164"/>
              </w:tabs>
              <w:spacing w:before="98"/>
              <w:ind w:left="484"/>
              <w:rPr>
                <w:sz w:val="24"/>
              </w:rPr>
            </w:pPr>
            <w:r>
              <w:rPr>
                <w:sz w:val="24"/>
              </w:rPr>
              <w:t>年</w:t>
            </w:r>
            <w:r>
              <w:rPr>
                <w:sz w:val="24"/>
              </w:rPr>
              <w:tab/>
            </w:r>
            <w:r>
              <w:rPr>
                <w:sz w:val="24"/>
              </w:rPr>
              <w:t>月</w:t>
            </w:r>
            <w:r>
              <w:rPr>
                <w:sz w:val="24"/>
              </w:rPr>
              <w:tab/>
            </w:r>
            <w:r>
              <w:rPr>
                <w:sz w:val="24"/>
              </w:rPr>
              <w:t>日</w:t>
            </w:r>
          </w:p>
        </w:tc>
        <w:tc>
          <w:tcPr>
            <w:tcW w:w="4517" w:type="dxa"/>
          </w:tcPr>
          <w:p>
            <w:pPr>
              <w:pStyle w:val="15"/>
              <w:spacing w:before="4"/>
              <w:ind w:left="484"/>
              <w:rPr>
                <w:sz w:val="24"/>
              </w:rPr>
            </w:pPr>
            <w:r>
              <w:rPr>
                <w:sz w:val="24"/>
              </w:rPr>
              <w:t>乙方（章）</w:t>
            </w:r>
          </w:p>
          <w:p>
            <w:pPr>
              <w:pStyle w:val="15"/>
              <w:tabs>
                <w:tab w:val="left" w:pos="1444"/>
                <w:tab w:val="left" w:pos="2164"/>
              </w:tabs>
              <w:spacing w:before="98"/>
              <w:ind w:left="484"/>
              <w:rPr>
                <w:sz w:val="24"/>
              </w:rPr>
            </w:pPr>
            <w:r>
              <w:rPr>
                <w:sz w:val="24"/>
              </w:rPr>
              <w:t>年</w:t>
            </w:r>
            <w:r>
              <w:rPr>
                <w:sz w:val="24"/>
              </w:rPr>
              <w:tab/>
            </w:r>
            <w:r>
              <w:rPr>
                <w:sz w:val="24"/>
              </w:rPr>
              <w:t>月</w:t>
            </w:r>
            <w:r>
              <w:rPr>
                <w:sz w:val="24"/>
              </w:rPr>
              <w:tab/>
            </w:r>
            <w:r>
              <w:rPr>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8" w:hRule="atLeast"/>
        </w:trPr>
        <w:tc>
          <w:tcPr>
            <w:tcW w:w="4516" w:type="dxa"/>
          </w:tcPr>
          <w:p>
            <w:pPr>
              <w:pStyle w:val="15"/>
              <w:spacing w:before="4"/>
              <w:ind w:left="484"/>
              <w:rPr>
                <w:sz w:val="24"/>
              </w:rPr>
            </w:pPr>
            <w:r>
              <w:rPr>
                <w:sz w:val="24"/>
              </w:rPr>
              <w:t>单位地址：</w:t>
            </w:r>
          </w:p>
        </w:tc>
        <w:tc>
          <w:tcPr>
            <w:tcW w:w="4517" w:type="dxa"/>
          </w:tcPr>
          <w:p>
            <w:pPr>
              <w:pStyle w:val="15"/>
              <w:spacing w:before="4"/>
              <w:ind w:left="484"/>
              <w:rPr>
                <w:sz w:val="24"/>
              </w:rPr>
            </w:pPr>
            <w:r>
              <w:rPr>
                <w:sz w:val="24"/>
              </w:rPr>
              <w:t>单位地址：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4516" w:type="dxa"/>
          </w:tcPr>
          <w:p>
            <w:pPr>
              <w:pStyle w:val="15"/>
              <w:spacing w:before="4"/>
              <w:ind w:left="484"/>
              <w:rPr>
                <w:sz w:val="24"/>
              </w:rPr>
            </w:pPr>
            <w:r>
              <w:rPr>
                <w:sz w:val="24"/>
              </w:rPr>
              <w:t>法定代表人：</w:t>
            </w:r>
          </w:p>
        </w:tc>
        <w:tc>
          <w:tcPr>
            <w:tcW w:w="4517" w:type="dxa"/>
          </w:tcPr>
          <w:p>
            <w:pPr>
              <w:pStyle w:val="15"/>
              <w:spacing w:before="4"/>
              <w:ind w:left="484"/>
              <w:rPr>
                <w:sz w:val="24"/>
              </w:rPr>
            </w:pPr>
            <w:r>
              <w:rPr>
                <w:sz w:val="24"/>
              </w:rPr>
              <w:t>法定代表人：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8" w:hRule="atLeast"/>
        </w:trPr>
        <w:tc>
          <w:tcPr>
            <w:tcW w:w="4516" w:type="dxa"/>
          </w:tcPr>
          <w:p>
            <w:pPr>
              <w:pStyle w:val="15"/>
              <w:spacing w:before="3"/>
              <w:ind w:left="484"/>
              <w:rPr>
                <w:sz w:val="24"/>
              </w:rPr>
            </w:pPr>
            <w:r>
              <w:rPr>
                <w:sz w:val="24"/>
              </w:rPr>
              <w:t>委托代理人：</w:t>
            </w:r>
          </w:p>
        </w:tc>
        <w:tc>
          <w:tcPr>
            <w:tcW w:w="4517" w:type="dxa"/>
          </w:tcPr>
          <w:p>
            <w:pPr>
              <w:pStyle w:val="15"/>
              <w:spacing w:before="3"/>
              <w:ind w:left="484"/>
              <w:rPr>
                <w:sz w:val="24"/>
              </w:rPr>
            </w:pPr>
            <w:r>
              <w:rPr>
                <w:sz w:val="24"/>
              </w:rPr>
              <w:t>委托代理人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4516" w:type="dxa"/>
          </w:tcPr>
          <w:p>
            <w:pPr>
              <w:pStyle w:val="15"/>
              <w:spacing w:before="4"/>
              <w:ind w:left="484"/>
              <w:rPr>
                <w:sz w:val="24"/>
              </w:rPr>
            </w:pPr>
            <w:r>
              <w:rPr>
                <w:sz w:val="24"/>
              </w:rPr>
              <w:t>电话：</w:t>
            </w:r>
          </w:p>
        </w:tc>
        <w:tc>
          <w:tcPr>
            <w:tcW w:w="4517" w:type="dxa"/>
          </w:tcPr>
          <w:p>
            <w:pPr>
              <w:pStyle w:val="15"/>
              <w:spacing w:before="4"/>
              <w:ind w:left="484"/>
              <w:rPr>
                <w:sz w:val="24"/>
              </w:rPr>
            </w:pPr>
            <w:r>
              <w:rPr>
                <w:sz w:val="24"/>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4516" w:type="dxa"/>
          </w:tcPr>
          <w:p>
            <w:pPr>
              <w:pStyle w:val="15"/>
              <w:spacing w:before="3"/>
              <w:ind w:left="484"/>
              <w:rPr>
                <w:sz w:val="24"/>
              </w:rPr>
            </w:pPr>
            <w:r>
              <w:rPr>
                <w:sz w:val="24"/>
              </w:rPr>
              <w:t>电子邮箱：</w:t>
            </w:r>
          </w:p>
        </w:tc>
        <w:tc>
          <w:tcPr>
            <w:tcW w:w="4517" w:type="dxa"/>
          </w:tcPr>
          <w:p>
            <w:pPr>
              <w:pStyle w:val="15"/>
              <w:spacing w:before="3"/>
              <w:ind w:left="484"/>
              <w:rPr>
                <w:sz w:val="24"/>
              </w:rPr>
            </w:pPr>
            <w:r>
              <w:rPr>
                <w:sz w:val="24"/>
              </w:rPr>
              <w:t>电子邮箱：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4516" w:type="dxa"/>
          </w:tcPr>
          <w:p>
            <w:pPr>
              <w:pStyle w:val="15"/>
              <w:spacing w:before="4"/>
              <w:ind w:left="484"/>
              <w:rPr>
                <w:sz w:val="24"/>
              </w:rPr>
            </w:pPr>
            <w:r>
              <w:rPr>
                <w:sz w:val="24"/>
              </w:rPr>
              <w:t>开户银行：</w:t>
            </w:r>
          </w:p>
        </w:tc>
        <w:tc>
          <w:tcPr>
            <w:tcW w:w="4517" w:type="dxa"/>
          </w:tcPr>
          <w:p>
            <w:pPr>
              <w:pStyle w:val="15"/>
              <w:spacing w:before="4"/>
              <w:ind w:left="484"/>
              <w:rPr>
                <w:sz w:val="24"/>
              </w:rPr>
            </w:pPr>
            <w:r>
              <w:rPr>
                <w:sz w:val="24"/>
              </w:rPr>
              <w:t>开户银行：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4516" w:type="dxa"/>
          </w:tcPr>
          <w:p>
            <w:pPr>
              <w:pStyle w:val="15"/>
              <w:spacing w:before="2"/>
              <w:ind w:left="484"/>
              <w:rPr>
                <w:sz w:val="24"/>
              </w:rPr>
            </w:pPr>
            <w:r>
              <w:rPr>
                <w:sz w:val="24"/>
              </w:rPr>
              <w:t>账号：</w:t>
            </w:r>
          </w:p>
        </w:tc>
        <w:tc>
          <w:tcPr>
            <w:tcW w:w="4517" w:type="dxa"/>
          </w:tcPr>
          <w:p>
            <w:pPr>
              <w:pStyle w:val="15"/>
              <w:spacing w:before="2"/>
              <w:ind w:left="484"/>
              <w:rPr>
                <w:sz w:val="24"/>
              </w:rPr>
            </w:pPr>
            <w:r>
              <w:rPr>
                <w:sz w:val="24"/>
              </w:rPr>
              <w:t>账号：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4516" w:type="dxa"/>
          </w:tcPr>
          <w:p>
            <w:pPr>
              <w:pStyle w:val="15"/>
              <w:spacing w:before="4"/>
              <w:ind w:left="484"/>
              <w:rPr>
                <w:sz w:val="24"/>
              </w:rPr>
            </w:pPr>
            <w:r>
              <w:rPr>
                <w:sz w:val="24"/>
              </w:rPr>
              <w:t>邮政编码：</w:t>
            </w:r>
          </w:p>
        </w:tc>
        <w:tc>
          <w:tcPr>
            <w:tcW w:w="4517" w:type="dxa"/>
          </w:tcPr>
          <w:p>
            <w:pPr>
              <w:pStyle w:val="15"/>
              <w:spacing w:before="4"/>
              <w:ind w:left="484"/>
              <w:rPr>
                <w:sz w:val="24"/>
              </w:rPr>
            </w:pPr>
            <w:r>
              <w:rPr>
                <w:sz w:val="24"/>
              </w:rPr>
              <w:t>邮政编码：</w:t>
            </w:r>
          </w:p>
        </w:tc>
      </w:tr>
    </w:tbl>
    <w:p>
      <w:pPr>
        <w:spacing w:after="0"/>
        <w:rPr>
          <w:sz w:val="24"/>
        </w:rPr>
        <w:sectPr>
          <w:pgSz w:w="11910" w:h="16840"/>
          <w:pgMar w:top="1140" w:right="920" w:bottom="940" w:left="980" w:header="900" w:footer="757" w:gutter="0"/>
          <w:pgNumType w:fmt="decimal"/>
        </w:sectPr>
      </w:pPr>
    </w:p>
    <w:p>
      <w:pPr>
        <w:pStyle w:val="7"/>
        <w:spacing w:before="3"/>
        <w:rPr>
          <w:sz w:val="5"/>
        </w:rPr>
      </w:pPr>
    </w:p>
    <w:p>
      <w:pPr>
        <w:pStyle w:val="7"/>
        <w:spacing w:line="20" w:lineRule="exact"/>
        <w:ind w:left="430"/>
        <w:rPr>
          <w:sz w:val="2"/>
        </w:rPr>
      </w:pPr>
      <w:r>
        <w:rPr>
          <w:sz w:val="2"/>
        </w:rPr>
        <mc:AlternateContent>
          <mc:Choice Requires="wpg">
            <w:drawing>
              <wp:inline distT="0" distB="0" distL="114300" distR="114300">
                <wp:extent cx="5761990" cy="9525"/>
                <wp:effectExtent l="0" t="0" r="0" b="0"/>
                <wp:docPr id="6" name="组合 7"/>
                <wp:cNvGraphicFramePr/>
                <a:graphic xmlns:a="http://schemas.openxmlformats.org/drawingml/2006/main">
                  <a:graphicData uri="http://schemas.microsoft.com/office/word/2010/wordprocessingGroup">
                    <wpg:wgp>
                      <wpg:cNvGrpSpPr/>
                      <wpg:grpSpPr>
                        <a:xfrm>
                          <a:off x="0" y="0"/>
                          <a:ext cx="5761990" cy="9525"/>
                          <a:chOff x="0" y="0"/>
                          <a:chExt cx="9074" cy="15"/>
                        </a:xfrm>
                      </wpg:grpSpPr>
                      <wps:wsp>
                        <wps:cNvPr id="5" name="直线 8"/>
                        <wps:cNvCnPr/>
                        <wps:spPr>
                          <a:xfrm>
                            <a:off x="0" y="7"/>
                            <a:ext cx="9074"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组合 7" o:spid="_x0000_s1026" o:spt="203" style="height:0.75pt;width:453.7pt;" coordsize="9074,15" o:gfxdata="UEsDBAoAAAAAAIdO4kAAAAAAAAAAAAAAAAAEAAAAZHJzL1BLAwQUAAAACACHTuJAEWXEiNQAAAAD&#10;AQAADwAAAGRycy9kb3ducmV2LnhtbE2PQUvDQBCF74L/YRnBm92NWq0xmyJFPZWCrVC8TZNpEpqd&#10;Ddlt0v57Ry96eTC8x3vfZPOTa9VAfWg8W0gmBhRx4cuGKwufm7ebGagQkUtsPZOFMwWY55cXGaal&#10;H/mDhnWslJRwSNFCHWOXah2KmhyGie+Ixdv73mGUs6902eMo5a7Vt8Y8aIcNy0KNHS1qKg7ro7Pw&#10;PuL4cpe8DsvDfnH+2kxX22VC1l5fJeYZVKRT/AvDD76gQy5MO3/kMqjWgjwSf1W8J/N4D2onoSno&#10;PNP/2fNvUEsDBBQAAAAIAIdO4kDIkMQjMwIAALAEAAAOAAAAZHJzL2Uyb0RvYy54bWyllL1u2zAQ&#10;x/cCfQeCey3LiO1YsJwhTrwUbYC0D3CmKIkARRIkbdl7h47d+xqd2qFPE+Q1eqRkuU1QoEg90Py4&#10;O/7vdzwtrw6NJHtundAqp+loTAlXTBdCVTn9+OH2zSUlzoMqQGrFc3rkjl6tXr9atibjE11rWXBL&#10;MIhyWWtyWntvsiRxrOYNuJE2XOFhqW0DHpe2SgoLLUZvZDIZj2dJq21hrGbcOdxdd4d0FeOXJWf+&#10;fVk67onMKWrzcbRx3IYxWS0hqyyYWrBeBrxARQNC4aVDqDV4IDsrnoVqBLPa6dKPmG4SXZaC8ZgD&#10;ZpOOn2SzsXpnYi5V1lZmwIRon3B6cVj2bn9niShyOqNEQYMlevzx6eHLZzIPbFpTZWiysebe3Nl+&#10;o+pWId1DaZvwj4mQQ6R6HKjygycMN6fzWbpYIHyGZ4vpZNpBZzVW5pkTq296t8V4ftH5pNEjOd2W&#10;BFGDhtbgw3FnNu7/2NzXYHhE7kLiPZvpwObrt8fvP8llxyaaXKsejMscMvorlcgTshOVc3rxEQ7Z&#10;QWas8xuuGxImOZVCBUGQwf6t81gCND2ZhG2pSItc04tAC7CFSgkep43BojpVRV+npShuhZTBw9lq&#10;ey0t2UNoivgL+WDcP8zCJWtwdWcXj7rK1RyKG1UQfzT4XBT2NQ0SGl5QIjl+BsIMA0LmQch/scSr&#10;pUIFoZgdxDDb6uKIBdgZK6oaSaRRZV/waB3bIirvWzj03e/raHX+0Kx+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FlxIjUAAAAAwEAAA8AAAAAAAAAAQAgAAAAIgAAAGRycy9kb3ducmV2LnhtbFBL&#10;AQIUABQAAAAIAIdO4kDIkMQjMwIAALAEAAAOAAAAAAAAAAEAIAAAACMBAABkcnMvZTJvRG9jLnht&#10;bFBLBQYAAAAABgAGAFkBAADIBQAAAAA=&#10;">
                <o:lock v:ext="edit" aspectratio="f"/>
                <v:line id="直线 8" o:spid="_x0000_s1026" o:spt="20" style="position:absolute;left:0;top:7;height:0;width:9074;" filled="f" stroked="t" coordsize="21600,21600" o:gfxdata="UEsDBAoAAAAAAIdO4kAAAAAAAAAAAAAAAAAEAAAAZHJzL1BLAwQUAAAACACHTuJAYIZMTLwAAADa&#10;AAAADwAAAGRycy9kb3ducmV2LnhtbEWPQWsCMRSE7wX/Q3iCt5q1oJat0YNsoZQedNsf8Ng8N8HN&#10;y7J5da2/vhEKPQ4z8w2z2V1Dpy40JB/ZwGJegCJuovXcGvj6fH18BpUE2WIXmQz8UILddvKwwdLG&#10;kY90qaVVGcKpRANOpC+1To2jgGkee+LsneIQULIcWm0HHDM8dPqpKFY6oOe84LCnvaPmXH8HA/Xh&#10;Y1y9325jta49JhHvqmpvzGy6KF5ACV3lP/zXfrMGlnC/km+A3v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CGTEy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p>
      <w:pPr>
        <w:pStyle w:val="3"/>
        <w:tabs>
          <w:tab w:val="left" w:pos="1281"/>
        </w:tabs>
        <w:spacing w:before="95"/>
        <w:ind w:left="0" w:right="496"/>
        <w:jc w:val="center"/>
      </w:pPr>
      <w:r>
        <w:t>第六章</w:t>
      </w:r>
      <w:r>
        <w:tab/>
      </w:r>
      <w:r>
        <w:t>投标文件格式</w:t>
      </w:r>
    </w:p>
    <w:p>
      <w:pPr>
        <w:pStyle w:val="4"/>
        <w:spacing w:before="136"/>
        <w:ind w:left="282" w:right="782"/>
      </w:pPr>
      <w:r>
        <w:t>一、投标文件外层包装封面格式</w:t>
      </w:r>
    </w:p>
    <w:p>
      <w:pPr>
        <w:pStyle w:val="5"/>
        <w:numPr>
          <w:ilvl w:val="1"/>
          <w:numId w:val="33"/>
        </w:numPr>
        <w:tabs>
          <w:tab w:val="left" w:pos="1015"/>
        </w:tabs>
        <w:spacing w:before="161" w:after="0" w:line="240" w:lineRule="auto"/>
        <w:ind w:left="1014" w:right="0" w:hanging="287"/>
        <w:jc w:val="left"/>
      </w:pPr>
      <w:r>
        <w:rPr>
          <w:spacing w:val="-1"/>
          <w:w w:val="95"/>
        </w:rPr>
        <w:t>投标文件的外包装封面格式：</w:t>
      </w:r>
    </w:p>
    <w:p>
      <w:pPr>
        <w:spacing w:before="5"/>
        <w:ind w:left="282" w:right="780" w:firstLine="0"/>
        <w:jc w:val="center"/>
        <w:rPr>
          <w:b/>
          <w:sz w:val="44"/>
        </w:rPr>
      </w:pPr>
      <w:r>
        <w:rPr>
          <w:b/>
          <w:w w:val="95"/>
          <w:sz w:val="44"/>
        </w:rPr>
        <w:t>投标文件</w:t>
      </w:r>
    </w:p>
    <w:p>
      <w:pPr>
        <w:spacing w:before="285"/>
        <w:ind w:left="270" w:right="329" w:firstLine="0"/>
        <w:jc w:val="center"/>
        <w:rPr>
          <w:sz w:val="28"/>
        </w:rPr>
      </w:pPr>
      <w:bookmarkStart w:id="4" w:name="（资格审查文件/报价文件、技术文件）"/>
      <w:bookmarkEnd w:id="4"/>
      <w:r>
        <w:rPr>
          <w:sz w:val="28"/>
        </w:rPr>
        <w:t>（资格审查文件/报价文件、技术文件）</w:t>
      </w:r>
    </w:p>
    <w:p>
      <w:pPr>
        <w:pStyle w:val="7"/>
        <w:rPr>
          <w:sz w:val="20"/>
        </w:rPr>
      </w:pPr>
    </w:p>
    <w:p>
      <w:pPr>
        <w:pStyle w:val="7"/>
        <w:spacing w:before="3"/>
        <w:rPr>
          <w:sz w:val="14"/>
        </w:rPr>
      </w:pPr>
    </w:p>
    <w:p>
      <w:pPr>
        <w:spacing w:before="61" w:line="242" w:lineRule="auto"/>
        <w:ind w:left="1568" w:right="6773" w:firstLine="0"/>
        <w:jc w:val="left"/>
        <w:rPr>
          <w:sz w:val="28"/>
        </w:rPr>
      </w:pPr>
      <w:r>
        <w:rPr>
          <w:spacing w:val="-4"/>
          <w:sz w:val="28"/>
        </w:rPr>
        <w:t xml:space="preserve">项目名称： 项目编号： </w:t>
      </w:r>
      <w:r>
        <w:rPr>
          <w:spacing w:val="-7"/>
          <w:sz w:val="28"/>
        </w:rPr>
        <w:t>投标人名称： 投标人地址：</w:t>
      </w:r>
    </w:p>
    <w:p>
      <w:pPr>
        <w:tabs>
          <w:tab w:val="left" w:pos="2132"/>
          <w:tab w:val="left" w:pos="2691"/>
          <w:tab w:val="left" w:pos="3248"/>
          <w:tab w:val="left" w:pos="3812"/>
          <w:tab w:val="left" w:pos="4371"/>
        </w:tabs>
        <w:spacing w:before="6"/>
        <w:ind w:left="1568" w:right="0" w:firstLine="0"/>
        <w:jc w:val="left"/>
        <w:rPr>
          <w:sz w:val="28"/>
        </w:rPr>
      </w:pPr>
      <w:r>
        <w:rPr>
          <w:sz w:val="28"/>
        </w:rPr>
        <w:t>在</w:t>
      </w:r>
      <w:r>
        <w:rPr>
          <w:sz w:val="28"/>
        </w:rPr>
        <w:tab/>
      </w:r>
      <w:r>
        <w:rPr>
          <w:sz w:val="28"/>
        </w:rPr>
        <w:t>年</w:t>
      </w:r>
      <w:r>
        <w:rPr>
          <w:sz w:val="28"/>
        </w:rPr>
        <w:tab/>
      </w:r>
      <w:r>
        <w:rPr>
          <w:sz w:val="28"/>
        </w:rPr>
        <w:t>月</w:t>
      </w:r>
      <w:r>
        <w:rPr>
          <w:sz w:val="28"/>
        </w:rPr>
        <w:tab/>
      </w:r>
      <w:r>
        <w:rPr>
          <w:sz w:val="28"/>
        </w:rPr>
        <w:t>日</w:t>
      </w:r>
      <w:r>
        <w:rPr>
          <w:sz w:val="28"/>
        </w:rPr>
        <w:tab/>
      </w:r>
      <w:r>
        <w:rPr>
          <w:sz w:val="28"/>
        </w:rPr>
        <w:t>时</w:t>
      </w:r>
      <w:r>
        <w:rPr>
          <w:sz w:val="28"/>
        </w:rPr>
        <w:tab/>
      </w:r>
      <w:r>
        <w:rPr>
          <w:spacing w:val="-3"/>
          <w:sz w:val="28"/>
        </w:rPr>
        <w:t>分之</w:t>
      </w:r>
      <w:r>
        <w:rPr>
          <w:sz w:val="28"/>
        </w:rPr>
        <w:t>前</w:t>
      </w:r>
      <w:r>
        <w:rPr>
          <w:spacing w:val="-3"/>
          <w:sz w:val="28"/>
        </w:rPr>
        <w:t>不</w:t>
      </w:r>
      <w:r>
        <w:rPr>
          <w:spacing w:val="-5"/>
          <w:sz w:val="28"/>
        </w:rPr>
        <w:t>得</w:t>
      </w:r>
      <w:r>
        <w:rPr>
          <w:sz w:val="28"/>
        </w:rPr>
        <w:t>启封</w:t>
      </w:r>
    </w:p>
    <w:p>
      <w:pPr>
        <w:tabs>
          <w:tab w:val="left" w:pos="7412"/>
          <w:tab w:val="left" w:pos="7971"/>
        </w:tabs>
        <w:spacing w:before="3"/>
        <w:ind w:left="6853" w:right="0" w:firstLine="0"/>
        <w:jc w:val="left"/>
        <w:rPr>
          <w:sz w:val="28"/>
        </w:rPr>
      </w:pPr>
      <w:r>
        <w:rPr>
          <w:sz w:val="28"/>
        </w:rPr>
        <w:t>年</w:t>
      </w:r>
      <w:r>
        <w:rPr>
          <w:sz w:val="28"/>
        </w:rPr>
        <w:tab/>
      </w:r>
      <w:r>
        <w:rPr>
          <w:sz w:val="28"/>
        </w:rPr>
        <w:t>月</w:t>
      </w:r>
      <w:r>
        <w:rPr>
          <w:sz w:val="28"/>
        </w:rPr>
        <w:tab/>
      </w:r>
      <w:r>
        <w:rPr>
          <w:sz w:val="28"/>
        </w:rPr>
        <w:t>日</w:t>
      </w:r>
    </w:p>
    <w:p>
      <w:pPr>
        <w:spacing w:after="0"/>
        <w:jc w:val="left"/>
        <w:rPr>
          <w:sz w:val="28"/>
        </w:rPr>
        <w:sectPr>
          <w:headerReference r:id="rId10" w:type="default"/>
          <w:pgSz w:w="11910" w:h="16840"/>
          <w:pgMar w:top="1280" w:right="920" w:bottom="940" w:left="980" w:header="900" w:footer="757" w:gutter="0"/>
          <w:pgNumType w:fmt="decimal"/>
        </w:sectPr>
      </w:pPr>
    </w:p>
    <w:p>
      <w:pPr>
        <w:pStyle w:val="7"/>
        <w:spacing w:before="7"/>
        <w:rPr>
          <w:sz w:val="3"/>
        </w:rPr>
      </w:pPr>
    </w:p>
    <w:p>
      <w:pPr>
        <w:pStyle w:val="7"/>
        <w:spacing w:line="20" w:lineRule="exact"/>
        <w:ind w:left="430"/>
        <w:rPr>
          <w:sz w:val="2"/>
        </w:rPr>
      </w:pPr>
      <w:r>
        <w:rPr>
          <w:sz w:val="2"/>
        </w:rPr>
        <mc:AlternateContent>
          <mc:Choice Requires="wpg">
            <w:drawing>
              <wp:inline distT="0" distB="0" distL="114300" distR="114300">
                <wp:extent cx="5761990" cy="9525"/>
                <wp:effectExtent l="0" t="0" r="0" b="0"/>
                <wp:docPr id="8" name="组合 9"/>
                <wp:cNvGraphicFramePr/>
                <a:graphic xmlns:a="http://schemas.openxmlformats.org/drawingml/2006/main">
                  <a:graphicData uri="http://schemas.microsoft.com/office/word/2010/wordprocessingGroup">
                    <wpg:wgp>
                      <wpg:cNvGrpSpPr/>
                      <wpg:grpSpPr>
                        <a:xfrm>
                          <a:off x="0" y="0"/>
                          <a:ext cx="5761990" cy="9525"/>
                          <a:chOff x="0" y="0"/>
                          <a:chExt cx="9074" cy="15"/>
                        </a:xfrm>
                      </wpg:grpSpPr>
                      <wps:wsp>
                        <wps:cNvPr id="7" name="直线 10"/>
                        <wps:cNvCnPr/>
                        <wps:spPr>
                          <a:xfrm>
                            <a:off x="0" y="7"/>
                            <a:ext cx="9074"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组合 9" o:spid="_x0000_s1026" o:spt="203" style="height:0.75pt;width:453.7pt;" coordsize="9074,15" o:gfxdata="UEsDBAoAAAAAAIdO4kAAAAAAAAAAAAAAAAAEAAAAZHJzL1BLAwQUAAAACACHTuJAEWXEiNQAAAAD&#10;AQAADwAAAGRycy9kb3ducmV2LnhtbE2PQUvDQBCF74L/YRnBm92NWq0xmyJFPZWCrVC8TZNpEpqd&#10;Ddlt0v57Ry96eTC8x3vfZPOTa9VAfWg8W0gmBhRx4cuGKwufm7ebGagQkUtsPZOFMwWY55cXGaal&#10;H/mDhnWslJRwSNFCHWOXah2KmhyGie+Ixdv73mGUs6902eMo5a7Vt8Y8aIcNy0KNHS1qKg7ro7Pw&#10;PuL4cpe8DsvDfnH+2kxX22VC1l5fJeYZVKRT/AvDD76gQy5MO3/kMqjWgjwSf1W8J/N4D2onoSno&#10;PNP/2fNvUEsDBBQAAAAIAIdO4kCD4sinMgIAALEEAAAOAAAAZHJzL2Uyb0RvYy54bWyllM1uEzEQ&#10;x+9IvIPlO9ls1DRklU0PTZsLgkqFB5h4vbuW/CXbySZ3Dhy58xqc4MDToL4GY+8mgVZIqOTg+GNm&#10;/J/feHZxtVeS7LjzwuiS5qMxJVwzUwndlPTD+9tXrynxAXQF0mhe0gP39Gr58sWiswWfmNbIijuC&#10;QbQvOlvSNgRbZJlnLVfgR8ZyjYe1cQoCLl2TVQ46jK5kNhmPL7POuMo6w7j3uLvqD+kyxa9rzsK7&#10;uvY8EFlS1BbS6NK4iWO2XEDROLCtYIMMeIYKBULjpadQKwhAtk48CaUEc8abOoyYUZmpa8F4ygGz&#10;ycePslk7s7Upl6boGnvChGgfcXp2WPZ2d+eIqEqKhdKgsEQP3z/+/PyJzCObzjYFmqydvbd3btho&#10;+lVMd187Ff8xEbJPVA8nqnwfCMPN6ewyn88RPsOz+XQy7aGzFivzxIm1N4PbfDy76H3y5JEdb8ui&#10;qJOGzuLD8Wc2/v/Y3LdgeULuY+IDm9mJzZevD99+kDw9nHg12lzrgYwvPEL6K5ZZn/cRyzm/FOyU&#10;HhTW+bDmRpE4KakUOiqCAnZvfMAaoOnRJG5LTToEm19EXIA9VEsIOFUWq+p1k3y9kaK6FVJGD++a&#10;zbV0ZAexK9IvasO4f5jFS1bg294uHfUptByqG12RcLD4XjQ2No0SFK8okRy/A3GGAaEIIOS/WOLV&#10;UqOCiLSHGGcbUx2wAlvrRNMiiTypHCqerFNfJOVDD8fG+32drM5fmuU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EWXEiNQAAAADAQAADwAAAAAAAAABACAAAAAiAAAAZHJzL2Rvd25yZXYueG1sUEsB&#10;AhQAFAAAAAgAh07iQIPiyKcyAgAAsQQAAA4AAAAAAAAAAQAgAAAAIwEAAGRycy9lMm9Eb2MueG1s&#10;UEsFBgAAAAAGAAYAWQEAAMcFAAAAAA==&#10;">
                <o:lock v:ext="edit" aspectratio="f"/>
                <v:line id="直线 10" o:spid="_x0000_s1026" o:spt="20" style="position:absolute;left:0;top:7;height:0;width:9074;" filled="f" stroked="t" coordsize="21600,21600" o:gfxdata="UEsDBAoAAAAAAIdO4kAAAAAAAAAAAAAAAAAEAAAAZHJzL1BLAwQUAAAACACHTuJA/xh3oLsAAADa&#10;AAAADwAAAGRycy9kb3ducmV2LnhtbEWPQWsCMRSE7wX/Q3hCbzVrD1q2Rg+yhSI96LY/4LF53YRu&#10;XpbNq6v+eiMIHoeZ+YZZbU6hU0cako9sYD4rQBE30XpuDfx8f7y8gUqCbLGLTAbOlGCznjytsLRx&#10;5AMda2lVhnAq0YAT6UutU+MoYJrFnjh7v3EIKFkOrbYDjhkeOv1aFAsd0HNecNjT1lHzV/8HA/X+&#10;a1zsLpexWtYek4h3VbU15nk6L95BCZ3kEb63P62BJdyu5Bug11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h3oLsAAADa&#10;AAAADwAAAAAAAAABACAAAAAiAAAAZHJzL2Rvd25yZXYueG1sUEsBAhQAFAAAAAgAh07iQDMvBZ47&#10;AAAAOQAAABAAAAAAAAAAAQAgAAAACgEAAGRycy9zaGFwZXhtbC54bWxQSwUGAAAAAAYABgBbAQAA&#10;tAMAAAAA&#10;">
                  <v:fill on="f" focussize="0,0"/>
                  <v:stroke weight="0.72pt" color="#000000" joinstyle="round"/>
                  <v:imagedata o:title=""/>
                  <o:lock v:ext="edit" aspectratio="f"/>
                </v:line>
                <w10:wrap type="none"/>
                <w10:anchorlock/>
              </v:group>
            </w:pict>
          </mc:Fallback>
        </mc:AlternateContent>
      </w:r>
    </w:p>
    <w:p>
      <w:pPr>
        <w:pStyle w:val="14"/>
        <w:numPr>
          <w:ilvl w:val="1"/>
          <w:numId w:val="33"/>
        </w:numPr>
        <w:tabs>
          <w:tab w:val="left" w:pos="1015"/>
        </w:tabs>
        <w:spacing w:before="104" w:after="0" w:line="240" w:lineRule="auto"/>
        <w:ind w:left="1014" w:right="0" w:hanging="287"/>
        <w:jc w:val="left"/>
        <w:rPr>
          <w:b/>
          <w:sz w:val="24"/>
        </w:rPr>
      </w:pPr>
      <w:r>
        <w:rPr>
          <w:b/>
          <w:sz w:val="28"/>
        </w:rPr>
        <w:t>投标文件的封面格式</w:t>
      </w:r>
      <w:r>
        <w:rPr>
          <w:b/>
          <w:sz w:val="24"/>
        </w:rPr>
        <w:t>：</w:t>
      </w:r>
    </w:p>
    <w:p>
      <w:pPr>
        <w:spacing w:before="42"/>
        <w:ind w:left="997" w:right="0" w:firstLine="0"/>
        <w:jc w:val="left"/>
        <w:rPr>
          <w:b/>
          <w:sz w:val="28"/>
        </w:rPr>
      </w:pPr>
      <w:r>
        <w:rPr>
          <w:b/>
          <w:sz w:val="28"/>
        </w:rPr>
        <w:t>正本/副本</w:t>
      </w:r>
    </w:p>
    <w:p>
      <w:pPr>
        <w:pStyle w:val="7"/>
        <w:rPr>
          <w:b/>
          <w:sz w:val="20"/>
        </w:rPr>
      </w:pPr>
    </w:p>
    <w:p>
      <w:pPr>
        <w:pStyle w:val="7"/>
        <w:rPr>
          <w:b/>
          <w:sz w:val="20"/>
        </w:rPr>
      </w:pPr>
    </w:p>
    <w:p>
      <w:pPr>
        <w:pStyle w:val="7"/>
        <w:rPr>
          <w:b/>
          <w:sz w:val="20"/>
        </w:rPr>
      </w:pPr>
    </w:p>
    <w:p>
      <w:pPr>
        <w:pStyle w:val="7"/>
        <w:rPr>
          <w:b/>
          <w:sz w:val="20"/>
        </w:rPr>
      </w:pPr>
    </w:p>
    <w:p>
      <w:pPr>
        <w:pStyle w:val="7"/>
        <w:rPr>
          <w:b/>
          <w:sz w:val="15"/>
        </w:rPr>
      </w:pPr>
    </w:p>
    <w:p>
      <w:pPr>
        <w:spacing w:before="38"/>
        <w:ind w:left="282" w:right="780" w:firstLine="0"/>
        <w:jc w:val="center"/>
        <w:rPr>
          <w:b/>
          <w:sz w:val="44"/>
        </w:rPr>
      </w:pPr>
      <w:r>
        <w:rPr>
          <w:b/>
          <w:sz w:val="44"/>
        </w:rPr>
        <w:t>投标文件</w:t>
      </w:r>
    </w:p>
    <w:p>
      <w:pPr>
        <w:spacing w:before="69" w:line="242" w:lineRule="auto"/>
        <w:ind w:left="1568" w:right="7004" w:firstLine="0"/>
        <w:jc w:val="left"/>
        <w:rPr>
          <w:sz w:val="28"/>
        </w:rPr>
      </w:pPr>
      <w:r>
        <w:rPr>
          <w:sz w:val="28"/>
        </w:rPr>
        <w:t>项目名称： 项目编号：</w:t>
      </w:r>
    </w:p>
    <w:p>
      <w:pPr>
        <w:spacing w:before="2"/>
        <w:ind w:left="1568" w:right="0" w:firstLine="0"/>
        <w:jc w:val="left"/>
        <w:rPr>
          <w:sz w:val="28"/>
        </w:rPr>
      </w:pPr>
      <w:r>
        <w:rPr>
          <w:sz w:val="28"/>
        </w:rPr>
        <w:t>投标文件类型：</w:t>
      </w:r>
      <w:r>
        <w:rPr>
          <w:sz w:val="28"/>
          <w:u w:val="single"/>
        </w:rPr>
        <w:t>资格审查文件/报价文件、技术文件</w:t>
      </w:r>
    </w:p>
    <w:p>
      <w:pPr>
        <w:pStyle w:val="7"/>
        <w:spacing w:before="12"/>
        <w:rPr>
          <w:sz w:val="12"/>
        </w:rPr>
      </w:pPr>
    </w:p>
    <w:p>
      <w:pPr>
        <w:spacing w:before="62" w:line="242" w:lineRule="auto"/>
        <w:ind w:left="1568" w:right="6727" w:firstLine="0"/>
        <w:jc w:val="left"/>
        <w:rPr>
          <w:sz w:val="28"/>
        </w:rPr>
      </w:pPr>
      <w:r>
        <w:rPr>
          <w:sz w:val="28"/>
        </w:rPr>
        <w:t>投标人名称： 投标人地址：</w:t>
      </w:r>
    </w:p>
    <w:p>
      <w:pPr>
        <w:tabs>
          <w:tab w:val="left" w:pos="7088"/>
          <w:tab w:val="left" w:pos="7647"/>
        </w:tabs>
        <w:spacing w:before="62"/>
        <w:ind w:left="6532" w:right="0" w:firstLine="0"/>
        <w:jc w:val="left"/>
        <w:rPr>
          <w:sz w:val="28"/>
        </w:rPr>
      </w:pPr>
      <w:r>
        <w:rPr>
          <w:sz w:val="28"/>
        </w:rPr>
        <w:t>年</w:t>
      </w:r>
      <w:r>
        <w:rPr>
          <w:sz w:val="28"/>
        </w:rPr>
        <w:tab/>
      </w:r>
      <w:r>
        <w:rPr>
          <w:sz w:val="28"/>
        </w:rPr>
        <w:t>月</w:t>
      </w:r>
      <w:r>
        <w:rPr>
          <w:sz w:val="28"/>
        </w:rPr>
        <w:tab/>
      </w:r>
      <w:r>
        <w:rPr>
          <w:sz w:val="28"/>
        </w:rPr>
        <w:t>日</w:t>
      </w:r>
    </w:p>
    <w:p>
      <w:pPr>
        <w:spacing w:after="0"/>
        <w:jc w:val="left"/>
        <w:rPr>
          <w:sz w:val="28"/>
        </w:rPr>
        <w:sectPr>
          <w:pgSz w:w="11910" w:h="16840"/>
          <w:pgMar w:top="1300" w:right="920" w:bottom="940" w:left="980" w:header="900" w:footer="757" w:gutter="0"/>
          <w:pgNumType w:fmt="decimal"/>
        </w:sectPr>
      </w:pPr>
    </w:p>
    <w:p>
      <w:pPr>
        <w:pStyle w:val="7"/>
      </w:pPr>
    </w:p>
    <w:p>
      <w:pPr>
        <w:pStyle w:val="7"/>
        <w:spacing w:before="6"/>
        <w:rPr>
          <w:sz w:val="26"/>
        </w:rPr>
      </w:pPr>
    </w:p>
    <w:p>
      <w:pPr>
        <w:pStyle w:val="6"/>
        <w:ind w:left="1928"/>
      </w:pPr>
      <w:r>
        <w:t>资格审查文件目录</w:t>
      </w:r>
    </w:p>
    <w:p>
      <w:pPr>
        <w:spacing w:before="142"/>
        <w:ind w:left="48" w:right="0" w:firstLine="0"/>
        <w:jc w:val="left"/>
        <w:rPr>
          <w:b/>
          <w:sz w:val="32"/>
        </w:rPr>
      </w:pPr>
      <w:r>
        <w:br w:type="column"/>
      </w:r>
      <w:r>
        <w:rPr>
          <w:b/>
          <w:sz w:val="32"/>
        </w:rPr>
        <w:t>二、资格审查文件格式</w:t>
      </w:r>
    </w:p>
    <w:p>
      <w:pPr>
        <w:spacing w:after="0"/>
        <w:jc w:val="left"/>
        <w:rPr>
          <w:sz w:val="32"/>
        </w:rPr>
        <w:sectPr>
          <w:pgSz w:w="11910" w:h="16840"/>
          <w:pgMar w:top="1280" w:right="917" w:bottom="980" w:left="980" w:header="900" w:footer="757" w:gutter="0"/>
          <w:pgNumType w:fmt="decimal"/>
          <w:cols w:equalWidth="0" w:num="2">
            <w:col w:w="3856" w:space="40"/>
            <w:col w:w="6117"/>
          </w:cols>
        </w:sectPr>
      </w:pPr>
    </w:p>
    <w:p>
      <w:pPr>
        <w:pStyle w:val="14"/>
        <w:numPr>
          <w:ilvl w:val="2"/>
          <w:numId w:val="33"/>
        </w:numPr>
        <w:tabs>
          <w:tab w:val="left" w:pos="1810"/>
        </w:tabs>
        <w:spacing w:before="95" w:after="0" w:line="240" w:lineRule="auto"/>
        <w:ind w:left="1809" w:right="0" w:hanging="602"/>
        <w:jc w:val="left"/>
        <w:rPr>
          <w:sz w:val="24"/>
        </w:rPr>
      </w:pPr>
      <w:r>
        <mc:AlternateContent>
          <mc:Choice Requires="wps">
            <w:drawing>
              <wp:anchor distT="0" distB="0" distL="114300" distR="114300" simplePos="0" relativeHeight="251663360" behindDoc="0" locked="0" layoutInCell="1" allowOverlap="1">
                <wp:simplePos x="0" y="0"/>
                <wp:positionH relativeFrom="page">
                  <wp:posOffset>900430</wp:posOffset>
                </wp:positionH>
                <wp:positionV relativeFrom="page">
                  <wp:posOffset>853440</wp:posOffset>
                </wp:positionV>
                <wp:extent cx="5760085" cy="0"/>
                <wp:effectExtent l="0" t="0" r="0" b="0"/>
                <wp:wrapNone/>
                <wp:docPr id="18" name="直线 11"/>
                <wp:cNvGraphicFramePr/>
                <a:graphic xmlns:a="http://schemas.openxmlformats.org/drawingml/2006/main">
                  <a:graphicData uri="http://schemas.microsoft.com/office/word/2010/wordprocessingShape">
                    <wps:wsp>
                      <wps:cNvCnPr/>
                      <wps:spPr>
                        <a:xfrm>
                          <a:off x="0" y="0"/>
                          <a:ext cx="5760085"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1" o:spid="_x0000_s1026" o:spt="20" style="position:absolute;left:0pt;margin-left:70.9pt;margin-top:67.2pt;height:0pt;width:453.55pt;mso-position-horizontal-relative:page;mso-position-vertical-relative:page;z-index:251663360;mso-width-relative:page;mso-height-relative:page;" filled="f" stroked="t" coordsize="21600,21600" o:gfxdata="UEsDBAoAAAAAAIdO4kAAAAAAAAAAAAAAAAAEAAAAZHJzL1BLAwQUAAAACACHTuJAiTIcR9cAAAAM&#10;AQAADwAAAGRycy9kb3ducmV2LnhtbE2PwU7DMBBE70j8g7VI3KgdiEpJ4/RQhQviAIEP2MYmjhrb&#10;UbxtSr+erYQEt53d0eybcnPygzjaKfUxaMgWCoQNbTR96DR8fjzfrUAkwmBwiMFq+LYJNtX1VYmF&#10;iXN4t8eGOsEhIRWowRGNhZSpddZjWsTRBr59xckjsZw6aSacOdwP8l6ppfTYB/7gcLRbZ9t9c/Aa&#10;mrfXeflyPs/1Y9NjIupdXW+1vr3J1BoE2RP9meGCz+hQMdMuHoJJYmCdZ4xOPDzkOYiLQ+WrJxC7&#10;35WsSvm/RPUDUEsDBBQAAAAIAIdO4kCdx9/6zwEAAI8DAAAOAAAAZHJzL2Uyb0RvYy54bWytU81u&#10;EzEQviPxDpbvZDdVW8oqmx4aygVBJMoDTPyza8l/8rjZ5Fl4DU5ceJy+BmMnTYFeKsQevGPP+Jv5&#10;vhkvrnfOsq1KaILv+XzWcqa8CNL4oedf727fXHGGGbwEG7zq+V4hv16+frWYYqfOwhisVIkRiMdu&#10;ij0fc45d06AYlQOchag8OXVIDjJt09DIBBOhO9ucte1lM4UkYwpCIdLp6uDky4qvtRL5s9aoMrM9&#10;p9pyXVNdN2VtlgvohgRxNOJYBvxDFQ6Mp6QnqBVkYPfJPINyRqSAQeeZCK4JWhuhKgdiM2//YvNl&#10;hKgqFxIH40km/H+w4tN2nZiR1DvqlAdHPXr49v3hx082nxd1pogdBd34dTruMK5TobrTyZU/kWC7&#10;quj+pKjaZSbo8OLtZdteXXAmHn3N08WYMH9QwbFi9NwaX8hCB9uPmCkZhT6GlGPr2dTzd/Pzc4ID&#10;mhVtIZPpIlWPfqh3MVgjb4215QamYXNjE9tC6X79CiXC/SOsJFkBjoe46jrMxahAvveS5X0kWTwN&#10;MC8lOCU5s4rmvVgECF0GY18SSamtpwqKqgcdi7UJck9duI/JDCMpUYWvMdT1Wu9xQstY/b6vSE/v&#10;aPk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iTIcR9cAAAAMAQAADwAAAAAAAAABACAAAAAiAAAA&#10;ZHJzL2Rvd25yZXYueG1sUEsBAhQAFAAAAAgAh07iQJ3H3/rPAQAAjwMAAA4AAAAAAAAAAQAgAAAA&#10;JgEAAGRycy9lMm9Eb2MueG1sUEsFBgAAAAAGAAYAWQEAAGcFAAAAAA==&#10;">
                <v:fill on="f" focussize="0,0"/>
                <v:stroke weight="0.72pt" color="#000000" joinstyle="round"/>
                <v:imagedata o:title=""/>
                <o:lock v:ext="edit" aspectratio="f"/>
              </v:line>
            </w:pict>
          </mc:Fallback>
        </mc:AlternateContent>
      </w:r>
      <w:r>
        <w:rPr>
          <w:sz w:val="24"/>
        </w:rPr>
        <w:t>有效的营业执照副本复印件；</w:t>
      </w:r>
    </w:p>
    <w:p>
      <w:pPr>
        <w:pStyle w:val="14"/>
        <w:numPr>
          <w:ilvl w:val="2"/>
          <w:numId w:val="33"/>
        </w:numPr>
        <w:tabs>
          <w:tab w:val="left" w:pos="1810"/>
        </w:tabs>
        <w:spacing w:before="96" w:after="0" w:line="240" w:lineRule="auto"/>
        <w:ind w:left="1809" w:right="0" w:hanging="602"/>
        <w:jc w:val="left"/>
        <w:rPr>
          <w:sz w:val="24"/>
        </w:rPr>
      </w:pPr>
      <w:r>
        <w:rPr>
          <w:sz w:val="24"/>
        </w:rPr>
        <w:t>有效的资质证书副本复印件；</w:t>
      </w:r>
    </w:p>
    <w:p>
      <w:pPr>
        <w:pStyle w:val="14"/>
        <w:numPr>
          <w:ilvl w:val="2"/>
          <w:numId w:val="33"/>
        </w:numPr>
        <w:tabs>
          <w:tab w:val="left" w:pos="1810"/>
        </w:tabs>
        <w:spacing w:before="96" w:after="0" w:line="240" w:lineRule="auto"/>
        <w:ind w:left="1809" w:right="0" w:hanging="602"/>
        <w:jc w:val="left"/>
        <w:rPr>
          <w:sz w:val="24"/>
        </w:rPr>
      </w:pPr>
      <w:r>
        <w:rPr>
          <w:sz w:val="24"/>
        </w:rPr>
        <w:t>投标人开户许可证复印件；</w:t>
      </w:r>
    </w:p>
    <w:p>
      <w:pPr>
        <w:pStyle w:val="14"/>
        <w:numPr>
          <w:ilvl w:val="2"/>
          <w:numId w:val="33"/>
        </w:numPr>
        <w:tabs>
          <w:tab w:val="left" w:pos="1810"/>
        </w:tabs>
        <w:spacing w:before="96" w:after="0" w:line="240" w:lineRule="auto"/>
        <w:ind w:left="1809" w:right="0" w:hanging="602"/>
        <w:jc w:val="left"/>
        <w:rPr>
          <w:sz w:val="24"/>
        </w:rPr>
      </w:pPr>
      <w:r>
        <w:rPr>
          <w:sz w:val="24"/>
        </w:rPr>
        <w:t>投标声明书(格式见附件)；</w:t>
      </w:r>
    </w:p>
    <w:p>
      <w:pPr>
        <w:pStyle w:val="14"/>
        <w:numPr>
          <w:ilvl w:val="2"/>
          <w:numId w:val="33"/>
        </w:numPr>
        <w:tabs>
          <w:tab w:val="left" w:pos="1810"/>
        </w:tabs>
        <w:spacing w:before="98" w:after="0" w:line="242" w:lineRule="auto"/>
        <w:ind w:left="1208" w:right="735" w:firstLine="0"/>
        <w:jc w:val="left"/>
        <w:rPr>
          <w:sz w:val="24"/>
        </w:rPr>
      </w:pPr>
      <w:r>
        <w:rPr>
          <w:spacing w:val="-5"/>
          <w:sz w:val="24"/>
        </w:rPr>
        <w:t>法人授权委托书和委托代理人完整有效的身份证正反面复印件</w:t>
      </w:r>
      <w:r>
        <w:rPr>
          <w:sz w:val="24"/>
        </w:rPr>
        <w:t>（委托代理时提供</w:t>
      </w:r>
      <w:r>
        <w:rPr>
          <w:spacing w:val="-120"/>
          <w:sz w:val="24"/>
        </w:rPr>
        <w:t>）</w:t>
      </w:r>
      <w:r>
        <w:rPr>
          <w:sz w:val="24"/>
        </w:rPr>
        <w:t>；</w:t>
      </w:r>
    </w:p>
    <w:p>
      <w:pPr>
        <w:pStyle w:val="14"/>
        <w:numPr>
          <w:ilvl w:val="2"/>
          <w:numId w:val="33"/>
        </w:numPr>
        <w:tabs>
          <w:tab w:val="left" w:pos="1861"/>
        </w:tabs>
        <w:spacing w:before="99" w:after="0" w:line="362" w:lineRule="auto"/>
        <w:ind w:left="438" w:right="495" w:firstLine="847"/>
        <w:jc w:val="both"/>
        <w:rPr>
          <w:sz w:val="24"/>
        </w:rPr>
      </w:pPr>
      <w:r>
        <w:rPr>
          <w:spacing w:val="-3"/>
          <w:sz w:val="24"/>
        </w:rPr>
        <w:t xml:space="preserve">投标人在递交截止之日前半年内连续三个月依法纳税的完税凭证复印件 </w:t>
      </w:r>
      <w:r>
        <w:rPr>
          <w:sz w:val="24"/>
        </w:rPr>
        <w:t>或者《依法纳税或依法免税证明》复印件</w:t>
      </w:r>
      <w:r>
        <w:rPr>
          <w:spacing w:val="4"/>
          <w:sz w:val="24"/>
        </w:rPr>
        <w:t>（如为新成立的投标单位请按实际依法缴纳</w:t>
      </w:r>
      <w:r>
        <w:rPr>
          <w:sz w:val="24"/>
        </w:rPr>
        <w:t>的月份提供，必须提供，加盖投标单位公章）；</w:t>
      </w:r>
    </w:p>
    <w:p>
      <w:pPr>
        <w:pStyle w:val="14"/>
        <w:numPr>
          <w:ilvl w:val="2"/>
          <w:numId w:val="33"/>
        </w:numPr>
        <w:tabs>
          <w:tab w:val="left" w:pos="1793"/>
        </w:tabs>
        <w:spacing w:before="6" w:after="0" w:line="364" w:lineRule="auto"/>
        <w:ind w:left="438" w:right="497" w:firstLine="792"/>
        <w:jc w:val="both"/>
        <w:rPr>
          <w:sz w:val="24"/>
        </w:rPr>
      </w:pPr>
      <w:r>
        <w:rPr>
          <w:sz w:val="24"/>
        </w:rPr>
        <w:t xml:space="preserve">投标人在递交截止之日前半年内连续三个月依法缴纳社会保障资金的凭 </w:t>
      </w:r>
      <w:r>
        <w:rPr>
          <w:spacing w:val="3"/>
          <w:sz w:val="24"/>
        </w:rPr>
        <w:t>证复印件</w:t>
      </w:r>
      <w:r>
        <w:rPr>
          <w:spacing w:val="4"/>
          <w:sz w:val="24"/>
        </w:rPr>
        <w:t>（如社保部门开具的证明、收款收据等，或银行缴款凭证、回单等，如为非</w:t>
      </w:r>
      <w:r>
        <w:rPr>
          <w:spacing w:val="9"/>
          <w:sz w:val="24"/>
        </w:rPr>
        <w:t>社保部门开具的凭证或回单的，应清晰反映：缴款单位名称、社保单位名称、保险</w:t>
      </w:r>
      <w:r>
        <w:rPr>
          <w:sz w:val="24"/>
        </w:rPr>
        <w:t>名称、缴款金额等内容</w:t>
      </w:r>
      <w:r>
        <w:rPr>
          <w:spacing w:val="4"/>
          <w:sz w:val="24"/>
        </w:rPr>
        <w:t>）。无缴费记录的，应提供</w:t>
      </w:r>
      <w:r>
        <w:rPr>
          <w:rFonts w:hint="eastAsia"/>
          <w:spacing w:val="4"/>
          <w:sz w:val="24"/>
          <w:lang w:eastAsia="zh-CN"/>
        </w:rPr>
        <w:t>投</w:t>
      </w:r>
      <w:r>
        <w:rPr>
          <w:spacing w:val="4"/>
          <w:sz w:val="24"/>
        </w:rPr>
        <w:t>标人所在地社保部门出具的《依</w:t>
      </w:r>
      <w:r>
        <w:rPr>
          <w:spacing w:val="9"/>
          <w:sz w:val="24"/>
        </w:rPr>
        <w:t>法缴纳或依法免缴社保费证明》</w:t>
      </w:r>
      <w:r>
        <w:rPr>
          <w:spacing w:val="12"/>
          <w:sz w:val="24"/>
        </w:rPr>
        <w:t>（如为新成立的投标单位请按实际依法缴纳的月份</w:t>
      </w:r>
      <w:r>
        <w:rPr>
          <w:spacing w:val="-4"/>
          <w:sz w:val="24"/>
        </w:rPr>
        <w:t>提供，必须提供，加盖投标单位公章</w:t>
      </w:r>
      <w:r>
        <w:rPr>
          <w:sz w:val="24"/>
        </w:rPr>
        <w:t>）；</w:t>
      </w:r>
    </w:p>
    <w:p>
      <w:pPr>
        <w:pStyle w:val="14"/>
        <w:numPr>
          <w:ilvl w:val="2"/>
          <w:numId w:val="33"/>
        </w:numPr>
        <w:tabs>
          <w:tab w:val="left" w:pos="2000"/>
        </w:tabs>
        <w:spacing w:before="0" w:after="0" w:line="364" w:lineRule="auto"/>
        <w:ind w:left="438" w:right="113" w:rightChars="0" w:firstLine="960"/>
        <w:jc w:val="left"/>
        <w:rPr>
          <w:sz w:val="24"/>
        </w:rPr>
      </w:pPr>
      <w:r>
        <w:rPr>
          <w:sz w:val="24"/>
        </w:rPr>
        <w:t>投标人201</w:t>
      </w:r>
      <w:r>
        <w:rPr>
          <w:rFonts w:hint="eastAsia"/>
          <w:sz w:val="24"/>
          <w:lang w:val="en-US" w:eastAsia="zh-CN"/>
        </w:rPr>
        <w:t>9</w:t>
      </w:r>
      <w:r>
        <w:rPr>
          <w:sz w:val="24"/>
        </w:rPr>
        <w:t>年度</w:t>
      </w:r>
      <w:r>
        <w:rPr>
          <w:rFonts w:hint="eastAsia"/>
          <w:sz w:val="24"/>
          <w:lang w:eastAsia="zh-CN"/>
        </w:rPr>
        <w:t>财务</w:t>
      </w:r>
      <w:r>
        <w:rPr>
          <w:sz w:val="24"/>
        </w:rPr>
        <w:t>报表，（如</w:t>
      </w:r>
      <w:r>
        <w:rPr>
          <w:rFonts w:hint="eastAsia"/>
          <w:sz w:val="24"/>
          <w:lang w:eastAsia="zh-CN"/>
        </w:rPr>
        <w:t>是</w:t>
      </w:r>
      <w:r>
        <w:rPr>
          <w:spacing w:val="-2"/>
          <w:sz w:val="24"/>
        </w:rPr>
        <w:t>新成立的投标</w:t>
      </w:r>
      <w:r>
        <w:rPr>
          <w:sz w:val="24"/>
        </w:rPr>
        <w:t>单位则按实际月份提供，必须提供，加盖投标单位公章）；</w:t>
      </w:r>
    </w:p>
    <w:p>
      <w:pPr>
        <w:pStyle w:val="14"/>
        <w:numPr>
          <w:ilvl w:val="2"/>
          <w:numId w:val="33"/>
        </w:numPr>
        <w:tabs>
          <w:tab w:val="left" w:pos="2201"/>
        </w:tabs>
        <w:spacing w:before="0" w:after="0" w:line="242" w:lineRule="auto"/>
        <w:ind w:left="1208" w:right="670" w:firstLine="261"/>
        <w:jc w:val="both"/>
        <w:rPr>
          <w:sz w:val="24"/>
        </w:rPr>
      </w:pPr>
      <w:r>
        <w:rPr>
          <w:spacing w:val="7"/>
          <w:sz w:val="24"/>
        </w:rPr>
        <w:t>投标人在“信用中国”网站</w:t>
      </w:r>
      <w:r>
        <w:rPr>
          <w:sz w:val="24"/>
        </w:rPr>
        <w:t>(www.creditchina.gov.cn</w:t>
      </w:r>
      <w:r>
        <w:rPr>
          <w:spacing w:val="8"/>
          <w:sz w:val="24"/>
        </w:rPr>
        <w:t>)、中国政府</w:t>
      </w:r>
      <w:r>
        <w:rPr>
          <w:spacing w:val="14"/>
          <w:sz w:val="24"/>
        </w:rPr>
        <w:t>采网</w:t>
      </w:r>
      <w:r>
        <w:rPr>
          <w:sz w:val="24"/>
        </w:rPr>
        <w:t>(www.ccgp.gov.cn)等渠道的信用查询页面打印文件（必须提交，加盖投标单位公章）。</w:t>
      </w:r>
    </w:p>
    <w:p>
      <w:pPr>
        <w:spacing w:after="0" w:line="242" w:lineRule="auto"/>
        <w:jc w:val="both"/>
        <w:rPr>
          <w:sz w:val="24"/>
        </w:rPr>
      </w:pPr>
    </w:p>
    <w:p>
      <w:pPr>
        <w:pStyle w:val="2"/>
        <w:ind w:left="960" w:hanging="960" w:hangingChars="400"/>
        <w:rPr>
          <w:rFonts w:hint="eastAsia" w:ascii="仿宋" w:hAnsi="仿宋" w:eastAsia="仿宋" w:cs="仿宋"/>
          <w:sz w:val="24"/>
          <w:lang w:val="en-US" w:eastAsia="zh-CN"/>
        </w:rPr>
      </w:pPr>
      <w:r>
        <w:rPr>
          <w:rFonts w:hint="eastAsia"/>
          <w:sz w:val="24"/>
          <w:lang w:val="en-US" w:eastAsia="zh-CN"/>
        </w:rPr>
        <w:t xml:space="preserve">            </w:t>
      </w:r>
      <w:r>
        <w:rPr>
          <w:rFonts w:hint="eastAsia" w:ascii="仿宋" w:hAnsi="仿宋" w:eastAsia="仿宋" w:cs="仿宋"/>
          <w:sz w:val="24"/>
          <w:lang w:val="en-US" w:eastAsia="zh-CN"/>
        </w:rPr>
        <w:t xml:space="preserve"> （10）参加政府采购活动前3年内在经营活动中没有重大违法记录的书面声明(必须提供，加盖单位公章)；</w:t>
      </w:r>
    </w:p>
    <w:p>
      <w:pPr>
        <w:pStyle w:val="2"/>
        <w:rPr>
          <w:rFonts w:hint="eastAsia" w:ascii="仿宋" w:hAnsi="仿宋" w:eastAsia="仿宋" w:cs="仿宋"/>
          <w:lang w:val="en-US" w:eastAsia="zh-CN"/>
        </w:rPr>
        <w:sectPr>
          <w:type w:val="continuous"/>
          <w:pgSz w:w="11910" w:h="16840"/>
          <w:pgMar w:top="1600" w:right="917" w:bottom="280" w:left="980" w:header="720" w:footer="720" w:gutter="0"/>
          <w:pgNumType w:fmt="decimal"/>
        </w:sectPr>
      </w:pPr>
    </w:p>
    <w:p>
      <w:pPr>
        <w:pStyle w:val="7"/>
        <w:spacing w:before="6"/>
        <w:rPr>
          <w:sz w:val="3"/>
        </w:rPr>
      </w:pPr>
    </w:p>
    <w:p>
      <w:pPr>
        <w:pStyle w:val="7"/>
        <w:spacing w:line="20" w:lineRule="exact"/>
        <w:ind w:left="430"/>
        <w:rPr>
          <w:sz w:val="2"/>
        </w:rPr>
      </w:pPr>
      <w:r>
        <w:rPr>
          <w:sz w:val="2"/>
        </w:rPr>
        <mc:AlternateContent>
          <mc:Choice Requires="wpg">
            <w:drawing>
              <wp:inline distT="0" distB="0" distL="114300" distR="114300">
                <wp:extent cx="5760085" cy="9525"/>
                <wp:effectExtent l="0" t="0" r="0" b="0"/>
                <wp:docPr id="10" name="组合 12"/>
                <wp:cNvGraphicFramePr/>
                <a:graphic xmlns:a="http://schemas.openxmlformats.org/drawingml/2006/main">
                  <a:graphicData uri="http://schemas.microsoft.com/office/word/2010/wordprocessingGroup">
                    <wpg:wgp>
                      <wpg:cNvGrpSpPr/>
                      <wpg:grpSpPr>
                        <a:xfrm>
                          <a:off x="0" y="0"/>
                          <a:ext cx="5760085" cy="9525"/>
                          <a:chOff x="0" y="0"/>
                          <a:chExt cx="9071" cy="15"/>
                        </a:xfrm>
                      </wpg:grpSpPr>
                      <wps:wsp>
                        <wps:cNvPr id="9" name="直线 13"/>
                        <wps:cNvCnPr/>
                        <wps:spPr>
                          <a:xfrm>
                            <a:off x="0" y="7"/>
                            <a:ext cx="9071"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组合 12" o:spid="_x0000_s1026" o:spt="203" style="height:0.75pt;width:453.55pt;" coordsize="9071,15" o:gfxdata="UEsDBAoAAAAAAIdO4kAAAAAAAAAAAAAAAAAEAAAAZHJzL1BLAwQUAAAACACHTuJAWFVNRdQAAAAD&#10;AQAADwAAAGRycy9kb3ducmV2LnhtbE2PT0vDQBDF74LfYRnBm92NUv/EbIoU9VQEW0G8TbPTJDQ7&#10;G7LbpP32jl708mB4j/d+UyyOvlMjDbENbCGbGVDEVXAt1xY+Ni9X96BiQnbYBSYLJ4qwKM/PCsxd&#10;mPidxnWqlZRwzNFCk1Kfax2rhjzGWeiJxduFwWOSc6i1G3CSct/pa2NutceWZaHBnpYNVfv1wVt4&#10;nXB6usmex9V+tzx9beZvn6uMrL28yMwjqETH9BeGH3xBh1KYtuHALqrOgjySflW8B3OXgdpKaA66&#10;LPR/9vIbUEsDBBQAAAAIAIdO4kAgc5ZJNQIAALMEAAAOAAAAZHJzL2Uyb0RvYy54bWyllL1u2zAQ&#10;x/cCfQeCey3JjZNYsJwhTrwUbYC0D0CTlESAXyBpy947dOze1+jUDn2aIq/RIyXLbYICReqB5sfd&#10;8X+/42lxtVcS7bjzwugKF5McI66pYUI3Ff7w/vbVJUY+EM2INJpX+MA9vlq+fLHobMmnpjWScYcg&#10;iPZlZyvchmDLLPO05Yr4ibFcw2FtnCIBlq7JmCMdRFcym+b5edYZx6wzlHsPu6v+EC9T/LrmNLyr&#10;a88DkhUGbSGNLo2bOGbLBSkbR2wr6CCDPEOFIkLDpWOoFQkEbZ14EkoJ6ow3dZhQozJT14LylANk&#10;U+SPslk7s7Upl6bsGjtiArSPOD07LH27u3NIMKgd4NFEQY0evn/8+fkTKqaRTmebEozWzt7bOzds&#10;NP0qJryvnYr/kAraJ66HkSvfB0Rhc3ZxnueXM4wonM1n01mPnbZQmydOtL0Z3Ob5RdH7FMkjO96W&#10;RVGjhs7C0/EnOv7/6Ny3xPIE3cfEBzrzEc6Xrw/ffqDidQ8n2VzrgYwvPUD6K5aLPu8jllN+6R2O&#10;6ZHSOh/W3CgUJxWWQkdFpCS7Nz5ADcD0aBK3pUYdgC3OzgAXgS6qJQkwVRbq6nWTfL2Rgt0KKaOH&#10;d83mWjq0I7Ev0i9qg7h/mMVLVsS3vV066lNoOWE3mqFwsPBgNLQ2jhIUZxhJDl+COIOApAxEyH+x&#10;hKulBgWxmj3EONsYdoAKbK0TTQskiqRyqHiyTp2RlA9dHFvv93WyOn1rlr8A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WFVNRdQAAAADAQAADwAAAAAAAAABACAAAAAiAAAAZHJzL2Rvd25yZXYueG1s&#10;UEsBAhQAFAAAAAgAh07iQCBzlkk1AgAAswQAAA4AAAAAAAAAAQAgAAAAIwEAAGRycy9lMm9Eb2Mu&#10;eG1sUEsFBgAAAAAGAAYAWQEAAMoFAAAAAA==&#10;">
                <o:lock v:ext="edit" aspectratio="f"/>
                <v:line id="直线 13" o:spid="_x0000_s1026" o:spt="20" style="position:absolute;left:0;top:7;height:0;width:9071;" filled="f" stroked="t" coordsize="21600,21600" o:gfxdata="UEsDBAoAAAAAAIdO4kAAAAAAAAAAAAAAAAAEAAAAZHJzL1BLAwQUAAAACACHTuJA4ctGSbwAAADa&#10;AAAADwAAAGRycy9kb3ducmV2LnhtbEWPwW7CMBBE70j9B2sr9QYOHGibYjigVEIVhzbwAat4G1uN&#10;11G8JZSvr5GQOI5m5o1mtTmHTp1oSD6ygfmsAEXcROu5NXA8vE9fQCVBtthFJgN/lGCzfpissLRx&#10;5C861dKqDOFUogEn0pdap8ZRwDSLPXH2vuMQULIcWm0HHDM8dHpRFEsd0HNecNjT1lHzU/8GA/Xn&#10;flx+XC5j9Vx7TCLeVdXWmKfHefEGSugs9/CtvbMGXuF6Jd8Avf4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HLRkm8AAAA&#10;2gAAAA8AAAAAAAAAAQAgAAAAIgAAAGRycy9kb3ducmV2LnhtbFBLAQIUABQAAAAIAIdO4kAzLwWe&#10;OwAAADkAAAAQAAAAAAAAAAEAIAAAAAsBAABkcnMvc2hhcGV4bWwueG1sUEsFBgAAAAAGAAYAWwEA&#10;ALUDAAAAAA==&#10;">
                  <v:fill on="f" focussize="0,0"/>
                  <v:stroke weight="0.72pt" color="#000000" joinstyle="round"/>
                  <v:imagedata o:title=""/>
                  <o:lock v:ext="edit" aspectratio="f"/>
                </v:line>
                <w10:wrap type="none"/>
                <w10:anchorlock/>
              </v:group>
            </w:pict>
          </mc:Fallback>
        </mc:AlternateContent>
      </w:r>
    </w:p>
    <w:p>
      <w:pPr>
        <w:pStyle w:val="3"/>
        <w:spacing w:before="65"/>
        <w:ind w:left="3619" w:right="3784"/>
        <w:jc w:val="center"/>
      </w:pPr>
      <w:r>
        <w:t>资格审查文件格式</w:t>
      </w:r>
    </w:p>
    <w:p>
      <w:pPr>
        <w:pStyle w:val="14"/>
        <w:numPr>
          <w:ilvl w:val="0"/>
          <w:numId w:val="34"/>
        </w:numPr>
        <w:tabs>
          <w:tab w:val="left" w:pos="1810"/>
        </w:tabs>
        <w:spacing w:before="95" w:after="0" w:line="240" w:lineRule="auto"/>
        <w:ind w:left="1809" w:right="0" w:hanging="602"/>
        <w:jc w:val="left"/>
        <w:rPr>
          <w:sz w:val="24"/>
        </w:rPr>
      </w:pPr>
      <w:r>
        <w:rPr>
          <w:sz w:val="24"/>
        </w:rPr>
        <w:t>有效的营业执照副本复印件；</w:t>
      </w:r>
    </w:p>
    <w:p>
      <w:pPr>
        <w:pStyle w:val="7"/>
      </w:pPr>
    </w:p>
    <w:p>
      <w:pPr>
        <w:pStyle w:val="7"/>
      </w:pPr>
    </w:p>
    <w:p>
      <w:pPr>
        <w:pStyle w:val="7"/>
        <w:spacing w:before="3"/>
        <w:rPr>
          <w:sz w:val="22"/>
        </w:rPr>
      </w:pPr>
    </w:p>
    <w:p>
      <w:pPr>
        <w:pStyle w:val="14"/>
        <w:numPr>
          <w:ilvl w:val="0"/>
          <w:numId w:val="34"/>
        </w:numPr>
        <w:tabs>
          <w:tab w:val="left" w:pos="1810"/>
        </w:tabs>
        <w:spacing w:before="0" w:after="0" w:line="240" w:lineRule="auto"/>
        <w:ind w:left="1809" w:right="0" w:hanging="602"/>
        <w:jc w:val="left"/>
      </w:pPr>
      <w:r>
        <w:rPr>
          <w:sz w:val="24"/>
        </w:rPr>
        <w:t>有效的资质证书副本复印件；</w:t>
      </w:r>
    </w:p>
    <w:p>
      <w:pPr>
        <w:pStyle w:val="14"/>
        <w:numPr>
          <w:ilvl w:val="0"/>
          <w:numId w:val="0"/>
        </w:numPr>
        <w:tabs>
          <w:tab w:val="left" w:pos="1810"/>
        </w:tabs>
        <w:spacing w:before="0" w:after="0" w:line="240" w:lineRule="auto"/>
        <w:ind w:left="1207" w:leftChars="0" w:right="0" w:rightChars="0"/>
        <w:jc w:val="left"/>
      </w:pPr>
    </w:p>
    <w:p>
      <w:pPr>
        <w:pStyle w:val="7"/>
      </w:pPr>
    </w:p>
    <w:p>
      <w:pPr>
        <w:pStyle w:val="7"/>
        <w:spacing w:before="7"/>
        <w:rPr>
          <w:sz w:val="22"/>
        </w:rPr>
      </w:pPr>
    </w:p>
    <w:p>
      <w:pPr>
        <w:pStyle w:val="14"/>
        <w:numPr>
          <w:ilvl w:val="0"/>
          <w:numId w:val="34"/>
        </w:numPr>
        <w:tabs>
          <w:tab w:val="left" w:pos="1810"/>
        </w:tabs>
        <w:spacing w:before="0" w:after="0" w:line="240" w:lineRule="auto"/>
        <w:ind w:left="1809" w:right="0" w:hanging="602"/>
        <w:jc w:val="left"/>
        <w:rPr>
          <w:sz w:val="24"/>
        </w:rPr>
      </w:pPr>
      <w:r>
        <w:rPr>
          <w:sz w:val="24"/>
        </w:rPr>
        <w:t>投标人开户许可证复印件；</w:t>
      </w:r>
    </w:p>
    <w:p>
      <w:pPr>
        <w:spacing w:after="0" w:line="240" w:lineRule="auto"/>
        <w:jc w:val="left"/>
        <w:rPr>
          <w:sz w:val="24"/>
        </w:rPr>
        <w:sectPr>
          <w:pgSz w:w="11910" w:h="16840"/>
          <w:pgMar w:top="1280" w:right="917" w:bottom="980" w:left="980" w:header="900" w:footer="757" w:gutter="0"/>
          <w:pgNumType w:fmt="decimal"/>
        </w:sectPr>
      </w:pPr>
    </w:p>
    <w:p>
      <w:pPr>
        <w:pStyle w:val="7"/>
        <w:rPr>
          <w:sz w:val="20"/>
        </w:rPr>
      </w:pPr>
    </w:p>
    <w:p>
      <w:pPr>
        <w:pStyle w:val="7"/>
        <w:spacing w:before="12"/>
        <w:rPr>
          <w:sz w:val="16"/>
        </w:rPr>
      </w:pPr>
    </w:p>
    <w:p>
      <w:pPr>
        <w:pStyle w:val="14"/>
        <w:numPr>
          <w:ilvl w:val="0"/>
          <w:numId w:val="34"/>
        </w:numPr>
        <w:tabs>
          <w:tab w:val="left" w:pos="1810"/>
        </w:tabs>
        <w:spacing w:before="0" w:after="0" w:line="240" w:lineRule="auto"/>
        <w:ind w:left="1809" w:right="0" w:hanging="602"/>
        <w:jc w:val="left"/>
        <w:rPr>
          <w:sz w:val="24"/>
        </w:rPr>
      </w:pPr>
      <w:r>
        <w:rPr>
          <w:sz w:val="24"/>
        </w:rPr>
        <w:t>投标声明书(格式见附件)；</w:t>
      </w:r>
    </w:p>
    <w:p>
      <w:pPr>
        <w:pStyle w:val="7"/>
      </w:pPr>
    </w:p>
    <w:p>
      <w:pPr>
        <w:pStyle w:val="7"/>
        <w:spacing w:before="4"/>
        <w:rPr>
          <w:sz w:val="32"/>
        </w:rPr>
      </w:pPr>
    </w:p>
    <w:p>
      <w:pPr>
        <w:pStyle w:val="6"/>
        <w:spacing w:before="1"/>
        <w:ind w:left="3619" w:right="3678"/>
        <w:jc w:val="center"/>
      </w:pPr>
      <w:r>
        <w:t>投标声明书</w:t>
      </w:r>
    </w:p>
    <w:p>
      <w:pPr>
        <w:pStyle w:val="7"/>
        <w:rPr>
          <w:b/>
        </w:rPr>
      </w:pPr>
    </w:p>
    <w:p>
      <w:pPr>
        <w:pStyle w:val="7"/>
        <w:spacing w:before="1"/>
        <w:rPr>
          <w:b/>
          <w:sz w:val="33"/>
        </w:rPr>
      </w:pPr>
    </w:p>
    <w:p>
      <w:pPr>
        <w:pStyle w:val="7"/>
        <w:ind w:left="438"/>
      </w:pPr>
      <w:r>
        <w:t>致：（招标人名称）：</w:t>
      </w:r>
    </w:p>
    <w:p>
      <w:pPr>
        <w:pStyle w:val="7"/>
        <w:spacing w:before="213"/>
        <w:ind w:left="1158"/>
      </w:pPr>
      <w:r>
        <w:t>（投标人名称）系中华人民共和国合法企业，经营地址。</w:t>
      </w:r>
    </w:p>
    <w:p>
      <w:pPr>
        <w:pStyle w:val="7"/>
        <w:spacing w:before="214" w:line="312" w:lineRule="auto"/>
        <w:ind w:left="438" w:right="525" w:firstLine="645"/>
      </w:pPr>
      <w:r>
        <w:t>我（姓名）系（投标人名称）的法定代表人，我方愿意参加贵方组织的项目的投标，为便于贵方公正、择优地确定中标人的服务，我方就本次投标有关事项郑重声明如下：</w:t>
      </w:r>
    </w:p>
    <w:p>
      <w:pPr>
        <w:pStyle w:val="14"/>
        <w:numPr>
          <w:ilvl w:val="0"/>
          <w:numId w:val="35"/>
        </w:numPr>
        <w:tabs>
          <w:tab w:val="left" w:pos="1160"/>
        </w:tabs>
        <w:spacing w:before="51" w:after="0" w:line="240" w:lineRule="auto"/>
        <w:ind w:left="1159" w:right="0" w:hanging="242"/>
        <w:jc w:val="left"/>
        <w:rPr>
          <w:sz w:val="24"/>
        </w:rPr>
      </w:pPr>
      <w:r>
        <w:rPr>
          <w:sz w:val="24"/>
        </w:rPr>
        <w:t>我方向贵方提交的所有投标文件、资料都是准确的和真实的。</w:t>
      </w:r>
    </w:p>
    <w:p>
      <w:pPr>
        <w:pStyle w:val="14"/>
        <w:numPr>
          <w:ilvl w:val="0"/>
          <w:numId w:val="35"/>
        </w:numPr>
        <w:tabs>
          <w:tab w:val="left" w:pos="1160"/>
        </w:tabs>
        <w:spacing w:before="211" w:after="0" w:line="312" w:lineRule="auto"/>
        <w:ind w:left="438" w:right="689" w:firstLine="480"/>
        <w:jc w:val="left"/>
        <w:rPr>
          <w:sz w:val="24"/>
        </w:rPr>
      </w:pPr>
      <w:r>
        <w:rPr>
          <w:spacing w:val="-1"/>
          <w:sz w:val="24"/>
        </w:rPr>
        <w:t>我方不是招标人的附属机构；在获知本项目采购信息后，与招标人聘请的为此</w:t>
      </w:r>
      <w:r>
        <w:rPr>
          <w:sz w:val="24"/>
        </w:rPr>
        <w:t>项目提供咨询服务的公司及其附属机构没有任何联系。</w:t>
      </w:r>
    </w:p>
    <w:p>
      <w:pPr>
        <w:pStyle w:val="7"/>
        <w:spacing w:before="122"/>
        <w:ind w:left="918"/>
      </w:pPr>
      <w:r>
        <w:t>3..我方诚意提请贵方关注：近期有关服务等方面的重大决策和事项有：</w:t>
      </w:r>
    </w:p>
    <w:p>
      <w:pPr>
        <w:pStyle w:val="7"/>
        <w:rPr>
          <w:sz w:val="20"/>
        </w:rPr>
      </w:pPr>
    </w:p>
    <w:p>
      <w:pPr>
        <w:pStyle w:val="7"/>
        <w:spacing w:before="10"/>
        <w:rPr>
          <w:sz w:val="13"/>
        </w:rPr>
      </w:pPr>
      <w:r>
        <mc:AlternateContent>
          <mc:Choice Requires="wps">
            <w:drawing>
              <wp:anchor distT="0" distB="0" distL="0" distR="0" simplePos="0" relativeHeight="251665408" behindDoc="1" locked="0" layoutInCell="1" allowOverlap="1">
                <wp:simplePos x="0" y="0"/>
                <wp:positionH relativeFrom="page">
                  <wp:posOffset>1205230</wp:posOffset>
                </wp:positionH>
                <wp:positionV relativeFrom="paragraph">
                  <wp:posOffset>140970</wp:posOffset>
                </wp:positionV>
                <wp:extent cx="4114165" cy="0"/>
                <wp:effectExtent l="0" t="0" r="0" b="0"/>
                <wp:wrapTopAndBottom/>
                <wp:docPr id="19" name="直线 14"/>
                <wp:cNvGraphicFramePr/>
                <a:graphic xmlns:a="http://schemas.openxmlformats.org/drawingml/2006/main">
                  <a:graphicData uri="http://schemas.microsoft.com/office/word/2010/wordprocessingShape">
                    <wps:wsp>
                      <wps:cNvCnPr/>
                      <wps:spPr>
                        <a:xfrm>
                          <a:off x="0" y="0"/>
                          <a:ext cx="4114165"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直线 14" o:spid="_x0000_s1026" o:spt="20" style="position:absolute;left:0pt;margin-left:94.9pt;margin-top:11.1pt;height:0pt;width:323.95pt;mso-position-horizontal-relative:page;mso-wrap-distance-bottom:0pt;mso-wrap-distance-top:0pt;z-index:-251651072;mso-width-relative:page;mso-height-relative:page;" filled="f" stroked="t" coordsize="21600,21600" o:gfxdata="UEsDBAoAAAAAAIdO4kAAAAAAAAAAAAAAAAAEAAAAZHJzL1BLAwQUAAAACACHTuJAsfmLtdUAAAAJ&#10;AQAADwAAAGRycy9kb3ducmV2LnhtbE2PwU7DMBBE70j8g7VI3KhTIzUhxKkEhSNUtIizGy9xRLyO&#10;YjcpfD2LOMBxdkYzb6v1yfdiwjF2gTQsFxkIpCbYjloNr/vHqwJETIas6QOhhk+MsK7PzypT2jDT&#10;C0671AouoVgaDS6loZQyNg69iYswILH3HkZvEsuxlXY0M5f7XqosW0lvOuIFZwa8d9h87I5ew9dq&#10;dhv58Jxv3Zu8K7ZP+0nhRuvLi2V2CyLhKf2F4Qef0aFmpkM4ko2iZ13cMHrSoJQCwYHiOs9BHH4P&#10;sq7k/w/qb1BLAwQUAAAACACHTuJAuGgNOc8BAACPAwAADgAAAGRycy9lMm9Eb2MueG1srVNLjhMx&#10;EN0jcQfLe9LpKARopTOLCcMGwUgMB6j4023JP7k86eQsXIMVG44z16DsZDJ8NgiRhVN2lZ/fe1W9&#10;vjo4y/YqoQm+5+1szpnyIkjjh55/vrt58ZozzOAl2OBVz48K+dXm+bP1FDu1CGOwUiVGIB67KfZ8&#10;zDl2TYNiVA5wFqLylNQhOci0TUMjE0yE7myzmM9XzRSSjCkIhUin21OSbyq+1krkj1qjysz2nLjl&#10;uqa67srabNbQDQniaMSZBvwDCwfG06MXqC1kYPfJ/AHljEgBg84zEVwTtDZCVQ2kpp3/pubTCFFV&#10;LWQOxotN+P9gxYf9bWJGUu/ecObBUY8evnx9+PadtcvizhSxo6Jrf5vOO4y3qUg96OTKP4lgh+ro&#10;8eKoOmQm6HDZtst29ZIz8Zhrni7GhPmdCo6VoOfW+CIWOti/x0yPUeljSTm2nk09f7VaUB8F0Kxo&#10;C5lCF4k9+qHexWCNvDHWlhuYht21TWwPpfv1VyQR7i9l5ZEt4Hiqq6nTXIwK5FsvWT5GssXTAPNC&#10;wSnJmVU07yUiQOgyGPs3lfS09cSguHrysUS7II/UhfuYzDCSE21lWTLU9cr3PKFlrH7eV6Sn72jz&#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LH5i7XVAAAACQEAAA8AAAAAAAAAAQAgAAAAIgAAAGRy&#10;cy9kb3ducmV2LnhtbFBLAQIUABQAAAAIAIdO4kC4aA05zwEAAI8DAAAOAAAAAAAAAAEAIAAAACQB&#10;AABkcnMvZTJvRG9jLnhtbFBLBQYAAAAABgAGAFkBAABlBQAAAAA=&#10;">
                <v:fill on="f" focussize="0,0"/>
                <v:stroke weight="0.6pt" color="#000000" joinstyle="round"/>
                <v:imagedata o:title=""/>
                <o:lock v:ext="edit" aspectratio="f"/>
                <w10:wrap type="topAndBottom"/>
              </v:line>
            </w:pict>
          </mc:Fallback>
        </mc:AlternateContent>
      </w:r>
    </w:p>
    <w:p>
      <w:pPr>
        <w:pStyle w:val="7"/>
        <w:rPr>
          <w:sz w:val="20"/>
        </w:rPr>
      </w:pPr>
    </w:p>
    <w:p>
      <w:pPr>
        <w:pStyle w:val="7"/>
        <w:spacing w:before="1"/>
        <w:rPr>
          <w:sz w:val="23"/>
        </w:rPr>
      </w:pPr>
    </w:p>
    <w:p>
      <w:pPr>
        <w:pStyle w:val="14"/>
        <w:numPr>
          <w:ilvl w:val="0"/>
          <w:numId w:val="36"/>
        </w:numPr>
        <w:tabs>
          <w:tab w:val="left" w:pos="1160"/>
        </w:tabs>
        <w:spacing w:before="67" w:after="0" w:line="312" w:lineRule="auto"/>
        <w:ind w:left="438" w:right="689" w:firstLine="480"/>
        <w:jc w:val="left"/>
        <w:rPr>
          <w:rFonts w:hint="eastAsia" w:ascii="宋体" w:eastAsia="宋体"/>
          <w:sz w:val="22"/>
        </w:rPr>
      </w:pPr>
      <w:r>
        <w:rPr>
          <w:rFonts w:hint="eastAsia" w:ascii="宋体" w:eastAsia="宋体"/>
          <w:spacing w:val="-1"/>
          <w:sz w:val="24"/>
        </w:rPr>
        <w:t>我方及由本人担任法定代表人的其他机构最近三年内被通报或者被处罚的违法</w:t>
      </w:r>
      <w:r>
        <w:rPr>
          <w:rFonts w:hint="eastAsia" w:ascii="宋体" w:eastAsia="宋体"/>
          <w:sz w:val="24"/>
        </w:rPr>
        <w:t>行为有：</w:t>
      </w:r>
    </w:p>
    <w:p>
      <w:pPr>
        <w:pStyle w:val="7"/>
        <w:spacing w:before="8"/>
        <w:rPr>
          <w:rFonts w:ascii="宋体"/>
          <w:sz w:val="26"/>
        </w:rPr>
      </w:pPr>
      <w:r>
        <mc:AlternateContent>
          <mc:Choice Requires="wps">
            <w:drawing>
              <wp:anchor distT="0" distB="0" distL="0" distR="0" simplePos="0" relativeHeight="251666432" behindDoc="1" locked="0" layoutInCell="1" allowOverlap="1">
                <wp:simplePos x="0" y="0"/>
                <wp:positionH relativeFrom="page">
                  <wp:posOffset>1205230</wp:posOffset>
                </wp:positionH>
                <wp:positionV relativeFrom="paragraph">
                  <wp:posOffset>245110</wp:posOffset>
                </wp:positionV>
                <wp:extent cx="4114165" cy="0"/>
                <wp:effectExtent l="0" t="0" r="0" b="0"/>
                <wp:wrapTopAndBottom/>
                <wp:docPr id="20" name="直线 15"/>
                <wp:cNvGraphicFramePr/>
                <a:graphic xmlns:a="http://schemas.openxmlformats.org/drawingml/2006/main">
                  <a:graphicData uri="http://schemas.microsoft.com/office/word/2010/wordprocessingShape">
                    <wps:wsp>
                      <wps:cNvCnPr/>
                      <wps:spPr>
                        <a:xfrm>
                          <a:off x="0" y="0"/>
                          <a:ext cx="4114165"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直线 15" o:spid="_x0000_s1026" o:spt="20" style="position:absolute;left:0pt;margin-left:94.9pt;margin-top:19.3pt;height:0pt;width:323.95pt;mso-position-horizontal-relative:page;mso-wrap-distance-bottom:0pt;mso-wrap-distance-top:0pt;z-index:-251650048;mso-width-relative:page;mso-height-relative:page;" filled="f" stroked="t" coordsize="21600,21600" o:gfxdata="UEsDBAoAAAAAAIdO4kAAAAAAAAAAAAAAAAAEAAAAZHJzL1BLAwQUAAAACACHTuJAh/fDJ9YAAAAJ&#10;AQAADwAAAGRycy9kb3ducmV2LnhtbE2PwU7DMBBE70j8g7VI3KjTVkpMGqcSFI5QtUWc3WQbR8Tr&#10;KHaTwteziAMcZ2c087ZYX1wnRhxC60nDfJaAQKp83VKj4e3wfKdAhGioNp0n1PCJAdbl9VVh8tpP&#10;tMNxHxvBJRRyo8HG2OdShsqiM2HmeyT2Tn5wJrIcGlkPZuJy18lFkqTSmZZ4wZoeHy1WH/uz0/CV&#10;TnYjn16zrX2XD2r7chgXuNH69maerEBEvMS/MPzgMzqUzHT0Z6qD6Fire0aPGpYqBcEBtcwyEMff&#10;gywL+f+D8htQSwMEFAAAAAgAh07iQOVRyVTOAQAAjwMAAA4AAABkcnMvZTJvRG9jLnhtbK1TS44T&#10;MRDdI3EHy3vS6WgmoFY6s5gwbBBEgjlAxZ9uS/7J5UknZ+EarNhwnLkGZSeT4bNBiCycsqv86r3n&#10;6tXNwVm2VwlN8D1vZ3POlBdBGj/0/P7z3as3nGEGL8EGr3p+VMhv1i9frKbYqUUYg5UqMQLx2E2x&#10;52POsWsaFKNygLMQlaekDslBpm0aGplgInRnm8V8vmymkGRMQShEOt2cknxd8bVWIn/UGlVmtufE&#10;Ldc11XVX1ma9gm5IEEcjzjTgH1g4MJ6aXqA2kIE9JPMHlDMiBQw6z0RwTdDaCFU1kJp2/puaTyNE&#10;VbWQORgvNuH/gxUf9tvEjOz5guzx4OiNHr98ffz2nbXXxZ0pYkdFt36bzjuM21SkHnRy5Z9EsEN1&#10;9HhxVB0yE3R41bZX7fKaM/GUa54vxoT5nQqOlaDn1vgiFjrYv8dMzaj0qaQcW8+mnr9eFqICaFa0&#10;hUyhi8Qe/VDvYrBG3hlryw1Mw+7WJraH8vr1VyQR7i9lpckGcDzV1dRpLkYF8q2XLB8j2eJpgHmh&#10;4JTkzCqa9xIRIHQZjP2bSmptPTEorp58LNEuyCO9wkNMZhjJibayLBl69cr3PKFlrH7eV6Tn72j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If3wyfWAAAACQEAAA8AAAAAAAAAAQAgAAAAIgAAAGRy&#10;cy9kb3ducmV2LnhtbFBLAQIUABQAAAAIAIdO4kDlUclUzgEAAI8DAAAOAAAAAAAAAAEAIAAAACUB&#10;AABkcnMvZTJvRG9jLnhtbFBLBQYAAAAABgAGAFkBAABlBQAAAAA=&#10;">
                <v:fill on="f" focussize="0,0"/>
                <v:stroke weight="0.6pt" color="#000000" joinstyle="round"/>
                <v:imagedata o:title=""/>
                <o:lock v:ext="edit" aspectratio="f"/>
                <w10:wrap type="topAndBottom"/>
              </v:line>
            </w:pict>
          </mc:Fallback>
        </mc:AlternateContent>
      </w:r>
    </w:p>
    <w:p>
      <w:pPr>
        <w:pStyle w:val="7"/>
        <w:rPr>
          <w:rFonts w:ascii="宋体"/>
          <w:sz w:val="20"/>
        </w:rPr>
      </w:pPr>
    </w:p>
    <w:p>
      <w:pPr>
        <w:pStyle w:val="7"/>
        <w:spacing w:before="3"/>
        <w:rPr>
          <w:rFonts w:ascii="宋体"/>
          <w:sz w:val="14"/>
        </w:rPr>
      </w:pPr>
      <w:r>
        <mc:AlternateContent>
          <mc:Choice Requires="wps">
            <w:drawing>
              <wp:anchor distT="0" distB="0" distL="0" distR="0" simplePos="0" relativeHeight="251667456" behindDoc="1" locked="0" layoutInCell="1" allowOverlap="1">
                <wp:simplePos x="0" y="0"/>
                <wp:positionH relativeFrom="page">
                  <wp:posOffset>1205230</wp:posOffset>
                </wp:positionH>
                <wp:positionV relativeFrom="paragraph">
                  <wp:posOffset>144145</wp:posOffset>
                </wp:positionV>
                <wp:extent cx="4114165" cy="0"/>
                <wp:effectExtent l="0" t="0" r="0" b="0"/>
                <wp:wrapTopAndBottom/>
                <wp:docPr id="21" name="直线 16"/>
                <wp:cNvGraphicFramePr/>
                <a:graphic xmlns:a="http://schemas.openxmlformats.org/drawingml/2006/main">
                  <a:graphicData uri="http://schemas.microsoft.com/office/word/2010/wordprocessingShape">
                    <wps:wsp>
                      <wps:cNvCnPr/>
                      <wps:spPr>
                        <a:xfrm>
                          <a:off x="0" y="0"/>
                          <a:ext cx="4114165"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直线 16" o:spid="_x0000_s1026" o:spt="20" style="position:absolute;left:0pt;margin-left:94.9pt;margin-top:11.35pt;height:0pt;width:323.95pt;mso-position-horizontal-relative:page;mso-wrap-distance-bottom:0pt;mso-wrap-distance-top:0pt;z-index:-251649024;mso-width-relative:page;mso-height-relative:page;" filled="f" stroked="t" coordsize="21600,21600" o:gfxdata="UEsDBAoAAAAAAIdO4kAAAAAAAAAAAAAAAAAEAAAAZHJzL1BLAwQUAAAACACHTuJACfghJtYAAAAJ&#10;AQAADwAAAGRycy9kb3ducmV2LnhtbE2PQU/DMAyF70j7D5EncWPpirSW0nTSNjjCxIY4Z41pKhqn&#10;arJ28Osx4gA3P/vp+Xvl+uI6MeIQWk8KlosEBFLtTUuNgtfj400OIkRNRneeUMEnBlhXs6tSF8ZP&#10;9ILjITaCQygUWoGNsS+kDLVFp8PC90h8e/eD05Hl0Egz6InDXSfTJFlJp1viD1b3uLVYfxzOTsHX&#10;arI7+fCc7e2b3OT7p+OY4k6p6/kyuQcR8RL/zPCDz+hQMdPJn8kE0bHO7xg9KkjTDAQb8tuMh9Pv&#10;Qlal/N+g+gZQSwMEFAAAAAgAh07iQGA5mb3PAQAAjwMAAA4AAABkcnMvZTJvRG9jLnhtbK1TS44T&#10;MRDdI3EHy3vS6WgIqJXOLCYMGwSRgANU/Om25J9cnnRyFq7Big3HmWtQdjIZYDYjRBZO2VV+fu9V&#10;9er64Czbq4Qm+J63szlnyosgjR96/vXL7au3nGEGL8EGr3p+VMiv1y9frKbYqUUYg5UqMQLx2E2x&#10;52POsWsaFKNygLMQlaekDslBpm0aGplgInRnm8V8vmymkGRMQShEOt2cknxd8bVWIn/SGlVmtufE&#10;Ldc11XVX1ma9gm5IEEcjzjTgH1g4MJ4evUBtIAO7S+YJlDMiBQw6z0RwTdDaCFU1kJp2/peazyNE&#10;VbWQORgvNuH/gxUf99vEjOz5ouXMg6Me3X/7fv/jJ2uXxZ0pYkdFN36bzjuM21SkHnRy5Z9EsEN1&#10;9HhxVB0yE3R41bZX7fI1Z+Ih1zxejAnzexUcK0HPrfFFLHSw/4CZHqPSh5JybD2bev5muaA+CqBZ&#10;0RYyhS4Se/RDvYvBGnlrrC03MA27G5vYHkr3669IItw/ysojG8DxVFdTp7kYFch3XrJ8jGSLpwHm&#10;hYJTkjOraN5LRIDQZTD2OZX0tPXEoLh68rFEuyCP1IW7mMwwkhNtZVky1PXK9zyhZax+31ekx+9o&#10;/Q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J+CEm1gAAAAkBAAAPAAAAAAAAAAEAIAAAACIAAABk&#10;cnMvZG93bnJldi54bWxQSwECFAAUAAAACACHTuJAYDmZvc8BAACPAwAADgAAAAAAAAABACAAAAAl&#10;AQAAZHJzL2Uyb0RvYy54bWxQSwUGAAAAAAYABgBZAQAAZgUAAAAA&#10;">
                <v:fill on="f" focussize="0,0"/>
                <v:stroke weight="0.6pt" color="#000000" joinstyle="round"/>
                <v:imagedata o:title=""/>
                <o:lock v:ext="edit" aspectratio="f"/>
                <w10:wrap type="topAndBottom"/>
              </v:line>
            </w:pict>
          </mc:Fallback>
        </mc:AlternateContent>
      </w:r>
    </w:p>
    <w:p>
      <w:pPr>
        <w:pStyle w:val="14"/>
        <w:numPr>
          <w:ilvl w:val="0"/>
          <w:numId w:val="36"/>
        </w:numPr>
        <w:tabs>
          <w:tab w:val="left" w:pos="1160"/>
        </w:tabs>
        <w:spacing w:before="98" w:after="0" w:line="312" w:lineRule="auto"/>
        <w:ind w:left="438" w:right="689" w:firstLine="480"/>
        <w:jc w:val="left"/>
        <w:rPr>
          <w:sz w:val="22"/>
        </w:rPr>
      </w:pPr>
      <w:r>
        <w:rPr>
          <w:spacing w:val="-1"/>
          <w:sz w:val="24"/>
        </w:rPr>
        <w:t>以上事项如有虚假或隐瞒，我方愿意承担一切后果，并不再寻求任何旨在减轻</w:t>
      </w:r>
      <w:r>
        <w:rPr>
          <w:sz w:val="24"/>
        </w:rPr>
        <w:t>或免除法律责任的辩解。</w:t>
      </w:r>
    </w:p>
    <w:p>
      <w:pPr>
        <w:pStyle w:val="7"/>
        <w:spacing w:before="122" w:line="405" w:lineRule="auto"/>
        <w:ind w:left="4518" w:right="2199" w:hanging="70"/>
      </w:pPr>
      <w:r>
        <w:t>法定代表人或委托代理人签字： 投标人公章：</w:t>
      </w:r>
    </w:p>
    <w:p>
      <w:pPr>
        <w:pStyle w:val="7"/>
        <w:tabs>
          <w:tab w:val="left" w:pos="6438"/>
          <w:tab w:val="left" w:pos="7158"/>
        </w:tabs>
        <w:ind w:left="5718"/>
      </w:pPr>
      <w:r>
        <w:t>年</w:t>
      </w:r>
      <w:r>
        <w:tab/>
      </w:r>
      <w:r>
        <w:t>月</w:t>
      </w:r>
      <w:r>
        <w:tab/>
      </w:r>
      <w:r>
        <w:t>日</w:t>
      </w:r>
    </w:p>
    <w:p>
      <w:pPr>
        <w:spacing w:after="0"/>
        <w:sectPr>
          <w:headerReference r:id="rId11" w:type="default"/>
          <w:pgSz w:w="11910" w:h="16840"/>
          <w:pgMar w:top="1340" w:right="917" w:bottom="980" w:left="980" w:header="878" w:footer="757" w:gutter="0"/>
          <w:pgNumType w:fmt="decimal"/>
        </w:sectPr>
      </w:pPr>
    </w:p>
    <w:p>
      <w:pPr>
        <w:pStyle w:val="7"/>
        <w:rPr>
          <w:sz w:val="20"/>
        </w:rPr>
      </w:pPr>
    </w:p>
    <w:p>
      <w:pPr>
        <w:pStyle w:val="7"/>
        <w:rPr>
          <w:sz w:val="20"/>
        </w:rPr>
      </w:pPr>
    </w:p>
    <w:p>
      <w:pPr>
        <w:pStyle w:val="7"/>
        <w:spacing w:before="3"/>
        <w:rPr>
          <w:sz w:val="23"/>
        </w:rPr>
      </w:pPr>
    </w:p>
    <w:p>
      <w:pPr>
        <w:pStyle w:val="14"/>
        <w:numPr>
          <w:ilvl w:val="0"/>
          <w:numId w:val="34"/>
        </w:numPr>
        <w:tabs>
          <w:tab w:val="left" w:pos="1810"/>
        </w:tabs>
        <w:spacing w:before="66" w:after="0" w:line="240" w:lineRule="auto"/>
        <w:ind w:left="1809" w:right="0" w:hanging="602"/>
        <w:jc w:val="left"/>
        <w:rPr>
          <w:sz w:val="24"/>
        </w:rPr>
      </w:pPr>
      <w:r>
        <w:rPr>
          <w:spacing w:val="-5"/>
          <w:sz w:val="24"/>
        </w:rPr>
        <w:t>法人授权委托书和委托代理人完整有效的身份证正反面复印件</w:t>
      </w:r>
    </w:p>
    <w:p>
      <w:pPr>
        <w:spacing w:before="98" w:line="398" w:lineRule="auto"/>
        <w:ind w:left="3772" w:right="3826" w:hanging="44"/>
        <w:jc w:val="left"/>
        <w:rPr>
          <w:b/>
          <w:sz w:val="24"/>
        </w:rPr>
      </w:pPr>
      <w:r>
        <w:rPr>
          <w:sz w:val="24"/>
        </w:rPr>
        <w:t xml:space="preserve">（委托代理时提供） </w:t>
      </w:r>
      <w:r>
        <w:rPr>
          <w:b/>
          <w:spacing w:val="-2"/>
          <w:sz w:val="24"/>
        </w:rPr>
        <w:t>法定代表人授权委托书</w:t>
      </w:r>
    </w:p>
    <w:p>
      <w:pPr>
        <w:pStyle w:val="7"/>
        <w:spacing w:before="9"/>
        <w:ind w:left="438"/>
      </w:pPr>
      <w:r>
        <w:t>致：（招标人名称）：</w:t>
      </w:r>
    </w:p>
    <w:p>
      <w:pPr>
        <w:pStyle w:val="7"/>
        <w:spacing w:before="213" w:line="312" w:lineRule="auto"/>
        <w:ind w:left="438" w:right="569" w:firstLine="720"/>
      </w:pPr>
      <w:r>
        <w:t>我（姓名）系（投标人名称）的法定代表人，现授权委托本单位在职职工 （姓名）以我方的名义参加项目的投标活动，并代表我方全权办理针对上述项目的投标、开标、评标、签约等具体事务和签署相关文件。</w:t>
      </w:r>
    </w:p>
    <w:p>
      <w:pPr>
        <w:pStyle w:val="7"/>
        <w:spacing w:before="121"/>
        <w:ind w:left="918"/>
      </w:pPr>
      <w:r>
        <w:t>我方对被授权人的签名事项负全部责任。</w:t>
      </w:r>
    </w:p>
    <w:p>
      <w:pPr>
        <w:pStyle w:val="7"/>
        <w:spacing w:before="213" w:line="312" w:lineRule="auto"/>
        <w:ind w:left="438" w:right="689" w:firstLine="480"/>
      </w:pPr>
      <w:r>
        <w:rPr>
          <w:u w:val="single"/>
        </w:rPr>
        <w:t>在撤销授权的书面通知以前，本授权书一直有效。</w:t>
      </w:r>
      <w:r>
        <w:rPr>
          <w:spacing w:val="-2"/>
        </w:rPr>
        <w:t>被授权人在授权书有效期内签</w:t>
      </w:r>
      <w:r>
        <w:t>署的所有文件不因授权的撤销而失效。</w:t>
      </w:r>
    </w:p>
    <w:p>
      <w:pPr>
        <w:pStyle w:val="7"/>
        <w:spacing w:before="120"/>
        <w:ind w:left="918"/>
      </w:pPr>
      <w:r>
        <w:t>被授权人无转委托权，特此委托。</w:t>
      </w:r>
    </w:p>
    <w:p>
      <w:pPr>
        <w:pStyle w:val="7"/>
        <w:tabs>
          <w:tab w:val="left" w:pos="4998"/>
          <w:tab w:val="left" w:pos="5238"/>
        </w:tabs>
        <w:spacing w:before="213" w:line="405" w:lineRule="auto"/>
        <w:ind w:left="438" w:right="3089"/>
      </w:pPr>
      <w:r>
        <w:t>委托代理人签名：</w:t>
      </w:r>
      <w:r>
        <w:tab/>
      </w:r>
      <w:r>
        <w:t>法定代表人签名</w:t>
      </w:r>
      <w:r>
        <w:rPr>
          <w:spacing w:val="-16"/>
        </w:rPr>
        <w:t xml:space="preserve">： </w:t>
      </w:r>
      <w:r>
        <w:t>所在部门职务：</w:t>
      </w:r>
      <w:r>
        <w:tab/>
      </w:r>
      <w:r>
        <w:tab/>
      </w:r>
      <w:r>
        <w:t>职务：</w:t>
      </w:r>
    </w:p>
    <w:p>
      <w:pPr>
        <w:pStyle w:val="7"/>
        <w:ind w:left="438"/>
      </w:pPr>
      <w:r>
        <w:t>授权人身份证号码：</w:t>
      </w:r>
    </w:p>
    <w:p>
      <w:pPr>
        <w:pStyle w:val="7"/>
      </w:pPr>
    </w:p>
    <w:p>
      <w:pPr>
        <w:pStyle w:val="7"/>
        <w:spacing w:before="4"/>
        <w:rPr>
          <w:sz w:val="18"/>
        </w:rPr>
      </w:pPr>
    </w:p>
    <w:p>
      <w:pPr>
        <w:pStyle w:val="7"/>
        <w:ind w:left="918"/>
      </w:pPr>
      <w:r>
        <w:t>附：法定代表人及委托代理人有效身份证正反面复印件</w:t>
      </w:r>
    </w:p>
    <w:p>
      <w:pPr>
        <w:pStyle w:val="7"/>
      </w:pPr>
    </w:p>
    <w:p>
      <w:pPr>
        <w:pStyle w:val="7"/>
        <w:spacing w:before="1"/>
        <w:rPr>
          <w:sz w:val="33"/>
        </w:rPr>
      </w:pPr>
    </w:p>
    <w:p>
      <w:pPr>
        <w:pStyle w:val="7"/>
        <w:spacing w:before="1"/>
        <w:ind w:left="5958"/>
      </w:pPr>
      <w:r>
        <w:t>投标人公章：</w:t>
      </w:r>
    </w:p>
    <w:p>
      <w:pPr>
        <w:pStyle w:val="7"/>
        <w:tabs>
          <w:tab w:val="left" w:pos="7251"/>
          <w:tab w:val="left" w:pos="7971"/>
        </w:tabs>
        <w:spacing w:before="213"/>
        <w:ind w:left="6532"/>
      </w:pPr>
      <w:r>
        <w:t>年</w:t>
      </w:r>
      <w:r>
        <w:tab/>
      </w:r>
      <w:r>
        <w:t>月</w:t>
      </w:r>
      <w:r>
        <w:tab/>
      </w:r>
      <w:r>
        <w:t>日</w:t>
      </w:r>
    </w:p>
    <w:p>
      <w:pPr>
        <w:spacing w:after="0"/>
        <w:sectPr>
          <w:pgSz w:w="11910" w:h="16840"/>
          <w:pgMar w:top="1340" w:right="917" w:bottom="980" w:left="980" w:header="878" w:footer="757" w:gutter="0"/>
          <w:pgNumType w:fmt="decimal"/>
        </w:sectPr>
      </w:pPr>
    </w:p>
    <w:p>
      <w:pPr>
        <w:pStyle w:val="14"/>
        <w:numPr>
          <w:ilvl w:val="0"/>
          <w:numId w:val="34"/>
        </w:numPr>
        <w:tabs>
          <w:tab w:val="left" w:pos="1347"/>
        </w:tabs>
        <w:spacing w:before="94" w:after="0" w:line="240" w:lineRule="auto"/>
        <w:ind w:left="1346" w:right="0" w:hanging="592"/>
        <w:jc w:val="left"/>
        <w:rPr>
          <w:sz w:val="24"/>
        </w:rPr>
      </w:pPr>
      <w:r>
        <w:rPr>
          <w:spacing w:val="3"/>
          <w:sz w:val="24"/>
        </w:rPr>
        <w:t>投标人在递交截止之日前半年内连续三个月依法纳税的完税凭证复印件或者</w:t>
      </w:r>
    </w:p>
    <w:p>
      <w:pPr>
        <w:pStyle w:val="7"/>
        <w:spacing w:before="158" w:line="364" w:lineRule="auto"/>
        <w:ind w:left="438" w:right="497"/>
      </w:pPr>
      <w:r>
        <w:t>《依法纳税或依法免税证明》复印件（如为新成立的投标单位请按实际依法缴纳的月份提供，必须提供，加盖投标单位公章）；</w:t>
      </w:r>
    </w:p>
    <w:p>
      <w:pPr>
        <w:pStyle w:val="14"/>
        <w:numPr>
          <w:ilvl w:val="0"/>
          <w:numId w:val="34"/>
        </w:numPr>
        <w:tabs>
          <w:tab w:val="left" w:pos="1405"/>
        </w:tabs>
        <w:spacing w:before="0" w:after="0" w:line="364" w:lineRule="auto"/>
        <w:ind w:left="438" w:right="497" w:firstLine="396"/>
        <w:jc w:val="both"/>
        <w:rPr>
          <w:sz w:val="24"/>
        </w:rPr>
      </w:pPr>
      <w:r>
        <w:rPr>
          <w:spacing w:val="3"/>
          <w:sz w:val="24"/>
        </w:rPr>
        <w:t>投标人在递交截止之日前半年内连续三个月依法缴纳社会保障资金的凭证复</w:t>
      </w:r>
      <w:r>
        <w:rPr>
          <w:spacing w:val="4"/>
          <w:sz w:val="24"/>
        </w:rPr>
        <w:t>印件</w:t>
      </w:r>
      <w:r>
        <w:rPr>
          <w:spacing w:val="7"/>
          <w:sz w:val="24"/>
        </w:rPr>
        <w:t>（</w:t>
      </w:r>
      <w:r>
        <w:rPr>
          <w:spacing w:val="3"/>
          <w:sz w:val="24"/>
        </w:rPr>
        <w:t>如社保部门开具的证明、收款收据等，或银行缴款凭证、回单等，如为非社保部门开具的凭证或回单的，应清晰反映：缴款单位名称、社保单位名称、保险名称、</w:t>
      </w:r>
      <w:r>
        <w:rPr>
          <w:spacing w:val="4"/>
          <w:sz w:val="24"/>
        </w:rPr>
        <w:t>缴款金额等内容）</w:t>
      </w:r>
      <w:r>
        <w:rPr>
          <w:spacing w:val="3"/>
          <w:sz w:val="24"/>
        </w:rPr>
        <w:t>。无缴费记录的，应提供</w:t>
      </w:r>
      <w:r>
        <w:rPr>
          <w:rFonts w:hint="eastAsia"/>
          <w:spacing w:val="3"/>
          <w:sz w:val="24"/>
          <w:lang w:eastAsia="zh-CN"/>
        </w:rPr>
        <w:t>投</w:t>
      </w:r>
      <w:r>
        <w:rPr>
          <w:spacing w:val="3"/>
          <w:sz w:val="24"/>
        </w:rPr>
        <w:t>标人所在地社保部门出具的《依法缴纳</w:t>
      </w:r>
      <w:r>
        <w:rPr>
          <w:spacing w:val="4"/>
          <w:sz w:val="24"/>
        </w:rPr>
        <w:t>或依法免缴社保费证明》</w:t>
      </w:r>
      <w:r>
        <w:rPr>
          <w:spacing w:val="7"/>
          <w:sz w:val="24"/>
        </w:rPr>
        <w:t>（</w:t>
      </w:r>
      <w:r>
        <w:rPr>
          <w:spacing w:val="3"/>
          <w:sz w:val="24"/>
        </w:rPr>
        <w:t>如为新成立的投标单位请按实际依法缴纳的月份提供，必须提供，加盖投标单位公章）；</w:t>
      </w:r>
    </w:p>
    <w:p>
      <w:pPr>
        <w:pStyle w:val="14"/>
        <w:numPr>
          <w:ilvl w:val="0"/>
          <w:numId w:val="34"/>
        </w:numPr>
        <w:tabs>
          <w:tab w:val="left" w:pos="1524"/>
        </w:tabs>
        <w:spacing w:before="0" w:after="0" w:line="364" w:lineRule="auto"/>
        <w:ind w:left="438" w:right="497" w:firstLine="480"/>
        <w:jc w:val="left"/>
        <w:rPr>
          <w:sz w:val="24"/>
        </w:rPr>
      </w:pPr>
      <w:r>
        <w:rPr>
          <w:sz w:val="24"/>
        </w:rPr>
        <w:t>投标人201</w:t>
      </w:r>
      <w:r>
        <w:rPr>
          <w:rFonts w:hint="eastAsia"/>
          <w:sz w:val="24"/>
          <w:lang w:val="en-US" w:eastAsia="zh-CN"/>
        </w:rPr>
        <w:t>9</w:t>
      </w:r>
      <w:r>
        <w:rPr>
          <w:sz w:val="24"/>
        </w:rPr>
        <w:t>年度</w:t>
      </w:r>
      <w:r>
        <w:rPr>
          <w:rFonts w:hint="eastAsia"/>
          <w:sz w:val="24"/>
          <w:lang w:eastAsia="zh-CN"/>
        </w:rPr>
        <w:t>财务</w:t>
      </w:r>
      <w:r>
        <w:rPr>
          <w:sz w:val="24"/>
        </w:rPr>
        <w:t>报表，（如</w:t>
      </w:r>
      <w:r>
        <w:rPr>
          <w:rFonts w:hint="eastAsia"/>
          <w:sz w:val="24"/>
          <w:lang w:eastAsia="zh-CN"/>
        </w:rPr>
        <w:t>是</w:t>
      </w:r>
      <w:r>
        <w:rPr>
          <w:sz w:val="24"/>
        </w:rPr>
        <w:t>新成立的投标单位则按实际月份提供，必须提供，加盖投标单位公章）；</w:t>
      </w:r>
    </w:p>
    <w:p>
      <w:pPr>
        <w:pStyle w:val="14"/>
        <w:numPr>
          <w:ilvl w:val="0"/>
          <w:numId w:val="34"/>
        </w:numPr>
        <w:tabs>
          <w:tab w:val="left" w:pos="1690"/>
        </w:tabs>
        <w:spacing w:before="0" w:after="0" w:line="242" w:lineRule="auto"/>
        <w:ind w:left="438" w:right="675" w:firstLine="518"/>
        <w:jc w:val="left"/>
        <w:rPr>
          <w:sz w:val="24"/>
        </w:rPr>
      </w:pPr>
      <w:r>
        <w:rPr>
          <w:spacing w:val="7"/>
          <w:sz w:val="24"/>
        </w:rPr>
        <w:t>投标人在“信用中国”网站</w:t>
      </w:r>
      <w:r>
        <w:rPr>
          <w:sz w:val="24"/>
        </w:rPr>
        <w:t>(www.creditchina.gov.cn</w:t>
      </w:r>
      <w:r>
        <w:rPr>
          <w:spacing w:val="8"/>
          <w:sz w:val="24"/>
        </w:rPr>
        <w:t>)、中国政府采购</w:t>
      </w:r>
      <w:r>
        <w:rPr>
          <w:spacing w:val="14"/>
          <w:sz w:val="24"/>
        </w:rPr>
        <w:t>网</w:t>
      </w:r>
      <w:r>
        <w:rPr>
          <w:sz w:val="24"/>
        </w:rPr>
        <w:t>(www.ccgp.gov.cn)等渠道的信用查询页面打印文件（必须提交，加盖投标单位公章）。</w:t>
      </w:r>
    </w:p>
    <w:p>
      <w:pPr>
        <w:pStyle w:val="2"/>
        <w:rPr>
          <w:sz w:val="24"/>
        </w:rPr>
      </w:pPr>
    </w:p>
    <w:p>
      <w:pPr>
        <w:pStyle w:val="2"/>
        <w:ind w:left="1680" w:hanging="1680" w:hangingChars="700"/>
        <w:rPr>
          <w:rFonts w:hint="eastAsia" w:ascii="仿宋" w:hAnsi="仿宋" w:eastAsia="仿宋" w:cs="仿宋"/>
          <w:sz w:val="24"/>
          <w:lang w:val="en-US" w:eastAsia="zh-CN"/>
        </w:rPr>
      </w:pPr>
      <w:r>
        <w:rPr>
          <w:rFonts w:hint="eastAsia"/>
          <w:sz w:val="24"/>
          <w:lang w:val="en-US" w:eastAsia="zh-CN"/>
        </w:rPr>
        <w:t xml:space="preserve">      </w:t>
      </w:r>
      <w:r>
        <w:rPr>
          <w:rFonts w:hint="eastAsia" w:ascii="仿宋" w:hAnsi="仿宋" w:eastAsia="仿宋" w:cs="仿宋"/>
          <w:sz w:val="24"/>
          <w:lang w:val="en-US" w:eastAsia="zh-CN"/>
        </w:rPr>
        <w:t xml:space="preserve"> （10）参加政府采购活动前3年内在经营活动中没有重大违法记录的书面声明(必须提供，加盖单位公章)；</w:t>
      </w:r>
    </w:p>
    <w:p>
      <w:pPr>
        <w:pStyle w:val="2"/>
        <w:rPr>
          <w:rFonts w:hint="default" w:eastAsia="宋体"/>
          <w:sz w:val="24"/>
          <w:lang w:val="en-US" w:eastAsia="zh-CN"/>
        </w:rPr>
        <w:sectPr>
          <w:pgSz w:w="11910" w:h="16840"/>
          <w:pgMar w:top="1360" w:right="920" w:bottom="940" w:left="980" w:header="878" w:footer="757" w:gutter="0"/>
          <w:pgNumType w:fmt="decimal"/>
        </w:sectPr>
      </w:pPr>
    </w:p>
    <w:p>
      <w:pPr>
        <w:pStyle w:val="7"/>
        <w:rPr>
          <w:sz w:val="20"/>
        </w:rPr>
      </w:pPr>
    </w:p>
    <w:p>
      <w:pPr>
        <w:pStyle w:val="7"/>
        <w:spacing w:before="10"/>
        <w:rPr>
          <w:sz w:val="18"/>
        </w:rPr>
      </w:pPr>
    </w:p>
    <w:p>
      <w:pPr>
        <w:pStyle w:val="3"/>
        <w:spacing w:before="54" w:line="297" w:lineRule="auto"/>
        <w:ind w:left="1148" w:right="3589" w:firstLine="2702"/>
      </w:pPr>
      <w:r>
        <w:t>三、报价文件格式报价文件内封面格式：</w:t>
      </w:r>
    </w:p>
    <w:p>
      <w:pPr>
        <w:pStyle w:val="7"/>
        <w:rPr>
          <w:b/>
          <w:sz w:val="20"/>
        </w:rPr>
      </w:pPr>
    </w:p>
    <w:p>
      <w:pPr>
        <w:pStyle w:val="7"/>
        <w:spacing w:before="10"/>
        <w:rPr>
          <w:b/>
          <w:sz w:val="14"/>
        </w:rPr>
      </w:pPr>
    </w:p>
    <w:p>
      <w:pPr>
        <w:spacing w:after="0"/>
        <w:rPr>
          <w:sz w:val="14"/>
        </w:rPr>
        <w:sectPr>
          <w:pgSz w:w="11910" w:h="16840"/>
          <w:pgMar w:top="1360" w:right="920" w:bottom="940" w:left="980" w:header="878" w:footer="757" w:gutter="0"/>
          <w:pgNumType w:fmt="decimal"/>
        </w:sectPr>
      </w:pPr>
    </w:p>
    <w:p>
      <w:pPr>
        <w:pStyle w:val="7"/>
        <w:rPr>
          <w:b/>
        </w:rPr>
      </w:pPr>
    </w:p>
    <w:p>
      <w:pPr>
        <w:pStyle w:val="7"/>
        <w:spacing w:before="161" w:line="484" w:lineRule="auto"/>
        <w:ind w:left="2636"/>
        <w:jc w:val="right"/>
      </w:pPr>
      <w:r>
        <w:t>项目名称：项目编号：</w:t>
      </w:r>
    </w:p>
    <w:p>
      <w:pPr>
        <w:pStyle w:val="3"/>
        <w:spacing w:before="55"/>
        <w:ind w:left="811"/>
      </w:pPr>
      <w:r>
        <w:rPr>
          <w:b w:val="0"/>
        </w:rPr>
        <w:br w:type="column"/>
      </w:r>
      <w:r>
        <w:t>报价文件</w:t>
      </w:r>
    </w:p>
    <w:p>
      <w:pPr>
        <w:spacing w:after="0"/>
        <w:sectPr>
          <w:type w:val="continuous"/>
          <w:pgSz w:w="11910" w:h="16840"/>
          <w:pgMar w:top="1600" w:right="920" w:bottom="280" w:left="980" w:header="720" w:footer="720" w:gutter="0"/>
          <w:pgNumType w:fmt="decimal"/>
          <w:cols w:equalWidth="0" w:num="2">
            <w:col w:w="3837" w:space="40"/>
            <w:col w:w="6133"/>
          </w:cols>
        </w:sect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spacing w:before="6"/>
        <w:rPr>
          <w:b/>
          <w:sz w:val="16"/>
        </w:rPr>
      </w:pPr>
    </w:p>
    <w:p>
      <w:pPr>
        <w:spacing w:after="0"/>
        <w:rPr>
          <w:sz w:val="16"/>
        </w:rPr>
        <w:sectPr>
          <w:type w:val="continuous"/>
          <w:pgSz w:w="11910" w:h="16840"/>
          <w:pgMar w:top="1600" w:right="920" w:bottom="280" w:left="980" w:header="720" w:footer="720" w:gutter="0"/>
          <w:pgNumType w:fmt="decimal"/>
        </w:sectPr>
      </w:pPr>
    </w:p>
    <w:p>
      <w:pPr>
        <w:pStyle w:val="7"/>
        <w:rPr>
          <w:b/>
        </w:rPr>
      </w:pPr>
    </w:p>
    <w:p>
      <w:pPr>
        <w:pStyle w:val="14"/>
        <w:numPr>
          <w:ilvl w:val="1"/>
          <w:numId w:val="34"/>
        </w:numPr>
        <w:tabs>
          <w:tab w:val="left" w:pos="1810"/>
        </w:tabs>
        <w:spacing w:before="162" w:after="0" w:line="240" w:lineRule="auto"/>
        <w:ind w:left="1809" w:right="0" w:hanging="602"/>
        <w:jc w:val="left"/>
        <w:rPr>
          <w:sz w:val="24"/>
        </w:rPr>
      </w:pPr>
      <w:r>
        <w:rPr>
          <w:sz w:val="24"/>
        </w:rPr>
        <w:t>投标函；</w:t>
      </w:r>
    </w:p>
    <w:p>
      <w:pPr>
        <w:pStyle w:val="14"/>
        <w:numPr>
          <w:ilvl w:val="1"/>
          <w:numId w:val="34"/>
        </w:numPr>
        <w:tabs>
          <w:tab w:val="left" w:pos="1810"/>
        </w:tabs>
        <w:spacing w:before="96" w:after="0" w:line="240" w:lineRule="auto"/>
        <w:ind w:left="1809" w:right="0" w:hanging="602"/>
        <w:jc w:val="left"/>
        <w:rPr>
          <w:sz w:val="24"/>
        </w:rPr>
      </w:pPr>
      <w:r>
        <w:rPr>
          <w:spacing w:val="-3"/>
          <w:sz w:val="24"/>
        </w:rPr>
        <w:t>投标报价明细表；</w:t>
      </w:r>
    </w:p>
    <w:p>
      <w:pPr>
        <w:pStyle w:val="7"/>
        <w:spacing w:before="66"/>
        <w:ind w:left="1085"/>
      </w:pPr>
      <w:r>
        <w:br w:type="column"/>
      </w:r>
      <w:r>
        <w:t>报价文件目录</w:t>
      </w:r>
    </w:p>
    <w:p>
      <w:pPr>
        <w:spacing w:after="0"/>
        <w:sectPr>
          <w:type w:val="continuous"/>
          <w:pgSz w:w="11910" w:h="16840"/>
          <w:pgMar w:top="1600" w:right="920" w:bottom="280" w:left="980" w:header="720" w:footer="720" w:gutter="0"/>
          <w:pgNumType w:fmt="decimal"/>
          <w:cols w:equalWidth="0" w:num="2">
            <w:col w:w="3729" w:space="40"/>
            <w:col w:w="6241"/>
          </w:cols>
        </w:sectPr>
      </w:pPr>
    </w:p>
    <w:p>
      <w:pPr>
        <w:pStyle w:val="7"/>
        <w:spacing w:before="11"/>
        <w:rPr>
          <w:sz w:val="7"/>
        </w:rPr>
      </w:pPr>
    </w:p>
    <w:p>
      <w:pPr>
        <w:spacing w:after="0"/>
        <w:rPr>
          <w:sz w:val="7"/>
        </w:rPr>
        <w:sectPr>
          <w:footerReference r:id="rId12" w:type="default"/>
          <w:pgSz w:w="11910" w:h="16840"/>
          <w:pgMar w:top="1360" w:right="920" w:bottom="940" w:left="980" w:header="878" w:footer="757" w:gutter="0"/>
          <w:pgNumType w:fmt="decimal"/>
        </w:sectPr>
      </w:pPr>
    </w:p>
    <w:p>
      <w:pPr>
        <w:pStyle w:val="3"/>
        <w:spacing w:before="55"/>
        <w:ind w:left="1064"/>
      </w:pPr>
      <w:r>
        <w:t>（1）</w:t>
      </w:r>
      <w:r>
        <w:rPr>
          <w:spacing w:val="-3"/>
        </w:rPr>
        <w:t>投标函格式：</w:t>
      </w:r>
    </w:p>
    <w:p>
      <w:pPr>
        <w:pStyle w:val="7"/>
        <w:spacing w:before="12"/>
        <w:rPr>
          <w:b/>
          <w:sz w:val="34"/>
        </w:rPr>
      </w:pPr>
    </w:p>
    <w:p>
      <w:pPr>
        <w:tabs>
          <w:tab w:val="left" w:pos="1878"/>
        </w:tabs>
        <w:spacing w:before="0"/>
        <w:ind w:left="868" w:right="0" w:firstLine="0"/>
        <w:jc w:val="left"/>
        <w:rPr>
          <w:sz w:val="22"/>
        </w:rPr>
      </w:pPr>
      <w:r>
        <w:rPr>
          <w:sz w:val="22"/>
        </w:rPr>
        <w:t>致：</w:t>
      </w:r>
      <w:r>
        <w:rPr>
          <w:sz w:val="22"/>
          <w:u w:val="single"/>
        </w:rPr>
        <w:t xml:space="preserve"> </w:t>
      </w:r>
      <w:r>
        <w:rPr>
          <w:sz w:val="22"/>
          <w:u w:val="single"/>
        </w:rPr>
        <w:tab/>
      </w:r>
      <w:r>
        <w:rPr>
          <w:sz w:val="22"/>
        </w:rPr>
        <w:t>（</w:t>
      </w:r>
      <w:r>
        <w:rPr>
          <w:spacing w:val="-3"/>
          <w:sz w:val="22"/>
        </w:rPr>
        <w:t>招</w:t>
      </w:r>
      <w:r>
        <w:rPr>
          <w:sz w:val="22"/>
        </w:rPr>
        <w:t>标人</w:t>
      </w:r>
      <w:r>
        <w:rPr>
          <w:spacing w:val="-3"/>
          <w:sz w:val="22"/>
        </w:rPr>
        <w:t>名</w:t>
      </w:r>
      <w:r>
        <w:rPr>
          <w:sz w:val="22"/>
        </w:rPr>
        <w:t>称）：</w:t>
      </w:r>
    </w:p>
    <w:p>
      <w:pPr>
        <w:pStyle w:val="7"/>
      </w:pPr>
      <w:r>
        <w:br w:type="column"/>
      </w:r>
    </w:p>
    <w:p>
      <w:pPr>
        <w:pStyle w:val="7"/>
        <w:spacing w:before="10"/>
        <w:rPr>
          <w:sz w:val="17"/>
        </w:rPr>
      </w:pPr>
    </w:p>
    <w:p>
      <w:pPr>
        <w:pStyle w:val="6"/>
        <w:ind w:left="781"/>
      </w:pPr>
      <w:r>
        <w:t>投标函</w:t>
      </w:r>
    </w:p>
    <w:p>
      <w:pPr>
        <w:spacing w:after="0"/>
        <w:sectPr>
          <w:type w:val="continuous"/>
          <w:pgSz w:w="11910" w:h="16840"/>
          <w:pgMar w:top="1600" w:right="920" w:bottom="280" w:left="980" w:header="720" w:footer="720" w:gutter="0"/>
          <w:pgNumType w:fmt="decimal"/>
          <w:cols w:equalWidth="0" w:num="2">
            <w:col w:w="3794" w:space="40"/>
            <w:col w:w="6176"/>
          </w:cols>
        </w:sectPr>
      </w:pPr>
    </w:p>
    <w:p>
      <w:pPr>
        <w:pStyle w:val="7"/>
        <w:tabs>
          <w:tab w:val="left" w:pos="3303"/>
          <w:tab w:val="left" w:pos="5648"/>
          <w:tab w:val="left" w:pos="9510"/>
          <w:tab w:val="left" w:pos="9569"/>
        </w:tabs>
        <w:spacing w:before="97" w:line="388" w:lineRule="auto"/>
        <w:ind w:left="918" w:right="147"/>
        <w:rPr>
          <w:rFonts w:ascii="Times New Roman" w:eastAsia="Times New Roman"/>
        </w:rPr>
      </w:pPr>
      <w:r>
        <w:t>根据贵方</w:t>
      </w:r>
      <w:r>
        <w:rPr>
          <w:spacing w:val="-3"/>
        </w:rPr>
        <w:t>为</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r>
        <w:t>项目的招标公</w:t>
      </w:r>
      <w:r>
        <w:rPr>
          <w:spacing w:val="-99"/>
        </w:rPr>
        <w:t>告</w:t>
      </w:r>
      <w:r>
        <w:t>（项目编号：</w:t>
      </w:r>
      <w:r>
        <w:tab/>
      </w:r>
      <w:r>
        <w:rPr>
          <w:spacing w:val="-139"/>
        </w:rPr>
        <w:t>）</w:t>
      </w:r>
      <w:r>
        <w:rPr>
          <w:spacing w:val="-9"/>
        </w:rPr>
        <w:t>，</w:t>
      </w:r>
      <w:r>
        <w:t>签字代表</w:t>
      </w:r>
      <w:r>
        <w:rPr>
          <w:u w:val="single"/>
        </w:rPr>
        <w:t xml:space="preserve"> </w:t>
      </w:r>
      <w:r>
        <w:rPr>
          <w:u w:val="single"/>
        </w:rPr>
        <w:tab/>
      </w:r>
      <w:r>
        <w:rPr>
          <w:spacing w:val="-1"/>
          <w:u w:val="single"/>
        </w:rPr>
        <w:t>（</w:t>
      </w:r>
      <w:r>
        <w:t>全名</w:t>
      </w:r>
      <w:r>
        <w:rPr>
          <w:spacing w:val="-68"/>
        </w:rPr>
        <w:t>）</w:t>
      </w:r>
      <w:r>
        <w:t>经正式授权并代表投标人</w:t>
      </w:r>
      <w:r>
        <w:rPr>
          <w:rFonts w:ascii="Times New Roman" w:eastAsia="Times New Roman"/>
          <w:u w:val="single"/>
        </w:rPr>
        <w:t xml:space="preserve"> </w:t>
      </w:r>
      <w:r>
        <w:rPr>
          <w:rFonts w:ascii="Times New Roman" w:eastAsia="Times New Roman"/>
          <w:u w:val="single"/>
        </w:rPr>
        <w:tab/>
      </w:r>
      <w:r>
        <w:rPr>
          <w:rFonts w:ascii="Times New Roman" w:eastAsia="Times New Roman"/>
          <w:u w:val="single"/>
        </w:rPr>
        <w:tab/>
      </w:r>
    </w:p>
    <w:p>
      <w:pPr>
        <w:pStyle w:val="7"/>
        <w:spacing w:line="316" w:lineRule="auto"/>
        <w:ind w:left="918" w:right="1169" w:hanging="480"/>
      </w:pPr>
      <w:r>
        <w:t>（投标人名称）提交资格审查文件、报价文件、技术文件正本</w:t>
      </w:r>
      <w:r>
        <w:rPr>
          <w:u w:val="single"/>
        </w:rPr>
        <w:t>壹</w:t>
      </w:r>
      <w:r>
        <w:t>份、副本</w:t>
      </w:r>
      <w:r>
        <w:rPr>
          <w:u w:val="single"/>
        </w:rPr>
        <w:t>肆</w:t>
      </w:r>
      <w:r>
        <w:t>份。据此函，签字代表宣布同意如下：</w:t>
      </w:r>
    </w:p>
    <w:p>
      <w:pPr>
        <w:pStyle w:val="14"/>
        <w:numPr>
          <w:ilvl w:val="0"/>
          <w:numId w:val="37"/>
        </w:numPr>
        <w:tabs>
          <w:tab w:val="left" w:pos="1164"/>
        </w:tabs>
        <w:spacing w:before="0" w:after="0" w:line="316" w:lineRule="auto"/>
        <w:ind w:left="438" w:right="495" w:firstLine="480"/>
        <w:jc w:val="both"/>
        <w:rPr>
          <w:sz w:val="24"/>
        </w:rPr>
      </w:pPr>
      <w:r>
        <w:rPr>
          <w:spacing w:val="4"/>
          <w:sz w:val="24"/>
        </w:rPr>
        <w:t>投标人已详细审查全部“招标文件”，包括修改文件</w:t>
      </w:r>
      <w:r>
        <w:rPr>
          <w:spacing w:val="7"/>
          <w:sz w:val="24"/>
        </w:rPr>
        <w:t>（</w:t>
      </w:r>
      <w:r>
        <w:rPr>
          <w:spacing w:val="4"/>
          <w:sz w:val="24"/>
        </w:rPr>
        <w:t>如有的话）</w:t>
      </w:r>
      <w:r>
        <w:rPr>
          <w:spacing w:val="1"/>
          <w:sz w:val="24"/>
        </w:rPr>
        <w:t>以及全部参考资料和有关附件，已经了解我方对于招标文件、采购过程、采购结果有依法进行询问、质疑、投诉的权利及相关渠道和要求。</w:t>
      </w:r>
    </w:p>
    <w:p>
      <w:pPr>
        <w:pStyle w:val="14"/>
        <w:numPr>
          <w:ilvl w:val="0"/>
          <w:numId w:val="37"/>
        </w:numPr>
        <w:tabs>
          <w:tab w:val="left" w:pos="1145"/>
        </w:tabs>
        <w:spacing w:before="0" w:after="0" w:line="316" w:lineRule="auto"/>
        <w:ind w:left="438" w:right="500" w:firstLine="465"/>
        <w:jc w:val="left"/>
        <w:rPr>
          <w:sz w:val="24"/>
        </w:rPr>
      </w:pPr>
      <w:r>
        <w:rPr>
          <w:spacing w:val="-3"/>
          <w:sz w:val="24"/>
        </w:rPr>
        <w:t>投标人在投标之前已经与贵方进行了充分的沟通，完全理解并接受招标文件的各</w:t>
      </w:r>
      <w:r>
        <w:rPr>
          <w:spacing w:val="-2"/>
          <w:sz w:val="24"/>
        </w:rPr>
        <w:t>项规定和要求，对招标文件的合理性、合法性不再有异议。</w:t>
      </w:r>
    </w:p>
    <w:p>
      <w:pPr>
        <w:pStyle w:val="14"/>
        <w:numPr>
          <w:ilvl w:val="0"/>
          <w:numId w:val="37"/>
        </w:numPr>
        <w:tabs>
          <w:tab w:val="left" w:pos="1160"/>
          <w:tab w:val="left" w:pos="6368"/>
        </w:tabs>
        <w:spacing w:before="0" w:after="0" w:line="240" w:lineRule="auto"/>
        <w:ind w:left="1159" w:right="0" w:hanging="242"/>
        <w:jc w:val="left"/>
        <w:rPr>
          <w:sz w:val="24"/>
        </w:rPr>
      </w:pPr>
      <w:r>
        <w:rPr>
          <w:sz w:val="24"/>
        </w:rPr>
        <w:t>本投标有效期:自投标截止之日起</w:t>
      </w:r>
      <w:r>
        <w:rPr>
          <w:sz w:val="24"/>
          <w:u w:val="single"/>
        </w:rPr>
        <w:t xml:space="preserve"> </w:t>
      </w:r>
      <w:r>
        <w:rPr>
          <w:sz w:val="24"/>
          <w:u w:val="single"/>
        </w:rPr>
        <w:tab/>
      </w:r>
      <w:r>
        <w:rPr>
          <w:sz w:val="24"/>
        </w:rPr>
        <w:t>日。</w:t>
      </w:r>
    </w:p>
    <w:p>
      <w:pPr>
        <w:pStyle w:val="14"/>
        <w:numPr>
          <w:ilvl w:val="0"/>
          <w:numId w:val="37"/>
        </w:numPr>
        <w:tabs>
          <w:tab w:val="left" w:pos="1121"/>
        </w:tabs>
        <w:spacing w:before="84" w:after="0" w:line="314" w:lineRule="auto"/>
        <w:ind w:left="438" w:right="1464" w:firstLine="446"/>
        <w:jc w:val="left"/>
        <w:rPr>
          <w:sz w:val="24"/>
        </w:rPr>
      </w:pPr>
      <w:r>
        <w:rPr>
          <w:spacing w:val="-10"/>
          <w:sz w:val="24"/>
        </w:rPr>
        <w:t>如中标，本投标文件至本项目合同履行完毕止均保持有效，本投标人将按</w:t>
      </w:r>
      <w:r>
        <w:rPr>
          <w:spacing w:val="-8"/>
          <w:sz w:val="24"/>
        </w:rPr>
        <w:t>“招标文件”及政府采购法律、法规的规定履行合同责任和义务。</w:t>
      </w:r>
    </w:p>
    <w:p>
      <w:pPr>
        <w:pStyle w:val="14"/>
        <w:numPr>
          <w:ilvl w:val="0"/>
          <w:numId w:val="37"/>
        </w:numPr>
        <w:tabs>
          <w:tab w:val="left" w:pos="1160"/>
        </w:tabs>
        <w:spacing w:before="8" w:after="0" w:line="240" w:lineRule="auto"/>
        <w:ind w:left="1159" w:right="0" w:hanging="242"/>
        <w:jc w:val="left"/>
        <w:rPr>
          <w:sz w:val="24"/>
        </w:rPr>
      </w:pPr>
      <w:r>
        <w:rPr>
          <w:sz w:val="24"/>
        </w:rPr>
        <w:t>投标人同意按照贵方要求提供与投标有关的一切数据或资料。</w:t>
      </w:r>
    </w:p>
    <w:p>
      <w:pPr>
        <w:pStyle w:val="14"/>
        <w:numPr>
          <w:ilvl w:val="0"/>
          <w:numId w:val="37"/>
        </w:numPr>
        <w:tabs>
          <w:tab w:val="left" w:pos="1160"/>
        </w:tabs>
        <w:spacing w:before="88" w:after="0" w:line="240" w:lineRule="auto"/>
        <w:ind w:left="1159" w:right="0" w:hanging="242"/>
        <w:jc w:val="left"/>
        <w:rPr>
          <w:sz w:val="24"/>
        </w:rPr>
      </w:pPr>
      <w:r>
        <w:rPr>
          <w:sz w:val="24"/>
        </w:rPr>
        <w:t>与本投标有关的一切正式往来信函请寄：</w:t>
      </w:r>
    </w:p>
    <w:p>
      <w:pPr>
        <w:pStyle w:val="7"/>
        <w:tabs>
          <w:tab w:val="left" w:pos="2828"/>
          <w:tab w:val="left" w:pos="4088"/>
          <w:tab w:val="left" w:pos="5439"/>
        </w:tabs>
        <w:spacing w:before="93" w:line="386" w:lineRule="auto"/>
        <w:ind w:left="728" w:right="3219"/>
        <w:jc w:val="both"/>
      </w:pPr>
      <w:r>
        <w:t>地址：</w:t>
      </w:r>
      <w:r>
        <w:rPr>
          <w:u w:val="single"/>
        </w:rPr>
        <w:t xml:space="preserve"> </w:t>
      </w:r>
      <w:r>
        <w:rPr>
          <w:u w:val="single"/>
        </w:rPr>
        <w:tab/>
      </w:r>
      <w:r>
        <w:rPr>
          <w:u w:val="single"/>
        </w:rPr>
        <w:tab/>
      </w:r>
      <w:r>
        <w:t>邮 编 ：</w:t>
      </w:r>
      <w:r>
        <w:rPr>
          <w:u w:val="single"/>
        </w:rPr>
        <w:t xml:space="preserve">  </w:t>
      </w:r>
      <w:r>
        <w:t xml:space="preserve"> </w:t>
      </w:r>
      <w:r>
        <w:rPr>
          <w:spacing w:val="59"/>
        </w:rPr>
        <w:t xml:space="preserve"> </w:t>
      </w:r>
      <w:r>
        <w:t xml:space="preserve">电 话 </w:t>
      </w:r>
      <w:r>
        <w:rPr>
          <w:spacing w:val="-16"/>
        </w:rPr>
        <w:t xml:space="preserve">： </w:t>
      </w:r>
      <w:r>
        <w:t>传真：</w:t>
      </w:r>
      <w:r>
        <w:rPr>
          <w:u w:val="single"/>
        </w:rPr>
        <w:t xml:space="preserve"> </w:t>
      </w:r>
      <w:r>
        <w:rPr>
          <w:u w:val="single"/>
        </w:rPr>
        <w:tab/>
      </w:r>
      <w:r>
        <w:t>法定代表人姓名：</w:t>
      </w:r>
      <w:r>
        <w:rPr>
          <w:u w:val="single"/>
        </w:rPr>
        <w:t xml:space="preserve"> </w:t>
      </w:r>
      <w:r>
        <w:rPr>
          <w:u w:val="single"/>
        </w:rPr>
        <w:tab/>
      </w:r>
      <w:r>
        <w:t>职务</w:t>
      </w:r>
      <w:r>
        <w:rPr>
          <w:spacing w:val="-17"/>
        </w:rPr>
        <w:t xml:space="preserve">： </w:t>
      </w:r>
      <w:r>
        <w:t>投标人名称(公章)：</w:t>
      </w:r>
    </w:p>
    <w:p>
      <w:pPr>
        <w:pStyle w:val="7"/>
        <w:spacing w:before="3"/>
        <w:ind w:left="728"/>
      </w:pPr>
      <w:r>
        <w:t>开户银行：</w:t>
      </w:r>
    </w:p>
    <w:p>
      <w:pPr>
        <w:pStyle w:val="7"/>
        <w:spacing w:before="187"/>
        <w:ind w:left="728"/>
      </w:pPr>
      <w:r>
        <w:t>银行账号：</w:t>
      </w:r>
    </w:p>
    <w:p>
      <w:pPr>
        <w:pStyle w:val="7"/>
        <w:tabs>
          <w:tab w:val="left" w:pos="3847"/>
          <w:tab w:val="left" w:pos="4928"/>
          <w:tab w:val="left" w:pos="6368"/>
          <w:tab w:val="left" w:pos="6968"/>
          <w:tab w:val="left" w:pos="7568"/>
        </w:tabs>
        <w:spacing w:before="101"/>
        <w:ind w:left="728"/>
      </w:pPr>
      <w:r>
        <w:t>委托代理人签字：</w:t>
      </w:r>
      <w:r>
        <w:rPr>
          <w:u w:val="single"/>
        </w:rPr>
        <w:t xml:space="preserve"> </w:t>
      </w:r>
      <w:r>
        <w:rPr>
          <w:u w:val="single"/>
        </w:rPr>
        <w:tab/>
      </w:r>
      <w:r>
        <w:tab/>
      </w:r>
      <w:r>
        <w:t>日期：</w:t>
      </w:r>
      <w:r>
        <w:rPr>
          <w:u w:val="single"/>
        </w:rPr>
        <w:t xml:space="preserve"> </w:t>
      </w:r>
      <w:r>
        <w:rPr>
          <w:u w:val="single"/>
        </w:rPr>
        <w:tab/>
      </w:r>
      <w:r>
        <w:t>年</w:t>
      </w:r>
      <w:r>
        <w:rPr>
          <w:u w:val="single"/>
        </w:rPr>
        <w:t xml:space="preserve"> </w:t>
      </w:r>
      <w:r>
        <w:rPr>
          <w:u w:val="single"/>
        </w:rPr>
        <w:tab/>
      </w:r>
      <w:r>
        <w:t>月</w:t>
      </w:r>
      <w:r>
        <w:rPr>
          <w:u w:val="single"/>
        </w:rPr>
        <w:t xml:space="preserve"> </w:t>
      </w:r>
      <w:r>
        <w:rPr>
          <w:u w:val="single"/>
        </w:rPr>
        <w:tab/>
      </w:r>
      <w:r>
        <w:t>日</w:t>
      </w:r>
    </w:p>
    <w:p>
      <w:pPr>
        <w:spacing w:after="0"/>
        <w:sectPr>
          <w:type w:val="continuous"/>
          <w:pgSz w:w="11910" w:h="16840"/>
          <w:pgMar w:top="1600" w:right="920" w:bottom="280" w:left="980" w:header="720" w:footer="720" w:gutter="0"/>
          <w:pgNumType w:fmt="decimal"/>
        </w:sectPr>
      </w:pPr>
    </w:p>
    <w:p>
      <w:pPr>
        <w:spacing w:before="129"/>
        <w:ind w:left="728" w:right="0" w:firstLine="0"/>
        <w:jc w:val="left"/>
        <w:rPr>
          <w:b/>
          <w:sz w:val="32"/>
        </w:rPr>
      </w:pPr>
      <w:r>
        <w:rPr>
          <w:b/>
          <w:sz w:val="22"/>
        </w:rPr>
        <w:t>（1）</w:t>
      </w:r>
      <w:r>
        <w:rPr>
          <w:b/>
          <w:spacing w:val="68"/>
          <w:sz w:val="22"/>
        </w:rPr>
        <w:t xml:space="preserve"> </w:t>
      </w:r>
      <w:r>
        <w:rPr>
          <w:b/>
          <w:sz w:val="32"/>
        </w:rPr>
        <w:t>投标报价明细表格式：</w:t>
      </w:r>
    </w:p>
    <w:p>
      <w:pPr>
        <w:pStyle w:val="6"/>
        <w:spacing w:before="3"/>
        <w:ind w:left="0" w:right="38"/>
        <w:jc w:val="right"/>
      </w:pPr>
      <w:r>
        <w:rPr>
          <w:w w:val="95"/>
        </w:rPr>
        <w:t>投标报价明细表</w:t>
      </w:r>
    </w:p>
    <w:p>
      <w:pPr>
        <w:pStyle w:val="7"/>
        <w:rPr>
          <w:b/>
        </w:rPr>
      </w:pPr>
      <w:r>
        <w:br w:type="column"/>
      </w:r>
    </w:p>
    <w:p>
      <w:pPr>
        <w:pStyle w:val="7"/>
        <w:rPr>
          <w:b/>
        </w:rPr>
      </w:pPr>
    </w:p>
    <w:p>
      <w:pPr>
        <w:pStyle w:val="7"/>
        <w:spacing w:before="9"/>
        <w:rPr>
          <w:b/>
          <w:sz w:val="18"/>
        </w:rPr>
      </w:pPr>
    </w:p>
    <w:p>
      <w:pPr>
        <w:pStyle w:val="7"/>
        <w:ind w:left="728"/>
      </w:pPr>
      <w:r>
        <w:t>金额单位：人民币</w:t>
      </w:r>
    </w:p>
    <w:p>
      <w:pPr>
        <w:pStyle w:val="7"/>
        <w:spacing w:before="2"/>
        <w:ind w:left="728"/>
      </w:pPr>
      <w:r>
        <w:t>（元）</w:t>
      </w:r>
    </w:p>
    <w:p>
      <w:pPr>
        <w:spacing w:after="0"/>
        <w:sectPr>
          <w:pgSz w:w="11910" w:h="16840"/>
          <w:pgMar w:top="1360" w:right="920" w:bottom="940" w:left="980" w:header="878" w:footer="757" w:gutter="0"/>
          <w:pgNumType w:fmt="decimal"/>
          <w:cols w:equalWidth="0" w:num="2">
            <w:col w:w="5742" w:space="978"/>
            <w:col w:w="3290"/>
          </w:cols>
        </w:sectPr>
      </w:pPr>
    </w:p>
    <w:tbl>
      <w:tblPr>
        <w:tblStyle w:val="11"/>
        <w:tblW w:w="8690" w:type="dxa"/>
        <w:tblInd w:w="74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8"/>
        <w:gridCol w:w="1477"/>
        <w:gridCol w:w="2301"/>
        <w:gridCol w:w="1022"/>
        <w:gridCol w:w="894"/>
        <w:gridCol w:w="1022"/>
        <w:gridCol w:w="858"/>
        <w:gridCol w:w="54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6" w:hRule="atLeast"/>
        </w:trPr>
        <w:tc>
          <w:tcPr>
            <w:tcW w:w="568" w:type="dxa"/>
          </w:tcPr>
          <w:p>
            <w:pPr>
              <w:pStyle w:val="15"/>
              <w:spacing w:line="244" w:lineRule="auto"/>
              <w:ind w:left="202" w:right="144"/>
              <w:rPr>
                <w:sz w:val="21"/>
              </w:rPr>
            </w:pPr>
            <w:r>
              <w:rPr>
                <w:sz w:val="21"/>
              </w:rPr>
              <w:t>项号</w:t>
            </w:r>
          </w:p>
        </w:tc>
        <w:tc>
          <w:tcPr>
            <w:tcW w:w="1477" w:type="dxa"/>
          </w:tcPr>
          <w:p>
            <w:pPr>
              <w:pStyle w:val="15"/>
              <w:spacing w:line="268" w:lineRule="exact"/>
              <w:ind w:left="484"/>
              <w:rPr>
                <w:sz w:val="21"/>
              </w:rPr>
            </w:pPr>
            <w:r>
              <w:rPr>
                <w:sz w:val="21"/>
              </w:rPr>
              <w:t>服务名称</w:t>
            </w:r>
          </w:p>
        </w:tc>
        <w:tc>
          <w:tcPr>
            <w:tcW w:w="2301" w:type="dxa"/>
          </w:tcPr>
          <w:p>
            <w:pPr>
              <w:pStyle w:val="15"/>
              <w:spacing w:line="244" w:lineRule="auto"/>
              <w:ind w:left="941" w:right="929"/>
              <w:jc w:val="center"/>
              <w:rPr>
                <w:sz w:val="21"/>
              </w:rPr>
            </w:pPr>
            <w:r>
              <w:rPr>
                <w:sz w:val="21"/>
              </w:rPr>
              <w:t>服务内容</w:t>
            </w:r>
          </w:p>
        </w:tc>
        <w:tc>
          <w:tcPr>
            <w:tcW w:w="1022" w:type="dxa"/>
          </w:tcPr>
          <w:p>
            <w:pPr>
              <w:pStyle w:val="15"/>
              <w:spacing w:line="244" w:lineRule="auto"/>
              <w:ind w:left="409" w:right="391"/>
              <w:jc w:val="center"/>
              <w:rPr>
                <w:sz w:val="21"/>
              </w:rPr>
            </w:pPr>
            <w:r>
              <w:rPr>
                <w:sz w:val="21"/>
              </w:rPr>
              <w:t>数量</w:t>
            </w:r>
          </w:p>
        </w:tc>
        <w:tc>
          <w:tcPr>
            <w:tcW w:w="894" w:type="dxa"/>
          </w:tcPr>
          <w:p>
            <w:pPr>
              <w:pStyle w:val="15"/>
              <w:spacing w:before="2" w:line="242" w:lineRule="auto"/>
              <w:ind w:left="342" w:right="330"/>
              <w:jc w:val="center"/>
              <w:rPr>
                <w:sz w:val="21"/>
              </w:rPr>
            </w:pPr>
            <w:r>
              <w:rPr>
                <w:sz w:val="21"/>
              </w:rPr>
              <w:t>单位</w:t>
            </w:r>
          </w:p>
        </w:tc>
        <w:tc>
          <w:tcPr>
            <w:tcW w:w="1022" w:type="dxa"/>
          </w:tcPr>
          <w:p>
            <w:pPr>
              <w:pStyle w:val="15"/>
              <w:spacing w:before="2"/>
              <w:ind w:left="360"/>
              <w:rPr>
                <w:sz w:val="21"/>
              </w:rPr>
            </w:pPr>
            <w:r>
              <w:rPr>
                <w:sz w:val="21"/>
              </w:rPr>
              <w:t>单价</w:t>
            </w:r>
          </w:p>
        </w:tc>
        <w:tc>
          <w:tcPr>
            <w:tcW w:w="858" w:type="dxa"/>
          </w:tcPr>
          <w:p>
            <w:pPr>
              <w:pStyle w:val="15"/>
              <w:spacing w:before="2"/>
              <w:ind w:left="269"/>
              <w:rPr>
                <w:sz w:val="21"/>
              </w:rPr>
            </w:pPr>
            <w:r>
              <w:rPr>
                <w:sz w:val="21"/>
              </w:rPr>
              <w:t>金额</w:t>
            </w:r>
          </w:p>
        </w:tc>
        <w:tc>
          <w:tcPr>
            <w:tcW w:w="548" w:type="dxa"/>
          </w:tcPr>
          <w:p>
            <w:pPr>
              <w:pStyle w:val="15"/>
              <w:spacing w:before="155" w:line="244" w:lineRule="auto"/>
              <w:ind w:left="201" w:right="125"/>
              <w:rPr>
                <w:sz w:val="21"/>
              </w:rPr>
            </w:pPr>
            <w:r>
              <w:rPr>
                <w:sz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568" w:type="dxa"/>
          </w:tcPr>
          <w:p>
            <w:pPr>
              <w:pStyle w:val="15"/>
              <w:spacing w:before="108"/>
              <w:ind w:left="17"/>
              <w:jc w:val="center"/>
              <w:rPr>
                <w:sz w:val="21"/>
              </w:rPr>
            </w:pPr>
            <w:r>
              <w:rPr>
                <w:w w:val="97"/>
                <w:sz w:val="21"/>
              </w:rPr>
              <w:t>1</w:t>
            </w:r>
          </w:p>
        </w:tc>
        <w:tc>
          <w:tcPr>
            <w:tcW w:w="1477" w:type="dxa"/>
          </w:tcPr>
          <w:p>
            <w:pPr>
              <w:pStyle w:val="15"/>
              <w:rPr>
                <w:rFonts w:ascii="Times New Roman"/>
                <w:sz w:val="22"/>
              </w:rPr>
            </w:pPr>
          </w:p>
        </w:tc>
        <w:tc>
          <w:tcPr>
            <w:tcW w:w="2301" w:type="dxa"/>
          </w:tcPr>
          <w:p>
            <w:pPr>
              <w:pStyle w:val="15"/>
              <w:rPr>
                <w:rFonts w:ascii="Times New Roman"/>
                <w:sz w:val="22"/>
              </w:rPr>
            </w:pPr>
          </w:p>
        </w:tc>
        <w:tc>
          <w:tcPr>
            <w:tcW w:w="1022" w:type="dxa"/>
          </w:tcPr>
          <w:p>
            <w:pPr>
              <w:pStyle w:val="15"/>
              <w:spacing w:before="108"/>
              <w:ind w:left="15"/>
              <w:jc w:val="center"/>
              <w:rPr>
                <w:sz w:val="21"/>
              </w:rPr>
            </w:pPr>
            <w:r>
              <w:rPr>
                <w:w w:val="97"/>
                <w:sz w:val="21"/>
              </w:rPr>
              <w:t>1</w:t>
            </w:r>
          </w:p>
        </w:tc>
        <w:tc>
          <w:tcPr>
            <w:tcW w:w="894" w:type="dxa"/>
          </w:tcPr>
          <w:p>
            <w:pPr>
              <w:pStyle w:val="15"/>
              <w:spacing w:before="108"/>
              <w:ind w:left="30"/>
              <w:jc w:val="center"/>
              <w:rPr>
                <w:sz w:val="21"/>
              </w:rPr>
            </w:pPr>
            <w:r>
              <w:rPr>
                <w:w w:val="97"/>
                <w:sz w:val="21"/>
              </w:rPr>
              <w:t>项</w:t>
            </w:r>
          </w:p>
        </w:tc>
        <w:tc>
          <w:tcPr>
            <w:tcW w:w="1022" w:type="dxa"/>
          </w:tcPr>
          <w:p>
            <w:pPr>
              <w:pStyle w:val="15"/>
              <w:rPr>
                <w:rFonts w:ascii="Times New Roman"/>
                <w:sz w:val="22"/>
              </w:rPr>
            </w:pPr>
          </w:p>
        </w:tc>
        <w:tc>
          <w:tcPr>
            <w:tcW w:w="858" w:type="dxa"/>
          </w:tcPr>
          <w:p>
            <w:pPr>
              <w:pStyle w:val="15"/>
              <w:rPr>
                <w:rFonts w:ascii="Times New Roman"/>
                <w:sz w:val="22"/>
              </w:rPr>
            </w:pPr>
          </w:p>
        </w:tc>
        <w:tc>
          <w:tcPr>
            <w:tcW w:w="548"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trPr>
        <w:tc>
          <w:tcPr>
            <w:tcW w:w="568" w:type="dxa"/>
          </w:tcPr>
          <w:p>
            <w:pPr>
              <w:pStyle w:val="15"/>
              <w:spacing w:before="103"/>
              <w:ind w:left="17"/>
              <w:jc w:val="center"/>
              <w:rPr>
                <w:sz w:val="21"/>
              </w:rPr>
            </w:pPr>
            <w:r>
              <w:rPr>
                <w:w w:val="97"/>
                <w:sz w:val="21"/>
              </w:rPr>
              <w:t>2</w:t>
            </w:r>
          </w:p>
        </w:tc>
        <w:tc>
          <w:tcPr>
            <w:tcW w:w="1477" w:type="dxa"/>
          </w:tcPr>
          <w:p>
            <w:pPr>
              <w:pStyle w:val="15"/>
              <w:rPr>
                <w:rFonts w:ascii="Times New Roman"/>
                <w:sz w:val="22"/>
              </w:rPr>
            </w:pPr>
          </w:p>
        </w:tc>
        <w:tc>
          <w:tcPr>
            <w:tcW w:w="2301" w:type="dxa"/>
          </w:tcPr>
          <w:p>
            <w:pPr>
              <w:pStyle w:val="15"/>
              <w:rPr>
                <w:rFonts w:ascii="Times New Roman"/>
                <w:sz w:val="22"/>
              </w:rPr>
            </w:pPr>
          </w:p>
        </w:tc>
        <w:tc>
          <w:tcPr>
            <w:tcW w:w="1022" w:type="dxa"/>
          </w:tcPr>
          <w:p>
            <w:pPr>
              <w:pStyle w:val="15"/>
              <w:rPr>
                <w:rFonts w:ascii="Times New Roman"/>
                <w:sz w:val="22"/>
              </w:rPr>
            </w:pPr>
          </w:p>
        </w:tc>
        <w:tc>
          <w:tcPr>
            <w:tcW w:w="894" w:type="dxa"/>
          </w:tcPr>
          <w:p>
            <w:pPr>
              <w:pStyle w:val="15"/>
              <w:rPr>
                <w:rFonts w:ascii="Times New Roman"/>
                <w:sz w:val="22"/>
              </w:rPr>
            </w:pPr>
          </w:p>
        </w:tc>
        <w:tc>
          <w:tcPr>
            <w:tcW w:w="1022" w:type="dxa"/>
          </w:tcPr>
          <w:p>
            <w:pPr>
              <w:pStyle w:val="15"/>
              <w:rPr>
                <w:rFonts w:ascii="Times New Roman"/>
                <w:sz w:val="22"/>
              </w:rPr>
            </w:pPr>
          </w:p>
        </w:tc>
        <w:tc>
          <w:tcPr>
            <w:tcW w:w="858" w:type="dxa"/>
          </w:tcPr>
          <w:p>
            <w:pPr>
              <w:pStyle w:val="15"/>
              <w:rPr>
                <w:rFonts w:ascii="Times New Roman"/>
                <w:sz w:val="22"/>
              </w:rPr>
            </w:pPr>
          </w:p>
        </w:tc>
        <w:tc>
          <w:tcPr>
            <w:tcW w:w="548"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568" w:type="dxa"/>
          </w:tcPr>
          <w:p>
            <w:pPr>
              <w:pStyle w:val="15"/>
              <w:spacing w:before="108"/>
              <w:ind w:left="14"/>
              <w:jc w:val="center"/>
              <w:rPr>
                <w:sz w:val="21"/>
              </w:rPr>
            </w:pPr>
            <w:r>
              <w:rPr>
                <w:w w:val="97"/>
                <w:sz w:val="21"/>
              </w:rPr>
              <w:t>…</w:t>
            </w:r>
          </w:p>
        </w:tc>
        <w:tc>
          <w:tcPr>
            <w:tcW w:w="1477" w:type="dxa"/>
          </w:tcPr>
          <w:p>
            <w:pPr>
              <w:pStyle w:val="15"/>
              <w:rPr>
                <w:rFonts w:ascii="Times New Roman"/>
                <w:sz w:val="22"/>
              </w:rPr>
            </w:pPr>
          </w:p>
        </w:tc>
        <w:tc>
          <w:tcPr>
            <w:tcW w:w="2301" w:type="dxa"/>
          </w:tcPr>
          <w:p>
            <w:pPr>
              <w:pStyle w:val="15"/>
              <w:rPr>
                <w:rFonts w:ascii="Times New Roman"/>
                <w:sz w:val="22"/>
              </w:rPr>
            </w:pPr>
          </w:p>
        </w:tc>
        <w:tc>
          <w:tcPr>
            <w:tcW w:w="1022" w:type="dxa"/>
          </w:tcPr>
          <w:p>
            <w:pPr>
              <w:pStyle w:val="15"/>
              <w:rPr>
                <w:rFonts w:ascii="Times New Roman"/>
                <w:sz w:val="22"/>
              </w:rPr>
            </w:pPr>
          </w:p>
        </w:tc>
        <w:tc>
          <w:tcPr>
            <w:tcW w:w="894" w:type="dxa"/>
          </w:tcPr>
          <w:p>
            <w:pPr>
              <w:pStyle w:val="15"/>
              <w:rPr>
                <w:rFonts w:ascii="Times New Roman"/>
                <w:sz w:val="22"/>
              </w:rPr>
            </w:pPr>
          </w:p>
        </w:tc>
        <w:tc>
          <w:tcPr>
            <w:tcW w:w="1022" w:type="dxa"/>
          </w:tcPr>
          <w:p>
            <w:pPr>
              <w:pStyle w:val="15"/>
              <w:rPr>
                <w:rFonts w:ascii="Times New Roman"/>
                <w:sz w:val="22"/>
              </w:rPr>
            </w:pPr>
          </w:p>
        </w:tc>
        <w:tc>
          <w:tcPr>
            <w:tcW w:w="858" w:type="dxa"/>
          </w:tcPr>
          <w:p>
            <w:pPr>
              <w:pStyle w:val="15"/>
              <w:rPr>
                <w:rFonts w:ascii="Times New Roman"/>
                <w:sz w:val="22"/>
              </w:rPr>
            </w:pPr>
          </w:p>
        </w:tc>
        <w:tc>
          <w:tcPr>
            <w:tcW w:w="548"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trPr>
        <w:tc>
          <w:tcPr>
            <w:tcW w:w="8690" w:type="dxa"/>
            <w:gridSpan w:val="8"/>
          </w:tcPr>
          <w:p>
            <w:pPr>
              <w:pStyle w:val="15"/>
              <w:tabs>
                <w:tab w:val="left" w:pos="4076"/>
                <w:tab w:val="left" w:pos="5756"/>
              </w:tabs>
              <w:ind w:left="111"/>
              <w:rPr>
                <w:sz w:val="21"/>
              </w:rPr>
            </w:pPr>
            <w:r>
              <w:rPr>
                <w:spacing w:val="-13"/>
                <w:sz w:val="21"/>
              </w:rPr>
              <w:t>总</w:t>
            </w:r>
            <w:r>
              <w:rPr>
                <w:spacing w:val="-10"/>
                <w:sz w:val="21"/>
              </w:rPr>
              <w:t>报</w:t>
            </w:r>
            <w:r>
              <w:rPr>
                <w:spacing w:val="-13"/>
                <w:sz w:val="21"/>
              </w:rPr>
              <w:t>价</w:t>
            </w:r>
            <w:r>
              <w:rPr>
                <w:spacing w:val="-12"/>
                <w:sz w:val="21"/>
              </w:rPr>
              <w:t>：（</w:t>
            </w:r>
            <w:r>
              <w:rPr>
                <w:spacing w:val="-10"/>
                <w:sz w:val="21"/>
              </w:rPr>
              <w:t>大写）</w:t>
            </w:r>
            <w:r>
              <w:rPr>
                <w:spacing w:val="-13"/>
                <w:sz w:val="21"/>
              </w:rPr>
              <w:t>人</w:t>
            </w:r>
            <w:r>
              <w:rPr>
                <w:spacing w:val="-10"/>
                <w:sz w:val="21"/>
              </w:rPr>
              <w:t>民</w:t>
            </w:r>
            <w:r>
              <w:rPr>
                <w:spacing w:val="-9"/>
                <w:sz w:val="21"/>
              </w:rPr>
              <w:t>币</w:t>
            </w:r>
            <w:r>
              <w:rPr>
                <w:spacing w:val="-9"/>
                <w:sz w:val="21"/>
                <w:u w:val="single"/>
              </w:rPr>
              <w:t xml:space="preserve"> </w:t>
            </w:r>
            <w:r>
              <w:rPr>
                <w:spacing w:val="-9"/>
                <w:sz w:val="21"/>
                <w:u w:val="single"/>
              </w:rPr>
              <w:tab/>
            </w:r>
            <w:r>
              <w:rPr>
                <w:sz w:val="21"/>
              </w:rPr>
              <w:t>元(￥</w:t>
            </w:r>
            <w:r>
              <w:rPr>
                <w:sz w:val="21"/>
                <w:u w:val="single"/>
              </w:rPr>
              <w:t xml:space="preserve"> </w:t>
            </w:r>
            <w:r>
              <w:rPr>
                <w:sz w:val="21"/>
                <w:u w:val="single"/>
              </w:rPr>
              <w:tab/>
            </w:r>
            <w:r>
              <w:rPr>
                <w:sz w:val="21"/>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6" w:hRule="atLeast"/>
        </w:trPr>
        <w:tc>
          <w:tcPr>
            <w:tcW w:w="8690" w:type="dxa"/>
            <w:gridSpan w:val="8"/>
          </w:tcPr>
          <w:p>
            <w:pPr>
              <w:pStyle w:val="15"/>
              <w:ind w:left="111"/>
              <w:rPr>
                <w:sz w:val="21"/>
              </w:rPr>
            </w:pPr>
            <w:r>
              <w:rPr>
                <w:sz w:val="21"/>
              </w:rPr>
              <w:t>完成时间：</w:t>
            </w:r>
          </w:p>
        </w:tc>
      </w:tr>
    </w:tbl>
    <w:p>
      <w:pPr>
        <w:pStyle w:val="6"/>
        <w:spacing w:before="4"/>
        <w:ind w:left="728"/>
      </w:pPr>
      <w:r>
        <w:t>投标说明：</w:t>
      </w:r>
    </w:p>
    <w:p>
      <w:pPr>
        <w:pStyle w:val="7"/>
        <w:spacing w:before="5"/>
        <w:ind w:left="1208"/>
      </w:pPr>
      <w:r>
        <w:t>注：1、分项内容投标人可根据情况自行填写所发生费用项目。</w:t>
      </w:r>
    </w:p>
    <w:p>
      <w:pPr>
        <w:pStyle w:val="7"/>
        <w:spacing w:before="79" w:line="242" w:lineRule="auto"/>
        <w:ind w:left="1208" w:right="519"/>
      </w:pPr>
      <w:r>
        <w:t>2、投标人必须按以上格式加盖单位公章并签名，否则，无签名或无盖单位公章的投标无效。</w:t>
      </w:r>
    </w:p>
    <w:p>
      <w:pPr>
        <w:pStyle w:val="7"/>
        <w:spacing w:line="583" w:lineRule="auto"/>
        <w:ind w:left="4568" w:right="3437" w:firstLine="81"/>
      </w:pPr>
      <w:r>
        <w:t>法定代表人或委托代理人签名：</w:t>
      </w:r>
    </w:p>
    <w:p>
      <w:pPr>
        <w:pStyle w:val="7"/>
        <w:tabs>
          <w:tab w:val="left" w:pos="5094"/>
        </w:tabs>
        <w:spacing w:line="585" w:lineRule="auto"/>
        <w:ind w:left="4614" w:right="3917" w:firstLine="36"/>
      </w:pPr>
      <w:r>
        <w:t>投标人公章</w:t>
      </w:r>
      <w:r>
        <w:rPr>
          <w:spacing w:val="-17"/>
        </w:rPr>
        <w:t xml:space="preserve">： </w:t>
      </w:r>
      <w:r>
        <w:t>日</w:t>
      </w:r>
      <w:r>
        <w:tab/>
      </w:r>
      <w:r>
        <w:t>期：</w:t>
      </w:r>
    </w:p>
    <w:p>
      <w:pPr>
        <w:spacing w:after="0" w:line="585" w:lineRule="auto"/>
        <w:sectPr>
          <w:type w:val="continuous"/>
          <w:pgSz w:w="11910" w:h="16840"/>
          <w:pgMar w:top="1600" w:right="920" w:bottom="280" w:left="980" w:header="720" w:footer="720" w:gutter="0"/>
          <w:pgNumType w:fmt="decimal"/>
        </w:sectPr>
      </w:pPr>
    </w:p>
    <w:p>
      <w:pPr>
        <w:pStyle w:val="7"/>
        <w:spacing w:before="6"/>
        <w:rPr>
          <w:sz w:val="26"/>
        </w:rPr>
      </w:pPr>
    </w:p>
    <w:p>
      <w:pPr>
        <w:pStyle w:val="3"/>
        <w:spacing w:before="54" w:line="295" w:lineRule="auto"/>
        <w:ind w:left="812" w:right="3589" w:firstLine="3038"/>
      </w:pPr>
      <w:r>
        <w:t>四、技术文件格式技术文件内封面格式：</w:t>
      </w:r>
    </w:p>
    <w:p>
      <w:pPr>
        <w:pStyle w:val="7"/>
        <w:rPr>
          <w:b/>
          <w:sz w:val="20"/>
        </w:rPr>
      </w:pPr>
    </w:p>
    <w:p>
      <w:pPr>
        <w:pStyle w:val="7"/>
        <w:spacing w:before="3"/>
        <w:rPr>
          <w:b/>
          <w:sz w:val="15"/>
        </w:rPr>
      </w:pPr>
    </w:p>
    <w:p>
      <w:pPr>
        <w:spacing w:after="0"/>
        <w:rPr>
          <w:sz w:val="15"/>
        </w:rPr>
        <w:sectPr>
          <w:headerReference r:id="rId13" w:type="default"/>
          <w:pgSz w:w="11910" w:h="16840"/>
          <w:pgMar w:top="1140" w:right="920" w:bottom="940" w:left="980" w:header="900" w:footer="757" w:gutter="0"/>
          <w:pgNumType w:fmt="decimal"/>
        </w:sectPr>
      </w:pPr>
    </w:p>
    <w:p>
      <w:pPr>
        <w:pStyle w:val="7"/>
        <w:rPr>
          <w:b/>
        </w:rPr>
      </w:pPr>
    </w:p>
    <w:p>
      <w:pPr>
        <w:pStyle w:val="7"/>
        <w:spacing w:before="160" w:line="484" w:lineRule="auto"/>
        <w:ind w:left="2300"/>
      </w:pPr>
      <w:r>
        <w:t>项目名称： 项目编号：</w:t>
      </w:r>
    </w:p>
    <w:p>
      <w:pPr>
        <w:pStyle w:val="3"/>
        <w:spacing w:before="54"/>
        <w:ind w:left="1147"/>
      </w:pPr>
      <w:r>
        <w:rPr>
          <w:b w:val="0"/>
        </w:rPr>
        <w:br w:type="column"/>
      </w:r>
      <w:r>
        <w:t>技术文件</w:t>
      </w:r>
    </w:p>
    <w:p>
      <w:pPr>
        <w:spacing w:after="0"/>
        <w:sectPr>
          <w:type w:val="continuous"/>
          <w:pgSz w:w="11910" w:h="16840"/>
          <w:pgMar w:top="1600" w:right="920" w:bottom="280" w:left="980" w:header="720" w:footer="720" w:gutter="0"/>
          <w:pgNumType w:fmt="decimal"/>
          <w:cols w:equalWidth="0" w:num="2">
            <w:col w:w="3501" w:space="40"/>
            <w:col w:w="6469"/>
          </w:cols>
        </w:sect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pStyle w:val="7"/>
        <w:rPr>
          <w:b/>
          <w:sz w:val="20"/>
        </w:rPr>
      </w:pPr>
    </w:p>
    <w:p>
      <w:pPr>
        <w:spacing w:after="0"/>
        <w:rPr>
          <w:sz w:val="20"/>
        </w:rPr>
        <w:sectPr>
          <w:type w:val="continuous"/>
          <w:pgSz w:w="11910" w:h="16840"/>
          <w:pgMar w:top="1600" w:right="920" w:bottom="280" w:left="980" w:header="720" w:footer="720" w:gutter="0"/>
          <w:pgNumType w:fmt="decimal"/>
        </w:sectPr>
      </w:pPr>
    </w:p>
    <w:p>
      <w:pPr>
        <w:pStyle w:val="7"/>
        <w:rPr>
          <w:b/>
        </w:rPr>
      </w:pPr>
    </w:p>
    <w:p>
      <w:pPr>
        <w:pStyle w:val="7"/>
        <w:spacing w:before="4"/>
        <w:rPr>
          <w:b/>
          <w:sz w:val="26"/>
        </w:rPr>
      </w:pPr>
    </w:p>
    <w:p>
      <w:pPr>
        <w:pStyle w:val="7"/>
        <w:spacing w:before="1"/>
        <w:ind w:left="100"/>
      </w:pPr>
      <w:r>
        <w:t>▲（1）针对本项目的服务大纲：</w:t>
      </w:r>
    </w:p>
    <w:p>
      <w:pPr>
        <w:pStyle w:val="7"/>
        <w:spacing w:before="10"/>
        <w:rPr>
          <w:sz w:val="19"/>
        </w:rPr>
      </w:pPr>
    </w:p>
    <w:p>
      <w:pPr>
        <w:pStyle w:val="7"/>
        <w:ind w:left="100"/>
      </w:pPr>
      <w:r>
        <w:t>①服务范围及服务内容；</w:t>
      </w:r>
    </w:p>
    <w:p>
      <w:pPr>
        <w:pStyle w:val="7"/>
        <w:spacing w:before="6"/>
        <w:rPr>
          <w:sz w:val="19"/>
        </w:rPr>
      </w:pPr>
    </w:p>
    <w:p>
      <w:pPr>
        <w:pStyle w:val="7"/>
        <w:ind w:left="100"/>
      </w:pPr>
      <w:r>
        <w:t>②服务目标；</w:t>
      </w:r>
    </w:p>
    <w:p>
      <w:pPr>
        <w:pStyle w:val="7"/>
        <w:spacing w:before="11"/>
        <w:rPr>
          <w:sz w:val="19"/>
        </w:rPr>
      </w:pPr>
    </w:p>
    <w:p>
      <w:pPr>
        <w:pStyle w:val="7"/>
        <w:ind w:left="100"/>
      </w:pPr>
      <w:r>
        <w:t>③项目服务计划书及项目服务承诺；</w:t>
      </w:r>
    </w:p>
    <w:p>
      <w:pPr>
        <w:pStyle w:val="7"/>
        <w:spacing w:before="11"/>
        <w:rPr>
          <w:sz w:val="18"/>
        </w:rPr>
      </w:pPr>
      <w:r>
        <w:br w:type="column"/>
      </w:r>
    </w:p>
    <w:p>
      <w:pPr>
        <w:pStyle w:val="6"/>
        <w:ind w:left="100"/>
      </w:pPr>
      <w:r>
        <w:t>技术文件目录</w:t>
      </w:r>
    </w:p>
    <w:p>
      <w:pPr>
        <w:spacing w:after="0"/>
        <w:sectPr>
          <w:type w:val="continuous"/>
          <w:pgSz w:w="11910" w:h="16840"/>
          <w:pgMar w:top="1600" w:right="920" w:bottom="280" w:left="980" w:header="720" w:footer="720" w:gutter="0"/>
          <w:pgNumType w:fmt="decimal"/>
          <w:cols w:equalWidth="0" w:num="2">
            <w:col w:w="3981" w:space="174"/>
            <w:col w:w="5855"/>
          </w:cols>
        </w:sectPr>
      </w:pPr>
    </w:p>
    <w:p>
      <w:pPr>
        <w:pStyle w:val="7"/>
        <w:spacing w:before="6"/>
        <w:rPr>
          <w:b/>
          <w:sz w:val="14"/>
        </w:rPr>
      </w:pPr>
    </w:p>
    <w:p>
      <w:pPr>
        <w:pStyle w:val="7"/>
        <w:spacing w:before="66"/>
        <w:ind w:left="100"/>
      </w:pPr>
      <w:r>
        <w:t>④服务保证措施（由投标人自行考虑编排)；</w:t>
      </w:r>
    </w:p>
    <w:p>
      <w:pPr>
        <w:pStyle w:val="7"/>
        <w:spacing w:before="8"/>
        <w:rPr>
          <w:sz w:val="19"/>
        </w:rPr>
      </w:pPr>
    </w:p>
    <w:p>
      <w:pPr>
        <w:pStyle w:val="7"/>
        <w:ind w:left="100"/>
      </w:pPr>
      <w:r>
        <w:t>▲（2）拟投入本项目服务工作的主要服务人员汇总表；</w:t>
      </w:r>
    </w:p>
    <w:p>
      <w:pPr>
        <w:pStyle w:val="7"/>
        <w:spacing w:before="8"/>
        <w:rPr>
          <w:sz w:val="19"/>
        </w:rPr>
      </w:pPr>
    </w:p>
    <w:p>
      <w:pPr>
        <w:pStyle w:val="14"/>
        <w:numPr>
          <w:ilvl w:val="1"/>
          <w:numId w:val="34"/>
        </w:numPr>
        <w:tabs>
          <w:tab w:val="left" w:pos="701"/>
        </w:tabs>
        <w:spacing w:before="1" w:after="0" w:line="240" w:lineRule="auto"/>
        <w:ind w:left="701" w:right="0" w:hanging="601"/>
        <w:jc w:val="left"/>
        <w:rPr>
          <w:sz w:val="24"/>
        </w:rPr>
      </w:pPr>
      <w:r>
        <w:rPr>
          <w:sz w:val="24"/>
        </w:rPr>
        <w:t>拟投入本服务项目的主要设备；</w:t>
      </w:r>
    </w:p>
    <w:p>
      <w:pPr>
        <w:pStyle w:val="7"/>
        <w:spacing w:before="10"/>
        <w:rPr>
          <w:sz w:val="19"/>
        </w:rPr>
      </w:pPr>
    </w:p>
    <w:p>
      <w:pPr>
        <w:pStyle w:val="14"/>
        <w:numPr>
          <w:ilvl w:val="1"/>
          <w:numId w:val="34"/>
        </w:numPr>
        <w:tabs>
          <w:tab w:val="left" w:pos="701"/>
        </w:tabs>
        <w:spacing w:before="1" w:after="0" w:line="362" w:lineRule="auto"/>
        <w:ind w:left="100" w:right="312" w:firstLine="0"/>
        <w:jc w:val="left"/>
        <w:rPr>
          <w:sz w:val="22"/>
        </w:rPr>
      </w:pPr>
      <w:r>
        <w:rPr>
          <w:sz w:val="24"/>
        </w:rPr>
        <w:t>业绩证明材料【</w:t>
      </w:r>
      <w:r>
        <w:rPr>
          <w:rFonts w:hint="eastAsia" w:ascii="Times New Roman" w:hAnsi="Times New Roman"/>
          <w:color w:val="auto"/>
          <w:szCs w:val="21"/>
          <w:highlight w:val="none"/>
        </w:rPr>
        <w:t>投标人201</w:t>
      </w:r>
      <w:r>
        <w:rPr>
          <w:rFonts w:hint="eastAsia" w:ascii="Times New Roman" w:hAnsi="Times New Roman"/>
          <w:color w:val="auto"/>
          <w:szCs w:val="21"/>
          <w:highlight w:val="none"/>
          <w:lang w:val="en-US" w:eastAsia="zh-CN"/>
        </w:rPr>
        <w:t>6</w:t>
      </w:r>
      <w:r>
        <w:rPr>
          <w:rFonts w:hint="eastAsia" w:ascii="Times New Roman" w:hAnsi="Times New Roman"/>
          <w:color w:val="auto"/>
          <w:szCs w:val="21"/>
          <w:highlight w:val="none"/>
        </w:rPr>
        <w:t>年</w:t>
      </w:r>
      <w:r>
        <w:rPr>
          <w:rFonts w:hint="eastAsia" w:ascii="Times New Roman" w:hAnsi="Times New Roman"/>
          <w:color w:val="auto"/>
          <w:szCs w:val="21"/>
          <w:highlight w:val="none"/>
          <w:lang w:val="en-US" w:eastAsia="zh-CN"/>
        </w:rPr>
        <w:t>6</w:t>
      </w:r>
      <w:r>
        <w:rPr>
          <w:rFonts w:hint="eastAsia" w:ascii="Times New Roman" w:hAnsi="Times New Roman"/>
          <w:color w:val="auto"/>
          <w:szCs w:val="21"/>
          <w:highlight w:val="none"/>
        </w:rPr>
        <w:t>月</w:t>
      </w:r>
      <w:r>
        <w:rPr>
          <w:rFonts w:hint="eastAsia" w:ascii="Times New Roman" w:hAnsi="Times New Roman"/>
          <w:color w:val="auto"/>
          <w:szCs w:val="21"/>
          <w:highlight w:val="none"/>
          <w:lang w:val="en-US" w:eastAsia="zh-CN"/>
        </w:rPr>
        <w:t>1日以</w:t>
      </w:r>
      <w:r>
        <w:rPr>
          <w:rFonts w:hint="eastAsia" w:ascii="Times New Roman" w:hAnsi="Times New Roman"/>
          <w:color w:val="auto"/>
          <w:szCs w:val="21"/>
          <w:highlight w:val="none"/>
        </w:rPr>
        <w:t>来</w:t>
      </w:r>
      <w:r>
        <w:rPr>
          <w:rFonts w:ascii="Times New Roman" w:hAnsi="Times New Roman"/>
          <w:color w:val="auto"/>
          <w:szCs w:val="21"/>
          <w:highlight w:val="none"/>
        </w:rPr>
        <w:t>具有同类服务项目的业绩证明材料（无不良记录，证明材料以提供同一项目的</w:t>
      </w:r>
      <w:r>
        <w:rPr>
          <w:rFonts w:hint="eastAsia" w:ascii="Times New Roman" w:hAnsi="Times New Roman"/>
          <w:color w:val="auto"/>
          <w:szCs w:val="21"/>
          <w:highlight w:val="none"/>
        </w:rPr>
        <w:t>服务合同</w:t>
      </w:r>
      <w:r>
        <w:rPr>
          <w:rFonts w:hint="eastAsia" w:ascii="Times New Roman" w:hAnsi="Times New Roman"/>
          <w:color w:val="auto"/>
          <w:szCs w:val="21"/>
          <w:highlight w:val="none"/>
          <w:lang w:eastAsia="zh-CN"/>
        </w:rPr>
        <w:t>或项目中标通知书</w:t>
      </w:r>
      <w:r>
        <w:rPr>
          <w:rFonts w:hint="eastAsia" w:ascii="Times New Roman" w:hAnsi="Times New Roman"/>
          <w:color w:val="auto"/>
          <w:szCs w:val="21"/>
          <w:highlight w:val="none"/>
        </w:rPr>
        <w:t>为准</w:t>
      </w:r>
      <w:r>
        <w:rPr>
          <w:rFonts w:ascii="Times New Roman" w:hAnsi="Times New Roman"/>
          <w:color w:val="auto"/>
          <w:szCs w:val="21"/>
          <w:highlight w:val="none"/>
        </w:rPr>
        <w:t>，其中项目服务合同清晰反映项目名称、采购内容、签订时间）</w:t>
      </w:r>
      <w:r>
        <w:rPr>
          <w:sz w:val="22"/>
        </w:rPr>
        <w:t>】；</w:t>
      </w:r>
    </w:p>
    <w:p>
      <w:pPr>
        <w:pStyle w:val="14"/>
        <w:numPr>
          <w:ilvl w:val="1"/>
          <w:numId w:val="34"/>
        </w:numPr>
        <w:tabs>
          <w:tab w:val="left" w:pos="694"/>
        </w:tabs>
        <w:spacing w:before="98" w:after="0" w:line="362" w:lineRule="auto"/>
        <w:ind w:left="100" w:right="1066" w:firstLine="0"/>
        <w:jc w:val="left"/>
        <w:rPr>
          <w:sz w:val="24"/>
        </w:rPr>
      </w:pPr>
      <w:r>
        <w:rPr>
          <w:spacing w:val="-5"/>
          <w:sz w:val="24"/>
        </w:rPr>
        <w:t>林业项目成果奖项【投标人自</w:t>
      </w:r>
      <w:r>
        <w:rPr>
          <w:sz w:val="24"/>
        </w:rPr>
        <w:t>2016</w:t>
      </w:r>
      <w:r>
        <w:rPr>
          <w:spacing w:val="-8"/>
          <w:sz w:val="24"/>
        </w:rPr>
        <w:t>年1</w:t>
      </w:r>
      <w:r>
        <w:rPr>
          <w:spacing w:val="-5"/>
          <w:sz w:val="24"/>
        </w:rPr>
        <w:t>月</w:t>
      </w:r>
      <w:r>
        <w:rPr>
          <w:spacing w:val="-8"/>
          <w:sz w:val="24"/>
        </w:rPr>
        <w:t>1</w:t>
      </w:r>
      <w:r>
        <w:rPr>
          <w:spacing w:val="-9"/>
          <w:sz w:val="24"/>
        </w:rPr>
        <w:t>日以来获得省部级</w:t>
      </w:r>
      <w:r>
        <w:rPr>
          <w:sz w:val="24"/>
        </w:rPr>
        <w:t>（含）</w:t>
      </w:r>
      <w:r>
        <w:rPr>
          <w:spacing w:val="-3"/>
          <w:sz w:val="24"/>
        </w:rPr>
        <w:t>以上行政主管部门或工程协会颁发的林业项目成果奖项的</w:t>
      </w:r>
      <w:r>
        <w:rPr>
          <w:sz w:val="24"/>
        </w:rPr>
        <w:t>（以获奖证书复印件为准）】；</w:t>
      </w:r>
    </w:p>
    <w:p>
      <w:pPr>
        <w:pStyle w:val="14"/>
        <w:numPr>
          <w:ilvl w:val="1"/>
          <w:numId w:val="34"/>
        </w:numPr>
        <w:tabs>
          <w:tab w:val="left" w:pos="699"/>
        </w:tabs>
        <w:spacing w:before="5" w:after="0" w:line="240" w:lineRule="auto"/>
        <w:ind w:left="698" w:right="0" w:hanging="599"/>
        <w:jc w:val="left"/>
        <w:rPr>
          <w:sz w:val="24"/>
        </w:rPr>
      </w:pPr>
      <w:r>
        <w:rPr>
          <w:spacing w:val="-3"/>
          <w:sz w:val="24"/>
        </w:rPr>
        <w:t>招标文件要求提交的或投标人认为应提交的其他资料</w:t>
      </w:r>
    </w:p>
    <w:p>
      <w:pPr>
        <w:spacing w:after="0" w:line="240" w:lineRule="auto"/>
        <w:jc w:val="left"/>
        <w:rPr>
          <w:sz w:val="24"/>
        </w:rPr>
        <w:sectPr>
          <w:type w:val="continuous"/>
          <w:pgSz w:w="11910" w:h="16840"/>
          <w:pgMar w:top="1600" w:right="920" w:bottom="280" w:left="980" w:header="720" w:footer="720" w:gutter="0"/>
          <w:pgNumType w:fmt="decimal"/>
        </w:sectPr>
      </w:pPr>
    </w:p>
    <w:p>
      <w:pPr>
        <w:pStyle w:val="7"/>
        <w:spacing w:before="4"/>
        <w:rPr>
          <w:sz w:val="19"/>
        </w:rPr>
      </w:pPr>
    </w:p>
    <w:p>
      <w:pPr>
        <w:pStyle w:val="3"/>
        <w:spacing w:before="54"/>
        <w:ind w:left="3940"/>
      </w:pPr>
      <w:r>
        <w:t>技术文件格式</w:t>
      </w:r>
    </w:p>
    <w:p>
      <w:pPr>
        <w:pStyle w:val="14"/>
        <w:numPr>
          <w:ilvl w:val="2"/>
          <w:numId w:val="34"/>
        </w:numPr>
        <w:tabs>
          <w:tab w:val="left" w:pos="1208"/>
        </w:tabs>
        <w:spacing w:before="118" w:after="0" w:line="242" w:lineRule="auto"/>
        <w:ind w:left="100" w:right="922" w:firstLine="312"/>
        <w:jc w:val="left"/>
        <w:rPr>
          <w:b/>
          <w:sz w:val="32"/>
        </w:rPr>
      </w:pPr>
      <w:r>
        <w:rPr>
          <w:b/>
          <w:spacing w:val="-14"/>
          <w:sz w:val="32"/>
        </w:rPr>
        <w:t>针对本项目的服务大纲【服务大纲应包含(但不限于)以下</w:t>
      </w:r>
      <w:r>
        <w:rPr>
          <w:b/>
          <w:spacing w:val="-15"/>
          <w:sz w:val="32"/>
        </w:rPr>
        <w:t>内容】：</w:t>
      </w:r>
    </w:p>
    <w:p>
      <w:pPr>
        <w:pStyle w:val="14"/>
        <w:numPr>
          <w:ilvl w:val="3"/>
          <w:numId w:val="34"/>
        </w:numPr>
        <w:tabs>
          <w:tab w:val="left" w:pos="1149"/>
        </w:tabs>
        <w:spacing w:before="1" w:after="0" w:line="240" w:lineRule="auto"/>
        <w:ind w:left="1148" w:right="0" w:hanging="241"/>
        <w:jc w:val="left"/>
        <w:rPr>
          <w:sz w:val="24"/>
        </w:rPr>
      </w:pPr>
      <w:r>
        <w:rPr>
          <w:sz w:val="24"/>
        </w:rPr>
        <w:t>服务范围及服务内容；</w:t>
      </w:r>
    </w:p>
    <w:p>
      <w:pPr>
        <w:pStyle w:val="14"/>
        <w:numPr>
          <w:ilvl w:val="3"/>
          <w:numId w:val="34"/>
        </w:numPr>
        <w:tabs>
          <w:tab w:val="left" w:pos="1149"/>
        </w:tabs>
        <w:spacing w:before="5" w:after="0" w:line="240" w:lineRule="auto"/>
        <w:ind w:left="1148" w:right="0" w:hanging="241"/>
        <w:jc w:val="left"/>
        <w:rPr>
          <w:sz w:val="24"/>
        </w:rPr>
      </w:pPr>
      <w:r>
        <w:rPr>
          <w:sz w:val="24"/>
        </w:rPr>
        <w:t>服务目标；</w:t>
      </w:r>
    </w:p>
    <w:p>
      <w:pPr>
        <w:pStyle w:val="14"/>
        <w:numPr>
          <w:ilvl w:val="3"/>
          <w:numId w:val="34"/>
        </w:numPr>
        <w:tabs>
          <w:tab w:val="left" w:pos="1149"/>
        </w:tabs>
        <w:spacing w:before="2" w:after="0" w:line="240" w:lineRule="auto"/>
        <w:ind w:left="1148" w:right="0" w:hanging="241"/>
        <w:jc w:val="left"/>
        <w:rPr>
          <w:sz w:val="24"/>
        </w:rPr>
      </w:pPr>
      <w:r>
        <w:rPr>
          <w:sz w:val="24"/>
        </w:rPr>
        <w:t>项目服务计划书及项目服务承诺；</w:t>
      </w:r>
    </w:p>
    <w:p>
      <w:pPr>
        <w:pStyle w:val="14"/>
        <w:numPr>
          <w:ilvl w:val="3"/>
          <w:numId w:val="34"/>
        </w:numPr>
        <w:tabs>
          <w:tab w:val="left" w:pos="1149"/>
        </w:tabs>
        <w:spacing w:before="4" w:after="0" w:line="240" w:lineRule="auto"/>
        <w:ind w:left="1148" w:right="0" w:hanging="241"/>
        <w:jc w:val="left"/>
        <w:rPr>
          <w:sz w:val="24"/>
        </w:rPr>
      </w:pPr>
      <w:r>
        <w:rPr>
          <w:sz w:val="24"/>
        </w:rPr>
        <w:t>服务保证措施（由投标人自行考虑编排)；</w:t>
      </w:r>
    </w:p>
    <w:p>
      <w:pPr>
        <w:spacing w:after="0" w:line="240" w:lineRule="auto"/>
        <w:jc w:val="left"/>
        <w:rPr>
          <w:sz w:val="24"/>
        </w:rPr>
        <w:sectPr>
          <w:pgSz w:w="11910" w:h="16840"/>
          <w:pgMar w:top="1140" w:right="920" w:bottom="940" w:left="980" w:header="900" w:footer="757" w:gutter="0"/>
          <w:pgNumType w:fmt="decimal"/>
        </w:sectPr>
      </w:pPr>
    </w:p>
    <w:p>
      <w:pPr>
        <w:pStyle w:val="7"/>
        <w:spacing w:before="7"/>
        <w:rPr>
          <w:sz w:val="3"/>
        </w:rPr>
      </w:pPr>
    </w:p>
    <w:p>
      <w:pPr>
        <w:pStyle w:val="7"/>
        <w:spacing w:line="20" w:lineRule="exact"/>
        <w:ind w:left="430"/>
        <w:rPr>
          <w:sz w:val="2"/>
        </w:rPr>
      </w:pPr>
      <w:r>
        <w:rPr>
          <w:sz w:val="2"/>
        </w:rPr>
        <mc:AlternateContent>
          <mc:Choice Requires="wpg">
            <w:drawing>
              <wp:inline distT="0" distB="0" distL="114300" distR="114300">
                <wp:extent cx="5761990" cy="9525"/>
                <wp:effectExtent l="0" t="0" r="0" b="0"/>
                <wp:docPr id="12" name="组合 17"/>
                <wp:cNvGraphicFramePr/>
                <a:graphic xmlns:a="http://schemas.openxmlformats.org/drawingml/2006/main">
                  <a:graphicData uri="http://schemas.microsoft.com/office/word/2010/wordprocessingGroup">
                    <wpg:wgp>
                      <wpg:cNvGrpSpPr/>
                      <wpg:grpSpPr>
                        <a:xfrm>
                          <a:off x="0" y="0"/>
                          <a:ext cx="5761990" cy="9525"/>
                          <a:chOff x="0" y="0"/>
                          <a:chExt cx="9074" cy="15"/>
                        </a:xfrm>
                      </wpg:grpSpPr>
                      <wps:wsp>
                        <wps:cNvPr id="11" name="直线 18"/>
                        <wps:cNvCnPr/>
                        <wps:spPr>
                          <a:xfrm>
                            <a:off x="0" y="7"/>
                            <a:ext cx="9074"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组合 17" o:spid="_x0000_s1026" o:spt="203" style="height:0.75pt;width:453.7pt;" coordsize="9074,15" o:gfxdata="UEsDBAoAAAAAAIdO4kAAAAAAAAAAAAAAAAAEAAAAZHJzL1BLAwQUAAAACACHTuJAEWXEiNQAAAAD&#10;AQAADwAAAGRycy9kb3ducmV2LnhtbE2PQUvDQBCF74L/YRnBm92NWq0xmyJFPZWCrVC8TZNpEpqd&#10;Ddlt0v57Ry96eTC8x3vfZPOTa9VAfWg8W0gmBhRx4cuGKwufm7ebGagQkUtsPZOFMwWY55cXGaal&#10;H/mDhnWslJRwSNFCHWOXah2KmhyGie+Ixdv73mGUs6902eMo5a7Vt8Y8aIcNy0KNHS1qKg7ro7Pw&#10;PuL4cpe8DsvDfnH+2kxX22VC1l5fJeYZVKRT/AvDD76gQy5MO3/kMqjWgjwSf1W8J/N4D2onoSno&#10;PNP/2fNvUEsDBBQAAAAIAIdO4kD/aGTxNAIAALQEAAAOAAAAZHJzL2Uyb0RvYy54bWyllL1u2zAQ&#10;x/cCfQeCey3LiJNYsJwhTrwUbYC0D3CmKIkAv0DSlr136Ni9r9GpHfo0QV6jR0q22wQFitQDzY+7&#10;4/9+x9P8aqck2XLnhdElzUdjSrhmphK6KenHD7dvLinxAXQF0mhe0j339Grx+tW8swWfmNbIijuC&#10;QbQvOlvSNgRbZJlnLVfgR8ZyjYe1cQoCLl2TVQ46jK5kNhmPz7POuMo6w7j3uLvsD+kixa9rzsL7&#10;uvY8EFlS1BbS6NK4jmO2mEPROLCtYIMMeIEKBULjpcdQSwhANk48C6UEc8abOoyYUZmpa8F4ygGz&#10;ycdPslk5s7Epl6boGnvEhGifcHpxWPZue+eIqLB2E0o0KKzR449PD18+k/wi0ulsU6DRytl7e+eG&#10;jaZfxYR3tVPxH1Mhu8R1f+TKd4Ew3JxenOezGeJneDabTqY9dtZibZ45sfZmcJuNL856nzx5ZIfb&#10;sijqqKGz+HT8iY7/Pzr3LVieoPuY+IFOfqTz9dvj958kv+zpJKNrPaDxhUdKf+WSiEJx4HJKMD3E&#10;Y35QWOfDihtF4qSkUugoCQrYvvUBi4CmB5O4LTXpkGx+FnkBtlEtIeBUWSys103y9UaK6lZIGT28&#10;a9bX0pEtxMZIv5gPxv3DLF6yBN/2dumor13LobrRFQl7iy9GY2/TKEHxihLJ8VMQZxgQigBC/osl&#10;Xi01Kojl7CHG2dpUeyzBxjrRtEgiTyqHkifr1BpJ+dDGsfd+Xyer08dm8Q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RZcSI1AAAAAMBAAAPAAAAAAAAAAEAIAAAACIAAABkcnMvZG93bnJldi54bWxQ&#10;SwECFAAUAAAACACHTuJA/2hk8TQCAAC0BAAADgAAAAAAAAABACAAAAAjAQAAZHJzL2Uyb0RvYy54&#10;bWxQSwUGAAAAAAYABgBZAQAAyQUAAAAA&#10;">
                <o:lock v:ext="edit" aspectratio="f"/>
                <v:line id="直线 18" o:spid="_x0000_s1026" o:spt="20" style="position:absolute;left:0;top:7;height:0;width:9074;" filled="f" stroked="t" coordsize="21600,21600" o:gfxdata="UEsDBAoAAAAAAIdO4kAAAAAAAAAAAAAAAAAEAAAAZHJzL1BLAwQUAAAACACHTuJAlJPZlLoAAADb&#10;AAAADwAAAGRycy9kb3ducmV2LnhtbEVPzWrCQBC+C32HZQRvukkPWlJXD5JCKT3U1AcYstPsYnY2&#10;ZKfG+vRuodDbfHy/s91fQ68uNCYf2UC5KkARt9F67gycPl+WT6CSIFvsI5OBH0qw3z3MtljZOPGR&#10;Lo10KodwqtCAExkqrVPrKGBaxYE4c19xDCgZjp22I045PPT6sSjWOqDn3OBwoIOj9tx8BwPNx/u0&#10;frvdpnrTeEwi3tX1wZjFvCyeQQld5V/85361eX4Jv7/kA/TuD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Uk9mUugAAANsA&#10;AAAPAAAAAAAAAAEAIAAAACIAAABkcnMvZG93bnJldi54bWxQSwECFAAUAAAACACHTuJAMy8FnjsA&#10;AAA5AAAAEAAAAAAAAAABACAAAAAJAQAAZHJzL3NoYXBleG1sLnhtbFBLBQYAAAAABgAGAFsBAACz&#10;AwAAAAA=&#10;">
                  <v:fill on="f" focussize="0,0"/>
                  <v:stroke weight="0.72pt" color="#000000" joinstyle="round"/>
                  <v:imagedata o:title=""/>
                  <o:lock v:ext="edit" aspectratio="f"/>
                </v:line>
                <w10:wrap type="none"/>
                <w10:anchorlock/>
              </v:group>
            </w:pict>
          </mc:Fallback>
        </mc:AlternateContent>
      </w:r>
    </w:p>
    <w:p>
      <w:pPr>
        <w:pStyle w:val="3"/>
        <w:numPr>
          <w:ilvl w:val="2"/>
          <w:numId w:val="34"/>
        </w:numPr>
        <w:tabs>
          <w:tab w:val="left" w:pos="2049"/>
        </w:tabs>
        <w:spacing w:before="95" w:after="4" w:line="240" w:lineRule="auto"/>
        <w:ind w:left="2048" w:right="0" w:hanging="805"/>
        <w:jc w:val="left"/>
      </w:pPr>
      <w:r>
        <w:t>拟投入本项目服务工作的主要服务人员汇总表</w:t>
      </w:r>
    </w:p>
    <w:tbl>
      <w:tblPr>
        <w:tblStyle w:val="11"/>
        <w:tblW w:w="8647" w:type="dxa"/>
        <w:tblInd w:w="65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4"/>
        <w:gridCol w:w="850"/>
        <w:gridCol w:w="817"/>
        <w:gridCol w:w="1559"/>
        <w:gridCol w:w="1701"/>
        <w:gridCol w:w="1134"/>
        <w:gridCol w:w="19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0" w:hRule="atLeast"/>
        </w:trPr>
        <w:tc>
          <w:tcPr>
            <w:tcW w:w="674" w:type="dxa"/>
          </w:tcPr>
          <w:p>
            <w:pPr>
              <w:pStyle w:val="15"/>
              <w:spacing w:before="1"/>
              <w:ind w:left="109" w:right="95"/>
              <w:jc w:val="center"/>
              <w:rPr>
                <w:sz w:val="21"/>
              </w:rPr>
            </w:pPr>
            <w:r>
              <w:rPr>
                <w:sz w:val="21"/>
              </w:rPr>
              <w:t>序号</w:t>
            </w:r>
          </w:p>
        </w:tc>
        <w:tc>
          <w:tcPr>
            <w:tcW w:w="850" w:type="dxa"/>
          </w:tcPr>
          <w:p>
            <w:pPr>
              <w:pStyle w:val="15"/>
              <w:spacing w:before="1"/>
              <w:ind w:left="219"/>
              <w:rPr>
                <w:sz w:val="21"/>
              </w:rPr>
            </w:pPr>
            <w:r>
              <w:rPr>
                <w:sz w:val="21"/>
              </w:rPr>
              <w:t>姓名</w:t>
            </w:r>
          </w:p>
        </w:tc>
        <w:tc>
          <w:tcPr>
            <w:tcW w:w="817" w:type="dxa"/>
          </w:tcPr>
          <w:p>
            <w:pPr>
              <w:pStyle w:val="15"/>
              <w:spacing w:before="1"/>
              <w:ind w:left="202"/>
              <w:rPr>
                <w:sz w:val="21"/>
              </w:rPr>
            </w:pPr>
            <w:r>
              <w:rPr>
                <w:sz w:val="21"/>
              </w:rPr>
              <w:t>性别</w:t>
            </w:r>
          </w:p>
        </w:tc>
        <w:tc>
          <w:tcPr>
            <w:tcW w:w="1559" w:type="dxa"/>
          </w:tcPr>
          <w:p>
            <w:pPr>
              <w:pStyle w:val="15"/>
              <w:spacing w:before="1"/>
              <w:ind w:left="552" w:right="537"/>
              <w:jc w:val="center"/>
              <w:rPr>
                <w:sz w:val="21"/>
              </w:rPr>
            </w:pPr>
            <w:r>
              <w:rPr>
                <w:sz w:val="21"/>
              </w:rPr>
              <w:t>专业</w:t>
            </w:r>
          </w:p>
        </w:tc>
        <w:tc>
          <w:tcPr>
            <w:tcW w:w="1701" w:type="dxa"/>
          </w:tcPr>
          <w:p>
            <w:pPr>
              <w:pStyle w:val="15"/>
              <w:spacing w:before="1"/>
              <w:ind w:left="622" w:right="608"/>
              <w:jc w:val="center"/>
              <w:rPr>
                <w:sz w:val="21"/>
              </w:rPr>
            </w:pPr>
            <w:r>
              <w:rPr>
                <w:sz w:val="21"/>
              </w:rPr>
              <w:t>职称</w:t>
            </w:r>
          </w:p>
        </w:tc>
        <w:tc>
          <w:tcPr>
            <w:tcW w:w="1134" w:type="dxa"/>
          </w:tcPr>
          <w:p>
            <w:pPr>
              <w:pStyle w:val="15"/>
              <w:spacing w:before="1"/>
              <w:ind w:left="150"/>
              <w:rPr>
                <w:sz w:val="21"/>
              </w:rPr>
            </w:pPr>
            <w:r>
              <w:rPr>
                <w:sz w:val="21"/>
              </w:rPr>
              <w:t>从业时间</w:t>
            </w:r>
          </w:p>
        </w:tc>
        <w:tc>
          <w:tcPr>
            <w:tcW w:w="1912" w:type="dxa"/>
          </w:tcPr>
          <w:p>
            <w:pPr>
              <w:pStyle w:val="15"/>
              <w:spacing w:before="1"/>
              <w:ind w:left="540"/>
              <w:rPr>
                <w:sz w:val="21"/>
              </w:rPr>
            </w:pPr>
            <w:r>
              <w:rPr>
                <w:sz w:val="21"/>
              </w:rPr>
              <w:t>拟任职务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674" w:type="dxa"/>
          </w:tcPr>
          <w:p>
            <w:pPr>
              <w:pStyle w:val="15"/>
              <w:spacing w:before="180"/>
              <w:ind w:left="16"/>
              <w:jc w:val="center"/>
              <w:rPr>
                <w:sz w:val="21"/>
              </w:rPr>
            </w:pPr>
            <w:r>
              <w:rPr>
                <w:w w:val="97"/>
                <w:sz w:val="21"/>
              </w:rPr>
              <w:t>1</w:t>
            </w:r>
          </w:p>
        </w:tc>
        <w:tc>
          <w:tcPr>
            <w:tcW w:w="850" w:type="dxa"/>
          </w:tcPr>
          <w:p>
            <w:pPr>
              <w:pStyle w:val="15"/>
              <w:rPr>
                <w:rFonts w:ascii="Times New Roman"/>
                <w:sz w:val="22"/>
              </w:rPr>
            </w:pPr>
          </w:p>
        </w:tc>
        <w:tc>
          <w:tcPr>
            <w:tcW w:w="817" w:type="dxa"/>
          </w:tcPr>
          <w:p>
            <w:pPr>
              <w:pStyle w:val="15"/>
              <w:rPr>
                <w:rFonts w:ascii="Times New Roman"/>
                <w:sz w:val="22"/>
              </w:rPr>
            </w:pPr>
          </w:p>
        </w:tc>
        <w:tc>
          <w:tcPr>
            <w:tcW w:w="1559" w:type="dxa"/>
          </w:tcPr>
          <w:p>
            <w:pPr>
              <w:pStyle w:val="15"/>
              <w:rPr>
                <w:rFonts w:ascii="Times New Roman"/>
                <w:sz w:val="22"/>
              </w:rPr>
            </w:pPr>
          </w:p>
        </w:tc>
        <w:tc>
          <w:tcPr>
            <w:tcW w:w="1701" w:type="dxa"/>
          </w:tcPr>
          <w:p>
            <w:pPr>
              <w:pStyle w:val="15"/>
              <w:rPr>
                <w:rFonts w:ascii="Times New Roman"/>
                <w:sz w:val="22"/>
              </w:rPr>
            </w:pPr>
          </w:p>
        </w:tc>
        <w:tc>
          <w:tcPr>
            <w:tcW w:w="1134" w:type="dxa"/>
          </w:tcPr>
          <w:p>
            <w:pPr>
              <w:pStyle w:val="15"/>
              <w:rPr>
                <w:rFonts w:ascii="Times New Roman"/>
                <w:sz w:val="22"/>
              </w:rPr>
            </w:pPr>
          </w:p>
        </w:tc>
        <w:tc>
          <w:tcPr>
            <w:tcW w:w="1912"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674" w:type="dxa"/>
          </w:tcPr>
          <w:p>
            <w:pPr>
              <w:pStyle w:val="15"/>
              <w:spacing w:before="1"/>
              <w:ind w:left="16"/>
              <w:jc w:val="center"/>
              <w:rPr>
                <w:sz w:val="21"/>
              </w:rPr>
            </w:pPr>
            <w:r>
              <w:rPr>
                <w:w w:val="97"/>
                <w:sz w:val="21"/>
              </w:rPr>
              <w:t>2</w:t>
            </w:r>
          </w:p>
        </w:tc>
        <w:tc>
          <w:tcPr>
            <w:tcW w:w="850" w:type="dxa"/>
          </w:tcPr>
          <w:p>
            <w:pPr>
              <w:pStyle w:val="15"/>
              <w:rPr>
                <w:rFonts w:ascii="Times New Roman"/>
                <w:sz w:val="22"/>
              </w:rPr>
            </w:pPr>
          </w:p>
        </w:tc>
        <w:tc>
          <w:tcPr>
            <w:tcW w:w="817" w:type="dxa"/>
          </w:tcPr>
          <w:p>
            <w:pPr>
              <w:pStyle w:val="15"/>
              <w:rPr>
                <w:rFonts w:ascii="Times New Roman"/>
                <w:sz w:val="22"/>
              </w:rPr>
            </w:pPr>
          </w:p>
        </w:tc>
        <w:tc>
          <w:tcPr>
            <w:tcW w:w="1559" w:type="dxa"/>
          </w:tcPr>
          <w:p>
            <w:pPr>
              <w:pStyle w:val="15"/>
              <w:rPr>
                <w:rFonts w:ascii="Times New Roman"/>
                <w:sz w:val="22"/>
              </w:rPr>
            </w:pPr>
          </w:p>
        </w:tc>
        <w:tc>
          <w:tcPr>
            <w:tcW w:w="1701" w:type="dxa"/>
          </w:tcPr>
          <w:p>
            <w:pPr>
              <w:pStyle w:val="15"/>
              <w:rPr>
                <w:rFonts w:ascii="Times New Roman"/>
                <w:sz w:val="22"/>
              </w:rPr>
            </w:pPr>
          </w:p>
        </w:tc>
        <w:tc>
          <w:tcPr>
            <w:tcW w:w="1134" w:type="dxa"/>
          </w:tcPr>
          <w:p>
            <w:pPr>
              <w:pStyle w:val="15"/>
              <w:rPr>
                <w:rFonts w:ascii="Times New Roman"/>
                <w:sz w:val="22"/>
              </w:rPr>
            </w:pPr>
          </w:p>
        </w:tc>
        <w:tc>
          <w:tcPr>
            <w:tcW w:w="1912"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674" w:type="dxa"/>
          </w:tcPr>
          <w:p>
            <w:pPr>
              <w:pStyle w:val="15"/>
              <w:rPr>
                <w:b/>
                <w:sz w:val="14"/>
              </w:rPr>
            </w:pPr>
          </w:p>
          <w:p>
            <w:pPr>
              <w:pStyle w:val="15"/>
              <w:spacing w:before="1"/>
              <w:ind w:left="16"/>
              <w:jc w:val="center"/>
              <w:rPr>
                <w:sz w:val="21"/>
              </w:rPr>
            </w:pPr>
            <w:r>
              <w:rPr>
                <w:w w:val="97"/>
                <w:sz w:val="21"/>
              </w:rPr>
              <w:t>3</w:t>
            </w:r>
          </w:p>
        </w:tc>
        <w:tc>
          <w:tcPr>
            <w:tcW w:w="850" w:type="dxa"/>
          </w:tcPr>
          <w:p>
            <w:pPr>
              <w:pStyle w:val="15"/>
              <w:rPr>
                <w:rFonts w:ascii="Times New Roman"/>
                <w:sz w:val="22"/>
              </w:rPr>
            </w:pPr>
          </w:p>
        </w:tc>
        <w:tc>
          <w:tcPr>
            <w:tcW w:w="817" w:type="dxa"/>
          </w:tcPr>
          <w:p>
            <w:pPr>
              <w:pStyle w:val="15"/>
              <w:rPr>
                <w:rFonts w:ascii="Times New Roman"/>
                <w:sz w:val="22"/>
              </w:rPr>
            </w:pPr>
          </w:p>
        </w:tc>
        <w:tc>
          <w:tcPr>
            <w:tcW w:w="1559" w:type="dxa"/>
          </w:tcPr>
          <w:p>
            <w:pPr>
              <w:pStyle w:val="15"/>
              <w:rPr>
                <w:rFonts w:ascii="Times New Roman"/>
                <w:sz w:val="22"/>
              </w:rPr>
            </w:pPr>
          </w:p>
        </w:tc>
        <w:tc>
          <w:tcPr>
            <w:tcW w:w="1701" w:type="dxa"/>
          </w:tcPr>
          <w:p>
            <w:pPr>
              <w:pStyle w:val="15"/>
              <w:rPr>
                <w:rFonts w:ascii="Times New Roman"/>
                <w:sz w:val="22"/>
              </w:rPr>
            </w:pPr>
          </w:p>
        </w:tc>
        <w:tc>
          <w:tcPr>
            <w:tcW w:w="1134" w:type="dxa"/>
          </w:tcPr>
          <w:p>
            <w:pPr>
              <w:pStyle w:val="15"/>
              <w:rPr>
                <w:rFonts w:ascii="Times New Roman"/>
                <w:sz w:val="22"/>
              </w:rPr>
            </w:pPr>
          </w:p>
        </w:tc>
        <w:tc>
          <w:tcPr>
            <w:tcW w:w="1912"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674" w:type="dxa"/>
          </w:tcPr>
          <w:p>
            <w:pPr>
              <w:pStyle w:val="15"/>
              <w:spacing w:before="1"/>
              <w:ind w:left="16"/>
              <w:jc w:val="center"/>
              <w:rPr>
                <w:sz w:val="21"/>
              </w:rPr>
            </w:pPr>
            <w:r>
              <w:rPr>
                <w:w w:val="97"/>
                <w:sz w:val="21"/>
              </w:rPr>
              <w:t>4</w:t>
            </w:r>
          </w:p>
        </w:tc>
        <w:tc>
          <w:tcPr>
            <w:tcW w:w="850" w:type="dxa"/>
          </w:tcPr>
          <w:p>
            <w:pPr>
              <w:pStyle w:val="15"/>
              <w:rPr>
                <w:rFonts w:ascii="Times New Roman"/>
                <w:sz w:val="22"/>
              </w:rPr>
            </w:pPr>
          </w:p>
        </w:tc>
        <w:tc>
          <w:tcPr>
            <w:tcW w:w="817" w:type="dxa"/>
          </w:tcPr>
          <w:p>
            <w:pPr>
              <w:pStyle w:val="15"/>
              <w:rPr>
                <w:rFonts w:ascii="Times New Roman"/>
                <w:sz w:val="22"/>
              </w:rPr>
            </w:pPr>
          </w:p>
        </w:tc>
        <w:tc>
          <w:tcPr>
            <w:tcW w:w="1559" w:type="dxa"/>
          </w:tcPr>
          <w:p>
            <w:pPr>
              <w:pStyle w:val="15"/>
              <w:rPr>
                <w:rFonts w:ascii="Times New Roman"/>
                <w:sz w:val="22"/>
              </w:rPr>
            </w:pPr>
          </w:p>
        </w:tc>
        <w:tc>
          <w:tcPr>
            <w:tcW w:w="1701" w:type="dxa"/>
          </w:tcPr>
          <w:p>
            <w:pPr>
              <w:pStyle w:val="15"/>
              <w:rPr>
                <w:rFonts w:ascii="Times New Roman"/>
                <w:sz w:val="22"/>
              </w:rPr>
            </w:pPr>
          </w:p>
        </w:tc>
        <w:tc>
          <w:tcPr>
            <w:tcW w:w="1134" w:type="dxa"/>
          </w:tcPr>
          <w:p>
            <w:pPr>
              <w:pStyle w:val="15"/>
              <w:rPr>
                <w:rFonts w:ascii="Times New Roman"/>
                <w:sz w:val="22"/>
              </w:rPr>
            </w:pPr>
          </w:p>
        </w:tc>
        <w:tc>
          <w:tcPr>
            <w:tcW w:w="1912"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674" w:type="dxa"/>
          </w:tcPr>
          <w:p>
            <w:pPr>
              <w:pStyle w:val="15"/>
              <w:ind w:left="16"/>
              <w:jc w:val="center"/>
              <w:rPr>
                <w:sz w:val="21"/>
              </w:rPr>
            </w:pPr>
            <w:r>
              <w:rPr>
                <w:w w:val="97"/>
                <w:sz w:val="21"/>
              </w:rPr>
              <w:t>5</w:t>
            </w:r>
          </w:p>
        </w:tc>
        <w:tc>
          <w:tcPr>
            <w:tcW w:w="850" w:type="dxa"/>
          </w:tcPr>
          <w:p>
            <w:pPr>
              <w:pStyle w:val="15"/>
              <w:rPr>
                <w:rFonts w:ascii="Times New Roman"/>
                <w:sz w:val="22"/>
              </w:rPr>
            </w:pPr>
          </w:p>
        </w:tc>
        <w:tc>
          <w:tcPr>
            <w:tcW w:w="817" w:type="dxa"/>
          </w:tcPr>
          <w:p>
            <w:pPr>
              <w:pStyle w:val="15"/>
              <w:rPr>
                <w:rFonts w:ascii="Times New Roman"/>
                <w:sz w:val="22"/>
              </w:rPr>
            </w:pPr>
          </w:p>
        </w:tc>
        <w:tc>
          <w:tcPr>
            <w:tcW w:w="1559" w:type="dxa"/>
          </w:tcPr>
          <w:p>
            <w:pPr>
              <w:pStyle w:val="15"/>
              <w:rPr>
                <w:rFonts w:ascii="Times New Roman"/>
                <w:sz w:val="22"/>
              </w:rPr>
            </w:pPr>
          </w:p>
        </w:tc>
        <w:tc>
          <w:tcPr>
            <w:tcW w:w="1701" w:type="dxa"/>
          </w:tcPr>
          <w:p>
            <w:pPr>
              <w:pStyle w:val="15"/>
              <w:rPr>
                <w:rFonts w:ascii="Times New Roman"/>
                <w:sz w:val="22"/>
              </w:rPr>
            </w:pPr>
          </w:p>
        </w:tc>
        <w:tc>
          <w:tcPr>
            <w:tcW w:w="1134" w:type="dxa"/>
          </w:tcPr>
          <w:p>
            <w:pPr>
              <w:pStyle w:val="15"/>
              <w:rPr>
                <w:rFonts w:ascii="Times New Roman"/>
                <w:sz w:val="22"/>
              </w:rPr>
            </w:pPr>
          </w:p>
        </w:tc>
        <w:tc>
          <w:tcPr>
            <w:tcW w:w="1912" w:type="dxa"/>
          </w:tcPr>
          <w:p>
            <w:pPr>
              <w:pStyle w:val="15"/>
              <w:rPr>
                <w:rFonts w:ascii="Times New Roman"/>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674" w:type="dxa"/>
          </w:tcPr>
          <w:p>
            <w:pPr>
              <w:pStyle w:val="15"/>
              <w:spacing w:before="1"/>
              <w:rPr>
                <w:b/>
                <w:sz w:val="14"/>
              </w:rPr>
            </w:pPr>
          </w:p>
          <w:p>
            <w:pPr>
              <w:pStyle w:val="15"/>
              <w:ind w:left="16"/>
              <w:jc w:val="center"/>
              <w:rPr>
                <w:sz w:val="21"/>
              </w:rPr>
            </w:pPr>
            <w:r>
              <w:rPr>
                <w:w w:val="97"/>
                <w:sz w:val="21"/>
              </w:rPr>
              <w:t>6</w:t>
            </w:r>
          </w:p>
        </w:tc>
        <w:tc>
          <w:tcPr>
            <w:tcW w:w="850" w:type="dxa"/>
          </w:tcPr>
          <w:p>
            <w:pPr>
              <w:pStyle w:val="15"/>
              <w:rPr>
                <w:rFonts w:ascii="Times New Roman"/>
                <w:sz w:val="22"/>
              </w:rPr>
            </w:pPr>
          </w:p>
        </w:tc>
        <w:tc>
          <w:tcPr>
            <w:tcW w:w="817" w:type="dxa"/>
          </w:tcPr>
          <w:p>
            <w:pPr>
              <w:pStyle w:val="15"/>
              <w:rPr>
                <w:rFonts w:ascii="Times New Roman"/>
                <w:sz w:val="22"/>
              </w:rPr>
            </w:pPr>
          </w:p>
        </w:tc>
        <w:tc>
          <w:tcPr>
            <w:tcW w:w="1559" w:type="dxa"/>
          </w:tcPr>
          <w:p>
            <w:pPr>
              <w:pStyle w:val="15"/>
              <w:rPr>
                <w:rFonts w:ascii="Times New Roman"/>
                <w:sz w:val="22"/>
              </w:rPr>
            </w:pPr>
          </w:p>
        </w:tc>
        <w:tc>
          <w:tcPr>
            <w:tcW w:w="1701" w:type="dxa"/>
          </w:tcPr>
          <w:p>
            <w:pPr>
              <w:pStyle w:val="15"/>
              <w:rPr>
                <w:rFonts w:ascii="Times New Roman"/>
                <w:sz w:val="22"/>
              </w:rPr>
            </w:pPr>
          </w:p>
        </w:tc>
        <w:tc>
          <w:tcPr>
            <w:tcW w:w="1134" w:type="dxa"/>
          </w:tcPr>
          <w:p>
            <w:pPr>
              <w:pStyle w:val="15"/>
              <w:rPr>
                <w:rFonts w:ascii="Times New Roman"/>
                <w:sz w:val="22"/>
              </w:rPr>
            </w:pPr>
          </w:p>
        </w:tc>
        <w:tc>
          <w:tcPr>
            <w:tcW w:w="1912" w:type="dxa"/>
          </w:tcPr>
          <w:p>
            <w:pPr>
              <w:pStyle w:val="15"/>
              <w:rPr>
                <w:rFonts w:ascii="Times New Roman"/>
                <w:sz w:val="22"/>
              </w:rPr>
            </w:pPr>
          </w:p>
        </w:tc>
      </w:tr>
    </w:tbl>
    <w:p>
      <w:pPr>
        <w:pStyle w:val="7"/>
        <w:spacing w:before="68" w:line="247" w:lineRule="auto"/>
        <w:ind w:left="1967" w:right="1183" w:hanging="723"/>
      </w:pPr>
      <w:r>
        <w:t>说明：1、“主要服务人员”是指包括项目负责人和各专业分项负责人； 2、表后应提供相应的职称证书等材料复印件（不提供不计分）；</w:t>
      </w:r>
    </w:p>
    <w:p>
      <w:pPr>
        <w:pStyle w:val="7"/>
      </w:pPr>
    </w:p>
    <w:p>
      <w:pPr>
        <w:pStyle w:val="7"/>
      </w:pPr>
    </w:p>
    <w:p>
      <w:pPr>
        <w:pStyle w:val="7"/>
      </w:pPr>
    </w:p>
    <w:p>
      <w:pPr>
        <w:pStyle w:val="7"/>
        <w:tabs>
          <w:tab w:val="left" w:pos="6783"/>
        </w:tabs>
        <w:spacing w:before="189"/>
        <w:ind w:left="2958"/>
      </w:pPr>
      <w:r>
        <w:t>投标人：</w:t>
      </w:r>
      <w:r>
        <w:rPr>
          <w:u w:val="single"/>
        </w:rPr>
        <w:t xml:space="preserve"> </w:t>
      </w:r>
      <w:r>
        <w:rPr>
          <w:u w:val="single"/>
        </w:rPr>
        <w:tab/>
      </w:r>
      <w:r>
        <w:rPr>
          <w:u w:val="single"/>
        </w:rPr>
        <w:t>（全称）</w:t>
      </w:r>
      <w:r>
        <w:t>(盖章)</w:t>
      </w:r>
    </w:p>
    <w:p>
      <w:pPr>
        <w:pStyle w:val="7"/>
        <w:rPr>
          <w:sz w:val="26"/>
        </w:rPr>
      </w:pPr>
    </w:p>
    <w:p>
      <w:pPr>
        <w:pStyle w:val="7"/>
        <w:spacing w:before="5"/>
        <w:rPr>
          <w:sz w:val="26"/>
        </w:rPr>
      </w:pPr>
    </w:p>
    <w:p>
      <w:pPr>
        <w:pStyle w:val="7"/>
        <w:tabs>
          <w:tab w:val="left" w:pos="7748"/>
        </w:tabs>
        <w:ind w:left="1244"/>
      </w:pPr>
      <w:r>
        <w:t>法定代表人(或授权委托代理人)：</w:t>
      </w:r>
      <w:r>
        <w:rPr>
          <w:u w:val="single"/>
        </w:rPr>
        <w:t xml:space="preserve"> </w:t>
      </w:r>
      <w:r>
        <w:rPr>
          <w:u w:val="single"/>
        </w:rPr>
        <w:tab/>
      </w:r>
      <w:r>
        <w:rPr>
          <w:u w:val="single"/>
        </w:rPr>
        <w:t>（签名）</w:t>
      </w:r>
    </w:p>
    <w:p>
      <w:pPr>
        <w:pStyle w:val="7"/>
        <w:spacing w:before="11"/>
        <w:rPr>
          <w:sz w:val="29"/>
        </w:rPr>
      </w:pPr>
    </w:p>
    <w:p>
      <w:pPr>
        <w:pStyle w:val="7"/>
        <w:tabs>
          <w:tab w:val="left" w:pos="1616"/>
          <w:tab w:val="left" w:pos="2098"/>
        </w:tabs>
        <w:spacing w:before="66"/>
        <w:ind w:left="987"/>
        <w:jc w:val="center"/>
      </w:pPr>
      <w:r>
        <w:t>年</w:t>
      </w:r>
      <w:r>
        <w:tab/>
      </w:r>
      <w:r>
        <w:t>月</w:t>
      </w:r>
      <w:r>
        <w:tab/>
      </w:r>
      <w:r>
        <w:t>日</w:t>
      </w:r>
    </w:p>
    <w:p>
      <w:pPr>
        <w:spacing w:after="0"/>
        <w:jc w:val="center"/>
        <w:sectPr>
          <w:headerReference r:id="rId14" w:type="default"/>
          <w:pgSz w:w="11910" w:h="16840"/>
          <w:pgMar w:top="1300" w:right="920" w:bottom="940" w:left="980" w:header="900" w:footer="757" w:gutter="0"/>
          <w:pgNumType w:fmt="decimal"/>
        </w:sectPr>
      </w:pPr>
    </w:p>
    <w:p>
      <w:pPr>
        <w:pStyle w:val="7"/>
        <w:spacing w:before="7"/>
        <w:rPr>
          <w:sz w:val="3"/>
        </w:rPr>
      </w:pPr>
    </w:p>
    <w:p>
      <w:pPr>
        <w:pStyle w:val="7"/>
        <w:spacing w:line="20" w:lineRule="exact"/>
        <w:ind w:left="430"/>
        <w:rPr>
          <w:sz w:val="2"/>
        </w:rPr>
      </w:pPr>
      <w:r>
        <w:rPr>
          <w:sz w:val="2"/>
        </w:rPr>
        <mc:AlternateContent>
          <mc:Choice Requires="wpg">
            <w:drawing>
              <wp:inline distT="0" distB="0" distL="114300" distR="114300">
                <wp:extent cx="5761990" cy="9525"/>
                <wp:effectExtent l="0" t="0" r="0" b="0"/>
                <wp:docPr id="14" name="组合 19"/>
                <wp:cNvGraphicFramePr/>
                <a:graphic xmlns:a="http://schemas.openxmlformats.org/drawingml/2006/main">
                  <a:graphicData uri="http://schemas.microsoft.com/office/word/2010/wordprocessingGroup">
                    <wpg:wgp>
                      <wpg:cNvGrpSpPr/>
                      <wpg:grpSpPr>
                        <a:xfrm>
                          <a:off x="0" y="0"/>
                          <a:ext cx="5761990" cy="9525"/>
                          <a:chOff x="0" y="0"/>
                          <a:chExt cx="9074" cy="15"/>
                        </a:xfrm>
                      </wpg:grpSpPr>
                      <wps:wsp>
                        <wps:cNvPr id="13" name="直线 20"/>
                        <wps:cNvCnPr/>
                        <wps:spPr>
                          <a:xfrm>
                            <a:off x="0" y="7"/>
                            <a:ext cx="9074"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组合 19" o:spid="_x0000_s1026" o:spt="203" style="height:0.75pt;width:453.7pt;" coordsize="9074,15" o:gfxdata="UEsDBAoAAAAAAIdO4kAAAAAAAAAAAAAAAAAEAAAAZHJzL1BLAwQUAAAACACHTuJAEWXEiNQAAAAD&#10;AQAADwAAAGRycy9kb3ducmV2LnhtbE2PQUvDQBCF74L/YRnBm92NWq0xmyJFPZWCrVC8TZNpEpqd&#10;Ddlt0v57Ry96eTC8x3vfZPOTa9VAfWg8W0gmBhRx4cuGKwufm7ebGagQkUtsPZOFMwWY55cXGaal&#10;H/mDhnWslJRwSNFCHWOXah2KmhyGie+Ixdv73mGUs6902eMo5a7Vt8Y8aIcNy0KNHS1qKg7ro7Pw&#10;PuL4cpe8DsvDfnH+2kxX22VC1l5fJeYZVKRT/AvDD76gQy5MO3/kMqjWgjwSf1W8J/N4D2onoSno&#10;PNP/2fNvUEsDBBQAAAAIAIdO4kCQD8sxNQIAALQEAAAOAAAAZHJzL2Uyb0RvYy54bWyllM1uEzEQ&#10;x+9IvIPlO9lsaFqyStJD0+aCoFLhASZe764lf8l2ssmdA0fuvAYnOPRpUF+DsXezgVZIqOTg+GNm&#10;/J/feHZ+uVeS7LjzwugFzUdjSrhmphS6XtCPH25evaHEB9AlSKP5gh64p5fLly/mrS34xDRGltwR&#10;DKJ90doFbUKwRZZ51nAFfmQs13hYGacg4NLVWemgxehKZpPx+DxrjSutM4x7j7ur7pAuU/yq4iy8&#10;ryrPA5ELitpCGl0aN3HMlnMoage2EayXAc9QoUBovHQItYIAZOvEk1BKMGe8qcKIGZWZqhKMpxww&#10;m3z8KJu1M1ubcqmLtrYDJkT7iNOzw7J3u1tHRIm1O6NEg8IaPfz49PPLZ5LPIp3W1gUarZ29s7eu&#10;36i7VUx4XzkV/zEVsk9cDwNXvg+E4eb04jyfzRA/w7PZdDLtsLMGa/PEiTXXvdtsfIGaok+ePLLj&#10;bVkUNWhoLT4df6Lj/4/OXQOWJ+g+Jn6k83qg8/Xbw/d7MklvJ96NRle6R+MLj5T+yuWiS/zI5ZRg&#10;CjbkB4V1Pqy5USROFlQKHSVBAbu3PmAR0PRoErelJi2Szc8iL8A2qiQEnCqLhfW6Tr7eSFHeCCmj&#10;h3f15ko6soPYGOkXtWHcP8ziJSvwTWeXjroUGg7ltS5JOFh8MRp7m0YJipeUSI6fgjjDgFAEEPJf&#10;LPFqqVFBRNpBjLONKQ9Ygq11om6QRJ5U9iVP1qk1kvK+jWPv/b5OVqePzfI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EWXEiNQAAAADAQAADwAAAAAAAAABACAAAAAiAAAAZHJzL2Rvd25yZXYueG1s&#10;UEsBAhQAFAAAAAgAh07iQJAPyzE1AgAAtAQAAA4AAAAAAAAAAQAgAAAAIwEAAGRycy9lMm9Eb2Mu&#10;eG1sUEsFBgAAAAAGAAYAWQEAAMoFAAAAAA==&#10;">
                <o:lock v:ext="edit" aspectratio="f"/>
                <v:line id="直线 20" o:spid="_x0000_s1026" o:spt="20" style="position:absolute;left:0;top:7;height:0;width:9074;" filled="f" stroked="t" coordsize="21600,21600" o:gfxdata="UEsDBAoAAAAAAIdO4kAAAAAAAAAAAAAAAAAEAAAAZHJzL1BLAwQUAAAACACHTuJACw3ieLoAAADb&#10;AAAADwAAAGRycy9kb3ducmV2LnhtbEVPzWoCMRC+F3yHMIK3mrWClq3Rg2yhlB502wcYNuMmuJks&#10;m6lrffpGKPQ2H9/vbHbX0KkLDclHNrCYF6CIm2g9twa+Pl8fn0ElQbbYRSYDP5Rgt508bLC0ceQj&#10;XWppVQ7hVKIBJ9KXWqfGUcA0jz1x5k5xCCgZDq22A445PHT6qShWOqDn3OCwp72j5lx/BwP14WNc&#10;vd9uY7WuPSYR76pqb8xsuiheQAld5V/8536zef4S7r/kA/T2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LDeJ4ugAAANsA&#10;AAAPAAAAAAAAAAEAIAAAACIAAABkcnMvZG93bnJldi54bWxQSwECFAAUAAAACACHTuJAMy8FnjsA&#10;AAA5AAAAEAAAAAAAAAABACAAAAAJAQAAZHJzL3NoYXBleG1sLnhtbFBLBQYAAAAABgAGAFsBAACz&#10;AwAAAAA=&#10;">
                  <v:fill on="f" focussize="0,0"/>
                  <v:stroke weight="0.72pt" color="#000000" joinstyle="round"/>
                  <v:imagedata o:title=""/>
                  <o:lock v:ext="edit" aspectratio="f"/>
                </v:line>
                <w10:wrap type="none"/>
                <w10:anchorlock/>
              </v:group>
            </w:pict>
          </mc:Fallback>
        </mc:AlternateContent>
      </w:r>
    </w:p>
    <w:p>
      <w:pPr>
        <w:pStyle w:val="3"/>
        <w:numPr>
          <w:ilvl w:val="2"/>
          <w:numId w:val="34"/>
        </w:numPr>
        <w:tabs>
          <w:tab w:val="left" w:pos="2841"/>
        </w:tabs>
        <w:spacing w:before="95" w:after="4" w:line="240" w:lineRule="auto"/>
        <w:ind w:left="2840" w:right="0" w:hanging="805"/>
        <w:jc w:val="left"/>
      </w:pPr>
      <w:r>
        <w:t>拟投入本服务项目的主要设备</w:t>
      </w:r>
    </w:p>
    <w:tbl>
      <w:tblPr>
        <w:tblStyle w:val="11"/>
        <w:tblW w:w="9198" w:type="dxa"/>
        <w:tblInd w:w="654"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68"/>
        <w:gridCol w:w="2160"/>
        <w:gridCol w:w="1080"/>
        <w:gridCol w:w="1080"/>
        <w:gridCol w:w="1800"/>
        <w:gridCol w:w="1260"/>
        <w:gridCol w:w="135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40" w:hRule="atLeast"/>
        </w:trPr>
        <w:tc>
          <w:tcPr>
            <w:tcW w:w="468" w:type="dxa"/>
            <w:vMerge w:val="restart"/>
            <w:tcBorders>
              <w:bottom w:val="single" w:color="000000" w:sz="6" w:space="0"/>
              <w:right w:val="single" w:color="000000" w:sz="6" w:space="0"/>
            </w:tcBorders>
          </w:tcPr>
          <w:p>
            <w:pPr>
              <w:pStyle w:val="15"/>
              <w:spacing w:before="12" w:line="440" w:lineRule="exact"/>
              <w:ind w:left="141" w:right="92"/>
              <w:rPr>
                <w:sz w:val="21"/>
              </w:rPr>
            </w:pPr>
            <w:r>
              <w:rPr>
                <w:sz w:val="21"/>
              </w:rPr>
              <w:t>编号</w:t>
            </w:r>
          </w:p>
        </w:tc>
        <w:tc>
          <w:tcPr>
            <w:tcW w:w="2160" w:type="dxa"/>
            <w:vMerge w:val="restart"/>
            <w:tcBorders>
              <w:left w:val="single" w:color="000000" w:sz="6" w:space="0"/>
              <w:bottom w:val="single" w:color="000000" w:sz="6" w:space="0"/>
              <w:right w:val="single" w:color="000000" w:sz="6" w:space="0"/>
            </w:tcBorders>
          </w:tcPr>
          <w:p>
            <w:pPr>
              <w:pStyle w:val="15"/>
              <w:spacing w:before="1"/>
              <w:ind w:left="679"/>
              <w:rPr>
                <w:sz w:val="21"/>
              </w:rPr>
            </w:pPr>
            <w:r>
              <w:rPr>
                <w:sz w:val="21"/>
              </w:rPr>
              <w:t>设备名称</w:t>
            </w:r>
          </w:p>
        </w:tc>
        <w:tc>
          <w:tcPr>
            <w:tcW w:w="1080" w:type="dxa"/>
            <w:vMerge w:val="restart"/>
            <w:tcBorders>
              <w:left w:val="single" w:color="000000" w:sz="6" w:space="0"/>
              <w:bottom w:val="single" w:color="000000" w:sz="6" w:space="0"/>
              <w:right w:val="single" w:color="000000" w:sz="6" w:space="0"/>
            </w:tcBorders>
          </w:tcPr>
          <w:p>
            <w:pPr>
              <w:pStyle w:val="15"/>
              <w:spacing w:before="1"/>
              <w:ind w:left="348"/>
              <w:rPr>
                <w:sz w:val="21"/>
              </w:rPr>
            </w:pPr>
            <w:r>
              <w:rPr>
                <w:sz w:val="21"/>
              </w:rPr>
              <w:t>数量</w:t>
            </w:r>
          </w:p>
        </w:tc>
        <w:tc>
          <w:tcPr>
            <w:tcW w:w="4140" w:type="dxa"/>
            <w:gridSpan w:val="3"/>
            <w:tcBorders>
              <w:left w:val="single" w:color="000000" w:sz="6" w:space="0"/>
              <w:bottom w:val="single" w:color="000000" w:sz="6" w:space="0"/>
              <w:right w:val="single" w:color="000000" w:sz="4" w:space="0"/>
            </w:tcBorders>
          </w:tcPr>
          <w:p>
            <w:pPr>
              <w:pStyle w:val="15"/>
              <w:spacing w:before="142"/>
              <w:ind w:left="1856" w:right="1811"/>
              <w:jc w:val="center"/>
              <w:rPr>
                <w:sz w:val="21"/>
              </w:rPr>
            </w:pPr>
            <w:r>
              <w:rPr>
                <w:sz w:val="21"/>
              </w:rPr>
              <w:t>其中</w:t>
            </w:r>
          </w:p>
        </w:tc>
        <w:tc>
          <w:tcPr>
            <w:tcW w:w="1350" w:type="dxa"/>
            <w:vMerge w:val="restart"/>
            <w:tcBorders>
              <w:left w:val="single" w:color="000000" w:sz="4" w:space="0"/>
              <w:bottom w:val="single" w:color="000000" w:sz="6" w:space="0"/>
            </w:tcBorders>
          </w:tcPr>
          <w:p>
            <w:pPr>
              <w:pStyle w:val="15"/>
              <w:spacing w:before="1"/>
              <w:ind w:left="279"/>
              <w:rPr>
                <w:sz w:val="21"/>
              </w:rPr>
            </w:pPr>
            <w:r>
              <w:rPr>
                <w:sz w:val="21"/>
              </w:rPr>
              <w:t>购买日期</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5" w:hRule="atLeast"/>
        </w:trPr>
        <w:tc>
          <w:tcPr>
            <w:tcW w:w="468" w:type="dxa"/>
            <w:vMerge w:val="continue"/>
            <w:tcBorders>
              <w:top w:val="nil"/>
              <w:bottom w:val="single" w:color="000000" w:sz="6" w:space="0"/>
              <w:right w:val="single" w:color="000000" w:sz="6" w:space="0"/>
            </w:tcBorders>
          </w:tcPr>
          <w:p>
            <w:pPr>
              <w:rPr>
                <w:sz w:val="2"/>
                <w:szCs w:val="2"/>
              </w:rPr>
            </w:pPr>
          </w:p>
        </w:tc>
        <w:tc>
          <w:tcPr>
            <w:tcW w:w="2160" w:type="dxa"/>
            <w:vMerge w:val="continue"/>
            <w:tcBorders>
              <w:top w:val="nil"/>
              <w:left w:val="single" w:color="000000" w:sz="6" w:space="0"/>
              <w:bottom w:val="single" w:color="000000" w:sz="6" w:space="0"/>
              <w:right w:val="single" w:color="000000" w:sz="6" w:space="0"/>
            </w:tcBorders>
          </w:tcPr>
          <w:p>
            <w:pPr>
              <w:rPr>
                <w:sz w:val="2"/>
                <w:szCs w:val="2"/>
              </w:rPr>
            </w:pPr>
          </w:p>
        </w:tc>
        <w:tc>
          <w:tcPr>
            <w:tcW w:w="1080" w:type="dxa"/>
            <w:vMerge w:val="continue"/>
            <w:tcBorders>
              <w:top w:val="nil"/>
              <w:left w:val="single" w:color="000000" w:sz="6" w:space="0"/>
              <w:bottom w:val="single" w:color="000000" w:sz="6" w:space="0"/>
              <w:right w:val="single" w:color="000000" w:sz="6" w:space="0"/>
            </w:tcBorders>
          </w:tcPr>
          <w:p>
            <w:pPr>
              <w:rPr>
                <w:sz w:val="2"/>
                <w:szCs w:val="2"/>
              </w:rPr>
            </w:pPr>
          </w:p>
        </w:tc>
        <w:tc>
          <w:tcPr>
            <w:tcW w:w="1080" w:type="dxa"/>
            <w:tcBorders>
              <w:top w:val="single" w:color="000000" w:sz="6" w:space="0"/>
              <w:left w:val="single" w:color="000000" w:sz="6" w:space="0"/>
              <w:bottom w:val="single" w:color="000000" w:sz="6" w:space="0"/>
              <w:right w:val="single" w:color="000000" w:sz="6" w:space="0"/>
            </w:tcBorders>
          </w:tcPr>
          <w:p>
            <w:pPr>
              <w:pStyle w:val="15"/>
              <w:spacing w:before="157"/>
              <w:ind w:left="348"/>
              <w:rPr>
                <w:sz w:val="21"/>
              </w:rPr>
            </w:pPr>
            <w:r>
              <w:rPr>
                <w:sz w:val="21"/>
              </w:rPr>
              <w:t>拥有</w:t>
            </w:r>
          </w:p>
        </w:tc>
        <w:tc>
          <w:tcPr>
            <w:tcW w:w="1800" w:type="dxa"/>
            <w:tcBorders>
              <w:top w:val="single" w:color="000000" w:sz="6" w:space="0"/>
              <w:left w:val="single" w:color="000000" w:sz="6" w:space="0"/>
              <w:bottom w:val="single" w:color="000000" w:sz="6" w:space="0"/>
              <w:right w:val="single" w:color="000000" w:sz="6" w:space="0"/>
            </w:tcBorders>
          </w:tcPr>
          <w:p>
            <w:pPr>
              <w:pStyle w:val="15"/>
              <w:spacing w:before="157"/>
              <w:ind w:left="687" w:right="637"/>
              <w:jc w:val="center"/>
              <w:rPr>
                <w:sz w:val="21"/>
              </w:rPr>
            </w:pPr>
            <w:r>
              <w:rPr>
                <w:sz w:val="21"/>
              </w:rPr>
              <w:t>新购</w:t>
            </w:r>
          </w:p>
        </w:tc>
        <w:tc>
          <w:tcPr>
            <w:tcW w:w="1260" w:type="dxa"/>
            <w:tcBorders>
              <w:top w:val="single" w:color="000000" w:sz="6" w:space="0"/>
              <w:left w:val="single" w:color="000000" w:sz="6" w:space="0"/>
              <w:bottom w:val="single" w:color="000000" w:sz="6" w:space="0"/>
              <w:right w:val="single" w:color="000000" w:sz="4" w:space="0"/>
            </w:tcBorders>
          </w:tcPr>
          <w:p>
            <w:pPr>
              <w:pStyle w:val="15"/>
              <w:spacing w:before="157"/>
              <w:ind w:left="439"/>
              <w:rPr>
                <w:sz w:val="21"/>
              </w:rPr>
            </w:pPr>
            <w:r>
              <w:rPr>
                <w:sz w:val="21"/>
              </w:rPr>
              <w:t>租赁</w:t>
            </w:r>
          </w:p>
        </w:tc>
        <w:tc>
          <w:tcPr>
            <w:tcW w:w="1350" w:type="dxa"/>
            <w:vMerge w:val="continue"/>
            <w:tcBorders>
              <w:top w:val="nil"/>
              <w:left w:val="single" w:color="000000" w:sz="4" w:space="0"/>
              <w:bottom w:val="single" w:color="000000" w:sz="6" w:space="0"/>
            </w:tcBorders>
          </w:tcPr>
          <w:p>
            <w:pPr>
              <w:rPr>
                <w:sz w:val="2"/>
                <w:szCs w:val="2"/>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0"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45"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1"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7"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7"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5"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7"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55"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3"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41" w:hRule="atLeast"/>
        </w:trPr>
        <w:tc>
          <w:tcPr>
            <w:tcW w:w="468" w:type="dxa"/>
            <w:tcBorders>
              <w:top w:val="single" w:color="000000" w:sz="6" w:space="0"/>
              <w:bottom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bottom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bottom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bottom w:val="single" w:color="000000" w:sz="6" w:space="0"/>
            </w:tcBorders>
          </w:tcPr>
          <w:p>
            <w:pPr>
              <w:pStyle w:val="15"/>
              <w:rPr>
                <w:rFonts w:ascii="Times New Roman"/>
                <w:sz w:val="20"/>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3" w:hRule="atLeast"/>
        </w:trPr>
        <w:tc>
          <w:tcPr>
            <w:tcW w:w="468" w:type="dxa"/>
            <w:tcBorders>
              <w:top w:val="single" w:color="000000" w:sz="6" w:space="0"/>
              <w:right w:val="single" w:color="000000" w:sz="6" w:space="0"/>
            </w:tcBorders>
          </w:tcPr>
          <w:p>
            <w:pPr>
              <w:pStyle w:val="15"/>
              <w:rPr>
                <w:rFonts w:ascii="Times New Roman"/>
                <w:sz w:val="20"/>
              </w:rPr>
            </w:pPr>
          </w:p>
        </w:tc>
        <w:tc>
          <w:tcPr>
            <w:tcW w:w="2160" w:type="dxa"/>
            <w:tcBorders>
              <w:top w:val="single" w:color="000000" w:sz="6" w:space="0"/>
              <w:left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right w:val="single" w:color="000000" w:sz="6" w:space="0"/>
            </w:tcBorders>
          </w:tcPr>
          <w:p>
            <w:pPr>
              <w:pStyle w:val="15"/>
              <w:rPr>
                <w:rFonts w:ascii="Times New Roman"/>
                <w:sz w:val="20"/>
              </w:rPr>
            </w:pPr>
          </w:p>
        </w:tc>
        <w:tc>
          <w:tcPr>
            <w:tcW w:w="1080" w:type="dxa"/>
            <w:tcBorders>
              <w:top w:val="single" w:color="000000" w:sz="6" w:space="0"/>
              <w:left w:val="single" w:color="000000" w:sz="6" w:space="0"/>
              <w:right w:val="single" w:color="000000" w:sz="6" w:space="0"/>
            </w:tcBorders>
          </w:tcPr>
          <w:p>
            <w:pPr>
              <w:pStyle w:val="15"/>
              <w:rPr>
                <w:rFonts w:ascii="Times New Roman"/>
                <w:sz w:val="20"/>
              </w:rPr>
            </w:pPr>
          </w:p>
        </w:tc>
        <w:tc>
          <w:tcPr>
            <w:tcW w:w="1800" w:type="dxa"/>
            <w:tcBorders>
              <w:top w:val="single" w:color="000000" w:sz="6" w:space="0"/>
              <w:left w:val="single" w:color="000000" w:sz="6" w:space="0"/>
              <w:right w:val="single" w:color="000000" w:sz="6" w:space="0"/>
            </w:tcBorders>
          </w:tcPr>
          <w:p>
            <w:pPr>
              <w:pStyle w:val="15"/>
              <w:rPr>
                <w:rFonts w:ascii="Times New Roman"/>
                <w:sz w:val="20"/>
              </w:rPr>
            </w:pPr>
          </w:p>
        </w:tc>
        <w:tc>
          <w:tcPr>
            <w:tcW w:w="1260" w:type="dxa"/>
            <w:tcBorders>
              <w:top w:val="single" w:color="000000" w:sz="6" w:space="0"/>
              <w:left w:val="single" w:color="000000" w:sz="6" w:space="0"/>
              <w:right w:val="single" w:color="000000" w:sz="4" w:space="0"/>
            </w:tcBorders>
          </w:tcPr>
          <w:p>
            <w:pPr>
              <w:pStyle w:val="15"/>
              <w:rPr>
                <w:rFonts w:ascii="Times New Roman"/>
                <w:sz w:val="20"/>
              </w:rPr>
            </w:pPr>
          </w:p>
        </w:tc>
        <w:tc>
          <w:tcPr>
            <w:tcW w:w="1350" w:type="dxa"/>
            <w:tcBorders>
              <w:top w:val="single" w:color="000000" w:sz="6" w:space="0"/>
              <w:left w:val="single" w:color="000000" w:sz="4" w:space="0"/>
            </w:tcBorders>
          </w:tcPr>
          <w:p>
            <w:pPr>
              <w:pStyle w:val="15"/>
              <w:rPr>
                <w:rFonts w:ascii="Times New Roman"/>
                <w:sz w:val="20"/>
              </w:rPr>
            </w:pPr>
          </w:p>
        </w:tc>
      </w:tr>
    </w:tbl>
    <w:p>
      <w:pPr>
        <w:pStyle w:val="7"/>
        <w:spacing w:before="115"/>
        <w:ind w:left="728"/>
      </w:pPr>
      <w:r>
        <w:t>注：请按交通、办公、试验等进行分类。</w:t>
      </w:r>
    </w:p>
    <w:p>
      <w:pPr>
        <w:pStyle w:val="7"/>
        <w:tabs>
          <w:tab w:val="left" w:pos="7554"/>
        </w:tabs>
        <w:spacing w:before="69"/>
        <w:ind w:left="3952"/>
      </w:pPr>
      <w:r>
        <w:t>投标人：</w:t>
      </w:r>
      <w:r>
        <w:rPr>
          <w:u w:val="single"/>
        </w:rPr>
        <w:t xml:space="preserve"> </w:t>
      </w:r>
      <w:r>
        <w:rPr>
          <w:u w:val="single"/>
        </w:rPr>
        <w:tab/>
      </w:r>
      <w:r>
        <w:rPr>
          <w:u w:val="single"/>
        </w:rPr>
        <w:t>（全称）</w:t>
      </w:r>
      <w:r>
        <w:t>(盖章)</w:t>
      </w:r>
    </w:p>
    <w:p>
      <w:pPr>
        <w:pStyle w:val="7"/>
        <w:rPr>
          <w:sz w:val="26"/>
        </w:rPr>
      </w:pPr>
    </w:p>
    <w:p>
      <w:pPr>
        <w:pStyle w:val="7"/>
        <w:tabs>
          <w:tab w:val="left" w:pos="5514"/>
          <w:tab w:val="left" w:pos="6834"/>
          <w:tab w:val="left" w:pos="7868"/>
        </w:tabs>
        <w:spacing w:before="176" w:line="295" w:lineRule="auto"/>
        <w:ind w:left="4794" w:right="1179" w:hanging="1126"/>
      </w:pPr>
      <w:r>
        <w:t>法定代表人(或授权委托代理人)：</w:t>
      </w:r>
      <w:r>
        <w:rPr>
          <w:u w:val="single"/>
        </w:rPr>
        <w:t xml:space="preserve"> </w:t>
      </w:r>
      <w:r>
        <w:rPr>
          <w:u w:val="single"/>
        </w:rPr>
        <w:tab/>
      </w:r>
      <w:r>
        <w:rPr>
          <w:u w:val="single"/>
        </w:rPr>
        <w:t>（签名</w:t>
      </w:r>
      <w:r>
        <w:rPr>
          <w:spacing w:val="-17"/>
          <w:u w:val="single"/>
        </w:rPr>
        <w:t xml:space="preserve">） </w:t>
      </w:r>
      <w:r>
        <w:t>年</w:t>
      </w:r>
      <w:r>
        <w:tab/>
      </w:r>
      <w:r>
        <w:t>月</w:t>
      </w:r>
      <w:r>
        <w:rPr>
          <w:rFonts w:hint="eastAsia"/>
          <w:lang w:val="en-US" w:eastAsia="zh-CN"/>
        </w:rPr>
        <w:t xml:space="preserve">      </w:t>
      </w:r>
      <w:r>
        <w:t>日</w:t>
      </w:r>
    </w:p>
    <w:p>
      <w:pPr>
        <w:spacing w:after="0" w:line="295" w:lineRule="auto"/>
        <w:sectPr>
          <w:pgSz w:w="11910" w:h="16840"/>
          <w:pgMar w:top="1300" w:right="920" w:bottom="940" w:left="980" w:header="900" w:footer="757" w:gutter="0"/>
          <w:pgNumType w:fmt="decimal"/>
        </w:sectPr>
      </w:pPr>
    </w:p>
    <w:p>
      <w:pPr>
        <w:pStyle w:val="7"/>
        <w:spacing w:line="20" w:lineRule="exact"/>
        <w:ind w:left="146"/>
        <w:rPr>
          <w:sz w:val="2"/>
        </w:rPr>
      </w:pPr>
      <w:r>
        <w:rPr>
          <w:sz w:val="2"/>
        </w:rPr>
        <mc:AlternateContent>
          <mc:Choice Requires="wpg">
            <w:drawing>
              <wp:inline distT="0" distB="0" distL="114300" distR="114300">
                <wp:extent cx="6120765" cy="9525"/>
                <wp:effectExtent l="0" t="0" r="0" b="0"/>
                <wp:docPr id="16" name="组合 21"/>
                <wp:cNvGraphicFramePr/>
                <a:graphic xmlns:a="http://schemas.openxmlformats.org/drawingml/2006/main">
                  <a:graphicData uri="http://schemas.microsoft.com/office/word/2010/wordprocessingGroup">
                    <wpg:wgp>
                      <wpg:cNvGrpSpPr/>
                      <wpg:grpSpPr>
                        <a:xfrm>
                          <a:off x="0" y="0"/>
                          <a:ext cx="6120765" cy="9525"/>
                          <a:chOff x="0" y="0"/>
                          <a:chExt cx="9639" cy="15"/>
                        </a:xfrm>
                      </wpg:grpSpPr>
                      <wps:wsp>
                        <wps:cNvPr id="15" name="直线 22"/>
                        <wps:cNvCnPr/>
                        <wps:spPr>
                          <a:xfrm>
                            <a:off x="0" y="7"/>
                            <a:ext cx="9639" cy="0"/>
                          </a:xfrm>
                          <a:prstGeom prst="line">
                            <a:avLst/>
                          </a:prstGeom>
                          <a:ln w="9144" cap="flat" cmpd="sng">
                            <a:solidFill>
                              <a:srgbClr val="000000"/>
                            </a:solidFill>
                            <a:prstDash val="solid"/>
                            <a:headEnd type="none" w="med" len="med"/>
                            <a:tailEnd type="none" w="med" len="med"/>
                          </a:ln>
                        </wps:spPr>
                        <wps:bodyPr upright="1"/>
                      </wps:wsp>
                    </wpg:wgp>
                  </a:graphicData>
                </a:graphic>
              </wp:inline>
            </w:drawing>
          </mc:Choice>
          <mc:Fallback>
            <w:pict>
              <v:group id="组合 21" o:spid="_x0000_s1026" o:spt="203" style="height:0.75pt;width:481.95pt;" coordsize="9639,15" o:gfxdata="UEsDBAoAAAAAAIdO4kAAAAAAAAAAAAAAAAAEAAAAZHJzL1BLAwQUAAAACACHTuJA7x2ZdNQAAAAD&#10;AQAADwAAAGRycy9kb3ducmV2LnhtbE2PQUvDQBCF74L/YRnBm93E0mLTbIoU9VQEW0F6m2anSWh2&#10;NmS3SfvvHb3o5cHwHu99k68urlUD9aHxbCCdJKCIS28brgx87l4fnkCFiGyx9UwGrhRgVdze5JhZ&#10;P/IHDdtYKSnhkKGBOsYu0zqUNTkME98Ri3f0vcMoZ19p2+Mo5a7Vj0ky1w4bloUaO1rXVJ62Z2fg&#10;bcTxeZq+DJvTcX3d72bvX5uUjLm/S5MlqEiX+BeGH3xBh0KYDv7MNqjWgDwSf1W8xXy6AHWQ0Ax0&#10;kev/7MU3UEsDBBQAAAAIAIdO4kDnDmdaNgIAALQEAAAOAAAAZHJzL2Uyb0RvYy54bWylVMtuEzEU&#10;3SPxD5b3dDJDk5JRki6aNhsElQofcOPxzFjyS7aTSfYsWLLnN1jBol+D+htceyYJtEJCJQvHj3Ov&#10;zznXd2aXOyXJljsvjJ7T/GxECdfMVEI3c/rxw82rN5T4ALoCaTSf0z339HLx8sWssyUvTGtkxR3B&#10;JNqXnZ3TNgRbZplnLVfgz4zlGg9r4xQEXLomqxx0mF3JrBiNJllnXGWdYdx73F32h3SR8tc1Z+F9&#10;XXseiJxT5BbS6NK4jmO2mEHZOLCtYAMNeAYLBULjpcdUSwhANk48SaUEc8abOpwxozJT14LxpAHV&#10;5KNHalbObGzS0pRdY482obWPfHp2WvZue+uIqLB2E0o0KKzRw49PP798JkUe3elsUyJo5eydvXXD&#10;RtOvouBd7VT8Rylkl3zdH33lu0AYbk7yYnQxGVPC8Gw6Lsa97azF2jwJYu31EDadvJ72MXmKyA63&#10;ZZHUkUNn8en4kzv+/9y5a8HyZLqPwg/uIPvBna/fHr7fk6Lo3UmgKz1Y40uPLv3Vl4te+MGXk8D0&#10;EI/6oLTOhxU3isTJnEqhIyUoYfvWBywCQg+QuC016dDZ/Pwc/QJso1pCwKmyWFivmxTrjRTVjZAy&#10;RnjXrK+kI1uIjZF+kRvm/QMWL1mCb3tcOuoltByqa12RsLf4YjT2No0UFK8okRw/BXGGCaEMIOS/&#10;IPFqqZFBLGdvYpytTbXHEmysE02LTqQ3mTBY8oROrZGYD20ce+/3dUKdPjaL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8dmXTUAAAAAwEAAA8AAAAAAAAAAQAgAAAAIgAAAGRycy9kb3ducmV2Lnht&#10;bFBLAQIUABQAAAAIAIdO4kDnDmdaNgIAALQEAAAOAAAAAAAAAAEAIAAAACMBAABkcnMvZTJvRG9j&#10;LnhtbFBLBQYAAAAABgAGAFkBAADLBQAAAAA=&#10;">
                <o:lock v:ext="edit" aspectratio="f"/>
                <v:line id="直线 22" o:spid="_x0000_s1026" o:spt="20" style="position:absolute;left:0;top:7;height:0;width:9639;" filled="f" stroked="t" coordsize="21600,21600" o:gfxdata="UEsDBAoAAAAAAIdO4kAAAAAAAAAAAAAAAAAEAAAAZHJzL1BLAwQUAAAACACHTuJA66jfl7oAAADb&#10;AAAADwAAAGRycy9kb3ducmV2LnhtbEVPzWoCMRC+F3yHMIK3mrWglq3Rg2yhlB502wcYNuMmuJks&#10;m6lrffpGKPQ2H9/vbHbX0KkLDclHNrCYF6CIm2g9twa+Pl8fn0ElQbbYRSYDP5Rgt508bLC0ceQj&#10;XWppVQ7hVKIBJ9KXWqfGUcA0jz1x5k5xCCgZDq22A445PHT6qShWOqDn3OCwp72j5lx/BwP14WNc&#10;vd9uY7WuPSYR76pqb8xsuiheQAld5V/8536zef4S7r/kA/T2F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rqN+XugAAANsA&#10;AAAPAAAAAAAAAAEAIAAAACIAAABkcnMvZG93bnJldi54bWxQSwECFAAUAAAACACHTuJAMy8FnjsA&#10;AAA5AAAAEAAAAAAAAAABACAAAAAJAQAAZHJzL3NoYXBleG1sLnhtbFBLBQYAAAAABgAGAFsBAACz&#10;AwAAAAA=&#10;">
                  <v:fill on="f" focussize="0,0"/>
                  <v:stroke weight="0.72pt" color="#000000" joinstyle="round"/>
                  <v:imagedata o:title=""/>
                  <o:lock v:ext="edit" aspectratio="f"/>
                </v:line>
                <w10:wrap type="none"/>
                <w10:anchorlock/>
              </v:group>
            </w:pict>
          </mc:Fallback>
        </mc:AlternateContent>
      </w:r>
    </w:p>
    <w:p>
      <w:pPr>
        <w:pStyle w:val="7"/>
        <w:rPr>
          <w:sz w:val="20"/>
        </w:rPr>
      </w:pPr>
    </w:p>
    <w:p>
      <w:pPr>
        <w:pStyle w:val="7"/>
      </w:pPr>
    </w:p>
    <w:p>
      <w:pPr>
        <w:pStyle w:val="7"/>
        <w:spacing w:before="4"/>
        <w:rPr>
          <w:sz w:val="29"/>
        </w:rPr>
      </w:pPr>
    </w:p>
    <w:p>
      <w:pPr>
        <w:pStyle w:val="3"/>
        <w:numPr>
          <w:ilvl w:val="0"/>
          <w:numId w:val="38"/>
        </w:numPr>
        <w:tabs>
          <w:tab w:val="left" w:pos="3962"/>
        </w:tabs>
        <w:spacing w:before="0" w:after="0" w:line="240" w:lineRule="auto"/>
        <w:ind w:left="3961" w:right="0" w:hanging="486"/>
        <w:jc w:val="left"/>
      </w:pPr>
      <w:r>
        <w:t>业绩证明材料</w:t>
      </w:r>
    </w:p>
    <w:p>
      <w:pPr>
        <w:pStyle w:val="7"/>
        <w:spacing w:before="102" w:line="328" w:lineRule="auto"/>
        <w:ind w:left="728" w:right="596" w:firstLine="480"/>
      </w:pPr>
      <w:r>
        <w:rPr>
          <w:rFonts w:hint="eastAsia" w:ascii="Times New Roman" w:hAnsi="Times New Roman"/>
          <w:color w:val="auto"/>
          <w:szCs w:val="21"/>
          <w:highlight w:val="none"/>
        </w:rPr>
        <w:t>投标人201</w:t>
      </w:r>
      <w:r>
        <w:rPr>
          <w:rFonts w:hint="eastAsia" w:ascii="Times New Roman" w:hAnsi="Times New Roman"/>
          <w:color w:val="auto"/>
          <w:szCs w:val="21"/>
          <w:highlight w:val="none"/>
          <w:lang w:val="en-US" w:eastAsia="zh-CN"/>
        </w:rPr>
        <w:t>6</w:t>
      </w:r>
      <w:r>
        <w:rPr>
          <w:rFonts w:hint="eastAsia" w:ascii="Times New Roman" w:hAnsi="Times New Roman"/>
          <w:color w:val="auto"/>
          <w:szCs w:val="21"/>
          <w:highlight w:val="none"/>
        </w:rPr>
        <w:t>年</w:t>
      </w:r>
      <w:r>
        <w:rPr>
          <w:rFonts w:hint="eastAsia" w:ascii="Times New Roman" w:hAnsi="Times New Roman"/>
          <w:color w:val="auto"/>
          <w:szCs w:val="21"/>
          <w:highlight w:val="none"/>
          <w:lang w:val="en-US" w:eastAsia="zh-CN"/>
        </w:rPr>
        <w:t>6</w:t>
      </w:r>
      <w:r>
        <w:rPr>
          <w:rFonts w:hint="eastAsia" w:ascii="Times New Roman" w:hAnsi="Times New Roman"/>
          <w:color w:val="auto"/>
          <w:szCs w:val="21"/>
          <w:highlight w:val="none"/>
        </w:rPr>
        <w:t>月</w:t>
      </w:r>
      <w:r>
        <w:rPr>
          <w:rFonts w:hint="eastAsia" w:ascii="Times New Roman" w:hAnsi="Times New Roman"/>
          <w:color w:val="auto"/>
          <w:szCs w:val="21"/>
          <w:highlight w:val="none"/>
          <w:lang w:val="en-US" w:eastAsia="zh-CN"/>
        </w:rPr>
        <w:t>1日</w:t>
      </w:r>
      <w:r>
        <w:rPr>
          <w:rFonts w:hint="eastAsia" w:ascii="Times New Roman" w:hAnsi="Times New Roman"/>
          <w:color w:val="auto"/>
          <w:szCs w:val="21"/>
          <w:highlight w:val="none"/>
        </w:rPr>
        <w:t>以来</w:t>
      </w:r>
      <w:r>
        <w:rPr>
          <w:rFonts w:ascii="Times New Roman" w:hAnsi="Times New Roman"/>
          <w:color w:val="auto"/>
          <w:szCs w:val="21"/>
          <w:highlight w:val="none"/>
        </w:rPr>
        <w:t>具有同类服务项目的业绩证明材料（无不良记录，证明材料以提供同一项目的</w:t>
      </w:r>
      <w:r>
        <w:rPr>
          <w:rFonts w:hint="eastAsia" w:ascii="Times New Roman" w:hAnsi="Times New Roman"/>
          <w:color w:val="auto"/>
          <w:szCs w:val="21"/>
          <w:highlight w:val="none"/>
        </w:rPr>
        <w:t>服务合同为准</w:t>
      </w:r>
      <w:r>
        <w:rPr>
          <w:rFonts w:ascii="Times New Roman" w:hAnsi="Times New Roman"/>
          <w:color w:val="auto"/>
          <w:szCs w:val="21"/>
          <w:highlight w:val="none"/>
        </w:rPr>
        <w:t>，其中项目服务合同清晰反映项目名称、采购内容、签订时间）</w:t>
      </w:r>
      <w:r>
        <w:rPr>
          <w:spacing w:val="-3"/>
        </w:rPr>
        <w:t>。</w:t>
      </w:r>
    </w:p>
    <w:p>
      <w:pPr>
        <w:pStyle w:val="7"/>
      </w:pPr>
    </w:p>
    <w:p>
      <w:pPr>
        <w:pStyle w:val="7"/>
      </w:pPr>
    </w:p>
    <w:p>
      <w:pPr>
        <w:pStyle w:val="7"/>
        <w:spacing w:before="11"/>
        <w:rPr>
          <w:sz w:val="33"/>
        </w:rPr>
      </w:pPr>
    </w:p>
    <w:p>
      <w:pPr>
        <w:pStyle w:val="3"/>
        <w:numPr>
          <w:ilvl w:val="0"/>
          <w:numId w:val="38"/>
        </w:numPr>
        <w:tabs>
          <w:tab w:val="left" w:pos="4079"/>
        </w:tabs>
        <w:spacing w:before="0" w:after="0" w:line="240" w:lineRule="auto"/>
        <w:ind w:left="4078" w:right="0" w:hanging="485"/>
        <w:jc w:val="left"/>
      </w:pPr>
      <w:r>
        <w:t>林业项目成果奖项</w:t>
      </w:r>
    </w:p>
    <w:p>
      <w:pPr>
        <w:pStyle w:val="7"/>
        <w:spacing w:before="167" w:line="388" w:lineRule="auto"/>
        <w:ind w:left="728" w:right="646" w:firstLine="480"/>
      </w:pPr>
      <w:r>
        <w:rPr>
          <w:spacing w:val="-12"/>
        </w:rPr>
        <w:t>投标人自</w:t>
      </w:r>
      <w:r>
        <w:t>2016</w:t>
      </w:r>
      <w:r>
        <w:rPr>
          <w:spacing w:val="-12"/>
        </w:rPr>
        <w:t>年1月1日以来获得省部级</w:t>
      </w:r>
      <w:r>
        <w:rPr>
          <w:spacing w:val="-3"/>
        </w:rPr>
        <w:t>（</w:t>
      </w:r>
      <w:r>
        <w:t>含</w:t>
      </w:r>
      <w:r>
        <w:rPr>
          <w:spacing w:val="-39"/>
        </w:rPr>
        <w:t>）</w:t>
      </w:r>
      <w:r>
        <w:rPr>
          <w:spacing w:val="-4"/>
        </w:rPr>
        <w:t>以上行政主管部门或工程协会颁发</w:t>
      </w:r>
      <w:r>
        <w:rPr>
          <w:spacing w:val="-3"/>
        </w:rPr>
        <w:t>的林业项目成果奖项的</w:t>
      </w:r>
      <w:r>
        <w:t>（以获奖证书复印件为准，不提供不计分）</w:t>
      </w:r>
    </w:p>
    <w:p>
      <w:pPr>
        <w:pStyle w:val="7"/>
      </w:pPr>
    </w:p>
    <w:p>
      <w:pPr>
        <w:pStyle w:val="7"/>
      </w:pPr>
    </w:p>
    <w:p>
      <w:pPr>
        <w:pStyle w:val="7"/>
      </w:pPr>
    </w:p>
    <w:p>
      <w:pPr>
        <w:pStyle w:val="7"/>
        <w:spacing w:before="11"/>
        <w:rPr>
          <w:sz w:val="31"/>
        </w:rPr>
      </w:pPr>
    </w:p>
    <w:p>
      <w:pPr>
        <w:pStyle w:val="3"/>
        <w:numPr>
          <w:ilvl w:val="0"/>
          <w:numId w:val="38"/>
        </w:numPr>
        <w:tabs>
          <w:tab w:val="left" w:pos="1214"/>
        </w:tabs>
        <w:spacing w:before="0" w:after="0" w:line="240" w:lineRule="auto"/>
        <w:ind w:left="1213" w:right="0" w:hanging="486"/>
        <w:jc w:val="left"/>
      </w:pPr>
      <w:r>
        <w:t>招标文件要求提交的或投标人认为应提交的其他资料</w:t>
      </w:r>
    </w:p>
    <w:sectPr>
      <w:headerReference r:id="rId15" w:type="default"/>
      <w:footerReference r:id="rId16" w:type="default"/>
      <w:pgSz w:w="11910" w:h="16840"/>
      <w:pgMar w:top="1100" w:right="920" w:bottom="940" w:left="980" w:header="0" w:footer="757" w:gutter="0"/>
      <w:pgNumType w:fmt="decimal"/>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30016" behindDoc="1" locked="0" layoutInCell="1" allowOverlap="1">
              <wp:simplePos x="0" y="0"/>
              <wp:positionH relativeFrom="page">
                <wp:posOffset>674370</wp:posOffset>
              </wp:positionH>
              <wp:positionV relativeFrom="page">
                <wp:posOffset>9951085</wp:posOffset>
              </wp:positionV>
              <wp:extent cx="151765" cy="151765"/>
              <wp:effectExtent l="0" t="0" r="0" b="0"/>
              <wp:wrapNone/>
              <wp:docPr id="24" name="文本框 3"/>
              <wp:cNvGraphicFramePr/>
              <a:graphic xmlns:a="http://schemas.openxmlformats.org/drawingml/2006/main">
                <a:graphicData uri="http://schemas.microsoft.com/office/word/2010/wordprocessingShape">
                  <wps:wsp>
                    <wps:cNvSpPr txBox="1"/>
                    <wps:spPr>
                      <a:xfrm>
                        <a:off x="0" y="0"/>
                        <a:ext cx="151765" cy="151765"/>
                      </a:xfrm>
                      <a:prstGeom prst="rect">
                        <a:avLst/>
                      </a:prstGeom>
                      <a:noFill/>
                      <a:ln>
                        <a:noFill/>
                      </a:ln>
                    </wps:spPr>
                    <wps:txbx>
                      <w:txbxContent>
                        <w:p>
                          <w:pPr>
                            <w:spacing w:before="0" w:line="239" w:lineRule="exact"/>
                            <w:ind w:left="20" w:right="0" w:firstLine="0"/>
                            <w:jc w:val="left"/>
                            <w:rPr>
                              <w:rFonts w:hint="eastAsia" w:ascii="宋体" w:eastAsia="宋体"/>
                              <w:sz w:val="20"/>
                            </w:rPr>
                          </w:pPr>
                        </w:p>
                      </w:txbxContent>
                    </wps:txbx>
                    <wps:bodyPr lIns="0" tIns="0" rIns="0" bIns="0" upright="1"/>
                  </wps:wsp>
                </a:graphicData>
              </a:graphic>
            </wp:anchor>
          </w:drawing>
        </mc:Choice>
        <mc:Fallback>
          <w:pict>
            <v:shape id="文本框 3" o:spid="_x0000_s1026" o:spt="202" type="#_x0000_t202" style="position:absolute;left:0pt;margin-left:53.1pt;margin-top:783.55pt;height:11.95pt;width:11.95pt;mso-position-horizontal-relative:page;mso-position-vertical-relative:page;z-index:-253886464;mso-width-relative:page;mso-height-relative:page;" filled="f" stroked="f" coordsize="21600,21600" o:gfxdata="UEsDBAoAAAAAAIdO4kAAAAAAAAAAAAAAAAAEAAAAZHJzL1BLAwQUAAAACACHTuJARuw9OtkAAAAN&#10;AQAADwAAAGRycy9kb3ducmV2LnhtbE2PzU7DMBCE70i8g7VI3KidIgJN41QIwQkJkYZDj068TaLG&#10;6xC7P7w9mxPcZnZHs9/mm4sbxAmn0HvSkCwUCKTG255aDV/V290TiBANWTN4Qg0/GGBTXF/lJrP+&#10;TCWetrEVXEIhMxq6GMdMytB06ExY+BGJd3s/ORPZTq20kzlzuRvkUqlUOtMTX+jMiC8dNoft0Wl4&#10;3lH52n9/1J/lvuyraqXoPT1ofXuTqDWIiJf4F4YZn9GhYKbaH8kGMbBX6ZKjLB7SxwTEHLlXLOp5&#10;tEoUyCKX/78ofgFQSwMEFAAAAAgAh07iQDqzE2ibAQAAJAMAAA4AAABkcnMvZTJvRG9jLnhtbK1S&#10;wW4TMRC9I/EPlu/ESaAFrbKphKoiJARILR/geO2sJdtjjd3s5gfgDzhx4c535TsYO9kU6K3iYo9n&#10;xs/vvfHqavSO7TQmC6Hli9mcMx0UdDZsW/7l7ubFG85SlqGTDoJu+V4nfrV+/mw1xEYvoQfXaWQE&#10;ElIzxJb3OcdGiKR67WWaQdSBigbQy0xH3IoO5UDo3onlfH4pBsAuIiidEmWvj0W+rvjGaJU/GZN0&#10;Zq7lxC3XFeu6KatYr2SzRRl7q0405BNYeGkDPXqGupZZsnu0j6C8VQgJTJ4p8AKMsUpXDaRmMf9H&#10;zW0vo65ayJwUzzal/werPu4+I7Ndy5evOAvS04wO378dfvw6/PzKXhZ/hpgaaruN1JjHtzDSnKd8&#10;omSRPRr0ZSdBjOrk9P7srh4zU+XSxeL15QVnikqnmNDFw+WIKb/T4FkJWo40vOqp3H1I+dg6tZS3&#10;AtxY5+oAXfgrQZglIwrzI8MS5XEznuRsoNuTGvc+kJXlW0wBTsFmCu4j2m1PdKrmCkmjqLxP36bM&#10;+s9zffjhc69/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EbsPTrZAAAADQEAAA8AAAAAAAAAAQAg&#10;AAAAIgAAAGRycy9kb3ducmV2LnhtbFBLAQIUABQAAAAIAIdO4kA6sxNomwEAACQDAAAOAAAAAAAA&#10;AAEAIAAAACgBAABkcnMvZTJvRG9jLnhtbFBLBQYAAAAABgAGAFkBAAA1BQAAAAA=&#10;">
              <v:fill on="f" focussize="0,0"/>
              <v:stroke on="f"/>
              <v:imagedata o:title=""/>
              <o:lock v:ext="edit" aspectratio="f"/>
              <v:textbox inset="0mm,0mm,0mm,0mm">
                <w:txbxContent>
                  <w:p>
                    <w:pPr>
                      <w:spacing w:before="0" w:line="239" w:lineRule="exact"/>
                      <w:ind w:left="20" w:right="0" w:firstLine="0"/>
                      <w:jc w:val="left"/>
                      <w:rPr>
                        <w:rFonts w:hint="eastAsia" w:ascii="宋体" w:eastAsia="宋体"/>
                        <w:sz w:val="20"/>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w:rPr>
        <w:sz w:val="24"/>
      </w:rPr>
      <mc:AlternateContent>
        <mc:Choice Requires="wps">
          <w:drawing>
            <wp:anchor distT="0" distB="0" distL="114300" distR="114300" simplePos="0" relativeHeight="2494515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494515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CWlnYU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gJaWdhQCAAAVBAAADgAAAAAAAAAB&#10;ACAAAAAfAQAAZHJzL2Uyb0RvYy54bWxQSwUGAAAAAAYABgBZAQAApQUAAAAA&#10;">
              <v:fill on="f" focussize="0,0"/>
              <v:stroke on="f" weight="0.5pt"/>
              <v:imagedata o:title=""/>
              <o:lock v:ext="edit" aspectratio="f"/>
              <v:textbox inset="0mm,0mm,0mm,0mm" style="mso-fit-shape-to-text:t;">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r>
      <mc:AlternateContent>
        <mc:Choice Requires="wps">
          <w:drawing>
            <wp:anchor distT="0" distB="0" distL="114300" distR="114300" simplePos="0" relativeHeight="249430016" behindDoc="1" locked="0" layoutInCell="1" allowOverlap="1">
              <wp:simplePos x="0" y="0"/>
              <wp:positionH relativeFrom="page">
                <wp:posOffset>674370</wp:posOffset>
              </wp:positionH>
              <wp:positionV relativeFrom="page">
                <wp:posOffset>9951085</wp:posOffset>
              </wp:positionV>
              <wp:extent cx="151765" cy="151765"/>
              <wp:effectExtent l="0" t="0" r="0" b="0"/>
              <wp:wrapNone/>
              <wp:docPr id="45" name="文本框 3"/>
              <wp:cNvGraphicFramePr/>
              <a:graphic xmlns:a="http://schemas.openxmlformats.org/drawingml/2006/main">
                <a:graphicData uri="http://schemas.microsoft.com/office/word/2010/wordprocessingShape">
                  <wps:wsp>
                    <wps:cNvSpPr txBox="1"/>
                    <wps:spPr>
                      <a:xfrm>
                        <a:off x="0" y="0"/>
                        <a:ext cx="151765" cy="151765"/>
                      </a:xfrm>
                      <a:prstGeom prst="rect">
                        <a:avLst/>
                      </a:prstGeom>
                      <a:noFill/>
                      <a:ln>
                        <a:noFill/>
                      </a:ln>
                    </wps:spPr>
                    <wps:txbx>
                      <w:txbxContent>
                        <w:p>
                          <w:pPr>
                            <w:spacing w:before="0" w:line="239" w:lineRule="exact"/>
                            <w:ind w:left="20" w:right="0" w:firstLine="0"/>
                            <w:jc w:val="left"/>
                            <w:rPr>
                              <w:rFonts w:hint="eastAsia" w:ascii="宋体" w:eastAsia="宋体"/>
                              <w:sz w:val="20"/>
                            </w:rPr>
                          </w:pPr>
                        </w:p>
                      </w:txbxContent>
                    </wps:txbx>
                    <wps:bodyPr lIns="0" tIns="0" rIns="0" bIns="0" upright="1"/>
                  </wps:wsp>
                </a:graphicData>
              </a:graphic>
            </wp:anchor>
          </w:drawing>
        </mc:Choice>
        <mc:Fallback>
          <w:pict>
            <v:shape id="文本框 3" o:spid="_x0000_s1026" o:spt="202" type="#_x0000_t202" style="position:absolute;left:0pt;margin-left:53.1pt;margin-top:783.55pt;height:11.95pt;width:11.95pt;mso-position-horizontal-relative:page;mso-position-vertical-relative:page;z-index:-253886464;mso-width-relative:page;mso-height-relative:page;" filled="f" stroked="f" coordsize="21600,21600" o:gfxdata="UEsDBAoAAAAAAIdO4kAAAAAAAAAAAAAAAAAEAAAAZHJzL1BLAwQUAAAACACHTuJARuw9OtkAAAAN&#10;AQAADwAAAGRycy9kb3ducmV2LnhtbE2PzU7DMBCE70i8g7VI3KidIgJN41QIwQkJkYZDj068TaLG&#10;6xC7P7w9mxPcZnZHs9/mm4sbxAmn0HvSkCwUCKTG255aDV/V290TiBANWTN4Qg0/GGBTXF/lJrP+&#10;TCWetrEVXEIhMxq6GMdMytB06ExY+BGJd3s/ORPZTq20kzlzuRvkUqlUOtMTX+jMiC8dNoft0Wl4&#10;3lH52n9/1J/lvuyraqXoPT1ofXuTqDWIiJf4F4YZn9GhYKbaH8kGMbBX6ZKjLB7SxwTEHLlXLOp5&#10;tEoUyCKX/78ofgFQSwMEFAAAAAgAh07iQFnECxCcAQAAJAMAAA4AAABkcnMvZTJvRG9jLnhtbK1S&#10;zW4TMRC+I/UdLN+Jk0JLtcqmEqpaISFAavsAjtfOWrI91tjNbl4A3oATF+48V56DsZNN+bkhLt7Z&#10;mfE33/eNl9ejd2yrMVkILV/M5pzpoKCzYdPyx4fbl1ecpSxDJx0E3fKdTvx6dfZiOcRGn0MPrtPI&#10;CCSkZogt73OOjRBJ9drLNIOoAxUNoJeZfnEjOpQDoXsnzufzSzEAdhFB6ZQoe3Mo8lXFN0ar/NGY&#10;pDNzLSduuZ5Yz3U5xWopmw3K2Ft1pCH/gYWXNtDQE9SNzJI9of0LyluFkMDkmQIvwBirdNVAahbz&#10;P9Tc9zLqqoXMSfFkU/p/sOrD9hMy27X89QVnQXra0f7rl/23H/vvn9mr4s8QU0Nt95Ea8/gWRtrz&#10;lE+ULLJHg758SRCjOjm9O7mrx8xUuXSxeHNJQxSVjjGhi+fLEVO+0+BZCVqOtLzqqdy+T/nQOrWU&#10;WQFurXN1gS78liDMkhGF+YFhifK4Ho9y1tDtSI17F8jK8iymAKdgPQVPEe2mJzpVc4WkVVTex2dT&#10;dv3rfx38/LhXP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BG7D062QAAAA0BAAAPAAAAAAAAAAEA&#10;IAAAACIAAABkcnMvZG93bnJldi54bWxQSwECFAAUAAAACACHTuJAWcQLEJwBAAAkAwAADgAAAAAA&#10;AAABACAAAAAoAQAAZHJzL2Uyb0RvYy54bWxQSwUGAAAAAAYABgBZAQAANgUAAAAA&#10;">
              <v:fill on="f" focussize="0,0"/>
              <v:stroke on="f"/>
              <v:imagedata o:title=""/>
              <o:lock v:ext="edit" aspectratio="f"/>
              <v:textbox inset="0mm,0mm,0mm,0mm">
                <w:txbxContent>
                  <w:p>
                    <w:pPr>
                      <w:spacing w:before="0" w:line="239" w:lineRule="exact"/>
                      <w:ind w:left="20" w:right="0" w:firstLine="0"/>
                      <w:jc w:val="left"/>
                      <w:rPr>
                        <w:rFonts w:hint="eastAsia" w:ascii="宋体" w:eastAsia="宋体"/>
                        <w:sz w:val="20"/>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w:rPr>
        <w:sz w:val="20"/>
      </w:rPr>
      <mc:AlternateContent>
        <mc:Choice Requires="wps">
          <w:drawing>
            <wp:anchor distT="0" distB="0" distL="114300" distR="114300" simplePos="0" relativeHeight="2494525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494525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gf/wEV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dHJFiWYKOzr9+H76+fv06xuBDgC11s/gt7HwDN0702HRg95DGefu&#10;KqfijYkI7ID6eIFXdIHwGDSdTKc5TBy24YH82VO4dT68F0aRKBTUYX8JVnZY+9C7Di6xmjarRsq0&#10;Q6lJW9Drt1d5CrhYkFxq1IhD9M1GKXTb7jzZ1pRHDOZMzw1v+apB8TXz4YE5kAENg+DhHkclDYqY&#10;s0RJbdzXv+mjP3YEKyUtyFVQDfZTIj9o7C7ycBDcIGwHQe/VrQFbx/g4licRAS7IQaycUV/A+mWs&#10;ARPTHJUKGgbxNvQEx6/hYrlMTnvrml3dB4B5loW13lgey0QgvV3uA8BMGEeAelTOuIF7aUvnfxLJ&#10;/ec7eT395sU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Dgf/wEVAgAAFQQAAA4AAAAAAAAA&#10;AQAgAAAAHwEAAGRycy9lMm9Eb2MueG1sUEsFBgAAAAAGAAYAWQEAAKYFAAAAAA==&#10;">
              <v:fill on="f" focussize="0,0"/>
              <v:stroke on="f" weight="0.5pt"/>
              <v:imagedata o:title=""/>
              <o:lock v:ext="edit" aspectratio="f"/>
              <v:textbox inset="0mm,0mm,0mm,0mm" style="mso-fit-shape-to-text:t;">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w:rPr>
        <w:sz w:val="20"/>
      </w:rPr>
      <mc:AlternateContent>
        <mc:Choice Requires="wps">
          <w:drawing>
            <wp:anchor distT="0" distB="0" distL="114300" distR="114300" simplePos="0" relativeHeight="2494535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494535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bpOhgV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bpOhgVAgAAFQQAAA4AAAAAAAAA&#10;AQAgAAAAHwEAAGRycy9lMm9Eb2MueG1sUEsFBgAAAAAGAAYAWQEAAKYFAAAAAA==&#10;">
              <v:fill on="f" focussize="0,0"/>
              <v:stroke on="f" weight="0.5pt"/>
              <v:imagedata o:title=""/>
              <o:lock v:ext="edit" aspectratio="f"/>
              <v:textbox inset="0mm,0mm,0mm,0mm" style="mso-fit-shape-to-text:t;">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12</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w:rPr>
        <w:sz w:val="20"/>
      </w:rPr>
      <mc:AlternateContent>
        <mc:Choice Requires="wps">
          <w:drawing>
            <wp:anchor distT="0" distB="0" distL="114300" distR="114300" simplePos="0" relativeHeight="2494545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494545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t6X4XAgAAFQQAAA4AAABkcnMvZTJvRG9jLnhtbK1TzY7TMBC+I/EO&#10;lu80aVesqqrpquyqCKliVyqIs+s4TST/yXablAeAN+DEhTvP1efYz07TRbucEBdn4pn5Zuabz/Ob&#10;TklyEM43Rhd0PMopEZqbstG7gn7+tHozpcQHpksmjRYFPQpPbxavX81bOxMTUxtZCkcAov2stQWt&#10;Q7CzLPO8For5kbFCw1kZp1jAr9tlpWMt0JXMJnl+nbXGldYZLrzH7V3vpIuEX1WCh/uq8iIQWVD0&#10;FtLp0rmNZ7aYs9nOMVs3/NwG+4cuFGs0il6g7lhgZO+aF1Cq4c54U4URNyozVdVwkWbANOP82TSb&#10;mlmRZgE53l5o8v8Pln88PDjSlAW9Aj2aKezo9OP76efv069vBHcgqLV+hriNRWTo3pkOix7uPS7j&#10;3F3lVPxiIgI/sI4XekUXCI9J08l0msPF4Rt+gJ89pVvnw3thFIlGQR32l2hlh7UPfegQEqtps2qk&#10;TDuUmrQFvb56m6eEiwfgUqNGHKJvNlqh23bnybamPGIwZ3pteMtXDYqvmQ8PzEEMaBgCD/c4KmlQ&#10;xJwtSmrjvv7tPsZjR/BS0kJcBdVQPyXyg8buABgGww3GdjD0Xt0aqHWMh2N5MpHgghzMyhn1Bapf&#10;xhpwMc1RqaBhMG9DL3C8Gi6WyxS0t67Z1X0ClGdZWOuN5bFMJNLb5T6AzMRxJKhn5cwbtJe2dH4n&#10;Udx//qeop9e8eAR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zSVju0AAAAAUBAAAPAAAAAAAAAAEA&#10;IAAAACIAAABkcnMvZG93bnJldi54bWxQSwECFAAUAAAACACHTuJA5K3pfhcCAAAVBAAADgAAAAAA&#10;AAABACAAAAAfAQAAZHJzL2Uyb0RvYy54bWxQSwUGAAAAAAYABgBZAQAAqAUAAAAA&#10;">
              <v:fill on="f" focussize="0,0"/>
              <v:stroke on="f" weight="0.5pt"/>
              <v:imagedata o:title=""/>
              <o:lock v:ext="edit" aspectratio="f"/>
              <v:textbox inset="0mm,0mm,0mm,0mm" style="mso-fit-shape-to-text:t;">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26</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w:rPr>
        <w:sz w:val="20"/>
      </w:rPr>
      <mc:AlternateContent>
        <mc:Choice Requires="wps">
          <w:drawing>
            <wp:anchor distT="0" distB="0" distL="114300" distR="114300" simplePos="0" relativeHeight="24945561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494556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YFfpE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GpMiWYKOzr9+H76+fv06xuBDgC11s/gt7HwDN0702HRg95DGefu&#10;KqfijYkI7ID6eIFXdIHwGDSdTKc5TBy24YH82VO4dT68F0aRKBTUYX8JVnZY+9C7Di6xmjarRsq0&#10;Q6lJW9Drq7d5CrhYkFxq1IhD9M1GKXTb7jzZ1pRHDOZMzw1v+apB8TXz4YE5kAENg+DhHkclDYqY&#10;s0RJbdzXv+mjP3YEKyUtyFVQDfZTIj9o7C7ycBDcIGwHQe/VrQFbsQ70kkQEuCAHsXJGfQHrl7EG&#10;TExzVCpoGMTb0BMcv4aL5TI57a1rdnUfAOZZFtZ6Y3ksE4H0drkPADNhHAHqUTnjBu6lLZ3/SST3&#10;n+/k9fSbF4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pgV+kRQCAAAVBAAADgAAAAAAAAAB&#10;ACAAAAAfAQAAZHJzL2Uyb0RvYy54bWxQSwUGAAAAAAYABgBZAQAApQUAAAAA&#10;">
              <v:fill on="f" focussize="0,0"/>
              <v:stroke on="f" weight="0.5pt"/>
              <v:imagedata o:title=""/>
              <o:lock v:ext="edit" aspectratio="f"/>
              <v:textbox inset="0mm,0mm,0mm,0mm" style="mso-fit-shape-to-text:t;">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36</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w:rPr>
        <w:sz w:val="20"/>
      </w:rPr>
      <mc:AlternateContent>
        <mc:Choice Requires="wps">
          <w:drawing>
            <wp:anchor distT="0" distB="0" distL="114300" distR="114300" simplePos="0" relativeHeight="2494566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494566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H7t3oV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GpCiWYKOzr9+H76+fv06xuBDgC11s/gt7HwDN0702HRg95DGefu&#10;KqfijYkI7ID6eIFXdIHwGDSdTKc5TBy24YH82VO4dT68F0aRKBTUYX8JVnZY+9C7Di6xmjarRsq0&#10;Q6lJW9Drq7d5CrhYkFxq1IhD9M1GKXTb7jzZ1pRHDOZMzw1v+apB8TXz4YE5kAENg+DhHkclDYqY&#10;s0RJbdzXv+mjP3YEKyUtyFVQDfZTIj9o7C7ycBDcIGwHQe/VrQFbx/g4licRAS7IQaycUV/A+mWs&#10;ARPTHJUKGgbxNvQEx6/hYrlMTnvrml3dB4B5loW13lgey0QgvV3uA8BMGEeAelTOuIF7aUvnfxLJ&#10;/ec7eT395sU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H7t3oVAgAAFQQAAA4AAAAAAAAA&#10;AQAgAAAAHwEAAGRycy9lMm9Eb2MueG1sUEsFBgAAAAAGAAYAWQEAAKYFAAAAAA==&#10;">
              <v:fill on="f" focussize="0,0"/>
              <v:stroke on="f" weight="0.5pt"/>
              <v:imagedata o:title=""/>
              <o:lock v:ext="edit" aspectratio="f"/>
              <v:textbox inset="0mm,0mm,0mm,0mm" style="mso-fit-shape-to-text:t;">
                <w:txbxContent>
                  <w:p>
                    <w:pPr>
                      <w:pStyle w:val="9"/>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42</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27968" behindDoc="1" locked="0" layoutInCell="1" allowOverlap="1">
              <wp:simplePos x="0" y="0"/>
              <wp:positionH relativeFrom="page">
                <wp:posOffset>674370</wp:posOffset>
              </wp:positionH>
              <wp:positionV relativeFrom="page">
                <wp:posOffset>558165</wp:posOffset>
              </wp:positionV>
              <wp:extent cx="3683000" cy="139700"/>
              <wp:effectExtent l="0" t="0" r="0" b="0"/>
              <wp:wrapNone/>
              <wp:docPr id="22" name="文本框 1"/>
              <wp:cNvGraphicFramePr/>
              <a:graphic xmlns:a="http://schemas.openxmlformats.org/drawingml/2006/main">
                <a:graphicData uri="http://schemas.microsoft.com/office/word/2010/wordprocessingShape">
                  <wps:wsp>
                    <wps:cNvSpPr txBox="1"/>
                    <wps:spPr>
                      <a:xfrm>
                        <a:off x="0" y="0"/>
                        <a:ext cx="3683000" cy="139700"/>
                      </a:xfrm>
                      <a:prstGeom prst="rect">
                        <a:avLst/>
                      </a:prstGeom>
                      <a:noFill/>
                      <a:ln>
                        <a:noFill/>
                      </a:ln>
                    </wps:spPr>
                    <wps:txbx>
                      <w:txbxContent>
                        <w:p>
                          <w:pPr>
                            <w:spacing w:before="0" w:line="220" w:lineRule="exact"/>
                            <w:ind w:left="20" w:right="0" w:firstLine="0"/>
                            <w:jc w:val="left"/>
                            <w:rPr>
                              <w:rFonts w:hint="eastAsia" w:ascii="宋体" w:hAnsi="宋体" w:eastAsia="宋体"/>
                              <w:sz w:val="18"/>
                              <w:lang w:eastAsia="zh-CN"/>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wps:txbx>
                    <wps:bodyPr lIns="0" tIns="0" rIns="0" bIns="0" upright="1"/>
                  </wps:wsp>
                </a:graphicData>
              </a:graphic>
            </wp:anchor>
          </w:drawing>
        </mc:Choice>
        <mc:Fallback>
          <w:pict>
            <v:shape id="文本框 1" o:spid="_x0000_s1026" o:spt="202" type="#_x0000_t202" style="position:absolute;left:0pt;margin-left:53.1pt;margin-top:43.95pt;height:11pt;width:290pt;mso-position-horizontal-relative:page;mso-position-vertical-relative:page;z-index:-253888512;mso-width-relative:page;mso-height-relative:page;" filled="f" stroked="f" coordsize="21600,21600" o:gfxdata="UEsDBAoAAAAAAIdO4kAAAAAAAAAAAAAAAAAEAAAAZHJzL1BLAwQUAAAACACHTuJA4iTeQdYAAAAK&#10;AQAADwAAAGRycy9kb3ducmV2LnhtbE2PzU7DMBCE70i8g7VI3KjdHkIS4lQIwQkJkaYHjk68TaLG&#10;6xC7P7w9mxMcZ+fT7EyxvbpRnHEOgycN65UCgdR6O1CnYV+/PaQgQjRkzegJNfxggG15e1OY3PoL&#10;VXjexU5wCIXcaOhjnHIpQ9ujM2HlJyT2Dn52JrKcO2lnc+FwN8qNUol0ZiD+0JsJX3psj7uT0/D8&#10;RdXr8P3RfFaHaqjrTNF7ctT6/m6tnkBEvMY/GJb6XB1K7tT4E9kgRtYq2TCqIX3MQDCQpMuhWZws&#10;A1kW8v+E8hdQSwMEFAAAAAgAh07iQK0/NcufAQAAJQMAAA4AAABkcnMvZTJvRG9jLnhtbK1SS27b&#10;MBDdF+gdCO5ryjaQpILlAEGQIECRBkhyAJoiLQL8YchY8gXaG3TVTfc5l8+RIW05aborshkNZ0aP&#10;773h4nywhmwkRO1dQ6eTihLphG+1Wzf08eHqyxklMXHXcuOdbOhWRnq+/Pxp0YdaznznTSuBIIiL&#10;dR8a2qUUasai6KTlceKDdNhUHixPeIQ1a4H3iG4Nm1XVCes9tAG8kDFi9XLfpMuCr5QU6btSUSZi&#10;GorcUolQ4ipHtlzweg08dFocaPD/YGG5dnjpEeqSJ06eQP8DZbUAH71KE+Et80ppIYsGVDOt3qm5&#10;73iQRQuaE8PRpvhxsOJ2cwdEtw2dzShx3OKOdr9+7n4/7/78INPsTx9ijWP3AQfTcOEH3PNYj1jM&#10;sgcFNn9REME+Or09uiuHRAQW5ydn86rClsDedP71FHOEZ69/B4jpWnpLctJQwO0VU/nmW0z70XEk&#10;X+b8lTambNC4vwqImSssU99TzFkaVsNBz8q3W5Rjbhx6md/FmMCYrMbkKYBed0iniC6QuIvC+/Bu&#10;8rLfnsvFr697+Q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iJN5B1gAAAAoBAAAPAAAAAAAAAAEA&#10;IAAAACIAAABkcnMvZG93bnJldi54bWxQSwECFAAUAAAACACHTuJArT81y58BAAAlAwAADgAAAAAA&#10;AAABACAAAAAlAQAAZHJzL2Uyb0RvYy54bWxQSwUGAAAAAAYABgBZAQAANgUAAAAA&#10;">
              <v:fill on="f" focussize="0,0"/>
              <v:stroke on="f"/>
              <v:imagedata o:title=""/>
              <o:lock v:ext="edit" aspectratio="f"/>
              <v:textbox inset="0mm,0mm,0mm,0mm">
                <w:txbxContent>
                  <w:p>
                    <w:pPr>
                      <w:spacing w:before="0" w:line="220" w:lineRule="exact"/>
                      <w:ind w:left="20" w:right="0" w:firstLine="0"/>
                      <w:jc w:val="left"/>
                      <w:rPr>
                        <w:rFonts w:hint="eastAsia" w:ascii="宋体" w:hAnsi="宋体" w:eastAsia="宋体"/>
                        <w:sz w:val="18"/>
                        <w:lang w:eastAsia="zh-CN"/>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v:textbox>
            </v:shape>
          </w:pict>
        </mc:Fallback>
      </mc:AlternateContent>
    </w:r>
    <w:r>
      <mc:AlternateContent>
        <mc:Choice Requires="wps">
          <w:drawing>
            <wp:anchor distT="0" distB="0" distL="114300" distR="114300" simplePos="0" relativeHeight="249428992" behindDoc="1" locked="0" layoutInCell="1" allowOverlap="1">
              <wp:simplePos x="0" y="0"/>
              <wp:positionH relativeFrom="page">
                <wp:posOffset>4789170</wp:posOffset>
              </wp:positionH>
              <wp:positionV relativeFrom="page">
                <wp:posOffset>558165</wp:posOffset>
              </wp:positionV>
              <wp:extent cx="1911350" cy="139700"/>
              <wp:effectExtent l="0" t="0" r="0" b="0"/>
              <wp:wrapNone/>
              <wp:docPr id="23" name="文本框 2"/>
              <wp:cNvGraphicFramePr/>
              <a:graphic xmlns:a="http://schemas.openxmlformats.org/drawingml/2006/main">
                <a:graphicData uri="http://schemas.microsoft.com/office/word/2010/wordprocessingShape">
                  <wps:wsp>
                    <wps:cNvSpPr txBox="1"/>
                    <wps:spPr>
                      <a:xfrm>
                        <a:off x="0" y="0"/>
                        <a:ext cx="1911350" cy="139700"/>
                      </a:xfrm>
                      <a:prstGeom prst="rect">
                        <a:avLst/>
                      </a:prstGeom>
                      <a:noFill/>
                      <a:ln>
                        <a:noFill/>
                      </a:ln>
                    </wps:spPr>
                    <wps:txbx>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txbxContent>
                    </wps:txbx>
                    <wps:bodyPr lIns="0" tIns="0" rIns="0" bIns="0" upright="1"/>
                  </wps:wsp>
                </a:graphicData>
              </a:graphic>
            </wp:anchor>
          </w:drawing>
        </mc:Choice>
        <mc:Fallback>
          <w:pict>
            <v:shape id="文本框 2" o:spid="_x0000_s1026" o:spt="202" type="#_x0000_t202" style="position:absolute;left:0pt;margin-left:377.1pt;margin-top:43.95pt;height:11pt;width:150.5pt;mso-position-horizontal-relative:page;mso-position-vertical-relative:page;z-index:-253887488;mso-width-relative:page;mso-height-relative:page;" filled="f" stroked="f" coordsize="21600,21600" o:gfxdata="UEsDBAoAAAAAAIdO4kAAAAAAAAAAAAAAAAAEAAAAZHJzL1BLAwQUAAAACACHTuJAItDdLdkAAAAL&#10;AQAADwAAAGRycy9kb3ducmV2LnhtbE2Py07DMBBF90j9B2sqsaN2K9I2IU6FEKyQEGlYsHTiaWI1&#10;HofYffD3OKuym8fRnTP57mp7dsbRG0cSlgsBDKlx2lAr4at6e9gC80GRVr0jlPCLHnbF7C5XmXYX&#10;KvG8Dy2LIeQzJaELYcg4902HVvmFG5Di7uBGq0Jsx5brUV1iuO35Sog1t8pQvNCpAV86bI77k5Xw&#10;/E3lq/n5qD/LQ2mqKhX0vj5KeT9fiidgAa/hBsOkH9WhiE61O5H2rJewSR5XEZWw3aTAJkAkSZzU&#10;U5WmwIuc//+h+ANQSwMEFAAAAAgAh07iQIdqxcagAQAAJQMAAA4AAABkcnMvZTJvRG9jLnhtbK1S&#10;S27bMBDdF+gdCO5rSjba1ILlAEWQokDRBEh6AJoiLQL8YchY8gXaG3TVTfY5l8+RIWM5bbIruiGH&#10;M8PH995wdT5aQ3YSovaupfWsokQ64Tvtti39fnv57iMlMXHXceOdbOleRnq+fvtmNYRGzn3vTSeB&#10;IIiLzRBa2qcUGsai6KXlceaDdFhUHixPeIQt64APiG4Nm1fVBzZ46AJ4IWPE7MVTka4LvlJSpCul&#10;okzEtBS5pbJCWTd5ZesVb7bAQ6/FkQb/BxaWa4ePnqAueOLkDvQrKKsF+OhVmglvmVdKC1k0oJq6&#10;eqHmpudBFi1oTgwnm+L/gxXfdtdAdNfS+YISxy3O6PDr5+H3w+H+B5lnf4YQG2y7CdiYxk9+xDlP&#10;+YjJLHtUYPOOggjW0en9yV05JiLypWVdL95jSWCtXizPqmI/e74dIKbP0luSg5YCTq+YyndfY0Im&#10;2Dq15Mecv9TGlAka91cCG3OGZepPFHOUxs141LPx3R7lmC8Ovcz/YgpgCjZTcBdAb3ukU0QXSJxF&#10;IXP8N3nYf57Lw8+/e/0I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ItDdLdkAAAALAQAADwAAAAAA&#10;AAABACAAAAAiAAAAZHJzL2Rvd25yZXYueG1sUEsBAhQAFAAAAAgAh07iQIdqxcagAQAAJQMAAA4A&#10;AAAAAAAAAQAgAAAAKAEAAGRycy9lMm9Eb2MueG1sUEsFBgAAAAAGAAYAWQEAADoFAAAAAA==&#10;">
              <v:fill on="f" focussize="0,0"/>
              <v:stroke on="f"/>
              <v:imagedata o:title=""/>
              <o:lock v:ext="edit" aspectratio="f"/>
              <v:textbox inset="0mm,0mm,0mm,0mm">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32064" behindDoc="1" locked="0" layoutInCell="1" allowOverlap="1">
              <wp:simplePos x="0" y="0"/>
              <wp:positionH relativeFrom="page">
                <wp:posOffset>687705</wp:posOffset>
              </wp:positionH>
              <wp:positionV relativeFrom="page">
                <wp:posOffset>719455</wp:posOffset>
              </wp:positionV>
              <wp:extent cx="6187440" cy="0"/>
              <wp:effectExtent l="0" t="0" r="0" b="0"/>
              <wp:wrapNone/>
              <wp:docPr id="26" name="直线 5"/>
              <wp:cNvGraphicFramePr/>
              <a:graphic xmlns:a="http://schemas.openxmlformats.org/drawingml/2006/main">
                <a:graphicData uri="http://schemas.microsoft.com/office/word/2010/wordprocessingShape">
                  <wps:wsp>
                    <wps:cNvCnPr/>
                    <wps:spPr>
                      <a:xfrm>
                        <a:off x="0" y="0"/>
                        <a:ext cx="618744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5" o:spid="_x0000_s1026" o:spt="20" style="position:absolute;left:0pt;margin-left:54.15pt;margin-top:56.65pt;height:0pt;width:487.2pt;mso-position-horizontal-relative:page;mso-position-vertical-relative:page;z-index:-253884416;mso-width-relative:page;mso-height-relative:page;" filled="f" stroked="t" coordsize="21600,21600" o:gfxdata="UEsDBAoAAAAAAIdO4kAAAAAAAAAAAAAAAAAEAAAAZHJzL1BLAwQUAAAACACHTuJAS4bkHdYAAAAM&#10;AQAADwAAAGRycy9kb3ducmV2LnhtbE2PwU7DMBBE70j8g7VI3KidVmqjEKeHKlwQBwh8wDZ246jx&#10;OordpvTr2UpIcJvZHc2+LbcXP4iznWIfSEO2UCAstcH01Gn4+nx5ykHEhGRwCGQ1fNsI2+r+rsTC&#10;hJk+7LlJneASigVqcCmNhZSxddZjXITREu8OYfKY2E6dNBPOXO4HuVRqLT32xBccjnbnbHtsTl5D&#10;8/42r1+v17neND3GlHpX1zutHx8y9Qwi2Uv6C8MNn9GhYqZ9OJGJYmCv8hVHWWQrFreEypcbEPvf&#10;kaxK+f+J6gdQSwMEFAAAAAgAh07iQJInSbXPAQAAjgMAAA4AAABkcnMvZTJvRG9jLnhtbK1TS44T&#10;MRDdI3EHy3vSSRTC0EpnFhOGDYJIwAEq/nRb8k8uTzo5C9dgxYbjzDUoO5kMn81oRBZO2VV+9d5z&#10;9er64Czbq4Qm+I7PJlPOlBdBGt93/OuX21dXnGEGL8EGrzp+VMiv1y9frMbYqnkYgpUqMQLx2I6x&#10;40POsW0aFINygJMQlaekDslBpm3qG5lgJHRnm/l0umzGkGRMQShEOt2cknxd8bVWIn/SGlVmtuPE&#10;Ldc11XVX1ma9grZPEAcjzjTgGSwcGE9NL1AbyMDukvkHyhmRAgadJyK4JmhthKoaSM1s+peazwNE&#10;VbWQORgvNuH/gxUf99vEjOz4fMmZB0dvdP/t+/2Pn+x1MWeM2FLNjd+m8w7jNhWlB51c+ScN7FAN&#10;PV4MVYfMBB0uZ1dvFgvyXTzkmseLMWF+r4JjJei4Nb5ohRb2HzBTMyp9KCnH1rOx429niwXBAY2K&#10;tpApdJHIo+/rXQzWyFtjbbmBqd/d2MT2UB6//ookwv2jrDTZAA6nupo6jcWgQL7zkuVjJFc8zS8v&#10;FJySnFlF414iAoQ2g7FPqaTW1hOD4urJxxLtgjzSI9zFZPqBnJhVliVDj175nge0TNXv+4r0+Bmt&#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LhuQd1gAAAAwBAAAPAAAAAAAAAAEAIAAAACIAAABk&#10;cnMvZG93bnJldi54bWxQSwECFAAUAAAACACHTuJAkidJtc8BAACOAwAADgAAAAAAAAABACAAAAAl&#10;AQAAZHJzL2Uyb0RvYy54bWxQSwUGAAAAAAYABgBZAQAAZgU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49433088" behindDoc="1" locked="0" layoutInCell="1" allowOverlap="1">
              <wp:simplePos x="0" y="0"/>
              <wp:positionH relativeFrom="page">
                <wp:posOffset>674370</wp:posOffset>
              </wp:positionH>
              <wp:positionV relativeFrom="page">
                <wp:posOffset>558165</wp:posOffset>
              </wp:positionV>
              <wp:extent cx="3683000" cy="139700"/>
              <wp:effectExtent l="0" t="0" r="0" b="0"/>
              <wp:wrapNone/>
              <wp:docPr id="27" name="文本框 6"/>
              <wp:cNvGraphicFramePr/>
              <a:graphic xmlns:a="http://schemas.openxmlformats.org/drawingml/2006/main">
                <a:graphicData uri="http://schemas.microsoft.com/office/word/2010/wordprocessingShape">
                  <wps:wsp>
                    <wps:cNvSpPr txBox="1"/>
                    <wps:spPr>
                      <a:xfrm>
                        <a:off x="0" y="0"/>
                        <a:ext cx="3683000" cy="139700"/>
                      </a:xfrm>
                      <a:prstGeom prst="rect">
                        <a:avLst/>
                      </a:prstGeom>
                      <a:noFill/>
                      <a:ln>
                        <a:noFill/>
                      </a:ln>
                    </wps:spPr>
                    <wps:txbx>
                      <w:txbxContent>
                        <w:p>
                          <w:pPr>
                            <w:spacing w:before="0" w:line="220" w:lineRule="exact"/>
                            <w:ind w:left="20" w:right="0" w:firstLine="0"/>
                            <w:jc w:val="left"/>
                            <w:rPr>
                              <w:rFonts w:hint="eastAsia" w:ascii="宋体" w:hAnsi="宋体" w:eastAsia="宋体"/>
                              <w:sz w:val="18"/>
                              <w:lang w:eastAsia="zh-CN"/>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wps:txbx>
                    <wps:bodyPr lIns="0" tIns="0" rIns="0" bIns="0" upright="1"/>
                  </wps:wsp>
                </a:graphicData>
              </a:graphic>
            </wp:anchor>
          </w:drawing>
        </mc:Choice>
        <mc:Fallback>
          <w:pict>
            <v:shape id="文本框 6" o:spid="_x0000_s1026" o:spt="202" type="#_x0000_t202" style="position:absolute;left:0pt;margin-left:53.1pt;margin-top:43.95pt;height:11pt;width:290pt;mso-position-horizontal-relative:page;mso-position-vertical-relative:page;z-index:-253883392;mso-width-relative:page;mso-height-relative:page;" filled="f" stroked="f" coordsize="21600,21600" o:gfxdata="UEsDBAoAAAAAAIdO4kAAAAAAAAAAAAAAAAAEAAAAZHJzL1BLAwQUAAAACACHTuJA4iTeQdYAAAAK&#10;AQAADwAAAGRycy9kb3ducmV2LnhtbE2PzU7DMBCE70i8g7VI3KjdHkIS4lQIwQkJkaYHjk68TaLG&#10;6xC7P7w9mxMcZ+fT7EyxvbpRnHEOgycN65UCgdR6O1CnYV+/PaQgQjRkzegJNfxggG15e1OY3PoL&#10;VXjexU5wCIXcaOhjnHIpQ9ujM2HlJyT2Dn52JrKcO2lnc+FwN8qNUol0ZiD+0JsJX3psj7uT0/D8&#10;RdXr8P3RfFaHaqjrTNF7ctT6/m6tnkBEvMY/GJb6XB1K7tT4E9kgRtYq2TCqIX3MQDCQpMuhWZws&#10;A1kW8v+E8hdQSwMEFAAAAAgAh07iQFdrswqfAQAAJQMAAA4AAABkcnMvZTJvRG9jLnhtbK1SQW7b&#10;MBC8F+gfCN5ryjbgpILlAEWQIkDQFkjyAJoiLQIklyAZS/5A+4Oecsm97/I7sqQtJ21vQS6r5e5q&#10;ODPL5cVgDdnKEDW4hk4nFSXSCWi12zT0/u7q0zklMXHXcgNONnQnI71Yffyw7H0tZ9CBaWUgCOJi&#10;3fuGdin5mrEoOml5nICXDpsKguUJj2HD2sB7RLeGzapqwXoIrQ8gZIxYvTw06argKyVF+q5UlImY&#10;hiK3VGIocZ0jWy15vQncd1ocafA3sLBcO7z0BHXJEycPQf8HZbUIEEGliQDLQCktZNGAaqbVP2pu&#10;O+5l0YLmRH+yKb4frPi2/RGIbhs6O6PEcYs72v/+tX/8s3/6SRbZn97HGsduPQ6m4QsMuOexHrGY&#10;ZQ8q2PxFQQT76PTu5K4cEhFYnC/O51WFLYG96fzzGeYIz17+9iGmrxIsyUlDA26vmMq3NzEdRseR&#10;fJmDK21M2aBxfxUQM1dYpn6gmLM0rIejnjW0O5Rjrh16md/FmIQxWY/Jgw960yGdIrpA4i4K7+O7&#10;yct+fS4Xv7zu1T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DiJN5B1gAAAAoBAAAPAAAAAAAAAAEA&#10;IAAAACIAAABkcnMvZG93bnJldi54bWxQSwECFAAUAAAACACHTuJAV2uzCp8BAAAlAwAADgAAAAAA&#10;AAABACAAAAAlAQAAZHJzL2Uyb0RvYy54bWxQSwUGAAAAAAYABgBZAQAANgUAAAAA&#10;">
              <v:fill on="f" focussize="0,0"/>
              <v:stroke on="f"/>
              <v:imagedata o:title=""/>
              <o:lock v:ext="edit" aspectratio="f"/>
              <v:textbox inset="0mm,0mm,0mm,0mm">
                <w:txbxContent>
                  <w:p>
                    <w:pPr>
                      <w:spacing w:before="0" w:line="220" w:lineRule="exact"/>
                      <w:ind w:left="20" w:right="0" w:firstLine="0"/>
                      <w:jc w:val="left"/>
                      <w:rPr>
                        <w:rFonts w:hint="eastAsia" w:ascii="宋体" w:hAnsi="宋体" w:eastAsia="宋体"/>
                        <w:sz w:val="18"/>
                        <w:lang w:eastAsia="zh-CN"/>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v:textbox>
            </v:shape>
          </w:pict>
        </mc:Fallback>
      </mc:AlternateContent>
    </w:r>
    <w:r>
      <mc:AlternateContent>
        <mc:Choice Requires="wps">
          <w:drawing>
            <wp:anchor distT="0" distB="0" distL="114300" distR="114300" simplePos="0" relativeHeight="249434112" behindDoc="1" locked="0" layoutInCell="1" allowOverlap="1">
              <wp:simplePos x="0" y="0"/>
              <wp:positionH relativeFrom="page">
                <wp:posOffset>4789170</wp:posOffset>
              </wp:positionH>
              <wp:positionV relativeFrom="page">
                <wp:posOffset>558165</wp:posOffset>
              </wp:positionV>
              <wp:extent cx="1911350" cy="139700"/>
              <wp:effectExtent l="0" t="0" r="0" b="0"/>
              <wp:wrapNone/>
              <wp:docPr id="28" name="文本框 7"/>
              <wp:cNvGraphicFramePr/>
              <a:graphic xmlns:a="http://schemas.openxmlformats.org/drawingml/2006/main">
                <a:graphicData uri="http://schemas.microsoft.com/office/word/2010/wordprocessingShape">
                  <wps:wsp>
                    <wps:cNvSpPr txBox="1"/>
                    <wps:spPr>
                      <a:xfrm>
                        <a:off x="0" y="0"/>
                        <a:ext cx="1911350" cy="139700"/>
                      </a:xfrm>
                      <a:prstGeom prst="rect">
                        <a:avLst/>
                      </a:prstGeom>
                      <a:noFill/>
                      <a:ln>
                        <a:noFill/>
                      </a:ln>
                    </wps:spPr>
                    <wps:txbx>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txbxContent>
                    </wps:txbx>
                    <wps:bodyPr lIns="0" tIns="0" rIns="0" bIns="0" upright="1"/>
                  </wps:wsp>
                </a:graphicData>
              </a:graphic>
            </wp:anchor>
          </w:drawing>
        </mc:Choice>
        <mc:Fallback>
          <w:pict>
            <v:shape id="文本框 7" o:spid="_x0000_s1026" o:spt="202" type="#_x0000_t202" style="position:absolute;left:0pt;margin-left:377.1pt;margin-top:43.95pt;height:11pt;width:150.5pt;mso-position-horizontal-relative:page;mso-position-vertical-relative:page;z-index:-253882368;mso-width-relative:page;mso-height-relative:page;" filled="f" stroked="f" coordsize="21600,21600" o:gfxdata="UEsDBAoAAAAAAIdO4kAAAAAAAAAAAAAAAAAEAAAAZHJzL1BLAwQUAAAACACHTuJAItDdLdkAAAAL&#10;AQAADwAAAGRycy9kb3ducmV2LnhtbE2Py07DMBBF90j9B2sqsaN2K9I2IU6FEKyQEGlYsHTiaWI1&#10;HofYffD3OKuym8fRnTP57mp7dsbRG0cSlgsBDKlx2lAr4at6e9gC80GRVr0jlPCLHnbF7C5XmXYX&#10;KvG8Dy2LIeQzJaELYcg4902HVvmFG5Di7uBGq0Jsx5brUV1iuO35Sog1t8pQvNCpAV86bI77k5Xw&#10;/E3lq/n5qD/LQ2mqKhX0vj5KeT9fiidgAa/hBsOkH9WhiE61O5H2rJewSR5XEZWw3aTAJkAkSZzU&#10;U5WmwIuc//+h+ANQSwMEFAAAAAgAh07iQEkAnI6gAQAAJQMAAA4AAABkcnMvZTJvRG9jLnhtbK1S&#10;S04cMRDdR+IOlveMuwcRQmt6kCIEQkIhEskBPG572pJ/KpvpngskN8iKDXvONedI2UwPgeyibOxy&#10;Vfn5vVdeXIzWkI2EqL1raT2rKJFO+E67dUu/f7s6/kRJTNx13HgnW7qVkV4sjz4shtDIue+96SQQ&#10;BHGxGUJL+5RCw1gUvbQ8znyQDovKg+UJj7BmHfAB0a1h86r6yAYPXQAvZIyYvXwp0mXBV0qKdKdU&#10;lImYliK3VFYo6yqvbLngzRp46LXY0+D/wMJy7fDRA9QlT5w8gP4LymoBPnqVZsJb5pXSQhYNqKau&#10;3qm573mQRQuaE8PBpvj/YMWXzVcgumvpHCfluMUZ7X793D0+755+kLPszxBig233ARvT+NmPOOcp&#10;HzGZZY8KbN5REME6Or09uCvHRES+dF7XJ6dYElirT87PqmI/e70dIKZr6S3JQUsBp1dM5ZvbmJAJ&#10;tk4t+THnr7QxZYLGvUlgY86wTP2FYo7SuBr3ela+26Icc+PQy/wvpgCmYDUFDwH0ukc6RXSBxFkU&#10;Mvt/k4f957k8/Pq7l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ItDdLdkAAAALAQAADwAAAAAA&#10;AAABACAAAAAiAAAAZHJzL2Rvd25yZXYueG1sUEsBAhQAFAAAAAgAh07iQEkAnI6gAQAAJQMAAA4A&#10;AAAAAAAAAQAgAAAAKAEAAGRycy9lMm9Eb2MueG1sUEsFBgAAAAAGAAYAWQEAADoFAAAAAA==&#10;">
              <v:fill on="f" focussize="0,0"/>
              <v:stroke on="f"/>
              <v:imagedata o:title=""/>
              <o:lock v:ext="edit" aspectratio="f"/>
              <v:textbox inset="0mm,0mm,0mm,0mm">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41280" behindDoc="1" locked="0" layoutInCell="1" allowOverlap="1">
              <wp:simplePos x="0" y="0"/>
              <wp:positionH relativeFrom="page">
                <wp:posOffset>4630420</wp:posOffset>
              </wp:positionH>
              <wp:positionV relativeFrom="page">
                <wp:posOffset>623570</wp:posOffset>
              </wp:positionV>
              <wp:extent cx="1948815" cy="221615"/>
              <wp:effectExtent l="0" t="0" r="0" b="0"/>
              <wp:wrapNone/>
              <wp:docPr id="35" name="文本框 14"/>
              <wp:cNvGraphicFramePr/>
              <a:graphic xmlns:a="http://schemas.openxmlformats.org/drawingml/2006/main">
                <a:graphicData uri="http://schemas.microsoft.com/office/word/2010/wordprocessingShape">
                  <wps:wsp>
                    <wps:cNvSpPr txBox="1"/>
                    <wps:spPr>
                      <a:xfrm>
                        <a:off x="0" y="0"/>
                        <a:ext cx="1948815" cy="221615"/>
                      </a:xfrm>
                      <a:prstGeom prst="rect">
                        <a:avLst/>
                      </a:prstGeom>
                      <a:noFill/>
                      <a:ln>
                        <a:noFill/>
                      </a:ln>
                    </wps:spPr>
                    <wps:txbx>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p>
                          <w:pPr>
                            <w:spacing w:before="0" w:line="220" w:lineRule="exact"/>
                            <w:ind w:left="20" w:right="0" w:firstLine="0"/>
                            <w:jc w:val="left"/>
                            <w:rPr>
                              <w:rFonts w:hint="eastAsia" w:ascii="宋体" w:eastAsia="宋体"/>
                              <w:sz w:val="18"/>
                            </w:rPr>
                          </w:pPr>
                        </w:p>
                      </w:txbxContent>
                    </wps:txbx>
                    <wps:bodyPr lIns="0" tIns="0" rIns="0" bIns="0" upright="1"/>
                  </wps:wsp>
                </a:graphicData>
              </a:graphic>
            </wp:anchor>
          </w:drawing>
        </mc:Choice>
        <mc:Fallback>
          <w:pict>
            <v:shape id="文本框 14" o:spid="_x0000_s1026" o:spt="202" type="#_x0000_t202" style="position:absolute;left:0pt;margin-left:364.6pt;margin-top:49.1pt;height:17.45pt;width:153.45pt;mso-position-horizontal-relative:page;mso-position-vertical-relative:page;z-index:-253875200;mso-width-relative:page;mso-height-relative:page;" filled="f" stroked="f" coordsize="21600,21600" o:gfxdata="UEsDBAoAAAAAAIdO4kAAAAAAAAAAAAAAAAAEAAAAZHJzL1BLAwQUAAAACACHTuJALDPoAtkAAAAL&#10;AQAADwAAAGRycy9kb3ducmV2LnhtbE2PTU/DMAyG70j8h8hI3FjSVipraTohBCckRFcOHNPGa6M1&#10;TmmyD/492YmdbMuPXj+uNmc7sSMu3jiSkKwEMKTeaUODhK/27WENzAdFWk2OUMIvetjUtzeVKrU7&#10;UYPHbRhYDCFfKgljCHPJue9HtMqv3IwUdzu3WBXiuAxcL+oUw+3EUyFybpWheGFUM76M2O+3Byvh&#10;+ZuaV/Pz0X02u8a0bSHoPd9LeX+XiCdgAc/hH4aLflSHOjp17kDas0nCY1qkEZVQrGO9ACLLE2Bd&#10;7LIsAV5X/PqH+g9QSwMEFAAAAAgAh07iQIPyLvugAQAAJgMAAA4AAABkcnMvZTJvRG9jLnhtbK1S&#10;S27bMBDdF8gdCO5jWm4SuILlAEWQIECQFEh7AJoiLQL8YchY8gWSG3TVTfY9l8/RIW05absruqFG&#10;M8M3773h4nKwhmwkRO1dQ6vJlBLphG+1Wzf029fr0zklMXHXcuOdbOhWRnq5PPmw6EMtZ77zppVA&#10;EMTFug8N7VIKNWNRdNLyOPFBOiwqD5Yn/IU1a4H3iG4Nm02nF6z30AbwQsaI2at9kS4LvlJSpAel&#10;okzENBS5pXJCOVf5ZMsFr9fAQ6fFgQb/BxaWa4dDj1BXPHHyBPovKKsF+OhVmghvmVdKC1k0oJpq&#10;+oeax44HWbSgOTEcbYr/D1bcb74A0W1DP55T4rjFHe2+v+x+/Ny9PpPqLBvUh1hj32PAzjR89gMu&#10;esxHTGbdgwKbv6iIYB2t3h7tlUMiIl/6dDafVzhGYG02qy4wRnj2djtATDfSW5KDhgKur7jKN3cx&#10;7VvHljzM+WttTFmhcb8lEDNnWKa+p5ijNKyGg56Vb7cox9w6NDM/jDGAMViNwVMAve6QThFdIHEZ&#10;hffh4eRtv/8vg9+e9/I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LDPoAtkAAAALAQAADwAAAAAA&#10;AAABACAAAAAiAAAAZHJzL2Rvd25yZXYueG1sUEsBAhQAFAAAAAgAh07iQIPyLvugAQAAJgMAAA4A&#10;AAAAAAAAAQAgAAAAKAEAAGRycy9lMm9Eb2MueG1sUEsFBgAAAAAGAAYAWQEAADoFAAAAAA==&#10;">
              <v:fill on="f" focussize="0,0"/>
              <v:stroke on="f"/>
              <v:imagedata o:title=""/>
              <o:lock v:ext="edit" aspectratio="f"/>
              <v:textbox inset="0mm,0mm,0mm,0mm">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p>
                    <w:pPr>
                      <w:spacing w:before="0" w:line="220" w:lineRule="exact"/>
                      <w:ind w:left="20" w:right="0" w:firstLine="0"/>
                      <w:jc w:val="left"/>
                      <w:rPr>
                        <w:rFonts w:hint="eastAsia" w:ascii="宋体" w:eastAsia="宋体"/>
                        <w:sz w:val="18"/>
                      </w:rPr>
                    </w:pPr>
                  </w:p>
                </w:txbxContent>
              </v:textbox>
            </v:shape>
          </w:pict>
        </mc:Fallback>
      </mc:AlternateContent>
    </w:r>
    <w:r>
      <mc:AlternateContent>
        <mc:Choice Requires="wps">
          <w:drawing>
            <wp:anchor distT="0" distB="0" distL="114300" distR="114300" simplePos="0" relativeHeight="249440256" behindDoc="1" locked="0" layoutInCell="1" allowOverlap="1">
              <wp:simplePos x="0" y="0"/>
              <wp:positionH relativeFrom="page">
                <wp:posOffset>887730</wp:posOffset>
              </wp:positionH>
              <wp:positionV relativeFrom="page">
                <wp:posOffset>631190</wp:posOffset>
              </wp:positionV>
              <wp:extent cx="3683000" cy="201295"/>
              <wp:effectExtent l="0" t="0" r="0" b="0"/>
              <wp:wrapNone/>
              <wp:docPr id="34" name="文本框 13"/>
              <wp:cNvGraphicFramePr/>
              <a:graphic xmlns:a="http://schemas.openxmlformats.org/drawingml/2006/main">
                <a:graphicData uri="http://schemas.microsoft.com/office/word/2010/wordprocessingShape">
                  <wps:wsp>
                    <wps:cNvSpPr txBox="1"/>
                    <wps:spPr>
                      <a:xfrm>
                        <a:off x="0" y="0"/>
                        <a:ext cx="3683000" cy="201295"/>
                      </a:xfrm>
                      <a:prstGeom prst="rect">
                        <a:avLst/>
                      </a:prstGeom>
                      <a:noFill/>
                      <a:ln>
                        <a:noFill/>
                      </a:ln>
                    </wps:spPr>
                    <wps:txbx>
                      <w:txbxContent>
                        <w:p>
                          <w:pPr>
                            <w:spacing w:before="0" w:line="242" w:lineRule="auto"/>
                            <w:ind w:left="20" w:right="18" w:firstLine="0"/>
                            <w:jc w:val="left"/>
                            <w:rPr>
                              <w:rFonts w:hint="eastAsia" w:ascii="宋体" w:hAnsi="宋体" w:eastAsia="宋体"/>
                              <w:sz w:val="18"/>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wps:txbx>
                    <wps:bodyPr lIns="0" tIns="0" rIns="0" bIns="0" upright="1"/>
                  </wps:wsp>
                </a:graphicData>
              </a:graphic>
            </wp:anchor>
          </w:drawing>
        </mc:Choice>
        <mc:Fallback>
          <w:pict>
            <v:shape id="文本框 13" o:spid="_x0000_s1026" o:spt="202" type="#_x0000_t202" style="position:absolute;left:0pt;margin-left:69.9pt;margin-top:49.7pt;height:15.85pt;width:290pt;mso-position-horizontal-relative:page;mso-position-vertical-relative:page;z-index:-253876224;mso-width-relative:page;mso-height-relative:page;" filled="f" stroked="f" coordsize="21600,21600" o:gfxdata="UEsDBAoAAAAAAIdO4kAAAAAAAAAAAAAAAAAEAAAAZHJzL1BLAwQUAAAACACHTuJAf7WbcdcAAAAK&#10;AQAADwAAAGRycy9kb3ducmV2LnhtbE2PzU7DMBCE70i8g7WVuFHbgApJ41QIwQkJkYYDRyd2E6vx&#10;OsTuD2/P5kSPszOa/abYnP3AjnaKLqACuRTALLbBOOwUfNVvt0/AYtJo9BDQKvi1ETbl9VWhcxNO&#10;WNnjNnWMSjDmWkGf0phzHtveeh2XYbRI3i5MXieSU8fNpE9U7gd+J8SKe+2QPvR6tC+9bffbg1fw&#10;/I3Vq/v5aD6rXeXqOhP4vtordbOQYg0s2XP6D8OMT+hQElMTDmgiG0jfZ4SeFGTZAzAKPMr50MyO&#10;lMDLgl9OKP8AUEsDBBQAAAAIAIdO4kBz4Ua5oAEAACYDAAAOAAAAZHJzL2Uyb0RvYy54bWytUktu&#10;2zAQ3RfIHQjuY8p2E6SC5QBBkKBA0ARIewCaIi0C/GHIWPIF2ht01U32OZfP0SFtOf3sgmxGw5nR&#10;43tvuLgcrCEbCVF719DppKJEOuFb7dYN/fb15vSCkpi4a7nxTjZ0KyO9XJ58WPShljPfedNKIAji&#10;Yt2HhnYphZqxKDppeZz4IB02lQfLEx5hzVrgPaJbw2ZVdc56D20AL2SMWL3eN+my4CslRbpXKspE&#10;TEORWyoRSlzlyJYLXq+Bh06LAw3+BhaWa4eXHqGueeLkCfR/UFYL8NGrNBHeMq+UFrJoQDXT6h81&#10;jx0PsmhBc2I42hTfD1Z82TwA0W1D5x8pcdzijnY/f+x+veyev5PpPBvUh1jj3GPAyTRc+QEXPdYj&#10;FrPuQYHNX1REsI9Wb4/2yiERgcX5+cW8qrAlsIdyZ5/OMgx7/TtATLfSW5KThgKur7jKN3cx7UfH&#10;kXyZ8zfamLJC4/4qIGausEx9TzFnaVgNBz0r325Rjvns0Mz8MMYExmQ1Jk8B9LpDOkV0gcRlFN6H&#10;h5O3/ee5XPz6vJe/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H+1m3HXAAAACgEAAA8AAAAAAAAA&#10;AQAgAAAAIgAAAGRycy9kb3ducmV2LnhtbFBLAQIUABQAAAAIAIdO4kBz4Ua5oAEAACYDAAAOAAAA&#10;AAAAAAEAIAAAACYBAABkcnMvZTJvRG9jLnhtbFBLBQYAAAAABgAGAFkBAAA4BQAAAAA=&#10;">
              <v:fill on="f" focussize="0,0"/>
              <v:stroke on="f"/>
              <v:imagedata o:title=""/>
              <o:lock v:ext="edit" aspectratio="f"/>
              <v:textbox inset="0mm,0mm,0mm,0mm">
                <w:txbxContent>
                  <w:p>
                    <w:pPr>
                      <w:spacing w:before="0" w:line="242" w:lineRule="auto"/>
                      <w:ind w:left="20" w:right="18" w:firstLine="0"/>
                      <w:jc w:val="left"/>
                      <w:rPr>
                        <w:rFonts w:hint="eastAsia" w:ascii="宋体" w:hAnsi="宋体" w:eastAsia="宋体"/>
                        <w:sz w:val="18"/>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44352" behindDoc="1" locked="0" layoutInCell="1" allowOverlap="1">
              <wp:simplePos x="0" y="0"/>
              <wp:positionH relativeFrom="page">
                <wp:posOffset>4812030</wp:posOffset>
              </wp:positionH>
              <wp:positionV relativeFrom="page">
                <wp:posOffset>600710</wp:posOffset>
              </wp:positionV>
              <wp:extent cx="1950720" cy="186690"/>
              <wp:effectExtent l="0" t="0" r="0" b="0"/>
              <wp:wrapNone/>
              <wp:docPr id="38" name="文本框 17"/>
              <wp:cNvGraphicFramePr/>
              <a:graphic xmlns:a="http://schemas.openxmlformats.org/drawingml/2006/main">
                <a:graphicData uri="http://schemas.microsoft.com/office/word/2010/wordprocessingShape">
                  <wps:wsp>
                    <wps:cNvSpPr txBox="1"/>
                    <wps:spPr>
                      <a:xfrm>
                        <a:off x="0" y="0"/>
                        <a:ext cx="1950720" cy="186690"/>
                      </a:xfrm>
                      <a:prstGeom prst="rect">
                        <a:avLst/>
                      </a:prstGeom>
                      <a:noFill/>
                      <a:ln>
                        <a:noFill/>
                      </a:ln>
                    </wps:spPr>
                    <wps:txbx>
                      <w:txbxContent>
                        <w:p>
                          <w:pPr>
                            <w:spacing w:before="0" w:line="220" w:lineRule="exact"/>
                            <w:ind w:left="20" w:right="0" w:firstLine="0"/>
                            <w:jc w:val="left"/>
                            <w:rPr>
                              <w:rFonts w:hint="default" w:ascii="宋体" w:eastAsia="宋体"/>
                              <w:sz w:val="18"/>
                              <w:lang w:val="en-US" w:eastAsia="zh-CN"/>
                            </w:rPr>
                          </w:pPr>
                          <w:r>
                            <w:rPr>
                              <w:rFonts w:hint="eastAsia" w:ascii="宋体" w:eastAsia="宋体"/>
                              <w:sz w:val="18"/>
                            </w:rPr>
                            <w:t>项目编号：</w:t>
                          </w:r>
                          <w:r>
                            <w:rPr>
                              <w:rFonts w:hint="eastAsia" w:ascii="宋体" w:eastAsia="宋体"/>
                              <w:sz w:val="18"/>
                              <w:lang w:val="en-US" w:eastAsia="zh-CN"/>
                            </w:rPr>
                            <w:t>YLZC2020-G3-230139-GXZJ</w:t>
                          </w:r>
                        </w:p>
                      </w:txbxContent>
                    </wps:txbx>
                    <wps:bodyPr lIns="0" tIns="0" rIns="0" bIns="0" upright="1"/>
                  </wps:wsp>
                </a:graphicData>
              </a:graphic>
            </wp:anchor>
          </w:drawing>
        </mc:Choice>
        <mc:Fallback>
          <w:pict>
            <v:shape id="文本框 17" o:spid="_x0000_s1026" o:spt="202" type="#_x0000_t202" style="position:absolute;left:0pt;margin-left:378.9pt;margin-top:47.3pt;height:14.7pt;width:153.6pt;mso-position-horizontal-relative:page;mso-position-vertical-relative:page;z-index:-253872128;mso-width-relative:page;mso-height-relative:page;" filled="f" stroked="f" coordsize="21600,21600" o:gfxdata="UEsDBAoAAAAAAIdO4kAAAAAAAAAAAAAAAAAEAAAAZHJzL1BLAwQUAAAACACHTuJAmOaRN9oAAAAL&#10;AQAADwAAAGRycy9kb3ducmV2LnhtbE2PzU7DMBCE70i8g7WVuFG7VZvSNE6FEJyQEGk4cHTibRI1&#10;XofY/eHt2Z7KbVYzmv0m215cL044hs6ThtlUgUCqve2o0fBVvj0+gQjRkDW9J9TwiwG2+f1dZlLr&#10;z1TgaRcbwSUUUqOhjXFIpQx1i86EqR+Q2Nv70ZnI59hIO5ozl7tezpVKpDMd8YfWDPjSYn3YHZ2G&#10;528qXrufj+qz2BddWa4VvScHrR8mM7UBEfESb2G44jM65MxU+SPZIHoNq+WK0aOG9SIBcQ2oZMnr&#10;KlbzhQKZZ/L/hvwPUEsDBBQAAAAIAIdO4kALkzB+oAEAACYDAAAOAAAAZHJzL2Uyb0RvYy54bWyt&#10;UsFOGzEQvVfqP1i+N96kaoBVNkgVokJCLRLwAY7XzlqyPZZtspsfoH/AiUvvfFe+o2OTDdDeEBd7&#10;PDN+fu+NF6eDNWQjQ9TgGjqdVJRIJ6DVbt3Q25vzL8eUxMRdyw042dCtjPR0+fnTove1nEEHppWB&#10;IIiLde8b2qXka8ai6KTlcQJeOiwqCJYnPIY1awPvEd0aNquqOeshtD6AkDFi9uy5SJcFXykp0i+l&#10;okzENBS5pbKGsq7yypYLXq8D950Wexr8HSws1w4fPUCd8cTJXdD/QVktAkRQaSLAMlBKC1k0oJpp&#10;9Y+a6457WbSgOdEfbIofByt+bq4C0W1Dv+KkHLc4o93D793j0+7PPZkeZYN6H2vsu/bYmYbvMOCg&#10;x3zEZNY9qGDzjooI1tHq7cFeOSQi8qWTb9XRDEsCa9Pj+fyk+M9ebvsQ0w8JluSgoQHHV1zlm8uY&#10;kAm2ji35MQfn2pgyQuPeJLAxZ1im/kwxR2lYDXs9K2i3KMdcODQzf4wxCGOwGoM7H/S6QzpFdIHE&#10;YRQy+4+Tp/36XB5++d7Lv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JjmkTfaAAAACwEAAA8AAAAA&#10;AAAAAQAgAAAAIgAAAGRycy9kb3ducmV2LnhtbFBLAQIUABQAAAAIAIdO4kALkzB+oAEAACYDAAAO&#10;AAAAAAAAAAEAIAAAACkBAABkcnMvZTJvRG9jLnhtbFBLBQYAAAAABgAGAFkBAAA7BQAAAAA=&#10;">
              <v:fill on="f" focussize="0,0"/>
              <v:stroke on="f"/>
              <v:imagedata o:title=""/>
              <o:lock v:ext="edit" aspectratio="f"/>
              <v:textbox inset="0mm,0mm,0mm,0mm">
                <w:txbxContent>
                  <w:p>
                    <w:pPr>
                      <w:spacing w:before="0" w:line="220" w:lineRule="exact"/>
                      <w:ind w:left="20" w:right="0" w:firstLine="0"/>
                      <w:jc w:val="left"/>
                      <w:rPr>
                        <w:rFonts w:hint="default" w:ascii="宋体" w:eastAsia="宋体"/>
                        <w:sz w:val="18"/>
                        <w:lang w:val="en-US" w:eastAsia="zh-CN"/>
                      </w:rPr>
                    </w:pPr>
                    <w:r>
                      <w:rPr>
                        <w:rFonts w:hint="eastAsia" w:ascii="宋体" w:eastAsia="宋体"/>
                        <w:sz w:val="18"/>
                      </w:rPr>
                      <w:t>项目编号：</w:t>
                    </w:r>
                    <w:r>
                      <w:rPr>
                        <w:rFonts w:hint="eastAsia" w:ascii="宋体" w:eastAsia="宋体"/>
                        <w:sz w:val="18"/>
                        <w:lang w:val="en-US" w:eastAsia="zh-CN"/>
                      </w:rPr>
                      <w:t>YLZC2020-G3-230139-GXZJ</w:t>
                    </w:r>
                  </w:p>
                </w:txbxContent>
              </v:textbox>
            </v:shape>
          </w:pict>
        </mc:Fallback>
      </mc:AlternateContent>
    </w:r>
    <w:r>
      <mc:AlternateContent>
        <mc:Choice Requires="wps">
          <w:drawing>
            <wp:anchor distT="0" distB="0" distL="114300" distR="114300" simplePos="0" relativeHeight="249443328" behindDoc="1" locked="0" layoutInCell="1" allowOverlap="1">
              <wp:simplePos x="0" y="0"/>
              <wp:positionH relativeFrom="page">
                <wp:posOffset>887730</wp:posOffset>
              </wp:positionH>
              <wp:positionV relativeFrom="page">
                <wp:posOffset>608330</wp:posOffset>
              </wp:positionV>
              <wp:extent cx="3683000" cy="224155"/>
              <wp:effectExtent l="0" t="0" r="0" b="0"/>
              <wp:wrapNone/>
              <wp:docPr id="37" name="文本框 16"/>
              <wp:cNvGraphicFramePr/>
              <a:graphic xmlns:a="http://schemas.openxmlformats.org/drawingml/2006/main">
                <a:graphicData uri="http://schemas.microsoft.com/office/word/2010/wordprocessingShape">
                  <wps:wsp>
                    <wps:cNvSpPr txBox="1"/>
                    <wps:spPr>
                      <a:xfrm>
                        <a:off x="0" y="0"/>
                        <a:ext cx="3683000" cy="224155"/>
                      </a:xfrm>
                      <a:prstGeom prst="rect">
                        <a:avLst/>
                      </a:prstGeom>
                      <a:noFill/>
                      <a:ln>
                        <a:noFill/>
                      </a:ln>
                    </wps:spPr>
                    <wps:txbx>
                      <w:txbxContent>
                        <w:p>
                          <w:pPr>
                            <w:spacing w:before="0" w:line="242" w:lineRule="auto"/>
                            <w:ind w:left="20" w:right="18" w:firstLine="0"/>
                            <w:jc w:val="left"/>
                            <w:rPr>
                              <w:rFonts w:hint="eastAsia" w:ascii="宋体" w:hAnsi="宋体" w:eastAsia="宋体"/>
                              <w:sz w:val="18"/>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wps:txbx>
                    <wps:bodyPr lIns="0" tIns="0" rIns="0" bIns="0" upright="1"/>
                  </wps:wsp>
                </a:graphicData>
              </a:graphic>
            </wp:anchor>
          </w:drawing>
        </mc:Choice>
        <mc:Fallback>
          <w:pict>
            <v:shape id="文本框 16" o:spid="_x0000_s1026" o:spt="202" type="#_x0000_t202" style="position:absolute;left:0pt;margin-left:69.9pt;margin-top:47.9pt;height:17.65pt;width:290pt;mso-position-horizontal-relative:page;mso-position-vertical-relative:page;z-index:-253873152;mso-width-relative:page;mso-height-relative:page;" filled="f" stroked="f" coordsize="21600,21600" o:gfxdata="UEsDBAoAAAAAAIdO4kAAAAAAAAAAAAAAAAAEAAAAZHJzL1BLAwQUAAAACACHTuJAY0m/L9cAAAAK&#10;AQAADwAAAGRycy9kb3ducmV2LnhtbE2PzU7DMBCE70i8g7WVuFHbIApJ41QIwQkJkYYDRyd2E6vx&#10;OsTuD2/P5kRPq9kZzX5bbM5+YEc7RRdQgVwKYBbbYBx2Cr7qt9snYDFpNHoIaBX82gib8vqq0LkJ&#10;J6zscZs6RiUYc62gT2nMOY9tb72OyzBaJG8XJq8TyanjZtInKvcDvxNixb12SBd6PdqX3rb77cEr&#10;eP7G6tX9fDSf1a5ydZ0JfF/tlbpZSLEGluw5/Ydhxid0KImpCQc0kQ2k7zNCTwqyB5oUeJTzopkd&#10;KYGXBb98ofwDUEsDBBQAAAAIAIdO4kDofHLtoQEAACYDAAAOAAAAZHJzL2Uyb0RvYy54bWytUktu&#10;2zAQ3RfoHQjua8p24hqC5QBFkCJA0QRIegCaIi0CJIcgGUu+QHuDrrLpvufyOTKkLaefXdHNaDgz&#10;enzvDVdXgzVkJ0PU4Bo6nVSUSCeg1W7b0C+PN++WlMTEXcsNONnQvYz0av32zar3tZxBB6aVgSCI&#10;i3XvG9ql5GvGouik5XECXjpsKgiWJzyGLWsD7xHdGjarqgXrIbQ+gJAxYvX62KTrgq+UFOlOqSgT&#10;MQ1FbqnEUOImR7Ze8XobuO+0ONHg/8DCcu3w0jPUNU+cPAX9F5TVIkAElSYCLAOltJBFA6qZVn+o&#10;eei4l0ULmhP92ab4/2DF5919ILpt6Pw9JY5b3NHh+7fD88/Dj69kusgG9T7WOPfgcTINH2DARY/1&#10;iMWse1DB5i8qIthHq/dne+WQiMDifLGcVxW2BPZms4vp5WWGYa9/+xDTRwmW5KShAddXXOW7TzEd&#10;R8eRfJmDG21MWaFxvxUQM1dYpn6kmLM0bIaTng20e5Rjbh2amR/GmIQx2YzJkw962yGdIrpA4jIK&#10;79PDydv+9Vwufn3e6xd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BjSb8v1wAAAAoBAAAPAAAAAAAA&#10;AAEAIAAAACIAAABkcnMvZG93bnJldi54bWxQSwECFAAUAAAACACHTuJA6Hxy7aEBAAAmAwAADgAA&#10;AAAAAAABACAAAAAmAQAAZHJzL2Uyb0RvYy54bWxQSwUGAAAAAAYABgBZAQAAOQUAAAAA&#10;">
              <v:fill on="f" focussize="0,0"/>
              <v:stroke on="f"/>
              <v:imagedata o:title=""/>
              <o:lock v:ext="edit" aspectratio="f"/>
              <v:textbox inset="0mm,0mm,0mm,0mm">
                <w:txbxContent>
                  <w:p>
                    <w:pPr>
                      <w:spacing w:before="0" w:line="242" w:lineRule="auto"/>
                      <w:ind w:left="20" w:right="18" w:firstLine="0"/>
                      <w:jc w:val="left"/>
                      <w:rPr>
                        <w:rFonts w:hint="eastAsia" w:ascii="宋体" w:hAnsi="宋体" w:eastAsia="宋体"/>
                        <w:sz w:val="18"/>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v:textbox>
            </v:shape>
          </w:pict>
        </mc:Fallback>
      </mc:AlternateContent>
    </w:r>
    <w:r>
      <mc:AlternateContent>
        <mc:Choice Requires="wps">
          <w:drawing>
            <wp:anchor distT="0" distB="0" distL="114300" distR="114300" simplePos="0" relativeHeight="249442304" behindDoc="1" locked="0" layoutInCell="1" allowOverlap="1">
              <wp:simplePos x="0" y="0"/>
              <wp:positionH relativeFrom="page">
                <wp:posOffset>900430</wp:posOffset>
              </wp:positionH>
              <wp:positionV relativeFrom="page">
                <wp:posOffset>853440</wp:posOffset>
              </wp:positionV>
              <wp:extent cx="5760085" cy="0"/>
              <wp:effectExtent l="0" t="0" r="0" b="0"/>
              <wp:wrapNone/>
              <wp:docPr id="36" name="直线 15"/>
              <wp:cNvGraphicFramePr/>
              <a:graphic xmlns:a="http://schemas.openxmlformats.org/drawingml/2006/main">
                <a:graphicData uri="http://schemas.microsoft.com/office/word/2010/wordprocessingShape">
                  <wps:wsp>
                    <wps:cNvCnPr/>
                    <wps:spPr>
                      <a:xfrm>
                        <a:off x="0" y="0"/>
                        <a:ext cx="5760085"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5" o:spid="_x0000_s1026" o:spt="20" style="position:absolute;left:0pt;margin-left:70.9pt;margin-top:67.2pt;height:0pt;width:453.55pt;mso-position-horizontal-relative:page;mso-position-vertical-relative:page;z-index:-253874176;mso-width-relative:page;mso-height-relative:page;" filled="f" stroked="t" coordsize="21600,21600" o:gfxdata="UEsDBAoAAAAAAIdO4kAAAAAAAAAAAAAAAAAEAAAAZHJzL1BLAwQUAAAACACHTuJAiTIcR9cAAAAM&#10;AQAADwAAAGRycy9kb3ducmV2LnhtbE2PwU7DMBBE70j8g7VI3KgdiEpJ4/RQhQviAIEP2MYmjhrb&#10;UbxtSr+erYQEt53d0eybcnPygzjaKfUxaMgWCoQNbTR96DR8fjzfrUAkwmBwiMFq+LYJNtX1VYmF&#10;iXN4t8eGOsEhIRWowRGNhZSpddZjWsTRBr59xckjsZw6aSacOdwP8l6ppfTYB/7gcLRbZ9t9c/Aa&#10;mrfXeflyPs/1Y9NjIupdXW+1vr3J1BoE2RP9meGCz+hQMdMuHoJJYmCdZ4xOPDzkOYiLQ+WrJxC7&#10;35WsSvm/RPUDUEsDBBQAAAAIAIdO4kCYb7xn0QEAAI8DAAAOAAAAZHJzL2Uyb0RvYy54bWytU81u&#10;EzEQviPxDpbvZHdLE9pVNj00lAuCSMADTGzvriX/yeNmk2fhNThx4XH6GoydNIVyQYgcnLFn/M33&#10;fZ5d3uytYTsVUXvX8WZWc6ac8FK7oeNfPt+9uuIMEzgJxjvV8YNCfrN6+WI5hVZd+NEbqSIjEIft&#10;FDo+phTaqkIxKgs480E5SvY+Wki0jUMlI0yEbk11UdeLavJRhuiFQqTT9THJVwW/75VIH/seVWKm&#10;48QtlTWWdZvXarWEdogQRi1ONOAfWFjQjpqeodaQgN1H/QeU1SJ69H2aCW8r3/daqKKB1DT1MzWf&#10;RgiqaCFzMJxtwv8HKz7sNpFp2fHXC84cWHqjh6/fHr7/YM08uzMFbKno1m3iaYdhE7PUfR9t/icR&#10;bF8cPZwdVfvEBB3O3yzq+mrOmXjMVU8XQ8T0TnnLctBxo10WCy3s3mOiZlT6WJKPjWNTx6+by0uC&#10;A5qV3kCi0AZij24od9EbLe+0MfkGxmF7ayLbQX798suSCPe3stxkDTge60rqOBejAvnWSZYOgWxx&#10;NMA8U7BKcmYUzXuOCBDaBNr8TSW1No4YZFePPuZo6+WBXuE+RD2M5ERTWOYMvXrhe5rQPFa/7gvS&#10;03e0+gl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CJMhxH1wAAAAwBAAAPAAAAAAAAAAEAIAAAACIA&#10;AABkcnMvZG93bnJldi54bWxQSwECFAAUAAAACACHTuJAmG+8Z9EBAACPAwAADgAAAAAAAAABACAA&#10;AAAmAQAAZHJzL2Uyb0RvYy54bWxQSwUGAAAAAAYABgBZAQAAaQUAAAAA&#10;">
              <v:fill on="f" focussize="0,0"/>
              <v:stroke weight="0.72pt" color="#000000" joinstyle="round"/>
              <v:imagedata o:title=""/>
              <o:lock v:ext="edit" aspectratio="f"/>
            </v:lin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46400" behindDoc="1" locked="0" layoutInCell="1" allowOverlap="1">
              <wp:simplePos x="0" y="0"/>
              <wp:positionH relativeFrom="page">
                <wp:posOffset>685800</wp:posOffset>
              </wp:positionH>
              <wp:positionV relativeFrom="page">
                <wp:posOffset>719455</wp:posOffset>
              </wp:positionV>
              <wp:extent cx="6191250" cy="0"/>
              <wp:effectExtent l="0" t="0" r="0" b="0"/>
              <wp:wrapNone/>
              <wp:docPr id="40" name="直线 19"/>
              <wp:cNvGraphicFramePr/>
              <a:graphic xmlns:a="http://schemas.openxmlformats.org/drawingml/2006/main">
                <a:graphicData uri="http://schemas.microsoft.com/office/word/2010/wordprocessingShape">
                  <wps:wsp>
                    <wps:cNvCnPr/>
                    <wps:spPr>
                      <a:xfrm>
                        <a:off x="0" y="0"/>
                        <a:ext cx="6191250" cy="0"/>
                      </a:xfrm>
                      <a:prstGeom prst="line">
                        <a:avLst/>
                      </a:prstGeom>
                      <a:ln w="9144" cap="flat" cmpd="sng">
                        <a:solidFill>
                          <a:srgbClr val="000000"/>
                        </a:solidFill>
                        <a:prstDash val="solid"/>
                        <a:headEnd type="none" w="med" len="med"/>
                        <a:tailEnd type="none" w="med" len="med"/>
                      </a:ln>
                    </wps:spPr>
                    <wps:bodyPr upright="1"/>
                  </wps:wsp>
                </a:graphicData>
              </a:graphic>
            </wp:anchor>
          </w:drawing>
        </mc:Choice>
        <mc:Fallback>
          <w:pict>
            <v:line id="直线 19" o:spid="_x0000_s1026" o:spt="20" style="position:absolute;left:0pt;margin-left:54pt;margin-top:56.65pt;height:0pt;width:487.5pt;mso-position-horizontal-relative:page;mso-position-vertical-relative:page;z-index:-253870080;mso-width-relative:page;mso-height-relative:page;" filled="f" stroked="t" coordsize="21600,21600" o:gfxdata="UEsDBAoAAAAAAIdO4kAAAAAAAAAAAAAAAAAEAAAAZHJzL1BLAwQUAAAACACHTuJAk7FhwdQAAAAM&#10;AQAADwAAAGRycy9kb3ducmV2LnhtbE1Py07DMBC8I/EP1iJxo3aIVKIQp4cqXBAHCHzANnYTq/E6&#10;it2m9OvZSkhw23lodqbanP0oTnaOLpCGbKVAWOqCcdRr+Pp8eShAxIRkcAxkNXzbCJv69qbC0oSF&#10;PuypTb3gEIolahhSmkopYzdYj3EVJkus7cPsMTGce2lmXDjcj/JRqbX06Ig/DDjZ7WC7Q3v0Gtr3&#10;t2X9erkszVPrMKbkhqbZan1/l6lnEMme058ZrvW5OtTcaReOZKIYGauCtyQ+sjwHcXWoImdq90vJ&#10;upL/R9Q/UEsDBBQAAAAIAIdO4kD3RPqCzgEAAI8DAAAOAAAAZHJzL2Uyb0RvYy54bWytU0uOEzEQ&#10;3SNxB8t70ukojJhWOrOYMGwQRII5QMWfbkv+yeVJJ2fhGqzYcJy5BmUnk+GzQYgsnLKr/Oq95+rV&#10;zcFZtlcJTfA9b2dzzpQXQRo/9Pz+892rN5xhBi/BBq96flTIb9YvX6ym2KlFGIOVKjEC8dhNsedj&#10;zrFrGhSjcoCzEJWnpA7JQaZtGhqZYCJ0Z5vFfH7VTCHJmIJQiHS6OSX5uuJrrUT+qDWqzGzPiVuu&#10;a6rrrqzNegXdkCCORpxpwD+wcGA8Nb1AbSADe0jmDyhnRAoYdJ6J4JqgtRGqaiA17fw3NZ9GiKpq&#10;IXMwXmzC/wcrPuy3iRnZ8yXZ48HRGz1++fr47Ttrr4s7U8SOim79Np13GLepSD3o5Mo/iWCH6ujx&#10;4qg6ZCbo8Kq9bhevCVk85ZrnizFhfqeCYyXouTW+iIUO9u8xUzMqfSopx9azqefX7XJJcECzoi1k&#10;Cl0k9uiHeheDNfLOWFtuYBp2tzaxPZTXr78iiXB/KStNNoDjqa6mTnMxKpBvvWT5GMkWTwPMCwWn&#10;JGdW0byXiAChy2Ds31RSa+uJQXH15GOJdkEe6RUeYjLDSE60lWXJ0KtXvucJLWP1874iPX9H6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TsWHB1AAAAAwBAAAPAAAAAAAAAAEAIAAAACIAAABkcnMv&#10;ZG93bnJldi54bWxQSwECFAAUAAAACACHTuJA90T6gs4BAACPAwAADgAAAAAAAAABACAAAAAjAQAA&#10;ZHJzL2Uyb0RvYy54bWxQSwUGAAAAAAYABgBZAQAAYwUAAAAA&#10;">
              <v:fill on="f" focussize="0,0"/>
              <v:stroke weight="0.72pt" color="#000000" joinstyle="round"/>
              <v:imagedata o:title=""/>
              <o:lock v:ext="edit" aspectratio="f"/>
            </v:line>
          </w:pict>
        </mc:Fallback>
      </mc:AlternateContent>
    </w:r>
    <w:r>
      <mc:AlternateContent>
        <mc:Choice Requires="wps">
          <w:drawing>
            <wp:anchor distT="0" distB="0" distL="114300" distR="114300" simplePos="0" relativeHeight="249447424" behindDoc="1" locked="0" layoutInCell="1" allowOverlap="1">
              <wp:simplePos x="0" y="0"/>
              <wp:positionH relativeFrom="page">
                <wp:posOffset>673100</wp:posOffset>
              </wp:positionH>
              <wp:positionV relativeFrom="page">
                <wp:posOffset>558165</wp:posOffset>
              </wp:positionV>
              <wp:extent cx="3683000" cy="139700"/>
              <wp:effectExtent l="0" t="0" r="0" b="0"/>
              <wp:wrapNone/>
              <wp:docPr id="41" name="文本框 20"/>
              <wp:cNvGraphicFramePr/>
              <a:graphic xmlns:a="http://schemas.openxmlformats.org/drawingml/2006/main">
                <a:graphicData uri="http://schemas.microsoft.com/office/word/2010/wordprocessingShape">
                  <wps:wsp>
                    <wps:cNvSpPr txBox="1"/>
                    <wps:spPr>
                      <a:xfrm>
                        <a:off x="0" y="0"/>
                        <a:ext cx="3683000" cy="139700"/>
                      </a:xfrm>
                      <a:prstGeom prst="rect">
                        <a:avLst/>
                      </a:prstGeom>
                      <a:noFill/>
                      <a:ln>
                        <a:noFill/>
                      </a:ln>
                    </wps:spPr>
                    <wps:txbx>
                      <w:txbxContent>
                        <w:p>
                          <w:pPr>
                            <w:spacing w:before="0" w:line="220" w:lineRule="exact"/>
                            <w:ind w:left="20" w:right="0" w:firstLine="0"/>
                            <w:jc w:val="left"/>
                            <w:rPr>
                              <w:rFonts w:hint="eastAsia" w:ascii="宋体" w:hAnsi="宋体" w:eastAsia="宋体"/>
                              <w:sz w:val="18"/>
                              <w:lang w:eastAsia="zh-CN"/>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wps:txbx>
                    <wps:bodyPr lIns="0" tIns="0" rIns="0" bIns="0" upright="1"/>
                  </wps:wsp>
                </a:graphicData>
              </a:graphic>
            </wp:anchor>
          </w:drawing>
        </mc:Choice>
        <mc:Fallback>
          <w:pict>
            <v:shape id="文本框 20" o:spid="_x0000_s1026" o:spt="202" type="#_x0000_t202" style="position:absolute;left:0pt;margin-left:53pt;margin-top:43.95pt;height:11pt;width:290pt;mso-position-horizontal-relative:page;mso-position-vertical-relative:page;z-index:-253869056;mso-width-relative:page;mso-height-relative:page;" filled="f" stroked="f" coordsize="21600,21600" o:gfxdata="UEsDBAoAAAAAAIdO4kAAAAAAAAAAAAAAAAAEAAAAZHJzL1BLAwQUAAAACACHTuJAAYjo3tYAAAAK&#10;AQAADwAAAGRycy9kb3ducmV2LnhtbE2PzU7DMBCE70h9B2srcaN2OYQkxKkQghMSIg0Hjk6yTazG&#10;6xC7P7w9mxMcZ2c0+02xu7pRnHEO1pOG7UaBQGp9Z6nX8Fm/3qUgQjTUmdETavjBALtydVOYvPMX&#10;qvC8j73gEgq50TDEOOVShnZAZ8LGT0jsHfzsTGQ597KbzYXL3SjvlUqkM5b4w2AmfB6wPe5PTsPT&#10;F1Uv9vu9+agOla3rTNFbctT6dr1VjyAiXuNfGBZ8RoeSmRp/oi6IkbVKeEvUkD5kIDiQpMuhWZws&#10;A1kW8v+E8hdQSwMEFAAAAAgAh07iQHPeqg6eAQAAJgMAAA4AAABkcnMvZTJvRG9jLnhtbK1SS44T&#10;MRDdI3EHy3viToKGoZXOSGg0CAkB0sABHLedtmS7rLIn3bkA3IAVG/acK+eg7MmHzw6xqS5XVT+/&#10;98qrm8k7ttOYLISOz2cNZzoo6G3YdvzTx7tn15ylLEMvHQTd8b1O/Gb99MlqjK1ewACu18gIJKR2&#10;jB0fco6tEEkN2ss0g6gDNQ2gl5mOuBU9ypHQvROLprkSI2AfEZROiaq3j02+rvjGaJXfG5N0Zq7j&#10;xC3XiDVuShTrlWy3KONg1ZGG/AcWXtpAl56hbmWW7AHtX1DeKoQEJs8UeAHGWKWrBlIzb/5Qcz/I&#10;qKsWMifFs03p/8Gqd7sPyGzf8edzzoL0tKPD1y+Hbz8O3z+zRTVojKmluftIk3l6BRMtuhhX6omK&#10;Rfdk0JcvKWLUJ6v3Z3v1lJmi4vLqetk01FLUmy9fvqCcYMTl74gpv9bgWUk6jrS+6qrcvU35cfQ0&#10;Ui4LcGedqyt04bcCYZaKuFAsWZ4205H3Bvo9yXFvAplZHsYpwVOyOSUPEe12IDpVdIWkZVTex4dT&#10;tv3ruV58ed7r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AGI6N7WAAAACgEAAA8AAAAAAAAAAQAg&#10;AAAAIgAAAGRycy9kb3ducmV2LnhtbFBLAQIUABQAAAAIAIdO4kBz3qoOngEAACYDAAAOAAAAAAAA&#10;AAEAIAAAACUBAABkcnMvZTJvRG9jLnhtbFBLBQYAAAAABgAGAFkBAAA1BQAAAAA=&#10;">
              <v:fill on="f" focussize="0,0"/>
              <v:stroke on="f"/>
              <v:imagedata o:title=""/>
              <o:lock v:ext="edit" aspectratio="f"/>
              <v:textbox inset="0mm,0mm,0mm,0mm">
                <w:txbxContent>
                  <w:p>
                    <w:pPr>
                      <w:spacing w:before="0" w:line="220" w:lineRule="exact"/>
                      <w:ind w:left="20" w:right="0" w:firstLine="0"/>
                      <w:jc w:val="left"/>
                      <w:rPr>
                        <w:rFonts w:hint="eastAsia" w:ascii="宋体" w:hAnsi="宋体" w:eastAsia="宋体"/>
                        <w:sz w:val="18"/>
                        <w:lang w:eastAsia="zh-CN"/>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v:textbox>
            </v:shape>
          </w:pict>
        </mc:Fallback>
      </mc:AlternateContent>
    </w:r>
    <w:r>
      <mc:AlternateContent>
        <mc:Choice Requires="wps">
          <w:drawing>
            <wp:anchor distT="0" distB="0" distL="114300" distR="114300" simplePos="0" relativeHeight="249448448" behindDoc="1" locked="0" layoutInCell="1" allowOverlap="1">
              <wp:simplePos x="0" y="0"/>
              <wp:positionH relativeFrom="page">
                <wp:posOffset>4787900</wp:posOffset>
              </wp:positionH>
              <wp:positionV relativeFrom="page">
                <wp:posOffset>558165</wp:posOffset>
              </wp:positionV>
              <wp:extent cx="1911350" cy="139700"/>
              <wp:effectExtent l="0" t="0" r="0" b="0"/>
              <wp:wrapNone/>
              <wp:docPr id="42" name="文本框 21"/>
              <wp:cNvGraphicFramePr/>
              <a:graphic xmlns:a="http://schemas.openxmlformats.org/drawingml/2006/main">
                <a:graphicData uri="http://schemas.microsoft.com/office/word/2010/wordprocessingShape">
                  <wps:wsp>
                    <wps:cNvSpPr txBox="1"/>
                    <wps:spPr>
                      <a:xfrm>
                        <a:off x="0" y="0"/>
                        <a:ext cx="1911350" cy="139700"/>
                      </a:xfrm>
                      <a:prstGeom prst="rect">
                        <a:avLst/>
                      </a:prstGeom>
                      <a:noFill/>
                      <a:ln>
                        <a:noFill/>
                      </a:ln>
                    </wps:spPr>
                    <wps:txbx>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txbxContent>
                    </wps:txbx>
                    <wps:bodyPr lIns="0" tIns="0" rIns="0" bIns="0" upright="1"/>
                  </wps:wsp>
                </a:graphicData>
              </a:graphic>
            </wp:anchor>
          </w:drawing>
        </mc:Choice>
        <mc:Fallback>
          <w:pict>
            <v:shape id="文本框 21" o:spid="_x0000_s1026" o:spt="202" type="#_x0000_t202" style="position:absolute;left:0pt;margin-left:377pt;margin-top:43.95pt;height:11pt;width:150.5pt;mso-position-horizontal-relative:page;mso-position-vertical-relative:page;z-index:-253868032;mso-width-relative:page;mso-height-relative:page;" filled="f" stroked="f" coordsize="21600,21600" o:gfxdata="UEsDBAoAAAAAAIdO4kAAAAAAAAAAAAAAAAAEAAAAZHJzL1BLAwQUAAAACACHTuJAPh0l0doAAAAL&#10;AQAADwAAAGRycy9kb3ducmV2LnhtbE2PzU7DMBCE70i8g7VI3KhdRNomxKlQ1Z4qIdJw4OjE28Rq&#10;vA6x+8Pb45zgtrszmv0mX99szy44euNIwnwmgCE1ThtqJXxWu6cVMB8UadU7Qgk/6GFd3N/lKtPu&#10;SiVeDqFlMYR8piR0IQwZ577p0Co/cwNS1I5utCrEdWy5HtU1htuePwux4FYZih86NeCmw+Z0OFsJ&#10;b19Ubs33e/1RHktTVamg/eIk5ePDXLwCC3gLf2aY8CM6FJGpdmfSnvUSlslL7BIkrJYpsMkgkiRe&#10;6mlKU+BFzv93KH4BUEsDBBQAAAAIAIdO4kC/uiUpoQEAACYDAAAOAAAAZHJzL2Uyb0RvYy54bWyt&#10;UktuHCEQ3UfyHRB7D91jx7Fb02PJshxFiuJIjg/A0DCNBBQCPN1zgeQGWXnjfc4150iBp8f57Cxv&#10;oKgqHu+9YnE5WkM2MkQNrqX1rKJEOgGdduuW3n+7OT6nJCbuOm7AyZZuZaSXy6N3i8E3cg49mE4G&#10;giAuNoNvaZ+SbxiLopeWxxl46bCoIFie8BjWrAt8QHRr2LyqztgAofMBhIwRs9fPRbos+EpJkW6V&#10;ijIR01LklsoayrrKK1sueLMO3Pda7GnwV7CwXDt89AB1zRMnD0H/B2W1CBBBpZkAy0ApLWTRgGrq&#10;6h81dz33smhBc6I/2BTfDlZ82XwNRHctPZ1T4rjFGe1+/tg9/to9fSfzOhs0+Nhg353HzjRewYiD&#10;nvIRk1n3qILNOyoiWEertwd75ZiIyJcu6vrkPZYE1uqTiw9V8Z+93PYhpo8SLMlBSwOOr7jKN59j&#10;QibYOrXkxxzcaGPKCI37K4GNOcMy9WeKOUrjatzrWUG3RTnmk0Mz88eYgjAFqyl48EGve6RTRBdI&#10;HEYhs/84edp/nsvDL997+R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A+HSXR2gAAAAsBAAAPAAAA&#10;AAAAAAEAIAAAACIAAABkcnMvZG93bnJldi54bWxQSwECFAAUAAAACACHTuJAv7olKaEBAAAmAwAA&#10;DgAAAAAAAAABACAAAAApAQAAZHJzL2Uyb0RvYy54bWxQSwUGAAAAAAYABgBZAQAAPAUAAAAA&#10;">
              <v:fill on="f" focussize="0,0"/>
              <v:stroke on="f"/>
              <v:imagedata o:title=""/>
              <o:lock v:ext="edit" aspectratio="f"/>
              <v:textbox inset="0mm,0mm,0mm,0mm">
                <w:txbxContent>
                  <w:p>
                    <w:pPr>
                      <w:spacing w:before="0" w:line="220" w:lineRule="exact"/>
                      <w:ind w:left="20" w:right="0" w:firstLine="0"/>
                      <w:jc w:val="left"/>
                      <w:rPr>
                        <w:rFonts w:hint="eastAsia" w:ascii="宋体" w:eastAsia="宋体"/>
                        <w:sz w:val="18"/>
                        <w:lang w:eastAsia="zh-CN"/>
                      </w:rPr>
                    </w:pPr>
                    <w:r>
                      <w:rPr>
                        <w:rFonts w:hint="eastAsia" w:ascii="宋体" w:eastAsia="宋体"/>
                        <w:sz w:val="18"/>
                      </w:rPr>
                      <w:t>项目编号：</w:t>
                    </w:r>
                    <w:r>
                      <w:rPr>
                        <w:rFonts w:hint="eastAsia" w:ascii="宋体" w:eastAsia="宋体"/>
                        <w:sz w:val="18"/>
                        <w:lang w:eastAsia="zh-CN"/>
                      </w:rPr>
                      <w:t>YLZC2020-G3-230139-GXZJ</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0"/>
      </w:rPr>
    </w:pPr>
    <w:r>
      <mc:AlternateContent>
        <mc:Choice Requires="wps">
          <w:drawing>
            <wp:anchor distT="0" distB="0" distL="114300" distR="114300" simplePos="0" relativeHeight="249450496" behindDoc="1" locked="0" layoutInCell="1" allowOverlap="1">
              <wp:simplePos x="0" y="0"/>
              <wp:positionH relativeFrom="page">
                <wp:posOffset>4557395</wp:posOffset>
              </wp:positionH>
              <wp:positionV relativeFrom="page">
                <wp:posOffset>621665</wp:posOffset>
              </wp:positionV>
              <wp:extent cx="1894205" cy="219075"/>
              <wp:effectExtent l="0" t="0" r="0" b="0"/>
              <wp:wrapNone/>
              <wp:docPr id="44" name="文本框 23"/>
              <wp:cNvGraphicFramePr/>
              <a:graphic xmlns:a="http://schemas.openxmlformats.org/drawingml/2006/main">
                <a:graphicData uri="http://schemas.microsoft.com/office/word/2010/wordprocessingShape">
                  <wps:wsp>
                    <wps:cNvSpPr txBox="1"/>
                    <wps:spPr>
                      <a:xfrm>
                        <a:off x="0" y="0"/>
                        <a:ext cx="1894205" cy="219075"/>
                      </a:xfrm>
                      <a:prstGeom prst="rect">
                        <a:avLst/>
                      </a:prstGeom>
                      <a:noFill/>
                      <a:ln>
                        <a:noFill/>
                      </a:ln>
                    </wps:spPr>
                    <wps:txbx>
                      <w:txbxContent>
                        <w:p>
                          <w:pPr>
                            <w:spacing w:before="0" w:line="220" w:lineRule="exact"/>
                            <w:ind w:left="20" w:right="0" w:firstLine="0"/>
                            <w:jc w:val="left"/>
                            <w:rPr>
                              <w:rFonts w:hint="default" w:ascii="宋体" w:eastAsia="宋体"/>
                              <w:sz w:val="18"/>
                              <w:lang w:val="en-US" w:eastAsia="zh-CN"/>
                            </w:rPr>
                          </w:pPr>
                          <w:r>
                            <w:rPr>
                              <w:rFonts w:hint="eastAsia" w:ascii="宋体" w:eastAsia="宋体"/>
                              <w:sz w:val="18"/>
                            </w:rPr>
                            <w:t>项目编号</w:t>
                          </w:r>
                          <w:r>
                            <w:rPr>
                              <w:rFonts w:hint="eastAsia" w:ascii="宋体" w:eastAsia="宋体"/>
                              <w:sz w:val="18"/>
                              <w:lang w:val="en-US" w:eastAsia="zh-CN"/>
                            </w:rPr>
                            <w:t>:YLZC2020-G3-230139-GXZJ</w:t>
                          </w:r>
                        </w:p>
                      </w:txbxContent>
                    </wps:txbx>
                    <wps:bodyPr lIns="0" tIns="0" rIns="0" bIns="0" upright="1"/>
                  </wps:wsp>
                </a:graphicData>
              </a:graphic>
            </wp:anchor>
          </w:drawing>
        </mc:Choice>
        <mc:Fallback>
          <w:pict>
            <v:shape id="文本框 23" o:spid="_x0000_s1026" o:spt="202" type="#_x0000_t202" style="position:absolute;left:0pt;margin-left:358.85pt;margin-top:48.95pt;height:17.25pt;width:149.15pt;mso-position-horizontal-relative:page;mso-position-vertical-relative:page;z-index:-253865984;mso-width-relative:page;mso-height-relative:page;" filled="f" stroked="f" coordsize="21600,21600" o:gfxdata="UEsDBAoAAAAAAIdO4kAAAAAAAAAAAAAAAAAEAAAAZHJzL1BLAwQUAAAACACHTuJA9ovsvdoAAAAL&#10;AQAADwAAAGRycy9kb3ducmV2LnhtbE2Py07DMBBF90j8gzWV2FE7BSUkjVMhBCskRBoWLJ3YTazG&#10;4xC7D/6e6arsZjRHd84tN2c3sqOZg/UoIVkKYAY7ry32Er6at/snYCEq1Gr0aCT8mgCb6vamVIX2&#10;J6zNcRt7RiEYCiVhiHEqOA/dYJwKSz8ZpNvOz05FWuee61mdKNyNfCVEyp2ySB8GNZmXwXT77cFJ&#10;eP7G+tX+fLSf9a62TZMLfE/3Ut4tErEGFs05XmG46JM6VOTU+gPqwEYJWZJlhErIsxzYBRBJSu1a&#10;mh5Wj8Crkv/vUP0BUEsDBBQAAAAIAIdO4kA63KBCoQEAACYDAAAOAAAAZHJzL2Uyb0RvYy54bWyt&#10;Us1uEzEQviPxDpbvjTfbFNpVNpVQVYSEAKn0ARyvnbXkP43d7OYF4A04ceHOc+U5GDvZtNBbxcUe&#10;z4w/f983Xl6P1pCthKi9a+l8VlEinfCddpuW3n+9PbukJCbuOm68ky3dyUivV69fLYfQyNr33nQS&#10;CIK42AyhpX1KoWEsil5aHmc+SIdF5cHyhEfYsA74gOjWsLqq3rDBQxfACxkjZm8ORboq+EpJkT4r&#10;FWUipqXILZUVyrrOK1stebMBHnotjjT4C1hYrh0+eoK64YmTB9DPoKwW4KNXaSa8ZV4pLWTRgGrm&#10;1T9q7noeZNGC5sRwsin+P1jxafsFiO5aulhQ4rjFGe1/fN///L3/9Y3U59mgIcQG++4CdqbxnR9x&#10;0FM+YjLrHhXYvKMignW0eneyV46JiHzp8mpRVxeUCKzV86vq7UWGYY+3A8T0XnpLctBSwPEVV/n2&#10;Y0yH1qklP+b8rTamjNC4vxKImTMsUz9QzFEa1+NRz9p3O5RjPjg0M3+MKYApWE/BQwC96ZFOEV0g&#10;cRiF9/Hj5Gk/PZeHH7/36g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UBAAAW0NvbnRlbnRfVHlwZXNdLnhtbFBLAQIUAAoAAAAAAIdO4kAAAAAA&#10;AAAAAAAAAAAGAAAAAAAAAAAAEAAAAPYCAABfcmVscy9QSwECFAAUAAAACACHTuJAihRmPNEAAACU&#10;AQAACwAAAAAAAAABACAAAAAaAwAAX3JlbHMvLnJlbHNQSwECFAAKAAAAAACHTuJAAAAAAAAAAAAA&#10;AAAABAAAAAAAAAAAABAAAAAAAAAAZHJzL1BLAQIUABQAAAAIAIdO4kD2i+y92gAAAAsBAAAPAAAA&#10;AAAAAAEAIAAAACIAAABkcnMvZG93bnJldi54bWxQSwECFAAUAAAACACHTuJAOtygQqEBAAAmAwAA&#10;DgAAAAAAAAABACAAAAApAQAAZHJzL2Uyb0RvYy54bWxQSwUGAAAAAAYABgBZAQAAPAUAAAAA&#10;">
              <v:fill on="f" focussize="0,0"/>
              <v:stroke on="f"/>
              <v:imagedata o:title=""/>
              <o:lock v:ext="edit" aspectratio="f"/>
              <v:textbox inset="0mm,0mm,0mm,0mm">
                <w:txbxContent>
                  <w:p>
                    <w:pPr>
                      <w:spacing w:before="0" w:line="220" w:lineRule="exact"/>
                      <w:ind w:left="20" w:right="0" w:firstLine="0"/>
                      <w:jc w:val="left"/>
                      <w:rPr>
                        <w:rFonts w:hint="default" w:ascii="宋体" w:eastAsia="宋体"/>
                        <w:sz w:val="18"/>
                        <w:lang w:val="en-US" w:eastAsia="zh-CN"/>
                      </w:rPr>
                    </w:pPr>
                    <w:r>
                      <w:rPr>
                        <w:rFonts w:hint="eastAsia" w:ascii="宋体" w:eastAsia="宋体"/>
                        <w:sz w:val="18"/>
                      </w:rPr>
                      <w:t>项目编号</w:t>
                    </w:r>
                    <w:r>
                      <w:rPr>
                        <w:rFonts w:hint="eastAsia" w:ascii="宋体" w:eastAsia="宋体"/>
                        <w:sz w:val="18"/>
                        <w:lang w:val="en-US" w:eastAsia="zh-CN"/>
                      </w:rPr>
                      <w:t>:YLZC2020-G3-230139-GXZJ</w:t>
                    </w:r>
                  </w:p>
                </w:txbxContent>
              </v:textbox>
            </v:shape>
          </w:pict>
        </mc:Fallback>
      </mc:AlternateContent>
    </w:r>
    <w:r>
      <mc:AlternateContent>
        <mc:Choice Requires="wps">
          <w:drawing>
            <wp:anchor distT="0" distB="0" distL="114300" distR="114300" simplePos="0" relativeHeight="249449472" behindDoc="1" locked="0" layoutInCell="1" allowOverlap="1">
              <wp:simplePos x="0" y="0"/>
              <wp:positionH relativeFrom="page">
                <wp:posOffset>887730</wp:posOffset>
              </wp:positionH>
              <wp:positionV relativeFrom="page">
                <wp:posOffset>614045</wp:posOffset>
              </wp:positionV>
              <wp:extent cx="3683000" cy="231775"/>
              <wp:effectExtent l="0" t="0" r="0" b="0"/>
              <wp:wrapNone/>
              <wp:docPr id="43" name="文本框 22"/>
              <wp:cNvGraphicFramePr/>
              <a:graphic xmlns:a="http://schemas.openxmlformats.org/drawingml/2006/main">
                <a:graphicData uri="http://schemas.microsoft.com/office/word/2010/wordprocessingShape">
                  <wps:wsp>
                    <wps:cNvSpPr txBox="1"/>
                    <wps:spPr>
                      <a:xfrm>
                        <a:off x="0" y="0"/>
                        <a:ext cx="3683000" cy="231775"/>
                      </a:xfrm>
                      <a:prstGeom prst="rect">
                        <a:avLst/>
                      </a:prstGeom>
                      <a:noFill/>
                      <a:ln>
                        <a:noFill/>
                      </a:ln>
                    </wps:spPr>
                    <wps:txbx>
                      <w:txbxContent>
                        <w:p>
                          <w:pPr>
                            <w:spacing w:before="0" w:line="242" w:lineRule="auto"/>
                            <w:ind w:left="20" w:right="18" w:firstLine="0"/>
                            <w:jc w:val="left"/>
                            <w:rPr>
                              <w:rFonts w:hint="eastAsia" w:ascii="宋体" w:hAnsi="宋体" w:eastAsia="宋体"/>
                              <w:sz w:val="18"/>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wps:txbx>
                    <wps:bodyPr lIns="0" tIns="0" rIns="0" bIns="0" upright="1"/>
                  </wps:wsp>
                </a:graphicData>
              </a:graphic>
            </wp:anchor>
          </w:drawing>
        </mc:Choice>
        <mc:Fallback>
          <w:pict>
            <v:shape id="文本框 22" o:spid="_x0000_s1026" o:spt="202" type="#_x0000_t202" style="position:absolute;left:0pt;margin-left:69.9pt;margin-top:48.35pt;height:18.25pt;width:290pt;mso-position-horizontal-relative:page;mso-position-vertical-relative:page;z-index:-253867008;mso-width-relative:page;mso-height-relative:page;" filled="f" stroked="f" coordsize="21600,21600" o:gfxdata="UEsDBAoAAAAAAIdO4kAAAAAAAAAAAAAAAAAEAAAAZHJzL1BLAwQUAAAACACHTuJAgH1b49cAAAAK&#10;AQAADwAAAGRycy9kb3ducmV2LnhtbE2PzU7DMBCE70h9B2srcaN2WiklIU6FEJyQEGk4cHRiN7Ea&#10;r0Ps/vD2bE70ODuj2W+K3dUN7GymYD1KSFYCmMHWa4udhK/67eERWIgKtRo8Ggm/JsCuXNwVKtf+&#10;gpU572PHqARDriT0MY4556HtjVNh5UeD5B385FQkOXVcT+pC5W7gayFS7pRF+tCr0bz0pj3uT07C&#10;8zdWr/bno/msDpWt60zge3qU8n6ZiCdg0VzjfxhmfEKHkpgaf0Id2EB6kxF6lJClW2AU2CbzoZmd&#10;zRp4WfDbCeUfUEsDBBQAAAAIAIdO4kBYmdrBoQEAACYDAAAOAAAAZHJzL2Uyb0RvYy54bWytUktu&#10;2zAQ3RfIHQjua8pymwSC5QBFkKBA0RZIcgCaIi0C/GHIWPIF2ht01U33PZfP0SFtOU2yK7oZDWdG&#10;j++94fJqtIZsJUTtXUvns4oS6YTvtNu09OH+5u0lJTFx13HjnWzpTkZ6tTp7sxxCI2vfe9NJIAji&#10;YjOElvYphYaxKHppeZz5IB02lQfLEx5hwzrgA6Jbw+qqOmeDhy6AFzJGrF4fmnRV8JWSIn1RKspE&#10;TEuRWyoRSlznyFZL3myAh16LIw3+Dyws1w4vPUFd88TJI+hXUFYL8NGrNBPeMq+UFrJoQDXz6oWa&#10;u54HWbSgOTGcbIr/D1Z83n4ForuWvltQ4rjFHe1/fN///L3/9Y3UdTZoCLHBubuAk2n84Edc9FSP&#10;WMy6RwU2f1ERwT5avTvZK8dEBBYX55eLqsKWwF69mF9cvM8w7OnvADHdSm9JTloKuL7iKt9+iukw&#10;Oo3ky5y/0caUFRr3rICYucIy9QPFnKVxPR71rH23Qznmo0Mz88OYEpiS9ZQ8BtCbHukU0QUSl1F4&#10;Hx9O3vbf53Lx0/Ne/Q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CAfVvj1wAAAAoBAAAPAAAAAAAA&#10;AAEAIAAAACIAAABkcnMvZG93bnJldi54bWxQSwECFAAUAAAACACHTuJAWJnawaEBAAAmAwAADgAA&#10;AAAAAAABACAAAAAmAQAAZHJzL2Uyb0RvYy54bWxQSwUGAAAAAAYABgBZAQAAOQUAAAAA&#10;">
              <v:fill on="f" focussize="0,0"/>
              <v:stroke on="f"/>
              <v:imagedata o:title=""/>
              <o:lock v:ext="edit" aspectratio="f"/>
              <v:textbox inset="0mm,0mm,0mm,0mm">
                <w:txbxContent>
                  <w:p>
                    <w:pPr>
                      <w:spacing w:before="0" w:line="242" w:lineRule="auto"/>
                      <w:ind w:left="20" w:right="18" w:firstLine="0"/>
                      <w:jc w:val="left"/>
                      <w:rPr>
                        <w:rFonts w:hint="eastAsia" w:ascii="宋体" w:hAnsi="宋体" w:eastAsia="宋体"/>
                        <w:sz w:val="18"/>
                      </w:rPr>
                    </w:pPr>
                    <w:r>
                      <w:rPr>
                        <w:rFonts w:hint="eastAsia" w:ascii="宋体" w:hAnsi="宋体" w:eastAsia="宋体"/>
                        <w:sz w:val="18"/>
                      </w:rPr>
                      <w:t>项目名称：</w:t>
                    </w:r>
                    <w:r>
                      <w:rPr>
                        <w:rFonts w:hint="eastAsia" w:ascii="宋体" w:hAnsi="宋体" w:eastAsia="宋体"/>
                        <w:sz w:val="18"/>
                        <w:lang w:eastAsia="zh-CN"/>
                      </w:rPr>
                      <w:t>2020年-2021年森林查暨森林资源管理“一张图”年度更新工作经费</w:t>
                    </w:r>
                  </w:p>
                </w:txbxContent>
              </v:textbox>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3A4B87"/>
    <w:multiLevelType w:val="multilevel"/>
    <w:tmpl w:val="813A4B87"/>
    <w:lvl w:ilvl="0" w:tentative="0">
      <w:start w:val="1"/>
      <w:numFmt w:val="decimal"/>
      <w:lvlText w:val="%1."/>
      <w:lvlJc w:val="left"/>
      <w:pPr>
        <w:ind w:left="438" w:hanging="245"/>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397" w:hanging="245"/>
      </w:pPr>
      <w:rPr>
        <w:rFonts w:hint="default"/>
        <w:lang w:val="zh-CN" w:eastAsia="zh-CN" w:bidi="zh-CN"/>
      </w:rPr>
    </w:lvl>
    <w:lvl w:ilvl="2" w:tentative="0">
      <w:start w:val="0"/>
      <w:numFmt w:val="bullet"/>
      <w:lvlText w:val="•"/>
      <w:lvlJc w:val="left"/>
      <w:pPr>
        <w:ind w:left="2354" w:hanging="245"/>
      </w:pPr>
      <w:rPr>
        <w:rFonts w:hint="default"/>
        <w:lang w:val="zh-CN" w:eastAsia="zh-CN" w:bidi="zh-CN"/>
      </w:rPr>
    </w:lvl>
    <w:lvl w:ilvl="3" w:tentative="0">
      <w:start w:val="0"/>
      <w:numFmt w:val="bullet"/>
      <w:lvlText w:val="•"/>
      <w:lvlJc w:val="left"/>
      <w:pPr>
        <w:ind w:left="3311" w:hanging="245"/>
      </w:pPr>
      <w:rPr>
        <w:rFonts w:hint="default"/>
        <w:lang w:val="zh-CN" w:eastAsia="zh-CN" w:bidi="zh-CN"/>
      </w:rPr>
    </w:lvl>
    <w:lvl w:ilvl="4" w:tentative="0">
      <w:start w:val="0"/>
      <w:numFmt w:val="bullet"/>
      <w:lvlText w:val="•"/>
      <w:lvlJc w:val="left"/>
      <w:pPr>
        <w:ind w:left="4268" w:hanging="245"/>
      </w:pPr>
      <w:rPr>
        <w:rFonts w:hint="default"/>
        <w:lang w:val="zh-CN" w:eastAsia="zh-CN" w:bidi="zh-CN"/>
      </w:rPr>
    </w:lvl>
    <w:lvl w:ilvl="5" w:tentative="0">
      <w:start w:val="0"/>
      <w:numFmt w:val="bullet"/>
      <w:lvlText w:val="•"/>
      <w:lvlJc w:val="left"/>
      <w:pPr>
        <w:ind w:left="5225" w:hanging="245"/>
      </w:pPr>
      <w:rPr>
        <w:rFonts w:hint="default"/>
        <w:lang w:val="zh-CN" w:eastAsia="zh-CN" w:bidi="zh-CN"/>
      </w:rPr>
    </w:lvl>
    <w:lvl w:ilvl="6" w:tentative="0">
      <w:start w:val="0"/>
      <w:numFmt w:val="bullet"/>
      <w:lvlText w:val="•"/>
      <w:lvlJc w:val="left"/>
      <w:pPr>
        <w:ind w:left="6182" w:hanging="245"/>
      </w:pPr>
      <w:rPr>
        <w:rFonts w:hint="default"/>
        <w:lang w:val="zh-CN" w:eastAsia="zh-CN" w:bidi="zh-CN"/>
      </w:rPr>
    </w:lvl>
    <w:lvl w:ilvl="7" w:tentative="0">
      <w:start w:val="0"/>
      <w:numFmt w:val="bullet"/>
      <w:lvlText w:val="•"/>
      <w:lvlJc w:val="left"/>
      <w:pPr>
        <w:ind w:left="7139" w:hanging="245"/>
      </w:pPr>
      <w:rPr>
        <w:rFonts w:hint="default"/>
        <w:lang w:val="zh-CN" w:eastAsia="zh-CN" w:bidi="zh-CN"/>
      </w:rPr>
    </w:lvl>
    <w:lvl w:ilvl="8" w:tentative="0">
      <w:start w:val="0"/>
      <w:numFmt w:val="bullet"/>
      <w:lvlText w:val="•"/>
      <w:lvlJc w:val="left"/>
      <w:pPr>
        <w:ind w:left="8096" w:hanging="245"/>
      </w:pPr>
      <w:rPr>
        <w:rFonts w:hint="default"/>
        <w:lang w:val="zh-CN" w:eastAsia="zh-CN" w:bidi="zh-CN"/>
      </w:rPr>
    </w:lvl>
  </w:abstractNum>
  <w:abstractNum w:abstractNumId="1">
    <w:nsid w:val="8461FADE"/>
    <w:multiLevelType w:val="multilevel"/>
    <w:tmpl w:val="8461FADE"/>
    <w:lvl w:ilvl="0" w:tentative="0">
      <w:start w:val="1"/>
      <w:numFmt w:val="decimal"/>
      <w:lvlText w:val="（%1）"/>
      <w:lvlJc w:val="left"/>
      <w:pPr>
        <w:ind w:left="1809" w:hanging="601"/>
        <w:jc w:val="right"/>
      </w:pPr>
      <w:rPr>
        <w:rFonts w:hint="default" w:ascii="仿宋" w:hAnsi="仿宋" w:eastAsia="仿宋" w:cs="仿宋"/>
        <w:w w:val="100"/>
        <w:sz w:val="22"/>
        <w:szCs w:val="22"/>
        <w:lang w:val="zh-CN" w:eastAsia="zh-CN" w:bidi="zh-CN"/>
      </w:rPr>
    </w:lvl>
    <w:lvl w:ilvl="1" w:tentative="0">
      <w:start w:val="1"/>
      <w:numFmt w:val="decimal"/>
      <w:lvlText w:val="（%2）"/>
      <w:lvlJc w:val="left"/>
      <w:pPr>
        <w:ind w:left="1809" w:hanging="601"/>
        <w:jc w:val="right"/>
      </w:pPr>
      <w:rPr>
        <w:rFonts w:hint="default" w:ascii="仿宋" w:hAnsi="仿宋" w:eastAsia="仿宋" w:cs="仿宋"/>
        <w:w w:val="100"/>
        <w:sz w:val="22"/>
        <w:szCs w:val="22"/>
        <w:lang w:val="zh-CN" w:eastAsia="zh-CN" w:bidi="zh-CN"/>
      </w:rPr>
    </w:lvl>
    <w:lvl w:ilvl="2" w:tentative="0">
      <w:start w:val="1"/>
      <w:numFmt w:val="decimal"/>
      <w:lvlText w:val="（%3）"/>
      <w:lvlJc w:val="left"/>
      <w:pPr>
        <w:ind w:left="100" w:hanging="796"/>
        <w:jc w:val="right"/>
      </w:pPr>
      <w:rPr>
        <w:rFonts w:hint="default" w:ascii="仿宋" w:hAnsi="仿宋" w:eastAsia="仿宋" w:cs="仿宋"/>
        <w:b/>
        <w:bCs/>
        <w:spacing w:val="-161"/>
        <w:w w:val="96"/>
        <w:sz w:val="30"/>
        <w:szCs w:val="30"/>
        <w:lang w:val="zh-CN" w:eastAsia="zh-CN" w:bidi="zh-CN"/>
      </w:rPr>
    </w:lvl>
    <w:lvl w:ilvl="3" w:tentative="0">
      <w:start w:val="1"/>
      <w:numFmt w:val="decimal"/>
      <w:lvlText w:val="%4."/>
      <w:lvlJc w:val="left"/>
      <w:pPr>
        <w:ind w:left="1148" w:hanging="240"/>
        <w:jc w:val="left"/>
      </w:pPr>
      <w:rPr>
        <w:rFonts w:hint="default" w:ascii="宋体" w:hAnsi="宋体" w:eastAsia="宋体" w:cs="宋体"/>
        <w:spacing w:val="-1"/>
        <w:w w:val="100"/>
        <w:sz w:val="22"/>
        <w:szCs w:val="22"/>
        <w:lang w:val="zh-CN" w:eastAsia="zh-CN" w:bidi="zh-CN"/>
      </w:rPr>
    </w:lvl>
    <w:lvl w:ilvl="4" w:tentative="0">
      <w:start w:val="0"/>
      <w:numFmt w:val="bullet"/>
      <w:lvlText w:val="•"/>
      <w:lvlJc w:val="left"/>
      <w:pPr>
        <w:ind w:left="2282" w:hanging="240"/>
      </w:pPr>
      <w:rPr>
        <w:rFonts w:hint="default"/>
        <w:lang w:val="zh-CN" w:eastAsia="zh-CN" w:bidi="zh-CN"/>
      </w:rPr>
    </w:lvl>
    <w:lvl w:ilvl="5" w:tentative="0">
      <w:start w:val="0"/>
      <w:numFmt w:val="bullet"/>
      <w:lvlText w:val="•"/>
      <w:lvlJc w:val="left"/>
      <w:pPr>
        <w:ind w:left="2523" w:hanging="240"/>
      </w:pPr>
      <w:rPr>
        <w:rFonts w:hint="default"/>
        <w:lang w:val="zh-CN" w:eastAsia="zh-CN" w:bidi="zh-CN"/>
      </w:rPr>
    </w:lvl>
    <w:lvl w:ilvl="6" w:tentative="0">
      <w:start w:val="0"/>
      <w:numFmt w:val="bullet"/>
      <w:lvlText w:val="•"/>
      <w:lvlJc w:val="left"/>
      <w:pPr>
        <w:ind w:left="2764" w:hanging="240"/>
      </w:pPr>
      <w:rPr>
        <w:rFonts w:hint="default"/>
        <w:lang w:val="zh-CN" w:eastAsia="zh-CN" w:bidi="zh-CN"/>
      </w:rPr>
    </w:lvl>
    <w:lvl w:ilvl="7" w:tentative="0">
      <w:start w:val="0"/>
      <w:numFmt w:val="bullet"/>
      <w:lvlText w:val="•"/>
      <w:lvlJc w:val="left"/>
      <w:pPr>
        <w:ind w:left="3005" w:hanging="240"/>
      </w:pPr>
      <w:rPr>
        <w:rFonts w:hint="default"/>
        <w:lang w:val="zh-CN" w:eastAsia="zh-CN" w:bidi="zh-CN"/>
      </w:rPr>
    </w:lvl>
    <w:lvl w:ilvl="8" w:tentative="0">
      <w:start w:val="0"/>
      <w:numFmt w:val="bullet"/>
      <w:lvlText w:val="•"/>
      <w:lvlJc w:val="left"/>
      <w:pPr>
        <w:ind w:left="3246" w:hanging="240"/>
      </w:pPr>
      <w:rPr>
        <w:rFonts w:hint="default"/>
        <w:lang w:val="zh-CN" w:eastAsia="zh-CN" w:bidi="zh-CN"/>
      </w:rPr>
    </w:lvl>
  </w:abstractNum>
  <w:abstractNum w:abstractNumId="2">
    <w:nsid w:val="9239341B"/>
    <w:multiLevelType w:val="multilevel"/>
    <w:tmpl w:val="9239341B"/>
    <w:lvl w:ilvl="0" w:tentative="0">
      <w:start w:val="2"/>
      <w:numFmt w:val="decimal"/>
      <w:lvlText w:val="%1."/>
      <w:lvlJc w:val="left"/>
      <w:pPr>
        <w:ind w:left="821" w:hanging="24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739" w:hanging="241"/>
      </w:pPr>
      <w:rPr>
        <w:rFonts w:hint="default"/>
        <w:lang w:val="zh-CN" w:eastAsia="zh-CN" w:bidi="zh-CN"/>
      </w:rPr>
    </w:lvl>
    <w:lvl w:ilvl="2" w:tentative="0">
      <w:start w:val="0"/>
      <w:numFmt w:val="bullet"/>
      <w:lvlText w:val="•"/>
      <w:lvlJc w:val="left"/>
      <w:pPr>
        <w:ind w:left="2658" w:hanging="241"/>
      </w:pPr>
      <w:rPr>
        <w:rFonts w:hint="default"/>
        <w:lang w:val="zh-CN" w:eastAsia="zh-CN" w:bidi="zh-CN"/>
      </w:rPr>
    </w:lvl>
    <w:lvl w:ilvl="3" w:tentative="0">
      <w:start w:val="0"/>
      <w:numFmt w:val="bullet"/>
      <w:lvlText w:val="•"/>
      <w:lvlJc w:val="left"/>
      <w:pPr>
        <w:ind w:left="3577" w:hanging="241"/>
      </w:pPr>
      <w:rPr>
        <w:rFonts w:hint="default"/>
        <w:lang w:val="zh-CN" w:eastAsia="zh-CN" w:bidi="zh-CN"/>
      </w:rPr>
    </w:lvl>
    <w:lvl w:ilvl="4" w:tentative="0">
      <w:start w:val="0"/>
      <w:numFmt w:val="bullet"/>
      <w:lvlText w:val="•"/>
      <w:lvlJc w:val="left"/>
      <w:pPr>
        <w:ind w:left="4496" w:hanging="241"/>
      </w:pPr>
      <w:rPr>
        <w:rFonts w:hint="default"/>
        <w:lang w:val="zh-CN" w:eastAsia="zh-CN" w:bidi="zh-CN"/>
      </w:rPr>
    </w:lvl>
    <w:lvl w:ilvl="5" w:tentative="0">
      <w:start w:val="0"/>
      <w:numFmt w:val="bullet"/>
      <w:lvlText w:val="•"/>
      <w:lvlJc w:val="left"/>
      <w:pPr>
        <w:ind w:left="5415" w:hanging="241"/>
      </w:pPr>
      <w:rPr>
        <w:rFonts w:hint="default"/>
        <w:lang w:val="zh-CN" w:eastAsia="zh-CN" w:bidi="zh-CN"/>
      </w:rPr>
    </w:lvl>
    <w:lvl w:ilvl="6" w:tentative="0">
      <w:start w:val="0"/>
      <w:numFmt w:val="bullet"/>
      <w:lvlText w:val="•"/>
      <w:lvlJc w:val="left"/>
      <w:pPr>
        <w:ind w:left="6334" w:hanging="241"/>
      </w:pPr>
      <w:rPr>
        <w:rFonts w:hint="default"/>
        <w:lang w:val="zh-CN" w:eastAsia="zh-CN" w:bidi="zh-CN"/>
      </w:rPr>
    </w:lvl>
    <w:lvl w:ilvl="7" w:tentative="0">
      <w:start w:val="0"/>
      <w:numFmt w:val="bullet"/>
      <w:lvlText w:val="•"/>
      <w:lvlJc w:val="left"/>
      <w:pPr>
        <w:ind w:left="7253" w:hanging="241"/>
      </w:pPr>
      <w:rPr>
        <w:rFonts w:hint="default"/>
        <w:lang w:val="zh-CN" w:eastAsia="zh-CN" w:bidi="zh-CN"/>
      </w:rPr>
    </w:lvl>
    <w:lvl w:ilvl="8" w:tentative="0">
      <w:start w:val="0"/>
      <w:numFmt w:val="bullet"/>
      <w:lvlText w:val="•"/>
      <w:lvlJc w:val="left"/>
      <w:pPr>
        <w:ind w:left="8172" w:hanging="241"/>
      </w:pPr>
      <w:rPr>
        <w:rFonts w:hint="default"/>
        <w:lang w:val="zh-CN" w:eastAsia="zh-CN" w:bidi="zh-CN"/>
      </w:rPr>
    </w:lvl>
  </w:abstractNum>
  <w:abstractNum w:abstractNumId="3">
    <w:nsid w:val="9288B902"/>
    <w:multiLevelType w:val="multilevel"/>
    <w:tmpl w:val="9288B902"/>
    <w:lvl w:ilvl="0" w:tentative="0">
      <w:start w:val="1"/>
      <w:numFmt w:val="decimal"/>
      <w:lvlText w:val="（%1）"/>
      <w:lvlJc w:val="left"/>
      <w:pPr>
        <w:ind w:left="100" w:hanging="594"/>
        <w:jc w:val="left"/>
      </w:pPr>
      <w:rPr>
        <w:rFonts w:hint="default" w:ascii="仿宋" w:hAnsi="仿宋" w:eastAsia="仿宋" w:cs="仿宋"/>
        <w:spacing w:val="-5"/>
        <w:w w:val="100"/>
        <w:sz w:val="22"/>
        <w:szCs w:val="22"/>
        <w:lang w:val="zh-CN" w:eastAsia="zh-CN" w:bidi="zh-CN"/>
      </w:rPr>
    </w:lvl>
    <w:lvl w:ilvl="1" w:tentative="0">
      <w:start w:val="0"/>
      <w:numFmt w:val="bullet"/>
      <w:lvlText w:val="•"/>
      <w:lvlJc w:val="left"/>
      <w:pPr>
        <w:ind w:left="1091" w:hanging="594"/>
      </w:pPr>
      <w:rPr>
        <w:rFonts w:hint="default"/>
        <w:lang w:val="zh-CN" w:eastAsia="zh-CN" w:bidi="zh-CN"/>
      </w:rPr>
    </w:lvl>
    <w:lvl w:ilvl="2" w:tentative="0">
      <w:start w:val="0"/>
      <w:numFmt w:val="bullet"/>
      <w:lvlText w:val="•"/>
      <w:lvlJc w:val="left"/>
      <w:pPr>
        <w:ind w:left="2082" w:hanging="594"/>
      </w:pPr>
      <w:rPr>
        <w:rFonts w:hint="default"/>
        <w:lang w:val="zh-CN" w:eastAsia="zh-CN" w:bidi="zh-CN"/>
      </w:rPr>
    </w:lvl>
    <w:lvl w:ilvl="3" w:tentative="0">
      <w:start w:val="0"/>
      <w:numFmt w:val="bullet"/>
      <w:lvlText w:val="•"/>
      <w:lvlJc w:val="left"/>
      <w:pPr>
        <w:ind w:left="3073" w:hanging="594"/>
      </w:pPr>
      <w:rPr>
        <w:rFonts w:hint="default"/>
        <w:lang w:val="zh-CN" w:eastAsia="zh-CN" w:bidi="zh-CN"/>
      </w:rPr>
    </w:lvl>
    <w:lvl w:ilvl="4" w:tentative="0">
      <w:start w:val="0"/>
      <w:numFmt w:val="bullet"/>
      <w:lvlText w:val="•"/>
      <w:lvlJc w:val="left"/>
      <w:pPr>
        <w:ind w:left="4064" w:hanging="594"/>
      </w:pPr>
      <w:rPr>
        <w:rFonts w:hint="default"/>
        <w:lang w:val="zh-CN" w:eastAsia="zh-CN" w:bidi="zh-CN"/>
      </w:rPr>
    </w:lvl>
    <w:lvl w:ilvl="5" w:tentative="0">
      <w:start w:val="0"/>
      <w:numFmt w:val="bullet"/>
      <w:lvlText w:val="•"/>
      <w:lvlJc w:val="left"/>
      <w:pPr>
        <w:ind w:left="5055" w:hanging="594"/>
      </w:pPr>
      <w:rPr>
        <w:rFonts w:hint="default"/>
        <w:lang w:val="zh-CN" w:eastAsia="zh-CN" w:bidi="zh-CN"/>
      </w:rPr>
    </w:lvl>
    <w:lvl w:ilvl="6" w:tentative="0">
      <w:start w:val="0"/>
      <w:numFmt w:val="bullet"/>
      <w:lvlText w:val="•"/>
      <w:lvlJc w:val="left"/>
      <w:pPr>
        <w:ind w:left="6046" w:hanging="594"/>
      </w:pPr>
      <w:rPr>
        <w:rFonts w:hint="default"/>
        <w:lang w:val="zh-CN" w:eastAsia="zh-CN" w:bidi="zh-CN"/>
      </w:rPr>
    </w:lvl>
    <w:lvl w:ilvl="7" w:tentative="0">
      <w:start w:val="0"/>
      <w:numFmt w:val="bullet"/>
      <w:lvlText w:val="•"/>
      <w:lvlJc w:val="left"/>
      <w:pPr>
        <w:ind w:left="7037" w:hanging="594"/>
      </w:pPr>
      <w:rPr>
        <w:rFonts w:hint="default"/>
        <w:lang w:val="zh-CN" w:eastAsia="zh-CN" w:bidi="zh-CN"/>
      </w:rPr>
    </w:lvl>
    <w:lvl w:ilvl="8" w:tentative="0">
      <w:start w:val="0"/>
      <w:numFmt w:val="bullet"/>
      <w:lvlText w:val="•"/>
      <w:lvlJc w:val="left"/>
      <w:pPr>
        <w:ind w:left="8028" w:hanging="594"/>
      </w:pPr>
      <w:rPr>
        <w:rFonts w:hint="default"/>
        <w:lang w:val="zh-CN" w:eastAsia="zh-CN" w:bidi="zh-CN"/>
      </w:rPr>
    </w:lvl>
  </w:abstractNum>
  <w:abstractNum w:abstractNumId="4">
    <w:nsid w:val="9C8AC8EF"/>
    <w:multiLevelType w:val="multilevel"/>
    <w:tmpl w:val="9C8AC8EF"/>
    <w:lvl w:ilvl="0" w:tentative="0">
      <w:start w:val="2"/>
      <w:numFmt w:val="decimal"/>
      <w:lvlText w:val="%1."/>
      <w:lvlJc w:val="left"/>
      <w:pPr>
        <w:ind w:left="821" w:hanging="241"/>
        <w:jc w:val="left"/>
      </w:pPr>
      <w:rPr>
        <w:rFonts w:hint="default" w:ascii="仿宋" w:hAnsi="仿宋" w:eastAsia="仿宋" w:cs="仿宋"/>
        <w:w w:val="100"/>
        <w:sz w:val="22"/>
        <w:szCs w:val="22"/>
        <w:lang w:val="zh-CN" w:eastAsia="zh-CN" w:bidi="zh-CN"/>
      </w:rPr>
    </w:lvl>
    <w:lvl w:ilvl="1" w:tentative="0">
      <w:start w:val="1"/>
      <w:numFmt w:val="decimal"/>
      <w:lvlText w:val="%1.%2"/>
      <w:lvlJc w:val="left"/>
      <w:pPr>
        <w:ind w:left="941" w:hanging="361"/>
        <w:jc w:val="left"/>
      </w:pPr>
      <w:rPr>
        <w:rFonts w:hint="default" w:ascii="仿宋" w:hAnsi="仿宋" w:eastAsia="仿宋" w:cs="仿宋"/>
        <w:w w:val="100"/>
        <w:sz w:val="22"/>
        <w:szCs w:val="22"/>
        <w:lang w:val="zh-CN" w:eastAsia="zh-CN" w:bidi="zh-CN"/>
      </w:rPr>
    </w:lvl>
    <w:lvl w:ilvl="2" w:tentative="0">
      <w:start w:val="0"/>
      <w:numFmt w:val="bullet"/>
      <w:lvlText w:val="•"/>
      <w:lvlJc w:val="left"/>
      <w:pPr>
        <w:ind w:left="1947" w:hanging="361"/>
      </w:pPr>
      <w:rPr>
        <w:rFonts w:hint="default"/>
        <w:lang w:val="zh-CN" w:eastAsia="zh-CN" w:bidi="zh-CN"/>
      </w:rPr>
    </w:lvl>
    <w:lvl w:ilvl="3" w:tentative="0">
      <w:start w:val="0"/>
      <w:numFmt w:val="bullet"/>
      <w:lvlText w:val="•"/>
      <w:lvlJc w:val="left"/>
      <w:pPr>
        <w:ind w:left="2955" w:hanging="361"/>
      </w:pPr>
      <w:rPr>
        <w:rFonts w:hint="default"/>
        <w:lang w:val="zh-CN" w:eastAsia="zh-CN" w:bidi="zh-CN"/>
      </w:rPr>
    </w:lvl>
    <w:lvl w:ilvl="4" w:tentative="0">
      <w:start w:val="0"/>
      <w:numFmt w:val="bullet"/>
      <w:lvlText w:val="•"/>
      <w:lvlJc w:val="left"/>
      <w:pPr>
        <w:ind w:left="3963" w:hanging="361"/>
      </w:pPr>
      <w:rPr>
        <w:rFonts w:hint="default"/>
        <w:lang w:val="zh-CN" w:eastAsia="zh-CN" w:bidi="zh-CN"/>
      </w:rPr>
    </w:lvl>
    <w:lvl w:ilvl="5" w:tentative="0">
      <w:start w:val="0"/>
      <w:numFmt w:val="bullet"/>
      <w:lvlText w:val="•"/>
      <w:lvlJc w:val="left"/>
      <w:pPr>
        <w:ind w:left="4971" w:hanging="361"/>
      </w:pPr>
      <w:rPr>
        <w:rFonts w:hint="default"/>
        <w:lang w:val="zh-CN" w:eastAsia="zh-CN" w:bidi="zh-CN"/>
      </w:rPr>
    </w:lvl>
    <w:lvl w:ilvl="6" w:tentative="0">
      <w:start w:val="0"/>
      <w:numFmt w:val="bullet"/>
      <w:lvlText w:val="•"/>
      <w:lvlJc w:val="left"/>
      <w:pPr>
        <w:ind w:left="5978" w:hanging="361"/>
      </w:pPr>
      <w:rPr>
        <w:rFonts w:hint="default"/>
        <w:lang w:val="zh-CN" w:eastAsia="zh-CN" w:bidi="zh-CN"/>
      </w:rPr>
    </w:lvl>
    <w:lvl w:ilvl="7" w:tentative="0">
      <w:start w:val="0"/>
      <w:numFmt w:val="bullet"/>
      <w:lvlText w:val="•"/>
      <w:lvlJc w:val="left"/>
      <w:pPr>
        <w:ind w:left="6986" w:hanging="361"/>
      </w:pPr>
      <w:rPr>
        <w:rFonts w:hint="default"/>
        <w:lang w:val="zh-CN" w:eastAsia="zh-CN" w:bidi="zh-CN"/>
      </w:rPr>
    </w:lvl>
    <w:lvl w:ilvl="8" w:tentative="0">
      <w:start w:val="0"/>
      <w:numFmt w:val="bullet"/>
      <w:lvlText w:val="•"/>
      <w:lvlJc w:val="left"/>
      <w:pPr>
        <w:ind w:left="7994" w:hanging="361"/>
      </w:pPr>
      <w:rPr>
        <w:rFonts w:hint="default"/>
        <w:lang w:val="zh-CN" w:eastAsia="zh-CN" w:bidi="zh-CN"/>
      </w:rPr>
    </w:lvl>
  </w:abstractNum>
  <w:abstractNum w:abstractNumId="5">
    <w:nsid w:val="B0F1ACD9"/>
    <w:multiLevelType w:val="multilevel"/>
    <w:tmpl w:val="B0F1ACD9"/>
    <w:lvl w:ilvl="0" w:tentative="0">
      <w:start w:val="1"/>
      <w:numFmt w:val="decimal"/>
      <w:lvlText w:val="%1."/>
      <w:lvlJc w:val="left"/>
      <w:pPr>
        <w:ind w:left="811" w:hanging="24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739" w:hanging="241"/>
      </w:pPr>
      <w:rPr>
        <w:rFonts w:hint="default"/>
        <w:lang w:val="zh-CN" w:eastAsia="zh-CN" w:bidi="zh-CN"/>
      </w:rPr>
    </w:lvl>
    <w:lvl w:ilvl="2" w:tentative="0">
      <w:start w:val="0"/>
      <w:numFmt w:val="bullet"/>
      <w:lvlText w:val="•"/>
      <w:lvlJc w:val="left"/>
      <w:pPr>
        <w:ind w:left="2658" w:hanging="241"/>
      </w:pPr>
      <w:rPr>
        <w:rFonts w:hint="default"/>
        <w:lang w:val="zh-CN" w:eastAsia="zh-CN" w:bidi="zh-CN"/>
      </w:rPr>
    </w:lvl>
    <w:lvl w:ilvl="3" w:tentative="0">
      <w:start w:val="0"/>
      <w:numFmt w:val="bullet"/>
      <w:lvlText w:val="•"/>
      <w:lvlJc w:val="left"/>
      <w:pPr>
        <w:ind w:left="3577" w:hanging="241"/>
      </w:pPr>
      <w:rPr>
        <w:rFonts w:hint="default"/>
        <w:lang w:val="zh-CN" w:eastAsia="zh-CN" w:bidi="zh-CN"/>
      </w:rPr>
    </w:lvl>
    <w:lvl w:ilvl="4" w:tentative="0">
      <w:start w:val="0"/>
      <w:numFmt w:val="bullet"/>
      <w:lvlText w:val="•"/>
      <w:lvlJc w:val="left"/>
      <w:pPr>
        <w:ind w:left="4496" w:hanging="241"/>
      </w:pPr>
      <w:rPr>
        <w:rFonts w:hint="default"/>
        <w:lang w:val="zh-CN" w:eastAsia="zh-CN" w:bidi="zh-CN"/>
      </w:rPr>
    </w:lvl>
    <w:lvl w:ilvl="5" w:tentative="0">
      <w:start w:val="0"/>
      <w:numFmt w:val="bullet"/>
      <w:lvlText w:val="•"/>
      <w:lvlJc w:val="left"/>
      <w:pPr>
        <w:ind w:left="5415" w:hanging="241"/>
      </w:pPr>
      <w:rPr>
        <w:rFonts w:hint="default"/>
        <w:lang w:val="zh-CN" w:eastAsia="zh-CN" w:bidi="zh-CN"/>
      </w:rPr>
    </w:lvl>
    <w:lvl w:ilvl="6" w:tentative="0">
      <w:start w:val="0"/>
      <w:numFmt w:val="bullet"/>
      <w:lvlText w:val="•"/>
      <w:lvlJc w:val="left"/>
      <w:pPr>
        <w:ind w:left="6334" w:hanging="241"/>
      </w:pPr>
      <w:rPr>
        <w:rFonts w:hint="default"/>
        <w:lang w:val="zh-CN" w:eastAsia="zh-CN" w:bidi="zh-CN"/>
      </w:rPr>
    </w:lvl>
    <w:lvl w:ilvl="7" w:tentative="0">
      <w:start w:val="0"/>
      <w:numFmt w:val="bullet"/>
      <w:lvlText w:val="•"/>
      <w:lvlJc w:val="left"/>
      <w:pPr>
        <w:ind w:left="7253" w:hanging="241"/>
      </w:pPr>
      <w:rPr>
        <w:rFonts w:hint="default"/>
        <w:lang w:val="zh-CN" w:eastAsia="zh-CN" w:bidi="zh-CN"/>
      </w:rPr>
    </w:lvl>
    <w:lvl w:ilvl="8" w:tentative="0">
      <w:start w:val="0"/>
      <w:numFmt w:val="bullet"/>
      <w:lvlText w:val="•"/>
      <w:lvlJc w:val="left"/>
      <w:pPr>
        <w:ind w:left="8172" w:hanging="241"/>
      </w:pPr>
      <w:rPr>
        <w:rFonts w:hint="default"/>
        <w:lang w:val="zh-CN" w:eastAsia="zh-CN" w:bidi="zh-CN"/>
      </w:rPr>
    </w:lvl>
  </w:abstractNum>
  <w:abstractNum w:abstractNumId="6">
    <w:nsid w:val="B5684EBC"/>
    <w:multiLevelType w:val="singleLevel"/>
    <w:tmpl w:val="B5684EBC"/>
    <w:lvl w:ilvl="0" w:tentative="0">
      <w:start w:val="1"/>
      <w:numFmt w:val="chineseCounting"/>
      <w:suff w:val="nothing"/>
      <w:lvlText w:val="%1、"/>
      <w:lvlJc w:val="left"/>
      <w:rPr>
        <w:rFonts w:hint="eastAsia"/>
      </w:rPr>
    </w:lvl>
  </w:abstractNum>
  <w:abstractNum w:abstractNumId="7">
    <w:nsid w:val="B60C5FEB"/>
    <w:multiLevelType w:val="singleLevel"/>
    <w:tmpl w:val="B60C5FEB"/>
    <w:lvl w:ilvl="0" w:tentative="0">
      <w:start w:val="1"/>
      <w:numFmt w:val="decimal"/>
      <w:lvlText w:val="%1."/>
      <w:lvlJc w:val="left"/>
      <w:pPr>
        <w:tabs>
          <w:tab w:val="left" w:pos="312"/>
        </w:tabs>
      </w:pPr>
    </w:lvl>
  </w:abstractNum>
  <w:abstractNum w:abstractNumId="8">
    <w:nsid w:val="BE923771"/>
    <w:multiLevelType w:val="multilevel"/>
    <w:tmpl w:val="BE923771"/>
    <w:lvl w:ilvl="0" w:tentative="0">
      <w:start w:val="1"/>
      <w:numFmt w:val="decimal"/>
      <w:lvlText w:val="%1."/>
      <w:lvlJc w:val="left"/>
      <w:pPr>
        <w:ind w:left="100" w:hanging="243"/>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091" w:hanging="243"/>
      </w:pPr>
      <w:rPr>
        <w:rFonts w:hint="default"/>
        <w:lang w:val="zh-CN" w:eastAsia="zh-CN" w:bidi="zh-CN"/>
      </w:rPr>
    </w:lvl>
    <w:lvl w:ilvl="2" w:tentative="0">
      <w:start w:val="0"/>
      <w:numFmt w:val="bullet"/>
      <w:lvlText w:val="•"/>
      <w:lvlJc w:val="left"/>
      <w:pPr>
        <w:ind w:left="2082" w:hanging="243"/>
      </w:pPr>
      <w:rPr>
        <w:rFonts w:hint="default"/>
        <w:lang w:val="zh-CN" w:eastAsia="zh-CN" w:bidi="zh-CN"/>
      </w:rPr>
    </w:lvl>
    <w:lvl w:ilvl="3" w:tentative="0">
      <w:start w:val="0"/>
      <w:numFmt w:val="bullet"/>
      <w:lvlText w:val="•"/>
      <w:lvlJc w:val="left"/>
      <w:pPr>
        <w:ind w:left="3073" w:hanging="243"/>
      </w:pPr>
      <w:rPr>
        <w:rFonts w:hint="default"/>
        <w:lang w:val="zh-CN" w:eastAsia="zh-CN" w:bidi="zh-CN"/>
      </w:rPr>
    </w:lvl>
    <w:lvl w:ilvl="4" w:tentative="0">
      <w:start w:val="0"/>
      <w:numFmt w:val="bullet"/>
      <w:lvlText w:val="•"/>
      <w:lvlJc w:val="left"/>
      <w:pPr>
        <w:ind w:left="4064" w:hanging="243"/>
      </w:pPr>
      <w:rPr>
        <w:rFonts w:hint="default"/>
        <w:lang w:val="zh-CN" w:eastAsia="zh-CN" w:bidi="zh-CN"/>
      </w:rPr>
    </w:lvl>
    <w:lvl w:ilvl="5" w:tentative="0">
      <w:start w:val="0"/>
      <w:numFmt w:val="bullet"/>
      <w:lvlText w:val="•"/>
      <w:lvlJc w:val="left"/>
      <w:pPr>
        <w:ind w:left="5055" w:hanging="243"/>
      </w:pPr>
      <w:rPr>
        <w:rFonts w:hint="default"/>
        <w:lang w:val="zh-CN" w:eastAsia="zh-CN" w:bidi="zh-CN"/>
      </w:rPr>
    </w:lvl>
    <w:lvl w:ilvl="6" w:tentative="0">
      <w:start w:val="0"/>
      <w:numFmt w:val="bullet"/>
      <w:lvlText w:val="•"/>
      <w:lvlJc w:val="left"/>
      <w:pPr>
        <w:ind w:left="6046" w:hanging="243"/>
      </w:pPr>
      <w:rPr>
        <w:rFonts w:hint="default"/>
        <w:lang w:val="zh-CN" w:eastAsia="zh-CN" w:bidi="zh-CN"/>
      </w:rPr>
    </w:lvl>
    <w:lvl w:ilvl="7" w:tentative="0">
      <w:start w:val="0"/>
      <w:numFmt w:val="bullet"/>
      <w:lvlText w:val="•"/>
      <w:lvlJc w:val="left"/>
      <w:pPr>
        <w:ind w:left="7037" w:hanging="243"/>
      </w:pPr>
      <w:rPr>
        <w:rFonts w:hint="default"/>
        <w:lang w:val="zh-CN" w:eastAsia="zh-CN" w:bidi="zh-CN"/>
      </w:rPr>
    </w:lvl>
    <w:lvl w:ilvl="8" w:tentative="0">
      <w:start w:val="0"/>
      <w:numFmt w:val="bullet"/>
      <w:lvlText w:val="•"/>
      <w:lvlJc w:val="left"/>
      <w:pPr>
        <w:ind w:left="8028" w:hanging="243"/>
      </w:pPr>
      <w:rPr>
        <w:rFonts w:hint="default"/>
        <w:lang w:val="zh-CN" w:eastAsia="zh-CN" w:bidi="zh-CN"/>
      </w:rPr>
    </w:lvl>
  </w:abstractNum>
  <w:abstractNum w:abstractNumId="9">
    <w:nsid w:val="C5E7E449"/>
    <w:multiLevelType w:val="singleLevel"/>
    <w:tmpl w:val="C5E7E449"/>
    <w:lvl w:ilvl="0" w:tentative="0">
      <w:start w:val="1"/>
      <w:numFmt w:val="chineseCounting"/>
      <w:suff w:val="nothing"/>
      <w:lvlText w:val="（%1）"/>
      <w:lvlJc w:val="left"/>
      <w:pPr>
        <w:ind w:left="630" w:leftChars="0" w:firstLine="0" w:firstLineChars="0"/>
      </w:pPr>
      <w:rPr>
        <w:rFonts w:hint="eastAsia"/>
      </w:rPr>
    </w:lvl>
  </w:abstractNum>
  <w:abstractNum w:abstractNumId="10">
    <w:nsid w:val="C8879AEF"/>
    <w:multiLevelType w:val="multilevel"/>
    <w:tmpl w:val="C8879AEF"/>
    <w:lvl w:ilvl="0" w:tentative="0">
      <w:start w:val="1"/>
      <w:numFmt w:val="decimal"/>
      <w:lvlText w:val="%1."/>
      <w:lvlJc w:val="left"/>
      <w:pPr>
        <w:ind w:left="821" w:hanging="24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739" w:hanging="241"/>
      </w:pPr>
      <w:rPr>
        <w:rFonts w:hint="default"/>
        <w:lang w:val="zh-CN" w:eastAsia="zh-CN" w:bidi="zh-CN"/>
      </w:rPr>
    </w:lvl>
    <w:lvl w:ilvl="2" w:tentative="0">
      <w:start w:val="0"/>
      <w:numFmt w:val="bullet"/>
      <w:lvlText w:val="•"/>
      <w:lvlJc w:val="left"/>
      <w:pPr>
        <w:ind w:left="2658" w:hanging="241"/>
      </w:pPr>
      <w:rPr>
        <w:rFonts w:hint="default"/>
        <w:lang w:val="zh-CN" w:eastAsia="zh-CN" w:bidi="zh-CN"/>
      </w:rPr>
    </w:lvl>
    <w:lvl w:ilvl="3" w:tentative="0">
      <w:start w:val="0"/>
      <w:numFmt w:val="bullet"/>
      <w:lvlText w:val="•"/>
      <w:lvlJc w:val="left"/>
      <w:pPr>
        <w:ind w:left="3577" w:hanging="241"/>
      </w:pPr>
      <w:rPr>
        <w:rFonts w:hint="default"/>
        <w:lang w:val="zh-CN" w:eastAsia="zh-CN" w:bidi="zh-CN"/>
      </w:rPr>
    </w:lvl>
    <w:lvl w:ilvl="4" w:tentative="0">
      <w:start w:val="0"/>
      <w:numFmt w:val="bullet"/>
      <w:lvlText w:val="•"/>
      <w:lvlJc w:val="left"/>
      <w:pPr>
        <w:ind w:left="4496" w:hanging="241"/>
      </w:pPr>
      <w:rPr>
        <w:rFonts w:hint="default"/>
        <w:lang w:val="zh-CN" w:eastAsia="zh-CN" w:bidi="zh-CN"/>
      </w:rPr>
    </w:lvl>
    <w:lvl w:ilvl="5" w:tentative="0">
      <w:start w:val="0"/>
      <w:numFmt w:val="bullet"/>
      <w:lvlText w:val="•"/>
      <w:lvlJc w:val="left"/>
      <w:pPr>
        <w:ind w:left="5415" w:hanging="241"/>
      </w:pPr>
      <w:rPr>
        <w:rFonts w:hint="default"/>
        <w:lang w:val="zh-CN" w:eastAsia="zh-CN" w:bidi="zh-CN"/>
      </w:rPr>
    </w:lvl>
    <w:lvl w:ilvl="6" w:tentative="0">
      <w:start w:val="0"/>
      <w:numFmt w:val="bullet"/>
      <w:lvlText w:val="•"/>
      <w:lvlJc w:val="left"/>
      <w:pPr>
        <w:ind w:left="6334" w:hanging="241"/>
      </w:pPr>
      <w:rPr>
        <w:rFonts w:hint="default"/>
        <w:lang w:val="zh-CN" w:eastAsia="zh-CN" w:bidi="zh-CN"/>
      </w:rPr>
    </w:lvl>
    <w:lvl w:ilvl="7" w:tentative="0">
      <w:start w:val="0"/>
      <w:numFmt w:val="bullet"/>
      <w:lvlText w:val="•"/>
      <w:lvlJc w:val="left"/>
      <w:pPr>
        <w:ind w:left="7253" w:hanging="241"/>
      </w:pPr>
      <w:rPr>
        <w:rFonts w:hint="default"/>
        <w:lang w:val="zh-CN" w:eastAsia="zh-CN" w:bidi="zh-CN"/>
      </w:rPr>
    </w:lvl>
    <w:lvl w:ilvl="8" w:tentative="0">
      <w:start w:val="0"/>
      <w:numFmt w:val="bullet"/>
      <w:lvlText w:val="•"/>
      <w:lvlJc w:val="left"/>
      <w:pPr>
        <w:ind w:left="8172" w:hanging="241"/>
      </w:pPr>
      <w:rPr>
        <w:rFonts w:hint="default"/>
        <w:lang w:val="zh-CN" w:eastAsia="zh-CN" w:bidi="zh-CN"/>
      </w:rPr>
    </w:lvl>
  </w:abstractNum>
  <w:abstractNum w:abstractNumId="11">
    <w:nsid w:val="CF092B84"/>
    <w:multiLevelType w:val="multilevel"/>
    <w:tmpl w:val="CF092B84"/>
    <w:lvl w:ilvl="0" w:tentative="0">
      <w:start w:val="1"/>
      <w:numFmt w:val="decimal"/>
      <w:lvlText w:val="%1."/>
      <w:lvlJc w:val="left"/>
      <w:pPr>
        <w:ind w:left="546" w:hanging="237"/>
        <w:jc w:val="left"/>
      </w:pPr>
      <w:rPr>
        <w:rFonts w:hint="default" w:ascii="仿宋" w:hAnsi="仿宋" w:eastAsia="仿宋" w:cs="仿宋"/>
        <w:spacing w:val="-12"/>
        <w:w w:val="100"/>
        <w:sz w:val="22"/>
        <w:szCs w:val="22"/>
        <w:lang w:val="zh-CN" w:eastAsia="zh-CN" w:bidi="zh-CN"/>
      </w:rPr>
    </w:lvl>
    <w:lvl w:ilvl="1" w:tentative="0">
      <w:start w:val="1"/>
      <w:numFmt w:val="decimal"/>
      <w:lvlText w:val="%2."/>
      <w:lvlJc w:val="left"/>
      <w:pPr>
        <w:ind w:left="102" w:hanging="360"/>
        <w:jc w:val="left"/>
      </w:pPr>
      <w:rPr>
        <w:rFonts w:hint="default" w:ascii="仿宋" w:hAnsi="仿宋" w:eastAsia="仿宋" w:cs="仿宋"/>
        <w:spacing w:val="-19"/>
        <w:w w:val="100"/>
        <w:sz w:val="24"/>
        <w:szCs w:val="24"/>
        <w:lang w:val="zh-CN" w:eastAsia="zh-CN" w:bidi="zh-CN"/>
      </w:rPr>
    </w:lvl>
    <w:lvl w:ilvl="2" w:tentative="0">
      <w:start w:val="0"/>
      <w:numFmt w:val="bullet"/>
      <w:lvlText w:val="•"/>
      <w:lvlJc w:val="left"/>
      <w:pPr>
        <w:ind w:left="1592" w:hanging="360"/>
      </w:pPr>
      <w:rPr>
        <w:rFonts w:hint="default"/>
        <w:lang w:val="zh-CN" w:eastAsia="zh-CN" w:bidi="zh-CN"/>
      </w:rPr>
    </w:lvl>
    <w:lvl w:ilvl="3" w:tentative="0">
      <w:start w:val="0"/>
      <w:numFmt w:val="bullet"/>
      <w:lvlText w:val="•"/>
      <w:lvlJc w:val="left"/>
      <w:pPr>
        <w:ind w:left="2644" w:hanging="360"/>
      </w:pPr>
      <w:rPr>
        <w:rFonts w:hint="default"/>
        <w:lang w:val="zh-CN" w:eastAsia="zh-CN" w:bidi="zh-CN"/>
      </w:rPr>
    </w:lvl>
    <w:lvl w:ilvl="4" w:tentative="0">
      <w:start w:val="0"/>
      <w:numFmt w:val="bullet"/>
      <w:lvlText w:val="•"/>
      <w:lvlJc w:val="left"/>
      <w:pPr>
        <w:ind w:left="3696" w:hanging="360"/>
      </w:pPr>
      <w:rPr>
        <w:rFonts w:hint="default"/>
        <w:lang w:val="zh-CN" w:eastAsia="zh-CN" w:bidi="zh-CN"/>
      </w:rPr>
    </w:lvl>
    <w:lvl w:ilvl="5" w:tentative="0">
      <w:start w:val="0"/>
      <w:numFmt w:val="bullet"/>
      <w:lvlText w:val="•"/>
      <w:lvlJc w:val="left"/>
      <w:pPr>
        <w:ind w:left="4748" w:hanging="360"/>
      </w:pPr>
      <w:rPr>
        <w:rFonts w:hint="default"/>
        <w:lang w:val="zh-CN" w:eastAsia="zh-CN" w:bidi="zh-CN"/>
      </w:rPr>
    </w:lvl>
    <w:lvl w:ilvl="6" w:tentative="0">
      <w:start w:val="0"/>
      <w:numFmt w:val="bullet"/>
      <w:lvlText w:val="•"/>
      <w:lvlJc w:val="left"/>
      <w:pPr>
        <w:ind w:left="5801" w:hanging="360"/>
      </w:pPr>
      <w:rPr>
        <w:rFonts w:hint="default"/>
        <w:lang w:val="zh-CN" w:eastAsia="zh-CN" w:bidi="zh-CN"/>
      </w:rPr>
    </w:lvl>
    <w:lvl w:ilvl="7" w:tentative="0">
      <w:start w:val="0"/>
      <w:numFmt w:val="bullet"/>
      <w:lvlText w:val="•"/>
      <w:lvlJc w:val="left"/>
      <w:pPr>
        <w:ind w:left="6853" w:hanging="360"/>
      </w:pPr>
      <w:rPr>
        <w:rFonts w:hint="default"/>
        <w:lang w:val="zh-CN" w:eastAsia="zh-CN" w:bidi="zh-CN"/>
      </w:rPr>
    </w:lvl>
    <w:lvl w:ilvl="8" w:tentative="0">
      <w:start w:val="0"/>
      <w:numFmt w:val="bullet"/>
      <w:lvlText w:val="•"/>
      <w:lvlJc w:val="left"/>
      <w:pPr>
        <w:ind w:left="7905" w:hanging="360"/>
      </w:pPr>
      <w:rPr>
        <w:rFonts w:hint="default"/>
        <w:lang w:val="zh-CN" w:eastAsia="zh-CN" w:bidi="zh-CN"/>
      </w:rPr>
    </w:lvl>
  </w:abstractNum>
  <w:abstractNum w:abstractNumId="12">
    <w:nsid w:val="D7F9FE59"/>
    <w:multiLevelType w:val="multilevel"/>
    <w:tmpl w:val="D7F9FE59"/>
    <w:lvl w:ilvl="0" w:tentative="0">
      <w:start w:val="1"/>
      <w:numFmt w:val="decimal"/>
      <w:lvlText w:val="%1"/>
      <w:lvlJc w:val="left"/>
      <w:pPr>
        <w:ind w:left="100" w:hanging="361"/>
        <w:jc w:val="left"/>
      </w:pPr>
      <w:rPr>
        <w:rFonts w:hint="default"/>
        <w:lang w:val="zh-CN" w:eastAsia="zh-CN" w:bidi="zh-CN"/>
      </w:rPr>
    </w:lvl>
    <w:lvl w:ilvl="1" w:tentative="0">
      <w:start w:val="1"/>
      <w:numFmt w:val="decimal"/>
      <w:lvlText w:val="%1.%2"/>
      <w:lvlJc w:val="left"/>
      <w:pPr>
        <w:ind w:left="100" w:hanging="361"/>
        <w:jc w:val="left"/>
      </w:pPr>
      <w:rPr>
        <w:rFonts w:hint="default" w:ascii="仿宋" w:hAnsi="仿宋" w:eastAsia="仿宋" w:cs="仿宋"/>
        <w:spacing w:val="-19"/>
        <w:w w:val="100"/>
        <w:sz w:val="22"/>
        <w:szCs w:val="22"/>
        <w:lang w:val="zh-CN" w:eastAsia="zh-CN" w:bidi="zh-CN"/>
      </w:rPr>
    </w:lvl>
    <w:lvl w:ilvl="2" w:tentative="0">
      <w:start w:val="0"/>
      <w:numFmt w:val="bullet"/>
      <w:lvlText w:val="•"/>
      <w:lvlJc w:val="left"/>
      <w:pPr>
        <w:ind w:left="2082" w:hanging="361"/>
      </w:pPr>
      <w:rPr>
        <w:rFonts w:hint="default"/>
        <w:lang w:val="zh-CN" w:eastAsia="zh-CN" w:bidi="zh-CN"/>
      </w:rPr>
    </w:lvl>
    <w:lvl w:ilvl="3" w:tentative="0">
      <w:start w:val="0"/>
      <w:numFmt w:val="bullet"/>
      <w:lvlText w:val="•"/>
      <w:lvlJc w:val="left"/>
      <w:pPr>
        <w:ind w:left="3073" w:hanging="361"/>
      </w:pPr>
      <w:rPr>
        <w:rFonts w:hint="default"/>
        <w:lang w:val="zh-CN" w:eastAsia="zh-CN" w:bidi="zh-CN"/>
      </w:rPr>
    </w:lvl>
    <w:lvl w:ilvl="4" w:tentative="0">
      <w:start w:val="0"/>
      <w:numFmt w:val="bullet"/>
      <w:lvlText w:val="•"/>
      <w:lvlJc w:val="left"/>
      <w:pPr>
        <w:ind w:left="4064" w:hanging="361"/>
      </w:pPr>
      <w:rPr>
        <w:rFonts w:hint="default"/>
        <w:lang w:val="zh-CN" w:eastAsia="zh-CN" w:bidi="zh-CN"/>
      </w:rPr>
    </w:lvl>
    <w:lvl w:ilvl="5" w:tentative="0">
      <w:start w:val="0"/>
      <w:numFmt w:val="bullet"/>
      <w:lvlText w:val="•"/>
      <w:lvlJc w:val="left"/>
      <w:pPr>
        <w:ind w:left="5055" w:hanging="361"/>
      </w:pPr>
      <w:rPr>
        <w:rFonts w:hint="default"/>
        <w:lang w:val="zh-CN" w:eastAsia="zh-CN" w:bidi="zh-CN"/>
      </w:rPr>
    </w:lvl>
    <w:lvl w:ilvl="6" w:tentative="0">
      <w:start w:val="0"/>
      <w:numFmt w:val="bullet"/>
      <w:lvlText w:val="•"/>
      <w:lvlJc w:val="left"/>
      <w:pPr>
        <w:ind w:left="6046" w:hanging="361"/>
      </w:pPr>
      <w:rPr>
        <w:rFonts w:hint="default"/>
        <w:lang w:val="zh-CN" w:eastAsia="zh-CN" w:bidi="zh-CN"/>
      </w:rPr>
    </w:lvl>
    <w:lvl w:ilvl="7" w:tentative="0">
      <w:start w:val="0"/>
      <w:numFmt w:val="bullet"/>
      <w:lvlText w:val="•"/>
      <w:lvlJc w:val="left"/>
      <w:pPr>
        <w:ind w:left="7037" w:hanging="361"/>
      </w:pPr>
      <w:rPr>
        <w:rFonts w:hint="default"/>
        <w:lang w:val="zh-CN" w:eastAsia="zh-CN" w:bidi="zh-CN"/>
      </w:rPr>
    </w:lvl>
    <w:lvl w:ilvl="8" w:tentative="0">
      <w:start w:val="0"/>
      <w:numFmt w:val="bullet"/>
      <w:lvlText w:val="•"/>
      <w:lvlJc w:val="left"/>
      <w:pPr>
        <w:ind w:left="8028" w:hanging="361"/>
      </w:pPr>
      <w:rPr>
        <w:rFonts w:hint="default"/>
        <w:lang w:val="zh-CN" w:eastAsia="zh-CN" w:bidi="zh-CN"/>
      </w:rPr>
    </w:lvl>
  </w:abstractNum>
  <w:abstractNum w:abstractNumId="13">
    <w:nsid w:val="DCBA6B53"/>
    <w:multiLevelType w:val="multilevel"/>
    <w:tmpl w:val="DCBA6B53"/>
    <w:lvl w:ilvl="0" w:tentative="0">
      <w:start w:val="1"/>
      <w:numFmt w:val="decimal"/>
      <w:lvlText w:val="%1."/>
      <w:lvlJc w:val="left"/>
      <w:pPr>
        <w:ind w:left="100" w:hanging="243"/>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091" w:hanging="243"/>
      </w:pPr>
      <w:rPr>
        <w:rFonts w:hint="default"/>
        <w:lang w:val="zh-CN" w:eastAsia="zh-CN" w:bidi="zh-CN"/>
      </w:rPr>
    </w:lvl>
    <w:lvl w:ilvl="2" w:tentative="0">
      <w:start w:val="0"/>
      <w:numFmt w:val="bullet"/>
      <w:lvlText w:val="•"/>
      <w:lvlJc w:val="left"/>
      <w:pPr>
        <w:ind w:left="2082" w:hanging="243"/>
      </w:pPr>
      <w:rPr>
        <w:rFonts w:hint="default"/>
        <w:lang w:val="zh-CN" w:eastAsia="zh-CN" w:bidi="zh-CN"/>
      </w:rPr>
    </w:lvl>
    <w:lvl w:ilvl="3" w:tentative="0">
      <w:start w:val="0"/>
      <w:numFmt w:val="bullet"/>
      <w:lvlText w:val="•"/>
      <w:lvlJc w:val="left"/>
      <w:pPr>
        <w:ind w:left="3073" w:hanging="243"/>
      </w:pPr>
      <w:rPr>
        <w:rFonts w:hint="default"/>
        <w:lang w:val="zh-CN" w:eastAsia="zh-CN" w:bidi="zh-CN"/>
      </w:rPr>
    </w:lvl>
    <w:lvl w:ilvl="4" w:tentative="0">
      <w:start w:val="0"/>
      <w:numFmt w:val="bullet"/>
      <w:lvlText w:val="•"/>
      <w:lvlJc w:val="left"/>
      <w:pPr>
        <w:ind w:left="4064" w:hanging="243"/>
      </w:pPr>
      <w:rPr>
        <w:rFonts w:hint="default"/>
        <w:lang w:val="zh-CN" w:eastAsia="zh-CN" w:bidi="zh-CN"/>
      </w:rPr>
    </w:lvl>
    <w:lvl w:ilvl="5" w:tentative="0">
      <w:start w:val="0"/>
      <w:numFmt w:val="bullet"/>
      <w:lvlText w:val="•"/>
      <w:lvlJc w:val="left"/>
      <w:pPr>
        <w:ind w:left="5055" w:hanging="243"/>
      </w:pPr>
      <w:rPr>
        <w:rFonts w:hint="default"/>
        <w:lang w:val="zh-CN" w:eastAsia="zh-CN" w:bidi="zh-CN"/>
      </w:rPr>
    </w:lvl>
    <w:lvl w:ilvl="6" w:tentative="0">
      <w:start w:val="0"/>
      <w:numFmt w:val="bullet"/>
      <w:lvlText w:val="•"/>
      <w:lvlJc w:val="left"/>
      <w:pPr>
        <w:ind w:left="6046" w:hanging="243"/>
      </w:pPr>
      <w:rPr>
        <w:rFonts w:hint="default"/>
        <w:lang w:val="zh-CN" w:eastAsia="zh-CN" w:bidi="zh-CN"/>
      </w:rPr>
    </w:lvl>
    <w:lvl w:ilvl="7" w:tentative="0">
      <w:start w:val="0"/>
      <w:numFmt w:val="bullet"/>
      <w:lvlText w:val="•"/>
      <w:lvlJc w:val="left"/>
      <w:pPr>
        <w:ind w:left="7037" w:hanging="243"/>
      </w:pPr>
      <w:rPr>
        <w:rFonts w:hint="default"/>
        <w:lang w:val="zh-CN" w:eastAsia="zh-CN" w:bidi="zh-CN"/>
      </w:rPr>
    </w:lvl>
    <w:lvl w:ilvl="8" w:tentative="0">
      <w:start w:val="0"/>
      <w:numFmt w:val="bullet"/>
      <w:lvlText w:val="•"/>
      <w:lvlJc w:val="left"/>
      <w:pPr>
        <w:ind w:left="8028" w:hanging="243"/>
      </w:pPr>
      <w:rPr>
        <w:rFonts w:hint="default"/>
        <w:lang w:val="zh-CN" w:eastAsia="zh-CN" w:bidi="zh-CN"/>
      </w:rPr>
    </w:lvl>
  </w:abstractNum>
  <w:abstractNum w:abstractNumId="14">
    <w:nsid w:val="F05F5199"/>
    <w:multiLevelType w:val="singleLevel"/>
    <w:tmpl w:val="F05F5199"/>
    <w:lvl w:ilvl="0" w:tentative="0">
      <w:start w:val="3"/>
      <w:numFmt w:val="chineseCounting"/>
      <w:suff w:val="nothing"/>
      <w:lvlText w:val="%1、"/>
      <w:lvlJc w:val="left"/>
      <w:rPr>
        <w:rFonts w:hint="eastAsia"/>
      </w:rPr>
    </w:lvl>
  </w:abstractNum>
  <w:abstractNum w:abstractNumId="15">
    <w:nsid w:val="FE4075E1"/>
    <w:multiLevelType w:val="singleLevel"/>
    <w:tmpl w:val="FE4075E1"/>
    <w:lvl w:ilvl="0" w:tentative="0">
      <w:start w:val="5"/>
      <w:numFmt w:val="chineseCounting"/>
      <w:suff w:val="nothing"/>
      <w:lvlText w:val="（%1）"/>
      <w:lvlJc w:val="left"/>
      <w:rPr>
        <w:rFonts w:hint="eastAsia"/>
      </w:rPr>
    </w:lvl>
  </w:abstractNum>
  <w:abstractNum w:abstractNumId="16">
    <w:nsid w:val="0053208E"/>
    <w:multiLevelType w:val="multilevel"/>
    <w:tmpl w:val="0053208E"/>
    <w:lvl w:ilvl="0" w:tentative="0">
      <w:start w:val="1"/>
      <w:numFmt w:val="decimal"/>
      <w:lvlText w:val="%1."/>
      <w:lvlJc w:val="left"/>
      <w:pPr>
        <w:ind w:left="338" w:hanging="237"/>
        <w:jc w:val="left"/>
      </w:pPr>
      <w:rPr>
        <w:rFonts w:hint="default" w:ascii="仿宋" w:hAnsi="仿宋" w:eastAsia="仿宋" w:cs="仿宋"/>
        <w:spacing w:val="-12"/>
        <w:w w:val="100"/>
        <w:sz w:val="22"/>
        <w:szCs w:val="22"/>
        <w:lang w:val="zh-CN" w:eastAsia="zh-CN" w:bidi="zh-CN"/>
      </w:rPr>
    </w:lvl>
    <w:lvl w:ilvl="1" w:tentative="0">
      <w:start w:val="0"/>
      <w:numFmt w:val="bullet"/>
      <w:lvlText w:val="•"/>
      <w:lvlJc w:val="left"/>
      <w:pPr>
        <w:ind w:left="1307" w:hanging="237"/>
      </w:pPr>
      <w:rPr>
        <w:rFonts w:hint="default"/>
        <w:lang w:val="zh-CN" w:eastAsia="zh-CN" w:bidi="zh-CN"/>
      </w:rPr>
    </w:lvl>
    <w:lvl w:ilvl="2" w:tentative="0">
      <w:start w:val="0"/>
      <w:numFmt w:val="bullet"/>
      <w:lvlText w:val="•"/>
      <w:lvlJc w:val="left"/>
      <w:pPr>
        <w:ind w:left="2274" w:hanging="237"/>
      </w:pPr>
      <w:rPr>
        <w:rFonts w:hint="default"/>
        <w:lang w:val="zh-CN" w:eastAsia="zh-CN" w:bidi="zh-CN"/>
      </w:rPr>
    </w:lvl>
    <w:lvl w:ilvl="3" w:tentative="0">
      <w:start w:val="0"/>
      <w:numFmt w:val="bullet"/>
      <w:lvlText w:val="•"/>
      <w:lvlJc w:val="left"/>
      <w:pPr>
        <w:ind w:left="3241" w:hanging="237"/>
      </w:pPr>
      <w:rPr>
        <w:rFonts w:hint="default"/>
        <w:lang w:val="zh-CN" w:eastAsia="zh-CN" w:bidi="zh-CN"/>
      </w:rPr>
    </w:lvl>
    <w:lvl w:ilvl="4" w:tentative="0">
      <w:start w:val="0"/>
      <w:numFmt w:val="bullet"/>
      <w:lvlText w:val="•"/>
      <w:lvlJc w:val="left"/>
      <w:pPr>
        <w:ind w:left="4208" w:hanging="237"/>
      </w:pPr>
      <w:rPr>
        <w:rFonts w:hint="default"/>
        <w:lang w:val="zh-CN" w:eastAsia="zh-CN" w:bidi="zh-CN"/>
      </w:rPr>
    </w:lvl>
    <w:lvl w:ilvl="5" w:tentative="0">
      <w:start w:val="0"/>
      <w:numFmt w:val="bullet"/>
      <w:lvlText w:val="•"/>
      <w:lvlJc w:val="left"/>
      <w:pPr>
        <w:ind w:left="5175" w:hanging="237"/>
      </w:pPr>
      <w:rPr>
        <w:rFonts w:hint="default"/>
        <w:lang w:val="zh-CN" w:eastAsia="zh-CN" w:bidi="zh-CN"/>
      </w:rPr>
    </w:lvl>
    <w:lvl w:ilvl="6" w:tentative="0">
      <w:start w:val="0"/>
      <w:numFmt w:val="bullet"/>
      <w:lvlText w:val="•"/>
      <w:lvlJc w:val="left"/>
      <w:pPr>
        <w:ind w:left="6142" w:hanging="237"/>
      </w:pPr>
      <w:rPr>
        <w:rFonts w:hint="default"/>
        <w:lang w:val="zh-CN" w:eastAsia="zh-CN" w:bidi="zh-CN"/>
      </w:rPr>
    </w:lvl>
    <w:lvl w:ilvl="7" w:tentative="0">
      <w:start w:val="0"/>
      <w:numFmt w:val="bullet"/>
      <w:lvlText w:val="•"/>
      <w:lvlJc w:val="left"/>
      <w:pPr>
        <w:ind w:left="7109" w:hanging="237"/>
      </w:pPr>
      <w:rPr>
        <w:rFonts w:hint="default"/>
        <w:lang w:val="zh-CN" w:eastAsia="zh-CN" w:bidi="zh-CN"/>
      </w:rPr>
    </w:lvl>
    <w:lvl w:ilvl="8" w:tentative="0">
      <w:start w:val="0"/>
      <w:numFmt w:val="bullet"/>
      <w:lvlText w:val="•"/>
      <w:lvlJc w:val="left"/>
      <w:pPr>
        <w:ind w:left="8076" w:hanging="237"/>
      </w:pPr>
      <w:rPr>
        <w:rFonts w:hint="default"/>
        <w:lang w:val="zh-CN" w:eastAsia="zh-CN" w:bidi="zh-CN"/>
      </w:rPr>
    </w:lvl>
  </w:abstractNum>
  <w:abstractNum w:abstractNumId="17">
    <w:nsid w:val="0248C179"/>
    <w:multiLevelType w:val="multilevel"/>
    <w:tmpl w:val="0248C179"/>
    <w:lvl w:ilvl="0" w:tentative="0">
      <w:start w:val="2"/>
      <w:numFmt w:val="decimal"/>
      <w:lvlText w:val="%1"/>
      <w:lvlJc w:val="left"/>
      <w:pPr>
        <w:ind w:left="100" w:hanging="361"/>
        <w:jc w:val="left"/>
      </w:pPr>
      <w:rPr>
        <w:rFonts w:hint="default"/>
        <w:lang w:val="zh-CN" w:eastAsia="zh-CN" w:bidi="zh-CN"/>
      </w:rPr>
    </w:lvl>
    <w:lvl w:ilvl="1" w:tentative="0">
      <w:start w:val="1"/>
      <w:numFmt w:val="decimal"/>
      <w:lvlText w:val="%1.%2"/>
      <w:lvlJc w:val="left"/>
      <w:pPr>
        <w:ind w:left="100" w:hanging="361"/>
        <w:jc w:val="left"/>
      </w:pPr>
      <w:rPr>
        <w:rFonts w:hint="default" w:ascii="仿宋" w:hAnsi="仿宋" w:eastAsia="仿宋" w:cs="仿宋"/>
        <w:spacing w:val="-3"/>
        <w:w w:val="100"/>
        <w:sz w:val="22"/>
        <w:szCs w:val="22"/>
        <w:lang w:val="zh-CN" w:eastAsia="zh-CN" w:bidi="zh-CN"/>
      </w:rPr>
    </w:lvl>
    <w:lvl w:ilvl="2" w:tentative="0">
      <w:start w:val="0"/>
      <w:numFmt w:val="bullet"/>
      <w:lvlText w:val="•"/>
      <w:lvlJc w:val="left"/>
      <w:pPr>
        <w:ind w:left="2082" w:hanging="361"/>
      </w:pPr>
      <w:rPr>
        <w:rFonts w:hint="default"/>
        <w:lang w:val="zh-CN" w:eastAsia="zh-CN" w:bidi="zh-CN"/>
      </w:rPr>
    </w:lvl>
    <w:lvl w:ilvl="3" w:tentative="0">
      <w:start w:val="0"/>
      <w:numFmt w:val="bullet"/>
      <w:lvlText w:val="•"/>
      <w:lvlJc w:val="left"/>
      <w:pPr>
        <w:ind w:left="3073" w:hanging="361"/>
      </w:pPr>
      <w:rPr>
        <w:rFonts w:hint="default"/>
        <w:lang w:val="zh-CN" w:eastAsia="zh-CN" w:bidi="zh-CN"/>
      </w:rPr>
    </w:lvl>
    <w:lvl w:ilvl="4" w:tentative="0">
      <w:start w:val="0"/>
      <w:numFmt w:val="bullet"/>
      <w:lvlText w:val="•"/>
      <w:lvlJc w:val="left"/>
      <w:pPr>
        <w:ind w:left="4064" w:hanging="361"/>
      </w:pPr>
      <w:rPr>
        <w:rFonts w:hint="default"/>
        <w:lang w:val="zh-CN" w:eastAsia="zh-CN" w:bidi="zh-CN"/>
      </w:rPr>
    </w:lvl>
    <w:lvl w:ilvl="5" w:tentative="0">
      <w:start w:val="0"/>
      <w:numFmt w:val="bullet"/>
      <w:lvlText w:val="•"/>
      <w:lvlJc w:val="left"/>
      <w:pPr>
        <w:ind w:left="5055" w:hanging="361"/>
      </w:pPr>
      <w:rPr>
        <w:rFonts w:hint="default"/>
        <w:lang w:val="zh-CN" w:eastAsia="zh-CN" w:bidi="zh-CN"/>
      </w:rPr>
    </w:lvl>
    <w:lvl w:ilvl="6" w:tentative="0">
      <w:start w:val="0"/>
      <w:numFmt w:val="bullet"/>
      <w:lvlText w:val="•"/>
      <w:lvlJc w:val="left"/>
      <w:pPr>
        <w:ind w:left="6046" w:hanging="361"/>
      </w:pPr>
      <w:rPr>
        <w:rFonts w:hint="default"/>
        <w:lang w:val="zh-CN" w:eastAsia="zh-CN" w:bidi="zh-CN"/>
      </w:rPr>
    </w:lvl>
    <w:lvl w:ilvl="7" w:tentative="0">
      <w:start w:val="0"/>
      <w:numFmt w:val="bullet"/>
      <w:lvlText w:val="•"/>
      <w:lvlJc w:val="left"/>
      <w:pPr>
        <w:ind w:left="7037" w:hanging="361"/>
      </w:pPr>
      <w:rPr>
        <w:rFonts w:hint="default"/>
        <w:lang w:val="zh-CN" w:eastAsia="zh-CN" w:bidi="zh-CN"/>
      </w:rPr>
    </w:lvl>
    <w:lvl w:ilvl="8" w:tentative="0">
      <w:start w:val="0"/>
      <w:numFmt w:val="bullet"/>
      <w:lvlText w:val="•"/>
      <w:lvlJc w:val="left"/>
      <w:pPr>
        <w:ind w:left="8028" w:hanging="361"/>
      </w:pPr>
      <w:rPr>
        <w:rFonts w:hint="default"/>
        <w:lang w:val="zh-CN" w:eastAsia="zh-CN" w:bidi="zh-CN"/>
      </w:rPr>
    </w:lvl>
  </w:abstractNum>
  <w:abstractNum w:abstractNumId="18">
    <w:nsid w:val="03D62ECE"/>
    <w:multiLevelType w:val="multilevel"/>
    <w:tmpl w:val="03D62ECE"/>
    <w:lvl w:ilvl="0" w:tentative="0">
      <w:start w:val="1"/>
      <w:numFmt w:val="decimal"/>
      <w:lvlText w:val="%1）"/>
      <w:lvlJc w:val="left"/>
      <w:pPr>
        <w:ind w:left="102" w:hanging="380"/>
        <w:jc w:val="left"/>
      </w:pPr>
      <w:rPr>
        <w:rFonts w:hint="default" w:ascii="仿宋" w:hAnsi="仿宋" w:eastAsia="仿宋" w:cs="仿宋"/>
        <w:spacing w:val="9"/>
        <w:w w:val="100"/>
        <w:sz w:val="22"/>
        <w:szCs w:val="22"/>
        <w:lang w:val="zh-CN" w:eastAsia="zh-CN" w:bidi="zh-CN"/>
      </w:rPr>
    </w:lvl>
    <w:lvl w:ilvl="1" w:tentative="0">
      <w:start w:val="1"/>
      <w:numFmt w:val="decimal"/>
      <w:lvlText w:val="%2."/>
      <w:lvlJc w:val="left"/>
      <w:pPr>
        <w:ind w:left="392" w:hanging="243"/>
        <w:jc w:val="left"/>
      </w:pPr>
      <w:rPr>
        <w:rFonts w:hint="default" w:ascii="宋体" w:hAnsi="宋体" w:eastAsia="宋体" w:cs="宋体"/>
        <w:spacing w:val="-1"/>
        <w:w w:val="100"/>
        <w:sz w:val="22"/>
        <w:szCs w:val="22"/>
        <w:lang w:val="zh-CN" w:eastAsia="zh-CN" w:bidi="zh-CN"/>
      </w:rPr>
    </w:lvl>
    <w:lvl w:ilvl="2" w:tentative="0">
      <w:start w:val="0"/>
      <w:numFmt w:val="bullet"/>
      <w:lvlText w:val="•"/>
      <w:lvlJc w:val="left"/>
      <w:pPr>
        <w:ind w:left="1467" w:hanging="243"/>
      </w:pPr>
      <w:rPr>
        <w:rFonts w:hint="default"/>
        <w:lang w:val="zh-CN" w:eastAsia="zh-CN" w:bidi="zh-CN"/>
      </w:rPr>
    </w:lvl>
    <w:lvl w:ilvl="3" w:tentative="0">
      <w:start w:val="0"/>
      <w:numFmt w:val="bullet"/>
      <w:lvlText w:val="•"/>
      <w:lvlJc w:val="left"/>
      <w:pPr>
        <w:ind w:left="2535" w:hanging="243"/>
      </w:pPr>
      <w:rPr>
        <w:rFonts w:hint="default"/>
        <w:lang w:val="zh-CN" w:eastAsia="zh-CN" w:bidi="zh-CN"/>
      </w:rPr>
    </w:lvl>
    <w:lvl w:ilvl="4" w:tentative="0">
      <w:start w:val="0"/>
      <w:numFmt w:val="bullet"/>
      <w:lvlText w:val="•"/>
      <w:lvlJc w:val="left"/>
      <w:pPr>
        <w:ind w:left="3603" w:hanging="243"/>
      </w:pPr>
      <w:rPr>
        <w:rFonts w:hint="default"/>
        <w:lang w:val="zh-CN" w:eastAsia="zh-CN" w:bidi="zh-CN"/>
      </w:rPr>
    </w:lvl>
    <w:lvl w:ilvl="5" w:tentative="0">
      <w:start w:val="0"/>
      <w:numFmt w:val="bullet"/>
      <w:lvlText w:val="•"/>
      <w:lvlJc w:val="left"/>
      <w:pPr>
        <w:ind w:left="4671" w:hanging="243"/>
      </w:pPr>
      <w:rPr>
        <w:rFonts w:hint="default"/>
        <w:lang w:val="zh-CN" w:eastAsia="zh-CN" w:bidi="zh-CN"/>
      </w:rPr>
    </w:lvl>
    <w:lvl w:ilvl="6" w:tentative="0">
      <w:start w:val="0"/>
      <w:numFmt w:val="bullet"/>
      <w:lvlText w:val="•"/>
      <w:lvlJc w:val="left"/>
      <w:pPr>
        <w:ind w:left="5738" w:hanging="243"/>
      </w:pPr>
      <w:rPr>
        <w:rFonts w:hint="default"/>
        <w:lang w:val="zh-CN" w:eastAsia="zh-CN" w:bidi="zh-CN"/>
      </w:rPr>
    </w:lvl>
    <w:lvl w:ilvl="7" w:tentative="0">
      <w:start w:val="0"/>
      <w:numFmt w:val="bullet"/>
      <w:lvlText w:val="•"/>
      <w:lvlJc w:val="left"/>
      <w:pPr>
        <w:ind w:left="6806" w:hanging="243"/>
      </w:pPr>
      <w:rPr>
        <w:rFonts w:hint="default"/>
        <w:lang w:val="zh-CN" w:eastAsia="zh-CN" w:bidi="zh-CN"/>
      </w:rPr>
    </w:lvl>
    <w:lvl w:ilvl="8" w:tentative="0">
      <w:start w:val="0"/>
      <w:numFmt w:val="bullet"/>
      <w:lvlText w:val="•"/>
      <w:lvlJc w:val="left"/>
      <w:pPr>
        <w:ind w:left="7874" w:hanging="243"/>
      </w:pPr>
      <w:rPr>
        <w:rFonts w:hint="default"/>
        <w:lang w:val="zh-CN" w:eastAsia="zh-CN" w:bidi="zh-CN"/>
      </w:rPr>
    </w:lvl>
  </w:abstractNum>
  <w:abstractNum w:abstractNumId="19">
    <w:nsid w:val="0E640482"/>
    <w:multiLevelType w:val="multilevel"/>
    <w:tmpl w:val="0E640482"/>
    <w:lvl w:ilvl="0" w:tentative="0">
      <w:start w:val="1"/>
      <w:numFmt w:val="decimal"/>
      <w:lvlText w:val="（%1）"/>
      <w:lvlJc w:val="left"/>
      <w:pPr>
        <w:ind w:left="1181"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063" w:hanging="601"/>
      </w:pPr>
      <w:rPr>
        <w:rFonts w:hint="default"/>
        <w:lang w:val="zh-CN" w:eastAsia="zh-CN" w:bidi="zh-CN"/>
      </w:rPr>
    </w:lvl>
    <w:lvl w:ilvl="2" w:tentative="0">
      <w:start w:val="0"/>
      <w:numFmt w:val="bullet"/>
      <w:lvlText w:val="•"/>
      <w:lvlJc w:val="left"/>
      <w:pPr>
        <w:ind w:left="2946" w:hanging="601"/>
      </w:pPr>
      <w:rPr>
        <w:rFonts w:hint="default"/>
        <w:lang w:val="zh-CN" w:eastAsia="zh-CN" w:bidi="zh-CN"/>
      </w:rPr>
    </w:lvl>
    <w:lvl w:ilvl="3" w:tentative="0">
      <w:start w:val="0"/>
      <w:numFmt w:val="bullet"/>
      <w:lvlText w:val="•"/>
      <w:lvlJc w:val="left"/>
      <w:pPr>
        <w:ind w:left="3829" w:hanging="601"/>
      </w:pPr>
      <w:rPr>
        <w:rFonts w:hint="default"/>
        <w:lang w:val="zh-CN" w:eastAsia="zh-CN" w:bidi="zh-CN"/>
      </w:rPr>
    </w:lvl>
    <w:lvl w:ilvl="4" w:tentative="0">
      <w:start w:val="0"/>
      <w:numFmt w:val="bullet"/>
      <w:lvlText w:val="•"/>
      <w:lvlJc w:val="left"/>
      <w:pPr>
        <w:ind w:left="4712" w:hanging="601"/>
      </w:pPr>
      <w:rPr>
        <w:rFonts w:hint="default"/>
        <w:lang w:val="zh-CN" w:eastAsia="zh-CN" w:bidi="zh-CN"/>
      </w:rPr>
    </w:lvl>
    <w:lvl w:ilvl="5" w:tentative="0">
      <w:start w:val="0"/>
      <w:numFmt w:val="bullet"/>
      <w:lvlText w:val="•"/>
      <w:lvlJc w:val="left"/>
      <w:pPr>
        <w:ind w:left="5595" w:hanging="601"/>
      </w:pPr>
      <w:rPr>
        <w:rFonts w:hint="default"/>
        <w:lang w:val="zh-CN" w:eastAsia="zh-CN" w:bidi="zh-CN"/>
      </w:rPr>
    </w:lvl>
    <w:lvl w:ilvl="6" w:tentative="0">
      <w:start w:val="0"/>
      <w:numFmt w:val="bullet"/>
      <w:lvlText w:val="•"/>
      <w:lvlJc w:val="left"/>
      <w:pPr>
        <w:ind w:left="6478" w:hanging="601"/>
      </w:pPr>
      <w:rPr>
        <w:rFonts w:hint="default"/>
        <w:lang w:val="zh-CN" w:eastAsia="zh-CN" w:bidi="zh-CN"/>
      </w:rPr>
    </w:lvl>
    <w:lvl w:ilvl="7" w:tentative="0">
      <w:start w:val="0"/>
      <w:numFmt w:val="bullet"/>
      <w:lvlText w:val="•"/>
      <w:lvlJc w:val="left"/>
      <w:pPr>
        <w:ind w:left="7361" w:hanging="601"/>
      </w:pPr>
      <w:rPr>
        <w:rFonts w:hint="default"/>
        <w:lang w:val="zh-CN" w:eastAsia="zh-CN" w:bidi="zh-CN"/>
      </w:rPr>
    </w:lvl>
    <w:lvl w:ilvl="8" w:tentative="0">
      <w:start w:val="0"/>
      <w:numFmt w:val="bullet"/>
      <w:lvlText w:val="•"/>
      <w:lvlJc w:val="left"/>
      <w:pPr>
        <w:ind w:left="8244" w:hanging="601"/>
      </w:pPr>
      <w:rPr>
        <w:rFonts w:hint="default"/>
        <w:lang w:val="zh-CN" w:eastAsia="zh-CN" w:bidi="zh-CN"/>
      </w:rPr>
    </w:lvl>
  </w:abstractNum>
  <w:abstractNum w:abstractNumId="20">
    <w:nsid w:val="243FCF68"/>
    <w:multiLevelType w:val="multilevel"/>
    <w:tmpl w:val="243FCF68"/>
    <w:lvl w:ilvl="0" w:tentative="0">
      <w:start w:val="4"/>
      <w:numFmt w:val="decimal"/>
      <w:lvlText w:val="(%1)"/>
      <w:lvlJc w:val="left"/>
      <w:pPr>
        <w:ind w:left="3757" w:hanging="485"/>
        <w:jc w:val="right"/>
      </w:pPr>
      <w:rPr>
        <w:rFonts w:hint="default" w:ascii="仿宋" w:hAnsi="仿宋" w:eastAsia="仿宋" w:cs="仿宋"/>
        <w:b/>
        <w:bCs/>
        <w:spacing w:val="1"/>
        <w:w w:val="98"/>
        <w:sz w:val="30"/>
        <w:szCs w:val="30"/>
        <w:lang w:val="zh-CN" w:eastAsia="zh-CN" w:bidi="zh-CN"/>
      </w:rPr>
    </w:lvl>
    <w:lvl w:ilvl="1" w:tentative="0">
      <w:start w:val="0"/>
      <w:numFmt w:val="bullet"/>
      <w:lvlText w:val="•"/>
      <w:lvlJc w:val="left"/>
      <w:pPr>
        <w:ind w:left="4385" w:hanging="485"/>
      </w:pPr>
      <w:rPr>
        <w:rFonts w:hint="default"/>
        <w:lang w:val="zh-CN" w:eastAsia="zh-CN" w:bidi="zh-CN"/>
      </w:rPr>
    </w:lvl>
    <w:lvl w:ilvl="2" w:tentative="0">
      <w:start w:val="0"/>
      <w:numFmt w:val="bullet"/>
      <w:lvlText w:val="•"/>
      <w:lvlJc w:val="left"/>
      <w:pPr>
        <w:ind w:left="5010" w:hanging="485"/>
      </w:pPr>
      <w:rPr>
        <w:rFonts w:hint="default"/>
        <w:lang w:val="zh-CN" w:eastAsia="zh-CN" w:bidi="zh-CN"/>
      </w:rPr>
    </w:lvl>
    <w:lvl w:ilvl="3" w:tentative="0">
      <w:start w:val="0"/>
      <w:numFmt w:val="bullet"/>
      <w:lvlText w:val="•"/>
      <w:lvlJc w:val="left"/>
      <w:pPr>
        <w:ind w:left="5635" w:hanging="485"/>
      </w:pPr>
      <w:rPr>
        <w:rFonts w:hint="default"/>
        <w:lang w:val="zh-CN" w:eastAsia="zh-CN" w:bidi="zh-CN"/>
      </w:rPr>
    </w:lvl>
    <w:lvl w:ilvl="4" w:tentative="0">
      <w:start w:val="0"/>
      <w:numFmt w:val="bullet"/>
      <w:lvlText w:val="•"/>
      <w:lvlJc w:val="left"/>
      <w:pPr>
        <w:ind w:left="6260" w:hanging="485"/>
      </w:pPr>
      <w:rPr>
        <w:rFonts w:hint="default"/>
        <w:lang w:val="zh-CN" w:eastAsia="zh-CN" w:bidi="zh-CN"/>
      </w:rPr>
    </w:lvl>
    <w:lvl w:ilvl="5" w:tentative="0">
      <w:start w:val="0"/>
      <w:numFmt w:val="bullet"/>
      <w:lvlText w:val="•"/>
      <w:lvlJc w:val="left"/>
      <w:pPr>
        <w:ind w:left="6885" w:hanging="485"/>
      </w:pPr>
      <w:rPr>
        <w:rFonts w:hint="default"/>
        <w:lang w:val="zh-CN" w:eastAsia="zh-CN" w:bidi="zh-CN"/>
      </w:rPr>
    </w:lvl>
    <w:lvl w:ilvl="6" w:tentative="0">
      <w:start w:val="0"/>
      <w:numFmt w:val="bullet"/>
      <w:lvlText w:val="•"/>
      <w:lvlJc w:val="left"/>
      <w:pPr>
        <w:ind w:left="7510" w:hanging="485"/>
      </w:pPr>
      <w:rPr>
        <w:rFonts w:hint="default"/>
        <w:lang w:val="zh-CN" w:eastAsia="zh-CN" w:bidi="zh-CN"/>
      </w:rPr>
    </w:lvl>
    <w:lvl w:ilvl="7" w:tentative="0">
      <w:start w:val="0"/>
      <w:numFmt w:val="bullet"/>
      <w:lvlText w:val="•"/>
      <w:lvlJc w:val="left"/>
      <w:pPr>
        <w:ind w:left="8135" w:hanging="485"/>
      </w:pPr>
      <w:rPr>
        <w:rFonts w:hint="default"/>
        <w:lang w:val="zh-CN" w:eastAsia="zh-CN" w:bidi="zh-CN"/>
      </w:rPr>
    </w:lvl>
    <w:lvl w:ilvl="8" w:tentative="0">
      <w:start w:val="0"/>
      <w:numFmt w:val="bullet"/>
      <w:lvlText w:val="•"/>
      <w:lvlJc w:val="left"/>
      <w:pPr>
        <w:ind w:left="8760" w:hanging="485"/>
      </w:pPr>
      <w:rPr>
        <w:rFonts w:hint="default"/>
        <w:lang w:val="zh-CN" w:eastAsia="zh-CN" w:bidi="zh-CN"/>
      </w:rPr>
    </w:lvl>
  </w:abstractNum>
  <w:abstractNum w:abstractNumId="21">
    <w:nsid w:val="25B654F3"/>
    <w:multiLevelType w:val="multilevel"/>
    <w:tmpl w:val="25B654F3"/>
    <w:lvl w:ilvl="0" w:tentative="0">
      <w:start w:val="1"/>
      <w:numFmt w:val="decimal"/>
      <w:lvlText w:val="%1."/>
      <w:lvlJc w:val="left"/>
      <w:pPr>
        <w:ind w:left="111" w:hanging="243"/>
        <w:jc w:val="left"/>
      </w:pPr>
      <w:rPr>
        <w:rFonts w:hint="default" w:ascii="宋体" w:hAnsi="宋体" w:eastAsia="宋体" w:cs="宋体"/>
        <w:spacing w:val="-1"/>
        <w:w w:val="100"/>
        <w:sz w:val="22"/>
        <w:szCs w:val="22"/>
        <w:lang w:val="zh-CN" w:eastAsia="zh-CN" w:bidi="zh-CN"/>
      </w:rPr>
    </w:lvl>
    <w:lvl w:ilvl="1" w:tentative="0">
      <w:start w:val="0"/>
      <w:numFmt w:val="bullet"/>
      <w:lvlText w:val="•"/>
      <w:lvlJc w:val="left"/>
      <w:pPr>
        <w:ind w:left="943" w:hanging="243"/>
      </w:pPr>
      <w:rPr>
        <w:rFonts w:hint="default"/>
        <w:lang w:val="zh-CN" w:eastAsia="zh-CN" w:bidi="zh-CN"/>
      </w:rPr>
    </w:lvl>
    <w:lvl w:ilvl="2" w:tentative="0">
      <w:start w:val="0"/>
      <w:numFmt w:val="bullet"/>
      <w:lvlText w:val="•"/>
      <w:lvlJc w:val="left"/>
      <w:pPr>
        <w:ind w:left="1766" w:hanging="243"/>
      </w:pPr>
      <w:rPr>
        <w:rFonts w:hint="default"/>
        <w:lang w:val="zh-CN" w:eastAsia="zh-CN" w:bidi="zh-CN"/>
      </w:rPr>
    </w:lvl>
    <w:lvl w:ilvl="3" w:tentative="0">
      <w:start w:val="0"/>
      <w:numFmt w:val="bullet"/>
      <w:lvlText w:val="•"/>
      <w:lvlJc w:val="left"/>
      <w:pPr>
        <w:ind w:left="2589" w:hanging="243"/>
      </w:pPr>
      <w:rPr>
        <w:rFonts w:hint="default"/>
        <w:lang w:val="zh-CN" w:eastAsia="zh-CN" w:bidi="zh-CN"/>
      </w:rPr>
    </w:lvl>
    <w:lvl w:ilvl="4" w:tentative="0">
      <w:start w:val="0"/>
      <w:numFmt w:val="bullet"/>
      <w:lvlText w:val="•"/>
      <w:lvlJc w:val="left"/>
      <w:pPr>
        <w:ind w:left="3413" w:hanging="243"/>
      </w:pPr>
      <w:rPr>
        <w:rFonts w:hint="default"/>
        <w:lang w:val="zh-CN" w:eastAsia="zh-CN" w:bidi="zh-CN"/>
      </w:rPr>
    </w:lvl>
    <w:lvl w:ilvl="5" w:tentative="0">
      <w:start w:val="0"/>
      <w:numFmt w:val="bullet"/>
      <w:lvlText w:val="•"/>
      <w:lvlJc w:val="left"/>
      <w:pPr>
        <w:ind w:left="4236" w:hanging="243"/>
      </w:pPr>
      <w:rPr>
        <w:rFonts w:hint="default"/>
        <w:lang w:val="zh-CN" w:eastAsia="zh-CN" w:bidi="zh-CN"/>
      </w:rPr>
    </w:lvl>
    <w:lvl w:ilvl="6" w:tentative="0">
      <w:start w:val="0"/>
      <w:numFmt w:val="bullet"/>
      <w:lvlText w:val="•"/>
      <w:lvlJc w:val="left"/>
      <w:pPr>
        <w:ind w:left="5059" w:hanging="243"/>
      </w:pPr>
      <w:rPr>
        <w:rFonts w:hint="default"/>
        <w:lang w:val="zh-CN" w:eastAsia="zh-CN" w:bidi="zh-CN"/>
      </w:rPr>
    </w:lvl>
    <w:lvl w:ilvl="7" w:tentative="0">
      <w:start w:val="0"/>
      <w:numFmt w:val="bullet"/>
      <w:lvlText w:val="•"/>
      <w:lvlJc w:val="left"/>
      <w:pPr>
        <w:ind w:left="5883" w:hanging="243"/>
      </w:pPr>
      <w:rPr>
        <w:rFonts w:hint="default"/>
        <w:lang w:val="zh-CN" w:eastAsia="zh-CN" w:bidi="zh-CN"/>
      </w:rPr>
    </w:lvl>
    <w:lvl w:ilvl="8" w:tentative="0">
      <w:start w:val="0"/>
      <w:numFmt w:val="bullet"/>
      <w:lvlText w:val="•"/>
      <w:lvlJc w:val="left"/>
      <w:pPr>
        <w:ind w:left="6706" w:hanging="243"/>
      </w:pPr>
      <w:rPr>
        <w:rFonts w:hint="default"/>
        <w:lang w:val="zh-CN" w:eastAsia="zh-CN" w:bidi="zh-CN"/>
      </w:rPr>
    </w:lvl>
  </w:abstractNum>
  <w:abstractNum w:abstractNumId="22">
    <w:nsid w:val="2A8F537B"/>
    <w:multiLevelType w:val="multilevel"/>
    <w:tmpl w:val="2A8F537B"/>
    <w:lvl w:ilvl="0" w:tentative="0">
      <w:start w:val="1"/>
      <w:numFmt w:val="decimal"/>
      <w:lvlText w:val="%1."/>
      <w:lvlJc w:val="left"/>
      <w:pPr>
        <w:ind w:left="821" w:hanging="241"/>
        <w:jc w:val="right"/>
      </w:pPr>
      <w:rPr>
        <w:rFonts w:hint="default"/>
        <w:w w:val="100"/>
        <w:lang w:val="zh-CN" w:eastAsia="zh-CN" w:bidi="zh-CN"/>
      </w:rPr>
    </w:lvl>
    <w:lvl w:ilvl="1" w:tentative="0">
      <w:start w:val="3"/>
      <w:numFmt w:val="decimal"/>
      <w:lvlText w:val="（%2）"/>
      <w:lvlJc w:val="left"/>
      <w:pPr>
        <w:ind w:left="1421" w:hanging="601"/>
        <w:jc w:val="left"/>
      </w:pPr>
      <w:rPr>
        <w:rFonts w:hint="default" w:ascii="仿宋" w:hAnsi="仿宋" w:eastAsia="仿宋" w:cs="仿宋"/>
        <w:w w:val="100"/>
        <w:sz w:val="22"/>
        <w:szCs w:val="22"/>
        <w:lang w:val="zh-CN" w:eastAsia="zh-CN" w:bidi="zh-CN"/>
      </w:rPr>
    </w:lvl>
    <w:lvl w:ilvl="2" w:tentative="0">
      <w:start w:val="0"/>
      <w:numFmt w:val="bullet"/>
      <w:lvlText w:val="•"/>
      <w:lvlJc w:val="left"/>
      <w:pPr>
        <w:ind w:left="2374" w:hanging="601"/>
      </w:pPr>
      <w:rPr>
        <w:rFonts w:hint="default"/>
        <w:lang w:val="zh-CN" w:eastAsia="zh-CN" w:bidi="zh-CN"/>
      </w:rPr>
    </w:lvl>
    <w:lvl w:ilvl="3" w:tentative="0">
      <w:start w:val="0"/>
      <w:numFmt w:val="bullet"/>
      <w:lvlText w:val="•"/>
      <w:lvlJc w:val="left"/>
      <w:pPr>
        <w:ind w:left="3328" w:hanging="601"/>
      </w:pPr>
      <w:rPr>
        <w:rFonts w:hint="default"/>
        <w:lang w:val="zh-CN" w:eastAsia="zh-CN" w:bidi="zh-CN"/>
      </w:rPr>
    </w:lvl>
    <w:lvl w:ilvl="4" w:tentative="0">
      <w:start w:val="0"/>
      <w:numFmt w:val="bullet"/>
      <w:lvlText w:val="•"/>
      <w:lvlJc w:val="left"/>
      <w:pPr>
        <w:ind w:left="4283" w:hanging="601"/>
      </w:pPr>
      <w:rPr>
        <w:rFonts w:hint="default"/>
        <w:lang w:val="zh-CN" w:eastAsia="zh-CN" w:bidi="zh-CN"/>
      </w:rPr>
    </w:lvl>
    <w:lvl w:ilvl="5" w:tentative="0">
      <w:start w:val="0"/>
      <w:numFmt w:val="bullet"/>
      <w:lvlText w:val="•"/>
      <w:lvlJc w:val="left"/>
      <w:pPr>
        <w:ind w:left="5237" w:hanging="601"/>
      </w:pPr>
      <w:rPr>
        <w:rFonts w:hint="default"/>
        <w:lang w:val="zh-CN" w:eastAsia="zh-CN" w:bidi="zh-CN"/>
      </w:rPr>
    </w:lvl>
    <w:lvl w:ilvl="6" w:tentative="0">
      <w:start w:val="0"/>
      <w:numFmt w:val="bullet"/>
      <w:lvlText w:val="•"/>
      <w:lvlJc w:val="left"/>
      <w:pPr>
        <w:ind w:left="6192" w:hanging="601"/>
      </w:pPr>
      <w:rPr>
        <w:rFonts w:hint="default"/>
        <w:lang w:val="zh-CN" w:eastAsia="zh-CN" w:bidi="zh-CN"/>
      </w:rPr>
    </w:lvl>
    <w:lvl w:ilvl="7" w:tentative="0">
      <w:start w:val="0"/>
      <w:numFmt w:val="bullet"/>
      <w:lvlText w:val="•"/>
      <w:lvlJc w:val="left"/>
      <w:pPr>
        <w:ind w:left="7146" w:hanging="601"/>
      </w:pPr>
      <w:rPr>
        <w:rFonts w:hint="default"/>
        <w:lang w:val="zh-CN" w:eastAsia="zh-CN" w:bidi="zh-CN"/>
      </w:rPr>
    </w:lvl>
    <w:lvl w:ilvl="8" w:tentative="0">
      <w:start w:val="0"/>
      <w:numFmt w:val="bullet"/>
      <w:lvlText w:val="•"/>
      <w:lvlJc w:val="left"/>
      <w:pPr>
        <w:ind w:left="8101" w:hanging="601"/>
      </w:pPr>
      <w:rPr>
        <w:rFonts w:hint="default"/>
        <w:lang w:val="zh-CN" w:eastAsia="zh-CN" w:bidi="zh-CN"/>
      </w:rPr>
    </w:lvl>
  </w:abstractNum>
  <w:abstractNum w:abstractNumId="23">
    <w:nsid w:val="39A0D9AC"/>
    <w:multiLevelType w:val="multilevel"/>
    <w:tmpl w:val="39A0D9AC"/>
    <w:lvl w:ilvl="0" w:tentative="0">
      <w:start w:val="1"/>
      <w:numFmt w:val="decimal"/>
      <w:lvlText w:val="%1."/>
      <w:lvlJc w:val="left"/>
      <w:pPr>
        <w:ind w:left="100" w:hanging="229"/>
        <w:jc w:val="right"/>
      </w:pPr>
      <w:rPr>
        <w:rFonts w:hint="default" w:ascii="仿宋" w:hAnsi="仿宋" w:eastAsia="仿宋" w:cs="仿宋"/>
        <w:spacing w:val="-20"/>
        <w:w w:val="100"/>
        <w:sz w:val="22"/>
        <w:szCs w:val="22"/>
        <w:lang w:val="zh-CN" w:eastAsia="zh-CN" w:bidi="zh-CN"/>
      </w:rPr>
    </w:lvl>
    <w:lvl w:ilvl="1" w:tentative="0">
      <w:start w:val="1"/>
      <w:numFmt w:val="decimal"/>
      <w:lvlText w:val="%2."/>
      <w:lvlJc w:val="left"/>
      <w:pPr>
        <w:ind w:left="1014" w:hanging="286"/>
        <w:jc w:val="left"/>
      </w:pPr>
      <w:rPr>
        <w:rFonts w:hint="default" w:ascii="宋体" w:hAnsi="宋体" w:eastAsia="宋体" w:cs="宋体"/>
        <w:b/>
        <w:bCs/>
        <w:spacing w:val="0"/>
        <w:w w:val="96"/>
        <w:sz w:val="26"/>
        <w:szCs w:val="26"/>
        <w:lang w:val="zh-CN" w:eastAsia="zh-CN" w:bidi="zh-CN"/>
      </w:rPr>
    </w:lvl>
    <w:lvl w:ilvl="2" w:tentative="0">
      <w:start w:val="1"/>
      <w:numFmt w:val="decimal"/>
      <w:lvlText w:val="（%3）"/>
      <w:lvlJc w:val="left"/>
      <w:pPr>
        <w:ind w:left="1809" w:hanging="601"/>
        <w:jc w:val="right"/>
      </w:pPr>
      <w:rPr>
        <w:rFonts w:hint="default" w:ascii="仿宋" w:hAnsi="仿宋" w:eastAsia="仿宋" w:cs="仿宋"/>
        <w:w w:val="100"/>
        <w:sz w:val="22"/>
        <w:szCs w:val="22"/>
        <w:lang w:val="zh-CN" w:eastAsia="zh-CN" w:bidi="zh-CN"/>
      </w:rPr>
    </w:lvl>
    <w:lvl w:ilvl="3" w:tentative="0">
      <w:start w:val="0"/>
      <w:numFmt w:val="bullet"/>
      <w:lvlText w:val="•"/>
      <w:lvlJc w:val="left"/>
      <w:pPr>
        <w:ind w:left="2826" w:hanging="601"/>
      </w:pPr>
      <w:rPr>
        <w:rFonts w:hint="default"/>
        <w:lang w:val="zh-CN" w:eastAsia="zh-CN" w:bidi="zh-CN"/>
      </w:rPr>
    </w:lvl>
    <w:lvl w:ilvl="4" w:tentative="0">
      <w:start w:val="0"/>
      <w:numFmt w:val="bullet"/>
      <w:lvlText w:val="•"/>
      <w:lvlJc w:val="left"/>
      <w:pPr>
        <w:ind w:left="3852" w:hanging="601"/>
      </w:pPr>
      <w:rPr>
        <w:rFonts w:hint="default"/>
        <w:lang w:val="zh-CN" w:eastAsia="zh-CN" w:bidi="zh-CN"/>
      </w:rPr>
    </w:lvl>
    <w:lvl w:ilvl="5" w:tentative="0">
      <w:start w:val="0"/>
      <w:numFmt w:val="bullet"/>
      <w:lvlText w:val="•"/>
      <w:lvlJc w:val="left"/>
      <w:pPr>
        <w:ind w:left="4878" w:hanging="601"/>
      </w:pPr>
      <w:rPr>
        <w:rFonts w:hint="default"/>
        <w:lang w:val="zh-CN" w:eastAsia="zh-CN" w:bidi="zh-CN"/>
      </w:rPr>
    </w:lvl>
    <w:lvl w:ilvl="6" w:tentative="0">
      <w:start w:val="0"/>
      <w:numFmt w:val="bullet"/>
      <w:lvlText w:val="•"/>
      <w:lvlJc w:val="left"/>
      <w:pPr>
        <w:ind w:left="5905" w:hanging="601"/>
      </w:pPr>
      <w:rPr>
        <w:rFonts w:hint="default"/>
        <w:lang w:val="zh-CN" w:eastAsia="zh-CN" w:bidi="zh-CN"/>
      </w:rPr>
    </w:lvl>
    <w:lvl w:ilvl="7" w:tentative="0">
      <w:start w:val="0"/>
      <w:numFmt w:val="bullet"/>
      <w:lvlText w:val="•"/>
      <w:lvlJc w:val="left"/>
      <w:pPr>
        <w:ind w:left="6931" w:hanging="601"/>
      </w:pPr>
      <w:rPr>
        <w:rFonts w:hint="default"/>
        <w:lang w:val="zh-CN" w:eastAsia="zh-CN" w:bidi="zh-CN"/>
      </w:rPr>
    </w:lvl>
    <w:lvl w:ilvl="8" w:tentative="0">
      <w:start w:val="0"/>
      <w:numFmt w:val="bullet"/>
      <w:lvlText w:val="•"/>
      <w:lvlJc w:val="left"/>
      <w:pPr>
        <w:ind w:left="7957" w:hanging="601"/>
      </w:pPr>
      <w:rPr>
        <w:rFonts w:hint="default"/>
        <w:lang w:val="zh-CN" w:eastAsia="zh-CN" w:bidi="zh-CN"/>
      </w:rPr>
    </w:lvl>
  </w:abstractNum>
  <w:abstractNum w:abstractNumId="24">
    <w:nsid w:val="447103E8"/>
    <w:multiLevelType w:val="singleLevel"/>
    <w:tmpl w:val="447103E8"/>
    <w:lvl w:ilvl="0" w:tentative="0">
      <w:start w:val="1"/>
      <w:numFmt w:val="chineseCounting"/>
      <w:suff w:val="nothing"/>
      <w:lvlText w:val="（%1）"/>
      <w:lvlJc w:val="left"/>
      <w:rPr>
        <w:rFonts w:hint="eastAsia"/>
      </w:rPr>
    </w:lvl>
  </w:abstractNum>
  <w:abstractNum w:abstractNumId="25">
    <w:nsid w:val="46A08BB8"/>
    <w:multiLevelType w:val="multilevel"/>
    <w:tmpl w:val="46A08BB8"/>
    <w:lvl w:ilvl="0" w:tentative="0">
      <w:start w:val="1"/>
      <w:numFmt w:val="decimal"/>
      <w:lvlText w:val="%1."/>
      <w:lvlJc w:val="left"/>
      <w:pPr>
        <w:ind w:left="821" w:hanging="24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1739" w:hanging="241"/>
      </w:pPr>
      <w:rPr>
        <w:rFonts w:hint="default"/>
        <w:lang w:val="zh-CN" w:eastAsia="zh-CN" w:bidi="zh-CN"/>
      </w:rPr>
    </w:lvl>
    <w:lvl w:ilvl="2" w:tentative="0">
      <w:start w:val="0"/>
      <w:numFmt w:val="bullet"/>
      <w:lvlText w:val="•"/>
      <w:lvlJc w:val="left"/>
      <w:pPr>
        <w:ind w:left="2658" w:hanging="241"/>
      </w:pPr>
      <w:rPr>
        <w:rFonts w:hint="default"/>
        <w:lang w:val="zh-CN" w:eastAsia="zh-CN" w:bidi="zh-CN"/>
      </w:rPr>
    </w:lvl>
    <w:lvl w:ilvl="3" w:tentative="0">
      <w:start w:val="0"/>
      <w:numFmt w:val="bullet"/>
      <w:lvlText w:val="•"/>
      <w:lvlJc w:val="left"/>
      <w:pPr>
        <w:ind w:left="3577" w:hanging="241"/>
      </w:pPr>
      <w:rPr>
        <w:rFonts w:hint="default"/>
        <w:lang w:val="zh-CN" w:eastAsia="zh-CN" w:bidi="zh-CN"/>
      </w:rPr>
    </w:lvl>
    <w:lvl w:ilvl="4" w:tentative="0">
      <w:start w:val="0"/>
      <w:numFmt w:val="bullet"/>
      <w:lvlText w:val="•"/>
      <w:lvlJc w:val="left"/>
      <w:pPr>
        <w:ind w:left="4496" w:hanging="241"/>
      </w:pPr>
      <w:rPr>
        <w:rFonts w:hint="default"/>
        <w:lang w:val="zh-CN" w:eastAsia="zh-CN" w:bidi="zh-CN"/>
      </w:rPr>
    </w:lvl>
    <w:lvl w:ilvl="5" w:tentative="0">
      <w:start w:val="0"/>
      <w:numFmt w:val="bullet"/>
      <w:lvlText w:val="•"/>
      <w:lvlJc w:val="left"/>
      <w:pPr>
        <w:ind w:left="5415" w:hanging="241"/>
      </w:pPr>
      <w:rPr>
        <w:rFonts w:hint="default"/>
        <w:lang w:val="zh-CN" w:eastAsia="zh-CN" w:bidi="zh-CN"/>
      </w:rPr>
    </w:lvl>
    <w:lvl w:ilvl="6" w:tentative="0">
      <w:start w:val="0"/>
      <w:numFmt w:val="bullet"/>
      <w:lvlText w:val="•"/>
      <w:lvlJc w:val="left"/>
      <w:pPr>
        <w:ind w:left="6334" w:hanging="241"/>
      </w:pPr>
      <w:rPr>
        <w:rFonts w:hint="default"/>
        <w:lang w:val="zh-CN" w:eastAsia="zh-CN" w:bidi="zh-CN"/>
      </w:rPr>
    </w:lvl>
    <w:lvl w:ilvl="7" w:tentative="0">
      <w:start w:val="0"/>
      <w:numFmt w:val="bullet"/>
      <w:lvlText w:val="•"/>
      <w:lvlJc w:val="left"/>
      <w:pPr>
        <w:ind w:left="7253" w:hanging="241"/>
      </w:pPr>
      <w:rPr>
        <w:rFonts w:hint="default"/>
        <w:lang w:val="zh-CN" w:eastAsia="zh-CN" w:bidi="zh-CN"/>
      </w:rPr>
    </w:lvl>
    <w:lvl w:ilvl="8" w:tentative="0">
      <w:start w:val="0"/>
      <w:numFmt w:val="bullet"/>
      <w:lvlText w:val="•"/>
      <w:lvlJc w:val="left"/>
      <w:pPr>
        <w:ind w:left="8172" w:hanging="241"/>
      </w:pPr>
      <w:rPr>
        <w:rFonts w:hint="default"/>
        <w:lang w:val="zh-CN" w:eastAsia="zh-CN" w:bidi="zh-CN"/>
      </w:rPr>
    </w:lvl>
  </w:abstractNum>
  <w:abstractNum w:abstractNumId="26">
    <w:nsid w:val="475E6F22"/>
    <w:multiLevelType w:val="singleLevel"/>
    <w:tmpl w:val="475E6F22"/>
    <w:lvl w:ilvl="0" w:tentative="0">
      <w:start w:val="1"/>
      <w:numFmt w:val="chineseCounting"/>
      <w:suff w:val="nothing"/>
      <w:lvlText w:val="%1、"/>
      <w:lvlJc w:val="left"/>
      <w:rPr>
        <w:rFonts w:hint="eastAsia"/>
      </w:rPr>
    </w:lvl>
  </w:abstractNum>
  <w:abstractNum w:abstractNumId="27">
    <w:nsid w:val="4C1BAE26"/>
    <w:multiLevelType w:val="multilevel"/>
    <w:tmpl w:val="4C1BAE26"/>
    <w:lvl w:ilvl="0" w:tentative="0">
      <w:start w:val="1"/>
      <w:numFmt w:val="decimal"/>
      <w:lvlText w:val="（%1）"/>
      <w:lvlJc w:val="left"/>
      <w:pPr>
        <w:ind w:left="1171"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063" w:hanging="601"/>
      </w:pPr>
      <w:rPr>
        <w:rFonts w:hint="default"/>
        <w:lang w:val="zh-CN" w:eastAsia="zh-CN" w:bidi="zh-CN"/>
      </w:rPr>
    </w:lvl>
    <w:lvl w:ilvl="2" w:tentative="0">
      <w:start w:val="0"/>
      <w:numFmt w:val="bullet"/>
      <w:lvlText w:val="•"/>
      <w:lvlJc w:val="left"/>
      <w:pPr>
        <w:ind w:left="2946" w:hanging="601"/>
      </w:pPr>
      <w:rPr>
        <w:rFonts w:hint="default"/>
        <w:lang w:val="zh-CN" w:eastAsia="zh-CN" w:bidi="zh-CN"/>
      </w:rPr>
    </w:lvl>
    <w:lvl w:ilvl="3" w:tentative="0">
      <w:start w:val="0"/>
      <w:numFmt w:val="bullet"/>
      <w:lvlText w:val="•"/>
      <w:lvlJc w:val="left"/>
      <w:pPr>
        <w:ind w:left="3829" w:hanging="601"/>
      </w:pPr>
      <w:rPr>
        <w:rFonts w:hint="default"/>
        <w:lang w:val="zh-CN" w:eastAsia="zh-CN" w:bidi="zh-CN"/>
      </w:rPr>
    </w:lvl>
    <w:lvl w:ilvl="4" w:tentative="0">
      <w:start w:val="0"/>
      <w:numFmt w:val="bullet"/>
      <w:lvlText w:val="•"/>
      <w:lvlJc w:val="left"/>
      <w:pPr>
        <w:ind w:left="4712" w:hanging="601"/>
      </w:pPr>
      <w:rPr>
        <w:rFonts w:hint="default"/>
        <w:lang w:val="zh-CN" w:eastAsia="zh-CN" w:bidi="zh-CN"/>
      </w:rPr>
    </w:lvl>
    <w:lvl w:ilvl="5" w:tentative="0">
      <w:start w:val="0"/>
      <w:numFmt w:val="bullet"/>
      <w:lvlText w:val="•"/>
      <w:lvlJc w:val="left"/>
      <w:pPr>
        <w:ind w:left="5595" w:hanging="601"/>
      </w:pPr>
      <w:rPr>
        <w:rFonts w:hint="default"/>
        <w:lang w:val="zh-CN" w:eastAsia="zh-CN" w:bidi="zh-CN"/>
      </w:rPr>
    </w:lvl>
    <w:lvl w:ilvl="6" w:tentative="0">
      <w:start w:val="0"/>
      <w:numFmt w:val="bullet"/>
      <w:lvlText w:val="•"/>
      <w:lvlJc w:val="left"/>
      <w:pPr>
        <w:ind w:left="6478" w:hanging="601"/>
      </w:pPr>
      <w:rPr>
        <w:rFonts w:hint="default"/>
        <w:lang w:val="zh-CN" w:eastAsia="zh-CN" w:bidi="zh-CN"/>
      </w:rPr>
    </w:lvl>
    <w:lvl w:ilvl="7" w:tentative="0">
      <w:start w:val="0"/>
      <w:numFmt w:val="bullet"/>
      <w:lvlText w:val="•"/>
      <w:lvlJc w:val="left"/>
      <w:pPr>
        <w:ind w:left="7361" w:hanging="601"/>
      </w:pPr>
      <w:rPr>
        <w:rFonts w:hint="default"/>
        <w:lang w:val="zh-CN" w:eastAsia="zh-CN" w:bidi="zh-CN"/>
      </w:rPr>
    </w:lvl>
    <w:lvl w:ilvl="8" w:tentative="0">
      <w:start w:val="0"/>
      <w:numFmt w:val="bullet"/>
      <w:lvlText w:val="•"/>
      <w:lvlJc w:val="left"/>
      <w:pPr>
        <w:ind w:left="8244" w:hanging="601"/>
      </w:pPr>
      <w:rPr>
        <w:rFonts w:hint="default"/>
        <w:lang w:val="zh-CN" w:eastAsia="zh-CN" w:bidi="zh-CN"/>
      </w:rPr>
    </w:lvl>
  </w:abstractNum>
  <w:abstractNum w:abstractNumId="28">
    <w:nsid w:val="4D4DC07F"/>
    <w:multiLevelType w:val="multilevel"/>
    <w:tmpl w:val="4D4DC07F"/>
    <w:lvl w:ilvl="0" w:tentative="0">
      <w:start w:val="1"/>
      <w:numFmt w:val="decimal"/>
      <w:lvlText w:val="%1."/>
      <w:lvlJc w:val="left"/>
      <w:pPr>
        <w:ind w:left="780" w:hanging="237"/>
        <w:jc w:val="left"/>
      </w:pPr>
      <w:rPr>
        <w:rFonts w:hint="default" w:ascii="仿宋" w:hAnsi="仿宋" w:eastAsia="仿宋" w:cs="仿宋"/>
        <w:spacing w:val="-10"/>
        <w:w w:val="100"/>
        <w:sz w:val="22"/>
        <w:szCs w:val="22"/>
        <w:lang w:val="zh-CN" w:eastAsia="zh-CN" w:bidi="zh-CN"/>
      </w:rPr>
    </w:lvl>
    <w:lvl w:ilvl="1" w:tentative="0">
      <w:start w:val="0"/>
      <w:numFmt w:val="bullet"/>
      <w:lvlText w:val="•"/>
      <w:lvlJc w:val="left"/>
      <w:pPr>
        <w:ind w:left="1703" w:hanging="237"/>
      </w:pPr>
      <w:rPr>
        <w:rFonts w:hint="default"/>
        <w:lang w:val="zh-CN" w:eastAsia="zh-CN" w:bidi="zh-CN"/>
      </w:rPr>
    </w:lvl>
    <w:lvl w:ilvl="2" w:tentative="0">
      <w:start w:val="0"/>
      <w:numFmt w:val="bullet"/>
      <w:lvlText w:val="•"/>
      <w:lvlJc w:val="left"/>
      <w:pPr>
        <w:ind w:left="2626" w:hanging="237"/>
      </w:pPr>
      <w:rPr>
        <w:rFonts w:hint="default"/>
        <w:lang w:val="zh-CN" w:eastAsia="zh-CN" w:bidi="zh-CN"/>
      </w:rPr>
    </w:lvl>
    <w:lvl w:ilvl="3" w:tentative="0">
      <w:start w:val="0"/>
      <w:numFmt w:val="bullet"/>
      <w:lvlText w:val="•"/>
      <w:lvlJc w:val="left"/>
      <w:pPr>
        <w:ind w:left="3549" w:hanging="237"/>
      </w:pPr>
      <w:rPr>
        <w:rFonts w:hint="default"/>
        <w:lang w:val="zh-CN" w:eastAsia="zh-CN" w:bidi="zh-CN"/>
      </w:rPr>
    </w:lvl>
    <w:lvl w:ilvl="4" w:tentative="0">
      <w:start w:val="0"/>
      <w:numFmt w:val="bullet"/>
      <w:lvlText w:val="•"/>
      <w:lvlJc w:val="left"/>
      <w:pPr>
        <w:ind w:left="4472" w:hanging="237"/>
      </w:pPr>
      <w:rPr>
        <w:rFonts w:hint="default"/>
        <w:lang w:val="zh-CN" w:eastAsia="zh-CN" w:bidi="zh-CN"/>
      </w:rPr>
    </w:lvl>
    <w:lvl w:ilvl="5" w:tentative="0">
      <w:start w:val="0"/>
      <w:numFmt w:val="bullet"/>
      <w:lvlText w:val="•"/>
      <w:lvlJc w:val="left"/>
      <w:pPr>
        <w:ind w:left="5395" w:hanging="237"/>
      </w:pPr>
      <w:rPr>
        <w:rFonts w:hint="default"/>
        <w:lang w:val="zh-CN" w:eastAsia="zh-CN" w:bidi="zh-CN"/>
      </w:rPr>
    </w:lvl>
    <w:lvl w:ilvl="6" w:tentative="0">
      <w:start w:val="0"/>
      <w:numFmt w:val="bullet"/>
      <w:lvlText w:val="•"/>
      <w:lvlJc w:val="left"/>
      <w:pPr>
        <w:ind w:left="6318" w:hanging="237"/>
      </w:pPr>
      <w:rPr>
        <w:rFonts w:hint="default"/>
        <w:lang w:val="zh-CN" w:eastAsia="zh-CN" w:bidi="zh-CN"/>
      </w:rPr>
    </w:lvl>
    <w:lvl w:ilvl="7" w:tentative="0">
      <w:start w:val="0"/>
      <w:numFmt w:val="bullet"/>
      <w:lvlText w:val="•"/>
      <w:lvlJc w:val="left"/>
      <w:pPr>
        <w:ind w:left="7241" w:hanging="237"/>
      </w:pPr>
      <w:rPr>
        <w:rFonts w:hint="default"/>
        <w:lang w:val="zh-CN" w:eastAsia="zh-CN" w:bidi="zh-CN"/>
      </w:rPr>
    </w:lvl>
    <w:lvl w:ilvl="8" w:tentative="0">
      <w:start w:val="0"/>
      <w:numFmt w:val="bullet"/>
      <w:lvlText w:val="•"/>
      <w:lvlJc w:val="left"/>
      <w:pPr>
        <w:ind w:left="8164" w:hanging="237"/>
      </w:pPr>
      <w:rPr>
        <w:rFonts w:hint="default"/>
        <w:lang w:val="zh-CN" w:eastAsia="zh-CN" w:bidi="zh-CN"/>
      </w:rPr>
    </w:lvl>
  </w:abstractNum>
  <w:abstractNum w:abstractNumId="29">
    <w:nsid w:val="55197C9C"/>
    <w:multiLevelType w:val="singleLevel"/>
    <w:tmpl w:val="55197C9C"/>
    <w:lvl w:ilvl="0" w:tentative="0">
      <w:start w:val="2"/>
      <w:numFmt w:val="chineseCounting"/>
      <w:suff w:val="nothing"/>
      <w:lvlText w:val="（%1）"/>
      <w:lvlJc w:val="left"/>
      <w:rPr>
        <w:rFonts w:hint="eastAsia"/>
      </w:rPr>
    </w:lvl>
  </w:abstractNum>
  <w:abstractNum w:abstractNumId="30">
    <w:nsid w:val="58765686"/>
    <w:multiLevelType w:val="multilevel"/>
    <w:tmpl w:val="58765686"/>
    <w:lvl w:ilvl="0" w:tentative="0">
      <w:start w:val="1"/>
      <w:numFmt w:val="decimal"/>
      <w:lvlText w:val="%1."/>
      <w:lvlJc w:val="left"/>
      <w:pPr>
        <w:ind w:left="1159" w:hanging="24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045" w:hanging="241"/>
      </w:pPr>
      <w:rPr>
        <w:rFonts w:hint="default"/>
        <w:lang w:val="zh-CN" w:eastAsia="zh-CN" w:bidi="zh-CN"/>
      </w:rPr>
    </w:lvl>
    <w:lvl w:ilvl="2" w:tentative="0">
      <w:start w:val="0"/>
      <w:numFmt w:val="bullet"/>
      <w:lvlText w:val="•"/>
      <w:lvlJc w:val="left"/>
      <w:pPr>
        <w:ind w:left="2930" w:hanging="241"/>
      </w:pPr>
      <w:rPr>
        <w:rFonts w:hint="default"/>
        <w:lang w:val="zh-CN" w:eastAsia="zh-CN" w:bidi="zh-CN"/>
      </w:rPr>
    </w:lvl>
    <w:lvl w:ilvl="3" w:tentative="0">
      <w:start w:val="0"/>
      <w:numFmt w:val="bullet"/>
      <w:lvlText w:val="•"/>
      <w:lvlJc w:val="left"/>
      <w:pPr>
        <w:ind w:left="3815" w:hanging="241"/>
      </w:pPr>
      <w:rPr>
        <w:rFonts w:hint="default"/>
        <w:lang w:val="zh-CN" w:eastAsia="zh-CN" w:bidi="zh-CN"/>
      </w:rPr>
    </w:lvl>
    <w:lvl w:ilvl="4" w:tentative="0">
      <w:start w:val="0"/>
      <w:numFmt w:val="bullet"/>
      <w:lvlText w:val="•"/>
      <w:lvlJc w:val="left"/>
      <w:pPr>
        <w:ind w:left="4700" w:hanging="241"/>
      </w:pPr>
      <w:rPr>
        <w:rFonts w:hint="default"/>
        <w:lang w:val="zh-CN" w:eastAsia="zh-CN" w:bidi="zh-CN"/>
      </w:rPr>
    </w:lvl>
    <w:lvl w:ilvl="5" w:tentative="0">
      <w:start w:val="0"/>
      <w:numFmt w:val="bullet"/>
      <w:lvlText w:val="•"/>
      <w:lvlJc w:val="left"/>
      <w:pPr>
        <w:ind w:left="5585" w:hanging="241"/>
      </w:pPr>
      <w:rPr>
        <w:rFonts w:hint="default"/>
        <w:lang w:val="zh-CN" w:eastAsia="zh-CN" w:bidi="zh-CN"/>
      </w:rPr>
    </w:lvl>
    <w:lvl w:ilvl="6" w:tentative="0">
      <w:start w:val="0"/>
      <w:numFmt w:val="bullet"/>
      <w:lvlText w:val="•"/>
      <w:lvlJc w:val="left"/>
      <w:pPr>
        <w:ind w:left="6470" w:hanging="241"/>
      </w:pPr>
      <w:rPr>
        <w:rFonts w:hint="default"/>
        <w:lang w:val="zh-CN" w:eastAsia="zh-CN" w:bidi="zh-CN"/>
      </w:rPr>
    </w:lvl>
    <w:lvl w:ilvl="7" w:tentative="0">
      <w:start w:val="0"/>
      <w:numFmt w:val="bullet"/>
      <w:lvlText w:val="•"/>
      <w:lvlJc w:val="left"/>
      <w:pPr>
        <w:ind w:left="7355" w:hanging="241"/>
      </w:pPr>
      <w:rPr>
        <w:rFonts w:hint="default"/>
        <w:lang w:val="zh-CN" w:eastAsia="zh-CN" w:bidi="zh-CN"/>
      </w:rPr>
    </w:lvl>
    <w:lvl w:ilvl="8" w:tentative="0">
      <w:start w:val="0"/>
      <w:numFmt w:val="bullet"/>
      <w:lvlText w:val="•"/>
      <w:lvlJc w:val="left"/>
      <w:pPr>
        <w:ind w:left="8240" w:hanging="241"/>
      </w:pPr>
      <w:rPr>
        <w:rFonts w:hint="default"/>
        <w:lang w:val="zh-CN" w:eastAsia="zh-CN" w:bidi="zh-CN"/>
      </w:rPr>
    </w:lvl>
  </w:abstractNum>
  <w:abstractNum w:abstractNumId="31">
    <w:nsid w:val="5A241D34"/>
    <w:multiLevelType w:val="multilevel"/>
    <w:tmpl w:val="5A241D34"/>
    <w:lvl w:ilvl="0" w:tentative="0">
      <w:start w:val="1"/>
      <w:numFmt w:val="decimal"/>
      <w:lvlText w:val="%1."/>
      <w:lvlJc w:val="left"/>
      <w:pPr>
        <w:ind w:left="100" w:hanging="239"/>
        <w:jc w:val="left"/>
      </w:pPr>
      <w:rPr>
        <w:rFonts w:hint="default" w:ascii="仿宋" w:hAnsi="仿宋" w:eastAsia="仿宋" w:cs="仿宋"/>
        <w:spacing w:val="-3"/>
        <w:w w:val="100"/>
        <w:sz w:val="22"/>
        <w:szCs w:val="22"/>
        <w:lang w:val="zh-CN" w:eastAsia="zh-CN" w:bidi="zh-CN"/>
      </w:rPr>
    </w:lvl>
    <w:lvl w:ilvl="1" w:tentative="0">
      <w:start w:val="0"/>
      <w:numFmt w:val="bullet"/>
      <w:lvlText w:val="•"/>
      <w:lvlJc w:val="left"/>
      <w:pPr>
        <w:ind w:left="1091" w:hanging="239"/>
      </w:pPr>
      <w:rPr>
        <w:rFonts w:hint="default"/>
        <w:lang w:val="zh-CN" w:eastAsia="zh-CN" w:bidi="zh-CN"/>
      </w:rPr>
    </w:lvl>
    <w:lvl w:ilvl="2" w:tentative="0">
      <w:start w:val="0"/>
      <w:numFmt w:val="bullet"/>
      <w:lvlText w:val="•"/>
      <w:lvlJc w:val="left"/>
      <w:pPr>
        <w:ind w:left="2082" w:hanging="239"/>
      </w:pPr>
      <w:rPr>
        <w:rFonts w:hint="default"/>
        <w:lang w:val="zh-CN" w:eastAsia="zh-CN" w:bidi="zh-CN"/>
      </w:rPr>
    </w:lvl>
    <w:lvl w:ilvl="3" w:tentative="0">
      <w:start w:val="0"/>
      <w:numFmt w:val="bullet"/>
      <w:lvlText w:val="•"/>
      <w:lvlJc w:val="left"/>
      <w:pPr>
        <w:ind w:left="3073" w:hanging="239"/>
      </w:pPr>
      <w:rPr>
        <w:rFonts w:hint="default"/>
        <w:lang w:val="zh-CN" w:eastAsia="zh-CN" w:bidi="zh-CN"/>
      </w:rPr>
    </w:lvl>
    <w:lvl w:ilvl="4" w:tentative="0">
      <w:start w:val="0"/>
      <w:numFmt w:val="bullet"/>
      <w:lvlText w:val="•"/>
      <w:lvlJc w:val="left"/>
      <w:pPr>
        <w:ind w:left="4064" w:hanging="239"/>
      </w:pPr>
      <w:rPr>
        <w:rFonts w:hint="default"/>
        <w:lang w:val="zh-CN" w:eastAsia="zh-CN" w:bidi="zh-CN"/>
      </w:rPr>
    </w:lvl>
    <w:lvl w:ilvl="5" w:tentative="0">
      <w:start w:val="0"/>
      <w:numFmt w:val="bullet"/>
      <w:lvlText w:val="•"/>
      <w:lvlJc w:val="left"/>
      <w:pPr>
        <w:ind w:left="5055" w:hanging="239"/>
      </w:pPr>
      <w:rPr>
        <w:rFonts w:hint="default"/>
        <w:lang w:val="zh-CN" w:eastAsia="zh-CN" w:bidi="zh-CN"/>
      </w:rPr>
    </w:lvl>
    <w:lvl w:ilvl="6" w:tentative="0">
      <w:start w:val="0"/>
      <w:numFmt w:val="bullet"/>
      <w:lvlText w:val="•"/>
      <w:lvlJc w:val="left"/>
      <w:pPr>
        <w:ind w:left="6046" w:hanging="239"/>
      </w:pPr>
      <w:rPr>
        <w:rFonts w:hint="default"/>
        <w:lang w:val="zh-CN" w:eastAsia="zh-CN" w:bidi="zh-CN"/>
      </w:rPr>
    </w:lvl>
    <w:lvl w:ilvl="7" w:tentative="0">
      <w:start w:val="0"/>
      <w:numFmt w:val="bullet"/>
      <w:lvlText w:val="•"/>
      <w:lvlJc w:val="left"/>
      <w:pPr>
        <w:ind w:left="7037" w:hanging="239"/>
      </w:pPr>
      <w:rPr>
        <w:rFonts w:hint="default"/>
        <w:lang w:val="zh-CN" w:eastAsia="zh-CN" w:bidi="zh-CN"/>
      </w:rPr>
    </w:lvl>
    <w:lvl w:ilvl="8" w:tentative="0">
      <w:start w:val="0"/>
      <w:numFmt w:val="bullet"/>
      <w:lvlText w:val="•"/>
      <w:lvlJc w:val="left"/>
      <w:pPr>
        <w:ind w:left="8028" w:hanging="239"/>
      </w:pPr>
      <w:rPr>
        <w:rFonts w:hint="default"/>
        <w:lang w:val="zh-CN" w:eastAsia="zh-CN" w:bidi="zh-CN"/>
      </w:rPr>
    </w:lvl>
  </w:abstractNum>
  <w:abstractNum w:abstractNumId="32">
    <w:nsid w:val="60382F6E"/>
    <w:multiLevelType w:val="multilevel"/>
    <w:tmpl w:val="60382F6E"/>
    <w:lvl w:ilvl="0" w:tentative="0">
      <w:start w:val="1"/>
      <w:numFmt w:val="decimal"/>
      <w:lvlText w:val="（%1）"/>
      <w:lvlJc w:val="left"/>
      <w:pPr>
        <w:ind w:left="100" w:hanging="601"/>
        <w:jc w:val="left"/>
      </w:pPr>
      <w:rPr>
        <w:rFonts w:hint="default" w:ascii="仿宋" w:hAnsi="仿宋" w:eastAsia="仿宋" w:cs="仿宋"/>
        <w:spacing w:val="-19"/>
        <w:w w:val="100"/>
        <w:sz w:val="22"/>
        <w:szCs w:val="22"/>
        <w:lang w:val="zh-CN" w:eastAsia="zh-CN" w:bidi="zh-CN"/>
      </w:rPr>
    </w:lvl>
    <w:lvl w:ilvl="1" w:tentative="0">
      <w:start w:val="0"/>
      <w:numFmt w:val="bullet"/>
      <w:lvlText w:val="•"/>
      <w:lvlJc w:val="left"/>
      <w:pPr>
        <w:ind w:left="1091" w:hanging="601"/>
      </w:pPr>
      <w:rPr>
        <w:rFonts w:hint="default"/>
        <w:lang w:val="zh-CN" w:eastAsia="zh-CN" w:bidi="zh-CN"/>
      </w:rPr>
    </w:lvl>
    <w:lvl w:ilvl="2" w:tentative="0">
      <w:start w:val="0"/>
      <w:numFmt w:val="bullet"/>
      <w:lvlText w:val="•"/>
      <w:lvlJc w:val="left"/>
      <w:pPr>
        <w:ind w:left="2082" w:hanging="601"/>
      </w:pPr>
      <w:rPr>
        <w:rFonts w:hint="default"/>
        <w:lang w:val="zh-CN" w:eastAsia="zh-CN" w:bidi="zh-CN"/>
      </w:rPr>
    </w:lvl>
    <w:lvl w:ilvl="3" w:tentative="0">
      <w:start w:val="0"/>
      <w:numFmt w:val="bullet"/>
      <w:lvlText w:val="•"/>
      <w:lvlJc w:val="left"/>
      <w:pPr>
        <w:ind w:left="3073" w:hanging="601"/>
      </w:pPr>
      <w:rPr>
        <w:rFonts w:hint="default"/>
        <w:lang w:val="zh-CN" w:eastAsia="zh-CN" w:bidi="zh-CN"/>
      </w:rPr>
    </w:lvl>
    <w:lvl w:ilvl="4" w:tentative="0">
      <w:start w:val="0"/>
      <w:numFmt w:val="bullet"/>
      <w:lvlText w:val="•"/>
      <w:lvlJc w:val="left"/>
      <w:pPr>
        <w:ind w:left="4064" w:hanging="601"/>
      </w:pPr>
      <w:rPr>
        <w:rFonts w:hint="default"/>
        <w:lang w:val="zh-CN" w:eastAsia="zh-CN" w:bidi="zh-CN"/>
      </w:rPr>
    </w:lvl>
    <w:lvl w:ilvl="5" w:tentative="0">
      <w:start w:val="0"/>
      <w:numFmt w:val="bullet"/>
      <w:lvlText w:val="•"/>
      <w:lvlJc w:val="left"/>
      <w:pPr>
        <w:ind w:left="5055" w:hanging="601"/>
      </w:pPr>
      <w:rPr>
        <w:rFonts w:hint="default"/>
        <w:lang w:val="zh-CN" w:eastAsia="zh-CN" w:bidi="zh-CN"/>
      </w:rPr>
    </w:lvl>
    <w:lvl w:ilvl="6" w:tentative="0">
      <w:start w:val="0"/>
      <w:numFmt w:val="bullet"/>
      <w:lvlText w:val="•"/>
      <w:lvlJc w:val="left"/>
      <w:pPr>
        <w:ind w:left="6046" w:hanging="601"/>
      </w:pPr>
      <w:rPr>
        <w:rFonts w:hint="default"/>
        <w:lang w:val="zh-CN" w:eastAsia="zh-CN" w:bidi="zh-CN"/>
      </w:rPr>
    </w:lvl>
    <w:lvl w:ilvl="7" w:tentative="0">
      <w:start w:val="0"/>
      <w:numFmt w:val="bullet"/>
      <w:lvlText w:val="•"/>
      <w:lvlJc w:val="left"/>
      <w:pPr>
        <w:ind w:left="7037" w:hanging="601"/>
      </w:pPr>
      <w:rPr>
        <w:rFonts w:hint="default"/>
        <w:lang w:val="zh-CN" w:eastAsia="zh-CN" w:bidi="zh-CN"/>
      </w:rPr>
    </w:lvl>
    <w:lvl w:ilvl="8" w:tentative="0">
      <w:start w:val="0"/>
      <w:numFmt w:val="bullet"/>
      <w:lvlText w:val="•"/>
      <w:lvlJc w:val="left"/>
      <w:pPr>
        <w:ind w:left="8028" w:hanging="601"/>
      </w:pPr>
      <w:rPr>
        <w:rFonts w:hint="default"/>
        <w:lang w:val="zh-CN" w:eastAsia="zh-CN" w:bidi="zh-CN"/>
      </w:rPr>
    </w:lvl>
  </w:abstractNum>
  <w:abstractNum w:abstractNumId="33">
    <w:nsid w:val="629F7852"/>
    <w:multiLevelType w:val="multilevel"/>
    <w:tmpl w:val="629F7852"/>
    <w:lvl w:ilvl="0" w:tentative="0">
      <w:start w:val="1"/>
      <w:numFmt w:val="decimal"/>
      <w:lvlText w:val="（%1）"/>
      <w:lvlJc w:val="left"/>
      <w:pPr>
        <w:ind w:left="100" w:hanging="599"/>
        <w:jc w:val="left"/>
      </w:pPr>
      <w:rPr>
        <w:rFonts w:hint="default" w:ascii="仿宋" w:hAnsi="仿宋" w:eastAsia="仿宋" w:cs="仿宋"/>
        <w:spacing w:val="-3"/>
        <w:w w:val="100"/>
        <w:sz w:val="22"/>
        <w:szCs w:val="22"/>
        <w:lang w:val="zh-CN" w:eastAsia="zh-CN" w:bidi="zh-CN"/>
      </w:rPr>
    </w:lvl>
    <w:lvl w:ilvl="1" w:tentative="0">
      <w:start w:val="0"/>
      <w:numFmt w:val="bullet"/>
      <w:lvlText w:val="•"/>
      <w:lvlJc w:val="left"/>
      <w:pPr>
        <w:ind w:left="1091" w:hanging="599"/>
      </w:pPr>
      <w:rPr>
        <w:rFonts w:hint="default"/>
        <w:lang w:val="zh-CN" w:eastAsia="zh-CN" w:bidi="zh-CN"/>
      </w:rPr>
    </w:lvl>
    <w:lvl w:ilvl="2" w:tentative="0">
      <w:start w:val="0"/>
      <w:numFmt w:val="bullet"/>
      <w:lvlText w:val="•"/>
      <w:lvlJc w:val="left"/>
      <w:pPr>
        <w:ind w:left="2082" w:hanging="599"/>
      </w:pPr>
      <w:rPr>
        <w:rFonts w:hint="default"/>
        <w:lang w:val="zh-CN" w:eastAsia="zh-CN" w:bidi="zh-CN"/>
      </w:rPr>
    </w:lvl>
    <w:lvl w:ilvl="3" w:tentative="0">
      <w:start w:val="0"/>
      <w:numFmt w:val="bullet"/>
      <w:lvlText w:val="•"/>
      <w:lvlJc w:val="left"/>
      <w:pPr>
        <w:ind w:left="3073" w:hanging="599"/>
      </w:pPr>
      <w:rPr>
        <w:rFonts w:hint="default"/>
        <w:lang w:val="zh-CN" w:eastAsia="zh-CN" w:bidi="zh-CN"/>
      </w:rPr>
    </w:lvl>
    <w:lvl w:ilvl="4" w:tentative="0">
      <w:start w:val="0"/>
      <w:numFmt w:val="bullet"/>
      <w:lvlText w:val="•"/>
      <w:lvlJc w:val="left"/>
      <w:pPr>
        <w:ind w:left="4064" w:hanging="599"/>
      </w:pPr>
      <w:rPr>
        <w:rFonts w:hint="default"/>
        <w:lang w:val="zh-CN" w:eastAsia="zh-CN" w:bidi="zh-CN"/>
      </w:rPr>
    </w:lvl>
    <w:lvl w:ilvl="5" w:tentative="0">
      <w:start w:val="0"/>
      <w:numFmt w:val="bullet"/>
      <w:lvlText w:val="•"/>
      <w:lvlJc w:val="left"/>
      <w:pPr>
        <w:ind w:left="5055" w:hanging="599"/>
      </w:pPr>
      <w:rPr>
        <w:rFonts w:hint="default"/>
        <w:lang w:val="zh-CN" w:eastAsia="zh-CN" w:bidi="zh-CN"/>
      </w:rPr>
    </w:lvl>
    <w:lvl w:ilvl="6" w:tentative="0">
      <w:start w:val="0"/>
      <w:numFmt w:val="bullet"/>
      <w:lvlText w:val="•"/>
      <w:lvlJc w:val="left"/>
      <w:pPr>
        <w:ind w:left="6046" w:hanging="599"/>
      </w:pPr>
      <w:rPr>
        <w:rFonts w:hint="default"/>
        <w:lang w:val="zh-CN" w:eastAsia="zh-CN" w:bidi="zh-CN"/>
      </w:rPr>
    </w:lvl>
    <w:lvl w:ilvl="7" w:tentative="0">
      <w:start w:val="0"/>
      <w:numFmt w:val="bullet"/>
      <w:lvlText w:val="•"/>
      <w:lvlJc w:val="left"/>
      <w:pPr>
        <w:ind w:left="7037" w:hanging="599"/>
      </w:pPr>
      <w:rPr>
        <w:rFonts w:hint="default"/>
        <w:lang w:val="zh-CN" w:eastAsia="zh-CN" w:bidi="zh-CN"/>
      </w:rPr>
    </w:lvl>
    <w:lvl w:ilvl="8" w:tentative="0">
      <w:start w:val="0"/>
      <w:numFmt w:val="bullet"/>
      <w:lvlText w:val="•"/>
      <w:lvlJc w:val="left"/>
      <w:pPr>
        <w:ind w:left="8028" w:hanging="599"/>
      </w:pPr>
      <w:rPr>
        <w:rFonts w:hint="default"/>
        <w:lang w:val="zh-CN" w:eastAsia="zh-CN" w:bidi="zh-CN"/>
      </w:rPr>
    </w:lvl>
  </w:abstractNum>
  <w:abstractNum w:abstractNumId="34">
    <w:nsid w:val="72183CF9"/>
    <w:multiLevelType w:val="multilevel"/>
    <w:tmpl w:val="72183CF9"/>
    <w:lvl w:ilvl="0" w:tentative="0">
      <w:start w:val="1"/>
      <w:numFmt w:val="decimal"/>
      <w:lvlText w:val="%1"/>
      <w:lvlJc w:val="left"/>
      <w:pPr>
        <w:ind w:left="100" w:hanging="361"/>
        <w:jc w:val="left"/>
      </w:pPr>
      <w:rPr>
        <w:rFonts w:hint="default"/>
        <w:lang w:val="zh-CN" w:eastAsia="zh-CN" w:bidi="zh-CN"/>
      </w:rPr>
    </w:lvl>
    <w:lvl w:ilvl="1" w:tentative="0">
      <w:start w:val="1"/>
      <w:numFmt w:val="decimal"/>
      <w:lvlText w:val="%1.%2"/>
      <w:lvlJc w:val="left"/>
      <w:pPr>
        <w:ind w:left="100" w:hanging="361"/>
        <w:jc w:val="left"/>
      </w:pPr>
      <w:rPr>
        <w:rFonts w:hint="default" w:ascii="仿宋" w:hAnsi="仿宋" w:eastAsia="仿宋" w:cs="仿宋"/>
        <w:spacing w:val="-5"/>
        <w:w w:val="100"/>
        <w:sz w:val="22"/>
        <w:szCs w:val="22"/>
        <w:lang w:val="zh-CN" w:eastAsia="zh-CN" w:bidi="zh-CN"/>
      </w:rPr>
    </w:lvl>
    <w:lvl w:ilvl="2" w:tentative="0">
      <w:start w:val="1"/>
      <w:numFmt w:val="decimal"/>
      <w:lvlText w:val="%1.%2.%3"/>
      <w:lvlJc w:val="left"/>
      <w:pPr>
        <w:ind w:left="100" w:hanging="601"/>
        <w:jc w:val="left"/>
      </w:pPr>
      <w:rPr>
        <w:rFonts w:hint="default" w:ascii="仿宋" w:hAnsi="仿宋" w:eastAsia="仿宋" w:cs="仿宋"/>
        <w:spacing w:val="-19"/>
        <w:w w:val="100"/>
        <w:sz w:val="22"/>
        <w:szCs w:val="22"/>
        <w:lang w:val="zh-CN" w:eastAsia="zh-CN" w:bidi="zh-CN"/>
      </w:rPr>
    </w:lvl>
    <w:lvl w:ilvl="3" w:tentative="0">
      <w:start w:val="0"/>
      <w:numFmt w:val="bullet"/>
      <w:lvlText w:val="•"/>
      <w:lvlJc w:val="left"/>
      <w:pPr>
        <w:ind w:left="3073" w:hanging="601"/>
      </w:pPr>
      <w:rPr>
        <w:rFonts w:hint="default"/>
        <w:lang w:val="zh-CN" w:eastAsia="zh-CN" w:bidi="zh-CN"/>
      </w:rPr>
    </w:lvl>
    <w:lvl w:ilvl="4" w:tentative="0">
      <w:start w:val="0"/>
      <w:numFmt w:val="bullet"/>
      <w:lvlText w:val="•"/>
      <w:lvlJc w:val="left"/>
      <w:pPr>
        <w:ind w:left="4064" w:hanging="601"/>
      </w:pPr>
      <w:rPr>
        <w:rFonts w:hint="default"/>
        <w:lang w:val="zh-CN" w:eastAsia="zh-CN" w:bidi="zh-CN"/>
      </w:rPr>
    </w:lvl>
    <w:lvl w:ilvl="5" w:tentative="0">
      <w:start w:val="0"/>
      <w:numFmt w:val="bullet"/>
      <w:lvlText w:val="•"/>
      <w:lvlJc w:val="left"/>
      <w:pPr>
        <w:ind w:left="5055" w:hanging="601"/>
      </w:pPr>
      <w:rPr>
        <w:rFonts w:hint="default"/>
        <w:lang w:val="zh-CN" w:eastAsia="zh-CN" w:bidi="zh-CN"/>
      </w:rPr>
    </w:lvl>
    <w:lvl w:ilvl="6" w:tentative="0">
      <w:start w:val="0"/>
      <w:numFmt w:val="bullet"/>
      <w:lvlText w:val="•"/>
      <w:lvlJc w:val="left"/>
      <w:pPr>
        <w:ind w:left="6046" w:hanging="601"/>
      </w:pPr>
      <w:rPr>
        <w:rFonts w:hint="default"/>
        <w:lang w:val="zh-CN" w:eastAsia="zh-CN" w:bidi="zh-CN"/>
      </w:rPr>
    </w:lvl>
    <w:lvl w:ilvl="7" w:tentative="0">
      <w:start w:val="0"/>
      <w:numFmt w:val="bullet"/>
      <w:lvlText w:val="•"/>
      <w:lvlJc w:val="left"/>
      <w:pPr>
        <w:ind w:left="7037" w:hanging="601"/>
      </w:pPr>
      <w:rPr>
        <w:rFonts w:hint="default"/>
        <w:lang w:val="zh-CN" w:eastAsia="zh-CN" w:bidi="zh-CN"/>
      </w:rPr>
    </w:lvl>
    <w:lvl w:ilvl="8" w:tentative="0">
      <w:start w:val="0"/>
      <w:numFmt w:val="bullet"/>
      <w:lvlText w:val="•"/>
      <w:lvlJc w:val="left"/>
      <w:pPr>
        <w:ind w:left="8028" w:hanging="601"/>
      </w:pPr>
      <w:rPr>
        <w:rFonts w:hint="default"/>
        <w:lang w:val="zh-CN" w:eastAsia="zh-CN" w:bidi="zh-CN"/>
      </w:rPr>
    </w:lvl>
  </w:abstractNum>
  <w:abstractNum w:abstractNumId="35">
    <w:nsid w:val="77ECEA79"/>
    <w:multiLevelType w:val="multilevel"/>
    <w:tmpl w:val="77ECEA79"/>
    <w:lvl w:ilvl="0" w:tentative="0">
      <w:start w:val="1"/>
      <w:numFmt w:val="decimal"/>
      <w:lvlText w:val="%1."/>
      <w:lvlJc w:val="left"/>
      <w:pPr>
        <w:ind w:left="763" w:hanging="232"/>
        <w:jc w:val="left"/>
      </w:pPr>
      <w:rPr>
        <w:rFonts w:hint="default" w:ascii="仿宋" w:hAnsi="仿宋" w:eastAsia="仿宋" w:cs="仿宋"/>
        <w:spacing w:val="-15"/>
        <w:w w:val="100"/>
        <w:sz w:val="22"/>
        <w:szCs w:val="22"/>
        <w:lang w:val="zh-CN" w:eastAsia="zh-CN" w:bidi="zh-CN"/>
      </w:rPr>
    </w:lvl>
    <w:lvl w:ilvl="1" w:tentative="0">
      <w:start w:val="0"/>
      <w:numFmt w:val="bullet"/>
      <w:lvlText w:val="•"/>
      <w:lvlJc w:val="left"/>
      <w:pPr>
        <w:ind w:left="1685" w:hanging="232"/>
      </w:pPr>
      <w:rPr>
        <w:rFonts w:hint="default"/>
        <w:lang w:val="zh-CN" w:eastAsia="zh-CN" w:bidi="zh-CN"/>
      </w:rPr>
    </w:lvl>
    <w:lvl w:ilvl="2" w:tentative="0">
      <w:start w:val="0"/>
      <w:numFmt w:val="bullet"/>
      <w:lvlText w:val="•"/>
      <w:lvlJc w:val="left"/>
      <w:pPr>
        <w:ind w:left="2610" w:hanging="232"/>
      </w:pPr>
      <w:rPr>
        <w:rFonts w:hint="default"/>
        <w:lang w:val="zh-CN" w:eastAsia="zh-CN" w:bidi="zh-CN"/>
      </w:rPr>
    </w:lvl>
    <w:lvl w:ilvl="3" w:tentative="0">
      <w:start w:val="0"/>
      <w:numFmt w:val="bullet"/>
      <w:lvlText w:val="•"/>
      <w:lvlJc w:val="left"/>
      <w:pPr>
        <w:ind w:left="3535" w:hanging="232"/>
      </w:pPr>
      <w:rPr>
        <w:rFonts w:hint="default"/>
        <w:lang w:val="zh-CN" w:eastAsia="zh-CN" w:bidi="zh-CN"/>
      </w:rPr>
    </w:lvl>
    <w:lvl w:ilvl="4" w:tentative="0">
      <w:start w:val="0"/>
      <w:numFmt w:val="bullet"/>
      <w:lvlText w:val="•"/>
      <w:lvlJc w:val="left"/>
      <w:pPr>
        <w:ind w:left="4460" w:hanging="232"/>
      </w:pPr>
      <w:rPr>
        <w:rFonts w:hint="default"/>
        <w:lang w:val="zh-CN" w:eastAsia="zh-CN" w:bidi="zh-CN"/>
      </w:rPr>
    </w:lvl>
    <w:lvl w:ilvl="5" w:tentative="0">
      <w:start w:val="0"/>
      <w:numFmt w:val="bullet"/>
      <w:lvlText w:val="•"/>
      <w:lvlJc w:val="left"/>
      <w:pPr>
        <w:ind w:left="5385" w:hanging="232"/>
      </w:pPr>
      <w:rPr>
        <w:rFonts w:hint="default"/>
        <w:lang w:val="zh-CN" w:eastAsia="zh-CN" w:bidi="zh-CN"/>
      </w:rPr>
    </w:lvl>
    <w:lvl w:ilvl="6" w:tentative="0">
      <w:start w:val="0"/>
      <w:numFmt w:val="bullet"/>
      <w:lvlText w:val="•"/>
      <w:lvlJc w:val="left"/>
      <w:pPr>
        <w:ind w:left="6310" w:hanging="232"/>
      </w:pPr>
      <w:rPr>
        <w:rFonts w:hint="default"/>
        <w:lang w:val="zh-CN" w:eastAsia="zh-CN" w:bidi="zh-CN"/>
      </w:rPr>
    </w:lvl>
    <w:lvl w:ilvl="7" w:tentative="0">
      <w:start w:val="0"/>
      <w:numFmt w:val="bullet"/>
      <w:lvlText w:val="•"/>
      <w:lvlJc w:val="left"/>
      <w:pPr>
        <w:ind w:left="7235" w:hanging="232"/>
      </w:pPr>
      <w:rPr>
        <w:rFonts w:hint="default"/>
        <w:lang w:val="zh-CN" w:eastAsia="zh-CN" w:bidi="zh-CN"/>
      </w:rPr>
    </w:lvl>
    <w:lvl w:ilvl="8" w:tentative="0">
      <w:start w:val="0"/>
      <w:numFmt w:val="bullet"/>
      <w:lvlText w:val="•"/>
      <w:lvlJc w:val="left"/>
      <w:pPr>
        <w:ind w:left="8160" w:hanging="232"/>
      </w:pPr>
      <w:rPr>
        <w:rFonts w:hint="default"/>
        <w:lang w:val="zh-CN" w:eastAsia="zh-CN" w:bidi="zh-CN"/>
      </w:rPr>
    </w:lvl>
  </w:abstractNum>
  <w:abstractNum w:abstractNumId="36">
    <w:nsid w:val="7C246926"/>
    <w:multiLevelType w:val="multilevel"/>
    <w:tmpl w:val="7C246926"/>
    <w:lvl w:ilvl="0" w:tentative="0">
      <w:start w:val="1"/>
      <w:numFmt w:val="decimal"/>
      <w:lvlText w:val="（%1）"/>
      <w:lvlJc w:val="left"/>
      <w:pPr>
        <w:ind w:left="1181" w:hanging="601"/>
        <w:jc w:val="left"/>
      </w:pPr>
      <w:rPr>
        <w:rFonts w:hint="default" w:ascii="仿宋" w:hAnsi="仿宋" w:eastAsia="仿宋" w:cs="仿宋"/>
        <w:w w:val="100"/>
        <w:sz w:val="22"/>
        <w:szCs w:val="22"/>
        <w:lang w:val="zh-CN" w:eastAsia="zh-CN" w:bidi="zh-CN"/>
      </w:rPr>
    </w:lvl>
    <w:lvl w:ilvl="1" w:tentative="0">
      <w:start w:val="0"/>
      <w:numFmt w:val="bullet"/>
      <w:lvlText w:val="•"/>
      <w:lvlJc w:val="left"/>
      <w:pPr>
        <w:ind w:left="2063" w:hanging="601"/>
      </w:pPr>
      <w:rPr>
        <w:rFonts w:hint="default"/>
        <w:lang w:val="zh-CN" w:eastAsia="zh-CN" w:bidi="zh-CN"/>
      </w:rPr>
    </w:lvl>
    <w:lvl w:ilvl="2" w:tentative="0">
      <w:start w:val="0"/>
      <w:numFmt w:val="bullet"/>
      <w:lvlText w:val="•"/>
      <w:lvlJc w:val="left"/>
      <w:pPr>
        <w:ind w:left="2946" w:hanging="601"/>
      </w:pPr>
      <w:rPr>
        <w:rFonts w:hint="default"/>
        <w:lang w:val="zh-CN" w:eastAsia="zh-CN" w:bidi="zh-CN"/>
      </w:rPr>
    </w:lvl>
    <w:lvl w:ilvl="3" w:tentative="0">
      <w:start w:val="0"/>
      <w:numFmt w:val="bullet"/>
      <w:lvlText w:val="•"/>
      <w:lvlJc w:val="left"/>
      <w:pPr>
        <w:ind w:left="3829" w:hanging="601"/>
      </w:pPr>
      <w:rPr>
        <w:rFonts w:hint="default"/>
        <w:lang w:val="zh-CN" w:eastAsia="zh-CN" w:bidi="zh-CN"/>
      </w:rPr>
    </w:lvl>
    <w:lvl w:ilvl="4" w:tentative="0">
      <w:start w:val="0"/>
      <w:numFmt w:val="bullet"/>
      <w:lvlText w:val="•"/>
      <w:lvlJc w:val="left"/>
      <w:pPr>
        <w:ind w:left="4712" w:hanging="601"/>
      </w:pPr>
      <w:rPr>
        <w:rFonts w:hint="default"/>
        <w:lang w:val="zh-CN" w:eastAsia="zh-CN" w:bidi="zh-CN"/>
      </w:rPr>
    </w:lvl>
    <w:lvl w:ilvl="5" w:tentative="0">
      <w:start w:val="0"/>
      <w:numFmt w:val="bullet"/>
      <w:lvlText w:val="•"/>
      <w:lvlJc w:val="left"/>
      <w:pPr>
        <w:ind w:left="5595" w:hanging="601"/>
      </w:pPr>
      <w:rPr>
        <w:rFonts w:hint="default"/>
        <w:lang w:val="zh-CN" w:eastAsia="zh-CN" w:bidi="zh-CN"/>
      </w:rPr>
    </w:lvl>
    <w:lvl w:ilvl="6" w:tentative="0">
      <w:start w:val="0"/>
      <w:numFmt w:val="bullet"/>
      <w:lvlText w:val="•"/>
      <w:lvlJc w:val="left"/>
      <w:pPr>
        <w:ind w:left="6478" w:hanging="601"/>
      </w:pPr>
      <w:rPr>
        <w:rFonts w:hint="default"/>
        <w:lang w:val="zh-CN" w:eastAsia="zh-CN" w:bidi="zh-CN"/>
      </w:rPr>
    </w:lvl>
    <w:lvl w:ilvl="7" w:tentative="0">
      <w:start w:val="0"/>
      <w:numFmt w:val="bullet"/>
      <w:lvlText w:val="•"/>
      <w:lvlJc w:val="left"/>
      <w:pPr>
        <w:ind w:left="7361" w:hanging="601"/>
      </w:pPr>
      <w:rPr>
        <w:rFonts w:hint="default"/>
        <w:lang w:val="zh-CN" w:eastAsia="zh-CN" w:bidi="zh-CN"/>
      </w:rPr>
    </w:lvl>
    <w:lvl w:ilvl="8" w:tentative="0">
      <w:start w:val="0"/>
      <w:numFmt w:val="bullet"/>
      <w:lvlText w:val="•"/>
      <w:lvlJc w:val="left"/>
      <w:pPr>
        <w:ind w:left="8244" w:hanging="601"/>
      </w:pPr>
      <w:rPr>
        <w:rFonts w:hint="default"/>
        <w:lang w:val="zh-CN" w:eastAsia="zh-CN" w:bidi="zh-CN"/>
      </w:rPr>
    </w:lvl>
  </w:abstractNum>
  <w:abstractNum w:abstractNumId="37">
    <w:nsid w:val="7DEC2089"/>
    <w:multiLevelType w:val="multilevel"/>
    <w:tmpl w:val="7DEC2089"/>
    <w:lvl w:ilvl="0" w:tentative="0">
      <w:start w:val="4"/>
      <w:numFmt w:val="decimal"/>
      <w:lvlText w:val="%1."/>
      <w:lvlJc w:val="left"/>
      <w:pPr>
        <w:ind w:left="438" w:hanging="241"/>
        <w:jc w:val="left"/>
      </w:pPr>
      <w:rPr>
        <w:rFonts w:hint="default"/>
        <w:spacing w:val="-17"/>
        <w:w w:val="100"/>
        <w:lang w:val="zh-CN" w:eastAsia="zh-CN" w:bidi="zh-CN"/>
      </w:rPr>
    </w:lvl>
    <w:lvl w:ilvl="1" w:tentative="0">
      <w:start w:val="0"/>
      <w:numFmt w:val="bullet"/>
      <w:lvlText w:val="•"/>
      <w:lvlJc w:val="left"/>
      <w:pPr>
        <w:ind w:left="1397" w:hanging="241"/>
      </w:pPr>
      <w:rPr>
        <w:rFonts w:hint="default"/>
        <w:lang w:val="zh-CN" w:eastAsia="zh-CN" w:bidi="zh-CN"/>
      </w:rPr>
    </w:lvl>
    <w:lvl w:ilvl="2" w:tentative="0">
      <w:start w:val="0"/>
      <w:numFmt w:val="bullet"/>
      <w:lvlText w:val="•"/>
      <w:lvlJc w:val="left"/>
      <w:pPr>
        <w:ind w:left="2354" w:hanging="241"/>
      </w:pPr>
      <w:rPr>
        <w:rFonts w:hint="default"/>
        <w:lang w:val="zh-CN" w:eastAsia="zh-CN" w:bidi="zh-CN"/>
      </w:rPr>
    </w:lvl>
    <w:lvl w:ilvl="3" w:tentative="0">
      <w:start w:val="0"/>
      <w:numFmt w:val="bullet"/>
      <w:lvlText w:val="•"/>
      <w:lvlJc w:val="left"/>
      <w:pPr>
        <w:ind w:left="3311" w:hanging="241"/>
      </w:pPr>
      <w:rPr>
        <w:rFonts w:hint="default"/>
        <w:lang w:val="zh-CN" w:eastAsia="zh-CN" w:bidi="zh-CN"/>
      </w:rPr>
    </w:lvl>
    <w:lvl w:ilvl="4" w:tentative="0">
      <w:start w:val="0"/>
      <w:numFmt w:val="bullet"/>
      <w:lvlText w:val="•"/>
      <w:lvlJc w:val="left"/>
      <w:pPr>
        <w:ind w:left="4268" w:hanging="241"/>
      </w:pPr>
      <w:rPr>
        <w:rFonts w:hint="default"/>
        <w:lang w:val="zh-CN" w:eastAsia="zh-CN" w:bidi="zh-CN"/>
      </w:rPr>
    </w:lvl>
    <w:lvl w:ilvl="5" w:tentative="0">
      <w:start w:val="0"/>
      <w:numFmt w:val="bullet"/>
      <w:lvlText w:val="•"/>
      <w:lvlJc w:val="left"/>
      <w:pPr>
        <w:ind w:left="5225" w:hanging="241"/>
      </w:pPr>
      <w:rPr>
        <w:rFonts w:hint="default"/>
        <w:lang w:val="zh-CN" w:eastAsia="zh-CN" w:bidi="zh-CN"/>
      </w:rPr>
    </w:lvl>
    <w:lvl w:ilvl="6" w:tentative="0">
      <w:start w:val="0"/>
      <w:numFmt w:val="bullet"/>
      <w:lvlText w:val="•"/>
      <w:lvlJc w:val="left"/>
      <w:pPr>
        <w:ind w:left="6182" w:hanging="241"/>
      </w:pPr>
      <w:rPr>
        <w:rFonts w:hint="default"/>
        <w:lang w:val="zh-CN" w:eastAsia="zh-CN" w:bidi="zh-CN"/>
      </w:rPr>
    </w:lvl>
    <w:lvl w:ilvl="7" w:tentative="0">
      <w:start w:val="0"/>
      <w:numFmt w:val="bullet"/>
      <w:lvlText w:val="•"/>
      <w:lvlJc w:val="left"/>
      <w:pPr>
        <w:ind w:left="7139" w:hanging="241"/>
      </w:pPr>
      <w:rPr>
        <w:rFonts w:hint="default"/>
        <w:lang w:val="zh-CN" w:eastAsia="zh-CN" w:bidi="zh-CN"/>
      </w:rPr>
    </w:lvl>
    <w:lvl w:ilvl="8" w:tentative="0">
      <w:start w:val="0"/>
      <w:numFmt w:val="bullet"/>
      <w:lvlText w:val="•"/>
      <w:lvlJc w:val="left"/>
      <w:pPr>
        <w:ind w:left="8096" w:hanging="241"/>
      </w:pPr>
      <w:rPr>
        <w:rFonts w:hint="default"/>
        <w:lang w:val="zh-CN" w:eastAsia="zh-CN" w:bidi="zh-CN"/>
      </w:rPr>
    </w:lvl>
  </w:abstractNum>
  <w:num w:numId="1">
    <w:abstractNumId w:val="6"/>
  </w:num>
  <w:num w:numId="2">
    <w:abstractNumId w:val="16"/>
  </w:num>
  <w:num w:numId="3">
    <w:abstractNumId w:val="7"/>
  </w:num>
  <w:num w:numId="4">
    <w:abstractNumId w:val="11"/>
  </w:num>
  <w:num w:numId="5">
    <w:abstractNumId w:val="26"/>
  </w:num>
  <w:num w:numId="6">
    <w:abstractNumId w:val="24"/>
  </w:num>
  <w:num w:numId="7">
    <w:abstractNumId w:val="29"/>
  </w:num>
  <w:num w:numId="8">
    <w:abstractNumId w:val="14"/>
  </w:num>
  <w:num w:numId="9">
    <w:abstractNumId w:val="9"/>
  </w:num>
  <w:num w:numId="10">
    <w:abstractNumId w:val="21"/>
  </w:num>
  <w:num w:numId="11">
    <w:abstractNumId w:val="18"/>
  </w:num>
  <w:num w:numId="12">
    <w:abstractNumId w:val="34"/>
  </w:num>
  <w:num w:numId="13">
    <w:abstractNumId w:val="17"/>
  </w:num>
  <w:num w:numId="14">
    <w:abstractNumId w:val="2"/>
  </w:num>
  <w:num w:numId="15">
    <w:abstractNumId w:val="22"/>
  </w:num>
  <w:num w:numId="16">
    <w:abstractNumId w:val="31"/>
  </w:num>
  <w:num w:numId="17">
    <w:abstractNumId w:val="10"/>
  </w:num>
  <w:num w:numId="18">
    <w:abstractNumId w:val="28"/>
  </w:num>
  <w:num w:numId="19">
    <w:abstractNumId w:val="15"/>
  </w:num>
  <w:num w:numId="20">
    <w:abstractNumId w:val="13"/>
  </w:num>
  <w:num w:numId="21">
    <w:abstractNumId w:val="12"/>
  </w:num>
  <w:num w:numId="22">
    <w:abstractNumId w:val="4"/>
  </w:num>
  <w:num w:numId="23">
    <w:abstractNumId w:val="27"/>
  </w:num>
  <w:num w:numId="24">
    <w:abstractNumId w:val="32"/>
  </w:num>
  <w:num w:numId="25">
    <w:abstractNumId w:val="19"/>
  </w:num>
  <w:num w:numId="26">
    <w:abstractNumId w:val="25"/>
  </w:num>
  <w:num w:numId="27">
    <w:abstractNumId w:val="5"/>
  </w:num>
  <w:num w:numId="28">
    <w:abstractNumId w:val="36"/>
  </w:num>
  <w:num w:numId="29">
    <w:abstractNumId w:val="35"/>
  </w:num>
  <w:num w:numId="30">
    <w:abstractNumId w:val="8"/>
  </w:num>
  <w:num w:numId="31">
    <w:abstractNumId w:val="33"/>
  </w:num>
  <w:num w:numId="32">
    <w:abstractNumId w:val="3"/>
  </w:num>
  <w:num w:numId="33">
    <w:abstractNumId w:val="23"/>
  </w:num>
  <w:num w:numId="34">
    <w:abstractNumId w:val="1"/>
  </w:num>
  <w:num w:numId="35">
    <w:abstractNumId w:val="30"/>
  </w:num>
  <w:num w:numId="36">
    <w:abstractNumId w:val="37"/>
  </w:num>
  <w:num w:numId="37">
    <w:abstractNumId w:val="0"/>
  </w:num>
  <w:num w:numId="3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5561D0"/>
    <w:rsid w:val="010B1E32"/>
    <w:rsid w:val="02545C1F"/>
    <w:rsid w:val="06062821"/>
    <w:rsid w:val="0C467005"/>
    <w:rsid w:val="0F2028E6"/>
    <w:rsid w:val="0FC174E9"/>
    <w:rsid w:val="102808A5"/>
    <w:rsid w:val="17FC559D"/>
    <w:rsid w:val="1A100D19"/>
    <w:rsid w:val="1D7F401F"/>
    <w:rsid w:val="1FF26B2D"/>
    <w:rsid w:val="21B43770"/>
    <w:rsid w:val="24D3678C"/>
    <w:rsid w:val="270021FC"/>
    <w:rsid w:val="27C82357"/>
    <w:rsid w:val="298369B7"/>
    <w:rsid w:val="2B574ADD"/>
    <w:rsid w:val="2BEF24FA"/>
    <w:rsid w:val="2C6F0B9F"/>
    <w:rsid w:val="2D093FCF"/>
    <w:rsid w:val="2E867BA2"/>
    <w:rsid w:val="2EC34902"/>
    <w:rsid w:val="337F5BD4"/>
    <w:rsid w:val="34442041"/>
    <w:rsid w:val="3590196D"/>
    <w:rsid w:val="35E3699E"/>
    <w:rsid w:val="409559D7"/>
    <w:rsid w:val="40CA1E52"/>
    <w:rsid w:val="418620C7"/>
    <w:rsid w:val="42930038"/>
    <w:rsid w:val="42F107E6"/>
    <w:rsid w:val="44500650"/>
    <w:rsid w:val="44EF5BA6"/>
    <w:rsid w:val="46BE092D"/>
    <w:rsid w:val="46C00783"/>
    <w:rsid w:val="476E67E1"/>
    <w:rsid w:val="49037F64"/>
    <w:rsid w:val="49D210B0"/>
    <w:rsid w:val="4AC25D85"/>
    <w:rsid w:val="4AFD20A6"/>
    <w:rsid w:val="4FE52C44"/>
    <w:rsid w:val="52630B3C"/>
    <w:rsid w:val="53A606EC"/>
    <w:rsid w:val="542E57C6"/>
    <w:rsid w:val="5891269C"/>
    <w:rsid w:val="5A0B6398"/>
    <w:rsid w:val="5AB37177"/>
    <w:rsid w:val="5AF85261"/>
    <w:rsid w:val="5B3669D0"/>
    <w:rsid w:val="5DB33B07"/>
    <w:rsid w:val="5E040C76"/>
    <w:rsid w:val="5E1D6F82"/>
    <w:rsid w:val="61DE33B3"/>
    <w:rsid w:val="6B64654A"/>
    <w:rsid w:val="6B7A72FF"/>
    <w:rsid w:val="6F0528C7"/>
    <w:rsid w:val="733853FD"/>
    <w:rsid w:val="748A30CB"/>
    <w:rsid w:val="76161136"/>
    <w:rsid w:val="769773F5"/>
    <w:rsid w:val="782A7A00"/>
    <w:rsid w:val="787A0332"/>
    <w:rsid w:val="797653F5"/>
    <w:rsid w:val="7B4D4AC3"/>
    <w:rsid w:val="7C1171F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3">
    <w:name w:val="heading 1"/>
    <w:basedOn w:val="1"/>
    <w:next w:val="1"/>
    <w:qFormat/>
    <w:uiPriority w:val="1"/>
    <w:pPr>
      <w:ind w:left="726"/>
      <w:outlineLvl w:val="1"/>
    </w:pPr>
    <w:rPr>
      <w:rFonts w:ascii="仿宋" w:hAnsi="仿宋" w:eastAsia="仿宋" w:cs="仿宋"/>
      <w:b/>
      <w:bCs/>
      <w:sz w:val="32"/>
      <w:szCs w:val="32"/>
      <w:lang w:val="zh-CN" w:eastAsia="zh-CN" w:bidi="zh-CN"/>
    </w:rPr>
  </w:style>
  <w:style w:type="paragraph" w:styleId="4">
    <w:name w:val="heading 2"/>
    <w:basedOn w:val="1"/>
    <w:next w:val="1"/>
    <w:qFormat/>
    <w:uiPriority w:val="1"/>
    <w:pPr>
      <w:spacing w:before="58"/>
      <w:ind w:left="270" w:right="329"/>
      <w:jc w:val="center"/>
      <w:outlineLvl w:val="2"/>
    </w:pPr>
    <w:rPr>
      <w:rFonts w:ascii="仿宋" w:hAnsi="仿宋" w:eastAsia="仿宋" w:cs="仿宋"/>
      <w:b/>
      <w:bCs/>
      <w:sz w:val="30"/>
      <w:szCs w:val="30"/>
      <w:lang w:val="zh-CN" w:eastAsia="zh-CN" w:bidi="zh-CN"/>
    </w:rPr>
  </w:style>
  <w:style w:type="paragraph" w:styleId="5">
    <w:name w:val="heading 3"/>
    <w:basedOn w:val="1"/>
    <w:next w:val="1"/>
    <w:qFormat/>
    <w:uiPriority w:val="1"/>
    <w:pPr>
      <w:ind w:left="1014"/>
      <w:outlineLvl w:val="3"/>
    </w:pPr>
    <w:rPr>
      <w:rFonts w:ascii="仿宋" w:hAnsi="仿宋" w:eastAsia="仿宋" w:cs="仿宋"/>
      <w:b/>
      <w:bCs/>
      <w:sz w:val="28"/>
      <w:szCs w:val="28"/>
      <w:lang w:val="zh-CN" w:eastAsia="zh-CN" w:bidi="zh-CN"/>
    </w:rPr>
  </w:style>
  <w:style w:type="paragraph" w:styleId="6">
    <w:name w:val="heading 4"/>
    <w:basedOn w:val="1"/>
    <w:next w:val="1"/>
    <w:qFormat/>
    <w:uiPriority w:val="1"/>
    <w:pPr>
      <w:ind w:left="570"/>
      <w:outlineLvl w:val="4"/>
    </w:pPr>
    <w:rPr>
      <w:rFonts w:ascii="仿宋" w:hAnsi="仿宋" w:eastAsia="仿宋" w:cs="仿宋"/>
      <w:b/>
      <w:bCs/>
      <w:sz w:val="24"/>
      <w:szCs w:val="24"/>
      <w:lang w:val="zh-CN" w:eastAsia="zh-CN" w:bidi="zh-CN"/>
    </w:rPr>
  </w:style>
  <w:style w:type="character" w:default="1" w:styleId="12">
    <w:name w:val="Default Paragraph Font"/>
    <w:semiHidden/>
    <w:unhideWhenUsed/>
    <w:qFormat/>
    <w:uiPriority w:val="1"/>
  </w:style>
  <w:style w:type="table" w:default="1" w:styleId="11">
    <w:name w:val="Normal Table"/>
    <w:semiHidden/>
    <w:qFormat/>
    <w:uiPriority w:val="0"/>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7">
    <w:name w:val="Body Text"/>
    <w:basedOn w:val="1"/>
    <w:qFormat/>
    <w:uiPriority w:val="1"/>
    <w:rPr>
      <w:rFonts w:ascii="仿宋" w:hAnsi="仿宋" w:eastAsia="仿宋" w:cs="仿宋"/>
      <w:sz w:val="24"/>
      <w:szCs w:val="24"/>
      <w:lang w:val="zh-CN" w:eastAsia="zh-CN" w:bidi="zh-CN"/>
    </w:rPr>
  </w:style>
  <w:style w:type="paragraph" w:styleId="8">
    <w:name w:val="Plain Text"/>
    <w:basedOn w:val="1"/>
    <w:qFormat/>
    <w:uiPriority w:val="99"/>
    <w:rPr>
      <w:rFonts w:cs="Times New Roman"/>
      <w:kern w:val="0"/>
      <w:sz w:val="20"/>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13">
    <w:name w:val="Table Normal"/>
    <w:semiHidden/>
    <w:unhideWhenUsed/>
    <w:qFormat/>
    <w:uiPriority w:val="2"/>
    <w:tblPr>
      <w:tblCellMar>
        <w:top w:w="0" w:type="dxa"/>
        <w:left w:w="0" w:type="dxa"/>
        <w:bottom w:w="0" w:type="dxa"/>
        <w:right w:w="0" w:type="dxa"/>
      </w:tblCellMar>
    </w:tblPr>
  </w:style>
  <w:style w:type="paragraph" w:styleId="14">
    <w:name w:val="List Paragraph"/>
    <w:basedOn w:val="1"/>
    <w:qFormat/>
    <w:uiPriority w:val="1"/>
    <w:pPr>
      <w:ind w:left="100" w:hanging="241"/>
    </w:pPr>
    <w:rPr>
      <w:rFonts w:ascii="仿宋" w:hAnsi="仿宋" w:eastAsia="仿宋" w:cs="仿宋"/>
      <w:lang w:val="zh-CN" w:eastAsia="zh-CN" w:bidi="zh-CN"/>
    </w:rPr>
  </w:style>
  <w:style w:type="paragraph" w:customStyle="1" w:styleId="15">
    <w:name w:val="Table Paragraph"/>
    <w:basedOn w:val="1"/>
    <w:qFormat/>
    <w:uiPriority w:val="1"/>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51</TotalTime>
  <ScaleCrop>false</ScaleCrop>
  <LinksUpToDate>false</LinksUpToDate>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2019-09-16T09:05:00Z</dcterms:created>
  <dc:creator>GHY</dc:creator>
  <cp:lastModifiedBy>S.</cp:lastModifiedBy>
  <cp:lastPrinted>2020-08-13T00:31:17Z</cp:lastPrinted>
  <dcterms:modified xsi:type="dcterms:W3CDTF">2020-08-13T01:07:15Z</dcterms:modified>
  <dc:subject>广西中意招标造价咨询有限公司</dc:subject>
  <dc:title>金秀县森林资源规划设计调查服务</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2019-07-19T00:00:00Z</vt:filetime>
  </property>
  <property fmtid="{D5CDD505-2E9C-101B-9397-08002B2CF9AE}" pid="3" name="Creator">
    <vt:lpwstr>WPS 文字</vt:lpwstr>
  </property>
  <property fmtid="{D5CDD505-2E9C-101B-9397-08002B2CF9AE}" pid="4" name="LastSaved">
    <vt:filetime>2019-09-16T00:00:00Z</vt:filetime>
  </property>
  <property fmtid="{D5CDD505-2E9C-101B-9397-08002B2CF9AE}" pid="5" name="KSOProductBuildVer">
    <vt:lpwstr>2052-11.1.0.9912</vt:lpwstr>
  </property>
</Properties>
</file>