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240" w:lineRule="atLeast"/>
        <w:jc w:val="center"/>
        <w:rPr>
          <w:rFonts w:ascii="仿宋" w:hAnsi="仿宋" w:eastAsia="仿宋" w:cs="仿宋"/>
          <w:color w:val="auto"/>
          <w:highlight w:val="none"/>
          <w:shd w:val="pct10" w:color="auto" w:fill="FFFFFF"/>
        </w:rPr>
      </w:pPr>
      <w:bookmarkStart w:id="240" w:name="_GoBack"/>
      <w:bookmarkEnd w:id="240"/>
    </w:p>
    <w:p>
      <w:pPr>
        <w:spacing w:line="360" w:lineRule="auto"/>
        <w:ind w:firstLine="437"/>
        <w:jc w:val="center"/>
        <w:rPr>
          <w:rFonts w:ascii="仿宋" w:hAnsi="仿宋" w:eastAsia="仿宋" w:cs="仿宋"/>
          <w:b/>
          <w:color w:val="auto"/>
          <w:sz w:val="72"/>
          <w:szCs w:val="72"/>
          <w:highlight w:val="none"/>
        </w:rPr>
      </w:pPr>
      <w:bookmarkStart w:id="0" w:name="_Toc108835634"/>
      <w:bookmarkStart w:id="1" w:name="_Toc108836045"/>
      <w:r>
        <w:rPr>
          <w:rFonts w:hint="eastAsia" w:ascii="仿宋" w:hAnsi="仿宋" w:eastAsia="仿宋" w:cs="仿宋"/>
          <w:b/>
          <w:color w:val="auto"/>
          <w:sz w:val="72"/>
          <w:szCs w:val="72"/>
          <w:highlight w:val="none"/>
        </w:rPr>
        <w:t>广西品格招标有限公司</w:t>
      </w:r>
    </w:p>
    <w:p>
      <w:pPr>
        <w:rPr>
          <w:rFonts w:ascii="仿宋" w:hAnsi="仿宋" w:eastAsia="仿宋" w:cs="仿宋"/>
          <w:color w:val="auto"/>
          <w:highlight w:val="none"/>
        </w:rPr>
      </w:pPr>
    </w:p>
    <w:p>
      <w:pPr>
        <w:spacing w:line="360" w:lineRule="auto"/>
        <w:ind w:firstLine="437"/>
        <w:jc w:val="center"/>
        <w:rPr>
          <w:rFonts w:ascii="仿宋" w:hAnsi="仿宋" w:eastAsia="仿宋" w:cs="仿宋"/>
          <w:b/>
          <w:color w:val="auto"/>
          <w:sz w:val="52"/>
          <w:szCs w:val="52"/>
          <w:highlight w:val="none"/>
        </w:rPr>
      </w:pPr>
    </w:p>
    <w:p>
      <w:pPr>
        <w:spacing w:line="360" w:lineRule="auto"/>
        <w:ind w:firstLine="437"/>
        <w:jc w:val="center"/>
        <w:rPr>
          <w:rFonts w:ascii="仿宋" w:hAnsi="仿宋" w:eastAsia="仿宋" w:cs="仿宋"/>
          <w:b/>
          <w:color w:val="auto"/>
          <w:sz w:val="52"/>
          <w:szCs w:val="52"/>
          <w:highlight w:val="none"/>
        </w:rPr>
      </w:pPr>
    </w:p>
    <w:p>
      <w:pPr>
        <w:pStyle w:val="11"/>
        <w:rPr>
          <w:rFonts w:ascii="仿宋" w:hAnsi="仿宋" w:eastAsia="仿宋" w:cs="仿宋"/>
          <w:color w:val="auto"/>
          <w:highlight w:val="none"/>
        </w:rPr>
      </w:pPr>
    </w:p>
    <w:p>
      <w:pPr>
        <w:spacing w:line="360" w:lineRule="auto"/>
        <w:ind w:firstLine="437"/>
        <w:jc w:val="center"/>
        <w:rPr>
          <w:rFonts w:ascii="仿宋" w:hAnsi="仿宋" w:eastAsia="仿宋" w:cs="仿宋"/>
          <w:b/>
          <w:color w:val="auto"/>
          <w:sz w:val="22"/>
          <w:szCs w:val="28"/>
          <w:highlight w:val="none"/>
        </w:rPr>
      </w:pPr>
      <w:r>
        <w:rPr>
          <w:rFonts w:hint="eastAsia" w:ascii="仿宋" w:hAnsi="仿宋" w:eastAsia="仿宋" w:cs="仿宋"/>
          <w:b/>
          <w:color w:val="auto"/>
          <w:sz w:val="56"/>
          <w:szCs w:val="56"/>
          <w:highlight w:val="none"/>
        </w:rPr>
        <w:t>竞争性磋商采购文件</w:t>
      </w:r>
      <w:bookmarkStart w:id="2" w:name="OLE_LINK23"/>
    </w:p>
    <w:bookmarkEnd w:id="2"/>
    <w:p>
      <w:pPr>
        <w:pStyle w:val="13"/>
        <w:jc w:val="center"/>
        <w:rPr>
          <w:rFonts w:ascii="仿宋" w:hAnsi="仿宋" w:eastAsia="仿宋" w:cs="仿宋"/>
          <w:color w:val="auto"/>
          <w:highlight w:val="none"/>
        </w:rPr>
      </w:pPr>
    </w:p>
    <w:p>
      <w:pPr>
        <w:pStyle w:val="13"/>
        <w:jc w:val="center"/>
        <w:rPr>
          <w:rFonts w:ascii="仿宋" w:hAnsi="仿宋" w:eastAsia="仿宋" w:cs="仿宋"/>
          <w:color w:val="auto"/>
          <w:highlight w:val="none"/>
        </w:rPr>
      </w:pPr>
    </w:p>
    <w:p>
      <w:pPr>
        <w:pStyle w:val="13"/>
        <w:jc w:val="center"/>
        <w:rPr>
          <w:rFonts w:ascii="仿宋" w:hAnsi="仿宋" w:eastAsia="仿宋" w:cs="仿宋"/>
          <w:color w:val="auto"/>
          <w:highlight w:val="none"/>
        </w:rPr>
      </w:pPr>
    </w:p>
    <w:p>
      <w:pPr>
        <w:pStyle w:val="13"/>
        <w:jc w:val="center"/>
        <w:rPr>
          <w:rFonts w:ascii="仿宋" w:hAnsi="仿宋" w:eastAsia="仿宋" w:cs="仿宋"/>
          <w:color w:val="auto"/>
          <w:highlight w:val="none"/>
        </w:rPr>
      </w:pPr>
    </w:p>
    <w:p>
      <w:pPr>
        <w:pStyle w:val="13"/>
        <w:jc w:val="center"/>
        <w:rPr>
          <w:rFonts w:ascii="仿宋" w:hAnsi="仿宋" w:eastAsia="仿宋" w:cs="仿宋"/>
          <w:color w:val="auto"/>
          <w:highlight w:val="none"/>
        </w:rPr>
      </w:pPr>
    </w:p>
    <w:p>
      <w:pPr>
        <w:pStyle w:val="13"/>
        <w:jc w:val="center"/>
        <w:rPr>
          <w:rFonts w:ascii="仿宋" w:hAnsi="仿宋" w:eastAsia="仿宋" w:cs="仿宋"/>
          <w:color w:val="auto"/>
          <w:highlight w:val="none"/>
        </w:rPr>
      </w:pPr>
    </w:p>
    <w:p>
      <w:pPr>
        <w:pStyle w:val="13"/>
        <w:jc w:val="center"/>
        <w:rPr>
          <w:rFonts w:ascii="仿宋" w:hAnsi="仿宋" w:eastAsia="仿宋" w:cs="仿宋"/>
          <w:color w:val="auto"/>
          <w:highlight w:val="none"/>
        </w:rPr>
      </w:pPr>
    </w:p>
    <w:p>
      <w:pPr>
        <w:tabs>
          <w:tab w:val="left" w:pos="5565"/>
        </w:tabs>
        <w:ind w:left="638" w:leftChars="304"/>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项目名称：大新铅锌矿矿区重金属污染土壤整治项目（二期）</w:t>
      </w:r>
      <w:r>
        <w:rPr>
          <w:rFonts w:hint="eastAsia" w:ascii="仿宋" w:hAnsi="仿宋" w:eastAsia="仿宋" w:cs="仿宋"/>
          <w:b/>
          <w:bCs/>
          <w:color w:val="auto"/>
          <w:sz w:val="32"/>
          <w:szCs w:val="32"/>
          <w:highlight w:val="none"/>
          <w:lang w:eastAsia="zh-CN"/>
        </w:rPr>
        <w:t>环境监理</w:t>
      </w:r>
    </w:p>
    <w:p>
      <w:pPr>
        <w:pStyle w:val="2"/>
        <w:ind w:firstLine="420"/>
        <w:rPr>
          <w:rFonts w:ascii="仿宋" w:hAnsi="仿宋" w:eastAsia="仿宋" w:cs="仿宋"/>
          <w:color w:val="auto"/>
          <w:highlight w:val="none"/>
        </w:rPr>
      </w:pPr>
    </w:p>
    <w:p>
      <w:pPr>
        <w:tabs>
          <w:tab w:val="left" w:pos="5565"/>
        </w:tabs>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项目编号：CZZC2020-C3-40066-GXPG</w:t>
      </w:r>
    </w:p>
    <w:p>
      <w:pPr>
        <w:pStyle w:val="11"/>
        <w:rPr>
          <w:rFonts w:ascii="仿宋" w:hAnsi="仿宋" w:eastAsia="仿宋" w:cs="仿宋"/>
          <w:color w:val="auto"/>
          <w:highlight w:val="none"/>
        </w:rPr>
      </w:pPr>
    </w:p>
    <w:p>
      <w:pPr>
        <w:pStyle w:val="11"/>
        <w:rPr>
          <w:rFonts w:ascii="仿宋" w:hAnsi="仿宋" w:eastAsia="仿宋" w:cs="仿宋"/>
          <w:color w:val="auto"/>
          <w:highlight w:val="none"/>
        </w:rPr>
      </w:pPr>
    </w:p>
    <w:p>
      <w:pPr>
        <w:pStyle w:val="11"/>
        <w:rPr>
          <w:rFonts w:ascii="仿宋" w:hAnsi="仿宋" w:eastAsia="仿宋" w:cs="仿宋"/>
          <w:color w:val="auto"/>
          <w:highlight w:val="none"/>
        </w:rPr>
      </w:pPr>
    </w:p>
    <w:p>
      <w:pPr>
        <w:pStyle w:val="11"/>
        <w:rPr>
          <w:rFonts w:ascii="仿宋" w:hAnsi="仿宋" w:eastAsia="仿宋" w:cs="仿宋"/>
          <w:color w:val="auto"/>
          <w:highlight w:val="none"/>
        </w:rPr>
      </w:pPr>
    </w:p>
    <w:p>
      <w:pPr>
        <w:pStyle w:val="11"/>
        <w:rPr>
          <w:rFonts w:ascii="仿宋" w:hAnsi="仿宋" w:eastAsia="仿宋" w:cs="仿宋"/>
          <w:color w:val="auto"/>
          <w:highlight w:val="none"/>
        </w:rPr>
      </w:pPr>
    </w:p>
    <w:p>
      <w:pPr>
        <w:pStyle w:val="11"/>
        <w:rPr>
          <w:rFonts w:ascii="仿宋" w:hAnsi="仿宋" w:eastAsia="仿宋" w:cs="仿宋"/>
          <w:color w:val="auto"/>
          <w:highlight w:val="none"/>
        </w:rPr>
      </w:pPr>
    </w:p>
    <w:p>
      <w:pPr>
        <w:widowControl/>
        <w:spacing w:line="360" w:lineRule="exact"/>
        <w:ind w:firstLine="602" w:firstLineChars="20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采购单位：大新县龙门乡人民政府</w:t>
      </w:r>
    </w:p>
    <w:p>
      <w:pPr>
        <w:widowControl/>
        <w:spacing w:line="360" w:lineRule="exact"/>
        <w:jc w:val="center"/>
        <w:rPr>
          <w:rFonts w:ascii="仿宋" w:hAnsi="仿宋" w:eastAsia="仿宋" w:cs="仿宋"/>
          <w:b/>
          <w:bCs/>
          <w:color w:val="auto"/>
          <w:sz w:val="30"/>
          <w:szCs w:val="30"/>
          <w:highlight w:val="none"/>
        </w:rPr>
      </w:pPr>
    </w:p>
    <w:p>
      <w:pPr>
        <w:widowControl/>
        <w:spacing w:line="360" w:lineRule="exact"/>
        <w:ind w:firstLine="602" w:firstLineChars="20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采购代理机构：广西品格招标有限公司</w:t>
      </w:r>
    </w:p>
    <w:p>
      <w:pPr>
        <w:widowControl/>
        <w:spacing w:line="360" w:lineRule="exact"/>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2020年</w:t>
      </w:r>
      <w:r>
        <w:rPr>
          <w:rFonts w:hint="eastAsia" w:ascii="仿宋" w:hAnsi="仿宋" w:eastAsia="仿宋" w:cs="仿宋"/>
          <w:b/>
          <w:bCs/>
          <w:color w:val="auto"/>
          <w:sz w:val="30"/>
          <w:szCs w:val="30"/>
          <w:highlight w:val="none"/>
          <w:lang w:val="en-US" w:eastAsia="zh-CN"/>
        </w:rPr>
        <w:t>10</w:t>
      </w:r>
      <w:r>
        <w:rPr>
          <w:rFonts w:hint="eastAsia" w:ascii="仿宋" w:hAnsi="仿宋" w:eastAsia="仿宋" w:cs="仿宋"/>
          <w:b/>
          <w:bCs/>
          <w:color w:val="auto"/>
          <w:sz w:val="30"/>
          <w:szCs w:val="30"/>
          <w:highlight w:val="none"/>
        </w:rPr>
        <w:t>月</w:t>
      </w: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br w:type="page"/>
      </w:r>
      <w:r>
        <w:rPr>
          <w:rFonts w:hint="eastAsia" w:ascii="仿宋" w:hAnsi="仿宋" w:eastAsia="仿宋" w:cs="仿宋"/>
          <w:b/>
          <w:bCs/>
          <w:color w:val="auto"/>
          <w:sz w:val="44"/>
          <w:szCs w:val="44"/>
          <w:highlight w:val="none"/>
        </w:rPr>
        <w:t>目  录</w:t>
      </w:r>
    </w:p>
    <w:p>
      <w:pPr>
        <w:pStyle w:val="13"/>
        <w:jc w:val="center"/>
        <w:rPr>
          <w:rFonts w:ascii="仿宋" w:hAnsi="仿宋" w:eastAsia="仿宋" w:cs="仿宋"/>
          <w:b/>
          <w:bCs/>
          <w:color w:val="auto"/>
          <w:sz w:val="44"/>
          <w:szCs w:val="44"/>
          <w:highlight w:val="none"/>
        </w:rPr>
      </w:pPr>
    </w:p>
    <w:p>
      <w:pPr>
        <w:pStyle w:val="18"/>
        <w:tabs>
          <w:tab w:val="right" w:leader="dot" w:pos="9071"/>
          <w:tab w:val="clear" w:pos="850"/>
          <w:tab w:val="clear" w:pos="9360"/>
        </w:tabs>
        <w:rPr>
          <w:rFonts w:ascii="仿宋" w:hAnsi="仿宋" w:eastAsia="仿宋" w:cs="仿宋"/>
          <w:color w:val="auto"/>
          <w:highlight w:val="none"/>
        </w:rPr>
      </w:pP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TOC \o "1-3" \h \z \u </w:instrText>
      </w:r>
      <w:r>
        <w:rPr>
          <w:rFonts w:hint="eastAsia" w:ascii="仿宋" w:hAnsi="仿宋" w:eastAsia="仿宋" w:cs="仿宋"/>
          <w:b w:val="0"/>
          <w:bCs w:val="0"/>
          <w:color w:val="auto"/>
          <w:highlight w:val="none"/>
        </w:rPr>
        <w:fldChar w:fldCharType="separate"/>
      </w:r>
      <w:r>
        <w:rPr>
          <w:color w:val="auto"/>
          <w:highlight w:val="none"/>
        </w:rPr>
        <w:fldChar w:fldCharType="begin"/>
      </w:r>
      <w:r>
        <w:rPr>
          <w:color w:val="auto"/>
          <w:highlight w:val="none"/>
        </w:rPr>
        <w:instrText xml:space="preserve"> HYPERLINK \l "_Toc4480" </w:instrText>
      </w:r>
      <w:r>
        <w:rPr>
          <w:color w:val="auto"/>
          <w:highlight w:val="none"/>
        </w:rPr>
        <w:fldChar w:fldCharType="separate"/>
      </w:r>
      <w:r>
        <w:rPr>
          <w:rFonts w:hint="eastAsia" w:ascii="仿宋" w:hAnsi="仿宋" w:eastAsia="仿宋" w:cs="仿宋"/>
          <w:color w:val="auto"/>
          <w:highlight w:val="none"/>
        </w:rPr>
        <w:t>第一章  磋商须知及前附表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_Toc4480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"_Toc23919" </w:instrText>
      </w:r>
      <w:r>
        <w:rPr>
          <w:color w:val="auto"/>
          <w:highlight w:val="none"/>
        </w:rPr>
        <w:fldChar w:fldCharType="separate"/>
      </w:r>
      <w:r>
        <w:rPr>
          <w:rFonts w:hint="eastAsia" w:ascii="仿宋" w:hAnsi="仿宋" w:eastAsia="仿宋" w:cs="仿宋"/>
          <w:color w:val="auto"/>
          <w:highlight w:val="none"/>
        </w:rPr>
        <w:t>一、总   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_Toc23919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"_Toc29589" </w:instrText>
      </w:r>
      <w:r>
        <w:rPr>
          <w:color w:val="auto"/>
          <w:highlight w:val="none"/>
        </w:rPr>
        <w:fldChar w:fldCharType="separate"/>
      </w:r>
      <w:r>
        <w:rPr>
          <w:rFonts w:hint="eastAsia" w:ascii="仿宋" w:hAnsi="仿宋" w:eastAsia="仿宋" w:cs="仿宋"/>
          <w:color w:val="auto"/>
          <w:highlight w:val="none"/>
        </w:rPr>
        <w:t>二、磋商文件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_Toc29589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"_Toc32239" </w:instrText>
      </w:r>
      <w:r>
        <w:rPr>
          <w:color w:val="auto"/>
          <w:highlight w:val="none"/>
        </w:rPr>
        <w:fldChar w:fldCharType="separate"/>
      </w:r>
      <w:r>
        <w:rPr>
          <w:rFonts w:hint="eastAsia" w:ascii="仿宋" w:hAnsi="仿宋" w:eastAsia="仿宋" w:cs="仿宋"/>
          <w:color w:val="auto"/>
          <w:highlight w:val="none"/>
        </w:rPr>
        <w:t>三、响应文件的编制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_Toc32239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"_Toc29572" </w:instrText>
      </w:r>
      <w:r>
        <w:rPr>
          <w:color w:val="auto"/>
          <w:highlight w:val="none"/>
        </w:rPr>
        <w:fldChar w:fldCharType="separate"/>
      </w:r>
      <w:r>
        <w:rPr>
          <w:rFonts w:hint="eastAsia" w:ascii="仿宋" w:hAnsi="仿宋" w:eastAsia="仿宋" w:cs="仿宋"/>
          <w:color w:val="auto"/>
          <w:highlight w:val="none"/>
        </w:rPr>
        <w:t>四、响应文件的提交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_Toc29572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"_Toc3438" </w:instrText>
      </w:r>
      <w:r>
        <w:rPr>
          <w:color w:val="auto"/>
          <w:highlight w:val="none"/>
        </w:rPr>
        <w:fldChar w:fldCharType="separate"/>
      </w:r>
      <w:r>
        <w:rPr>
          <w:rFonts w:hint="eastAsia" w:ascii="仿宋" w:hAnsi="仿宋" w:eastAsia="仿宋" w:cs="仿宋"/>
          <w:color w:val="auto"/>
          <w:highlight w:val="none"/>
        </w:rPr>
        <w:t>五、截标、磋商与评标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_Toc3438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"_Toc6433" </w:instrText>
      </w:r>
      <w:r>
        <w:rPr>
          <w:color w:val="auto"/>
          <w:highlight w:val="none"/>
        </w:rPr>
        <w:fldChar w:fldCharType="separate"/>
      </w:r>
      <w:r>
        <w:rPr>
          <w:rFonts w:hint="eastAsia" w:ascii="仿宋" w:hAnsi="仿宋" w:eastAsia="仿宋" w:cs="仿宋"/>
          <w:color w:val="auto"/>
          <w:highlight w:val="none"/>
        </w:rPr>
        <w:t>六、授予合同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_Toc6433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"_Toc4121" </w:instrText>
      </w:r>
      <w:r>
        <w:rPr>
          <w:color w:val="auto"/>
          <w:highlight w:val="none"/>
        </w:rPr>
        <w:fldChar w:fldCharType="separate"/>
      </w:r>
      <w:r>
        <w:rPr>
          <w:rFonts w:hint="eastAsia" w:ascii="仿宋" w:hAnsi="仿宋" w:eastAsia="仿宋" w:cs="仿宋"/>
          <w:color w:val="auto"/>
          <w:highlight w:val="none"/>
        </w:rPr>
        <w:t>第二章  项目服务要求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_Toc4121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"_Toc7634" </w:instrText>
      </w:r>
      <w:r>
        <w:rPr>
          <w:color w:val="auto"/>
          <w:highlight w:val="none"/>
        </w:rPr>
        <w:fldChar w:fldCharType="separate"/>
      </w:r>
      <w:r>
        <w:rPr>
          <w:rFonts w:hint="eastAsia" w:ascii="仿宋" w:hAnsi="仿宋" w:eastAsia="仿宋" w:cs="仿宋"/>
          <w:color w:val="auto"/>
          <w:highlight w:val="none"/>
        </w:rPr>
        <w:t>第三章  合同主要条款及格式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_Toc7634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"_Toc5119" </w:instrText>
      </w:r>
      <w:r>
        <w:rPr>
          <w:color w:val="auto"/>
          <w:highlight w:val="none"/>
        </w:rPr>
        <w:fldChar w:fldCharType="separate"/>
      </w:r>
      <w:r>
        <w:rPr>
          <w:rFonts w:hint="eastAsia" w:ascii="仿宋" w:hAnsi="仿宋" w:eastAsia="仿宋" w:cs="仿宋"/>
          <w:color w:val="auto"/>
          <w:highlight w:val="none"/>
        </w:rPr>
        <w:t>第四章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_Toc5119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8"/>
        <w:tabs>
          <w:tab w:val="right" w:leader="dot" w:pos="9071"/>
          <w:tab w:val="clear" w:pos="850"/>
          <w:tab w:val="clear" w:pos="9360"/>
        </w:tabs>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"_Toc23199" </w:instrText>
      </w:r>
      <w:r>
        <w:rPr>
          <w:color w:val="auto"/>
          <w:highlight w:val="none"/>
        </w:rPr>
        <w:fldChar w:fldCharType="separate"/>
      </w:r>
      <w:r>
        <w:rPr>
          <w:rFonts w:hint="eastAsia" w:ascii="仿宋" w:hAnsi="仿宋" w:eastAsia="仿宋" w:cs="仿宋"/>
          <w:color w:val="auto"/>
          <w:highlight w:val="none"/>
        </w:rPr>
        <w:t>第五章  评标方法和评标标准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_Toc23199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3"/>
        <w:rPr>
          <w:rFonts w:ascii="仿宋" w:hAnsi="仿宋" w:eastAsia="仿宋" w:cs="仿宋"/>
          <w:color w:val="auto"/>
          <w:highlight w:val="none"/>
        </w:rPr>
      </w:pPr>
      <w:r>
        <w:rPr>
          <w:rFonts w:hint="eastAsia" w:ascii="仿宋" w:hAnsi="仿宋" w:eastAsia="仿宋" w:cs="仿宋"/>
          <w:b/>
          <w:bCs/>
          <w:color w:val="auto"/>
          <w:highlight w:val="none"/>
        </w:rPr>
        <w:fldChar w:fldCharType="end"/>
      </w: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sectPr>
          <w:headerReference r:id="rId3" w:type="default"/>
          <w:footerReference r:id="rId4" w:type="default"/>
          <w:type w:val="continuous"/>
          <w:pgSz w:w="11907" w:h="16840"/>
          <w:pgMar w:top="1418" w:right="1418" w:bottom="1418" w:left="1418" w:header="851" w:footer="964" w:gutter="0"/>
          <w:cols w:space="720" w:num="1"/>
          <w:docGrid w:linePitch="306" w:charSpace="0"/>
        </w:sectPr>
      </w:pPr>
    </w:p>
    <w:p>
      <w:pPr>
        <w:spacing w:line="400" w:lineRule="exact"/>
        <w:rPr>
          <w:rFonts w:hAnsi="宋体"/>
          <w:b/>
          <w:color w:val="auto"/>
          <w:kern w:val="0"/>
          <w:sz w:val="32"/>
          <w:szCs w:val="32"/>
          <w:highlight w:val="none"/>
        </w:rPr>
      </w:pPr>
      <w:r>
        <w:rPr>
          <w:rFonts w:hint="eastAsia" w:hAnsi="宋体"/>
          <w:b/>
          <w:color w:val="auto"/>
          <w:kern w:val="0"/>
          <w:sz w:val="32"/>
          <w:szCs w:val="32"/>
          <w:highlight w:val="none"/>
        </w:rPr>
        <w:t>广西品格招标有限公司大新铅锌矿矿区重金属污染土壤整治项目（二期）</w:t>
      </w:r>
      <w:r>
        <w:rPr>
          <w:rFonts w:hint="eastAsia" w:hAnsi="宋体"/>
          <w:b/>
          <w:color w:val="auto"/>
          <w:kern w:val="0"/>
          <w:sz w:val="32"/>
          <w:szCs w:val="32"/>
          <w:highlight w:val="none"/>
          <w:lang w:eastAsia="zh-CN"/>
        </w:rPr>
        <w:t>环境监理</w:t>
      </w:r>
      <w:r>
        <w:rPr>
          <w:rFonts w:hint="eastAsia" w:hAnsi="宋体"/>
          <w:b/>
          <w:color w:val="auto"/>
          <w:kern w:val="0"/>
          <w:sz w:val="32"/>
          <w:szCs w:val="32"/>
          <w:highlight w:val="none"/>
        </w:rPr>
        <w:t>(CZZC2020-C3-40066-GXPG)</w:t>
      </w:r>
    </w:p>
    <w:p>
      <w:pPr>
        <w:spacing w:line="400" w:lineRule="exact"/>
        <w:ind w:firstLine="2570" w:firstLineChars="800"/>
        <w:rPr>
          <w:rFonts w:hAnsi="宋体"/>
          <w:b/>
          <w:color w:val="auto"/>
          <w:kern w:val="0"/>
          <w:sz w:val="32"/>
          <w:szCs w:val="32"/>
          <w:highlight w:val="none"/>
        </w:rPr>
      </w:pPr>
      <w:r>
        <w:rPr>
          <w:rFonts w:hint="eastAsia" w:hAnsi="宋体"/>
          <w:b/>
          <w:color w:val="auto"/>
          <w:kern w:val="0"/>
          <w:sz w:val="32"/>
          <w:szCs w:val="32"/>
          <w:highlight w:val="none"/>
        </w:rPr>
        <w:t>竞争性磋商公告</w:t>
      </w:r>
    </w:p>
    <w:p>
      <w:pPr>
        <w:spacing w:line="400" w:lineRule="exact"/>
        <w:rPr>
          <w:color w:val="auto"/>
          <w:highlight w:val="none"/>
        </w:rPr>
      </w:pPr>
      <w:r>
        <w:rPr>
          <w:rFonts w:hint="eastAsia" w:hAnsi="宋体"/>
          <w:color w:val="auto"/>
          <w:sz w:val="28"/>
          <w:szCs w:val="28"/>
          <w:highlight w:val="none"/>
        </w:rPr>
        <w:t xml:space="preserve">  </w:t>
      </w:r>
      <w:r>
        <w:rPr>
          <w:rFonts w:hint="eastAsia" w:hAnsi="宋体"/>
          <w:color w:val="auto"/>
          <w:sz w:val="24"/>
          <w:highlight w:val="none"/>
        </w:rPr>
        <w:t xml:space="preserve">  </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u w:val="single"/>
        </w:rPr>
        <w:t>大新铅锌矿矿区重金属污染土壤整治项目（二期）监理服务</w:t>
      </w:r>
      <w:r>
        <w:rPr>
          <w:rFonts w:hint="eastAsia" w:ascii="仿宋" w:hAnsi="仿宋" w:eastAsia="仿宋"/>
          <w:color w:val="auto"/>
          <w:sz w:val="24"/>
          <w:szCs w:val="24"/>
          <w:highlight w:val="none"/>
        </w:rPr>
        <w:t>采购项目的潜在供应商应在</w:t>
      </w:r>
      <w:r>
        <w:rPr>
          <w:rFonts w:hint="eastAsia" w:ascii="仿宋" w:hAnsi="仿宋" w:eastAsia="仿宋"/>
          <w:color w:val="auto"/>
          <w:sz w:val="24"/>
          <w:szCs w:val="24"/>
          <w:highlight w:val="none"/>
          <w:u w:val="single"/>
        </w:rPr>
        <w:t>政采云</w:t>
      </w:r>
      <w:r>
        <w:rPr>
          <w:rFonts w:hint="eastAsia" w:ascii="仿宋" w:hAnsi="仿宋" w:eastAsia="仿宋"/>
          <w:color w:val="auto"/>
          <w:sz w:val="24"/>
          <w:szCs w:val="24"/>
          <w:highlight w:val="none"/>
        </w:rPr>
        <w:t>获取采购文件，并于</w:t>
      </w:r>
      <w:r>
        <w:rPr>
          <w:rFonts w:hint="eastAsia" w:ascii="仿宋" w:hAnsi="仿宋" w:eastAsia="仿宋"/>
          <w:color w:val="auto"/>
          <w:sz w:val="24"/>
          <w:szCs w:val="24"/>
          <w:highlight w:val="none"/>
          <w:u w:val="single"/>
        </w:rPr>
        <w:t>2020</w:t>
      </w:r>
      <w:r>
        <w:rPr>
          <w:rFonts w:hint="eastAsia" w:ascii="仿宋" w:hAnsi="仿宋" w:eastAsia="仿宋"/>
          <w:bCs/>
          <w:color w:val="auto"/>
          <w:sz w:val="24"/>
          <w:szCs w:val="24"/>
          <w:highlight w:val="none"/>
          <w:u w:val="single"/>
        </w:rPr>
        <w:t>年</w:t>
      </w:r>
      <w:r>
        <w:rPr>
          <w:rFonts w:hint="eastAsia" w:ascii="仿宋" w:hAnsi="仿宋" w:eastAsia="仿宋"/>
          <w:bCs/>
          <w:color w:val="auto"/>
          <w:sz w:val="24"/>
          <w:szCs w:val="24"/>
          <w:highlight w:val="none"/>
          <w:u w:val="single"/>
          <w:lang w:val="en-US" w:eastAsia="zh-CN"/>
        </w:rPr>
        <w:t>10</w:t>
      </w:r>
      <w:r>
        <w:rPr>
          <w:rFonts w:hint="eastAsia" w:ascii="仿宋" w:hAnsi="仿宋" w:eastAsia="仿宋"/>
          <w:bCs/>
          <w:color w:val="auto"/>
          <w:sz w:val="24"/>
          <w:szCs w:val="24"/>
          <w:highlight w:val="none"/>
          <w:u w:val="single"/>
        </w:rPr>
        <w:t>月</w:t>
      </w:r>
      <w:r>
        <w:rPr>
          <w:rFonts w:hint="eastAsia" w:ascii="仿宋" w:hAnsi="仿宋" w:eastAsia="仿宋"/>
          <w:bCs/>
          <w:color w:val="auto"/>
          <w:sz w:val="24"/>
          <w:szCs w:val="24"/>
          <w:highlight w:val="none"/>
          <w:u w:val="single"/>
          <w:lang w:val="en-US" w:eastAsia="zh-CN"/>
        </w:rPr>
        <w:t>26</w:t>
      </w:r>
      <w:r>
        <w:rPr>
          <w:rFonts w:hint="eastAsia" w:ascii="仿宋" w:hAnsi="仿宋" w:eastAsia="仿宋"/>
          <w:bCs/>
          <w:color w:val="auto"/>
          <w:sz w:val="24"/>
          <w:szCs w:val="24"/>
          <w:highlight w:val="none"/>
          <w:u w:val="single"/>
        </w:rPr>
        <w:t>日</w:t>
      </w:r>
      <w:r>
        <w:rPr>
          <w:rFonts w:hint="eastAsia" w:ascii="仿宋" w:hAnsi="仿宋" w:eastAsia="仿宋"/>
          <w:bCs/>
          <w:color w:val="auto"/>
          <w:sz w:val="24"/>
          <w:szCs w:val="24"/>
          <w:highlight w:val="none"/>
          <w:u w:val="single"/>
          <w:lang w:val="en-US" w:eastAsia="zh-CN"/>
        </w:rPr>
        <w:t>10</w:t>
      </w:r>
      <w:r>
        <w:rPr>
          <w:rFonts w:hint="eastAsia" w:ascii="仿宋" w:hAnsi="仿宋" w:eastAsia="仿宋"/>
          <w:bCs/>
          <w:color w:val="auto"/>
          <w:sz w:val="24"/>
          <w:szCs w:val="24"/>
          <w:highlight w:val="none"/>
          <w:u w:val="single"/>
          <w:lang w:eastAsia="zh-CN"/>
        </w:rPr>
        <w:t>时</w:t>
      </w:r>
      <w:r>
        <w:rPr>
          <w:rFonts w:hint="eastAsia" w:ascii="仿宋" w:hAnsi="仿宋" w:eastAsia="仿宋"/>
          <w:bCs/>
          <w:color w:val="auto"/>
          <w:sz w:val="24"/>
          <w:szCs w:val="24"/>
          <w:highlight w:val="none"/>
          <w:u w:val="single"/>
          <w:lang w:val="en-US" w:eastAsia="zh-CN"/>
        </w:rPr>
        <w:t>30</w:t>
      </w:r>
      <w:r>
        <w:rPr>
          <w:rFonts w:hint="eastAsia" w:ascii="仿宋" w:hAnsi="仿宋" w:eastAsia="仿宋"/>
          <w:bCs/>
          <w:color w:val="auto"/>
          <w:sz w:val="24"/>
          <w:szCs w:val="24"/>
          <w:highlight w:val="none"/>
          <w:u w:val="single"/>
        </w:rPr>
        <w:t>分</w:t>
      </w:r>
      <w:r>
        <w:rPr>
          <w:rFonts w:hint="eastAsia" w:ascii="仿宋" w:hAnsi="仿宋" w:eastAsia="仿宋"/>
          <w:bCs/>
          <w:color w:val="auto"/>
          <w:sz w:val="24"/>
          <w:szCs w:val="24"/>
          <w:highlight w:val="none"/>
        </w:rPr>
        <w:t>（北京时间）前提交响应</w:t>
      </w:r>
      <w:r>
        <w:rPr>
          <w:rFonts w:ascii="仿宋" w:hAnsi="仿宋" w:eastAsia="仿宋"/>
          <w:bCs/>
          <w:color w:val="auto"/>
          <w:sz w:val="24"/>
          <w:szCs w:val="24"/>
          <w:highlight w:val="none"/>
        </w:rPr>
        <w:t>文件</w:t>
      </w:r>
      <w:r>
        <w:rPr>
          <w:rFonts w:hint="eastAsia" w:ascii="仿宋" w:hAnsi="仿宋" w:eastAsia="仿宋"/>
          <w:color w:val="auto"/>
          <w:sz w:val="24"/>
          <w:szCs w:val="24"/>
          <w:highlight w:val="none"/>
        </w:rPr>
        <w:t>。</w:t>
      </w:r>
    </w:p>
    <w:p>
      <w:pPr>
        <w:pStyle w:val="4"/>
        <w:spacing w:line="400" w:lineRule="exact"/>
        <w:rPr>
          <w:rFonts w:ascii="黑体" w:hAnsi="黑体" w:cs="宋体"/>
          <w:b w:val="0"/>
          <w:color w:val="auto"/>
          <w:sz w:val="24"/>
          <w:szCs w:val="24"/>
          <w:highlight w:val="none"/>
        </w:rPr>
      </w:pPr>
      <w:bookmarkStart w:id="3" w:name="_Toc28359012"/>
      <w:bookmarkStart w:id="4" w:name="_Toc35393629"/>
      <w:bookmarkStart w:id="5" w:name="_Toc28359089"/>
      <w:bookmarkStart w:id="6" w:name="_Toc35393798"/>
      <w:r>
        <w:rPr>
          <w:rFonts w:hint="eastAsia" w:ascii="黑体" w:hAnsi="黑体" w:cs="宋体"/>
          <w:b w:val="0"/>
          <w:color w:val="auto"/>
          <w:sz w:val="24"/>
          <w:szCs w:val="24"/>
          <w:highlight w:val="none"/>
        </w:rPr>
        <w:t>一、项目基本情况</w:t>
      </w:r>
      <w:bookmarkEnd w:id="3"/>
      <w:bookmarkEnd w:id="4"/>
      <w:bookmarkEnd w:id="5"/>
      <w:bookmarkEnd w:id="6"/>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项目编号：CZZC2020-C3-40066-GXPG</w:t>
      </w:r>
    </w:p>
    <w:p>
      <w:pPr>
        <w:spacing w:line="400" w:lineRule="exact"/>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项目名称：大新铅锌矿矿区重金属污染土壤整治项目（二期）监理服务</w:t>
      </w:r>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采购方式：</w:t>
      </w:r>
      <w:r>
        <w:rPr>
          <w:rFonts w:hint="eastAsia" w:ascii="仿宋" w:hAnsi="仿宋" w:eastAsia="仿宋"/>
          <w:color w:val="auto"/>
          <w:sz w:val="24"/>
          <w:szCs w:val="24"/>
          <w:highlight w:val="none"/>
        </w:rPr>
        <w:sym w:font="Wingdings 2" w:char="00A3"/>
      </w:r>
      <w:r>
        <w:rPr>
          <w:rFonts w:hint="eastAsia" w:ascii="仿宋" w:hAnsi="仿宋" w:eastAsia="仿宋"/>
          <w:color w:val="auto"/>
          <w:sz w:val="24"/>
          <w:szCs w:val="24"/>
          <w:highlight w:val="none"/>
        </w:rPr>
        <w:t xml:space="preserve">竞争性谈判 </w:t>
      </w:r>
      <w:r>
        <w:rPr>
          <w:rFonts w:hint="eastAsia" w:ascii="仿宋" w:hAnsi="仿宋" w:eastAsia="仿宋"/>
          <w:color w:val="auto"/>
          <w:sz w:val="24"/>
          <w:szCs w:val="24"/>
          <w:highlight w:val="none"/>
        </w:rPr>
        <w:sym w:font="Wingdings 2" w:char="0052"/>
      </w:r>
      <w:r>
        <w:rPr>
          <w:rFonts w:hint="eastAsia" w:ascii="仿宋" w:hAnsi="仿宋" w:eastAsia="仿宋"/>
          <w:color w:val="auto"/>
          <w:sz w:val="24"/>
          <w:szCs w:val="24"/>
          <w:highlight w:val="none"/>
        </w:rPr>
        <w:t>竞争性磋商 □询价</w:t>
      </w:r>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r>
        <w:rPr>
          <w:rFonts w:hint="eastAsia" w:ascii="仿宋" w:hAnsi="仿宋" w:eastAsia="仿宋"/>
          <w:color w:val="auto"/>
          <w:sz w:val="24"/>
          <w:szCs w:val="24"/>
          <w:highlight w:val="none"/>
          <w:lang w:val="en-US" w:eastAsia="zh-CN"/>
        </w:rPr>
        <w:t>33.05</w:t>
      </w:r>
      <w:r>
        <w:rPr>
          <w:rFonts w:hint="eastAsia" w:ascii="仿宋" w:hAnsi="仿宋" w:eastAsia="仿宋"/>
          <w:color w:val="auto"/>
          <w:sz w:val="24"/>
          <w:szCs w:val="24"/>
          <w:highlight w:val="none"/>
        </w:rPr>
        <w:t>万元</w:t>
      </w:r>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最高限价：</w:t>
      </w:r>
      <w:r>
        <w:rPr>
          <w:rFonts w:hint="eastAsia" w:ascii="仿宋" w:hAnsi="仿宋" w:eastAsia="仿宋"/>
          <w:color w:val="auto"/>
          <w:sz w:val="24"/>
          <w:szCs w:val="24"/>
          <w:highlight w:val="none"/>
          <w:lang w:val="en-US" w:eastAsia="zh-CN"/>
        </w:rPr>
        <w:t>33.05</w:t>
      </w:r>
      <w:r>
        <w:rPr>
          <w:rFonts w:hint="eastAsia" w:ascii="仿宋" w:hAnsi="仿宋" w:eastAsia="仿宋"/>
          <w:color w:val="auto"/>
          <w:sz w:val="24"/>
          <w:szCs w:val="24"/>
          <w:highlight w:val="none"/>
        </w:rPr>
        <w:t>万元</w:t>
      </w:r>
    </w:p>
    <w:p>
      <w:pPr>
        <w:spacing w:line="400" w:lineRule="exact"/>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采购需求：大新铅锌矿矿区重金属污染土壤整治项目（二期）监理服务一项</w:t>
      </w:r>
      <w:r>
        <w:rPr>
          <w:rFonts w:hint="eastAsia" w:ascii="仿宋" w:hAnsi="仿宋" w:eastAsia="仿宋" w:cs="仿宋"/>
          <w:color w:val="auto"/>
          <w:sz w:val="24"/>
          <w:szCs w:val="24"/>
          <w:highlight w:val="none"/>
        </w:rPr>
        <w:t>，具体内容详见采购文件。</w:t>
      </w:r>
    </w:p>
    <w:p>
      <w:pPr>
        <w:spacing w:line="40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olor w:val="auto"/>
          <w:sz w:val="24"/>
          <w:szCs w:val="24"/>
          <w:highlight w:val="none"/>
        </w:rPr>
        <w:t>合同履行期限：</w:t>
      </w:r>
      <w:r>
        <w:rPr>
          <w:rFonts w:hint="eastAsia" w:ascii="仿宋" w:hAnsi="仿宋" w:eastAsia="仿宋" w:cs="仿宋"/>
          <w:color w:val="auto"/>
          <w:sz w:val="24"/>
          <w:szCs w:val="24"/>
          <w:highlight w:val="none"/>
        </w:rPr>
        <w:t>自采购人通知监理进场之日始至工程竣工验收合格之日止</w:t>
      </w:r>
      <w:r>
        <w:rPr>
          <w:rFonts w:hint="eastAsia" w:ascii="仿宋" w:hAnsi="仿宋" w:eastAsia="仿宋" w:cs="仿宋"/>
          <w:color w:val="auto"/>
          <w:kern w:val="2"/>
          <w:sz w:val="24"/>
          <w:szCs w:val="24"/>
          <w:highlight w:val="none"/>
        </w:rPr>
        <w:t>。</w:t>
      </w:r>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本项目不接受联合体投标。</w:t>
      </w:r>
    </w:p>
    <w:p>
      <w:pPr>
        <w:pStyle w:val="4"/>
        <w:spacing w:line="400" w:lineRule="exact"/>
        <w:rPr>
          <w:rFonts w:ascii="黑体" w:hAnsi="黑体" w:cs="宋体"/>
          <w:b w:val="0"/>
          <w:color w:val="auto"/>
          <w:sz w:val="24"/>
          <w:szCs w:val="24"/>
          <w:highlight w:val="none"/>
        </w:rPr>
      </w:pPr>
      <w:bookmarkStart w:id="7" w:name="_Toc28359013"/>
      <w:bookmarkStart w:id="8" w:name="_Toc35393630"/>
      <w:bookmarkStart w:id="9" w:name="_Toc28359090"/>
      <w:bookmarkStart w:id="10" w:name="_Toc35393799"/>
      <w:r>
        <w:rPr>
          <w:rFonts w:hint="eastAsia" w:ascii="黑体" w:hAnsi="黑体" w:cs="宋体"/>
          <w:b w:val="0"/>
          <w:color w:val="auto"/>
          <w:sz w:val="24"/>
          <w:szCs w:val="24"/>
          <w:highlight w:val="none"/>
        </w:rPr>
        <w:t>二、申请人的资格要求：</w:t>
      </w:r>
      <w:bookmarkEnd w:id="7"/>
      <w:bookmarkEnd w:id="8"/>
      <w:bookmarkEnd w:id="9"/>
      <w:bookmarkEnd w:id="10"/>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1.满足《中华人民共和国政府采购法》第二十二条规定；</w:t>
      </w:r>
    </w:p>
    <w:p>
      <w:pPr>
        <w:spacing w:line="400" w:lineRule="exact"/>
        <w:ind w:firstLine="480" w:firstLineChars="200"/>
        <w:rPr>
          <w:rFonts w:ascii="仿宋" w:hAnsi="仿宋" w:eastAsia="仿宋"/>
          <w:color w:val="auto"/>
          <w:sz w:val="24"/>
          <w:szCs w:val="24"/>
          <w:highlight w:val="none"/>
        </w:rPr>
      </w:pPr>
      <w:bookmarkStart w:id="11" w:name="_Toc28359091"/>
      <w:bookmarkStart w:id="12" w:name="_Toc28359014"/>
      <w:r>
        <w:rPr>
          <w:rFonts w:ascii="仿宋" w:hAnsi="仿宋" w:eastAsia="仿宋"/>
          <w:color w:val="auto"/>
          <w:sz w:val="24"/>
          <w:szCs w:val="24"/>
          <w:highlight w:val="none"/>
        </w:rPr>
        <w:t>2</w:t>
      </w:r>
      <w:r>
        <w:rPr>
          <w:rFonts w:hint="eastAsia" w:ascii="仿宋" w:hAnsi="仿宋" w:eastAsia="仿宋"/>
          <w:color w:val="auto"/>
          <w:sz w:val="24"/>
          <w:szCs w:val="24"/>
          <w:highlight w:val="none"/>
        </w:rPr>
        <w:t>.落实政府采购政策需满足的资格要求：本项目属于非专门面向中小企业采购的项目；</w:t>
      </w:r>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本项目的特定资格要求：供应商营业执照具有相关环保咨询服务或环境影响评价的供应商，并在人员、资金等方面具备相应的监理能力；供应商拟派总监理工程师须具备环境监理业务上岗证书或环境监理培训合格证书。</w:t>
      </w:r>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参加政府采购活动前三年内，在“信用中国”网站（www.creditchina.gov.cn）、中国政府采购网（www.ccgp.gov.cn）等渠道未被列入失信被执行人、重大税收违法案件当事人名单、政府采购严重违法失信行为记录名单及无其他不符合《中华人民共和国政府采购法》第二十二条规定条件；</w:t>
      </w:r>
    </w:p>
    <w:p>
      <w:pPr>
        <w:pStyle w:val="11"/>
        <w:rPr>
          <w:rFonts w:ascii="仿宋" w:hAnsi="仿宋" w:eastAsia="仿宋" w:cs="Times New Roman"/>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cs="Times New Roman"/>
          <w:color w:val="auto"/>
          <w:sz w:val="24"/>
          <w:szCs w:val="24"/>
          <w:highlight w:val="none"/>
        </w:rPr>
        <w:t xml:space="preserve">  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spacing w:line="400" w:lineRule="exact"/>
        <w:rPr>
          <w:rFonts w:ascii="黑体" w:hAnsi="黑体" w:cs="宋体"/>
          <w:b w:val="0"/>
          <w:color w:val="auto"/>
          <w:sz w:val="24"/>
          <w:szCs w:val="24"/>
          <w:highlight w:val="none"/>
        </w:rPr>
      </w:pPr>
      <w:bookmarkStart w:id="13" w:name="_Toc35393800"/>
      <w:bookmarkStart w:id="14" w:name="_Toc35393631"/>
      <w:r>
        <w:rPr>
          <w:rFonts w:hint="eastAsia" w:ascii="黑体" w:hAnsi="黑体" w:cs="宋体"/>
          <w:b w:val="0"/>
          <w:color w:val="auto"/>
          <w:sz w:val="24"/>
          <w:szCs w:val="24"/>
          <w:highlight w:val="none"/>
        </w:rPr>
        <w:t>三、获取采购文件</w:t>
      </w:r>
      <w:bookmarkEnd w:id="11"/>
      <w:bookmarkEnd w:id="12"/>
      <w:bookmarkEnd w:id="13"/>
      <w:bookmarkEnd w:id="14"/>
    </w:p>
    <w:p>
      <w:pPr>
        <w:spacing w:line="400" w:lineRule="exact"/>
        <w:ind w:firstLine="540"/>
        <w:rPr>
          <w:rFonts w:ascii="仿宋" w:hAnsi="仿宋" w:eastAsia="仿宋"/>
          <w:color w:val="auto"/>
          <w:sz w:val="24"/>
          <w:szCs w:val="24"/>
          <w:highlight w:val="none"/>
        </w:rPr>
      </w:pPr>
      <w:r>
        <w:rPr>
          <w:rFonts w:hint="eastAsia" w:ascii="仿宋" w:hAnsi="仿宋" w:eastAsia="仿宋"/>
          <w:color w:val="auto"/>
          <w:sz w:val="24"/>
          <w:szCs w:val="24"/>
          <w:highlight w:val="none"/>
        </w:rPr>
        <w:t>时间：2020年</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14</w:t>
      </w:r>
      <w:r>
        <w:rPr>
          <w:rFonts w:hint="eastAsia" w:ascii="仿宋" w:hAnsi="仿宋" w:eastAsia="仿宋"/>
          <w:color w:val="auto"/>
          <w:sz w:val="24"/>
          <w:szCs w:val="24"/>
          <w:highlight w:val="none"/>
        </w:rPr>
        <w:t>日至2020年</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日18：00</w:t>
      </w:r>
    </w:p>
    <w:p>
      <w:pPr>
        <w:spacing w:line="400" w:lineRule="exact"/>
        <w:ind w:firstLine="540"/>
        <w:rPr>
          <w:rFonts w:ascii="仿宋" w:hAnsi="仿宋" w:eastAsia="仿宋"/>
          <w:color w:val="auto"/>
          <w:sz w:val="24"/>
          <w:szCs w:val="24"/>
          <w:highlight w:val="none"/>
        </w:rPr>
      </w:pPr>
      <w:r>
        <w:rPr>
          <w:rFonts w:hint="eastAsia" w:ascii="仿宋" w:hAnsi="仿宋" w:eastAsia="仿宋"/>
          <w:color w:val="auto"/>
          <w:sz w:val="24"/>
          <w:szCs w:val="24"/>
          <w:highlight w:val="none"/>
        </w:rPr>
        <w:t>地点：政采云</w:t>
      </w:r>
    </w:p>
    <w:p>
      <w:pPr>
        <w:spacing w:line="400" w:lineRule="exact"/>
        <w:ind w:firstLine="540"/>
        <w:rPr>
          <w:rFonts w:ascii="仿宋" w:hAnsi="仿宋" w:eastAsia="仿宋" w:cs="Times New Roman"/>
          <w:color w:val="auto"/>
          <w:sz w:val="24"/>
          <w:szCs w:val="24"/>
          <w:highlight w:val="none"/>
        </w:rPr>
      </w:pPr>
      <w:r>
        <w:rPr>
          <w:rFonts w:hint="eastAsia" w:ascii="仿宋" w:hAnsi="仿宋" w:eastAsia="仿宋"/>
          <w:color w:val="auto"/>
          <w:sz w:val="24"/>
          <w:szCs w:val="24"/>
          <w:highlight w:val="none"/>
        </w:rPr>
        <w:t>方式：</w:t>
      </w:r>
      <w:r>
        <w:rPr>
          <w:rFonts w:hint="eastAsia" w:ascii="仿宋" w:hAnsi="仿宋" w:eastAsia="仿宋" w:cs="Times New Roman"/>
          <w:color w:val="auto"/>
          <w:sz w:val="24"/>
          <w:szCs w:val="24"/>
          <w:highlight w:val="none"/>
        </w:rPr>
        <w:t>网上下载。供应商可以登陆政府采购云平台（网址：https://www.zcygov.cn），在政府采购云平台注册或登录，并在系统下载获取招标文件，逾期下载无效。</w:t>
      </w:r>
    </w:p>
    <w:p>
      <w:pPr>
        <w:pStyle w:val="4"/>
        <w:spacing w:line="400" w:lineRule="exact"/>
        <w:rPr>
          <w:rFonts w:ascii="黑体" w:hAnsi="黑体" w:cs="宋体"/>
          <w:b w:val="0"/>
          <w:color w:val="auto"/>
          <w:sz w:val="24"/>
          <w:szCs w:val="24"/>
          <w:highlight w:val="none"/>
        </w:rPr>
      </w:pPr>
      <w:bookmarkStart w:id="15" w:name="_Toc28359015"/>
      <w:bookmarkStart w:id="16" w:name="_Toc35393801"/>
      <w:bookmarkStart w:id="17" w:name="_Toc35393632"/>
      <w:bookmarkStart w:id="18" w:name="_Toc28359092"/>
      <w:r>
        <w:rPr>
          <w:rFonts w:hint="eastAsia" w:ascii="黑体" w:hAnsi="黑体" w:cs="宋体"/>
          <w:b w:val="0"/>
          <w:color w:val="auto"/>
          <w:sz w:val="24"/>
          <w:szCs w:val="24"/>
          <w:highlight w:val="none"/>
        </w:rPr>
        <w:t>四、响应文件提交</w:t>
      </w:r>
      <w:bookmarkEnd w:id="15"/>
      <w:bookmarkEnd w:id="16"/>
      <w:bookmarkEnd w:id="17"/>
      <w:bookmarkEnd w:id="18"/>
    </w:p>
    <w:p>
      <w:pPr>
        <w:spacing w:line="400" w:lineRule="exact"/>
        <w:ind w:firstLine="540"/>
        <w:rPr>
          <w:rFonts w:ascii="仿宋" w:hAnsi="仿宋" w:eastAsia="仿宋"/>
          <w:color w:val="auto"/>
          <w:sz w:val="24"/>
          <w:szCs w:val="24"/>
          <w:highlight w:val="none"/>
        </w:rPr>
      </w:pPr>
      <w:r>
        <w:rPr>
          <w:rFonts w:hint="eastAsia" w:ascii="仿宋" w:hAnsi="仿宋" w:eastAsia="仿宋"/>
          <w:color w:val="auto"/>
          <w:sz w:val="24"/>
          <w:szCs w:val="24"/>
          <w:highlight w:val="none"/>
        </w:rPr>
        <w:t>截止时间：2020年</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26</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时</w:t>
      </w: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分（北京时间）</w:t>
      </w:r>
    </w:p>
    <w:p>
      <w:pPr>
        <w:spacing w:line="400" w:lineRule="exact"/>
        <w:ind w:firstLine="540"/>
        <w:rPr>
          <w:rFonts w:ascii="仿宋" w:hAnsi="仿宋" w:eastAsia="仿宋"/>
          <w:color w:val="auto"/>
          <w:sz w:val="24"/>
          <w:szCs w:val="24"/>
          <w:highlight w:val="none"/>
        </w:rPr>
      </w:pPr>
      <w:r>
        <w:rPr>
          <w:rFonts w:hint="eastAsia" w:ascii="仿宋" w:hAnsi="仿宋" w:eastAsia="仿宋"/>
          <w:color w:val="auto"/>
          <w:sz w:val="24"/>
          <w:szCs w:val="24"/>
          <w:highlight w:val="none"/>
        </w:rPr>
        <w:t>地点：广西品格招标有限公司崇左市城南区龙峡山中段南侧（崇左逸安居花园）第五栋三楼开标室</w:t>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rPr>
        <w:t>参加谈判的法定代表人或委托代理人必须持有效证件依时到达指定地点等候当面谈判商。</w:t>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rPr>
        <w:t>有效证件要求如下：</w:t>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rPr>
        <w:t>1.被授权代表为法定代表人的，须出示其有效身份证原件及复印件、营业执照或事业单位法人证书复印件（加盖竞标单位公章）；</w:t>
      </w:r>
    </w:p>
    <w:p>
      <w:pPr>
        <w:pStyle w:val="20"/>
        <w:spacing w:before="75" w:beforeAutospacing="0" w:after="75" w:afterAutospacing="0" w:line="405" w:lineRule="atLeast"/>
        <w:ind w:firstLine="480"/>
        <w:textAlignment w:val="baseline"/>
        <w:rPr>
          <w:rFonts w:hint="eastAsia" w:ascii="仿宋" w:hAnsi="仿宋" w:eastAsia="仿宋"/>
          <w:color w:val="auto"/>
          <w:kern w:val="2"/>
          <w:highlight w:val="none"/>
          <w:lang w:val="en-US" w:eastAsia="zh-CN"/>
        </w:rPr>
      </w:pPr>
      <w:r>
        <w:rPr>
          <w:rFonts w:hint="eastAsia" w:ascii="仿宋" w:hAnsi="仿宋" w:eastAsia="仿宋"/>
          <w:color w:val="auto"/>
          <w:kern w:val="2"/>
          <w:highlight w:val="none"/>
        </w:rPr>
        <w:t>2.被授权代表为非法定代表人的，须出示其有效身份证原件及复印件、法定代表人授权委托书原件、营业执照或事业单位法人证书复印件（加盖投标单位公章）</w:t>
      </w:r>
      <w:r>
        <w:rPr>
          <w:rFonts w:hint="eastAsia" w:ascii="仿宋" w:hAnsi="仿宋" w:eastAsia="仿宋"/>
          <w:color w:val="auto"/>
          <w:kern w:val="2"/>
          <w:highlight w:val="none"/>
          <w:lang w:eastAsia="zh-CN"/>
        </w:rPr>
        <w:t>。</w:t>
      </w:r>
    </w:p>
    <w:p>
      <w:pPr>
        <w:pStyle w:val="36"/>
        <w:rPr>
          <w:rFonts w:eastAsia="仿宋"/>
          <w:color w:val="auto"/>
          <w:highlight w:val="none"/>
        </w:rPr>
      </w:pPr>
    </w:p>
    <w:p>
      <w:pPr>
        <w:pStyle w:val="4"/>
        <w:spacing w:line="400" w:lineRule="exact"/>
        <w:rPr>
          <w:rFonts w:ascii="黑体" w:hAnsi="黑体" w:cs="宋体"/>
          <w:b w:val="0"/>
          <w:color w:val="auto"/>
          <w:sz w:val="24"/>
          <w:szCs w:val="24"/>
          <w:highlight w:val="none"/>
        </w:rPr>
      </w:pPr>
      <w:bookmarkStart w:id="19" w:name="_Toc28359093"/>
      <w:bookmarkStart w:id="20" w:name="_Toc28359016"/>
      <w:bookmarkStart w:id="21" w:name="_Toc35393633"/>
      <w:bookmarkStart w:id="22" w:name="_Toc35393802"/>
      <w:r>
        <w:rPr>
          <w:rFonts w:hint="eastAsia" w:ascii="黑体" w:hAnsi="黑体" w:cs="宋体"/>
          <w:b w:val="0"/>
          <w:color w:val="auto"/>
          <w:sz w:val="24"/>
          <w:szCs w:val="24"/>
          <w:highlight w:val="none"/>
        </w:rPr>
        <w:t>五、开启</w:t>
      </w:r>
      <w:bookmarkEnd w:id="19"/>
      <w:bookmarkEnd w:id="20"/>
      <w:bookmarkEnd w:id="21"/>
      <w:bookmarkEnd w:id="22"/>
    </w:p>
    <w:p>
      <w:pPr>
        <w:spacing w:line="400" w:lineRule="exact"/>
        <w:ind w:firstLine="480" w:firstLineChars="200"/>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时间：2020</w:t>
      </w:r>
      <w:r>
        <w:rPr>
          <w:rFonts w:hint="eastAsia" w:ascii="仿宋" w:hAnsi="仿宋" w:eastAsia="仿宋"/>
          <w:bCs/>
          <w:color w:val="auto"/>
          <w:sz w:val="24"/>
          <w:szCs w:val="24"/>
          <w:highlight w:val="none"/>
        </w:rPr>
        <w:t>年</w:t>
      </w:r>
      <w:r>
        <w:rPr>
          <w:rFonts w:hint="eastAsia" w:ascii="仿宋" w:hAnsi="仿宋" w:eastAsia="仿宋"/>
          <w:bCs/>
          <w:color w:val="auto"/>
          <w:sz w:val="24"/>
          <w:szCs w:val="24"/>
          <w:highlight w:val="none"/>
          <w:lang w:val="en-US" w:eastAsia="zh-CN"/>
        </w:rPr>
        <w:t>10</w:t>
      </w:r>
      <w:r>
        <w:rPr>
          <w:rFonts w:hint="eastAsia" w:ascii="仿宋" w:hAnsi="仿宋" w:eastAsia="仿宋"/>
          <w:bCs/>
          <w:color w:val="auto"/>
          <w:sz w:val="24"/>
          <w:szCs w:val="24"/>
          <w:highlight w:val="none"/>
        </w:rPr>
        <w:t>月</w:t>
      </w:r>
      <w:r>
        <w:rPr>
          <w:rFonts w:hint="eastAsia" w:ascii="仿宋" w:hAnsi="仿宋" w:eastAsia="仿宋"/>
          <w:bCs/>
          <w:color w:val="auto"/>
          <w:sz w:val="24"/>
          <w:szCs w:val="24"/>
          <w:highlight w:val="none"/>
          <w:lang w:val="en-US" w:eastAsia="zh-CN"/>
        </w:rPr>
        <w:t>26</w:t>
      </w:r>
      <w:r>
        <w:rPr>
          <w:rFonts w:hint="eastAsia" w:ascii="仿宋" w:hAnsi="仿宋" w:eastAsia="仿宋"/>
          <w:bCs/>
          <w:color w:val="auto"/>
          <w:sz w:val="24"/>
          <w:szCs w:val="24"/>
          <w:highlight w:val="none"/>
        </w:rPr>
        <w:t>日</w:t>
      </w:r>
      <w:r>
        <w:rPr>
          <w:rFonts w:hint="eastAsia" w:ascii="仿宋" w:hAnsi="仿宋" w:eastAsia="仿宋"/>
          <w:bCs/>
          <w:color w:val="auto"/>
          <w:sz w:val="24"/>
          <w:szCs w:val="24"/>
          <w:highlight w:val="none"/>
          <w:lang w:val="en-US" w:eastAsia="zh-CN"/>
        </w:rPr>
        <w:t>10</w:t>
      </w:r>
      <w:r>
        <w:rPr>
          <w:rFonts w:hint="eastAsia" w:ascii="仿宋" w:hAnsi="仿宋" w:eastAsia="仿宋"/>
          <w:bCs/>
          <w:color w:val="auto"/>
          <w:sz w:val="24"/>
          <w:szCs w:val="24"/>
          <w:highlight w:val="none"/>
        </w:rPr>
        <w:t>时</w:t>
      </w:r>
      <w:r>
        <w:rPr>
          <w:rFonts w:hint="eastAsia" w:ascii="仿宋" w:hAnsi="仿宋" w:eastAsia="仿宋"/>
          <w:bCs/>
          <w:color w:val="auto"/>
          <w:sz w:val="24"/>
          <w:szCs w:val="24"/>
          <w:highlight w:val="none"/>
          <w:lang w:val="en-US" w:eastAsia="zh-CN"/>
        </w:rPr>
        <w:t>30</w:t>
      </w:r>
      <w:r>
        <w:rPr>
          <w:rFonts w:hint="eastAsia" w:ascii="仿宋" w:hAnsi="仿宋" w:eastAsia="仿宋"/>
          <w:bCs/>
          <w:color w:val="auto"/>
          <w:sz w:val="24"/>
          <w:szCs w:val="24"/>
          <w:highlight w:val="none"/>
        </w:rPr>
        <w:t>分（北京时间）（具体时间以评委到达评标现场并开始评标为准）</w:t>
      </w:r>
    </w:p>
    <w:p>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地点：广西品格招标有限公司崇左市城南区龙峡山中段南侧（崇左逸安居花园）第五栋三楼开标室</w:t>
      </w:r>
    </w:p>
    <w:p>
      <w:pPr>
        <w:pStyle w:val="4"/>
        <w:spacing w:line="400" w:lineRule="exact"/>
        <w:rPr>
          <w:rFonts w:ascii="黑体" w:hAnsi="黑体" w:cs="宋体"/>
          <w:b w:val="0"/>
          <w:color w:val="auto"/>
          <w:sz w:val="24"/>
          <w:szCs w:val="24"/>
          <w:highlight w:val="none"/>
        </w:rPr>
      </w:pPr>
      <w:bookmarkStart w:id="23" w:name="_Toc35393803"/>
      <w:bookmarkStart w:id="24" w:name="_Toc28359094"/>
      <w:bookmarkStart w:id="25" w:name="_Toc28359017"/>
      <w:bookmarkStart w:id="26" w:name="_Toc35393634"/>
      <w:r>
        <w:rPr>
          <w:rFonts w:hint="eastAsia" w:ascii="黑体" w:hAnsi="黑体" w:cs="宋体"/>
          <w:b w:val="0"/>
          <w:color w:val="auto"/>
          <w:sz w:val="24"/>
          <w:szCs w:val="24"/>
          <w:highlight w:val="none"/>
        </w:rPr>
        <w:t>六、公告期限</w:t>
      </w:r>
      <w:bookmarkEnd w:id="23"/>
      <w:bookmarkEnd w:id="24"/>
      <w:bookmarkEnd w:id="25"/>
      <w:bookmarkEnd w:id="26"/>
    </w:p>
    <w:p>
      <w:pPr>
        <w:spacing w:line="400" w:lineRule="exac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自本公告发布之日起</w:t>
      </w:r>
      <w:r>
        <w:rPr>
          <w:rFonts w:hint="eastAsia" w:ascii="仿宋" w:hAnsi="仿宋" w:eastAsia="仿宋"/>
          <w:color w:val="auto"/>
          <w:kern w:val="0"/>
          <w:sz w:val="24"/>
          <w:szCs w:val="24"/>
          <w:highlight w:val="none"/>
          <w:lang w:val="en-US" w:eastAsia="zh-CN"/>
        </w:rPr>
        <w:t>5</w:t>
      </w:r>
      <w:r>
        <w:rPr>
          <w:rFonts w:hint="eastAsia" w:ascii="仿宋" w:hAnsi="仿宋" w:eastAsia="仿宋"/>
          <w:color w:val="auto"/>
          <w:kern w:val="0"/>
          <w:sz w:val="24"/>
          <w:szCs w:val="24"/>
          <w:highlight w:val="none"/>
        </w:rPr>
        <w:t>个工作日。</w:t>
      </w:r>
    </w:p>
    <w:p>
      <w:pPr>
        <w:pStyle w:val="4"/>
        <w:spacing w:line="400" w:lineRule="exact"/>
        <w:rPr>
          <w:rFonts w:ascii="黑体" w:hAnsi="黑体" w:cs="宋体"/>
          <w:b w:val="0"/>
          <w:color w:val="auto"/>
          <w:sz w:val="24"/>
          <w:szCs w:val="24"/>
          <w:highlight w:val="none"/>
        </w:rPr>
      </w:pPr>
      <w:bookmarkStart w:id="27" w:name="_Toc35393635"/>
      <w:bookmarkStart w:id="28" w:name="_Toc35393804"/>
      <w:r>
        <w:rPr>
          <w:rFonts w:hint="eastAsia" w:ascii="黑体" w:hAnsi="黑体" w:cs="宋体"/>
          <w:b w:val="0"/>
          <w:color w:val="auto"/>
          <w:sz w:val="24"/>
          <w:szCs w:val="24"/>
          <w:highlight w:val="none"/>
        </w:rPr>
        <w:t>七、其他补充事宜</w:t>
      </w:r>
      <w:bookmarkEnd w:id="27"/>
      <w:bookmarkEnd w:id="28"/>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bookmarkStart w:id="29" w:name="_Toc28359095"/>
      <w:bookmarkStart w:id="30" w:name="_Toc28359018"/>
      <w:bookmarkStart w:id="31" w:name="_Toc35393805"/>
      <w:bookmarkStart w:id="32" w:name="_Toc35393636"/>
      <w:r>
        <w:rPr>
          <w:rFonts w:hint="eastAsia" w:ascii="仿宋" w:hAnsi="仿宋" w:eastAsia="仿宋"/>
          <w:color w:val="auto"/>
          <w:kern w:val="2"/>
          <w:highlight w:val="none"/>
          <w:lang w:val="en-US" w:eastAsia="zh-CN"/>
        </w:rPr>
        <w:t>1</w:t>
      </w:r>
      <w:r>
        <w:rPr>
          <w:rFonts w:hint="eastAsia" w:ascii="仿宋" w:hAnsi="仿宋" w:eastAsia="仿宋"/>
          <w:color w:val="auto"/>
          <w:kern w:val="2"/>
          <w:highlight w:val="none"/>
        </w:rPr>
        <w:t>.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lang w:val="en-US" w:eastAsia="zh-CN"/>
        </w:rPr>
        <w:t>2</w:t>
      </w:r>
      <w:r>
        <w:rPr>
          <w:rFonts w:hint="eastAsia" w:ascii="仿宋" w:hAnsi="仿宋" w:eastAsia="仿宋"/>
          <w:color w:val="auto"/>
          <w:kern w:val="2"/>
          <w:highlight w:val="none"/>
        </w:rPr>
        <w:t>.网上公告媒体查询：</w:t>
      </w:r>
      <w:r>
        <w:rPr>
          <w:color w:val="auto"/>
          <w:highlight w:val="none"/>
        </w:rPr>
        <w:fldChar w:fldCharType="begin"/>
      </w:r>
      <w:r>
        <w:rPr>
          <w:color w:val="auto"/>
          <w:highlight w:val="none"/>
        </w:rPr>
        <w:instrText xml:space="preserve"> HYPERLINK "http://www.ccgp.gov.cn（中国政府采购网）、zfcg.gxzf.gov.cn（广西壮族自治区政府采购网）。" </w:instrText>
      </w:r>
      <w:r>
        <w:rPr>
          <w:color w:val="auto"/>
          <w:highlight w:val="none"/>
        </w:rPr>
        <w:fldChar w:fldCharType="separate"/>
      </w:r>
      <w:r>
        <w:rPr>
          <w:rStyle w:val="32"/>
          <w:rFonts w:hint="eastAsia" w:ascii="仿宋" w:hAnsi="仿宋" w:eastAsia="仿宋" w:cs="宋体"/>
          <w:kern w:val="2"/>
          <w:highlight w:val="none"/>
        </w:rPr>
        <w:t>www.ccgp.gov.cn（中国政府采购网）、zfcg.gxzf.gov.cn（广西壮族自治区政府采购网）。</w:t>
      </w:r>
      <w:r>
        <w:rPr>
          <w:rStyle w:val="32"/>
          <w:rFonts w:hint="eastAsia" w:ascii="仿宋" w:hAnsi="仿宋" w:eastAsia="仿宋" w:cs="宋体"/>
          <w:kern w:val="2"/>
          <w:highlight w:val="none"/>
        </w:rPr>
        <w:fldChar w:fldCharType="end"/>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lang w:val="en-US" w:eastAsia="zh-CN"/>
        </w:rPr>
        <w:t>3</w:t>
      </w:r>
      <w:r>
        <w:rPr>
          <w:rFonts w:hint="eastAsia" w:ascii="仿宋" w:hAnsi="仿宋" w:eastAsia="仿宋"/>
          <w:color w:val="auto"/>
          <w:kern w:val="2"/>
          <w:highlight w:val="none"/>
        </w:rPr>
        <w:t>.本项目需要落实的政府采购政策</w:t>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rPr>
        <w:t>（1）政府采购促进中小企业发展。</w:t>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rPr>
        <w:t>（2）政府采购支持采用本国产品的政策。</w:t>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rPr>
        <w:t>（3）强制采购节能产品；优先采购节能产品、环境标志产品。</w:t>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rPr>
        <w:t>（4）政府采购促进残疾人就业政策。</w:t>
      </w:r>
    </w:p>
    <w:p>
      <w:pPr>
        <w:pStyle w:val="20"/>
        <w:spacing w:before="75" w:beforeAutospacing="0" w:after="75" w:afterAutospacing="0" w:line="405" w:lineRule="atLeast"/>
        <w:ind w:firstLine="480"/>
        <w:textAlignment w:val="baseline"/>
        <w:rPr>
          <w:rFonts w:ascii="仿宋" w:hAnsi="仿宋" w:eastAsia="仿宋"/>
          <w:color w:val="auto"/>
          <w:kern w:val="2"/>
          <w:highlight w:val="none"/>
        </w:rPr>
      </w:pPr>
      <w:r>
        <w:rPr>
          <w:rFonts w:hint="eastAsia" w:ascii="仿宋" w:hAnsi="仿宋" w:eastAsia="仿宋"/>
          <w:color w:val="auto"/>
          <w:kern w:val="2"/>
          <w:highlight w:val="none"/>
        </w:rPr>
        <w:t>（5）政府采购支持监狱企业发展。</w:t>
      </w:r>
    </w:p>
    <w:p>
      <w:pPr>
        <w:pStyle w:val="4"/>
        <w:spacing w:line="400" w:lineRule="exact"/>
        <w:rPr>
          <w:rFonts w:ascii="黑体" w:hAnsi="黑体" w:cs="宋体"/>
          <w:b w:val="0"/>
          <w:color w:val="auto"/>
          <w:sz w:val="24"/>
          <w:szCs w:val="24"/>
          <w:highlight w:val="none"/>
        </w:rPr>
      </w:pPr>
      <w:r>
        <w:rPr>
          <w:rFonts w:hint="eastAsia" w:ascii="黑体" w:hAnsi="黑体" w:cs="宋体"/>
          <w:b w:val="0"/>
          <w:color w:val="auto"/>
          <w:sz w:val="24"/>
          <w:szCs w:val="24"/>
          <w:highlight w:val="none"/>
        </w:rPr>
        <w:t>八、凡对本次采购提出询问，请按</w:t>
      </w:r>
      <w:r>
        <w:rPr>
          <w:rFonts w:ascii="黑体" w:hAnsi="黑体" w:cs="宋体"/>
          <w:b w:val="0"/>
          <w:color w:val="auto"/>
          <w:sz w:val="24"/>
          <w:szCs w:val="24"/>
          <w:highlight w:val="none"/>
        </w:rPr>
        <w:t>以下方式</w:t>
      </w:r>
      <w:r>
        <w:rPr>
          <w:rFonts w:hint="eastAsia" w:ascii="黑体" w:hAnsi="黑体" w:cs="宋体"/>
          <w:b w:val="0"/>
          <w:color w:val="auto"/>
          <w:sz w:val="24"/>
          <w:szCs w:val="24"/>
          <w:highlight w:val="none"/>
        </w:rPr>
        <w:t>联系。</w:t>
      </w:r>
      <w:bookmarkEnd w:id="29"/>
      <w:bookmarkEnd w:id="30"/>
      <w:bookmarkEnd w:id="31"/>
      <w:bookmarkEnd w:id="32"/>
    </w:p>
    <w:p>
      <w:pPr>
        <w:pStyle w:val="4"/>
        <w:spacing w:line="400" w:lineRule="exact"/>
        <w:ind w:firstLine="480" w:firstLineChars="200"/>
        <w:rPr>
          <w:rFonts w:ascii="仿宋" w:hAnsi="仿宋" w:eastAsia="仿宋" w:cs="宋体"/>
          <w:b w:val="0"/>
          <w:color w:val="auto"/>
          <w:sz w:val="24"/>
          <w:szCs w:val="24"/>
          <w:highlight w:val="none"/>
        </w:rPr>
      </w:pPr>
      <w:bookmarkStart w:id="33" w:name="_Toc28359019"/>
      <w:bookmarkStart w:id="34" w:name="_Toc28359096"/>
      <w:bookmarkStart w:id="35" w:name="_Toc35393806"/>
      <w:bookmarkStart w:id="36" w:name="_Toc35393637"/>
      <w:r>
        <w:rPr>
          <w:rFonts w:hint="eastAsia" w:ascii="仿宋" w:hAnsi="仿宋" w:eastAsia="仿宋" w:cs="宋体"/>
          <w:b w:val="0"/>
          <w:color w:val="auto"/>
          <w:sz w:val="24"/>
          <w:szCs w:val="24"/>
          <w:highlight w:val="none"/>
        </w:rPr>
        <w:t>1.采购人信息</w:t>
      </w:r>
      <w:bookmarkEnd w:id="33"/>
      <w:bookmarkEnd w:id="34"/>
      <w:bookmarkEnd w:id="35"/>
      <w:bookmarkEnd w:id="36"/>
    </w:p>
    <w:p>
      <w:pPr>
        <w:spacing w:line="400" w:lineRule="exact"/>
        <w:ind w:left="1079" w:leftChars="371" w:hanging="300" w:hangingChars="125"/>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名    称：大新县龙门乡人民政府</w:t>
      </w:r>
    </w:p>
    <w:p>
      <w:pPr>
        <w:spacing w:line="400" w:lineRule="exact"/>
        <w:ind w:left="1079" w:leftChars="371" w:hanging="300" w:hangingChars="125"/>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    址：大新县龙门社区南街188号</w:t>
      </w:r>
    </w:p>
    <w:p>
      <w:pPr>
        <w:spacing w:line="400" w:lineRule="exact"/>
        <w:ind w:left="1079" w:leftChars="371" w:hanging="300" w:hangingChars="125"/>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联 系 人：黄工 </w:t>
      </w:r>
    </w:p>
    <w:p>
      <w:pPr>
        <w:spacing w:line="400" w:lineRule="exact"/>
        <w:ind w:left="1079" w:leftChars="371" w:hanging="300" w:hangingChars="125"/>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联系方式：</w:t>
      </w:r>
      <w:r>
        <w:rPr>
          <w:rFonts w:hint="eastAsia" w:ascii="仿宋" w:hAnsi="仿宋" w:eastAsia="仿宋" w:cs="仿宋"/>
          <w:color w:val="auto"/>
          <w:sz w:val="24"/>
          <w:szCs w:val="24"/>
          <w:highlight w:val="none"/>
        </w:rPr>
        <w:t xml:space="preserve">0771-3660016 </w:t>
      </w:r>
    </w:p>
    <w:p>
      <w:pPr>
        <w:pStyle w:val="4"/>
        <w:spacing w:line="400" w:lineRule="exact"/>
        <w:ind w:left="630" w:leftChars="300"/>
        <w:rPr>
          <w:rFonts w:ascii="仿宋" w:hAnsi="仿宋" w:eastAsia="仿宋" w:cs="宋体"/>
          <w:b w:val="0"/>
          <w:color w:val="auto"/>
          <w:sz w:val="24"/>
          <w:szCs w:val="24"/>
          <w:highlight w:val="none"/>
        </w:rPr>
      </w:pPr>
      <w:bookmarkStart w:id="37" w:name="_Toc35393807"/>
      <w:bookmarkStart w:id="38" w:name="_Toc35393638"/>
      <w:bookmarkStart w:id="39" w:name="_Toc28359020"/>
      <w:bookmarkStart w:id="40" w:name="_Toc28359097"/>
      <w:r>
        <w:rPr>
          <w:rFonts w:hint="eastAsia" w:ascii="仿宋" w:hAnsi="仿宋" w:eastAsia="仿宋" w:cs="宋体"/>
          <w:b w:val="0"/>
          <w:color w:val="auto"/>
          <w:sz w:val="24"/>
          <w:szCs w:val="24"/>
          <w:highlight w:val="none"/>
        </w:rPr>
        <w:t>2.采购代理机构信息</w:t>
      </w:r>
      <w:bookmarkEnd w:id="37"/>
      <w:bookmarkEnd w:id="38"/>
      <w:bookmarkEnd w:id="39"/>
      <w:bookmarkEnd w:id="40"/>
    </w:p>
    <w:p>
      <w:pPr>
        <w:spacing w:line="40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名    称：广西品格招标有限公司</w:t>
      </w:r>
    </w:p>
    <w:p>
      <w:pPr>
        <w:spacing w:line="40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地　　址：南宁市江南区五一中路111-9号</w:t>
      </w:r>
    </w:p>
    <w:p>
      <w:pPr>
        <w:spacing w:line="40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联系方式：0771-2298386</w:t>
      </w:r>
    </w:p>
    <w:p>
      <w:pPr>
        <w:pStyle w:val="4"/>
        <w:spacing w:line="400" w:lineRule="exact"/>
        <w:ind w:left="630" w:leftChars="300"/>
        <w:rPr>
          <w:rFonts w:ascii="仿宋" w:hAnsi="仿宋" w:eastAsia="仿宋" w:cs="宋体"/>
          <w:b w:val="0"/>
          <w:color w:val="auto"/>
          <w:sz w:val="24"/>
          <w:szCs w:val="24"/>
          <w:highlight w:val="none"/>
        </w:rPr>
      </w:pPr>
      <w:bookmarkStart w:id="41" w:name="_Toc35393808"/>
      <w:bookmarkStart w:id="42" w:name="_Toc28359021"/>
      <w:bookmarkStart w:id="43" w:name="_Toc28359098"/>
      <w:bookmarkStart w:id="44" w:name="_Toc35393639"/>
      <w:r>
        <w:rPr>
          <w:rFonts w:hint="eastAsia" w:ascii="仿宋" w:hAnsi="仿宋" w:eastAsia="仿宋" w:cs="宋体"/>
          <w:b w:val="0"/>
          <w:color w:val="auto"/>
          <w:sz w:val="24"/>
          <w:szCs w:val="24"/>
          <w:highlight w:val="none"/>
        </w:rPr>
        <w:t>3.项目联系</w:t>
      </w:r>
      <w:r>
        <w:rPr>
          <w:rFonts w:ascii="仿宋" w:hAnsi="仿宋" w:eastAsia="仿宋" w:cs="宋体"/>
          <w:b w:val="0"/>
          <w:color w:val="auto"/>
          <w:sz w:val="24"/>
          <w:szCs w:val="24"/>
          <w:highlight w:val="none"/>
        </w:rPr>
        <w:t>方式</w:t>
      </w:r>
      <w:bookmarkEnd w:id="41"/>
      <w:bookmarkEnd w:id="42"/>
      <w:bookmarkEnd w:id="43"/>
      <w:bookmarkEnd w:id="44"/>
    </w:p>
    <w:p>
      <w:pPr>
        <w:pStyle w:val="13"/>
        <w:spacing w:line="40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项目联系人：林工</w:t>
      </w:r>
    </w:p>
    <w:p>
      <w:pPr>
        <w:spacing w:line="40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电　　 话：0771-2298386</w:t>
      </w:r>
    </w:p>
    <w:p>
      <w:pPr>
        <w:pStyle w:val="14"/>
        <w:spacing w:line="240" w:lineRule="auto"/>
        <w:ind w:left="0" w:leftChars="0" w:firstLine="720" w:firstLineChars="300"/>
        <w:rPr>
          <w:rFonts w:ascii="仿宋" w:hAnsi="仿宋" w:eastAsia="仿宋"/>
          <w:color w:val="auto"/>
          <w:sz w:val="24"/>
          <w:highlight w:val="none"/>
        </w:rPr>
      </w:pPr>
      <w:r>
        <w:rPr>
          <w:rFonts w:hint="eastAsia" w:ascii="仿宋" w:hAnsi="仿宋" w:eastAsia="仿宋"/>
          <w:color w:val="auto"/>
          <w:sz w:val="24"/>
          <w:highlight w:val="none"/>
        </w:rPr>
        <w:t>4. 监督部门</w:t>
      </w:r>
    </w:p>
    <w:p>
      <w:pPr>
        <w:pStyle w:val="14"/>
        <w:spacing w:line="240" w:lineRule="auto"/>
        <w:ind w:left="0" w:leftChars="0" w:firstLine="720" w:firstLineChars="300"/>
        <w:rPr>
          <w:rFonts w:ascii="仿宋" w:hAnsi="仿宋" w:eastAsia="仿宋"/>
          <w:color w:val="auto"/>
          <w:sz w:val="24"/>
          <w:highlight w:val="none"/>
        </w:rPr>
      </w:pPr>
      <w:r>
        <w:rPr>
          <w:rFonts w:hint="eastAsia" w:ascii="仿宋" w:hAnsi="仿宋" w:eastAsia="仿宋"/>
          <w:color w:val="auto"/>
          <w:sz w:val="24"/>
          <w:highlight w:val="none"/>
        </w:rPr>
        <w:t>名    称：</w:t>
      </w:r>
      <w:r>
        <w:rPr>
          <w:rFonts w:hint="eastAsia" w:ascii="仿宋" w:hAnsi="仿宋" w:eastAsia="仿宋" w:cs="仿宋"/>
          <w:color w:val="auto"/>
          <w:sz w:val="24"/>
          <w:szCs w:val="24"/>
          <w:highlight w:val="none"/>
        </w:rPr>
        <w:t xml:space="preserve">大新县财政局政府采购监督管理部门 </w:t>
      </w:r>
      <w:r>
        <w:rPr>
          <w:rFonts w:hint="eastAsia" w:ascii="仿宋" w:hAnsi="仿宋" w:eastAsia="仿宋"/>
          <w:color w:val="auto"/>
          <w:sz w:val="24"/>
          <w:highlight w:val="none"/>
        </w:rPr>
        <w:t xml:space="preserve">  </w:t>
      </w:r>
    </w:p>
    <w:p>
      <w:pPr>
        <w:spacing w:line="360" w:lineRule="auto"/>
        <w:ind w:firstLine="708" w:firstLineChars="295"/>
        <w:rPr>
          <w:rFonts w:ascii="仿宋" w:hAnsi="仿宋" w:eastAsia="仿宋" w:cs="仿宋"/>
          <w:color w:val="auto"/>
          <w:sz w:val="24"/>
          <w:szCs w:val="24"/>
          <w:highlight w:val="none"/>
        </w:rPr>
      </w:pPr>
      <w:r>
        <w:rPr>
          <w:rFonts w:hint="eastAsia" w:ascii="仿宋" w:hAnsi="仿宋" w:eastAsia="仿宋"/>
          <w:color w:val="auto"/>
          <w:sz w:val="24"/>
          <w:highlight w:val="none"/>
        </w:rPr>
        <w:t>电    话：</w:t>
      </w:r>
      <w:r>
        <w:rPr>
          <w:rFonts w:hint="eastAsia" w:ascii="仿宋" w:hAnsi="仿宋" w:eastAsia="仿宋" w:cs="仿宋"/>
          <w:color w:val="auto"/>
          <w:sz w:val="24"/>
          <w:szCs w:val="24"/>
          <w:highlight w:val="none"/>
        </w:rPr>
        <w:t>0771-3626646</w:t>
      </w:r>
    </w:p>
    <w:p>
      <w:pPr>
        <w:spacing w:line="400" w:lineRule="exact"/>
        <w:ind w:firstLine="720" w:firstLineChars="300"/>
        <w:rPr>
          <w:rFonts w:ascii="仿宋" w:hAnsi="仿宋" w:eastAsia="仿宋" w:cs="Times New Roman"/>
          <w:color w:val="auto"/>
          <w:sz w:val="24"/>
          <w:szCs w:val="24"/>
          <w:highlight w:val="none"/>
        </w:rPr>
      </w:pPr>
      <w:r>
        <w:rPr>
          <w:rFonts w:hint="eastAsia" w:ascii="仿宋" w:hAnsi="仿宋" w:eastAsia="仿宋"/>
          <w:bCs/>
          <w:color w:val="auto"/>
          <w:sz w:val="24"/>
          <w:szCs w:val="24"/>
          <w:highlight w:val="none"/>
        </w:rPr>
        <w:t xml:space="preserve">                                          </w:t>
      </w:r>
      <w:r>
        <w:rPr>
          <w:rFonts w:hint="eastAsia" w:ascii="仿宋" w:hAnsi="仿宋" w:eastAsia="仿宋" w:cs="Times New Roman"/>
          <w:color w:val="auto"/>
          <w:sz w:val="24"/>
          <w:szCs w:val="24"/>
          <w:highlight w:val="none"/>
        </w:rPr>
        <w:t xml:space="preserve"> 广西品格招标有限公司</w:t>
      </w:r>
    </w:p>
    <w:p>
      <w:pPr>
        <w:spacing w:line="400" w:lineRule="exact"/>
        <w:ind w:firstLine="720" w:firstLineChars="300"/>
        <w:rPr>
          <w:rFonts w:ascii="仿宋" w:hAnsi="仿宋" w:eastAsia="仿宋"/>
          <w:color w:val="auto"/>
          <w:sz w:val="24"/>
          <w:highlight w:val="none"/>
        </w:rPr>
      </w:pPr>
      <w:r>
        <w:rPr>
          <w:rFonts w:hint="eastAsia" w:ascii="仿宋" w:hAnsi="仿宋" w:eastAsia="仿宋"/>
          <w:color w:val="auto"/>
          <w:sz w:val="24"/>
          <w:highlight w:val="none"/>
        </w:rPr>
        <w:t xml:space="preserve">                                              2020年</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日</w:t>
      </w:r>
    </w:p>
    <w:p>
      <w:pPr>
        <w:spacing w:line="400" w:lineRule="exact"/>
        <w:rPr>
          <w:rFonts w:ascii="仿宋" w:hAnsi="仿宋" w:eastAsia="仿宋" w:cs="仿宋"/>
          <w:color w:val="auto"/>
          <w:highlight w:val="none"/>
        </w:rPr>
      </w:pPr>
    </w:p>
    <w:p>
      <w:pPr>
        <w:spacing w:line="400" w:lineRule="exact"/>
        <w:rPr>
          <w:rFonts w:ascii="仿宋" w:hAnsi="仿宋" w:eastAsia="仿宋" w:cs="仿宋"/>
          <w:color w:val="auto"/>
          <w:highlight w:val="none"/>
        </w:rPr>
      </w:pPr>
    </w:p>
    <w:p>
      <w:pPr>
        <w:spacing w:line="400" w:lineRule="exact"/>
        <w:rPr>
          <w:rFonts w:ascii="仿宋" w:hAnsi="仿宋" w:eastAsia="仿宋" w:cs="仿宋"/>
          <w:color w:val="auto"/>
          <w:highlight w:val="none"/>
        </w:rPr>
      </w:pPr>
    </w:p>
    <w:p>
      <w:pPr>
        <w:spacing w:line="400" w:lineRule="exact"/>
        <w:rPr>
          <w:rFonts w:ascii="仿宋" w:hAnsi="仿宋" w:eastAsia="仿宋" w:cs="仿宋"/>
          <w:color w:val="auto"/>
          <w:highlight w:val="none"/>
        </w:rPr>
      </w:pPr>
    </w:p>
    <w:p>
      <w:pPr>
        <w:spacing w:line="400" w:lineRule="exact"/>
        <w:rPr>
          <w:rFonts w:ascii="仿宋" w:hAnsi="仿宋" w:eastAsia="仿宋" w:cs="仿宋"/>
          <w:color w:val="auto"/>
          <w:highlight w:val="none"/>
        </w:rPr>
      </w:pPr>
    </w:p>
    <w:p>
      <w:pPr>
        <w:spacing w:line="400" w:lineRule="exact"/>
        <w:rPr>
          <w:rFonts w:ascii="仿宋" w:hAnsi="仿宋" w:eastAsia="仿宋" w:cs="仿宋"/>
          <w:color w:val="auto"/>
          <w:highlight w:val="none"/>
        </w:rPr>
      </w:pPr>
    </w:p>
    <w:p>
      <w:pPr>
        <w:spacing w:line="400" w:lineRule="exact"/>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3"/>
        <w:spacing w:before="480" w:beforeLines="200" w:line="500" w:lineRule="exact"/>
        <w:jc w:val="center"/>
        <w:rPr>
          <w:rFonts w:ascii="仿宋" w:hAnsi="仿宋" w:eastAsia="仿宋" w:cs="仿宋"/>
          <w:color w:val="auto"/>
          <w:sz w:val="36"/>
          <w:szCs w:val="36"/>
          <w:highlight w:val="none"/>
        </w:rPr>
      </w:pPr>
      <w:bookmarkStart w:id="45" w:name="_Toc4480"/>
      <w:bookmarkStart w:id="46" w:name="_Toc313535172"/>
      <w:bookmarkStart w:id="47" w:name="_Toc108836044"/>
      <w:r>
        <w:rPr>
          <w:rFonts w:hint="eastAsia" w:ascii="仿宋" w:hAnsi="仿宋" w:eastAsia="仿宋" w:cs="仿宋"/>
          <w:color w:val="auto"/>
          <w:sz w:val="36"/>
          <w:szCs w:val="36"/>
          <w:highlight w:val="none"/>
        </w:rPr>
        <w:t>第一章  磋商须知及前附表</w:t>
      </w:r>
      <w:bookmarkEnd w:id="45"/>
      <w:bookmarkEnd w:id="46"/>
      <w:bookmarkEnd w:id="47"/>
    </w:p>
    <w:p>
      <w:pPr>
        <w:pStyle w:val="13"/>
        <w:spacing w:before="360" w:beforeLines="150" w:after="240" w:afterLines="100"/>
        <w:ind w:firstLine="42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磋商须知前附表</w:t>
      </w:r>
      <w:bookmarkEnd w:id="0"/>
      <w:bookmarkEnd w:id="1"/>
    </w:p>
    <w:tbl>
      <w:tblPr>
        <w:tblStyle w:val="23"/>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89"/>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项号</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条款号</w:t>
            </w:r>
          </w:p>
        </w:tc>
        <w:tc>
          <w:tcPr>
            <w:tcW w:w="8301" w:type="dxa"/>
            <w:vAlign w:val="center"/>
          </w:tcPr>
          <w:p>
            <w:pPr>
              <w:pStyle w:val="13"/>
              <w:spacing w:line="36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p>
        </w:tc>
        <w:tc>
          <w:tcPr>
            <w:tcW w:w="8301" w:type="dxa"/>
            <w:vAlign w:val="center"/>
          </w:tcPr>
          <w:p>
            <w:pPr>
              <w:pStyle w:val="13"/>
              <w:spacing w:line="400" w:lineRule="exact"/>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项目综合说明：</w:t>
            </w:r>
          </w:p>
          <w:p>
            <w:pPr>
              <w:spacing w:line="460" w:lineRule="exact"/>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项目名称：</w:t>
            </w:r>
            <w:r>
              <w:rPr>
                <w:rFonts w:hint="eastAsia" w:ascii="仿宋" w:hAnsi="仿宋" w:eastAsia="仿宋" w:cs="仿宋"/>
                <w:color w:val="auto"/>
                <w:sz w:val="24"/>
                <w:szCs w:val="24"/>
                <w:highlight w:val="none"/>
              </w:rPr>
              <w:t>大新铅锌矿矿区重金属污染土壤整治项目（二期）监理服务</w:t>
            </w:r>
          </w:p>
          <w:p>
            <w:pPr>
              <w:pStyle w:val="13"/>
              <w:spacing w:line="400" w:lineRule="exact"/>
              <w:rPr>
                <w:rFonts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项目编号：</w:t>
            </w:r>
            <w:r>
              <w:rPr>
                <w:rFonts w:hint="eastAsia" w:ascii="仿宋" w:hAnsi="仿宋" w:eastAsia="仿宋" w:cs="仿宋"/>
                <w:color w:val="auto"/>
                <w:kern w:val="2"/>
                <w:sz w:val="24"/>
                <w:szCs w:val="24"/>
                <w:highlight w:val="none"/>
              </w:rPr>
              <w:t>CZZC2020-C3-40066-GXPG</w:t>
            </w:r>
          </w:p>
          <w:p>
            <w:pPr>
              <w:pStyle w:val="13"/>
              <w:spacing w:line="400" w:lineRule="exact"/>
              <w:rPr>
                <w:rFonts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服务期限：</w:t>
            </w:r>
            <w:r>
              <w:rPr>
                <w:rFonts w:hint="eastAsia" w:ascii="仿宋" w:hAnsi="仿宋" w:eastAsia="仿宋" w:cs="仿宋"/>
                <w:color w:val="auto"/>
                <w:sz w:val="24"/>
                <w:szCs w:val="24"/>
                <w:highlight w:val="none"/>
              </w:rPr>
              <w:t>自采购人通知监理进场之日始至工程竣工验收合格之日止</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889" w:type="dxa"/>
            <w:vAlign w:val="center"/>
          </w:tcPr>
          <w:p>
            <w:pPr>
              <w:jc w:val="center"/>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2.1</w:t>
            </w:r>
          </w:p>
        </w:tc>
        <w:tc>
          <w:tcPr>
            <w:tcW w:w="8301" w:type="dxa"/>
            <w:vAlign w:val="center"/>
          </w:tcPr>
          <w:p>
            <w:pPr>
              <w:pStyle w:val="61"/>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资金来源：本级财政追加预算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3.1</w:t>
            </w:r>
          </w:p>
        </w:tc>
        <w:tc>
          <w:tcPr>
            <w:tcW w:w="8301" w:type="dxa"/>
            <w:vAlign w:val="center"/>
          </w:tcPr>
          <w:p>
            <w:pPr>
              <w:pStyle w:val="13"/>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资质等级要求：</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1．符合《中华人民共和国政府采购法》第二十二条规定；具有国内独立法人资格，企业营业执照具有相关环保咨询服务或环境影响评价的供应商，并在人员、资金等方面具备相应的监理能力。</w:t>
            </w:r>
          </w:p>
          <w:p>
            <w:pPr>
              <w:spacing w:line="360" w:lineRule="auto"/>
              <w:rPr>
                <w:rFonts w:ascii="仿宋" w:hAnsi="仿宋" w:eastAsia="仿宋" w:cs="仿宋"/>
                <w:color w:val="auto"/>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供应商拟派总监理工程师须具备环境监理业务上岗证书或环境监理培训合格证书。</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5、本次采购不接受联合体磋商。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5.1</w:t>
            </w:r>
          </w:p>
        </w:tc>
        <w:tc>
          <w:tcPr>
            <w:tcW w:w="8301" w:type="dxa"/>
            <w:vAlign w:val="center"/>
          </w:tcPr>
          <w:p>
            <w:pPr>
              <w:pStyle w:val="13"/>
              <w:spacing w:line="400" w:lineRule="exact"/>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现场考察或答疑会：不组织，供应商可自行勘查。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15.3</w:t>
            </w:r>
          </w:p>
        </w:tc>
        <w:tc>
          <w:tcPr>
            <w:tcW w:w="8301" w:type="dxa"/>
            <w:vAlign w:val="center"/>
          </w:tcPr>
          <w:p>
            <w:pPr>
              <w:pStyle w:val="13"/>
              <w:spacing w:line="400" w:lineRule="exact"/>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磋商报价：供应商须就本项目采购内容及要求作唯一完整的报价，超过采购预算的最后报价将视为无效报价，</w:t>
            </w:r>
          </w:p>
          <w:p>
            <w:pPr>
              <w:pStyle w:val="13"/>
              <w:spacing w:line="400" w:lineRule="exact"/>
              <w:rPr>
                <w:rFonts w:hint="default"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rPr>
              <w:t>采购预算金额：</w:t>
            </w:r>
            <w:r>
              <w:rPr>
                <w:rFonts w:hint="eastAsia" w:ascii="仿宋" w:hAnsi="仿宋" w:eastAsia="仿宋" w:cs="仿宋"/>
                <w:color w:val="auto"/>
                <w:kern w:val="2"/>
                <w:sz w:val="24"/>
                <w:szCs w:val="24"/>
                <w:highlight w:val="none"/>
                <w:lang w:val="en-US" w:eastAsia="zh-CN"/>
              </w:rPr>
              <w:t>33.05万元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17.1</w:t>
            </w:r>
          </w:p>
        </w:tc>
        <w:tc>
          <w:tcPr>
            <w:tcW w:w="8301" w:type="dxa"/>
            <w:vAlign w:val="center"/>
          </w:tcPr>
          <w:p>
            <w:pPr>
              <w:pStyle w:val="13"/>
              <w:spacing w:before="100" w:beforeAutospacing="1" w:after="100" w:afterAutospacing="1" w:line="440" w:lineRule="exact"/>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响应文件有效期：响应文件递交截止期结束后</w:t>
            </w:r>
            <w:r>
              <w:rPr>
                <w:rFonts w:hint="eastAsia" w:ascii="仿宋" w:hAnsi="仿宋" w:eastAsia="仿宋" w:cs="仿宋"/>
                <w:color w:val="auto"/>
                <w:kern w:val="2"/>
                <w:sz w:val="24"/>
                <w:szCs w:val="24"/>
                <w:highlight w:val="none"/>
                <w:u w:val="single"/>
              </w:rPr>
              <w:t>60</w:t>
            </w:r>
            <w:r>
              <w:rPr>
                <w:rFonts w:hint="eastAsia" w:ascii="仿宋" w:hAnsi="仿宋" w:eastAsia="仿宋" w:cs="仿宋"/>
                <w:color w:val="auto"/>
                <w:kern w:val="2"/>
                <w:sz w:val="24"/>
                <w:szCs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w:t>
            </w:r>
          </w:p>
        </w:tc>
        <w:tc>
          <w:tcPr>
            <w:tcW w:w="889" w:type="dxa"/>
            <w:vAlign w:val="center"/>
          </w:tcPr>
          <w:p>
            <w:pPr>
              <w:pStyle w:val="13"/>
              <w:spacing w:before="100" w:beforeAutospacing="1" w:after="100" w:afterAutospacing="1"/>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15.1</w:t>
            </w:r>
          </w:p>
        </w:tc>
        <w:tc>
          <w:tcPr>
            <w:tcW w:w="8301" w:type="dxa"/>
            <w:vAlign w:val="center"/>
          </w:tcPr>
          <w:p>
            <w:pPr>
              <w:pStyle w:val="13"/>
              <w:spacing w:line="400" w:lineRule="exact"/>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sz w:val="24"/>
                <w:szCs w:val="24"/>
                <w:highlight w:val="none"/>
              </w:rPr>
              <w:t>磋商保证金：</w:t>
            </w:r>
            <w:r>
              <w:rPr>
                <w:rFonts w:hint="eastAsia" w:ascii="仿宋" w:hAnsi="仿宋" w:eastAsia="仿宋" w:cs="仿宋"/>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17.1</w:t>
            </w:r>
          </w:p>
        </w:tc>
        <w:tc>
          <w:tcPr>
            <w:tcW w:w="8301" w:type="dxa"/>
            <w:vAlign w:val="center"/>
          </w:tcPr>
          <w:p>
            <w:pPr>
              <w:pStyle w:val="13"/>
              <w:spacing w:before="100" w:beforeAutospacing="1" w:after="100" w:afterAutospacing="1"/>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响应文件：一套正本，二套副本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18.2</w:t>
            </w:r>
          </w:p>
        </w:tc>
        <w:tc>
          <w:tcPr>
            <w:tcW w:w="8301" w:type="dxa"/>
            <w:vAlign w:val="center"/>
          </w:tcPr>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采购人名称：大新县龙门乡人民政府</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采购代理机构名称：广西品格招标有限公司</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址：南宁市江南区五一中路111-9号15楼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22.1</w:t>
            </w:r>
          </w:p>
        </w:tc>
        <w:tc>
          <w:tcPr>
            <w:tcW w:w="8301" w:type="dxa"/>
            <w:vAlign w:val="center"/>
          </w:tcPr>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响应文件递交截止时间：2020年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响应文件递交至：广西品格招标有限公司开标厅（崇左市城南区龙峡山中段南侧（崇左逸安居花园）第五栋三楼开标室）</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磋商日期：2020年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分（具体时间如有变动另行通知）</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磋商地点：广西品格招标有限公司评标室（崇左市城南区龙峡山中段南侧（崇左逸安居花园）第五栋三楼开标室）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28.1</w:t>
            </w:r>
          </w:p>
        </w:tc>
        <w:tc>
          <w:tcPr>
            <w:tcW w:w="8301" w:type="dxa"/>
            <w:vAlign w:val="center"/>
          </w:tcPr>
          <w:p>
            <w:pPr>
              <w:pStyle w:val="13"/>
              <w:rPr>
                <w:rFonts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p>
        </w:tc>
        <w:tc>
          <w:tcPr>
            <w:tcW w:w="889"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34.1</w:t>
            </w:r>
          </w:p>
        </w:tc>
        <w:tc>
          <w:tcPr>
            <w:tcW w:w="8301" w:type="dxa"/>
            <w:vAlign w:val="center"/>
          </w:tcPr>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代理服务费按国家发展计划委员会计价格[2002]1980号《招标代理服务费管理暂行办法》收费标准及发改价格[2011]534号文的规定向成交人收取。在领取成交通知书的同时向采购代理机构一次性全部付清。否则，采购代理机构将视之为违约，取消该成交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6" w:type="dxa"/>
            <w:vAlign w:val="center"/>
          </w:tcPr>
          <w:p>
            <w:pPr>
              <w:pStyle w:val="13"/>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13</w:t>
            </w:r>
          </w:p>
        </w:tc>
        <w:tc>
          <w:tcPr>
            <w:tcW w:w="9190" w:type="dxa"/>
            <w:gridSpan w:val="2"/>
            <w:vAlign w:val="center"/>
          </w:tcPr>
          <w:p>
            <w:pPr>
              <w:snapToGrid w:val="0"/>
              <w:spacing w:line="480" w:lineRule="exac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采购人或采购代理机构在对供应商资格审查时进行信用查询，查询结果与响应文件不一致时，以采购人或采购代理机构查询结果为准。</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仿宋" w:hAnsi="仿宋" w:eastAsia="仿宋" w:cs="仿宋"/>
                <w:color w:val="auto"/>
                <w:sz w:val="24"/>
                <w:szCs w:val="24"/>
                <w:highlight w:val="none"/>
                <w:u w:val="single"/>
              </w:rPr>
              <w:t>www.ccgp.gov.cn</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)等</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查询起止时间：磋商截止时间前三年内</w:t>
            </w:r>
          </w:p>
          <w:p>
            <w:pPr>
              <w:snapToGrid w:val="0"/>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查询记录和证据留存方式：在查询网站中直接打印查询记录，打印材料作为评审资料保存。</w:t>
            </w:r>
          </w:p>
          <w:p>
            <w:pPr>
              <w:spacing w:line="400" w:lineRule="exact"/>
              <w:rPr>
                <w:rFonts w:ascii="仿宋" w:hAnsi="仿宋" w:eastAsia="仿宋" w:cs="仿宋"/>
                <w:color w:val="auto"/>
                <w:sz w:val="24"/>
                <w:szCs w:val="24"/>
                <w:highlight w:val="none"/>
              </w:rPr>
            </w:pPr>
            <w:r>
              <w:rPr>
                <w:rFonts w:hint="eastAsia" w:ascii="仿宋" w:hAnsi="仿宋" w:eastAsia="仿宋" w:cs="仿宋"/>
                <w:color w:val="auto"/>
                <w:kern w:val="0"/>
                <w:sz w:val="24"/>
                <w:highlight w:val="none"/>
                <w:lang w:eastAsia="en-US"/>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r>
              <w:rPr>
                <w:rFonts w:hint="eastAsia" w:ascii="仿宋" w:hAnsi="仿宋" w:eastAsia="仿宋" w:cs="仿宋"/>
                <w:color w:val="auto"/>
                <w:kern w:val="0"/>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8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190" w:type="dxa"/>
            <w:gridSpan w:val="2"/>
            <w:vAlign w:val="center"/>
          </w:tcPr>
          <w:p>
            <w:pPr>
              <w:pStyle w:val="13"/>
              <w:spacing w:line="440" w:lineRule="exact"/>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根据《中华人民共和国政府采购法实施条例》第四十三条规定，中标结果公告内容中包括中标供应商名称、地址和中标金额，主要中标标的的名称、规格型号、数量、单价、服务要求。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8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190" w:type="dxa"/>
            <w:gridSpan w:val="2"/>
            <w:vAlign w:val="center"/>
          </w:tcPr>
          <w:p>
            <w:pPr>
              <w:autoSpaceDE w:val="0"/>
              <w:autoSpaceDN w:val="0"/>
              <w:snapToGrid w:val="0"/>
              <w:spacing w:line="480" w:lineRule="exact"/>
              <w:textAlignment w:val="bottom"/>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成交供应商在收到成交通知书后，</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日内与采购人签订监理服务合同。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8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190" w:type="dxa"/>
            <w:gridSpan w:val="2"/>
            <w:vAlign w:val="center"/>
          </w:tcPr>
          <w:p>
            <w:pPr>
              <w:snapToGrid w:val="0"/>
              <w:spacing w:line="4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8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190" w:type="dxa"/>
            <w:gridSpan w:val="2"/>
            <w:vAlign w:val="center"/>
          </w:tcPr>
          <w:p>
            <w:pPr>
              <w:snapToGrid w:val="0"/>
              <w:spacing w:line="4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解释：本采购文件的解释权属于采购代理机构。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8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190" w:type="dxa"/>
            <w:gridSpan w:val="2"/>
            <w:vAlign w:val="center"/>
          </w:tcPr>
          <w:p>
            <w:pPr>
              <w:widowControl/>
              <w:spacing w:line="48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采购文件中描述供应商的“公章”是指根据我国对公章的管理规定，用供应商法定主体行为名称制作的印章，除本采购文件有特殊规定外，供应商的财务章、部门章、分公司章、工会章、合同章、投标专用章、业务专用章等其它形式印章均不能代替公章。</w:t>
            </w:r>
          </w:p>
          <w:p>
            <w:pPr>
              <w:widowControl/>
              <w:spacing w:line="48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2.本采购文件中描述供应商的“签字”是指供应商的法定代表人或被授权人亲自在采购文件规定签署处亲笔写上个人的名字的行为，私章、签字章、印鉴、影印等其它形式均不能代替亲笔签字。</w:t>
            </w:r>
          </w:p>
        </w:tc>
      </w:tr>
    </w:tbl>
    <w:p>
      <w:pPr>
        <w:pStyle w:val="13"/>
        <w:rPr>
          <w:rFonts w:ascii="仿宋" w:hAnsi="仿宋" w:eastAsia="仿宋" w:cs="仿宋"/>
          <w:color w:val="auto"/>
          <w:highlight w:val="none"/>
        </w:rPr>
        <w:sectPr>
          <w:pgSz w:w="11907" w:h="16840"/>
          <w:pgMar w:top="1418" w:right="1418" w:bottom="1418" w:left="1418" w:header="851" w:footer="964" w:gutter="0"/>
          <w:cols w:space="720" w:num="1"/>
          <w:docGrid w:linePitch="306" w:charSpace="0"/>
        </w:sectPr>
      </w:pPr>
    </w:p>
    <w:p>
      <w:pPr>
        <w:pStyle w:val="3"/>
        <w:spacing w:before="240" w:beforeLines="100" w:after="240" w:afterLines="100" w:line="320" w:lineRule="exact"/>
        <w:jc w:val="center"/>
        <w:rPr>
          <w:rFonts w:ascii="仿宋" w:hAnsi="仿宋" w:eastAsia="仿宋" w:cs="仿宋"/>
          <w:color w:val="auto"/>
          <w:sz w:val="32"/>
          <w:szCs w:val="32"/>
          <w:highlight w:val="none"/>
        </w:rPr>
      </w:pPr>
      <w:bookmarkStart w:id="48" w:name="_Toc23919"/>
      <w:bookmarkStart w:id="49" w:name="_Toc108835635"/>
      <w:bookmarkStart w:id="50" w:name="_Toc313535173"/>
      <w:bookmarkStart w:id="51" w:name="_Toc108836046"/>
      <w:r>
        <w:rPr>
          <w:rFonts w:hint="eastAsia" w:ascii="仿宋" w:hAnsi="仿宋" w:eastAsia="仿宋" w:cs="仿宋"/>
          <w:color w:val="auto"/>
          <w:sz w:val="32"/>
          <w:szCs w:val="32"/>
          <w:highlight w:val="none"/>
        </w:rPr>
        <w:t>一、总   则</w:t>
      </w:r>
      <w:bookmarkEnd w:id="48"/>
      <w:bookmarkEnd w:id="49"/>
      <w:bookmarkEnd w:id="50"/>
      <w:bookmarkEnd w:id="51"/>
    </w:p>
    <w:p>
      <w:pPr>
        <w:pStyle w:val="4"/>
        <w:spacing w:before="240" w:beforeLines="100" w:after="240" w:afterLines="100" w:line="360" w:lineRule="exact"/>
        <w:rPr>
          <w:rFonts w:ascii="仿宋" w:hAnsi="仿宋" w:eastAsia="仿宋" w:cs="仿宋"/>
          <w:color w:val="auto"/>
          <w:sz w:val="24"/>
          <w:szCs w:val="24"/>
          <w:highlight w:val="none"/>
        </w:rPr>
      </w:pPr>
      <w:bookmarkStart w:id="52" w:name="_Toc313535174"/>
      <w:bookmarkStart w:id="53" w:name="_Toc21597"/>
      <w:bookmarkStart w:id="54" w:name="_Toc108835636"/>
      <w:bookmarkStart w:id="55" w:name="_Toc108836047"/>
      <w:r>
        <w:rPr>
          <w:rFonts w:hint="eastAsia" w:ascii="仿宋" w:hAnsi="仿宋" w:eastAsia="仿宋" w:cs="仿宋"/>
          <w:color w:val="auto"/>
          <w:sz w:val="24"/>
          <w:szCs w:val="24"/>
          <w:highlight w:val="none"/>
        </w:rPr>
        <w:t>1. 采购范围</w:t>
      </w:r>
      <w:bookmarkEnd w:id="52"/>
      <w:bookmarkEnd w:id="53"/>
      <w:bookmarkEnd w:id="54"/>
      <w:bookmarkEnd w:id="55"/>
    </w:p>
    <w:p>
      <w:pPr>
        <w:pStyle w:val="13"/>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1.1采购人就本须知前附表第1项和第2项所述项目进行采购，现通过竞争性磋商择优选择单位。项目编号和合同名称见本须知前附表第1项款。</w:t>
      </w:r>
    </w:p>
    <w:p>
      <w:pPr>
        <w:pStyle w:val="13"/>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 成交供应商应在本须知前附表第1项中规定的要求工期前完成此项目工作。</w:t>
      </w:r>
    </w:p>
    <w:p>
      <w:pPr>
        <w:pStyle w:val="4"/>
        <w:spacing w:before="240" w:beforeLines="100" w:after="240" w:afterLines="100" w:line="360" w:lineRule="exact"/>
        <w:rPr>
          <w:rFonts w:ascii="仿宋" w:hAnsi="仿宋" w:eastAsia="仿宋" w:cs="仿宋"/>
          <w:b w:val="0"/>
          <w:bCs w:val="0"/>
          <w:color w:val="auto"/>
          <w:sz w:val="24"/>
          <w:szCs w:val="24"/>
          <w:highlight w:val="none"/>
        </w:rPr>
      </w:pPr>
      <w:bookmarkStart w:id="56" w:name="_Toc108836048"/>
      <w:bookmarkStart w:id="57" w:name="_Toc108835637"/>
      <w:bookmarkStart w:id="58" w:name="_Toc313535175"/>
      <w:bookmarkStart w:id="59" w:name="_Toc31694"/>
      <w:r>
        <w:rPr>
          <w:rFonts w:hint="eastAsia" w:ascii="仿宋" w:hAnsi="仿宋" w:eastAsia="仿宋" w:cs="仿宋"/>
          <w:color w:val="auto"/>
          <w:sz w:val="24"/>
          <w:szCs w:val="24"/>
          <w:highlight w:val="none"/>
        </w:rPr>
        <w:t xml:space="preserve">2. </w:t>
      </w:r>
      <w:bookmarkEnd w:id="56"/>
      <w:bookmarkEnd w:id="57"/>
      <w:r>
        <w:rPr>
          <w:rFonts w:hint="eastAsia" w:ascii="仿宋" w:hAnsi="仿宋" w:eastAsia="仿宋" w:cs="仿宋"/>
          <w:color w:val="auto"/>
          <w:sz w:val="24"/>
          <w:szCs w:val="24"/>
          <w:highlight w:val="none"/>
        </w:rPr>
        <w:t>资金情况</w:t>
      </w:r>
      <w:bookmarkEnd w:id="58"/>
      <w:bookmarkEnd w:id="59"/>
    </w:p>
    <w:p>
      <w:pPr>
        <w:pStyle w:val="13"/>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2.1本项目的资金来源为财政拨款，资金已落实，并将资金用于本项目合同项下的合格支付。</w:t>
      </w:r>
    </w:p>
    <w:p>
      <w:pPr>
        <w:pStyle w:val="4"/>
        <w:spacing w:before="240" w:beforeLines="100" w:after="240" w:afterLines="100" w:line="360" w:lineRule="exact"/>
        <w:rPr>
          <w:rFonts w:ascii="仿宋" w:hAnsi="仿宋" w:eastAsia="仿宋" w:cs="仿宋"/>
          <w:color w:val="auto"/>
          <w:sz w:val="24"/>
          <w:szCs w:val="24"/>
          <w:highlight w:val="none"/>
        </w:rPr>
      </w:pPr>
      <w:bookmarkStart w:id="60" w:name="_Toc108836049"/>
      <w:bookmarkStart w:id="61" w:name="_Toc313535176"/>
      <w:bookmarkStart w:id="62" w:name="_Toc19323"/>
      <w:bookmarkStart w:id="63" w:name="_Toc108835638"/>
      <w:r>
        <w:rPr>
          <w:rFonts w:hint="eastAsia" w:ascii="仿宋" w:hAnsi="仿宋" w:eastAsia="仿宋" w:cs="仿宋"/>
          <w:color w:val="auto"/>
          <w:sz w:val="24"/>
          <w:szCs w:val="24"/>
          <w:highlight w:val="none"/>
        </w:rPr>
        <w:t>3. 供应商资格</w:t>
      </w:r>
      <w:bookmarkEnd w:id="60"/>
      <w:bookmarkEnd w:id="61"/>
      <w:bookmarkEnd w:id="62"/>
      <w:bookmarkEnd w:id="63"/>
    </w:p>
    <w:p>
      <w:pPr>
        <w:pStyle w:val="13"/>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3.1凡参加磋商的供应商必须满足“前附表第3项”所规定的最低资质等级条件，并应具备以往类似项目经验和人员、技术等方面有能力执行上述项目。</w:t>
      </w:r>
    </w:p>
    <w:p>
      <w:pPr>
        <w:pStyle w:val="4"/>
        <w:spacing w:before="240" w:beforeLines="100" w:after="240" w:afterLines="100" w:line="360" w:lineRule="exact"/>
        <w:rPr>
          <w:rFonts w:ascii="仿宋" w:hAnsi="仿宋" w:eastAsia="仿宋" w:cs="仿宋"/>
          <w:color w:val="auto"/>
          <w:sz w:val="24"/>
          <w:szCs w:val="24"/>
          <w:highlight w:val="none"/>
        </w:rPr>
      </w:pPr>
      <w:bookmarkStart w:id="64" w:name="_Toc108836051"/>
      <w:bookmarkStart w:id="65" w:name="_Toc2662"/>
      <w:bookmarkStart w:id="66" w:name="_Toc313535178"/>
      <w:bookmarkStart w:id="67" w:name="_Toc108835640"/>
      <w:r>
        <w:rPr>
          <w:rFonts w:hint="eastAsia" w:ascii="仿宋" w:hAnsi="仿宋" w:eastAsia="仿宋" w:cs="仿宋"/>
          <w:color w:val="auto"/>
          <w:sz w:val="24"/>
          <w:szCs w:val="24"/>
          <w:highlight w:val="none"/>
        </w:rPr>
        <w:t>4. 磋商费用</w:t>
      </w:r>
      <w:bookmarkEnd w:id="64"/>
      <w:bookmarkEnd w:id="65"/>
      <w:bookmarkEnd w:id="66"/>
      <w:bookmarkEnd w:id="67"/>
    </w:p>
    <w:p>
      <w:pPr>
        <w:pStyle w:val="13"/>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 供应商应承担其响应文件编制与递交所涉及的一切费用。在任何情况下采购代理机构及采购人对上述费用均不负任何责任。</w:t>
      </w:r>
    </w:p>
    <w:p>
      <w:pPr>
        <w:pStyle w:val="4"/>
        <w:spacing w:before="240" w:beforeLines="100" w:after="240" w:afterLines="100" w:line="360" w:lineRule="exact"/>
        <w:rPr>
          <w:rFonts w:ascii="仿宋" w:hAnsi="仿宋" w:eastAsia="仿宋" w:cs="仿宋"/>
          <w:color w:val="auto"/>
          <w:sz w:val="24"/>
          <w:szCs w:val="24"/>
          <w:highlight w:val="none"/>
        </w:rPr>
      </w:pPr>
      <w:bookmarkStart w:id="68" w:name="_Toc313535179"/>
      <w:bookmarkStart w:id="69" w:name="_Toc1024"/>
      <w:r>
        <w:rPr>
          <w:rFonts w:hint="eastAsia" w:ascii="仿宋" w:hAnsi="仿宋" w:eastAsia="仿宋" w:cs="仿宋"/>
          <w:color w:val="auto"/>
          <w:sz w:val="24"/>
          <w:szCs w:val="24"/>
          <w:highlight w:val="none"/>
        </w:rPr>
        <w:t>5. 现场考察</w:t>
      </w:r>
      <w:bookmarkEnd w:id="68"/>
      <w:bookmarkEnd w:id="69"/>
    </w:p>
    <w:p>
      <w:pPr>
        <w:pStyle w:val="13"/>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5.1供应商自行对项目现场和周围环境进行考察，以获取有关编制响应文件和签署实施本项目合同所需的各种资料。供应商应承担现场考察的责任和风险。考察现场所发生的一切费用均由供应商自行承担。</w:t>
      </w:r>
    </w:p>
    <w:p>
      <w:pPr>
        <w:snapToGrid w:val="0"/>
        <w:spacing w:line="40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6.联合体竞标：</w:t>
      </w:r>
    </w:p>
    <w:p>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6.1本项目不接受联合体竞标。</w:t>
      </w:r>
    </w:p>
    <w:p>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snapToGrid w:val="0"/>
        <w:spacing w:line="400" w:lineRule="exact"/>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7.转包与分包   </w:t>
      </w:r>
      <w:r>
        <w:rPr>
          <w:rFonts w:hint="eastAsia" w:ascii="仿宋" w:hAnsi="仿宋" w:eastAsia="仿宋" w:cs="仿宋"/>
          <w:color w:val="auto"/>
          <w:sz w:val="24"/>
          <w:szCs w:val="24"/>
          <w:highlight w:val="none"/>
        </w:rPr>
        <w:t xml:space="preserve">          </w:t>
      </w:r>
    </w:p>
    <w:p>
      <w:pPr>
        <w:snapToGrid w:val="0"/>
        <w:spacing w:line="400" w:lineRule="exact"/>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7.1本项目不允许转包。</w:t>
      </w:r>
    </w:p>
    <w:p>
      <w:pPr>
        <w:snapToGrid w:val="0"/>
        <w:spacing w:line="400" w:lineRule="exact"/>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7.2本项目不可以分包。</w:t>
      </w:r>
    </w:p>
    <w:p>
      <w:pPr>
        <w:snapToGrid w:val="0"/>
        <w:spacing w:line="400" w:lineRule="exact"/>
        <w:jc w:val="left"/>
        <w:rPr>
          <w:rFonts w:ascii="仿宋" w:hAnsi="仿宋" w:eastAsia="仿宋" w:cs="仿宋"/>
          <w:b/>
          <w:bCs/>
          <w:color w:val="auto"/>
          <w:sz w:val="24"/>
          <w:szCs w:val="24"/>
          <w:highlight w:val="none"/>
        </w:rPr>
      </w:pPr>
      <w:bookmarkStart w:id="70" w:name="_Toc254970673"/>
      <w:bookmarkStart w:id="71" w:name="_Toc254970532"/>
      <w:r>
        <w:rPr>
          <w:rFonts w:hint="eastAsia" w:ascii="仿宋" w:hAnsi="仿宋" w:eastAsia="仿宋" w:cs="仿宋"/>
          <w:b/>
          <w:bCs/>
          <w:color w:val="auto"/>
          <w:sz w:val="24"/>
          <w:szCs w:val="24"/>
          <w:highlight w:val="none"/>
        </w:rPr>
        <w:t>8.特别说明：</w:t>
      </w:r>
      <w:bookmarkEnd w:id="70"/>
      <w:bookmarkEnd w:id="71"/>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8.1 单位负责人为同一人或者存在直接控股、管理关系的，不得参加同一分标或未划分分标的同一项目的谈判，否则，响应文件无效。</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为本采购项目提供整体设计、规范编制或者项目管理、监理、检测等服务的供应商，不得再参加该采购项目的其他采购活动，否则响应文件无效。</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多家代理商或经销商参加谈判，如其中两家或两家以上供应商存在分级代理或代销关系，且提供的是其所代理品牌产品的，评审时，取其中通过资格审查和符合审查后的评审报价最低一方为有效供应商；当评审报价相同时，则以最后报价最低一家为有效供应商；当最后报价也相同时，则以售后服务最优一家为有效供应商；均相同时，由磋商小组集体讨论确定。</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8.2供应商竞标所使用的资格、信誉、荣誉、业绩与企业认证必须为本法人所拥有。供应商竞标所使用的采购项目实施人员必须为本法人员工（或必须为本法人或控股公司正式员工）。</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8.3供应商应仔细阅读采购文件的所有内容，按照采购文件的要求提交响应文件，并对所提供的全部资料的真实性承担法律责任。</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8.4供应商在竞标活动中提供任何虚假材料,其竞标无效，并报监管部门查处；成交后发现的,成交人须依照《中华人民共和国消费者权益保护法》规定赔偿采购人，且民事赔偿并不免除违法供应商的行政与刑事责任。</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8.5在政府采购活动中，采购人员及相关人员与供应商有下列利害关系之一的，应当回避：</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（1）参加采购活动前3年内与供应商存在劳动关系；</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（2）参加采购活动前3年内担任供应商的董事、监事；</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（3）参加采购活动前3年内是供应商的控股股东或者实际控制人；</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（4）与供应商的法定代表人或者负责人有夫妻、直系血亲、三代以内旁系血亲或者近姻亲关系；</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（5）与供应商有其他可能影响政府采购活动公平、公正进行的关系。</w:t>
      </w:r>
    </w:p>
    <w:p>
      <w:pPr>
        <w:snapToGrid w:val="0"/>
        <w:spacing w:line="400" w:lineRule="exact"/>
        <w:ind w:left="2" w:leftChars="1"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napToGrid w:val="0"/>
        <w:spacing w:line="400" w:lineRule="exact"/>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9.质疑和投诉</w:t>
      </w:r>
    </w:p>
    <w:p>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9.1供应商认为采购文件、采购过程或成交结果使自己的合法权益受到损害的，应当在知道或者应知其权益受到损害之日起七个工作日内，以书面形式向采购人、采购代理机构提出质疑。提出质疑的供应商应当是参与所质疑项目采购活动的供应商，</w:t>
      </w:r>
      <w:r>
        <w:rPr>
          <w:rFonts w:hint="eastAsia" w:ascii="仿宋" w:hAnsi="仿宋" w:eastAsia="仿宋" w:cs="仿宋"/>
          <w:b/>
          <w:bCs/>
          <w:color w:val="auto"/>
          <w:sz w:val="24"/>
          <w:szCs w:val="24"/>
          <w:highlight w:val="none"/>
        </w:rPr>
        <w:t>其必须在法定质疑期内一次性提出针对同一采购程序环节的质疑。供应商对同一采购程序环节多次提出质疑的，采购代理机构将不予受理。</w:t>
      </w:r>
      <w:r>
        <w:rPr>
          <w:rFonts w:hint="eastAsia" w:ascii="仿宋" w:hAnsi="仿宋" w:eastAsia="仿宋" w:cs="仿宋"/>
          <w:color w:val="auto"/>
          <w:sz w:val="24"/>
          <w:szCs w:val="24"/>
          <w:highlight w:val="none"/>
        </w:rPr>
        <w:t>且其质疑行为和质疑函内容应当符合《政府采购质疑和投诉办法》（中华人民共和国财政部令第94号）规定。质疑具体计算时间节点如下：</w:t>
      </w:r>
    </w:p>
    <w:p>
      <w:pPr>
        <w:snapToGrid w:val="0"/>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（1）对可以质疑的采购文件提出质疑的，为收到采购文件之日；</w:t>
      </w:r>
    </w:p>
    <w:p>
      <w:pPr>
        <w:snapToGrid w:val="0"/>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（2）对采购过程提出质疑的，为各采购程序环节结束之日；</w:t>
      </w:r>
    </w:p>
    <w:p>
      <w:pPr>
        <w:snapToGrid w:val="0"/>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（3）对成交结果提出质疑的，为成交结果公告期限届满之日。</w:t>
      </w:r>
    </w:p>
    <w:p>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供应商对采购人、采购代理机构的质疑答复不满意，或者采购人、采购代理机构未在规定时间内作出答复的，可以在答复期满后十五个工作日内向同级财政部门提起投诉。</w:t>
      </w:r>
    </w:p>
    <w:p>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9.2质疑、投诉应当采用书面形式，质疑书、投诉书均应明确阐述采购文件、采购过程或成交结果中使自己合法权益受到损害的实质性内容，提供相关事实、依据和证据及其来源或线索，便于有关单位调查、答复和处理。</w:t>
      </w:r>
    </w:p>
    <w:p>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9.3接收质疑函的方式：接收供应商或其委托代理人以书面形式递交的质疑函原件，委托代理人提出质疑的，还应当提交供应商签署的授权委托书。</w:t>
      </w:r>
    </w:p>
    <w:p>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联系部门：广西品格招标有限公司</w:t>
      </w:r>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联系电话：0771-</w:t>
      </w:r>
      <w:r>
        <w:rPr>
          <w:rFonts w:hint="eastAsia" w:ascii="仿宋" w:hAnsi="仿宋" w:eastAsia="仿宋" w:cs="仿宋"/>
          <w:color w:val="auto"/>
          <w:sz w:val="24"/>
          <w:szCs w:val="24"/>
          <w:highlight w:val="none"/>
          <w:lang w:val="en-US" w:eastAsia="zh-CN"/>
        </w:rPr>
        <w:t>2298386</w:t>
      </w:r>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通讯地址：广西南宁市江南区五一中路111-9号</w:t>
      </w:r>
      <w:r>
        <w:rPr>
          <w:rFonts w:hint="eastAsia" w:ascii="仿宋" w:hAnsi="仿宋" w:eastAsia="仿宋" w:cs="仿宋"/>
          <w:color w:val="auto"/>
          <w:sz w:val="24"/>
          <w:szCs w:val="24"/>
          <w:highlight w:val="none"/>
          <w:lang w:val="en-US" w:eastAsia="zh-CN"/>
        </w:rPr>
        <w:t xml:space="preserve"> </w:t>
      </w:r>
    </w:p>
    <w:p>
      <w:pPr>
        <w:pStyle w:val="13"/>
        <w:spacing w:line="460" w:lineRule="exact"/>
        <w:rPr>
          <w:rFonts w:ascii="仿宋" w:hAnsi="仿宋" w:eastAsia="仿宋" w:cs="仿宋"/>
          <w:color w:val="auto"/>
          <w:sz w:val="24"/>
          <w:szCs w:val="24"/>
          <w:highlight w:val="none"/>
        </w:rPr>
      </w:pPr>
    </w:p>
    <w:p>
      <w:pPr>
        <w:pStyle w:val="3"/>
        <w:spacing w:before="120" w:beforeLines="50" w:after="120" w:afterLines="50" w:line="460" w:lineRule="exact"/>
        <w:ind w:firstLine="643" w:firstLineChars="200"/>
        <w:jc w:val="center"/>
        <w:rPr>
          <w:rFonts w:ascii="仿宋" w:hAnsi="仿宋" w:eastAsia="仿宋" w:cs="仿宋"/>
          <w:color w:val="auto"/>
          <w:sz w:val="32"/>
          <w:szCs w:val="32"/>
          <w:highlight w:val="none"/>
        </w:rPr>
      </w:pPr>
      <w:bookmarkStart w:id="72" w:name="_Toc108835641"/>
      <w:bookmarkStart w:id="73" w:name="_Toc108836052"/>
      <w:bookmarkStart w:id="74" w:name="_Toc313535180"/>
      <w:bookmarkStart w:id="75" w:name="_Toc29589"/>
      <w:r>
        <w:rPr>
          <w:rFonts w:hint="eastAsia" w:ascii="仿宋" w:hAnsi="仿宋" w:eastAsia="仿宋" w:cs="仿宋"/>
          <w:color w:val="auto"/>
          <w:sz w:val="32"/>
          <w:szCs w:val="32"/>
          <w:highlight w:val="none"/>
        </w:rPr>
        <w:t>二、</w:t>
      </w:r>
      <w:bookmarkEnd w:id="72"/>
      <w:bookmarkEnd w:id="73"/>
      <w:bookmarkEnd w:id="74"/>
      <w:r>
        <w:rPr>
          <w:rFonts w:hint="eastAsia" w:ascii="仿宋" w:hAnsi="仿宋" w:eastAsia="仿宋" w:cs="仿宋"/>
          <w:color w:val="auto"/>
          <w:sz w:val="32"/>
          <w:szCs w:val="32"/>
          <w:highlight w:val="none"/>
        </w:rPr>
        <w:t>磋商文件</w:t>
      </w:r>
      <w:bookmarkEnd w:id="75"/>
    </w:p>
    <w:p>
      <w:pPr>
        <w:pStyle w:val="4"/>
        <w:spacing w:before="240" w:beforeLines="100" w:after="240" w:afterLines="100" w:line="460" w:lineRule="exact"/>
        <w:rPr>
          <w:rFonts w:ascii="仿宋" w:hAnsi="仿宋" w:eastAsia="仿宋" w:cs="仿宋"/>
          <w:color w:val="auto"/>
          <w:sz w:val="24"/>
          <w:szCs w:val="24"/>
          <w:highlight w:val="none"/>
        </w:rPr>
      </w:pPr>
      <w:bookmarkStart w:id="76" w:name="_Toc108835642"/>
      <w:bookmarkStart w:id="77" w:name="_Toc108836053"/>
      <w:bookmarkStart w:id="78" w:name="_Toc313535181"/>
      <w:bookmarkStart w:id="79" w:name="_Toc20824"/>
      <w:r>
        <w:rPr>
          <w:rFonts w:hint="eastAsia" w:ascii="仿宋" w:hAnsi="仿宋" w:eastAsia="仿宋" w:cs="仿宋"/>
          <w:color w:val="auto"/>
          <w:sz w:val="24"/>
          <w:szCs w:val="24"/>
          <w:highlight w:val="none"/>
        </w:rPr>
        <w:t>10. 磋商文件的内容</w:t>
      </w:r>
      <w:bookmarkEnd w:id="76"/>
      <w:bookmarkEnd w:id="77"/>
      <w:bookmarkEnd w:id="78"/>
      <w:bookmarkEnd w:id="79"/>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10.1 本合同的磋商文件包括下列文件及本公司发出的“补充修改书”：</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磋商公告</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磋商须知及前附表</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项目服务要求</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合同条款及格式</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响应文件格式</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评定成交标准</w:t>
      </w:r>
    </w:p>
    <w:p>
      <w:pPr>
        <w:pStyle w:val="4"/>
        <w:spacing w:before="240" w:beforeLines="100" w:after="240" w:afterLines="100" w:line="460" w:lineRule="exact"/>
        <w:rPr>
          <w:rFonts w:ascii="仿宋" w:hAnsi="仿宋" w:eastAsia="仿宋" w:cs="仿宋"/>
          <w:color w:val="auto"/>
          <w:sz w:val="24"/>
          <w:szCs w:val="24"/>
          <w:highlight w:val="none"/>
        </w:rPr>
      </w:pPr>
      <w:bookmarkStart w:id="80" w:name="_Toc108835643"/>
      <w:bookmarkStart w:id="81" w:name="_Toc313535182"/>
      <w:bookmarkStart w:id="82" w:name="_Toc108836054"/>
      <w:bookmarkStart w:id="83" w:name="_Toc11640"/>
      <w:r>
        <w:rPr>
          <w:rFonts w:hint="eastAsia" w:ascii="仿宋" w:hAnsi="仿宋" w:eastAsia="仿宋" w:cs="仿宋"/>
          <w:color w:val="auto"/>
          <w:sz w:val="24"/>
          <w:szCs w:val="24"/>
          <w:highlight w:val="none"/>
        </w:rPr>
        <w:t>11. 磋商文件的澄清</w:t>
      </w:r>
      <w:bookmarkEnd w:id="80"/>
      <w:bookmarkEnd w:id="81"/>
      <w:bookmarkEnd w:id="82"/>
      <w:bookmarkEnd w:id="83"/>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 要求澄清磋商文件的供应商应以书面（“书面”包括打印、印刷，也包括电传和传真，文本文件下同）形式按磋商文件中的地址通知采购人。采购人将对其在响应文件递交截止时间5个日前收到的要求澄清的问题予以答复并转发给所有购买磋商文件的供应商（包括对要求澄清问题的说明，但不指明问题的来源）。</w:t>
      </w:r>
    </w:p>
    <w:p>
      <w:pPr>
        <w:pStyle w:val="4"/>
        <w:spacing w:before="240" w:beforeLines="100" w:after="240" w:afterLines="100" w:line="460" w:lineRule="exact"/>
        <w:rPr>
          <w:rFonts w:ascii="仿宋" w:hAnsi="仿宋" w:eastAsia="仿宋" w:cs="仿宋"/>
          <w:color w:val="auto"/>
          <w:sz w:val="24"/>
          <w:szCs w:val="24"/>
          <w:highlight w:val="none"/>
        </w:rPr>
      </w:pPr>
      <w:bookmarkStart w:id="84" w:name="_Toc2058"/>
      <w:bookmarkStart w:id="85" w:name="_Toc108836055"/>
      <w:bookmarkStart w:id="86" w:name="_Toc108835644"/>
      <w:bookmarkStart w:id="87" w:name="_Toc313535183"/>
      <w:r>
        <w:rPr>
          <w:rFonts w:hint="eastAsia" w:ascii="仿宋" w:hAnsi="仿宋" w:eastAsia="仿宋" w:cs="仿宋"/>
          <w:color w:val="auto"/>
          <w:sz w:val="24"/>
          <w:szCs w:val="24"/>
          <w:highlight w:val="none"/>
        </w:rPr>
        <w:t>12. 磋商文件的修正</w:t>
      </w:r>
      <w:bookmarkEnd w:id="84"/>
      <w:bookmarkEnd w:id="85"/>
      <w:bookmarkEnd w:id="86"/>
      <w:bookmarkEnd w:id="87"/>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12.1在首次响应文件递交截止时间5日前，采购人根据本次采购的需要，可以用补充修改书的方式修改磋商文件，不足5日的，采购人、采购代理机构应当顺延提交首次响应文件递交截止时间。</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12.2 据此发出的补充修改书将构成磋商文件的一部分。该补充修改书将以书面方式发给所有购买磋商文件的供应商，供应商应以书面方式通知采购人确认收到每一份补充修改书。</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12.3为了给供应商合理的时间，使他们在编制响应文件时把补充修改书内容考虑进去，采购人可以按照本须知第18.2款的规定，酌情延长响应文件递交截止时间。</w:t>
      </w:r>
    </w:p>
    <w:p>
      <w:pPr>
        <w:pStyle w:val="3"/>
        <w:spacing w:before="240" w:beforeLines="100" w:after="240" w:afterLines="100" w:line="460" w:lineRule="exact"/>
        <w:jc w:val="center"/>
        <w:rPr>
          <w:rFonts w:ascii="仿宋" w:hAnsi="仿宋" w:eastAsia="仿宋" w:cs="仿宋"/>
          <w:color w:val="auto"/>
          <w:sz w:val="32"/>
          <w:szCs w:val="32"/>
          <w:highlight w:val="none"/>
        </w:rPr>
      </w:pPr>
      <w:bookmarkStart w:id="88" w:name="_Toc313535184"/>
      <w:bookmarkStart w:id="89" w:name="_Toc108836056"/>
      <w:bookmarkStart w:id="90" w:name="_Toc108835645"/>
      <w:bookmarkStart w:id="91" w:name="_Toc32239"/>
      <w:r>
        <w:rPr>
          <w:rFonts w:hint="eastAsia" w:ascii="仿宋" w:hAnsi="仿宋" w:eastAsia="仿宋" w:cs="仿宋"/>
          <w:color w:val="auto"/>
          <w:sz w:val="32"/>
          <w:szCs w:val="32"/>
          <w:highlight w:val="none"/>
        </w:rPr>
        <w:t>三、响应文件的编制</w:t>
      </w:r>
      <w:bookmarkEnd w:id="88"/>
      <w:bookmarkEnd w:id="89"/>
      <w:bookmarkEnd w:id="90"/>
      <w:bookmarkEnd w:id="91"/>
    </w:p>
    <w:p>
      <w:pPr>
        <w:pStyle w:val="4"/>
        <w:spacing w:before="240" w:beforeLines="100" w:after="240" w:afterLines="100" w:line="460" w:lineRule="exact"/>
        <w:rPr>
          <w:rFonts w:ascii="仿宋" w:hAnsi="仿宋" w:eastAsia="仿宋" w:cs="仿宋"/>
          <w:color w:val="auto"/>
          <w:sz w:val="24"/>
          <w:szCs w:val="24"/>
          <w:highlight w:val="none"/>
        </w:rPr>
      </w:pPr>
      <w:bookmarkStart w:id="92" w:name="_Toc313535185"/>
      <w:bookmarkStart w:id="93" w:name="_Toc108835646"/>
      <w:bookmarkStart w:id="94" w:name="_Toc21538"/>
      <w:bookmarkStart w:id="95" w:name="_Toc108836057"/>
      <w:r>
        <w:rPr>
          <w:rFonts w:hint="eastAsia" w:ascii="仿宋" w:hAnsi="仿宋" w:eastAsia="仿宋" w:cs="仿宋"/>
          <w:color w:val="auto"/>
          <w:sz w:val="24"/>
          <w:szCs w:val="24"/>
          <w:highlight w:val="none"/>
        </w:rPr>
        <w:t>13. 响应文件的语言</w:t>
      </w:r>
      <w:bookmarkEnd w:id="92"/>
      <w:bookmarkEnd w:id="93"/>
      <w:bookmarkEnd w:id="94"/>
      <w:bookmarkEnd w:id="95"/>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13.1与响应文件有关的所有文件均应使用中文。</w:t>
      </w:r>
    </w:p>
    <w:p>
      <w:pPr>
        <w:pStyle w:val="4"/>
        <w:spacing w:before="240" w:beforeLines="100" w:after="240" w:afterLines="100" w:line="460" w:lineRule="exact"/>
        <w:rPr>
          <w:rFonts w:ascii="仿宋" w:hAnsi="仿宋" w:eastAsia="仿宋" w:cs="仿宋"/>
          <w:color w:val="auto"/>
          <w:sz w:val="24"/>
          <w:szCs w:val="24"/>
          <w:highlight w:val="none"/>
        </w:rPr>
      </w:pPr>
      <w:bookmarkStart w:id="96" w:name="_Toc313535186"/>
      <w:bookmarkStart w:id="97" w:name="_Toc108835647"/>
      <w:bookmarkStart w:id="98" w:name="_Toc4055"/>
      <w:bookmarkStart w:id="99" w:name="_Toc108836058"/>
      <w:r>
        <w:rPr>
          <w:rFonts w:hint="eastAsia" w:ascii="仿宋" w:hAnsi="仿宋" w:eastAsia="仿宋" w:cs="仿宋"/>
          <w:color w:val="auto"/>
          <w:sz w:val="24"/>
          <w:szCs w:val="24"/>
          <w:highlight w:val="none"/>
        </w:rPr>
        <w:t>14. 响应文件的组成</w:t>
      </w:r>
      <w:bookmarkEnd w:id="96"/>
      <w:bookmarkEnd w:id="97"/>
      <w:bookmarkEnd w:id="98"/>
      <w:bookmarkEnd w:id="99"/>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（一）磋商报价函</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（二）磋商报价表</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（三）投标声明书</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（四）保密承诺书</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（五）资格证明文件</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（六）拟投入本项目的人员配置情况表</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（七）监理服务大纲（供应商自行编写）</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（八）服务质量承诺书</w:t>
      </w:r>
    </w:p>
    <w:p>
      <w:pPr>
        <w:spacing w:line="4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（九）磋商保证金交纳证明</w:t>
      </w:r>
      <w:r>
        <w:rPr>
          <w:rFonts w:hint="eastAsia" w:ascii="仿宋" w:hAnsi="仿宋" w:eastAsia="仿宋" w:cs="仿宋"/>
          <w:color w:val="auto"/>
          <w:sz w:val="24"/>
          <w:szCs w:val="24"/>
          <w:highlight w:val="none"/>
          <w:lang w:eastAsia="zh-CN"/>
        </w:rPr>
        <w:t>（无须提交）</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（十）类似业绩证明（如有，请提供）</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（十一）供应商获得的相关信誉与荣誉证明材料（如有，请提供）</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（十二）供应商认为需要提供的材料（如有，请提供）</w:t>
      </w:r>
    </w:p>
    <w:p>
      <w:pPr>
        <w:spacing w:line="460" w:lineRule="exact"/>
        <w:ind w:firstLine="480" w:firstLineChars="200"/>
        <w:rPr>
          <w:rFonts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pacing w:val="-2"/>
          <w:sz w:val="24"/>
          <w:szCs w:val="24"/>
          <w:highlight w:val="none"/>
        </w:rPr>
        <w:t>应按照采购人提供的响应文件格式和顺序，另行编制响应文件，但表格可以按同样格式扩展。</w:t>
      </w:r>
    </w:p>
    <w:p>
      <w:pPr>
        <w:pStyle w:val="4"/>
        <w:spacing w:before="240" w:beforeLines="100" w:after="240" w:afterLines="100" w:line="460" w:lineRule="exact"/>
        <w:rPr>
          <w:rFonts w:ascii="仿宋" w:hAnsi="仿宋" w:eastAsia="仿宋" w:cs="仿宋"/>
          <w:b w:val="0"/>
          <w:bCs w:val="0"/>
          <w:color w:val="auto"/>
          <w:sz w:val="24"/>
          <w:szCs w:val="24"/>
          <w:highlight w:val="none"/>
        </w:rPr>
      </w:pPr>
      <w:bookmarkStart w:id="100" w:name="_Toc313535187"/>
      <w:bookmarkStart w:id="101" w:name="_Toc108835648"/>
      <w:bookmarkStart w:id="102" w:name="_Toc108836059"/>
      <w:bookmarkStart w:id="103" w:name="_Toc12285"/>
      <w:r>
        <w:rPr>
          <w:rFonts w:hint="eastAsia" w:ascii="仿宋" w:hAnsi="仿宋" w:eastAsia="仿宋" w:cs="仿宋"/>
          <w:color w:val="auto"/>
          <w:sz w:val="24"/>
          <w:szCs w:val="24"/>
          <w:highlight w:val="none"/>
        </w:rPr>
        <w:t xml:space="preserve">15. </w:t>
      </w:r>
      <w:bookmarkEnd w:id="100"/>
      <w:bookmarkEnd w:id="101"/>
      <w:bookmarkEnd w:id="102"/>
      <w:r>
        <w:rPr>
          <w:rFonts w:hint="eastAsia" w:ascii="仿宋" w:hAnsi="仿宋" w:eastAsia="仿宋" w:cs="仿宋"/>
          <w:color w:val="auto"/>
          <w:sz w:val="24"/>
          <w:szCs w:val="24"/>
          <w:highlight w:val="none"/>
        </w:rPr>
        <w:t>磋商报价</w:t>
      </w:r>
      <w:bookmarkEnd w:id="103"/>
      <w:r>
        <w:rPr>
          <w:rFonts w:hint="eastAsia" w:ascii="仿宋" w:hAnsi="仿宋" w:eastAsia="仿宋" w:cs="仿宋"/>
          <w:b w:val="0"/>
          <w:bCs w:val="0"/>
          <w:color w:val="auto"/>
          <w:sz w:val="24"/>
          <w:szCs w:val="24"/>
          <w:highlight w:val="none"/>
        </w:rPr>
        <w:t xml:space="preserve"> </w:t>
      </w:r>
    </w:p>
    <w:p>
      <w:pPr>
        <w:autoSpaceDE w:val="0"/>
        <w:autoSpaceDN w:val="0"/>
        <w:adjustRightInd w:val="0"/>
        <w:spacing w:line="46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15.1 </w:t>
      </w:r>
      <w:r>
        <w:rPr>
          <w:rFonts w:hint="eastAsia" w:ascii="仿宋" w:hAnsi="仿宋" w:eastAsia="仿宋" w:cs="仿宋"/>
          <w:color w:val="auto"/>
          <w:kern w:val="0"/>
          <w:sz w:val="24"/>
          <w:szCs w:val="24"/>
          <w:highlight w:val="none"/>
        </w:rPr>
        <w:t>磋商报价见竞标须知前附表第5项所述。</w:t>
      </w:r>
    </w:p>
    <w:p>
      <w:pPr>
        <w:autoSpaceDE w:val="0"/>
        <w:autoSpaceDN w:val="0"/>
        <w:adjustRightInd w:val="0"/>
        <w:spacing w:line="46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应在磋商报价表上标明总价。小写与大写不符的，以大写为准。</w:t>
      </w:r>
    </w:p>
    <w:p>
      <w:pPr>
        <w:pStyle w:val="4"/>
        <w:spacing w:before="240" w:beforeLines="100" w:after="240" w:afterLines="100" w:line="460" w:lineRule="exact"/>
        <w:rPr>
          <w:rFonts w:ascii="仿宋" w:hAnsi="仿宋" w:eastAsia="仿宋" w:cs="仿宋"/>
          <w:color w:val="auto"/>
          <w:sz w:val="24"/>
          <w:szCs w:val="24"/>
          <w:highlight w:val="none"/>
        </w:rPr>
      </w:pPr>
      <w:bookmarkStart w:id="104" w:name="_Toc27431"/>
      <w:bookmarkStart w:id="105" w:name="_Toc108836060"/>
      <w:bookmarkStart w:id="106" w:name="_Toc108835649"/>
      <w:bookmarkStart w:id="107" w:name="_Toc313535188"/>
      <w:r>
        <w:rPr>
          <w:rFonts w:hint="eastAsia" w:ascii="仿宋" w:hAnsi="仿宋" w:eastAsia="仿宋" w:cs="仿宋"/>
          <w:color w:val="auto"/>
          <w:sz w:val="24"/>
          <w:szCs w:val="24"/>
          <w:highlight w:val="none"/>
        </w:rPr>
        <w:t>16. 磋商货币</w:t>
      </w:r>
      <w:bookmarkEnd w:id="104"/>
      <w:bookmarkEnd w:id="105"/>
      <w:bookmarkEnd w:id="106"/>
      <w:bookmarkEnd w:id="107"/>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16.1应以人民币填报所有单价和价格，合同实施时亦以人民币支付。</w:t>
      </w:r>
    </w:p>
    <w:p>
      <w:pPr>
        <w:pStyle w:val="4"/>
        <w:spacing w:before="240" w:beforeLines="100" w:after="240" w:afterLines="100" w:line="460" w:lineRule="exact"/>
        <w:rPr>
          <w:rFonts w:ascii="仿宋" w:hAnsi="仿宋" w:eastAsia="仿宋" w:cs="仿宋"/>
          <w:color w:val="auto"/>
          <w:sz w:val="24"/>
          <w:szCs w:val="24"/>
          <w:highlight w:val="none"/>
        </w:rPr>
      </w:pPr>
      <w:bookmarkStart w:id="108" w:name="_Toc108835650"/>
      <w:bookmarkStart w:id="109" w:name="_Toc108836061"/>
      <w:bookmarkStart w:id="110" w:name="_Toc313535189"/>
      <w:bookmarkStart w:id="111" w:name="_Toc26244"/>
      <w:r>
        <w:rPr>
          <w:rFonts w:hint="eastAsia" w:ascii="仿宋" w:hAnsi="仿宋" w:eastAsia="仿宋" w:cs="仿宋"/>
          <w:color w:val="auto"/>
          <w:sz w:val="24"/>
          <w:szCs w:val="24"/>
          <w:highlight w:val="none"/>
        </w:rPr>
        <w:t xml:space="preserve">17. </w:t>
      </w:r>
      <w:bookmarkEnd w:id="108"/>
      <w:bookmarkEnd w:id="109"/>
      <w:bookmarkEnd w:id="110"/>
      <w:r>
        <w:rPr>
          <w:rFonts w:hint="eastAsia" w:ascii="仿宋" w:hAnsi="仿宋" w:eastAsia="仿宋" w:cs="仿宋"/>
          <w:color w:val="auto"/>
          <w:sz w:val="24"/>
          <w:szCs w:val="24"/>
          <w:highlight w:val="none"/>
        </w:rPr>
        <w:t>响应文件有效期</w:t>
      </w:r>
      <w:bookmarkEnd w:id="111"/>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17.1响应文件应在本须知前附表第10项所规定的响应文件递交截止期之后开始生效，在本须知前附表第6项所规定的日历天内保持有效。</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17.2如果出现特殊情况，采购人可要求供应商将竞标有效期适当延长。这种要求和供应商的答复应以书面方式进行。同意延期的供应商，不需要也不允许修改其响应文件。</w:t>
      </w:r>
    </w:p>
    <w:p>
      <w:pPr>
        <w:pStyle w:val="4"/>
        <w:spacing w:before="240" w:beforeLines="100" w:after="240" w:afterLines="100" w:line="460" w:lineRule="exact"/>
        <w:rPr>
          <w:rFonts w:hint="eastAsia" w:ascii="仿宋" w:hAnsi="仿宋" w:eastAsia="仿宋" w:cs="仿宋"/>
          <w:color w:val="auto"/>
          <w:sz w:val="24"/>
          <w:szCs w:val="24"/>
          <w:highlight w:val="none"/>
          <w:lang w:eastAsia="zh-CN"/>
        </w:rPr>
      </w:pPr>
      <w:bookmarkStart w:id="112" w:name="_Toc313535190"/>
      <w:bookmarkStart w:id="113" w:name="_Toc108835651"/>
      <w:bookmarkStart w:id="114" w:name="_Toc108836062"/>
      <w:bookmarkStart w:id="115" w:name="_Toc11979"/>
      <w:r>
        <w:rPr>
          <w:rFonts w:hint="eastAsia" w:ascii="仿宋" w:hAnsi="仿宋" w:eastAsia="仿宋" w:cs="仿宋"/>
          <w:color w:val="auto"/>
          <w:sz w:val="24"/>
          <w:szCs w:val="24"/>
          <w:highlight w:val="none"/>
        </w:rPr>
        <w:t xml:space="preserve">18. </w:t>
      </w:r>
      <w:bookmarkEnd w:id="112"/>
      <w:bookmarkEnd w:id="113"/>
      <w:bookmarkEnd w:id="114"/>
      <w:r>
        <w:rPr>
          <w:rFonts w:hint="eastAsia" w:ascii="仿宋" w:hAnsi="仿宋" w:eastAsia="仿宋" w:cs="仿宋"/>
          <w:color w:val="auto"/>
          <w:sz w:val="24"/>
          <w:szCs w:val="24"/>
          <w:highlight w:val="none"/>
        </w:rPr>
        <w:t>磋商保证金</w:t>
      </w:r>
      <w:bookmarkEnd w:id="115"/>
      <w:r>
        <w:rPr>
          <w:rFonts w:hint="eastAsia" w:ascii="仿宋" w:hAnsi="仿宋" w:eastAsia="仿宋" w:cs="仿宋"/>
          <w:color w:val="auto"/>
          <w:sz w:val="24"/>
          <w:szCs w:val="24"/>
          <w:highlight w:val="none"/>
          <w:lang w:eastAsia="zh-CN"/>
        </w:rPr>
        <w:t>（本项目无须提交投标保证金）</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18.1供应商应提交不少于本须知前附表第7项所述金额的磋商保证金，此保证金是响应文件的一个组成部分。</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18.2磋商保证金在响应文件递交截止日前递交，根据供应商的选择，磋商保证金可以是支票、汇票、本票或者金融机构、担保机构出具的保函等非现金形式交纳，按下面开户名称、开户银行和账号转入。</w:t>
      </w:r>
    </w:p>
    <w:p>
      <w:pPr>
        <w:spacing w:line="3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开户名称：广西品格招标有限公司 </w:t>
      </w:r>
    </w:p>
    <w:p>
      <w:pPr>
        <w:spacing w:line="3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开户银行：中国建设银行股份有限公司南宁新竹西路支行    </w:t>
      </w:r>
    </w:p>
    <w:p>
      <w:pPr>
        <w:spacing w:line="36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银行账号：4505 0160 4250 0000 0578</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18.3对未按磋商文件要求交纳磋商保证金的磋商响应文件，采购代理机构将视其为不响应采购条件而予以拒绝。</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18.4采购代理机构将在成交通知书发出后5个工作日内退还未成交供应商的磋商保证金，自政府采购合同签订之日起5个工作日内退还成交供应商的磋商保证金。</w:t>
      </w:r>
    </w:p>
    <w:p>
      <w:pPr>
        <w:pStyle w:val="1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18.5如有下列情况之一，将不予退还磋商保证金：</w:t>
      </w:r>
    </w:p>
    <w:p>
      <w:pPr>
        <w:pStyle w:val="4"/>
        <w:spacing w:before="240" w:beforeLines="100" w:after="240" w:afterLines="100" w:line="240" w:lineRule="auto"/>
        <w:rPr>
          <w:rFonts w:ascii="仿宋" w:hAnsi="仿宋" w:eastAsia="仿宋" w:cs="仿宋"/>
          <w:b w:val="0"/>
          <w:bCs w:val="0"/>
          <w:color w:val="auto"/>
          <w:sz w:val="24"/>
          <w:szCs w:val="24"/>
          <w:highlight w:val="none"/>
        </w:rPr>
      </w:pPr>
      <w:bookmarkStart w:id="116" w:name="_Toc313535191"/>
      <w:bookmarkStart w:id="117" w:name="_Toc9231"/>
      <w:bookmarkStart w:id="118" w:name="_Toc108835652"/>
      <w:bookmarkStart w:id="119" w:name="_Toc108836063"/>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（1）供应商在提交响应文件截止时间后撤回响应文件的；</w:t>
      </w:r>
    </w:p>
    <w:p>
      <w:pPr>
        <w:pStyle w:val="4"/>
        <w:spacing w:before="240" w:beforeLines="100" w:after="240" w:afterLines="100" w:line="24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（2）供应商在响应文件中提供虚假材料的；</w:t>
      </w:r>
    </w:p>
    <w:p>
      <w:pPr>
        <w:pStyle w:val="4"/>
        <w:spacing w:before="240" w:beforeLines="100" w:after="240" w:afterLines="100" w:line="240" w:lineRule="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（3）除因不可抗力外，成交供应商不与采购人签订合同的；</w:t>
      </w:r>
    </w:p>
    <w:p>
      <w:pPr>
        <w:pStyle w:val="4"/>
        <w:spacing w:before="240" w:beforeLines="100" w:after="240" w:afterLines="100" w:line="240" w:lineRule="auto"/>
        <w:ind w:firstLine="481"/>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（4）供应商与采购人、其他供应商或者采购代理机构恶意串通的；</w:t>
      </w:r>
    </w:p>
    <w:p>
      <w:pPr>
        <w:pStyle w:val="4"/>
        <w:spacing w:before="240" w:beforeLines="100" w:after="240" w:afterLines="100" w:line="460" w:lineRule="exact"/>
        <w:rPr>
          <w:rFonts w:ascii="仿宋" w:hAnsi="仿宋" w:eastAsia="仿宋" w:cs="仿宋"/>
          <w:b w:val="0"/>
          <w:bCs w:val="0"/>
          <w:color w:val="auto"/>
          <w:spacing w:val="2"/>
          <w:sz w:val="24"/>
          <w:szCs w:val="24"/>
          <w:highlight w:val="none"/>
        </w:rPr>
      </w:pPr>
      <w:r>
        <w:rPr>
          <w:rFonts w:hint="eastAsia" w:ascii="仿宋" w:hAnsi="仿宋" w:eastAsia="仿宋" w:cs="仿宋"/>
          <w:color w:val="auto"/>
          <w:sz w:val="24"/>
          <w:szCs w:val="24"/>
          <w:highlight w:val="none"/>
        </w:rPr>
        <w:t>19. 磋商文件答疑</w:t>
      </w:r>
      <w:bookmarkEnd w:id="116"/>
      <w:bookmarkEnd w:id="117"/>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 采购人向供应商提供的有关资料和数据，是采购人现有的能使供应商利用的资料。采购人对供应商由此而作出的推论、理解和结论概不负责。</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19.2 供应商提出的与竞标有关的任何问题须在前附表规定的时间前，以书面形式送达采购人，采购人将通过“补遗文件”的形式予以答复。</w:t>
      </w:r>
    </w:p>
    <w:p>
      <w:pPr>
        <w:pStyle w:val="13"/>
        <w:spacing w:line="460" w:lineRule="exact"/>
        <w:ind w:firstLine="480" w:firstLineChars="200"/>
        <w:rPr>
          <w:rFonts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rPr>
        <w:t>19.3 采购补遗文件包括所有问题和答复，将迅速提供给所有获得竞争性磋商磋商文件的供应商。</w:t>
      </w:r>
    </w:p>
    <w:bookmarkEnd w:id="118"/>
    <w:bookmarkEnd w:id="119"/>
    <w:p>
      <w:pPr>
        <w:pStyle w:val="4"/>
        <w:spacing w:before="240" w:beforeLines="100" w:after="240" w:afterLines="100" w:line="460" w:lineRule="exact"/>
        <w:rPr>
          <w:rFonts w:ascii="仿宋" w:hAnsi="仿宋" w:eastAsia="仿宋" w:cs="仿宋"/>
          <w:color w:val="auto"/>
          <w:sz w:val="24"/>
          <w:szCs w:val="24"/>
          <w:highlight w:val="none"/>
        </w:rPr>
      </w:pPr>
      <w:bookmarkStart w:id="120" w:name="_Toc108835653"/>
      <w:bookmarkStart w:id="121" w:name="_Toc313535192"/>
      <w:bookmarkStart w:id="122" w:name="_Toc108836064"/>
      <w:bookmarkStart w:id="123" w:name="_Toc8813"/>
      <w:r>
        <w:rPr>
          <w:rFonts w:hint="eastAsia" w:ascii="仿宋" w:hAnsi="仿宋" w:eastAsia="仿宋" w:cs="仿宋"/>
          <w:color w:val="auto"/>
          <w:sz w:val="24"/>
          <w:szCs w:val="24"/>
          <w:highlight w:val="none"/>
        </w:rPr>
        <w:t>20. 响应文件的格式和签署</w:t>
      </w:r>
      <w:bookmarkEnd w:id="120"/>
      <w:bookmarkEnd w:id="121"/>
      <w:bookmarkEnd w:id="122"/>
      <w:bookmarkEnd w:id="123"/>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20.1 响应文件的份数：正本一份，副本</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份，共</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份。并在每份文件右上角注明“正本”、“副本”字样，一旦正本和副本不符，以正本为准。</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 响应文件的正本和全部副本均应使用不能擦去的墨料或墨水打印或书写，由法定代表人或其授权的代理人签署并加盖单位公章。凡有增加或修正之处均应由法定代表人或授权代理人签署并加盖单位公章。</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20.3 全套响应文件应无涂改和行间插字，除非这些改动是根据采购代理机构的指示进行的，或者是为改正供应商造成的必须修改的错误而进行的。有改动时，修改处应由法定代表人或授权代理人签字证明。</w:t>
      </w:r>
    </w:p>
    <w:p>
      <w:pPr>
        <w:snapToGrid w:val="0"/>
        <w:spacing w:line="400" w:lineRule="atLeas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20.4</w:t>
      </w:r>
      <w:r>
        <w:rPr>
          <w:rFonts w:hint="eastAsia" w:ascii="仿宋" w:hAnsi="仿宋" w:eastAsia="仿宋" w:cs="仿宋"/>
          <w:b/>
          <w:bCs/>
          <w:color w:val="auto"/>
          <w:sz w:val="24"/>
          <w:szCs w:val="24"/>
          <w:highlight w:val="none"/>
        </w:rPr>
        <w:t xml:space="preserve"> 供应商公章：</w:t>
      </w:r>
      <w:r>
        <w:rPr>
          <w:rFonts w:hint="eastAsia" w:ascii="仿宋" w:hAnsi="仿宋" w:eastAsia="仿宋" w:cs="仿宋"/>
          <w:color w:val="auto"/>
          <w:sz w:val="24"/>
          <w:szCs w:val="24"/>
          <w:highlight w:val="none"/>
        </w:rPr>
        <w:t>本采购文件中描述供应商的“公章”是指根据我国对公章的管理规定，用供应商法定主体行为名称制作的印章，除本采购文件有特殊规定外，供应商的财务章、部门章、分公司章、工会章、合同章、投标专用章、密封章、业务专用章等其它形式印章均不能代替公章。</w:t>
      </w:r>
    </w:p>
    <w:p>
      <w:pPr>
        <w:pStyle w:val="13"/>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b/>
          <w:bCs/>
          <w:color w:val="auto"/>
          <w:sz w:val="24"/>
          <w:szCs w:val="24"/>
          <w:highlight w:val="none"/>
        </w:rPr>
        <w:t>供应商的签字：</w:t>
      </w:r>
      <w:r>
        <w:rPr>
          <w:rFonts w:hint="eastAsia" w:ascii="仿宋" w:hAnsi="仿宋" w:eastAsia="仿宋" w:cs="仿宋"/>
          <w:color w:val="auto"/>
          <w:sz w:val="24"/>
          <w:szCs w:val="24"/>
          <w:highlight w:val="none"/>
        </w:rPr>
        <w:t>本采购文件中描述供应商的“签字”是指供应商的法定代表人或被授权人亲自在采购文件规定签署处亲笔写上个人的名字的行为，私章、签字章、印鉴、影印等其它形式均不能代替亲笔签字。</w:t>
      </w:r>
    </w:p>
    <w:p>
      <w:pPr>
        <w:pStyle w:val="13"/>
        <w:spacing w:line="460" w:lineRule="exact"/>
        <w:ind w:firstLine="480" w:firstLineChars="200"/>
        <w:rPr>
          <w:rFonts w:ascii="仿宋" w:hAnsi="仿宋" w:eastAsia="仿宋" w:cs="仿宋"/>
          <w:color w:val="auto"/>
          <w:sz w:val="24"/>
          <w:szCs w:val="24"/>
          <w:highlight w:val="none"/>
        </w:rPr>
      </w:pPr>
    </w:p>
    <w:p>
      <w:pPr>
        <w:pStyle w:val="3"/>
        <w:spacing w:before="240" w:beforeLines="100" w:after="240" w:afterLines="100" w:line="460" w:lineRule="exact"/>
        <w:jc w:val="center"/>
        <w:rPr>
          <w:rFonts w:ascii="仿宋" w:hAnsi="仿宋" w:eastAsia="仿宋" w:cs="仿宋"/>
          <w:color w:val="auto"/>
          <w:sz w:val="32"/>
          <w:szCs w:val="32"/>
          <w:highlight w:val="none"/>
        </w:rPr>
      </w:pPr>
      <w:bookmarkStart w:id="124" w:name="_Toc313535193"/>
      <w:bookmarkStart w:id="125" w:name="_Toc29572"/>
      <w:bookmarkStart w:id="126" w:name="_Toc108836065"/>
      <w:bookmarkStart w:id="127" w:name="_Toc108835654"/>
      <w:r>
        <w:rPr>
          <w:rFonts w:hint="eastAsia" w:ascii="仿宋" w:hAnsi="仿宋" w:eastAsia="仿宋" w:cs="仿宋"/>
          <w:color w:val="auto"/>
          <w:sz w:val="32"/>
          <w:szCs w:val="32"/>
          <w:highlight w:val="none"/>
        </w:rPr>
        <w:t>四、响应文件的提交</w:t>
      </w:r>
      <w:bookmarkEnd w:id="124"/>
      <w:bookmarkEnd w:id="125"/>
      <w:bookmarkEnd w:id="126"/>
      <w:bookmarkEnd w:id="127"/>
    </w:p>
    <w:p>
      <w:pPr>
        <w:pStyle w:val="4"/>
        <w:spacing w:before="240" w:beforeLines="100" w:after="240" w:afterLines="100" w:line="460" w:lineRule="exact"/>
        <w:rPr>
          <w:rFonts w:ascii="仿宋" w:hAnsi="仿宋" w:eastAsia="仿宋" w:cs="仿宋"/>
          <w:color w:val="auto"/>
          <w:sz w:val="24"/>
          <w:szCs w:val="24"/>
          <w:highlight w:val="none"/>
        </w:rPr>
      </w:pPr>
      <w:bookmarkStart w:id="128" w:name="_Toc313535194"/>
      <w:bookmarkStart w:id="129" w:name="_Toc108835655"/>
      <w:bookmarkStart w:id="130" w:name="_Toc108836066"/>
      <w:bookmarkStart w:id="131" w:name="_Toc10137"/>
      <w:r>
        <w:rPr>
          <w:rFonts w:hint="eastAsia" w:ascii="仿宋" w:hAnsi="仿宋" w:eastAsia="仿宋" w:cs="仿宋"/>
          <w:color w:val="auto"/>
          <w:sz w:val="24"/>
          <w:szCs w:val="24"/>
          <w:highlight w:val="none"/>
        </w:rPr>
        <w:t>21. 响应文件的密封与标志</w:t>
      </w:r>
      <w:bookmarkEnd w:id="128"/>
      <w:bookmarkEnd w:id="129"/>
      <w:bookmarkEnd w:id="130"/>
      <w:bookmarkEnd w:id="131"/>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21.1供应商应将响应文件正、副本分别装订成册[按本须知6.1条的规定顺序自编目录及页码装订成册]，在每个文本封面上标明“正本”或“副本”以及项目名称、项目编号、供应商名称等内容。</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21.2供应商应将响应文件正、副本一并装入响应文件袋中并再加以密封，并在封贴处密封签章（公章、密封章、法定代表人或其委托代理人签名均可）。</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21.3响应文件袋上都应写明：</w:t>
      </w:r>
    </w:p>
    <w:p>
      <w:pPr>
        <w:pStyle w:val="13"/>
        <w:spacing w:line="460" w:lineRule="exact"/>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（1）项目名称：</w:t>
      </w:r>
      <w:r>
        <w:rPr>
          <w:rFonts w:hint="eastAsia" w:ascii="仿宋" w:hAnsi="仿宋" w:eastAsia="仿宋" w:cs="仿宋"/>
          <w:color w:val="auto"/>
          <w:sz w:val="24"/>
          <w:szCs w:val="24"/>
          <w:highlight w:val="none"/>
          <w:u w:val="single"/>
        </w:rPr>
        <w:t xml:space="preserve">                            </w:t>
      </w:r>
    </w:p>
    <w:p>
      <w:pPr>
        <w:pStyle w:val="13"/>
        <w:spacing w:line="460" w:lineRule="exact"/>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（2）项目编号：</w:t>
      </w:r>
      <w:r>
        <w:rPr>
          <w:rFonts w:hint="eastAsia" w:ascii="仿宋" w:hAnsi="仿宋" w:eastAsia="仿宋" w:cs="仿宋"/>
          <w:color w:val="auto"/>
          <w:sz w:val="24"/>
          <w:szCs w:val="24"/>
          <w:highlight w:val="none"/>
          <w:u w:val="single"/>
        </w:rPr>
        <w:t xml:space="preserve">                            </w:t>
      </w:r>
    </w:p>
    <w:p>
      <w:pPr>
        <w:pStyle w:val="13"/>
        <w:spacing w:line="460" w:lineRule="exact"/>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（3）竞标单位：</w:t>
      </w:r>
      <w:r>
        <w:rPr>
          <w:rFonts w:hint="eastAsia" w:ascii="仿宋" w:hAnsi="仿宋" w:eastAsia="仿宋" w:cs="仿宋"/>
          <w:color w:val="auto"/>
          <w:sz w:val="24"/>
          <w:szCs w:val="24"/>
          <w:highlight w:val="none"/>
          <w:u w:val="single"/>
        </w:rPr>
        <w:t xml:space="preserve">                            </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（4）响应文件递交截止时间“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分截标，此时间以前不得拆封”</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21.4供应商在递交响应文件时，未按本须知要求装订、密封、标记的，采购代理机构有权拒收，由此所产生的后果由供应商自负。</w:t>
      </w:r>
    </w:p>
    <w:p>
      <w:pPr>
        <w:pStyle w:val="4"/>
        <w:spacing w:before="240" w:beforeLines="100" w:after="240" w:afterLines="100" w:line="460" w:lineRule="exact"/>
        <w:rPr>
          <w:rFonts w:ascii="仿宋" w:hAnsi="仿宋" w:eastAsia="仿宋" w:cs="仿宋"/>
          <w:color w:val="auto"/>
          <w:sz w:val="24"/>
          <w:szCs w:val="24"/>
          <w:highlight w:val="none"/>
        </w:rPr>
      </w:pPr>
      <w:bookmarkStart w:id="132" w:name="_Toc12669"/>
      <w:bookmarkStart w:id="133" w:name="_Toc108835656"/>
      <w:bookmarkStart w:id="134" w:name="_Toc313535195"/>
      <w:bookmarkStart w:id="135" w:name="_Toc108836067"/>
      <w:r>
        <w:rPr>
          <w:rFonts w:hint="eastAsia" w:ascii="仿宋" w:hAnsi="仿宋" w:eastAsia="仿宋" w:cs="仿宋"/>
          <w:color w:val="auto"/>
          <w:sz w:val="24"/>
          <w:szCs w:val="24"/>
          <w:highlight w:val="none"/>
        </w:rPr>
        <w:t>22. 响应文件递交地点及截止期</w:t>
      </w:r>
      <w:bookmarkEnd w:id="132"/>
      <w:bookmarkEnd w:id="133"/>
      <w:bookmarkEnd w:id="134"/>
      <w:bookmarkEnd w:id="135"/>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22.1响应文件应在本须知前附表所规定的日期和时间前按规定的地址送达采购代理机构。</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22.2 采购人根据本须知的规定可以发出补充修改书，酌情适当延长递交响应文件的截止期限。在上述情况下，采购人与供应商在原响应文件递交截止期方面的全部权力和义务，将适用于延长后新的响应文件递交截止期。</w:t>
      </w:r>
    </w:p>
    <w:p>
      <w:pPr>
        <w:pStyle w:val="4"/>
        <w:spacing w:before="240" w:beforeLines="100" w:after="240" w:afterLines="100" w:line="460" w:lineRule="exact"/>
        <w:rPr>
          <w:rFonts w:ascii="仿宋" w:hAnsi="仿宋" w:eastAsia="仿宋" w:cs="仿宋"/>
          <w:color w:val="auto"/>
          <w:sz w:val="24"/>
          <w:szCs w:val="24"/>
          <w:highlight w:val="none"/>
        </w:rPr>
      </w:pPr>
      <w:bookmarkStart w:id="136" w:name="_Toc108835657"/>
      <w:bookmarkStart w:id="137" w:name="_Toc3287"/>
      <w:bookmarkStart w:id="138" w:name="_Toc313535196"/>
      <w:bookmarkStart w:id="139" w:name="_Toc108836068"/>
      <w:r>
        <w:rPr>
          <w:rFonts w:hint="eastAsia" w:ascii="仿宋" w:hAnsi="仿宋" w:eastAsia="仿宋" w:cs="仿宋"/>
          <w:color w:val="auto"/>
          <w:sz w:val="24"/>
          <w:szCs w:val="24"/>
          <w:highlight w:val="none"/>
        </w:rPr>
        <w:t>23. 迟到的响应文件</w:t>
      </w:r>
      <w:bookmarkEnd w:id="136"/>
      <w:bookmarkEnd w:id="137"/>
      <w:bookmarkEnd w:id="138"/>
      <w:bookmarkEnd w:id="139"/>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23.1 采购人在本须知规定的响应文件递交截止期以后收到的响应文件，将原封退给供应商。</w:t>
      </w:r>
    </w:p>
    <w:p>
      <w:pPr>
        <w:pStyle w:val="3"/>
        <w:spacing w:before="240" w:beforeLines="100" w:after="240" w:afterLines="100" w:line="460" w:lineRule="exact"/>
        <w:jc w:val="center"/>
        <w:rPr>
          <w:rFonts w:ascii="仿宋" w:hAnsi="仿宋" w:eastAsia="仿宋" w:cs="仿宋"/>
          <w:color w:val="auto"/>
          <w:sz w:val="32"/>
          <w:szCs w:val="32"/>
          <w:highlight w:val="none"/>
        </w:rPr>
      </w:pPr>
      <w:bookmarkStart w:id="140" w:name="_Toc108835659"/>
      <w:bookmarkStart w:id="141" w:name="_Toc313535198"/>
      <w:bookmarkStart w:id="142" w:name="_Toc108836070"/>
      <w:bookmarkStart w:id="143" w:name="_Toc3438"/>
      <w:r>
        <w:rPr>
          <w:rFonts w:hint="eastAsia" w:ascii="仿宋" w:hAnsi="仿宋" w:eastAsia="仿宋" w:cs="仿宋"/>
          <w:color w:val="auto"/>
          <w:sz w:val="32"/>
          <w:szCs w:val="32"/>
          <w:highlight w:val="none"/>
        </w:rPr>
        <w:t>五、</w:t>
      </w:r>
      <w:bookmarkEnd w:id="140"/>
      <w:bookmarkEnd w:id="141"/>
      <w:bookmarkEnd w:id="142"/>
      <w:r>
        <w:rPr>
          <w:rFonts w:hint="eastAsia" w:ascii="仿宋" w:hAnsi="仿宋" w:eastAsia="仿宋" w:cs="仿宋"/>
          <w:color w:val="auto"/>
          <w:sz w:val="32"/>
          <w:szCs w:val="32"/>
          <w:highlight w:val="none"/>
        </w:rPr>
        <w:t>截标、磋商与评标</w:t>
      </w:r>
      <w:bookmarkEnd w:id="143"/>
    </w:p>
    <w:p>
      <w:pPr>
        <w:pStyle w:val="4"/>
        <w:spacing w:before="240" w:beforeLines="100" w:after="240" w:afterLines="100" w:line="460" w:lineRule="exact"/>
        <w:rPr>
          <w:rFonts w:ascii="仿宋" w:hAnsi="仿宋" w:eastAsia="仿宋" w:cs="仿宋"/>
          <w:color w:val="auto"/>
          <w:sz w:val="24"/>
          <w:szCs w:val="24"/>
          <w:highlight w:val="none"/>
        </w:rPr>
      </w:pPr>
      <w:bookmarkStart w:id="144" w:name="_Toc313535199"/>
      <w:bookmarkStart w:id="145" w:name="_Toc6826"/>
      <w:r>
        <w:rPr>
          <w:rFonts w:hint="eastAsia" w:ascii="仿宋" w:hAnsi="仿宋" w:eastAsia="仿宋" w:cs="仿宋"/>
          <w:color w:val="auto"/>
          <w:sz w:val="24"/>
          <w:szCs w:val="24"/>
          <w:highlight w:val="none"/>
        </w:rPr>
        <w:t xml:space="preserve">24. </w:t>
      </w:r>
      <w:bookmarkEnd w:id="144"/>
      <w:r>
        <w:rPr>
          <w:rFonts w:hint="eastAsia" w:ascii="仿宋" w:hAnsi="仿宋" w:eastAsia="仿宋" w:cs="仿宋"/>
          <w:color w:val="auto"/>
          <w:sz w:val="24"/>
          <w:szCs w:val="24"/>
          <w:highlight w:val="none"/>
        </w:rPr>
        <w:t>截标</w:t>
      </w:r>
      <w:bookmarkEnd w:id="145"/>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24.1采购人将于前附表规定的时间和地点举行开标会议，所有供应商的法定代表人或其委托代理人准时参加。</w:t>
      </w:r>
      <w:r>
        <w:rPr>
          <w:rFonts w:hint="eastAsia" w:ascii="仿宋" w:hAnsi="仿宋" w:eastAsia="仿宋" w:cs="仿宋"/>
          <w:b/>
          <w:bCs/>
          <w:color w:val="auto"/>
          <w:sz w:val="24"/>
          <w:szCs w:val="24"/>
          <w:highlight w:val="none"/>
        </w:rPr>
        <w:t>参加开标会议可携带有效证明材料（有效证明材料包括法定代表人身份证原件（法定代表人来开标时需提供）及复印件、法定代表人授权委托书（授权委托时提供）及被委托人身份证原件及复印件</w:t>
      </w:r>
      <w:r>
        <w:rPr>
          <w:rFonts w:hint="eastAsia" w:ascii="仿宋" w:hAnsi="仿宋" w:eastAsia="仿宋" w:cs="仿宋"/>
          <w:color w:val="auto"/>
          <w:sz w:val="24"/>
          <w:szCs w:val="24"/>
          <w:highlight w:val="none"/>
        </w:rPr>
        <w:t>参加开标会，参加开标会的代表须签到并接受验证。</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24.2到规定截标时间，如果供应商不足三家，经有关监督部门、采购单位代表及供应商代表签字确认后，采购代理机构宣布本次采购项目予以废标，并按原状退还磋商响应文件。</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24.3截标时，供应商代表、采购单位代表以及有关监督部门代表将检查磋商响应文件的密封情况，确认无误后在密封性检查结果表上签字。提交了“撤销竞标”通知的磋商响应文件将不予拆封。</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24.4截标会结束后立即转入磋商阶段。</w:t>
      </w:r>
    </w:p>
    <w:p>
      <w:pPr>
        <w:pStyle w:val="4"/>
        <w:spacing w:before="240" w:beforeLines="100" w:after="240" w:afterLines="100" w:line="460" w:lineRule="exact"/>
        <w:rPr>
          <w:rFonts w:ascii="仿宋" w:hAnsi="仿宋" w:eastAsia="仿宋" w:cs="仿宋"/>
          <w:color w:val="auto"/>
          <w:sz w:val="24"/>
          <w:szCs w:val="24"/>
          <w:highlight w:val="none"/>
        </w:rPr>
      </w:pPr>
      <w:bookmarkStart w:id="146" w:name="_Toc12577"/>
      <w:r>
        <w:rPr>
          <w:rFonts w:hint="eastAsia" w:ascii="仿宋" w:hAnsi="仿宋" w:eastAsia="仿宋" w:cs="仿宋"/>
          <w:color w:val="auto"/>
          <w:sz w:val="24"/>
          <w:szCs w:val="24"/>
          <w:highlight w:val="none"/>
        </w:rPr>
        <w:t>25. 磋商</w:t>
      </w:r>
      <w:bookmarkEnd w:id="146"/>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25.1磋商时间及地点：在供应商须知前附表第10项规定的时间后为与供应商磋商时间，具体时间由采购代理机构另行通知。</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25.2磋商地点：广西品格招标有限公司（崇左市城南区龙峡山中段南侧（崇左逸安居花园）第五栋三楼开标室）。</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25.3采购代理机构将在供应商须知前附表第10项规定的时间和地点组织“磋商小组”与各供应商分别进行磋商。供应商的法定代表人或其授权委托人必须持证件（身份证或授权委托人持授权委托书、本人身份证）依时到达现场等候参加磋商，并自觉接受核验上述证件。</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25.4供应商可由1～3人组成参谈小组，磋商中供应商成员之间意见不一致时，以供应商的法定代表人（或其委托代理人）的意见为准。</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25.5磋商的内容包括技术性条件、商务性条件以及“磋商小组”认为需要磋商的内容。当磋商文件有实质性变动的，“磋商小组”以书面形式通知所有参加磋商的供应商。其中涉及价格的内容不得要求供应商在磋商时作口头报价，而应以书面密封形式报价。</w:t>
      </w:r>
    </w:p>
    <w:p>
      <w:pPr>
        <w:pStyle w:val="13"/>
        <w:spacing w:line="460" w:lineRule="exact"/>
        <w:ind w:firstLine="480" w:firstLineChars="200"/>
        <w:rPr>
          <w:rFonts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25.6磋商内容应作记录，并由供应商及“磋商小组”成员签</w:t>
      </w:r>
      <w:r>
        <w:rPr>
          <w:rFonts w:hint="eastAsia" w:ascii="仿宋" w:hAnsi="仿宋" w:eastAsia="仿宋" w:cs="仿宋"/>
          <w:color w:val="auto"/>
          <w:spacing w:val="-4"/>
          <w:sz w:val="24"/>
          <w:szCs w:val="24"/>
          <w:highlight w:val="none"/>
        </w:rPr>
        <w:t>字确认。</w:t>
      </w:r>
    </w:p>
    <w:p>
      <w:pPr>
        <w:pStyle w:val="13"/>
        <w:spacing w:line="460" w:lineRule="exact"/>
        <w:ind w:firstLine="464" w:firstLineChars="200"/>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25.7磋商结束后，“磋商小组”应要求供应商在规定的时间、地点以书面密封形式递交磋商时要求其就商务和技术条件作出的包含补充、修改、承诺等内容的应答文件，应答文件必须由供应商的法定代表人或委托代理人签名或加盖单位公章，应答文件构成响应文件的一部分。</w:t>
      </w:r>
    </w:p>
    <w:p>
      <w:pPr>
        <w:pStyle w:val="13"/>
        <w:spacing w:line="460" w:lineRule="exact"/>
        <w:ind w:firstLine="46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25.8“</w:t>
      </w:r>
      <w:r>
        <w:rPr>
          <w:rFonts w:hint="eastAsia" w:ascii="仿宋" w:hAnsi="仿宋" w:eastAsia="仿宋" w:cs="仿宋"/>
          <w:color w:val="auto"/>
          <w:sz w:val="24"/>
          <w:szCs w:val="24"/>
          <w:highlight w:val="none"/>
        </w:rPr>
        <w:t>磋商小组”对各供应商递交的应答文件统一开启，并进行评审后，认为有必要再次进行磋商的，可再次与供应商进行磋商，磋商程序和要求按本须知21.1至21.6规定执行，直至“磋商小组”认为没有必要再进行磋商，磋商方可结束。对最后一轮磋商，“磋商小组”应明确告知供应商，并要求所有供应商</w:t>
      </w:r>
      <w:r>
        <w:rPr>
          <w:rFonts w:hint="eastAsia" w:ascii="仿宋" w:hAnsi="仿宋" w:eastAsia="仿宋" w:cs="仿宋"/>
          <w:color w:val="auto"/>
          <w:spacing w:val="-4"/>
          <w:sz w:val="24"/>
          <w:szCs w:val="24"/>
          <w:highlight w:val="none"/>
        </w:rPr>
        <w:t>在规定的时间、地点以书面密封形式递交最终的应答文件。</w:t>
      </w:r>
      <w:r>
        <w:rPr>
          <w:rFonts w:hint="eastAsia" w:ascii="仿宋" w:hAnsi="仿宋" w:eastAsia="仿宋" w:cs="仿宋"/>
          <w:b/>
          <w:bCs/>
          <w:color w:val="auto"/>
          <w:sz w:val="24"/>
          <w:szCs w:val="24"/>
          <w:highlight w:val="none"/>
        </w:rPr>
        <w:t>磋商文件能够详细列明采购标的的技术、服务要求的，磋商结束后，磋商小组应当要求所有继续参加磋商的供应商在规定时间内密封提交最后报价，提交最后报价的供应商不得小于3家，（符合财库〔2014〕214号《政府采购竞争性磋商采购方式管理暂行办法》第三条第四项、《财政部关于政府采购竞争性磋商采购方式管理暂行办法有关问题的补充通知》（财库〔2015〕124号）情形的，提交最后报价的供应商可以为2家）。</w:t>
      </w:r>
      <w:r>
        <w:rPr>
          <w:rFonts w:hint="eastAsia" w:ascii="仿宋" w:hAnsi="仿宋" w:eastAsia="仿宋" w:cs="仿宋"/>
          <w:color w:val="auto"/>
          <w:sz w:val="24"/>
          <w:szCs w:val="24"/>
          <w:highlight w:val="none"/>
        </w:rPr>
        <w:t>最后报价是供应商竞争性磋商响应文件的有效组成部分。已提交响应文件的供应商，在提交最后报价之前，可以根据磋商情况退出磋商。</w:t>
      </w:r>
    </w:p>
    <w:p>
      <w:pPr>
        <w:pStyle w:val="13"/>
        <w:spacing w:line="460" w:lineRule="exact"/>
        <w:ind w:firstLine="464" w:firstLineChars="200"/>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25.9最终磋商结束后，“</w:t>
      </w:r>
      <w:r>
        <w:rPr>
          <w:rFonts w:hint="eastAsia" w:ascii="仿宋" w:hAnsi="仿宋" w:eastAsia="仿宋" w:cs="仿宋"/>
          <w:color w:val="auto"/>
          <w:sz w:val="24"/>
          <w:szCs w:val="24"/>
          <w:highlight w:val="none"/>
        </w:rPr>
        <w:t>磋商小组”不得再与供应商进行任何形式的商谈。</w:t>
      </w:r>
    </w:p>
    <w:p>
      <w:pPr>
        <w:spacing w:line="460" w:lineRule="exact"/>
        <w:ind w:firstLine="480" w:firstLineChars="200"/>
        <w:rPr>
          <w:rFonts w:ascii="仿宋" w:hAnsi="仿宋" w:eastAsia="仿宋" w:cs="仿宋"/>
          <w:b/>
          <w:bCs/>
          <w:color w:val="auto"/>
          <w:spacing w:val="2"/>
          <w:sz w:val="24"/>
          <w:szCs w:val="24"/>
          <w:highlight w:val="none"/>
        </w:rPr>
      </w:pPr>
      <w:r>
        <w:rPr>
          <w:rFonts w:hint="eastAsia" w:ascii="仿宋" w:hAnsi="仿宋" w:eastAsia="仿宋" w:cs="仿宋"/>
          <w:color w:val="auto"/>
          <w:sz w:val="24"/>
          <w:szCs w:val="24"/>
          <w:highlight w:val="none"/>
        </w:rPr>
        <w:t>25.10磋商的任何一方不得透露与磋商有关的其他供应商的技术资料、价格和其他信息。</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25.11 磋商原则</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（1）公平、公正、客观，不带任何倾向性和启发性；</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（2）磋商人员不得向外界透露任何与磋商有关的内容； </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（3）任何单位和个人不得干扰、影响磋商的正常进行；</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（4）磋商人员不得私下与供应商接触。 </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25.12响应文件有下列情况之一者将视为竞标无效：</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）未按磋商文件规定要求密封、签署、盖章的；</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）不具备磋商文件中规定资格要求的；</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）磋商后采购项目完成期限仍不能满足采购人规定期限的；</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）磋商后采购项目明显不符合技术规格、技术标准要求的；</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）磋商响应文件和磋商应答文件附有采购人不能接受的条件；</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）不符合法律、法规和磋商文件中规定的其他实质性要求的。</w:t>
      </w:r>
    </w:p>
    <w:p>
      <w:pPr>
        <w:pStyle w:val="4"/>
        <w:spacing w:before="240" w:beforeLines="100" w:after="240" w:afterLines="100" w:line="460" w:lineRule="exact"/>
        <w:rPr>
          <w:rFonts w:ascii="仿宋" w:hAnsi="仿宋" w:eastAsia="仿宋" w:cs="仿宋"/>
          <w:color w:val="auto"/>
          <w:sz w:val="24"/>
          <w:szCs w:val="24"/>
          <w:highlight w:val="none"/>
        </w:rPr>
      </w:pPr>
      <w:bookmarkStart w:id="147" w:name="_Toc12709"/>
      <w:bookmarkStart w:id="148" w:name="_Toc313535200"/>
      <w:r>
        <w:rPr>
          <w:rFonts w:hint="eastAsia" w:ascii="仿宋" w:hAnsi="仿宋" w:eastAsia="仿宋" w:cs="仿宋"/>
          <w:color w:val="auto"/>
          <w:sz w:val="24"/>
          <w:szCs w:val="24"/>
          <w:highlight w:val="none"/>
        </w:rPr>
        <w:t>26. 评标内容的保密</w:t>
      </w:r>
      <w:bookmarkEnd w:id="147"/>
      <w:bookmarkEnd w:id="148"/>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26.1截标后，直到宣布授予成交供应商合同为止，凡属于审查、澄清、评价和比较竞标的有关资料及有关授予合同的信息，都不应向供应商或与评标无关的其他人泄露。</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26.2 在响应文件的审查、澄清、评价和比较以及授予合同的过程中，供应商对采购人和磋商小组成员施加影响的任何行为，都将导致被取消竞标资格。</w:t>
      </w:r>
    </w:p>
    <w:p>
      <w:pPr>
        <w:pStyle w:val="4"/>
        <w:spacing w:before="240" w:beforeLines="100" w:after="240" w:afterLines="100" w:line="460" w:lineRule="exact"/>
        <w:rPr>
          <w:rFonts w:ascii="仿宋" w:hAnsi="仿宋" w:eastAsia="仿宋" w:cs="仿宋"/>
          <w:color w:val="auto"/>
          <w:sz w:val="24"/>
          <w:szCs w:val="24"/>
          <w:highlight w:val="none"/>
        </w:rPr>
      </w:pPr>
      <w:bookmarkStart w:id="149" w:name="_Toc10509"/>
      <w:bookmarkStart w:id="150" w:name="_Toc313535201"/>
      <w:r>
        <w:rPr>
          <w:rFonts w:hint="eastAsia" w:ascii="仿宋" w:hAnsi="仿宋" w:eastAsia="仿宋" w:cs="仿宋"/>
          <w:color w:val="auto"/>
          <w:sz w:val="24"/>
          <w:szCs w:val="24"/>
          <w:highlight w:val="none"/>
        </w:rPr>
        <w:t>27. 响应文件的符合性鉴定</w:t>
      </w:r>
      <w:bookmarkEnd w:id="149"/>
      <w:bookmarkEnd w:id="150"/>
    </w:p>
    <w:p>
      <w:pPr>
        <w:spacing w:line="460" w:lineRule="exact"/>
        <w:ind w:firstLine="480" w:firstLineChars="200"/>
        <w:rPr>
          <w:rFonts w:ascii="仿宋" w:hAnsi="仿宋" w:eastAsia="仿宋" w:cs="仿宋"/>
          <w:color w:val="auto"/>
          <w:spacing w:val="-9"/>
          <w:sz w:val="24"/>
          <w:szCs w:val="24"/>
          <w:highlight w:val="none"/>
        </w:rPr>
      </w:pPr>
      <w:r>
        <w:rPr>
          <w:rFonts w:hint="eastAsia" w:ascii="仿宋" w:hAnsi="仿宋" w:eastAsia="仿宋" w:cs="仿宋"/>
          <w:color w:val="auto"/>
          <w:sz w:val="24"/>
          <w:szCs w:val="24"/>
          <w:highlight w:val="none"/>
        </w:rPr>
        <w:t xml:space="preserve">27.1 </w:t>
      </w:r>
      <w:r>
        <w:rPr>
          <w:rFonts w:hint="eastAsia" w:ascii="仿宋" w:hAnsi="仿宋" w:eastAsia="仿宋" w:cs="仿宋"/>
          <w:color w:val="auto"/>
          <w:spacing w:val="-9"/>
          <w:sz w:val="24"/>
          <w:szCs w:val="24"/>
          <w:highlight w:val="none"/>
        </w:rPr>
        <w:t>在磋商之前，磋商小组将首先审定每份响应文件是否在实质上响应了竞争性磋商文件的要求。</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27.2 就本条款而言，实质上响应要求的响应文件，应该与竞争性磋商文件的所规定的范围、质量标准及运用不产生实质性影响；或者对合同中规定的采购人的权力及供应商的责任不造成实质性限制。</w:t>
      </w:r>
    </w:p>
    <w:p>
      <w:pPr>
        <w:pStyle w:val="4"/>
        <w:spacing w:before="240" w:beforeLines="100" w:after="240" w:afterLines="100" w:line="460" w:lineRule="exact"/>
        <w:rPr>
          <w:rFonts w:ascii="仿宋" w:hAnsi="仿宋" w:eastAsia="仿宋" w:cs="仿宋"/>
          <w:color w:val="auto"/>
          <w:sz w:val="24"/>
          <w:szCs w:val="24"/>
          <w:highlight w:val="none"/>
        </w:rPr>
      </w:pPr>
      <w:bookmarkStart w:id="151" w:name="_Toc18921"/>
      <w:bookmarkStart w:id="152" w:name="_Toc313535202"/>
      <w:r>
        <w:rPr>
          <w:rFonts w:hint="eastAsia" w:ascii="仿宋" w:hAnsi="仿宋" w:eastAsia="仿宋" w:cs="仿宋"/>
          <w:color w:val="auto"/>
          <w:sz w:val="24"/>
          <w:szCs w:val="24"/>
          <w:highlight w:val="none"/>
        </w:rPr>
        <w:t>28. 响应文件的澄清</w:t>
      </w:r>
      <w:bookmarkEnd w:id="151"/>
      <w:bookmarkEnd w:id="152"/>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28.1为了有助于响应文件的审查、评价和比较，磋商小组可以个别地要求供应商澄清其响应文件。有关澄清的要求与答复，应以书面形式进行。</w:t>
      </w:r>
    </w:p>
    <w:p>
      <w:pPr>
        <w:pStyle w:val="4"/>
        <w:spacing w:before="240" w:beforeLines="100" w:after="240" w:afterLines="100" w:line="460" w:lineRule="exact"/>
        <w:rPr>
          <w:rFonts w:ascii="仿宋" w:hAnsi="仿宋" w:eastAsia="仿宋" w:cs="仿宋"/>
          <w:color w:val="auto"/>
          <w:sz w:val="24"/>
          <w:szCs w:val="24"/>
          <w:highlight w:val="none"/>
        </w:rPr>
      </w:pPr>
      <w:bookmarkStart w:id="153" w:name="_Toc15431"/>
      <w:bookmarkStart w:id="154" w:name="_Toc313535203"/>
      <w:r>
        <w:rPr>
          <w:rFonts w:hint="eastAsia" w:ascii="仿宋" w:hAnsi="仿宋" w:eastAsia="仿宋" w:cs="仿宋"/>
          <w:color w:val="auto"/>
          <w:sz w:val="24"/>
          <w:szCs w:val="24"/>
          <w:highlight w:val="none"/>
        </w:rPr>
        <w:t>28. 错误的修正</w:t>
      </w:r>
      <w:bookmarkEnd w:id="153"/>
      <w:bookmarkEnd w:id="154"/>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28.1磋商小组将对确定为实质上响应竞争性磋商磋商文件要求的响应文件进行校核，看其是否有计算上或累计上的算术错误，修正错误的原则如下：</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28.1.1 如果用阿拉伯数字表示的数额与用汉语文字表示的数额（人民币大写）不一致时，以汉语文字数额（人民币大写）为准。</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28.1.2 当单价累计之合与总价之间不一致时，以标出的单价为准。除非磋商小组认为有明显的小数点错位，此时应以标出的总价为准，并修改单价。</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28.2 按上述修改错误的方法，调整竞标书中的磋商报价。经供应商确认同意后，调整后的报价对供应商起约束作用。如果供应商不接受修正后的磋商报价则其竞标将被拒绝，视为无效竞标。</w:t>
      </w:r>
    </w:p>
    <w:p>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 磋商过程的监控</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本项目磋商过程实行全程录音、录像监控，供应商在磋商过程中所进行的试图影响磋商结果的不公正活动，可能导致其磋商被拒绝。</w:t>
      </w:r>
    </w:p>
    <w:p>
      <w:pPr>
        <w:pStyle w:val="4"/>
        <w:spacing w:before="240" w:beforeLines="100" w:after="240" w:afterLines="100" w:line="460" w:lineRule="exact"/>
        <w:rPr>
          <w:rFonts w:ascii="仿宋" w:hAnsi="仿宋" w:eastAsia="仿宋" w:cs="仿宋"/>
          <w:color w:val="auto"/>
          <w:sz w:val="24"/>
          <w:szCs w:val="24"/>
          <w:highlight w:val="none"/>
        </w:rPr>
      </w:pPr>
      <w:bookmarkStart w:id="155" w:name="_Toc26569"/>
      <w:bookmarkStart w:id="156" w:name="_Toc313535205"/>
      <w:r>
        <w:rPr>
          <w:rFonts w:hint="eastAsia" w:ascii="仿宋" w:hAnsi="仿宋" w:eastAsia="仿宋" w:cs="仿宋"/>
          <w:color w:val="auto"/>
          <w:sz w:val="24"/>
          <w:szCs w:val="24"/>
          <w:highlight w:val="none"/>
        </w:rPr>
        <w:t>30. 评标办法</w:t>
      </w:r>
      <w:bookmarkEnd w:id="155"/>
      <w:bookmarkEnd w:id="156"/>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30.1本项目采用综合评分法。（详见第五章）</w:t>
      </w:r>
      <w:bookmarkStart w:id="157" w:name="_Toc108836078"/>
      <w:bookmarkStart w:id="158" w:name="_Toc313535206"/>
      <w:bookmarkStart w:id="159" w:name="_Toc108835667"/>
    </w:p>
    <w:p>
      <w:pPr>
        <w:pStyle w:val="13"/>
        <w:spacing w:line="460" w:lineRule="exact"/>
        <w:ind w:firstLine="480" w:firstLineChars="200"/>
        <w:rPr>
          <w:rFonts w:ascii="仿宋" w:hAnsi="仿宋" w:eastAsia="仿宋" w:cs="仿宋"/>
          <w:color w:val="auto"/>
          <w:sz w:val="24"/>
          <w:szCs w:val="24"/>
          <w:highlight w:val="none"/>
        </w:rPr>
      </w:pPr>
    </w:p>
    <w:p>
      <w:pPr>
        <w:pStyle w:val="3"/>
        <w:spacing w:line="460" w:lineRule="exact"/>
        <w:jc w:val="center"/>
        <w:rPr>
          <w:rFonts w:ascii="仿宋" w:hAnsi="仿宋" w:eastAsia="仿宋" w:cs="仿宋"/>
          <w:color w:val="auto"/>
          <w:sz w:val="32"/>
          <w:szCs w:val="32"/>
          <w:highlight w:val="none"/>
        </w:rPr>
      </w:pPr>
      <w:bookmarkStart w:id="160" w:name="_Toc6433"/>
      <w:r>
        <w:rPr>
          <w:rFonts w:hint="eastAsia" w:ascii="仿宋" w:hAnsi="仿宋" w:eastAsia="仿宋" w:cs="仿宋"/>
          <w:color w:val="auto"/>
          <w:sz w:val="32"/>
          <w:szCs w:val="32"/>
          <w:highlight w:val="none"/>
        </w:rPr>
        <w:t>六、授予合同</w:t>
      </w:r>
      <w:bookmarkEnd w:id="157"/>
      <w:bookmarkEnd w:id="158"/>
      <w:bookmarkEnd w:id="159"/>
      <w:bookmarkEnd w:id="160"/>
    </w:p>
    <w:p>
      <w:pPr>
        <w:pStyle w:val="4"/>
        <w:spacing w:before="240" w:beforeLines="100" w:after="240" w:afterLines="100" w:line="460" w:lineRule="exact"/>
        <w:rPr>
          <w:rFonts w:ascii="仿宋" w:hAnsi="仿宋" w:eastAsia="仿宋" w:cs="仿宋"/>
          <w:color w:val="auto"/>
          <w:sz w:val="24"/>
          <w:szCs w:val="24"/>
          <w:highlight w:val="none"/>
        </w:rPr>
      </w:pPr>
      <w:bookmarkStart w:id="161" w:name="_Toc30317"/>
      <w:bookmarkStart w:id="162" w:name="_Toc108835668"/>
      <w:bookmarkStart w:id="163" w:name="_Toc108836079"/>
      <w:bookmarkStart w:id="164" w:name="_Toc313535207"/>
      <w:r>
        <w:rPr>
          <w:rFonts w:hint="eastAsia" w:ascii="仿宋" w:hAnsi="仿宋" w:eastAsia="仿宋" w:cs="仿宋"/>
          <w:color w:val="auto"/>
          <w:sz w:val="24"/>
          <w:szCs w:val="24"/>
          <w:highlight w:val="none"/>
        </w:rPr>
        <w:t>31. 成交通知</w:t>
      </w:r>
      <w:bookmarkEnd w:id="161"/>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31.1采购代理机构将在评标结束2个工作日内将评标结果送采购人，采购人在五个工作日内将采购结果报告中推荐的排名第一的成交候选供应商确定为成交供应商。</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31.2成交供应商确定后，采购代理机构在中国政府采购网（www.ccgp.gov.cn）、广西壮族自治区政府采购网（www.gxzfcg.gov.cn)发布。</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31.3采购代理机构在发布采购结果公告的同时，向成交供应商发出成交通知书。</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31.4采购代理机构不退还磋商响应文件。</w:t>
      </w:r>
    </w:p>
    <w:p>
      <w:pPr>
        <w:pStyle w:val="4"/>
        <w:spacing w:before="240" w:beforeLines="100" w:after="240" w:afterLines="100" w:line="460" w:lineRule="exact"/>
        <w:rPr>
          <w:rFonts w:ascii="仿宋" w:hAnsi="仿宋" w:eastAsia="仿宋" w:cs="仿宋"/>
          <w:color w:val="auto"/>
          <w:sz w:val="24"/>
          <w:szCs w:val="24"/>
          <w:highlight w:val="none"/>
        </w:rPr>
      </w:pPr>
      <w:bookmarkStart w:id="165" w:name="_Toc9149"/>
      <w:r>
        <w:rPr>
          <w:rFonts w:hint="eastAsia" w:ascii="仿宋" w:hAnsi="仿宋" w:eastAsia="仿宋" w:cs="仿宋"/>
          <w:color w:val="auto"/>
          <w:sz w:val="24"/>
          <w:szCs w:val="24"/>
          <w:highlight w:val="none"/>
        </w:rPr>
        <w:t>32. 合同授予标准</w:t>
      </w:r>
      <w:bookmarkEnd w:id="162"/>
      <w:bookmarkEnd w:id="163"/>
      <w:bookmarkEnd w:id="164"/>
      <w:bookmarkEnd w:id="165"/>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32.1合同将授予被确定为实质上响应采购人需求，具备履行合同能力，采购结果报告中推荐的排名第一的成交候选供应商为成交供应商。</w:t>
      </w:r>
    </w:p>
    <w:p>
      <w:pPr>
        <w:pStyle w:val="4"/>
        <w:spacing w:before="240" w:beforeLines="100" w:after="240" w:afterLines="100" w:line="460" w:lineRule="exact"/>
        <w:rPr>
          <w:rFonts w:ascii="仿宋" w:hAnsi="仿宋" w:eastAsia="仿宋" w:cs="仿宋"/>
          <w:color w:val="auto"/>
          <w:sz w:val="24"/>
          <w:szCs w:val="24"/>
          <w:highlight w:val="none"/>
        </w:rPr>
      </w:pPr>
      <w:bookmarkStart w:id="166" w:name="_Toc313535209"/>
      <w:bookmarkStart w:id="167" w:name="_Toc108836081"/>
      <w:bookmarkStart w:id="168" w:name="_Toc108835670"/>
      <w:bookmarkStart w:id="169" w:name="_Toc16551"/>
      <w:r>
        <w:rPr>
          <w:rFonts w:hint="eastAsia" w:ascii="仿宋" w:hAnsi="仿宋" w:eastAsia="仿宋" w:cs="仿宋"/>
          <w:color w:val="auto"/>
          <w:sz w:val="24"/>
          <w:szCs w:val="24"/>
          <w:highlight w:val="none"/>
        </w:rPr>
        <w:t>33. 合同书的签署</w:t>
      </w:r>
      <w:bookmarkEnd w:id="166"/>
      <w:bookmarkEnd w:id="167"/>
      <w:bookmarkEnd w:id="168"/>
      <w:bookmarkEnd w:id="169"/>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33.1成交供应商应按成交通知书规定的时间、地点与采购人签订合同。</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33.2如成交供应商不按成交通知书的规定签订合同，则按成交供应商违约处理。</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33.3成交供应商因不可抗力或者自身原因不能履行采购合同的，采购人可以与排名第二的成交候选供应商签订采购合同，以此类推。</w:t>
      </w:r>
    </w:p>
    <w:p>
      <w:pPr>
        <w:pStyle w:val="4"/>
        <w:spacing w:before="240" w:beforeLines="100" w:after="240" w:afterLines="100" w:line="460" w:lineRule="exact"/>
        <w:rPr>
          <w:rFonts w:ascii="仿宋" w:hAnsi="仿宋" w:eastAsia="仿宋" w:cs="仿宋"/>
          <w:color w:val="auto"/>
          <w:sz w:val="24"/>
          <w:szCs w:val="24"/>
          <w:highlight w:val="none"/>
        </w:rPr>
      </w:pPr>
      <w:bookmarkStart w:id="170" w:name="_Toc324144918"/>
      <w:bookmarkStart w:id="171" w:name="_Toc24078"/>
      <w:bookmarkStart w:id="172" w:name="_Toc199256161"/>
      <w:bookmarkStart w:id="173" w:name="_Toc201458784"/>
      <w:r>
        <w:rPr>
          <w:rFonts w:hint="eastAsia" w:ascii="仿宋" w:hAnsi="仿宋" w:eastAsia="仿宋" w:cs="仿宋"/>
          <w:color w:val="auto"/>
          <w:sz w:val="24"/>
          <w:szCs w:val="24"/>
          <w:highlight w:val="none"/>
        </w:rPr>
        <w:t>34. 纪律和监督</w:t>
      </w:r>
      <w:bookmarkEnd w:id="170"/>
      <w:bookmarkEnd w:id="171"/>
      <w:bookmarkEnd w:id="172"/>
      <w:bookmarkEnd w:id="173"/>
    </w:p>
    <w:p>
      <w:pPr>
        <w:autoSpaceDE w:val="0"/>
        <w:autoSpaceDN w:val="0"/>
        <w:adjustRightInd w:val="0"/>
        <w:spacing w:line="420" w:lineRule="exact"/>
        <w:ind w:firstLine="480" w:firstLineChars="200"/>
        <w:rPr>
          <w:rFonts w:ascii="仿宋" w:hAnsi="仿宋" w:eastAsia="仿宋" w:cs="仿宋"/>
          <w:color w:val="auto"/>
          <w:sz w:val="24"/>
          <w:szCs w:val="24"/>
          <w:highlight w:val="none"/>
        </w:rPr>
      </w:pPr>
      <w:bookmarkStart w:id="174" w:name="_Toc201458785"/>
      <w:bookmarkStart w:id="175" w:name="_Toc199256162"/>
      <w:r>
        <w:rPr>
          <w:rFonts w:hint="eastAsia" w:ascii="仿宋" w:hAnsi="仿宋" w:eastAsia="仿宋" w:cs="仿宋"/>
          <w:color w:val="auto"/>
          <w:sz w:val="24"/>
          <w:szCs w:val="24"/>
          <w:highlight w:val="none"/>
        </w:rPr>
        <w:t>34.1 对采购人的纪律要求</w:t>
      </w:r>
      <w:bookmarkEnd w:id="174"/>
      <w:bookmarkEnd w:id="175"/>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采购人不得泄漏招标竞标活动中应当保密的情况和资料，不得与供应商串通损害国家利益、社会公共利益或者他人合法权益。有下列情形之一的，属于采购人与供应商串通竞标：</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（1）采购人在开标前开启响应文件并将有关信息泄露给其他供应商；</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（2）采购人直接或者间接向供应商泄露标底、评标委员会成员等信息；</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（3）采购人明示或者暗示供应商压低或者抬高竞标报价；</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（4）采购人授意供应商撤换、修改响应文件；</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（5）采购人明示或者暗示供应商为特定供应商中标提供方便；</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（6）采购人与供应商为谋求特定供应商中标而采取的其他串通行为；</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bookmarkStart w:id="176" w:name="_Toc201458786"/>
      <w:bookmarkStart w:id="177" w:name="_Toc199256163"/>
      <w:r>
        <w:rPr>
          <w:rFonts w:hint="eastAsia" w:ascii="仿宋" w:hAnsi="仿宋" w:eastAsia="仿宋" w:cs="仿宋"/>
          <w:color w:val="auto"/>
          <w:sz w:val="24"/>
          <w:szCs w:val="24"/>
          <w:highlight w:val="none"/>
        </w:rPr>
        <w:t>34.2 对供应商的纪律要求</w:t>
      </w:r>
      <w:bookmarkEnd w:id="176"/>
      <w:bookmarkEnd w:id="177"/>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相互串通竞标或者与采购人串通竞标，不得向采购人或者评标委员会成员行贿谋取中标，不得以他人名义竞标或者以其他方式弄虚作假骗取中标；供应商不得以任何方式干扰、影响评标工作。有下列情形之一的，属于供应商相互串通竞标：</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（1）不同供应商委托同一单位或者个人办理竞标事宜；</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（2）不同供应商的响应文件载明的项目管理成员为同一人；</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（3）不同供应商的响应文件异常一致或者竞标报价呈规律性差异；</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（4）不同供应商的响应文件相互混装；</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）供应商直接或者间接从采购人或者采购代理机构处获得其他供应商的相关信息并修改其响应文件或者响应文件;</w:t>
      </w:r>
    </w:p>
    <w:p>
      <w:pPr>
        <w:autoSpaceDE w:val="0"/>
        <w:autoSpaceDN w:val="0"/>
        <w:adjustRightInd w:val="0"/>
        <w:spacing w:line="420" w:lineRule="exact"/>
        <w:ind w:firstLine="480" w:firstLineChars="200"/>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pacing w:val="-6"/>
          <w:sz w:val="24"/>
          <w:szCs w:val="24"/>
          <w:highlight w:val="none"/>
        </w:rPr>
        <w:t>供应商按照采购人或者采购代理机构的授意撤换、修改响应文件或者响应文件;</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）供应商之间协商报价、技术方案等响应文件或者响应文件的实质性内容;</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）属于同一集团、协会、商会等组织成员的供应商按照该组织要求协同参加政府采购活动;</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pacing w:val="-1"/>
          <w:sz w:val="24"/>
          <w:szCs w:val="24"/>
          <w:highlight w:val="none"/>
        </w:rPr>
        <w:t>供应商之间事先约定一致抬高或者压低竞标报价,或者在招标项目中事先约定轮流以高价位或者低价位中标,或者事先约定由某一特定供应商中标,然后再参加竞标;</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）供应商之间商定部分供应商放弃参加政府采购活动或者放弃中标;</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）供应商与采购人或者采购代理机构之间、供应商相互之间，为谋求特定供应商中标或者排斥其他供应商的其他串通行为。</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bookmarkStart w:id="178" w:name="_Toc201458787"/>
      <w:bookmarkStart w:id="179" w:name="_Toc199256164"/>
      <w:r>
        <w:rPr>
          <w:rFonts w:hint="eastAsia" w:ascii="仿宋" w:hAnsi="仿宋" w:eastAsia="仿宋" w:cs="仿宋"/>
          <w:color w:val="auto"/>
          <w:sz w:val="24"/>
          <w:szCs w:val="24"/>
          <w:highlight w:val="none"/>
        </w:rPr>
        <w:t>34.3 对磋商小组成员的纪律要求</w:t>
      </w:r>
      <w:bookmarkEnd w:id="178"/>
      <w:bookmarkEnd w:id="179"/>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第七章“评标办法”没有规定的评审因素和标准进行评审。</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bookmarkStart w:id="180" w:name="_Toc199256165"/>
      <w:bookmarkStart w:id="181" w:name="_Toc201458788"/>
      <w:r>
        <w:rPr>
          <w:rFonts w:hint="eastAsia" w:ascii="仿宋" w:hAnsi="仿宋" w:eastAsia="仿宋" w:cs="仿宋"/>
          <w:color w:val="auto"/>
          <w:sz w:val="24"/>
          <w:szCs w:val="24"/>
          <w:highlight w:val="none"/>
        </w:rPr>
        <w:t>34.4 对监督人员与工作等人员的有关规定和纪律：</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1．评标办法在已备案的磋商文件中已经载明，任何单位和个人不得更改。</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为了确保评审的保密性，评审过程对所有参加评审的评委、采购人、采购代理机构、招竞标站的人员实行全封闭管理。封闭期间，未经监督人员批准，评审现场人员不准随意离开现场，评审结束确定成交候选人后方可解除封闭。</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3．评审开始之前，所有进入评审现场人员的通讯工具集中交由监督人员统一保管。</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4．在评审过程中，评委要对有效响应文件进行客观、独立和公正地评审，所有在场的其他人员不得干预评审，也不得对评委提出导向性意</w:t>
      </w:r>
      <w:bookmarkEnd w:id="180"/>
      <w:bookmarkEnd w:id="181"/>
      <w:r>
        <w:rPr>
          <w:rFonts w:hint="eastAsia" w:ascii="仿宋" w:hAnsi="仿宋" w:eastAsia="仿宋" w:cs="仿宋"/>
          <w:color w:val="auto"/>
          <w:sz w:val="24"/>
          <w:szCs w:val="24"/>
          <w:highlight w:val="none"/>
        </w:rPr>
        <w:t>见。</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5．所有参加评审的评委、监督人员和工作人员必须严格保密，不得对外泄漏涉及评审工作的各项保密事项和资料。</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6.采购人、采购代理机构、评标委员会、供应商在政府采购活动中要依法相互监督和制约，并自觉接受各级财政部门的监督。发现存在串通竞标等违法违规行为，应当及时向财政部门报告。</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各级财政部门要切实加强对政府采购活动的监督管理，及时查处政府采购活动中的串通竞标等违法违规行为，并依法依规进行处理；各级审计机关依法对政府采购进行审计监督，各级财政部门、政府采购中心、政府采购代理机构、供应商、供应商等应当予配合，及时地提供审计所需业务和财务资料（含电子数据）。</w:t>
      </w:r>
    </w:p>
    <w:p>
      <w:pPr>
        <w:autoSpaceDE w:val="0"/>
        <w:autoSpaceDN w:val="0"/>
        <w:adjustRightInd w:val="0"/>
        <w:spacing w:line="420" w:lineRule="exact"/>
        <w:ind w:firstLine="480" w:firstLineChars="200"/>
        <w:rPr>
          <w:rFonts w:ascii="仿宋" w:hAnsi="仿宋" w:eastAsia="仿宋" w:cs="仿宋"/>
          <w:color w:val="auto"/>
          <w:sz w:val="24"/>
          <w:szCs w:val="24"/>
          <w:highlight w:val="none"/>
        </w:rPr>
      </w:pPr>
      <w:bookmarkStart w:id="182" w:name="_Toc199256166"/>
      <w:bookmarkStart w:id="183" w:name="_Toc201458789"/>
      <w:r>
        <w:rPr>
          <w:rFonts w:hint="eastAsia" w:ascii="仿宋" w:hAnsi="仿宋" w:eastAsia="仿宋" w:cs="仿宋"/>
          <w:color w:val="auto"/>
          <w:sz w:val="24"/>
          <w:szCs w:val="24"/>
          <w:highlight w:val="none"/>
        </w:rPr>
        <w:t>34.5 投诉</w:t>
      </w:r>
      <w:bookmarkEnd w:id="182"/>
      <w:bookmarkEnd w:id="183"/>
    </w:p>
    <w:p>
      <w:pPr>
        <w:autoSpaceDE w:val="0"/>
        <w:autoSpaceDN w:val="0"/>
        <w:adjustRightIn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供应商和其他利害关系人认为本次采购活动违反法律、法规和规章规定的，有权向有关行政监督部门投诉。</w:t>
      </w:r>
    </w:p>
    <w:p>
      <w:pPr>
        <w:pStyle w:val="4"/>
        <w:spacing w:before="240" w:beforeLines="100" w:after="240" w:afterLines="100" w:line="460" w:lineRule="exact"/>
        <w:rPr>
          <w:rFonts w:ascii="仿宋" w:hAnsi="仿宋" w:eastAsia="仿宋" w:cs="仿宋"/>
          <w:color w:val="auto"/>
          <w:sz w:val="24"/>
          <w:szCs w:val="24"/>
          <w:highlight w:val="none"/>
        </w:rPr>
      </w:pPr>
      <w:bookmarkStart w:id="184" w:name="_Toc313535210"/>
      <w:bookmarkStart w:id="185" w:name="_Toc108836082"/>
      <w:bookmarkStart w:id="186" w:name="_Toc108835671"/>
      <w:bookmarkStart w:id="187" w:name="_Toc16728"/>
      <w:r>
        <w:rPr>
          <w:rFonts w:hint="eastAsia" w:ascii="仿宋" w:hAnsi="仿宋" w:eastAsia="仿宋" w:cs="仿宋"/>
          <w:color w:val="auto"/>
          <w:sz w:val="24"/>
          <w:szCs w:val="24"/>
          <w:highlight w:val="none"/>
        </w:rPr>
        <w:t xml:space="preserve">35. </w:t>
      </w:r>
      <w:bookmarkEnd w:id="184"/>
      <w:bookmarkEnd w:id="185"/>
      <w:bookmarkEnd w:id="186"/>
      <w:r>
        <w:rPr>
          <w:rFonts w:hint="eastAsia" w:ascii="仿宋" w:hAnsi="仿宋" w:eastAsia="仿宋" w:cs="仿宋"/>
          <w:color w:val="auto"/>
          <w:sz w:val="24"/>
          <w:szCs w:val="24"/>
          <w:highlight w:val="none"/>
        </w:rPr>
        <w:t>解释权</w:t>
      </w:r>
      <w:bookmarkEnd w:id="187"/>
    </w:p>
    <w:p>
      <w:pPr>
        <w:pStyle w:val="13"/>
        <w:spacing w:line="460" w:lineRule="exact"/>
        <w:ind w:firstLine="480" w:firstLineChars="200"/>
        <w:rPr>
          <w:rFonts w:ascii="仿宋" w:hAnsi="仿宋" w:eastAsia="仿宋" w:cs="仿宋"/>
          <w:color w:val="auto"/>
          <w:sz w:val="24"/>
          <w:szCs w:val="24"/>
          <w:highlight w:val="none"/>
        </w:rPr>
      </w:pPr>
      <w:bookmarkStart w:id="188" w:name="_Toc232846266"/>
      <w:bookmarkStart w:id="189" w:name="_Toc313218807"/>
      <w:bookmarkStart w:id="190" w:name="_Toc108835672"/>
      <w:bookmarkStart w:id="191" w:name="_Toc108836083"/>
      <w:r>
        <w:rPr>
          <w:rFonts w:hint="eastAsia" w:ascii="仿宋" w:hAnsi="仿宋" w:eastAsia="仿宋" w:cs="仿宋"/>
          <w:color w:val="auto"/>
          <w:sz w:val="24"/>
          <w:szCs w:val="24"/>
          <w:highlight w:val="none"/>
        </w:rPr>
        <w:t>35.1</w:t>
      </w:r>
      <w:bookmarkEnd w:id="188"/>
      <w:bookmarkEnd w:id="189"/>
      <w:r>
        <w:rPr>
          <w:rFonts w:hint="eastAsia" w:ascii="仿宋" w:hAnsi="仿宋" w:eastAsia="仿宋" w:cs="仿宋"/>
          <w:color w:val="auto"/>
          <w:sz w:val="24"/>
          <w:szCs w:val="24"/>
          <w:highlight w:val="none"/>
        </w:rPr>
        <w:t>本磋商文件是根据国家有关法律、法规以及政府采购管理有关规定和参照国际惯例编制，解释权属本采购代理机构。</w:t>
      </w:r>
    </w:p>
    <w:bookmarkEnd w:id="190"/>
    <w:bookmarkEnd w:id="191"/>
    <w:p>
      <w:pPr>
        <w:pStyle w:val="4"/>
        <w:spacing w:before="240" w:beforeLines="100" w:after="240" w:afterLines="100" w:line="460" w:lineRule="exact"/>
        <w:rPr>
          <w:rFonts w:ascii="仿宋" w:hAnsi="仿宋" w:eastAsia="仿宋" w:cs="仿宋"/>
          <w:color w:val="auto"/>
          <w:sz w:val="24"/>
          <w:szCs w:val="24"/>
          <w:highlight w:val="none"/>
        </w:rPr>
      </w:pPr>
      <w:bookmarkStart w:id="192" w:name="_Toc175473165"/>
      <w:bookmarkStart w:id="193" w:name="_Toc191780796"/>
      <w:bookmarkStart w:id="194" w:name="_Toc313535212"/>
      <w:bookmarkStart w:id="195" w:name="_Toc191780751"/>
      <w:bookmarkStart w:id="196" w:name="_Toc23849"/>
      <w:r>
        <w:rPr>
          <w:rFonts w:hint="eastAsia" w:ascii="仿宋" w:hAnsi="仿宋" w:eastAsia="仿宋" w:cs="仿宋"/>
          <w:color w:val="auto"/>
          <w:sz w:val="24"/>
          <w:szCs w:val="24"/>
          <w:highlight w:val="none"/>
        </w:rPr>
        <w:t>36.</w:t>
      </w:r>
      <w:bookmarkEnd w:id="192"/>
      <w:bookmarkEnd w:id="193"/>
      <w:bookmarkEnd w:id="194"/>
      <w:bookmarkEnd w:id="195"/>
      <w:r>
        <w:rPr>
          <w:rFonts w:hint="eastAsia" w:ascii="仿宋" w:hAnsi="仿宋" w:eastAsia="仿宋" w:cs="仿宋"/>
          <w:color w:val="auto"/>
          <w:sz w:val="24"/>
          <w:szCs w:val="24"/>
          <w:highlight w:val="none"/>
        </w:rPr>
        <w:t xml:space="preserve"> 有关事宜</w:t>
      </w:r>
      <w:bookmarkEnd w:id="196"/>
    </w:p>
    <w:p>
      <w:pPr>
        <w:pStyle w:val="13"/>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广西品格招标有限公司</w:t>
      </w:r>
    </w:p>
    <w:p>
      <w:pPr>
        <w:pStyle w:val="13"/>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地址：南宁市江南区五一中路111-9号15楼</w:t>
      </w:r>
    </w:p>
    <w:p>
      <w:pPr>
        <w:pStyle w:val="13"/>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联系人：林工            联系电话：0771-2298386</w:t>
      </w:r>
    </w:p>
    <w:p>
      <w:pPr>
        <w:pStyle w:val="13"/>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spacing w:line="240" w:lineRule="auto"/>
        <w:jc w:val="center"/>
        <w:rPr>
          <w:rFonts w:ascii="仿宋" w:hAnsi="仿宋" w:eastAsia="仿宋" w:cs="仿宋"/>
          <w:b w:val="0"/>
          <w:bCs w:val="0"/>
          <w:color w:val="auto"/>
          <w:highlight w:val="none"/>
        </w:rPr>
      </w:pPr>
      <w:bookmarkStart w:id="197" w:name="_Toc4121"/>
      <w:bookmarkStart w:id="198" w:name="_Toc108836087"/>
      <w:r>
        <w:rPr>
          <w:rFonts w:hint="eastAsia" w:ascii="仿宋" w:hAnsi="仿宋" w:eastAsia="仿宋" w:cs="仿宋"/>
          <w:b w:val="0"/>
          <w:bCs w:val="0"/>
          <w:color w:val="auto"/>
          <w:highlight w:val="none"/>
        </w:rPr>
        <w:t>第二章  项目服务要求</w:t>
      </w:r>
      <w:bookmarkEnd w:id="197"/>
    </w:p>
    <w:p>
      <w:pPr>
        <w:spacing w:line="360" w:lineRule="auto"/>
        <w:rPr>
          <w:rFonts w:ascii="仿宋" w:hAnsi="仿宋" w:eastAsia="仿宋" w:cs="仿宋"/>
          <w:color w:val="auto"/>
          <w:highlight w:val="none"/>
        </w:rPr>
      </w:pPr>
    </w:p>
    <w:p>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项目采购要求：</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包含农田水利工程和治理修复工程两部分。本项目实施范围为洞灵、端屯、伏马的农田区域，修复面积为641.3亩，其中严格管控类土壤面积263.7亩（洞灵61.2亩、端屯195.4亩、伏马7.1亩），安全利用类土壤面积298.6亩，洞灵101.7亩、端屯132.5亩、伏马64.4亩；优先保护类土壤面积79亩（洞灵20亩、端屯59亩、伏马0亩）。工程主要内容包括：田间水利工程、严格管控类土壤修复、安全利用类土壤监测、环境监测、附属工程。</w:t>
      </w:r>
    </w:p>
    <w:p>
      <w:pPr>
        <w:pStyle w:val="13"/>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采购范围：大新铅锌矿矿区重金属污染土壤整治项目（二期）监理服务。</w:t>
      </w:r>
    </w:p>
    <w:p>
      <w:pPr>
        <w:pStyle w:val="1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服务期限：自采购人通知监理进场之日始至工程竣工验收合格之日止。</w:t>
      </w:r>
      <w:r>
        <w:rPr>
          <w:rFonts w:hint="eastAsia" w:ascii="仿宋" w:hAnsi="仿宋" w:eastAsia="仿宋" w:cs="仿宋"/>
          <w:color w:val="auto"/>
          <w:sz w:val="24"/>
          <w:szCs w:val="24"/>
          <w:highlight w:val="none"/>
        </w:rPr>
        <w:br w:type="page"/>
      </w:r>
    </w:p>
    <w:p>
      <w:pPr>
        <w:pStyle w:val="3"/>
        <w:spacing w:line="240" w:lineRule="auto"/>
        <w:jc w:val="center"/>
        <w:rPr>
          <w:rFonts w:ascii="仿宋" w:hAnsi="仿宋" w:eastAsia="仿宋" w:cs="仿宋"/>
          <w:b w:val="0"/>
          <w:bCs w:val="0"/>
          <w:color w:val="auto"/>
          <w:highlight w:val="none"/>
        </w:rPr>
      </w:pPr>
      <w:bookmarkStart w:id="199" w:name="_Toc7634"/>
      <w:r>
        <w:rPr>
          <w:rFonts w:hint="eastAsia" w:ascii="仿宋" w:hAnsi="仿宋" w:eastAsia="仿宋" w:cs="仿宋"/>
          <w:b w:val="0"/>
          <w:bCs w:val="0"/>
          <w:color w:val="auto"/>
          <w:sz w:val="32"/>
          <w:szCs w:val="32"/>
          <w:highlight w:val="none"/>
        </w:rPr>
        <w:t>第三章  合同主要条款及格式</w:t>
      </w:r>
      <w:bookmarkEnd w:id="199"/>
    </w:p>
    <w:p>
      <w:pPr>
        <w:spacing w:line="360" w:lineRule="auto"/>
        <w:rPr>
          <w:rFonts w:ascii="仿宋" w:hAnsi="仿宋" w:eastAsia="仿宋" w:cs="仿宋"/>
          <w:color w:val="auto"/>
          <w:sz w:val="24"/>
          <w:szCs w:val="24"/>
          <w:highlight w:val="none"/>
        </w:rPr>
      </w:pPr>
    </w:p>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（此合同格式如有与项目实际情况不相符的，参照国家现行同类合同范本调整）</w:t>
      </w:r>
    </w:p>
    <w:p>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color w:val="auto"/>
          <w:sz w:val="24"/>
          <w:szCs w:val="24"/>
          <w:highlight w:val="none"/>
        </w:rPr>
        <w:t>（GF－2012－0202）</w:t>
      </w:r>
    </w:p>
    <w:p>
      <w:pPr>
        <w:spacing w:line="760" w:lineRule="exact"/>
        <w:jc w:val="center"/>
        <w:rPr>
          <w:rFonts w:ascii="仿宋" w:hAnsi="仿宋" w:eastAsia="仿宋" w:cs="仿宋"/>
          <w:b/>
          <w:bCs/>
          <w:color w:val="auto"/>
          <w:sz w:val="24"/>
          <w:szCs w:val="24"/>
          <w:highlight w:val="none"/>
        </w:rPr>
      </w:pPr>
    </w:p>
    <w:p>
      <w:pPr>
        <w:spacing w:line="760" w:lineRule="exact"/>
        <w:jc w:val="center"/>
        <w:rPr>
          <w:rFonts w:ascii="仿宋" w:hAnsi="仿宋" w:eastAsia="仿宋" w:cs="仿宋"/>
          <w:b/>
          <w:bCs/>
          <w:color w:val="auto"/>
          <w:sz w:val="24"/>
          <w:szCs w:val="24"/>
          <w:highlight w:val="none"/>
        </w:rPr>
      </w:pPr>
    </w:p>
    <w:p>
      <w:pPr>
        <w:spacing w:line="760" w:lineRule="exact"/>
        <w:jc w:val="center"/>
        <w:rPr>
          <w:rFonts w:ascii="仿宋" w:hAnsi="仿宋" w:eastAsia="仿宋" w:cs="仿宋"/>
          <w:b/>
          <w:bCs/>
          <w:color w:val="auto"/>
          <w:sz w:val="24"/>
          <w:szCs w:val="24"/>
          <w:highlight w:val="none"/>
        </w:rPr>
      </w:pPr>
    </w:p>
    <w:p>
      <w:pPr>
        <w:spacing w:line="760" w:lineRule="exact"/>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建设工程监理合同</w:t>
      </w: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482" w:firstLineChars="200"/>
        <w:rPr>
          <w:rFonts w:ascii="仿宋" w:hAnsi="仿宋" w:eastAsia="仿宋" w:cs="仿宋"/>
          <w:b/>
          <w:bCs/>
          <w:color w:val="auto"/>
          <w:sz w:val="24"/>
          <w:szCs w:val="24"/>
          <w:highlight w:val="none"/>
        </w:rPr>
      </w:pPr>
    </w:p>
    <w:p>
      <w:pPr>
        <w:spacing w:line="440" w:lineRule="exact"/>
        <w:ind w:firstLine="3036" w:firstLineChars="945"/>
        <w:rPr>
          <w:rFonts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住房和城乡建设部</w:t>
      </w:r>
    </w:p>
    <w:p>
      <w:pPr>
        <w:spacing w:line="44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制定</w:t>
      </w:r>
    </w:p>
    <w:p>
      <w:pPr>
        <w:spacing w:line="440" w:lineRule="exact"/>
        <w:rPr>
          <w:rFonts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 xml:space="preserve">                   国家工商行政管理总局</w:t>
      </w:r>
    </w:p>
    <w:p>
      <w:pPr>
        <w:spacing w:line="440" w:lineRule="exact"/>
        <w:ind w:firstLine="482" w:firstLineChars="200"/>
        <w:rPr>
          <w:rFonts w:ascii="仿宋" w:hAnsi="仿宋" w:eastAsia="仿宋" w:cs="仿宋"/>
          <w:b/>
          <w:color w:val="auto"/>
          <w:sz w:val="24"/>
          <w:szCs w:val="24"/>
          <w:highlight w:val="none"/>
        </w:rPr>
        <w:sectPr>
          <w:pgSz w:w="11907" w:h="16840"/>
          <w:pgMar w:top="1440" w:right="1107" w:bottom="1440" w:left="1260" w:header="567" w:footer="591" w:gutter="0"/>
          <w:cols w:space="720" w:num="1"/>
          <w:docGrid w:linePitch="312" w:charSpace="0"/>
        </w:sectPr>
      </w:pPr>
    </w:p>
    <w:p>
      <w:pPr>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第一部分 建设工程委托监理合同</w:t>
      </w:r>
    </w:p>
    <w:p>
      <w:pPr>
        <w:spacing w:line="600" w:lineRule="exact"/>
        <w:ind w:left="630" w:left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委托人 ：                          </w:t>
      </w:r>
    </w:p>
    <w:p>
      <w:pPr>
        <w:spacing w:line="600" w:lineRule="exact"/>
        <w:ind w:left="630" w:left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监理人 ：                          </w:t>
      </w:r>
    </w:p>
    <w:p>
      <w:pPr>
        <w:spacing w:line="600" w:lineRule="exact"/>
        <w:ind w:left="630" w:leftChars="300"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经双方协商一致，签订本合同。</w:t>
      </w:r>
    </w:p>
    <w:p>
      <w:pPr>
        <w:spacing w:line="60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一、委托人委托监理人监理的工程（以下简称“本工程”）概况如下：</w:t>
      </w:r>
    </w:p>
    <w:p>
      <w:pPr>
        <w:spacing w:line="600" w:lineRule="exact"/>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p>
    <w:p>
      <w:pPr>
        <w:spacing w:line="600" w:lineRule="exact"/>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工程地点：  </w:t>
      </w:r>
    </w:p>
    <w:p>
      <w:pPr>
        <w:spacing w:line="600" w:lineRule="exact"/>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 投 资：</w:t>
      </w:r>
    </w:p>
    <w:p>
      <w:pPr>
        <w:spacing w:line="600" w:lineRule="exact"/>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二、本合同中的有关词语含义与本合同第二部分《标准条件》中赋予它们的定义相同。</w:t>
      </w:r>
    </w:p>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三、下列文件均为本合同的组成部分：</w:t>
      </w:r>
    </w:p>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①本合同标准条件；</w:t>
      </w:r>
    </w:p>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②本合同专用条件；</w:t>
      </w:r>
    </w:p>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③在实施过程中双方共同签署的补充与修正文件。</w:t>
      </w:r>
    </w:p>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四、监理人向委托人承诺，按照本合同的规定，承担本合同专用条件中议定范围内的监理业务。</w:t>
      </w:r>
    </w:p>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五、委托人向监理人承诺按照本合同注明的期限、方式、币种，向监理人支付报酬。</w:t>
      </w:r>
    </w:p>
    <w:p>
      <w:pPr>
        <w:ind w:left="120" w:hanging="120" w:hanging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本合同自合同签订之日开始实施，至工程竣工验收完成。</w:t>
      </w:r>
    </w:p>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份，具有同等法律效力，委托方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份，监理方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tbl>
      <w:tblPr>
        <w:tblStyle w:val="23"/>
        <w:tblW w:w="9840" w:type="dxa"/>
        <w:tblInd w:w="105" w:type="dxa"/>
        <w:tblLayout w:type="fixed"/>
        <w:tblCellMar>
          <w:top w:w="0" w:type="dxa"/>
          <w:left w:w="105" w:type="dxa"/>
          <w:bottom w:w="0" w:type="dxa"/>
          <w:right w:w="105" w:type="dxa"/>
        </w:tblCellMar>
      </w:tblPr>
      <w:tblGrid>
        <w:gridCol w:w="4680"/>
        <w:gridCol w:w="5160"/>
      </w:tblGrid>
      <w:tr>
        <w:tblPrEx>
          <w:tblCellMar>
            <w:top w:w="0" w:type="dxa"/>
            <w:left w:w="105" w:type="dxa"/>
            <w:bottom w:w="0" w:type="dxa"/>
            <w:right w:w="105" w:type="dxa"/>
          </w:tblCellMar>
        </w:tblPrEx>
        <w:tc>
          <w:tcPr>
            <w:tcW w:w="4680" w:type="dxa"/>
            <w:vAlign w:val="center"/>
          </w:tcPr>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委托人：（签章）</w:t>
            </w:r>
          </w:p>
        </w:tc>
        <w:tc>
          <w:tcPr>
            <w:tcW w:w="5160" w:type="dxa"/>
            <w:vAlign w:val="center"/>
          </w:tcPr>
          <w:p>
            <w:pPr>
              <w:autoSpaceDE w:val="0"/>
              <w:autoSpaceDN w:val="0"/>
              <w:adjustRightInd w:val="0"/>
              <w:spacing w:before="100" w:after="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监理人：（签章）</w:t>
            </w:r>
          </w:p>
        </w:tc>
      </w:tr>
      <w:tr>
        <w:tblPrEx>
          <w:tblCellMar>
            <w:top w:w="0" w:type="dxa"/>
            <w:left w:w="105" w:type="dxa"/>
            <w:bottom w:w="0" w:type="dxa"/>
            <w:right w:w="105" w:type="dxa"/>
          </w:tblCellMar>
        </w:tblPrEx>
        <w:tc>
          <w:tcPr>
            <w:tcW w:w="4680" w:type="dxa"/>
            <w:vAlign w:val="center"/>
          </w:tcPr>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住所：</w:t>
            </w:r>
          </w:p>
        </w:tc>
        <w:tc>
          <w:tcPr>
            <w:tcW w:w="5160" w:type="dxa"/>
            <w:vAlign w:val="center"/>
          </w:tcPr>
          <w:p>
            <w:pPr>
              <w:autoSpaceDE w:val="0"/>
              <w:autoSpaceDN w:val="0"/>
              <w:adjustRightInd w:val="0"/>
              <w:spacing w:before="100" w:after="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住所：</w:t>
            </w:r>
          </w:p>
        </w:tc>
      </w:tr>
      <w:tr>
        <w:tblPrEx>
          <w:tblCellMar>
            <w:top w:w="0" w:type="dxa"/>
            <w:left w:w="105" w:type="dxa"/>
            <w:bottom w:w="0" w:type="dxa"/>
            <w:right w:w="105" w:type="dxa"/>
          </w:tblCellMar>
        </w:tblPrEx>
        <w:tc>
          <w:tcPr>
            <w:tcW w:w="4680" w:type="dxa"/>
            <w:vAlign w:val="center"/>
          </w:tcPr>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法定代表人：（签章）</w:t>
            </w:r>
          </w:p>
        </w:tc>
        <w:tc>
          <w:tcPr>
            <w:tcW w:w="5160" w:type="dxa"/>
            <w:vAlign w:val="center"/>
          </w:tcPr>
          <w:p>
            <w:pPr>
              <w:autoSpaceDE w:val="0"/>
              <w:autoSpaceDN w:val="0"/>
              <w:adjustRightInd w:val="0"/>
              <w:spacing w:before="100" w:after="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法定代表人：（签章）</w:t>
            </w:r>
          </w:p>
        </w:tc>
      </w:tr>
      <w:tr>
        <w:tblPrEx>
          <w:tblCellMar>
            <w:top w:w="0" w:type="dxa"/>
            <w:left w:w="105" w:type="dxa"/>
            <w:bottom w:w="0" w:type="dxa"/>
            <w:right w:w="105" w:type="dxa"/>
          </w:tblCellMar>
        </w:tblPrEx>
        <w:tc>
          <w:tcPr>
            <w:tcW w:w="4680" w:type="dxa"/>
            <w:vAlign w:val="center"/>
          </w:tcPr>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5160" w:type="dxa"/>
            <w:vAlign w:val="center"/>
          </w:tcPr>
          <w:p>
            <w:pPr>
              <w:autoSpaceDE w:val="0"/>
              <w:autoSpaceDN w:val="0"/>
              <w:adjustRightInd w:val="0"/>
              <w:spacing w:before="100" w:after="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tblPrEx>
          <w:tblCellMar>
            <w:top w:w="0" w:type="dxa"/>
            <w:left w:w="105" w:type="dxa"/>
            <w:bottom w:w="0" w:type="dxa"/>
            <w:right w:w="105" w:type="dxa"/>
          </w:tblCellMar>
        </w:tblPrEx>
        <w:tc>
          <w:tcPr>
            <w:tcW w:w="4680" w:type="dxa"/>
            <w:vAlign w:val="center"/>
          </w:tcPr>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5160" w:type="dxa"/>
            <w:vAlign w:val="center"/>
          </w:tcPr>
          <w:p>
            <w:pPr>
              <w:autoSpaceDE w:val="0"/>
              <w:autoSpaceDN w:val="0"/>
              <w:adjustRightInd w:val="0"/>
              <w:spacing w:before="100" w:after="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tblPrEx>
          <w:tblCellMar>
            <w:top w:w="0" w:type="dxa"/>
            <w:left w:w="105" w:type="dxa"/>
            <w:bottom w:w="0" w:type="dxa"/>
            <w:right w:w="105" w:type="dxa"/>
          </w:tblCellMar>
        </w:tblPrEx>
        <w:tc>
          <w:tcPr>
            <w:tcW w:w="4680" w:type="dxa"/>
            <w:vAlign w:val="center"/>
          </w:tcPr>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tc>
        <w:tc>
          <w:tcPr>
            <w:tcW w:w="5160" w:type="dxa"/>
            <w:vAlign w:val="center"/>
          </w:tcPr>
          <w:p>
            <w:pPr>
              <w:autoSpaceDE w:val="0"/>
              <w:autoSpaceDN w:val="0"/>
              <w:adjustRightInd w:val="0"/>
              <w:spacing w:before="100" w:after="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tc>
      </w:tr>
      <w:tr>
        <w:tblPrEx>
          <w:tblCellMar>
            <w:top w:w="0" w:type="dxa"/>
            <w:left w:w="105" w:type="dxa"/>
            <w:bottom w:w="0" w:type="dxa"/>
            <w:right w:w="105" w:type="dxa"/>
          </w:tblCellMar>
        </w:tblPrEx>
        <w:tc>
          <w:tcPr>
            <w:tcW w:w="4680" w:type="dxa"/>
            <w:vAlign w:val="center"/>
          </w:tcPr>
          <w:p>
            <w:pPr>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5160" w:type="dxa"/>
            <w:vAlign w:val="center"/>
          </w:tcPr>
          <w:p>
            <w:pPr>
              <w:autoSpaceDE w:val="0"/>
              <w:autoSpaceDN w:val="0"/>
              <w:adjustRightInd w:val="0"/>
              <w:spacing w:before="100" w:after="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bl>
    <w:p>
      <w:pPr>
        <w:spacing w:line="440" w:lineRule="exac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本合同签订于：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440" w:lineRule="exact"/>
        <w:ind w:firstLine="482" w:firstLineChars="200"/>
        <w:rPr>
          <w:rFonts w:ascii="仿宋" w:hAnsi="仿宋" w:eastAsia="仿宋" w:cs="仿宋"/>
          <w:b/>
          <w:color w:val="auto"/>
          <w:sz w:val="24"/>
          <w:szCs w:val="24"/>
          <w:highlight w:val="none"/>
          <w:u w:val="single"/>
        </w:rPr>
        <w:sectPr>
          <w:pgSz w:w="11907" w:h="16840"/>
          <w:pgMar w:top="1440" w:right="1440" w:bottom="1440" w:left="1440" w:header="567" w:footer="591" w:gutter="0"/>
          <w:cols w:space="720" w:num="1"/>
          <w:docGrid w:linePitch="312" w:charSpace="0"/>
        </w:sectPr>
      </w:pPr>
    </w:p>
    <w:p>
      <w:pPr>
        <w:spacing w:line="600" w:lineRule="exact"/>
        <w:jc w:val="center"/>
        <w:rPr>
          <w:rFonts w:ascii="仿宋" w:hAnsi="仿宋" w:eastAsia="仿宋" w:cs="仿宋"/>
          <w:color w:val="auto"/>
          <w:sz w:val="24"/>
          <w:szCs w:val="24"/>
          <w:highlight w:val="none"/>
        </w:rPr>
      </w:pPr>
      <w:bookmarkStart w:id="200" w:name="_Toc395312579"/>
      <w:bookmarkStart w:id="201" w:name="_Toc392940992"/>
      <w:r>
        <w:rPr>
          <w:rFonts w:hint="eastAsia" w:ascii="仿宋" w:hAnsi="仿宋" w:eastAsia="仿宋" w:cs="仿宋"/>
          <w:b/>
          <w:color w:val="auto"/>
          <w:sz w:val="24"/>
          <w:szCs w:val="24"/>
          <w:highlight w:val="none"/>
        </w:rPr>
        <w:t>第二部分 标准条件</w:t>
      </w:r>
    </w:p>
    <w:p>
      <w:pPr>
        <w:spacing w:line="60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词语定义、适用范围和法规</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第一条</w:t>
      </w:r>
      <w:r>
        <w:rPr>
          <w:rFonts w:hint="eastAsia" w:ascii="仿宋" w:hAnsi="仿宋" w:eastAsia="仿宋" w:cs="仿宋"/>
          <w:color w:val="auto"/>
          <w:sz w:val="24"/>
          <w:szCs w:val="24"/>
          <w:highlight w:val="none"/>
        </w:rPr>
        <w:t>　下列名词和用语，除上下文另有规定外，有如下含义：</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（1）“工程”是指委托人委托实施监理的工程。</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（2）“委托人”是指承担直接投资责任和委托监理业务的一方以及其合法继承人。</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（3）“监理人”是指承担监理业务和监理责任的一方，以及其合法继承人。</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（4）“监理机构”是指监理人派驻本工程现场实施监理业务的组织。</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（5）“总监理工程师”是指经委托人同意，监理人派到监理机构全面履行本合同的全权负责人。</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（6）“承包人”是指除监理人以外，委托人就工程建设有关事宜签订合同的当事人。</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（7）“工程监理的正常工作”是指双方在专用条件中约定，委托人委托的监理工作范围和内容。</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（8）“工程监理的附加工作”是指：①委托人委托监理范围以外，通过双方书面协议另外增加的工作内容；②由于委托人或承包人原因，使监理工作受到阻碍或延误，因增加工作量或持续时间而增加的工作。</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（9）“工程监理的额外工作”是指正常工作和附加工作以外，根据第三十八条规定监理人必须完成的工作，或非监理人自己的原因而暂停或终止监理业务，其善后工作及恢复监理业务的工作。</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（10）“日”是指任何一天零时至第二天零时的时间段。</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（11）“月”是指根据公历从一个月份中任何一天开始到下一个月相应日期的前一天的时间段。</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第二条</w:t>
      </w:r>
      <w:r>
        <w:rPr>
          <w:rFonts w:hint="eastAsia" w:ascii="仿宋" w:hAnsi="仿宋" w:eastAsia="仿宋" w:cs="仿宋"/>
          <w:color w:val="auto"/>
          <w:sz w:val="24"/>
          <w:szCs w:val="24"/>
          <w:highlight w:val="none"/>
        </w:rPr>
        <w:t>　建设工程委托监理合同适用的法律是指国家的法律、行政法规，以及专用条件中议定的部门规章或工程所在地的地方法规、地方规章。</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第三条</w:t>
      </w:r>
      <w:r>
        <w:rPr>
          <w:rFonts w:hint="eastAsia" w:ascii="仿宋" w:hAnsi="仿宋" w:eastAsia="仿宋" w:cs="仿宋"/>
          <w:color w:val="auto"/>
          <w:sz w:val="24"/>
          <w:szCs w:val="24"/>
          <w:highlight w:val="none"/>
        </w:rPr>
        <w:t>　本合同文件使用汉语语言文字书写、解释和说明。如专用条件约定使用两种以上（含两种）语言文字时，汉语应为解释和说明本合同的标准语言文字。</w:t>
      </w:r>
    </w:p>
    <w:p>
      <w:pPr>
        <w:spacing w:line="70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监理人义务</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第四条</w:t>
      </w:r>
      <w:r>
        <w:rPr>
          <w:rFonts w:hint="eastAsia" w:ascii="仿宋" w:hAnsi="仿宋" w:eastAsia="仿宋" w:cs="仿宋"/>
          <w:color w:val="auto"/>
          <w:sz w:val="24"/>
          <w:szCs w:val="24"/>
          <w:highlight w:val="none"/>
        </w:rPr>
        <w:t>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第五条</w:t>
      </w:r>
      <w:r>
        <w:rPr>
          <w:rFonts w:hint="eastAsia" w:ascii="仿宋" w:hAnsi="仿宋" w:eastAsia="仿宋" w:cs="仿宋"/>
          <w:color w:val="auto"/>
          <w:sz w:val="24"/>
          <w:szCs w:val="24"/>
          <w:highlight w:val="none"/>
        </w:rPr>
        <w:t>　监理人在履行本合同的义务期间，应认真、勤奋地工作，为委托人提供与其水平相适应的咨询意见，公正维护各方面的合法权益。</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第六条</w:t>
      </w:r>
      <w:r>
        <w:rPr>
          <w:rFonts w:hint="eastAsia" w:ascii="仿宋" w:hAnsi="仿宋" w:eastAsia="仿宋" w:cs="仿宋"/>
          <w:color w:val="auto"/>
          <w:sz w:val="24"/>
          <w:szCs w:val="24"/>
          <w:highlight w:val="none"/>
        </w:rPr>
        <w:t>　监理人使用委托人提供的设施和物品属委托人的财产。在监理工作完成或中止时，应将其设施和剩余的物品按合同约定的时间和方式移交给委托人。</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第七条</w:t>
      </w:r>
      <w:r>
        <w:rPr>
          <w:rFonts w:hint="eastAsia" w:ascii="仿宋" w:hAnsi="仿宋" w:eastAsia="仿宋" w:cs="仿宋"/>
          <w:color w:val="auto"/>
          <w:sz w:val="24"/>
          <w:szCs w:val="24"/>
          <w:highlight w:val="none"/>
        </w:rPr>
        <w:t>　在合同期内或合同终止后，未征得有关方同意，不得泄露与本工程、本合同业务有关的保密资料。</w:t>
      </w:r>
    </w:p>
    <w:p>
      <w:pPr>
        <w:spacing w:line="800" w:lineRule="exact"/>
        <w:jc w:val="center"/>
        <w:rPr>
          <w:rFonts w:ascii="仿宋" w:hAnsi="仿宋" w:eastAsia="仿宋" w:cs="仿宋"/>
          <w:b/>
          <w:color w:val="auto"/>
          <w:sz w:val="24"/>
          <w:szCs w:val="24"/>
          <w:highlight w:val="none"/>
        </w:rPr>
      </w:pPr>
    </w:p>
    <w:p>
      <w:pPr>
        <w:spacing w:line="80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委托人义务</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第八条</w:t>
      </w:r>
      <w:r>
        <w:rPr>
          <w:rFonts w:hint="eastAsia" w:ascii="仿宋" w:hAnsi="仿宋" w:eastAsia="仿宋" w:cs="仿宋"/>
          <w:color w:val="auto"/>
          <w:sz w:val="24"/>
          <w:szCs w:val="24"/>
          <w:highlight w:val="none"/>
        </w:rPr>
        <w:t>　委托人在监理人开展监理业务30日内应向监理人支付监理费30%。</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第九条</w:t>
      </w:r>
      <w:r>
        <w:rPr>
          <w:rFonts w:hint="eastAsia" w:ascii="仿宋" w:hAnsi="仿宋" w:eastAsia="仿宋" w:cs="仿宋"/>
          <w:color w:val="auto"/>
          <w:sz w:val="24"/>
          <w:szCs w:val="24"/>
          <w:highlight w:val="none"/>
        </w:rPr>
        <w:t>　委托人应当负责工程建设的所有外部关系的协调，为监理工作提供外部条件。根据需要，如将部分或全部协调工作委托监理人承担，则应在专用条件中明确委托的工作和相应的报酬。</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第十条</w:t>
      </w:r>
      <w:r>
        <w:rPr>
          <w:rFonts w:hint="eastAsia" w:ascii="仿宋" w:hAnsi="仿宋" w:eastAsia="仿宋" w:cs="仿宋"/>
          <w:color w:val="auto"/>
          <w:sz w:val="24"/>
          <w:szCs w:val="24"/>
          <w:highlight w:val="none"/>
        </w:rPr>
        <w:t>　委托人应当在双方约定的时间内免费向监理人提供与工程有关的为监理工作所需要的工程资料。</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第十一条</w:t>
      </w:r>
      <w:r>
        <w:rPr>
          <w:rFonts w:hint="eastAsia" w:ascii="仿宋" w:hAnsi="仿宋" w:eastAsia="仿宋" w:cs="仿宋"/>
          <w:color w:val="auto"/>
          <w:sz w:val="24"/>
          <w:szCs w:val="24"/>
          <w:highlight w:val="none"/>
        </w:rPr>
        <w:t>　委托人应当在专用条款约定的时间内就监理人书面提交并要求作出决定的一切事宜作出书面决定。</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第十二条</w:t>
      </w:r>
      <w:r>
        <w:rPr>
          <w:rFonts w:hint="eastAsia" w:ascii="仿宋" w:hAnsi="仿宋" w:eastAsia="仿宋" w:cs="仿宋"/>
          <w:color w:val="auto"/>
          <w:sz w:val="24"/>
          <w:szCs w:val="24"/>
          <w:highlight w:val="none"/>
        </w:rPr>
        <w:t>　委托人应当授权一名熟悉工程情况、能在规定时间内作出决定的常驻代表（在专用条款中约定），负责与监理人联系。更换常驻代表，要提前通知监理人。</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第十三条</w:t>
      </w:r>
      <w:r>
        <w:rPr>
          <w:rFonts w:hint="eastAsia" w:ascii="仿宋" w:hAnsi="仿宋" w:eastAsia="仿宋" w:cs="仿宋"/>
          <w:color w:val="auto"/>
          <w:sz w:val="24"/>
          <w:szCs w:val="24"/>
          <w:highlight w:val="none"/>
        </w:rPr>
        <w:t>　委托人应当将授予监理人的监理权利，以及监理人主要成员的职能分工、监理权限及时书面通知已选定的承包合同的承包人，并在与第三人签订的合同中予以明确。</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第十四条</w:t>
      </w:r>
      <w:r>
        <w:rPr>
          <w:rFonts w:hint="eastAsia" w:ascii="仿宋" w:hAnsi="仿宋" w:eastAsia="仿宋" w:cs="仿宋"/>
          <w:color w:val="auto"/>
          <w:sz w:val="24"/>
          <w:szCs w:val="24"/>
          <w:highlight w:val="none"/>
        </w:rPr>
        <w:t>　委托人应在不影响监理人开展监理工作的时间内提供如下资料：（1）与本工程合作的原材料、构配件、机械设备等生产厂家名录。</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（2）提供与本工程有关的协作单位、配合单位的名录。</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第十五条</w:t>
      </w:r>
      <w:r>
        <w:rPr>
          <w:rFonts w:hint="eastAsia" w:ascii="仿宋" w:hAnsi="仿宋" w:eastAsia="仿宋" w:cs="仿宋"/>
          <w:color w:val="auto"/>
          <w:sz w:val="24"/>
          <w:szCs w:val="24"/>
          <w:highlight w:val="none"/>
        </w:rPr>
        <w:t>　委托人应免费向监理人提供办公用房。</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第十六条</w:t>
      </w:r>
      <w:r>
        <w:rPr>
          <w:rFonts w:hint="eastAsia" w:ascii="仿宋" w:hAnsi="仿宋" w:eastAsia="仿宋" w:cs="仿宋"/>
          <w:color w:val="auto"/>
          <w:sz w:val="24"/>
          <w:szCs w:val="24"/>
          <w:highlight w:val="none"/>
        </w:rPr>
        <w:t>　根据情况需要，如果双方约定，由委托人免费向监理人提供其他人员，应在监理合同专用条件中予以明确。</w:t>
      </w:r>
    </w:p>
    <w:p>
      <w:pPr>
        <w:spacing w:line="70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监理人权利</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第十七条</w:t>
      </w:r>
      <w:r>
        <w:rPr>
          <w:rFonts w:hint="eastAsia" w:ascii="仿宋" w:hAnsi="仿宋" w:eastAsia="仿宋" w:cs="仿宋"/>
          <w:color w:val="auto"/>
          <w:sz w:val="24"/>
          <w:szCs w:val="24"/>
          <w:highlight w:val="none"/>
        </w:rPr>
        <w:t>　监理人在委托人委托的工程范围内，享有以下权利：</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（1）选择工程总承包人的建议权。</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（2）选择工程分包人的认可权。</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（3）对工程建设有关事项包括工程规模、设计标准、规划设计、生产工艺设计和使用功能要求，向委托人的建议权。</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（5）审批工程施工组织设计和技术方案，按照保质量、保工期和降低成本的原则，向承包人提出建议，并向委托人提出书面报告。</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（6）主持工程建设有关协作单位的组织协调，重要协调事项应当事先向委托人报告。</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（7）征得委托人同意，监理人有权发布开工令、停工令、复工令，但应当事先向委托人报告。如在紧急情况下未能事先报告时，则应在24小时内向委托人作出书面报告。</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（9）工程施工进度的检查、监督权，以及工程实际竣工日期提前或超过工程施工合同规定的竣工期限的签认权。</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（10）在工程施工合同约定的工程价格范围内，工程款支付的审核和签认权，以及工程结算的复核确认权与否决权。未经总监理工程师签字确认，委托人不支付工程款。</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第十八条</w:t>
      </w:r>
      <w:r>
        <w:rPr>
          <w:rFonts w:hint="eastAsia" w:ascii="仿宋" w:hAnsi="仿宋" w:eastAsia="仿宋" w:cs="仿宋"/>
          <w:color w:val="auto"/>
          <w:sz w:val="24"/>
          <w:szCs w:val="24"/>
          <w:highlight w:val="none"/>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第十九条</w:t>
      </w:r>
      <w:r>
        <w:rPr>
          <w:rFonts w:hint="eastAsia" w:ascii="仿宋" w:hAnsi="仿宋" w:eastAsia="仿宋" w:cs="仿宋"/>
          <w:color w:val="auto"/>
          <w:sz w:val="24"/>
          <w:szCs w:val="24"/>
          <w:highlight w:val="none"/>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spacing w:line="80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委托人权利</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第二十条</w:t>
      </w:r>
      <w:r>
        <w:rPr>
          <w:rFonts w:hint="eastAsia" w:ascii="仿宋" w:hAnsi="仿宋" w:eastAsia="仿宋" w:cs="仿宋"/>
          <w:color w:val="auto"/>
          <w:sz w:val="24"/>
          <w:szCs w:val="24"/>
          <w:highlight w:val="none"/>
        </w:rPr>
        <w:t>　委托人有选定工程总承包人，以及与其订立合同的权利。</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第二十一条</w:t>
      </w:r>
      <w:r>
        <w:rPr>
          <w:rFonts w:hint="eastAsia" w:ascii="仿宋" w:hAnsi="仿宋" w:eastAsia="仿宋" w:cs="仿宋"/>
          <w:color w:val="auto"/>
          <w:sz w:val="24"/>
          <w:szCs w:val="24"/>
          <w:highlight w:val="none"/>
        </w:rPr>
        <w:t>　委托人有对工程规模、设计标准、规划设计、生产工艺设计和设计使用功能要求的认定权，以及对工程设计变更的审批权。</w:t>
      </w:r>
    </w:p>
    <w:p>
      <w:pPr>
        <w:spacing w:line="8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第二十二条</w:t>
      </w:r>
      <w:r>
        <w:rPr>
          <w:rFonts w:hint="eastAsia" w:ascii="仿宋" w:hAnsi="仿宋" w:eastAsia="仿宋" w:cs="仿宋"/>
          <w:color w:val="auto"/>
          <w:sz w:val="24"/>
          <w:szCs w:val="24"/>
          <w:highlight w:val="none"/>
        </w:rPr>
        <w:t>　监理人调换总监理工程师须事先经委托人同意。</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第二十三条</w:t>
      </w:r>
      <w:r>
        <w:rPr>
          <w:rFonts w:hint="eastAsia" w:ascii="仿宋" w:hAnsi="仿宋" w:eastAsia="仿宋" w:cs="仿宋"/>
          <w:color w:val="auto"/>
          <w:sz w:val="24"/>
          <w:szCs w:val="24"/>
          <w:highlight w:val="none"/>
        </w:rPr>
        <w:t>　委托人有权要求监理人提交监理工作月报及监理业务范围内的专项报告。</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第二十四条</w:t>
      </w:r>
      <w:r>
        <w:rPr>
          <w:rFonts w:hint="eastAsia" w:ascii="仿宋" w:hAnsi="仿宋" w:eastAsia="仿宋" w:cs="仿宋"/>
          <w:color w:val="auto"/>
          <w:sz w:val="24"/>
          <w:szCs w:val="24"/>
          <w:highlight w:val="none"/>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76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监理人责任</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第二十五条</w:t>
      </w:r>
      <w:r>
        <w:rPr>
          <w:rFonts w:hint="eastAsia" w:ascii="仿宋" w:hAnsi="仿宋" w:eastAsia="仿宋" w:cs="仿宋"/>
          <w:color w:val="auto"/>
          <w:sz w:val="24"/>
          <w:szCs w:val="24"/>
          <w:highlight w:val="none"/>
        </w:rPr>
        <w:t>　监理人的责任期即委托监理合同有效期。在监理过程中，如果因工程建设进度的推迟或延误而超过书面约定的日期，双方应进一步约定相应延长的合同期。</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第二十六条</w:t>
      </w:r>
      <w:r>
        <w:rPr>
          <w:rFonts w:hint="eastAsia" w:ascii="仿宋" w:hAnsi="仿宋" w:eastAsia="仿宋" w:cs="仿宋"/>
          <w:color w:val="auto"/>
          <w:sz w:val="24"/>
          <w:szCs w:val="24"/>
          <w:highlight w:val="none"/>
        </w:rPr>
        <w:t>　监理人在责任期内，应当履行约定的义务，如果因监理人过失而造成了委托人的经济损失，应当向委托人赔偿。累计赔偿总额（除本合同第二十四条规定以外）不应超过监理报酬总额（除去税金）。</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第二十七条</w:t>
      </w:r>
      <w:r>
        <w:rPr>
          <w:rFonts w:hint="eastAsia" w:ascii="仿宋" w:hAnsi="仿宋" w:eastAsia="仿宋" w:cs="仿宋"/>
          <w:color w:val="auto"/>
          <w:sz w:val="24"/>
          <w:szCs w:val="24"/>
          <w:highlight w:val="none"/>
        </w:rPr>
        <w:t>　因不可抗力导致委托监理合同不能全部或部分履行，监理人不承担责任。但对违反第五条规定引起的与之有关的事宜，向委托人承担赔偿责任。</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第二十八条</w:t>
      </w:r>
      <w:r>
        <w:rPr>
          <w:rFonts w:hint="eastAsia" w:ascii="仿宋" w:hAnsi="仿宋" w:eastAsia="仿宋" w:cs="仿宋"/>
          <w:color w:val="auto"/>
          <w:sz w:val="24"/>
          <w:szCs w:val="24"/>
          <w:highlight w:val="none"/>
        </w:rPr>
        <w:t>　监理人向委托人提出赔偿要求不能成立时，监理人应当补偿由于该索赔所导致委托人的各种费用支出。</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委托人责任</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第二十九条</w:t>
      </w:r>
      <w:r>
        <w:rPr>
          <w:rFonts w:hint="eastAsia" w:ascii="仿宋" w:hAnsi="仿宋" w:eastAsia="仿宋" w:cs="仿宋"/>
          <w:color w:val="auto"/>
          <w:sz w:val="24"/>
          <w:szCs w:val="24"/>
          <w:highlight w:val="none"/>
        </w:rPr>
        <w:t>　委托人应当履行委托监理合同约定的义务，如有违反则应当承担违约责任，赔偿给监理人造成的经济损失。</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第三十条</w:t>
      </w:r>
      <w:r>
        <w:rPr>
          <w:rFonts w:hint="eastAsia" w:ascii="仿宋" w:hAnsi="仿宋" w:eastAsia="仿宋" w:cs="仿宋"/>
          <w:color w:val="auto"/>
          <w:sz w:val="24"/>
          <w:szCs w:val="24"/>
          <w:highlight w:val="none"/>
        </w:rPr>
        <w:t>　委托人如果向监理人提出赔偿的要求不能成立，则应当补偿由该索赔所引起的监理人的各种费用支出。</w:t>
      </w:r>
    </w:p>
    <w:p>
      <w:pPr>
        <w:spacing w:line="70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合同生效、变更与终止</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第三十一条</w:t>
      </w:r>
      <w:r>
        <w:rPr>
          <w:rFonts w:hint="eastAsia" w:ascii="仿宋" w:hAnsi="仿宋" w:eastAsia="仿宋" w:cs="仿宋"/>
          <w:color w:val="auto"/>
          <w:sz w:val="24"/>
          <w:szCs w:val="24"/>
          <w:highlight w:val="none"/>
        </w:rPr>
        <w:t>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第三十二条</w:t>
      </w:r>
      <w:r>
        <w:rPr>
          <w:rFonts w:hint="eastAsia" w:ascii="仿宋" w:hAnsi="仿宋" w:eastAsia="仿宋" w:cs="仿宋"/>
          <w:color w:val="auto"/>
          <w:sz w:val="24"/>
          <w:szCs w:val="24"/>
          <w:highlight w:val="none"/>
        </w:rPr>
        <w:t>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第三十三条</w:t>
      </w:r>
      <w:r>
        <w:rPr>
          <w:rFonts w:hint="eastAsia" w:ascii="仿宋" w:hAnsi="仿宋" w:eastAsia="仿宋" w:cs="仿宋"/>
          <w:color w:val="auto"/>
          <w:sz w:val="24"/>
          <w:szCs w:val="24"/>
          <w:highlight w:val="none"/>
        </w:rPr>
        <w:t>　监理人向委托人办理完竣工验收或工程移交手续，承包人和委托人已签订工程保修责任书，监理人收到监理报酬尾款，本合同即终止。保修期间的责任，双方在专用条款中约定。</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第三十四条</w:t>
      </w:r>
      <w:r>
        <w:rPr>
          <w:rFonts w:hint="eastAsia" w:ascii="仿宋" w:hAnsi="仿宋" w:eastAsia="仿宋" w:cs="仿宋"/>
          <w:color w:val="auto"/>
          <w:sz w:val="24"/>
          <w:szCs w:val="24"/>
          <w:highlight w:val="none"/>
        </w:rPr>
        <w:t>　当事人一方要求变更或解除合同时，应当在42日前通知对方，因解除合同使一方遭受损失的，除依法可以免除责任的外，应由责任方负责赔偿。</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变更或解除合同的通知或协议必须采取书面形式，协议未达成之前，原合同仍然有效。</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第三十五条</w:t>
      </w:r>
      <w:r>
        <w:rPr>
          <w:rFonts w:hint="eastAsia" w:ascii="仿宋" w:hAnsi="仿宋" w:eastAsia="仿宋" w:cs="仿宋"/>
          <w:color w:val="auto"/>
          <w:sz w:val="24"/>
          <w:szCs w:val="24"/>
          <w:highlight w:val="none"/>
        </w:rPr>
        <w:t>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第三十六条</w:t>
      </w:r>
      <w:r>
        <w:rPr>
          <w:rFonts w:hint="eastAsia" w:ascii="仿宋" w:hAnsi="仿宋" w:eastAsia="仿宋" w:cs="仿宋"/>
          <w:color w:val="auto"/>
          <w:sz w:val="24"/>
          <w:szCs w:val="24"/>
          <w:highlight w:val="none"/>
        </w:rPr>
        <w:t>　监理人由于非自己的原因而暂停或终止执行监理业务，其善后工作以及恢复执行监理业务的工作，应当视为额外工作，有权得到额外的报酬。</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第三十七条</w:t>
      </w:r>
      <w:r>
        <w:rPr>
          <w:rFonts w:hint="eastAsia" w:ascii="仿宋" w:hAnsi="仿宋" w:eastAsia="仿宋" w:cs="仿宋"/>
          <w:color w:val="auto"/>
          <w:sz w:val="24"/>
          <w:szCs w:val="24"/>
          <w:highlight w:val="none"/>
        </w:rPr>
        <w:t>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第三十八条</w:t>
      </w:r>
      <w:r>
        <w:rPr>
          <w:rFonts w:hint="eastAsia" w:ascii="仿宋" w:hAnsi="仿宋" w:eastAsia="仿宋" w:cs="仿宋"/>
          <w:color w:val="auto"/>
          <w:sz w:val="24"/>
          <w:szCs w:val="24"/>
          <w:highlight w:val="none"/>
        </w:rPr>
        <w:t>　合同协议的终止并不影响各方应有的权利和应当承担的责任。</w:t>
      </w:r>
    </w:p>
    <w:p>
      <w:pPr>
        <w:spacing w:line="76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监理报酬</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第三十九条</w:t>
      </w:r>
      <w:r>
        <w:rPr>
          <w:rFonts w:hint="eastAsia" w:ascii="仿宋" w:hAnsi="仿宋" w:eastAsia="仿宋" w:cs="仿宋"/>
          <w:color w:val="auto"/>
          <w:sz w:val="24"/>
          <w:szCs w:val="24"/>
          <w:highlight w:val="none"/>
        </w:rPr>
        <w:t>　正常的监理工作、附加工作和额外工作的报酬，按照监理合同专用条件中第三十九条的方法计算，并按约定的时间和数额支付。</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第四十条</w:t>
      </w:r>
      <w:r>
        <w:rPr>
          <w:rFonts w:hint="eastAsia" w:ascii="仿宋" w:hAnsi="仿宋" w:eastAsia="仿宋" w:cs="仿宋"/>
          <w:color w:val="auto"/>
          <w:sz w:val="24"/>
          <w:szCs w:val="24"/>
          <w:highlight w:val="none"/>
        </w:rPr>
        <w:t>　如果委托人在规定的支付期限内未支付监理报酬，自规定之日起，还应向监理人支付滞纳金。滞纳金从规定支付期限最后一日起计算。</w:t>
      </w:r>
    </w:p>
    <w:p>
      <w:pPr>
        <w:spacing w:line="72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第四十一条</w:t>
      </w:r>
      <w:r>
        <w:rPr>
          <w:rFonts w:hint="eastAsia" w:ascii="仿宋" w:hAnsi="仿宋" w:eastAsia="仿宋" w:cs="仿宋"/>
          <w:color w:val="auto"/>
          <w:sz w:val="24"/>
          <w:szCs w:val="24"/>
          <w:highlight w:val="none"/>
        </w:rPr>
        <w:t>　支付监理报酬所采取的货币币种、汇率由合同专用条件约定。</w:t>
      </w:r>
    </w:p>
    <w:p>
      <w:pPr>
        <w:spacing w:line="72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第四十二条</w:t>
      </w:r>
      <w:r>
        <w:rPr>
          <w:rFonts w:hint="eastAsia" w:ascii="仿宋" w:hAnsi="仿宋" w:eastAsia="仿宋" w:cs="仿宋"/>
          <w:color w:val="auto"/>
          <w:sz w:val="24"/>
          <w:szCs w:val="24"/>
          <w:highlight w:val="none"/>
        </w:rPr>
        <w:t>　如果委托人对监理人提交的支付通知中报酬或部分报酬项目提出异议，应当在收到支付通知书24小时内向监理人发出表示异议的通知，但委托人不得拖延其他无异议报酬项目的支付。</w:t>
      </w:r>
    </w:p>
    <w:p>
      <w:pPr>
        <w:spacing w:line="72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其  他</w:t>
      </w:r>
    </w:p>
    <w:p>
      <w:pPr>
        <w:spacing w:line="72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第四十三条</w:t>
      </w:r>
      <w:r>
        <w:rPr>
          <w:rFonts w:hint="eastAsia" w:ascii="仿宋" w:hAnsi="仿宋" w:eastAsia="仿宋" w:cs="仿宋"/>
          <w:color w:val="auto"/>
          <w:sz w:val="24"/>
          <w:szCs w:val="24"/>
          <w:highlight w:val="none"/>
        </w:rPr>
        <w:t>　委托的建设工程监理所必要的监理人员出外考察、材料设备复试，其费用支出经委托人同意的，在预算范围内向委托人实报实销。</w:t>
      </w:r>
    </w:p>
    <w:p>
      <w:pPr>
        <w:spacing w:line="72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第四十四条</w:t>
      </w:r>
      <w:r>
        <w:rPr>
          <w:rFonts w:hint="eastAsia" w:ascii="仿宋" w:hAnsi="仿宋" w:eastAsia="仿宋" w:cs="仿宋"/>
          <w:color w:val="auto"/>
          <w:sz w:val="24"/>
          <w:szCs w:val="24"/>
          <w:highlight w:val="none"/>
        </w:rPr>
        <w:t>　在监理业务范围内，如需聘用专家咨询或协助，由监理人聘用的，其费用由监理人承担；由委托人聘用的，其费用由委托人承担。</w:t>
      </w:r>
    </w:p>
    <w:p>
      <w:pPr>
        <w:spacing w:line="72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第四十五条</w:t>
      </w:r>
      <w:r>
        <w:rPr>
          <w:rFonts w:hint="eastAsia" w:ascii="仿宋" w:hAnsi="仿宋" w:eastAsia="仿宋" w:cs="仿宋"/>
          <w:color w:val="auto"/>
          <w:sz w:val="24"/>
          <w:szCs w:val="24"/>
          <w:highlight w:val="none"/>
        </w:rPr>
        <w:t>　监理人在监理工作过程中提出的合理化建议，使委托人得到了经济效益，委托人应按专用条件中的约定给予经济奖励。</w:t>
      </w:r>
    </w:p>
    <w:p>
      <w:pPr>
        <w:spacing w:line="72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第四十六条</w:t>
      </w:r>
      <w:r>
        <w:rPr>
          <w:rFonts w:hint="eastAsia" w:ascii="仿宋" w:hAnsi="仿宋" w:eastAsia="仿宋" w:cs="仿宋"/>
          <w:color w:val="auto"/>
          <w:sz w:val="24"/>
          <w:szCs w:val="24"/>
          <w:highlight w:val="none"/>
        </w:rPr>
        <w:t>　监理人驻地监理机构及其职员不得接受监理工程项目施工承包人的任何报酬或者经济利益。</w:t>
      </w:r>
    </w:p>
    <w:p>
      <w:pPr>
        <w:spacing w:line="7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监理人不得参与可能与合同规定的与委托人的利益相冲突的任何活动。</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第四十七条</w:t>
      </w:r>
      <w:r>
        <w:rPr>
          <w:rFonts w:hint="eastAsia" w:ascii="仿宋" w:hAnsi="仿宋" w:eastAsia="仿宋" w:cs="仿宋"/>
          <w:color w:val="auto"/>
          <w:sz w:val="24"/>
          <w:szCs w:val="24"/>
          <w:highlight w:val="none"/>
        </w:rPr>
        <w:t>　监理人在监理过程中，不得泄露委托人申明的秘密，监理人亦不得泄露设计人、承包人等提供并申明的秘密。</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第四十八条</w:t>
      </w:r>
      <w:r>
        <w:rPr>
          <w:rFonts w:hint="eastAsia" w:ascii="仿宋" w:hAnsi="仿宋" w:eastAsia="仿宋" w:cs="仿宋"/>
          <w:color w:val="auto"/>
          <w:sz w:val="24"/>
          <w:szCs w:val="24"/>
          <w:highlight w:val="none"/>
        </w:rPr>
        <w:t>　监理人对于由其编制的所有文件拥有版权，委托人仅有权为本工程使用或复制此类文件。</w:t>
      </w:r>
    </w:p>
    <w:p>
      <w:pPr>
        <w:spacing w:line="760" w:lineRule="exact"/>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争议的解决</w:t>
      </w:r>
    </w:p>
    <w:p>
      <w:pPr>
        <w:spacing w:line="76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第四十九条</w:t>
      </w:r>
      <w:r>
        <w:rPr>
          <w:rFonts w:hint="eastAsia" w:ascii="仿宋" w:hAnsi="仿宋" w:eastAsia="仿宋" w:cs="仿宋"/>
          <w:color w:val="auto"/>
          <w:sz w:val="24"/>
          <w:szCs w:val="24"/>
          <w:highlight w:val="none"/>
        </w:rPr>
        <w:t>　因违反或终止合同而引起的对对方损失和损害的赔偿，双方应当协商解决，如未能达成一致，可提交主管部门协调，如仍未能达成一致时，根据双方约定提交仲裁机关仲裁，或向人民法院起诉。</w:t>
      </w:r>
    </w:p>
    <w:bookmarkEnd w:id="200"/>
    <w:bookmarkEnd w:id="201"/>
    <w:p>
      <w:pPr>
        <w:spacing w:line="760" w:lineRule="exact"/>
        <w:ind w:firstLine="1446" w:firstLineChars="6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第三部分 专用条件</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第二条</w:t>
      </w:r>
      <w:r>
        <w:rPr>
          <w:rFonts w:hint="eastAsia" w:ascii="仿宋" w:hAnsi="仿宋" w:eastAsia="仿宋" w:cs="仿宋"/>
          <w:color w:val="auto"/>
          <w:sz w:val="24"/>
          <w:szCs w:val="24"/>
          <w:highlight w:val="none"/>
        </w:rPr>
        <w:t>　本合同适用的法律及监理依据：</w:t>
      </w:r>
    </w:p>
    <w:p>
      <w:pPr>
        <w:spacing w:line="700" w:lineRule="exact"/>
        <w:ind w:left="630" w:leftChars="300" w:firstLine="384" w:firstLineChars="1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1、现行的法律、法规、规范及标准。</w:t>
      </w:r>
    </w:p>
    <w:p>
      <w:pPr>
        <w:spacing w:line="700" w:lineRule="exact"/>
        <w:ind w:left="1050" w:leftChars="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2、招投标文件、施工合同、监理合同及相关协议书。</w:t>
      </w:r>
    </w:p>
    <w:p>
      <w:pPr>
        <w:spacing w:line="700" w:lineRule="exact"/>
        <w:ind w:left="630" w:leftChars="300" w:firstLine="384" w:firstLineChars="1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3、设计文件、图纸变更、会议记录及来往函件。</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第四条</w:t>
      </w:r>
      <w:r>
        <w:rPr>
          <w:rFonts w:hint="eastAsia" w:ascii="仿宋" w:hAnsi="仿宋" w:eastAsia="仿宋" w:cs="仿宋"/>
          <w:color w:val="auto"/>
          <w:sz w:val="24"/>
          <w:szCs w:val="24"/>
          <w:highlight w:val="none"/>
        </w:rPr>
        <w:t>　监理范围和监理工作内容：</w:t>
      </w:r>
    </w:p>
    <w:p>
      <w:pPr>
        <w:spacing w:line="700" w:lineRule="exact"/>
        <w:rPr>
          <w:rFonts w:ascii="仿宋" w:hAnsi="仿宋" w:eastAsia="仿宋" w:cs="仿宋"/>
          <w:color w:val="auto"/>
          <w:sz w:val="24"/>
          <w:szCs w:val="24"/>
          <w:highlight w:val="none"/>
        </w:rPr>
      </w:pPr>
    </w:p>
    <w:p>
      <w:pPr>
        <w:spacing w:line="700" w:lineRule="exact"/>
        <w:outlineLvl w:val="0"/>
        <w:rPr>
          <w:rFonts w:ascii="仿宋" w:hAnsi="仿宋" w:eastAsia="仿宋" w:cs="仿宋"/>
          <w:color w:val="auto"/>
          <w:sz w:val="24"/>
          <w:szCs w:val="24"/>
          <w:highlight w:val="none"/>
        </w:rPr>
      </w:pPr>
      <w:bookmarkStart w:id="202" w:name="_Toc19650"/>
      <w:bookmarkStart w:id="203" w:name="_Toc520964396"/>
      <w:bookmarkStart w:id="204" w:name="_Toc520964564"/>
      <w:bookmarkStart w:id="205" w:name="_Toc1629"/>
      <w:bookmarkStart w:id="206" w:name="_Toc10790"/>
      <w:bookmarkStart w:id="207" w:name="_Toc10787"/>
      <w:r>
        <w:rPr>
          <w:rFonts w:hint="eastAsia" w:ascii="仿宋" w:hAnsi="仿宋" w:eastAsia="仿宋" w:cs="仿宋"/>
          <w:b/>
          <w:color w:val="auto"/>
          <w:sz w:val="24"/>
          <w:szCs w:val="24"/>
          <w:highlight w:val="none"/>
        </w:rPr>
        <w:t xml:space="preserve">第九条  </w:t>
      </w:r>
      <w:r>
        <w:rPr>
          <w:rFonts w:hint="eastAsia" w:ascii="仿宋" w:hAnsi="仿宋" w:eastAsia="仿宋" w:cs="仿宋"/>
          <w:color w:val="auto"/>
          <w:sz w:val="24"/>
          <w:szCs w:val="24"/>
          <w:highlight w:val="none"/>
        </w:rPr>
        <w:t>外部条件包括：提供办公及住宿用房各壹间。</w:t>
      </w:r>
      <w:bookmarkEnd w:id="202"/>
      <w:bookmarkEnd w:id="203"/>
      <w:bookmarkEnd w:id="204"/>
      <w:bookmarkEnd w:id="205"/>
      <w:bookmarkEnd w:id="206"/>
      <w:bookmarkEnd w:id="207"/>
    </w:p>
    <w:p>
      <w:pPr>
        <w:spacing w:line="700" w:lineRule="exact"/>
        <w:outlineLvl w:val="0"/>
        <w:rPr>
          <w:rFonts w:ascii="仿宋" w:hAnsi="仿宋" w:eastAsia="仿宋" w:cs="仿宋"/>
          <w:color w:val="auto"/>
          <w:sz w:val="24"/>
          <w:szCs w:val="24"/>
          <w:highlight w:val="none"/>
        </w:rPr>
      </w:pPr>
      <w:bookmarkStart w:id="208" w:name="_Toc520964565"/>
      <w:bookmarkStart w:id="209" w:name="_Toc520964397"/>
      <w:bookmarkStart w:id="210" w:name="_Toc10886"/>
      <w:bookmarkStart w:id="211" w:name="_Toc6147"/>
      <w:bookmarkStart w:id="212" w:name="_Toc13968"/>
      <w:bookmarkStart w:id="213" w:name="_Toc23829"/>
      <w:r>
        <w:rPr>
          <w:rFonts w:hint="eastAsia" w:ascii="仿宋" w:hAnsi="仿宋" w:eastAsia="仿宋" w:cs="仿宋"/>
          <w:b/>
          <w:color w:val="auto"/>
          <w:sz w:val="24"/>
          <w:szCs w:val="24"/>
          <w:highlight w:val="none"/>
        </w:rPr>
        <w:t>第十条</w:t>
      </w:r>
      <w:r>
        <w:rPr>
          <w:rFonts w:hint="eastAsia" w:ascii="仿宋" w:hAnsi="仿宋" w:eastAsia="仿宋" w:cs="仿宋"/>
          <w:color w:val="auto"/>
          <w:sz w:val="24"/>
          <w:szCs w:val="24"/>
          <w:highlight w:val="none"/>
        </w:rPr>
        <w:t>　委托人应提供的工程资料及提供时间：</w:t>
      </w:r>
      <w:bookmarkEnd w:id="208"/>
      <w:bookmarkEnd w:id="209"/>
      <w:bookmarkEnd w:id="210"/>
      <w:bookmarkEnd w:id="211"/>
      <w:bookmarkEnd w:id="212"/>
      <w:bookmarkEnd w:id="213"/>
    </w:p>
    <w:p>
      <w:pPr>
        <w:spacing w:line="700" w:lineRule="exact"/>
        <w:ind w:left="1050" w:leftChars="500"/>
        <w:rPr>
          <w:rFonts w:ascii="仿宋" w:hAnsi="仿宋" w:eastAsia="仿宋" w:cs="仿宋"/>
          <w:color w:val="auto"/>
          <w:spacing w:val="-12"/>
          <w:sz w:val="24"/>
          <w:szCs w:val="24"/>
          <w:highlight w:val="none"/>
        </w:rPr>
      </w:pPr>
      <w:r>
        <w:rPr>
          <w:rFonts w:hint="eastAsia" w:ascii="仿宋" w:hAnsi="仿宋" w:eastAsia="仿宋" w:cs="仿宋"/>
          <w:color w:val="auto"/>
          <w:sz w:val="24"/>
          <w:szCs w:val="24"/>
          <w:highlight w:val="none"/>
        </w:rPr>
        <w:t>　　开工前十天提供设计图纸、勘察资料及相关资料一份。</w:t>
      </w:r>
    </w:p>
    <w:p>
      <w:pPr>
        <w:spacing w:line="700" w:lineRule="exact"/>
        <w:outlineLvl w:val="0"/>
        <w:rPr>
          <w:rFonts w:ascii="仿宋" w:hAnsi="仿宋" w:eastAsia="仿宋" w:cs="仿宋"/>
          <w:color w:val="auto"/>
          <w:sz w:val="24"/>
          <w:szCs w:val="24"/>
          <w:highlight w:val="none"/>
        </w:rPr>
      </w:pPr>
      <w:bookmarkStart w:id="214" w:name="_Toc5691"/>
      <w:bookmarkStart w:id="215" w:name="_Toc7538"/>
      <w:bookmarkStart w:id="216" w:name="_Toc23898"/>
      <w:bookmarkStart w:id="217" w:name="_Toc520964566"/>
      <w:bookmarkStart w:id="218" w:name="_Toc520964398"/>
      <w:bookmarkStart w:id="219" w:name="_Toc4688"/>
      <w:r>
        <w:rPr>
          <w:rFonts w:hint="eastAsia" w:ascii="仿宋" w:hAnsi="仿宋" w:eastAsia="仿宋" w:cs="仿宋"/>
          <w:b/>
          <w:color w:val="auto"/>
          <w:sz w:val="24"/>
          <w:szCs w:val="24"/>
          <w:highlight w:val="none"/>
        </w:rPr>
        <w:t>第十一条</w:t>
      </w:r>
      <w:r>
        <w:rPr>
          <w:rFonts w:hint="eastAsia" w:ascii="仿宋" w:hAnsi="仿宋" w:eastAsia="仿宋" w:cs="仿宋"/>
          <w:color w:val="auto"/>
          <w:sz w:val="24"/>
          <w:szCs w:val="24"/>
          <w:highlight w:val="none"/>
        </w:rPr>
        <w:t>　委托人应在</w:t>
      </w:r>
      <w:r>
        <w:rPr>
          <w:rFonts w:hint="eastAsia" w:ascii="仿宋" w:hAnsi="仿宋" w:eastAsia="仿宋" w:cs="仿宋"/>
          <w:color w:val="auto"/>
          <w:sz w:val="24"/>
          <w:szCs w:val="24"/>
          <w:highlight w:val="none"/>
          <w:u w:val="single"/>
        </w:rPr>
        <w:t xml:space="preserve"> 三  </w:t>
      </w:r>
      <w:r>
        <w:rPr>
          <w:rFonts w:hint="eastAsia" w:ascii="仿宋" w:hAnsi="仿宋" w:eastAsia="仿宋" w:cs="仿宋"/>
          <w:color w:val="auto"/>
          <w:sz w:val="24"/>
          <w:szCs w:val="24"/>
          <w:highlight w:val="none"/>
        </w:rPr>
        <w:t>天内对监理人书面提交并要求作出决定的事宜作出书面答复。</w:t>
      </w:r>
      <w:bookmarkEnd w:id="214"/>
      <w:bookmarkEnd w:id="215"/>
      <w:bookmarkEnd w:id="216"/>
      <w:bookmarkEnd w:id="217"/>
      <w:bookmarkEnd w:id="218"/>
      <w:bookmarkEnd w:id="219"/>
    </w:p>
    <w:p>
      <w:pPr>
        <w:spacing w:line="700" w:lineRule="exact"/>
        <w:ind w:left="241" w:hanging="241" w:hangingChars="1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第十二条</w:t>
      </w:r>
      <w:r>
        <w:rPr>
          <w:rFonts w:hint="eastAsia" w:ascii="仿宋" w:hAnsi="仿宋" w:eastAsia="仿宋" w:cs="仿宋"/>
          <w:color w:val="auto"/>
          <w:sz w:val="24"/>
          <w:szCs w:val="24"/>
          <w:highlight w:val="none"/>
        </w:rPr>
        <w:t>　委托人的常驻代表为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第十三条</w:t>
      </w:r>
      <w:r>
        <w:rPr>
          <w:rFonts w:hint="eastAsia" w:ascii="仿宋" w:hAnsi="仿宋" w:eastAsia="仿宋" w:cs="仿宋"/>
          <w:color w:val="auto"/>
          <w:sz w:val="24"/>
          <w:szCs w:val="24"/>
          <w:highlight w:val="none"/>
        </w:rPr>
        <w:t>　监理人的总监理工程师为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700" w:lineRule="exact"/>
        <w:ind w:left="263" w:leftChars="125" w:firstLine="1440" w:firstLineChars="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监理人的驻地监理代表为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第十五条</w:t>
      </w:r>
      <w:r>
        <w:rPr>
          <w:rFonts w:hint="eastAsia" w:ascii="仿宋" w:hAnsi="仿宋" w:eastAsia="仿宋" w:cs="仿宋"/>
          <w:color w:val="auto"/>
          <w:sz w:val="24"/>
          <w:szCs w:val="24"/>
          <w:highlight w:val="none"/>
        </w:rPr>
        <w:t>　委托人免费向监理机构提供如下设施：</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监理人自备的、委托人给予补偿的设施如下：无</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第十六条</w:t>
      </w:r>
      <w:r>
        <w:rPr>
          <w:rFonts w:hint="eastAsia" w:ascii="仿宋" w:hAnsi="仿宋" w:eastAsia="仿宋" w:cs="仿宋"/>
          <w:color w:val="auto"/>
          <w:sz w:val="24"/>
          <w:szCs w:val="24"/>
          <w:highlight w:val="none"/>
        </w:rPr>
        <w:t>　在监理期间，委托人免费向监理机构提供</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名工作人员，由总监理工程师安排其工作，凡涉及服务时，此类职员只应从总监理工程师处接受指示。并免费提供</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名服务人员。监理机构应与此类服务的提供者合作，但不对此类人员及其行为负责。</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第二十六条</w:t>
      </w:r>
      <w:r>
        <w:rPr>
          <w:rFonts w:hint="eastAsia" w:ascii="仿宋" w:hAnsi="仿宋" w:eastAsia="仿宋" w:cs="仿宋"/>
          <w:color w:val="auto"/>
          <w:sz w:val="24"/>
          <w:szCs w:val="24"/>
          <w:highlight w:val="none"/>
        </w:rPr>
        <w:t>　监理人在责任期内如果失职，同意按以下办法承担责任，赔偿损失[累计赔偿额不超过监理报酬总数（扣税）]：</w:t>
      </w:r>
    </w:p>
    <w:p>
      <w:pPr>
        <w:spacing w:line="7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赔偿金＝直接经济损失*报酬比率（扣除税金）</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第三十九条</w:t>
      </w:r>
      <w:r>
        <w:rPr>
          <w:rFonts w:hint="eastAsia" w:ascii="仿宋" w:hAnsi="仿宋" w:eastAsia="仿宋" w:cs="仿宋"/>
          <w:color w:val="auto"/>
          <w:sz w:val="24"/>
          <w:szCs w:val="24"/>
          <w:highlight w:val="none"/>
        </w:rPr>
        <w:t>　委托人同意按以下的计算方法、支付监理人的报酬：</w:t>
      </w:r>
    </w:p>
    <w:p>
      <w:pPr>
        <w:spacing w:line="700" w:lineRule="exact"/>
        <w:ind w:left="525" w:left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监理工作报酬： </w:t>
      </w:r>
    </w:p>
    <w:p>
      <w:pPr>
        <w:spacing w:line="700" w:lineRule="exact"/>
        <w:ind w:left="525" w:left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收费依据：</w:t>
      </w:r>
    </w:p>
    <w:p>
      <w:pPr>
        <w:spacing w:line="700" w:lineRule="exact"/>
        <w:ind w:left="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监理酬金的支付:</w:t>
      </w:r>
    </w:p>
    <w:p>
      <w:pPr>
        <w:spacing w:line="700" w:lineRule="exact"/>
        <w:ind w:left="600"/>
        <w:rPr>
          <w:rFonts w:ascii="仿宋" w:hAnsi="仿宋" w:eastAsia="仿宋" w:cs="仿宋"/>
          <w:color w:val="auto"/>
          <w:sz w:val="24"/>
          <w:szCs w:val="24"/>
          <w:highlight w:val="none"/>
        </w:rPr>
      </w:pP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第四十一条</w:t>
      </w:r>
      <w:r>
        <w:rPr>
          <w:rFonts w:hint="eastAsia" w:ascii="仿宋" w:hAnsi="仿宋" w:eastAsia="仿宋" w:cs="仿宋"/>
          <w:color w:val="auto"/>
          <w:sz w:val="24"/>
          <w:szCs w:val="24"/>
          <w:highlight w:val="none"/>
        </w:rPr>
        <w:t>　双方同意用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支付报酬，按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汇率计付。</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第四十五条</w:t>
      </w:r>
      <w:r>
        <w:rPr>
          <w:rFonts w:hint="eastAsia" w:ascii="仿宋" w:hAnsi="仿宋" w:eastAsia="仿宋" w:cs="仿宋"/>
          <w:color w:val="auto"/>
          <w:sz w:val="24"/>
          <w:szCs w:val="24"/>
          <w:highlight w:val="none"/>
        </w:rPr>
        <w:t>　奖励办法：</w:t>
      </w:r>
    </w:p>
    <w:p>
      <w:pPr>
        <w:spacing w:line="700" w:lineRule="exact"/>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奖励金额=工程费用节省额*报酬比率 </w:t>
      </w:r>
    </w:p>
    <w:p>
      <w:pPr>
        <w:spacing w:line="7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第四十九条</w:t>
      </w:r>
      <w:r>
        <w:rPr>
          <w:rFonts w:hint="eastAsia" w:ascii="仿宋" w:hAnsi="仿宋" w:eastAsia="仿宋" w:cs="仿宋"/>
          <w:color w:val="auto"/>
          <w:sz w:val="24"/>
          <w:szCs w:val="24"/>
          <w:highlight w:val="none"/>
        </w:rPr>
        <w:t>　本合同在履行过程中发生争议时，当事人双方应及时协商解决。协商不成时，双方同意由仲裁委员会仲裁（当事人双方不在本合同中约定仲裁机构，事后又未达成书面仲裁协议的，可向人民法院起诉）。</w:t>
      </w:r>
    </w:p>
    <w:p>
      <w:pPr>
        <w:spacing w:line="700" w:lineRule="exact"/>
        <w:rPr>
          <w:rFonts w:ascii="仿宋" w:hAnsi="仿宋" w:eastAsia="仿宋" w:cs="仿宋"/>
          <w:color w:val="auto"/>
          <w:sz w:val="24"/>
          <w:szCs w:val="24"/>
          <w:highlight w:val="none"/>
        </w:rPr>
      </w:pPr>
    </w:p>
    <w:p>
      <w:pPr>
        <w:tabs>
          <w:tab w:val="left" w:pos="1365"/>
        </w:tabs>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附加协议：无</w:t>
      </w:r>
    </w:p>
    <w:p>
      <w:pPr>
        <w:pStyle w:val="36"/>
        <w:rPr>
          <w:rFonts w:ascii="仿宋" w:hAnsi="仿宋" w:eastAsia="仿宋" w:cs="仿宋"/>
          <w:color w:val="auto"/>
          <w:highlight w:val="none"/>
        </w:rPr>
      </w:pPr>
    </w:p>
    <w:p>
      <w:pPr>
        <w:jc w:val="left"/>
        <w:rPr>
          <w:rFonts w:ascii="仿宋" w:hAnsi="仿宋" w:eastAsia="仿宋" w:cs="仿宋"/>
          <w:color w:val="auto"/>
          <w:kern w:val="0"/>
          <w:sz w:val="24"/>
          <w:szCs w:val="24"/>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附件1：</w:t>
      </w:r>
      <w:bookmarkEnd w:id="198"/>
    </w:p>
    <w:p>
      <w:pPr>
        <w:widowControl/>
        <w:shd w:val="clear" w:color="auto" w:fill="FFFFFF"/>
        <w:spacing w:line="480" w:lineRule="atLeast"/>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广西壮族自治区政府采购项目合同验收书（格式）</w:t>
      </w:r>
    </w:p>
    <w:p>
      <w:pPr>
        <w:widowControl/>
        <w:shd w:val="clear" w:color="auto" w:fill="FFFFFF"/>
        <w:snapToGrid w:val="0"/>
        <w:spacing w:line="320" w:lineRule="atLeast"/>
        <w:ind w:firstLine="48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根据政府采购项目（</w:t>
      </w:r>
      <w:r>
        <w:rPr>
          <w:rFonts w:hint="eastAsia" w:ascii="仿宋" w:hAnsi="仿宋" w:eastAsia="仿宋" w:cs="仿宋"/>
          <w:color w:val="auto"/>
          <w:kern w:val="0"/>
          <w:sz w:val="24"/>
          <w:szCs w:val="24"/>
          <w:highlight w:val="none"/>
          <w:u w:val="single"/>
        </w:rPr>
        <w:t>采购合同编号：</w:t>
      </w:r>
      <w:r>
        <w:rPr>
          <w:rFonts w:hint="eastAsia" w:ascii="仿宋" w:hAnsi="仿宋" w:eastAsia="仿宋" w:cs="仿宋"/>
          <w:color w:val="auto"/>
          <w:kern w:val="0"/>
          <w:sz w:val="24"/>
          <w:szCs w:val="24"/>
          <w:highlight w:val="none"/>
          <w:u w:val="single"/>
        </w:rPr>
        <w:softHyphen/>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）的约定，我单位对（</w:t>
      </w:r>
      <w:r>
        <w:rPr>
          <w:rFonts w:hint="eastAsia" w:ascii="仿宋" w:hAnsi="仿宋" w:eastAsia="仿宋" w:cs="仿宋"/>
          <w:color w:val="auto"/>
          <w:kern w:val="0"/>
          <w:sz w:val="24"/>
          <w:szCs w:val="24"/>
          <w:highlight w:val="none"/>
          <w:u w:val="single"/>
        </w:rPr>
        <w:t xml:space="preserve"> 项目名称 </w:t>
      </w:r>
      <w:r>
        <w:rPr>
          <w:rFonts w:hint="eastAsia" w:ascii="仿宋" w:hAnsi="仿宋" w:eastAsia="仿宋" w:cs="仿宋"/>
          <w:color w:val="auto"/>
          <w:kern w:val="0"/>
          <w:sz w:val="24"/>
          <w:szCs w:val="24"/>
          <w:highlight w:val="none"/>
        </w:rPr>
        <w:t>） 政府采购项目中标（或成交）供应商（</w:t>
      </w:r>
      <w:r>
        <w:rPr>
          <w:rFonts w:hint="eastAsia" w:ascii="仿宋" w:hAnsi="仿宋" w:eastAsia="仿宋" w:cs="仿宋"/>
          <w:color w:val="auto"/>
          <w:kern w:val="0"/>
          <w:sz w:val="24"/>
          <w:szCs w:val="24"/>
          <w:highlight w:val="none"/>
          <w:u w:val="single"/>
        </w:rPr>
        <w:t xml:space="preserve"> 公司名称 </w:t>
      </w:r>
      <w:r>
        <w:rPr>
          <w:rFonts w:hint="eastAsia" w:ascii="仿宋" w:hAnsi="仿宋" w:eastAsia="仿宋" w:cs="仿宋"/>
          <w:color w:val="auto"/>
          <w:kern w:val="0"/>
          <w:sz w:val="24"/>
          <w:szCs w:val="24"/>
          <w:highlight w:val="none"/>
        </w:rPr>
        <w:t>） 提供的货物（或工程、服务）进行了验收，验收情况如下：</w:t>
      </w:r>
    </w:p>
    <w:tbl>
      <w:tblPr>
        <w:tblStyle w:val="23"/>
        <w:tblW w:w="8445"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r>
      <w:tr>
        <w:tblPrEx>
          <w:tblCellMar>
            <w:top w:w="0" w:type="dxa"/>
            <w:left w:w="0" w:type="dxa"/>
            <w:bottom w:w="0" w:type="dxa"/>
            <w:right w:w="0" w:type="dxa"/>
          </w:tblCellMar>
        </w:tblPrEx>
        <w:trPr>
          <w:trHeight w:val="641" w:hRule="atLeast"/>
          <w:jc w:val="center"/>
        </w:trPr>
        <w:tc>
          <w:tcPr>
            <w:tcW w:w="8445"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仿宋" w:hAnsi="仿宋" w:eastAsia="仿宋" w:cs="仿宋"/>
                <w:color w:val="auto"/>
                <w:kern w:val="0"/>
                <w:sz w:val="24"/>
                <w:szCs w:val="24"/>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验收具体内容</w:t>
            </w:r>
          </w:p>
        </w:tc>
        <w:tc>
          <w:tcPr>
            <w:tcW w:w="711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验收小组意见</w:t>
            </w: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仿宋"/>
                <w:color w:val="auto"/>
                <w:kern w:val="0"/>
                <w:sz w:val="24"/>
                <w:szCs w:val="24"/>
                <w:highlight w:val="none"/>
              </w:rPr>
            </w:pP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有异议的意见和说明理由：</w:t>
            </w:r>
          </w:p>
          <w:p>
            <w:pPr>
              <w:widowControl/>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签字：</w:t>
            </w:r>
          </w:p>
        </w:tc>
      </w:tr>
      <w:tr>
        <w:tblPrEx>
          <w:tblCellMar>
            <w:top w:w="0" w:type="dxa"/>
            <w:left w:w="0" w:type="dxa"/>
            <w:bottom w:w="0" w:type="dxa"/>
            <w:right w:w="0" w:type="dxa"/>
          </w:tblCellMar>
        </w:tblPrEx>
        <w:trPr>
          <w:trHeight w:val="507"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监督人员或其他相关人员签字：</w:t>
            </w:r>
          </w:p>
          <w:p>
            <w:pPr>
              <w:widowControl/>
              <w:spacing w:before="100" w:beforeAutospacing="1" w:after="100" w:afterAutospacing="1" w:line="320" w:lineRule="atLeast"/>
              <w:ind w:firstLine="74"/>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中标或者成交供应商负责人签字或盖章：</w:t>
            </w:r>
          </w:p>
          <w:p>
            <w:pPr>
              <w:widowControl/>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 年 月 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采购人或受托机构的意见（盖章）：</w:t>
            </w:r>
          </w:p>
          <w:p>
            <w:pPr>
              <w:widowControl/>
              <w:spacing w:before="100" w:beforeAutospacing="1" w:after="100" w:afterAutospacing="1" w:line="320" w:lineRule="atLeas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 年 月 日</w:t>
            </w:r>
          </w:p>
        </w:tc>
      </w:tr>
    </w:tbl>
    <w:p>
      <w:pPr>
        <w:jc w:val="left"/>
        <w:rPr>
          <w:rFonts w:ascii="仿宋" w:hAnsi="仿宋" w:eastAsia="仿宋" w:cs="仿宋"/>
          <w:color w:val="auto"/>
          <w:sz w:val="28"/>
          <w:szCs w:val="28"/>
          <w:highlight w:val="none"/>
        </w:rPr>
      </w:pPr>
    </w:p>
    <w:p>
      <w:pPr>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附件2：</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政府采购项目履约保证金退付意见书</w:t>
      </w:r>
    </w:p>
    <w:tbl>
      <w:tblPr>
        <w:tblStyle w:val="23"/>
        <w:tblW w:w="97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w:t>
            </w:r>
          </w:p>
        </w:tc>
        <w:tc>
          <w:tcPr>
            <w:tcW w:w="8729"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widowControl/>
              <w:jc w:val="left"/>
              <w:rPr>
                <w:rFonts w:ascii="仿宋" w:hAnsi="仿宋" w:eastAsia="仿宋" w:cs="仿宋"/>
                <w:color w:val="auto"/>
                <w:sz w:val="24"/>
                <w:szCs w:val="24"/>
                <w:highlight w:val="none"/>
              </w:rPr>
            </w:pPr>
          </w:p>
        </w:tc>
        <w:tc>
          <w:tcPr>
            <w:tcW w:w="8729"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vAlign w:val="center"/>
          </w:tcPr>
          <w:p>
            <w:pPr>
              <w:widowControl/>
              <w:jc w:val="left"/>
              <w:rPr>
                <w:rFonts w:ascii="仿宋" w:hAnsi="仿宋" w:eastAsia="仿宋" w:cs="仿宋"/>
                <w:color w:val="auto"/>
                <w:sz w:val="24"/>
                <w:szCs w:val="24"/>
                <w:highlight w:val="none"/>
              </w:rPr>
            </w:pPr>
          </w:p>
        </w:tc>
        <w:tc>
          <w:tcPr>
            <w:tcW w:w="8729"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该项目已于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日验收并交付使用。根据合同规定，该项目的履约保证金期限于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日已满，请将履约保证金</w:t>
            </w:r>
          </w:p>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（小写）退付到达以下帐户。</w:t>
            </w:r>
          </w:p>
          <w:p>
            <w:pPr>
              <w:spacing w:line="400" w:lineRule="exact"/>
              <w:ind w:firstLine="70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spacing w:line="400" w:lineRule="exact"/>
              <w:ind w:firstLine="70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pPr>
              <w:spacing w:line="400" w:lineRule="exact"/>
              <w:ind w:firstLine="70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帐   号：</w:t>
            </w:r>
          </w:p>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联系人及电话：</w:t>
            </w:r>
          </w:p>
          <w:p>
            <w:pPr>
              <w:spacing w:line="400" w:lineRule="exact"/>
              <w:rPr>
                <w:rFonts w:ascii="仿宋" w:hAnsi="仿宋" w:eastAsia="仿宋" w:cs="仿宋"/>
                <w:color w:val="auto"/>
                <w:sz w:val="24"/>
                <w:szCs w:val="24"/>
                <w:highlight w:val="none"/>
              </w:rPr>
            </w:pPr>
          </w:p>
          <w:p>
            <w:pPr>
              <w:spacing w:line="5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供应商签章：</w:t>
            </w:r>
          </w:p>
          <w:p>
            <w:pPr>
              <w:spacing w:line="5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购</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位</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意</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p>
        </w:tc>
        <w:tc>
          <w:tcPr>
            <w:tcW w:w="8729" w:type="dxa"/>
          </w:tcPr>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退付意见：是否同意退付履约保证金及退付金额：</w:t>
            </w:r>
          </w:p>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p>
          <w:p>
            <w:pPr>
              <w:spacing w:line="5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联系人及电话：                                 采购单位签章</w:t>
            </w:r>
          </w:p>
          <w:p>
            <w:pPr>
              <w:spacing w:line="52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务</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部</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意</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p>
        </w:tc>
        <w:tc>
          <w:tcPr>
            <w:tcW w:w="8729" w:type="dxa"/>
          </w:tcPr>
          <w:p>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此表于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日收到。</w:t>
            </w:r>
          </w:p>
          <w:p>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会计审核：</w:t>
            </w:r>
          </w:p>
          <w:p>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财务负责人审核：</w:t>
            </w:r>
          </w:p>
          <w:p>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单位负责人签字：</w:t>
            </w:r>
          </w:p>
          <w:p>
            <w:pPr>
              <w:spacing w:line="6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出纳办理转帐日期：</w:t>
            </w:r>
          </w:p>
        </w:tc>
      </w:tr>
    </w:tbl>
    <w:p>
      <w:pPr>
        <w:pStyle w:val="13"/>
        <w:rPr>
          <w:rFonts w:ascii="仿宋" w:hAnsi="仿宋" w:eastAsia="仿宋" w:cs="仿宋"/>
          <w:color w:val="auto"/>
          <w:highlight w:val="none"/>
        </w:rPr>
      </w:pPr>
      <w:r>
        <w:rPr>
          <w:rFonts w:hint="eastAsia" w:ascii="仿宋" w:hAnsi="仿宋" w:eastAsia="仿宋" w:cs="仿宋"/>
          <w:b/>
          <w:bCs/>
          <w:color w:val="auto"/>
          <w:sz w:val="24"/>
          <w:szCs w:val="24"/>
          <w:highlight w:val="none"/>
        </w:rPr>
        <w:t>注：供应商凭经采购单位审批的退付意见书到经办单位的财务部办理履约保证金退付事宜。</w:t>
      </w: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3"/>
        <w:jc w:val="center"/>
        <w:rPr>
          <w:rFonts w:ascii="仿宋" w:hAnsi="仿宋" w:eastAsia="仿宋" w:cs="仿宋"/>
          <w:b w:val="0"/>
          <w:bCs w:val="0"/>
          <w:color w:val="auto"/>
          <w:highlight w:val="none"/>
        </w:rPr>
      </w:pPr>
      <w:bookmarkStart w:id="220" w:name="_Toc313535216"/>
      <w:bookmarkStart w:id="221" w:name="_Toc5119"/>
      <w:r>
        <w:rPr>
          <w:rFonts w:hint="eastAsia" w:ascii="仿宋" w:hAnsi="仿宋" w:eastAsia="仿宋" w:cs="仿宋"/>
          <w:b w:val="0"/>
          <w:bCs w:val="0"/>
          <w:color w:val="auto"/>
          <w:highlight w:val="none"/>
        </w:rPr>
        <w:t xml:space="preserve">第四章  </w:t>
      </w:r>
      <w:bookmarkEnd w:id="220"/>
      <w:r>
        <w:rPr>
          <w:rFonts w:hint="eastAsia" w:ascii="仿宋" w:hAnsi="仿宋" w:eastAsia="仿宋" w:cs="仿宋"/>
          <w:b w:val="0"/>
          <w:bCs w:val="0"/>
          <w:color w:val="auto"/>
          <w:highlight w:val="none"/>
        </w:rPr>
        <w:t>响应文件格式</w:t>
      </w:r>
      <w:bookmarkEnd w:id="221"/>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sectPr>
          <w:footerReference r:id="rId5" w:type="default"/>
          <w:pgSz w:w="11907" w:h="16840"/>
          <w:pgMar w:top="1418" w:right="1418" w:bottom="1418" w:left="1418" w:header="851" w:footer="964" w:gutter="0"/>
          <w:cols w:space="720" w:num="1"/>
        </w:sectPr>
      </w:pPr>
    </w:p>
    <w:p>
      <w:pPr>
        <w:rPr>
          <w:rFonts w:ascii="仿宋" w:hAnsi="仿宋" w:eastAsia="仿宋" w:cs="仿宋"/>
          <w:color w:val="auto"/>
          <w:sz w:val="32"/>
          <w:szCs w:val="32"/>
          <w:highlight w:val="none"/>
        </w:rPr>
      </w:pPr>
    </w:p>
    <w:p>
      <w:pPr>
        <w:spacing w:line="300" w:lineRule="auto"/>
        <w:jc w:val="center"/>
        <w:rPr>
          <w:rFonts w:ascii="仿宋" w:hAnsi="仿宋" w:eastAsia="仿宋" w:cs="仿宋"/>
          <w:b/>
          <w:bCs/>
          <w:color w:val="auto"/>
          <w:spacing w:val="20"/>
          <w:sz w:val="24"/>
          <w:szCs w:val="24"/>
          <w:highlight w:val="none"/>
        </w:rPr>
      </w:pPr>
    </w:p>
    <w:p>
      <w:pPr>
        <w:spacing w:line="300" w:lineRule="auto"/>
        <w:rPr>
          <w:rFonts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 xml:space="preserve">                                               </w:t>
      </w:r>
    </w:p>
    <w:p>
      <w:pPr>
        <w:spacing w:line="300" w:lineRule="auto"/>
        <w:jc w:val="center"/>
        <w:rPr>
          <w:rFonts w:ascii="仿宋" w:hAnsi="仿宋" w:eastAsia="仿宋" w:cs="仿宋"/>
          <w:b/>
          <w:bCs/>
          <w:color w:val="auto"/>
          <w:spacing w:val="20"/>
          <w:sz w:val="28"/>
          <w:szCs w:val="28"/>
          <w:highlight w:val="none"/>
        </w:rPr>
      </w:pPr>
    </w:p>
    <w:p>
      <w:pPr>
        <w:spacing w:line="300" w:lineRule="auto"/>
        <w:jc w:val="center"/>
        <w:rPr>
          <w:rFonts w:ascii="仿宋" w:hAnsi="仿宋" w:eastAsia="仿宋" w:cs="仿宋"/>
          <w:b/>
          <w:bCs/>
          <w:color w:val="auto"/>
          <w:spacing w:val="20"/>
          <w:sz w:val="28"/>
          <w:szCs w:val="28"/>
          <w:highlight w:val="none"/>
        </w:rPr>
      </w:pPr>
    </w:p>
    <w:p>
      <w:pPr>
        <w:spacing w:line="300" w:lineRule="auto"/>
        <w:jc w:val="center"/>
        <w:rPr>
          <w:rFonts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封面格式</w:t>
      </w:r>
    </w:p>
    <w:p>
      <w:pPr>
        <w:spacing w:line="300" w:lineRule="auto"/>
        <w:rPr>
          <w:rFonts w:ascii="仿宋" w:hAnsi="仿宋" w:eastAsia="仿宋" w:cs="仿宋"/>
          <w:color w:val="auto"/>
          <w:spacing w:val="20"/>
          <w:sz w:val="24"/>
          <w:szCs w:val="24"/>
          <w:highlight w:val="none"/>
        </w:rPr>
      </w:pPr>
    </w:p>
    <w:p>
      <w:pPr>
        <w:spacing w:line="300" w:lineRule="auto"/>
        <w:rPr>
          <w:rFonts w:ascii="仿宋" w:hAnsi="仿宋" w:eastAsia="仿宋" w:cs="仿宋"/>
          <w:b/>
          <w:bCs/>
          <w:color w:val="auto"/>
          <w:sz w:val="72"/>
          <w:szCs w:val="72"/>
          <w:highlight w:val="none"/>
        </w:rPr>
      </w:pPr>
    </w:p>
    <w:p>
      <w:pPr>
        <w:spacing w:line="300" w:lineRule="auto"/>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响 应 文 件</w:t>
      </w:r>
    </w:p>
    <w:p>
      <w:pPr>
        <w:spacing w:line="300" w:lineRule="auto"/>
        <w:jc w:val="center"/>
        <w:rPr>
          <w:rFonts w:ascii="仿宋" w:hAnsi="仿宋" w:eastAsia="仿宋" w:cs="仿宋"/>
          <w:color w:val="auto"/>
          <w:sz w:val="28"/>
          <w:szCs w:val="28"/>
          <w:highlight w:val="none"/>
        </w:rPr>
      </w:pPr>
    </w:p>
    <w:p>
      <w:pPr>
        <w:spacing w:line="300" w:lineRule="auto"/>
        <w:jc w:val="center"/>
        <w:rPr>
          <w:rFonts w:ascii="仿宋" w:hAnsi="仿宋" w:eastAsia="仿宋" w:cs="仿宋"/>
          <w:color w:val="auto"/>
          <w:sz w:val="28"/>
          <w:szCs w:val="28"/>
          <w:highlight w:val="none"/>
        </w:rPr>
      </w:pPr>
    </w:p>
    <w:p>
      <w:pPr>
        <w:spacing w:line="300" w:lineRule="auto"/>
        <w:jc w:val="center"/>
        <w:rPr>
          <w:rFonts w:ascii="仿宋" w:hAnsi="仿宋" w:eastAsia="仿宋" w:cs="仿宋"/>
          <w:color w:val="auto"/>
          <w:sz w:val="28"/>
          <w:szCs w:val="28"/>
          <w:highlight w:val="none"/>
        </w:rPr>
      </w:pPr>
    </w:p>
    <w:p>
      <w:pPr>
        <w:pStyle w:val="8"/>
        <w:ind w:firstLine="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（正/副本）</w:t>
      </w:r>
    </w:p>
    <w:p>
      <w:pPr>
        <w:pStyle w:val="8"/>
        <w:ind w:firstLine="0"/>
        <w:jc w:val="center"/>
        <w:rPr>
          <w:rFonts w:ascii="仿宋" w:hAnsi="仿宋" w:eastAsia="仿宋" w:cs="仿宋"/>
          <w:color w:val="auto"/>
          <w:sz w:val="28"/>
          <w:szCs w:val="28"/>
          <w:highlight w:val="none"/>
        </w:rPr>
      </w:pPr>
    </w:p>
    <w:p>
      <w:pPr>
        <w:pStyle w:val="8"/>
        <w:ind w:firstLine="0"/>
        <w:jc w:val="center"/>
        <w:rPr>
          <w:rFonts w:ascii="仿宋" w:hAnsi="仿宋" w:eastAsia="仿宋" w:cs="仿宋"/>
          <w:color w:val="auto"/>
          <w:sz w:val="28"/>
          <w:szCs w:val="28"/>
          <w:highlight w:val="none"/>
        </w:rPr>
      </w:pPr>
    </w:p>
    <w:p>
      <w:pPr>
        <w:pStyle w:val="8"/>
        <w:ind w:firstLine="0"/>
        <w:jc w:val="center"/>
        <w:rPr>
          <w:rFonts w:ascii="仿宋" w:hAnsi="仿宋" w:eastAsia="仿宋" w:cs="仿宋"/>
          <w:color w:val="auto"/>
          <w:sz w:val="28"/>
          <w:szCs w:val="28"/>
          <w:highlight w:val="none"/>
        </w:rPr>
      </w:pPr>
    </w:p>
    <w:p>
      <w:pPr>
        <w:pStyle w:val="8"/>
        <w:ind w:firstLine="0"/>
        <w:rPr>
          <w:rFonts w:ascii="仿宋" w:hAnsi="仿宋" w:eastAsia="仿宋" w:cs="仿宋"/>
          <w:color w:val="auto"/>
          <w:sz w:val="28"/>
          <w:szCs w:val="28"/>
          <w:highlight w:val="none"/>
        </w:rPr>
      </w:pPr>
    </w:p>
    <w:p>
      <w:pPr>
        <w:pStyle w:val="8"/>
        <w:ind w:firstLine="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pPr>
        <w:pStyle w:val="8"/>
        <w:spacing w:line="500" w:lineRule="exact"/>
        <w:ind w:firstLine="1960" w:firstLineChars="7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p>
    <w:p>
      <w:pPr>
        <w:pStyle w:val="8"/>
        <w:spacing w:line="500" w:lineRule="exact"/>
        <w:ind w:firstLine="1960" w:firstLineChars="7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p>
    <w:p>
      <w:pPr>
        <w:rPr>
          <w:rFonts w:ascii="仿宋" w:hAnsi="仿宋" w:eastAsia="仿宋" w:cs="仿宋"/>
          <w:b/>
          <w:bCs/>
          <w:color w:val="auto"/>
          <w:sz w:val="30"/>
          <w:szCs w:val="30"/>
          <w:highlight w:val="none"/>
        </w:rPr>
      </w:pPr>
    </w:p>
    <w:p>
      <w:pPr>
        <w:pStyle w:val="8"/>
        <w:ind w:firstLine="2828"/>
        <w:jc w:val="both"/>
        <w:rPr>
          <w:rFonts w:ascii="仿宋" w:hAnsi="仿宋" w:eastAsia="仿宋" w:cs="仿宋"/>
          <w:color w:val="auto"/>
          <w:sz w:val="28"/>
          <w:szCs w:val="28"/>
          <w:highlight w:val="none"/>
        </w:rPr>
      </w:pPr>
    </w:p>
    <w:p>
      <w:pPr>
        <w:pStyle w:val="8"/>
        <w:ind w:firstLine="0"/>
        <w:jc w:val="both"/>
        <w:rPr>
          <w:rFonts w:ascii="仿宋" w:hAnsi="仿宋" w:eastAsia="仿宋" w:cs="仿宋"/>
          <w:color w:val="auto"/>
          <w:sz w:val="28"/>
          <w:szCs w:val="28"/>
          <w:highlight w:val="none"/>
        </w:rPr>
      </w:pPr>
    </w:p>
    <w:p>
      <w:pPr>
        <w:pStyle w:val="8"/>
        <w:ind w:firstLine="2828"/>
        <w:jc w:val="both"/>
        <w:rPr>
          <w:rFonts w:ascii="仿宋" w:hAnsi="仿宋" w:eastAsia="仿宋" w:cs="仿宋"/>
          <w:color w:val="auto"/>
          <w:sz w:val="28"/>
          <w:szCs w:val="28"/>
          <w:highlight w:val="none"/>
        </w:rPr>
      </w:pPr>
    </w:p>
    <w:p>
      <w:pPr>
        <w:pStyle w:val="8"/>
        <w:ind w:firstLine="0"/>
        <w:jc w:val="both"/>
        <w:rPr>
          <w:rFonts w:ascii="仿宋" w:hAnsi="仿宋" w:eastAsia="仿宋" w:cs="仿宋"/>
          <w:color w:val="auto"/>
          <w:sz w:val="28"/>
          <w:szCs w:val="28"/>
          <w:highlight w:val="none"/>
        </w:rPr>
      </w:pPr>
    </w:p>
    <w:p>
      <w:pPr>
        <w:pStyle w:val="8"/>
        <w:ind w:firstLine="0"/>
        <w:jc w:val="both"/>
        <w:rPr>
          <w:rFonts w:ascii="仿宋" w:hAnsi="仿宋" w:eastAsia="仿宋" w:cs="仿宋"/>
          <w:color w:val="auto"/>
          <w:sz w:val="28"/>
          <w:szCs w:val="28"/>
          <w:highlight w:val="none"/>
        </w:rPr>
      </w:pPr>
    </w:p>
    <w:p>
      <w:pPr>
        <w:pStyle w:val="8"/>
        <w:ind w:firstLine="0"/>
        <w:jc w:val="both"/>
        <w:rPr>
          <w:rFonts w:ascii="仿宋" w:hAnsi="仿宋" w:eastAsia="仿宋" w:cs="仿宋"/>
          <w:color w:val="auto"/>
          <w:sz w:val="28"/>
          <w:szCs w:val="28"/>
          <w:highlight w:val="none"/>
        </w:rPr>
      </w:pPr>
    </w:p>
    <w:p>
      <w:pPr>
        <w:pStyle w:val="8"/>
        <w:ind w:left="-315" w:firstLine="1154"/>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（盖章） </w:t>
      </w:r>
    </w:p>
    <w:p>
      <w:pPr>
        <w:pStyle w:val="8"/>
        <w:ind w:left="-315" w:firstLine="314"/>
        <w:jc w:val="both"/>
        <w:rPr>
          <w:rFonts w:ascii="仿宋" w:hAnsi="仿宋" w:eastAsia="仿宋" w:cs="仿宋"/>
          <w:color w:val="auto"/>
          <w:sz w:val="28"/>
          <w:szCs w:val="28"/>
          <w:highlight w:val="none"/>
        </w:rPr>
      </w:pPr>
    </w:p>
    <w:p>
      <w:pPr>
        <w:pStyle w:val="8"/>
        <w:ind w:left="-315" w:firstLine="1154"/>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（签字或盖章）</w:t>
      </w:r>
    </w:p>
    <w:p>
      <w:pPr>
        <w:pStyle w:val="8"/>
        <w:ind w:firstLine="0"/>
        <w:rPr>
          <w:rFonts w:ascii="仿宋" w:hAnsi="仿宋" w:eastAsia="仿宋" w:cs="仿宋"/>
          <w:color w:val="auto"/>
          <w:sz w:val="28"/>
          <w:szCs w:val="28"/>
          <w:highlight w:val="none"/>
        </w:rPr>
      </w:pPr>
    </w:p>
    <w:p>
      <w:pPr>
        <w:spacing w:line="440" w:lineRule="exact"/>
        <w:ind w:left="-315"/>
        <w:jc w:val="center"/>
        <w:rPr>
          <w:rFonts w:ascii="仿宋" w:hAnsi="仿宋" w:eastAsia="仿宋" w:cs="仿宋"/>
          <w:color w:val="auto"/>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jc w:val="center"/>
        <w:rPr>
          <w:rFonts w:ascii="仿宋" w:hAnsi="仿宋" w:eastAsia="仿宋" w:cs="仿宋"/>
          <w:b/>
          <w:bCs/>
          <w:color w:val="auto"/>
          <w:highlight w:val="none"/>
        </w:rPr>
      </w:pPr>
      <w:r>
        <w:rPr>
          <w:rFonts w:hint="eastAsia" w:ascii="仿宋" w:hAnsi="仿宋" w:eastAsia="仿宋" w:cs="仿宋"/>
          <w:b/>
          <w:bCs/>
          <w:color w:val="auto"/>
          <w:highlight w:val="none"/>
        </w:rPr>
        <w:br w:type="page"/>
      </w:r>
      <w:bookmarkStart w:id="222" w:name="_Toc260386223"/>
    </w:p>
    <w:p>
      <w:pPr>
        <w:jc w:val="center"/>
        <w:rPr>
          <w:rFonts w:ascii="仿宋" w:hAnsi="仿宋" w:eastAsia="仿宋" w:cs="仿宋"/>
          <w:b/>
          <w:bCs/>
          <w:color w:val="auto"/>
          <w:highlight w:val="none"/>
        </w:rPr>
      </w:pPr>
    </w:p>
    <w:p>
      <w:pPr>
        <w:jc w:val="center"/>
        <w:rPr>
          <w:rFonts w:ascii="仿宋" w:hAnsi="仿宋" w:eastAsia="仿宋" w:cs="仿宋"/>
          <w:b/>
          <w:bCs/>
          <w:color w:val="auto"/>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bookmarkEnd w:id="222"/>
    <w:p>
      <w:pPr>
        <w:spacing w:line="400" w:lineRule="exact"/>
        <w:ind w:firstLine="420" w:firstLineChars="200"/>
        <w:rPr>
          <w:rFonts w:ascii="仿宋" w:hAnsi="仿宋" w:eastAsia="仿宋" w:cs="仿宋"/>
          <w:color w:val="auto"/>
          <w:kern w:val="0"/>
          <w:highlight w:val="none"/>
        </w:rPr>
      </w:pPr>
    </w:p>
    <w:p>
      <w:pPr>
        <w:spacing w:line="400" w:lineRule="exact"/>
        <w:ind w:firstLine="420" w:firstLineChars="200"/>
        <w:rPr>
          <w:rFonts w:ascii="仿宋" w:hAnsi="仿宋" w:eastAsia="仿宋" w:cs="仿宋"/>
          <w:color w:val="auto"/>
          <w:kern w:val="0"/>
          <w:highlight w:val="none"/>
        </w:rPr>
      </w:pP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（一）磋商报价函</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（二）磋商报价表</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（三）投标声明书</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（四）保密承诺书</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（五）资格证明文件</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（六）拟投入本项目的人员配置情况表</w:t>
      </w:r>
    </w:p>
    <w:p>
      <w:pPr>
        <w:pStyle w:val="36"/>
        <w:spacing w:line="400" w:lineRule="exact"/>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kern w:val="2"/>
          <w:highlight w:val="none"/>
        </w:rPr>
        <w:t>七）监理服务大纲（供应商自行编写）</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（八）服务质量承诺书</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）类似业绩证明（如有，请提供）</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（十）供应商获得的相关信誉与荣誉证明材料（如有，请提供）</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）供应商认为需要提供的材料（如有，请提供）</w:t>
      </w:r>
    </w:p>
    <w:p>
      <w:pPr>
        <w:spacing w:line="460" w:lineRule="exact"/>
        <w:ind w:firstLine="480" w:firstLineChars="200"/>
        <w:rPr>
          <w:rFonts w:ascii="仿宋" w:hAnsi="仿宋" w:eastAsia="仿宋" w:cs="仿宋"/>
          <w:color w:val="auto"/>
          <w:sz w:val="24"/>
          <w:szCs w:val="24"/>
          <w:highlight w:val="none"/>
        </w:rPr>
      </w:pP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备注：上述资料需装订成册。</w:t>
      </w:r>
    </w:p>
    <w:p>
      <w:pPr>
        <w:autoSpaceDE w:val="0"/>
        <w:autoSpaceDN w:val="0"/>
        <w:adjustRightInd w:val="0"/>
        <w:spacing w:line="400" w:lineRule="exact"/>
        <w:ind w:firstLine="420" w:firstLineChars="200"/>
        <w:jc w:val="left"/>
        <w:outlineLvl w:val="0"/>
        <w:rPr>
          <w:rFonts w:ascii="仿宋" w:hAnsi="仿宋" w:eastAsia="仿宋" w:cs="仿宋"/>
          <w:color w:val="auto"/>
          <w:highlight w:val="none"/>
        </w:rPr>
      </w:pPr>
    </w:p>
    <w:p>
      <w:pPr>
        <w:pStyle w:val="13"/>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pStyle w:val="13"/>
        <w:spacing w:line="360" w:lineRule="auto"/>
        <w:jc w:val="center"/>
        <w:rPr>
          <w:rFonts w:ascii="仿宋" w:hAnsi="仿宋" w:eastAsia="仿宋" w:cs="仿宋"/>
          <w:color w:val="auto"/>
          <w:highlight w:val="none"/>
        </w:rPr>
      </w:pPr>
      <w:r>
        <w:rPr>
          <w:rFonts w:hint="eastAsia" w:ascii="仿宋" w:hAnsi="仿宋" w:eastAsia="仿宋" w:cs="仿宋"/>
          <w:b/>
          <w:bCs/>
          <w:color w:val="auto"/>
          <w:sz w:val="32"/>
          <w:szCs w:val="32"/>
          <w:highlight w:val="none"/>
        </w:rPr>
        <w:t>一、磋 商 报 价 函</w:t>
      </w:r>
    </w:p>
    <w:p>
      <w:pPr>
        <w:pStyle w:val="13"/>
        <w:spacing w:line="400" w:lineRule="exact"/>
        <w:rPr>
          <w:rFonts w:ascii="仿宋" w:hAnsi="仿宋" w:eastAsia="仿宋" w:cs="仿宋"/>
          <w:color w:val="auto"/>
          <w:highlight w:val="none"/>
        </w:rPr>
      </w:pPr>
    </w:p>
    <w:p>
      <w:pPr>
        <w:pStyle w:val="13"/>
        <w:spacing w:line="4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 xml:space="preserve">（采购人）    </w:t>
      </w:r>
    </w:p>
    <w:p>
      <w:pPr>
        <w:pStyle w:val="13"/>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项目磋商文件，项目编号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（姓名）经正式授权并代表供应商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供应商单位名称），提交响应文件正本一份，副本</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份。</w:t>
      </w:r>
    </w:p>
    <w:p>
      <w:pPr>
        <w:pStyle w:val="13"/>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据此函，签字代表宣布同意如下：</w:t>
      </w:r>
    </w:p>
    <w:p>
      <w:pPr>
        <w:pStyle w:val="13"/>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（1）按竞争性磋商磋商文件和磋商报价表，磋商报价为：</w:t>
      </w:r>
    </w:p>
    <w:p>
      <w:pPr>
        <w:pStyle w:val="13"/>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），项目服务期限：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13"/>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（2）一旦我方成交，我方保证按采购人要求完成本服务采购范围内所有内容，且通过相关部门审批，并在合同协议条款中规定的预计竣工日期完成和交付全部成果。</w:t>
      </w:r>
    </w:p>
    <w:p>
      <w:pPr>
        <w:pStyle w:val="13"/>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（3）我们已详细审查全部磋商文件，包括修改文件（如有）和有关附件，将自行承担因对全部磋商文件理解不正确或误解而产生的相应后果。</w:t>
      </w:r>
    </w:p>
    <w:p>
      <w:pPr>
        <w:pStyle w:val="13"/>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（4）我们同意在供应商须知规定的截标日期起遵循本响应文件，并在供应商须知第13条规定的竞标有效期满之前均具有约束力，并有可能成交。</w:t>
      </w:r>
    </w:p>
    <w:p>
      <w:pPr>
        <w:pStyle w:val="13"/>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）我们同意提供按照贵方可能要求的与本竞标有关的一切数据或资料，完全理解贵方不一定要接受最低的报价或收到的任何竞标。</w:t>
      </w:r>
    </w:p>
    <w:p>
      <w:pPr>
        <w:pStyle w:val="13"/>
        <w:spacing w:line="420" w:lineRule="exact"/>
        <w:ind w:firstLine="420"/>
        <w:rPr>
          <w:rFonts w:ascii="仿宋" w:hAnsi="仿宋" w:eastAsia="仿宋" w:cs="仿宋"/>
          <w:color w:val="auto"/>
          <w:sz w:val="24"/>
          <w:szCs w:val="24"/>
          <w:highlight w:val="none"/>
        </w:rPr>
      </w:pPr>
    </w:p>
    <w:p>
      <w:pPr>
        <w:pStyle w:val="13"/>
        <w:spacing w:line="420" w:lineRule="exact"/>
        <w:ind w:firstLine="420"/>
        <w:rPr>
          <w:rFonts w:ascii="仿宋" w:hAnsi="仿宋" w:eastAsia="仿宋" w:cs="仿宋"/>
          <w:color w:val="auto"/>
          <w:sz w:val="24"/>
          <w:szCs w:val="24"/>
          <w:highlight w:val="none"/>
        </w:rPr>
      </w:pPr>
    </w:p>
    <w:p>
      <w:pPr>
        <w:pStyle w:val="13"/>
        <w:spacing w:line="420" w:lineRule="exact"/>
        <w:ind w:firstLine="420"/>
        <w:rPr>
          <w:rFonts w:ascii="仿宋" w:hAnsi="仿宋" w:eastAsia="仿宋" w:cs="仿宋"/>
          <w:color w:val="auto"/>
          <w:sz w:val="24"/>
          <w:szCs w:val="24"/>
          <w:highlight w:val="none"/>
        </w:rPr>
      </w:pPr>
    </w:p>
    <w:p>
      <w:pPr>
        <w:pStyle w:val="13"/>
        <w:spacing w:line="42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与本次采购有关的正式通讯地址为：</w:t>
      </w:r>
    </w:p>
    <w:p>
      <w:pPr>
        <w:pStyle w:val="13"/>
        <w:spacing w:line="42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p>
    <w:p>
      <w:pPr>
        <w:pStyle w:val="13"/>
        <w:spacing w:line="42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highlight w:val="none"/>
          <w:u w:val="single"/>
        </w:rPr>
        <w:t xml:space="preserve">                              </w:t>
      </w:r>
    </w:p>
    <w:p>
      <w:pPr>
        <w:pStyle w:val="13"/>
        <w:spacing w:line="42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法人代表或委托代理人姓名：</w:t>
      </w:r>
      <w:r>
        <w:rPr>
          <w:rFonts w:hint="eastAsia" w:ascii="仿宋" w:hAnsi="仿宋" w:eastAsia="仿宋" w:cs="仿宋"/>
          <w:color w:val="auto"/>
          <w:sz w:val="24"/>
          <w:szCs w:val="24"/>
          <w:highlight w:val="none"/>
          <w:u w:val="single"/>
        </w:rPr>
        <w:t xml:space="preserve">    （签字）  </w:t>
      </w:r>
    </w:p>
    <w:p>
      <w:pPr>
        <w:pStyle w:val="13"/>
        <w:spacing w:line="42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pPr>
        <w:pStyle w:val="13"/>
        <w:spacing w:line="420" w:lineRule="exact"/>
        <w:ind w:firstLine="42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p>
    <w:p>
      <w:pPr>
        <w:pStyle w:val="13"/>
        <w:spacing w:line="42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p>
    <w:p>
      <w:pPr>
        <w:pStyle w:val="13"/>
        <w:spacing w:line="420" w:lineRule="exact"/>
        <w:ind w:firstLine="42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pStyle w:val="13"/>
        <w:spacing w:line="420" w:lineRule="exact"/>
        <w:ind w:firstLine="420"/>
        <w:rPr>
          <w:rFonts w:ascii="仿宋" w:hAnsi="仿宋" w:eastAsia="仿宋" w:cs="仿宋"/>
          <w:color w:val="auto"/>
          <w:sz w:val="24"/>
          <w:szCs w:val="24"/>
          <w:highlight w:val="none"/>
          <w:u w:val="singl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二、磋商报价表</w:t>
      </w:r>
    </w:p>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 xml:space="preserve">             </w:t>
      </w:r>
    </w:p>
    <w:tbl>
      <w:tblPr>
        <w:tblStyle w:val="23"/>
        <w:tblW w:w="913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774"/>
        <w:gridCol w:w="2661"/>
        <w:gridCol w:w="1325"/>
        <w:gridCol w:w="1212"/>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821" w:type="dxa"/>
          </w:tcPr>
          <w:p>
            <w:pPr>
              <w:pStyle w:val="63"/>
              <w:spacing w:before="8"/>
              <w:jc w:val="center"/>
              <w:rPr>
                <w:rFonts w:ascii="仿宋" w:hAnsi="仿宋" w:eastAsia="仿宋" w:cs="仿宋"/>
                <w:color w:val="auto"/>
                <w:sz w:val="18"/>
                <w:szCs w:val="18"/>
                <w:highlight w:val="none"/>
              </w:rPr>
            </w:pPr>
          </w:p>
          <w:p>
            <w:pPr>
              <w:pStyle w:val="63"/>
              <w:ind w:left="174" w:right="176"/>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74" w:type="dxa"/>
          </w:tcPr>
          <w:p>
            <w:pPr>
              <w:pStyle w:val="63"/>
              <w:spacing w:before="8"/>
              <w:jc w:val="center"/>
              <w:rPr>
                <w:rFonts w:ascii="仿宋" w:hAnsi="仿宋" w:eastAsia="仿宋" w:cs="仿宋"/>
                <w:color w:val="auto"/>
                <w:sz w:val="18"/>
                <w:szCs w:val="18"/>
                <w:highlight w:val="none"/>
              </w:rPr>
            </w:pPr>
          </w:p>
          <w:p>
            <w:pPr>
              <w:pStyle w:val="63"/>
              <w:ind w:left="460"/>
              <w:jc w:val="left"/>
              <w:rPr>
                <w:rFonts w:ascii="仿宋" w:hAnsi="仿宋" w:eastAsia="仿宋" w:cs="仿宋"/>
                <w:color w:val="auto"/>
                <w:highlight w:val="none"/>
              </w:rPr>
            </w:pPr>
            <w:r>
              <w:rPr>
                <w:rFonts w:hint="eastAsia" w:ascii="仿宋" w:hAnsi="仿宋" w:eastAsia="仿宋" w:cs="仿宋"/>
                <w:color w:val="auto"/>
                <w:highlight w:val="none"/>
              </w:rPr>
              <w:t>服务名称</w:t>
            </w:r>
          </w:p>
        </w:tc>
        <w:tc>
          <w:tcPr>
            <w:tcW w:w="2661" w:type="dxa"/>
          </w:tcPr>
          <w:p>
            <w:pPr>
              <w:pStyle w:val="63"/>
              <w:spacing w:before="8"/>
              <w:jc w:val="center"/>
              <w:rPr>
                <w:rFonts w:ascii="仿宋" w:hAnsi="仿宋" w:eastAsia="仿宋" w:cs="仿宋"/>
                <w:color w:val="auto"/>
                <w:sz w:val="18"/>
                <w:szCs w:val="18"/>
                <w:highlight w:val="none"/>
              </w:rPr>
            </w:pPr>
          </w:p>
          <w:p>
            <w:pPr>
              <w:pStyle w:val="63"/>
              <w:ind w:right="972"/>
              <w:jc w:val="center"/>
              <w:rPr>
                <w:rFonts w:ascii="仿宋" w:hAnsi="仿宋" w:eastAsia="仿宋" w:cs="仿宋"/>
                <w:color w:val="auto"/>
                <w:highlight w:val="none"/>
              </w:rPr>
            </w:pPr>
            <w:r>
              <w:rPr>
                <w:rFonts w:hint="eastAsia" w:ascii="仿宋" w:hAnsi="仿宋" w:eastAsia="仿宋" w:cs="仿宋"/>
                <w:color w:val="auto"/>
                <w:highlight w:val="none"/>
              </w:rPr>
              <w:t>简要规格描述或项目基本概况</w:t>
            </w:r>
          </w:p>
        </w:tc>
        <w:tc>
          <w:tcPr>
            <w:tcW w:w="1325" w:type="dxa"/>
          </w:tcPr>
          <w:p>
            <w:pPr>
              <w:pStyle w:val="63"/>
              <w:ind w:left="103" w:right="-15"/>
              <w:jc w:val="center"/>
              <w:rPr>
                <w:rFonts w:ascii="仿宋" w:hAnsi="仿宋" w:eastAsia="仿宋" w:cs="仿宋"/>
                <w:color w:val="auto"/>
                <w:highlight w:val="none"/>
              </w:rPr>
            </w:pPr>
          </w:p>
          <w:p>
            <w:pPr>
              <w:pStyle w:val="63"/>
              <w:ind w:left="103" w:right="-15"/>
              <w:jc w:val="center"/>
              <w:rPr>
                <w:rFonts w:ascii="仿宋" w:hAnsi="仿宋" w:eastAsia="仿宋" w:cs="仿宋"/>
                <w:color w:val="auto"/>
                <w:highlight w:val="none"/>
              </w:rPr>
            </w:pPr>
            <w:r>
              <w:rPr>
                <w:rFonts w:hint="eastAsia" w:ascii="仿宋" w:hAnsi="仿宋" w:eastAsia="仿宋" w:cs="仿宋"/>
                <w:color w:val="auto"/>
                <w:highlight w:val="none"/>
              </w:rPr>
              <w:t>服务期限</w:t>
            </w:r>
          </w:p>
        </w:tc>
        <w:tc>
          <w:tcPr>
            <w:tcW w:w="1212" w:type="dxa"/>
          </w:tcPr>
          <w:p>
            <w:pPr>
              <w:pStyle w:val="63"/>
              <w:ind w:left="103" w:right="-15"/>
              <w:jc w:val="center"/>
              <w:rPr>
                <w:rFonts w:ascii="仿宋" w:hAnsi="仿宋" w:eastAsia="仿宋" w:cs="仿宋"/>
                <w:color w:val="auto"/>
                <w:spacing w:val="-4"/>
                <w:highlight w:val="none"/>
              </w:rPr>
            </w:pPr>
            <w:r>
              <w:rPr>
                <w:rFonts w:hint="eastAsia" w:ascii="仿宋" w:hAnsi="仿宋" w:eastAsia="仿宋" w:cs="仿宋"/>
                <w:color w:val="auto"/>
                <w:spacing w:val="-4"/>
                <w:highlight w:val="none"/>
              </w:rPr>
              <w:t>服务费用单价</w:t>
            </w:r>
          </w:p>
          <w:p>
            <w:pPr>
              <w:pStyle w:val="63"/>
              <w:ind w:left="103" w:right="-15"/>
              <w:jc w:val="center"/>
              <w:rPr>
                <w:rFonts w:ascii="仿宋" w:hAnsi="仿宋" w:eastAsia="仿宋" w:cs="仿宋"/>
                <w:color w:val="auto"/>
                <w:spacing w:val="-4"/>
                <w:highlight w:val="none"/>
              </w:rPr>
            </w:pPr>
            <w:r>
              <w:rPr>
                <w:rFonts w:hint="eastAsia" w:ascii="仿宋" w:hAnsi="仿宋" w:eastAsia="仿宋" w:cs="仿宋"/>
                <w:color w:val="auto"/>
                <w:spacing w:val="-4"/>
                <w:highlight w:val="none"/>
              </w:rPr>
              <w:t>（元/年）</w:t>
            </w:r>
          </w:p>
        </w:tc>
        <w:tc>
          <w:tcPr>
            <w:tcW w:w="1341" w:type="dxa"/>
          </w:tcPr>
          <w:p>
            <w:pPr>
              <w:pStyle w:val="63"/>
              <w:spacing w:before="8"/>
              <w:jc w:val="center"/>
              <w:rPr>
                <w:rFonts w:ascii="仿宋" w:hAnsi="仿宋" w:eastAsia="仿宋" w:cs="仿宋"/>
                <w:color w:val="auto"/>
                <w:sz w:val="18"/>
                <w:szCs w:val="18"/>
                <w:highlight w:val="none"/>
              </w:rPr>
            </w:pPr>
          </w:p>
          <w:p>
            <w:pPr>
              <w:pStyle w:val="63"/>
              <w:ind w:left="400"/>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exact"/>
        </w:trPr>
        <w:tc>
          <w:tcPr>
            <w:tcW w:w="821" w:type="dxa"/>
          </w:tcPr>
          <w:p>
            <w:pPr>
              <w:pStyle w:val="63"/>
              <w:spacing w:before="76"/>
              <w:ind w:right="2"/>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774" w:type="dxa"/>
          </w:tcPr>
          <w:p>
            <w:pPr>
              <w:rPr>
                <w:rFonts w:ascii="仿宋" w:hAnsi="仿宋" w:eastAsia="仿宋" w:cs="仿宋"/>
                <w:color w:val="auto"/>
                <w:highlight w:val="none"/>
              </w:rPr>
            </w:pPr>
          </w:p>
        </w:tc>
        <w:tc>
          <w:tcPr>
            <w:tcW w:w="2661" w:type="dxa"/>
          </w:tcPr>
          <w:p>
            <w:pPr>
              <w:rPr>
                <w:rFonts w:ascii="仿宋" w:hAnsi="仿宋" w:eastAsia="仿宋" w:cs="仿宋"/>
                <w:color w:val="auto"/>
                <w:highlight w:val="none"/>
              </w:rPr>
            </w:pPr>
          </w:p>
        </w:tc>
        <w:tc>
          <w:tcPr>
            <w:tcW w:w="1325" w:type="dxa"/>
          </w:tcPr>
          <w:p>
            <w:pPr>
              <w:rPr>
                <w:rFonts w:ascii="仿宋" w:hAnsi="仿宋" w:eastAsia="仿宋" w:cs="仿宋"/>
                <w:color w:val="auto"/>
                <w:highlight w:val="none"/>
              </w:rPr>
            </w:pPr>
          </w:p>
        </w:tc>
        <w:tc>
          <w:tcPr>
            <w:tcW w:w="1212" w:type="dxa"/>
          </w:tcPr>
          <w:p>
            <w:pPr>
              <w:rPr>
                <w:rFonts w:ascii="仿宋" w:hAnsi="仿宋" w:eastAsia="仿宋" w:cs="仿宋"/>
                <w:color w:val="auto"/>
                <w:highlight w:val="none"/>
              </w:rPr>
            </w:pPr>
          </w:p>
        </w:tc>
        <w:tc>
          <w:tcPr>
            <w:tcW w:w="1341" w:type="dxa"/>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exact"/>
        </w:trPr>
        <w:tc>
          <w:tcPr>
            <w:tcW w:w="821" w:type="dxa"/>
          </w:tcPr>
          <w:p>
            <w:pPr>
              <w:pStyle w:val="63"/>
              <w:spacing w:before="90"/>
              <w:ind w:right="2"/>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774" w:type="dxa"/>
          </w:tcPr>
          <w:p>
            <w:pPr>
              <w:rPr>
                <w:rFonts w:ascii="仿宋" w:hAnsi="仿宋" w:eastAsia="仿宋" w:cs="仿宋"/>
                <w:color w:val="auto"/>
                <w:highlight w:val="none"/>
              </w:rPr>
            </w:pPr>
          </w:p>
        </w:tc>
        <w:tc>
          <w:tcPr>
            <w:tcW w:w="2661" w:type="dxa"/>
          </w:tcPr>
          <w:p>
            <w:pPr>
              <w:rPr>
                <w:rFonts w:ascii="仿宋" w:hAnsi="仿宋" w:eastAsia="仿宋" w:cs="仿宋"/>
                <w:color w:val="auto"/>
                <w:highlight w:val="none"/>
              </w:rPr>
            </w:pPr>
          </w:p>
        </w:tc>
        <w:tc>
          <w:tcPr>
            <w:tcW w:w="1325" w:type="dxa"/>
          </w:tcPr>
          <w:p>
            <w:pPr>
              <w:rPr>
                <w:rFonts w:ascii="仿宋" w:hAnsi="仿宋" w:eastAsia="仿宋" w:cs="仿宋"/>
                <w:color w:val="auto"/>
                <w:highlight w:val="none"/>
              </w:rPr>
            </w:pPr>
          </w:p>
        </w:tc>
        <w:tc>
          <w:tcPr>
            <w:tcW w:w="1212" w:type="dxa"/>
          </w:tcPr>
          <w:p>
            <w:pPr>
              <w:rPr>
                <w:rFonts w:ascii="仿宋" w:hAnsi="仿宋" w:eastAsia="仿宋" w:cs="仿宋"/>
                <w:color w:val="auto"/>
                <w:highlight w:val="none"/>
              </w:rPr>
            </w:pPr>
          </w:p>
        </w:tc>
        <w:tc>
          <w:tcPr>
            <w:tcW w:w="1341" w:type="dxa"/>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821" w:type="dxa"/>
          </w:tcPr>
          <w:p>
            <w:pPr>
              <w:pStyle w:val="63"/>
              <w:spacing w:before="86"/>
              <w:ind w:right="2"/>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774" w:type="dxa"/>
          </w:tcPr>
          <w:p>
            <w:pPr>
              <w:rPr>
                <w:rFonts w:ascii="仿宋" w:hAnsi="仿宋" w:eastAsia="仿宋" w:cs="仿宋"/>
                <w:color w:val="auto"/>
                <w:highlight w:val="none"/>
              </w:rPr>
            </w:pPr>
          </w:p>
        </w:tc>
        <w:tc>
          <w:tcPr>
            <w:tcW w:w="2661" w:type="dxa"/>
          </w:tcPr>
          <w:p>
            <w:pPr>
              <w:rPr>
                <w:rFonts w:ascii="仿宋" w:hAnsi="仿宋" w:eastAsia="仿宋" w:cs="仿宋"/>
                <w:color w:val="auto"/>
                <w:highlight w:val="none"/>
              </w:rPr>
            </w:pPr>
          </w:p>
        </w:tc>
        <w:tc>
          <w:tcPr>
            <w:tcW w:w="1325" w:type="dxa"/>
          </w:tcPr>
          <w:p>
            <w:pPr>
              <w:rPr>
                <w:rFonts w:ascii="仿宋" w:hAnsi="仿宋" w:eastAsia="仿宋" w:cs="仿宋"/>
                <w:color w:val="auto"/>
                <w:highlight w:val="none"/>
              </w:rPr>
            </w:pPr>
          </w:p>
        </w:tc>
        <w:tc>
          <w:tcPr>
            <w:tcW w:w="1212" w:type="dxa"/>
          </w:tcPr>
          <w:p>
            <w:pPr>
              <w:rPr>
                <w:rFonts w:ascii="仿宋" w:hAnsi="仿宋" w:eastAsia="仿宋" w:cs="仿宋"/>
                <w:color w:val="auto"/>
                <w:highlight w:val="none"/>
              </w:rPr>
            </w:pPr>
          </w:p>
        </w:tc>
        <w:tc>
          <w:tcPr>
            <w:tcW w:w="1341" w:type="dxa"/>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9134" w:type="dxa"/>
            <w:gridSpan w:val="6"/>
          </w:tcPr>
          <w:p>
            <w:pPr>
              <w:pStyle w:val="63"/>
              <w:spacing w:before="12"/>
              <w:rPr>
                <w:rFonts w:ascii="仿宋" w:hAnsi="仿宋" w:eastAsia="仿宋" w:cs="仿宋"/>
                <w:color w:val="auto"/>
                <w:sz w:val="20"/>
                <w:szCs w:val="20"/>
                <w:highlight w:val="none"/>
              </w:rPr>
            </w:pPr>
          </w:p>
          <w:p>
            <w:pPr>
              <w:pStyle w:val="63"/>
              <w:tabs>
                <w:tab w:val="left" w:pos="700"/>
                <w:tab w:val="left" w:pos="5777"/>
                <w:tab w:val="left" w:pos="8221"/>
              </w:tabs>
              <w:ind w:left="100"/>
              <w:rPr>
                <w:rFonts w:ascii="仿宋" w:hAnsi="仿宋" w:eastAsia="仿宋" w:cs="仿宋"/>
                <w:color w:val="auto"/>
                <w:highlight w:val="none"/>
              </w:rPr>
            </w:pPr>
            <w:r>
              <w:rPr>
                <w:rFonts w:hint="eastAsia" w:ascii="仿宋" w:hAnsi="仿宋" w:eastAsia="仿宋" w:cs="仿宋"/>
                <w:color w:val="auto"/>
                <w:spacing w:val="-12"/>
                <w:highlight w:val="none"/>
              </w:rPr>
              <w:t>总报价（人民币大写）：</w:t>
            </w:r>
            <w:r>
              <w:rPr>
                <w:rFonts w:hint="eastAsia" w:ascii="仿宋" w:hAnsi="仿宋" w:eastAsia="仿宋" w:cs="仿宋"/>
                <w:color w:val="auto"/>
                <w:spacing w:val="-12"/>
                <w:highlight w:val="none"/>
                <w:u w:val="single"/>
              </w:rPr>
              <w:t xml:space="preserve"> </w:t>
            </w:r>
            <w:r>
              <w:rPr>
                <w:rFonts w:hint="eastAsia" w:ascii="仿宋" w:hAnsi="仿宋" w:eastAsia="仿宋" w:cs="仿宋"/>
                <w:color w:val="auto"/>
                <w:spacing w:val="-12"/>
                <w:highlight w:val="none"/>
                <w:u w:val="single"/>
              </w:rPr>
              <w:tab/>
            </w:r>
            <w:r>
              <w:rPr>
                <w:rFonts w:hint="eastAsia" w:ascii="仿宋" w:hAnsi="仿宋" w:eastAsia="仿宋" w:cs="仿宋"/>
                <w:color w:val="auto"/>
                <w:spacing w:val="-14"/>
                <w:highlight w:val="none"/>
              </w:rPr>
              <w:t>（￥</w:t>
            </w:r>
            <w:r>
              <w:rPr>
                <w:rFonts w:hint="eastAsia" w:ascii="仿宋" w:hAnsi="仿宋" w:eastAsia="仿宋" w:cs="仿宋"/>
                <w:color w:val="auto"/>
                <w:spacing w:val="-14"/>
                <w:highlight w:val="none"/>
                <w:u w:val="single"/>
              </w:rPr>
              <w:t xml:space="preserve"> </w:t>
            </w:r>
            <w:r>
              <w:rPr>
                <w:rFonts w:hint="eastAsia" w:ascii="仿宋" w:hAnsi="仿宋" w:eastAsia="仿宋" w:cs="仿宋"/>
                <w:color w:val="auto"/>
                <w:spacing w:val="-14"/>
                <w:highlight w:val="none"/>
                <w:u w:val="single"/>
              </w:rPr>
              <w:tab/>
            </w:r>
            <w:r>
              <w:rPr>
                <w:rFonts w:hint="eastAsia" w:ascii="仿宋" w:hAnsi="仿宋" w:eastAsia="仿宋" w:cs="仿宋"/>
                <w:color w:val="auto"/>
                <w:spacing w:val="-15"/>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exact"/>
        </w:trPr>
        <w:tc>
          <w:tcPr>
            <w:tcW w:w="9134" w:type="dxa"/>
            <w:gridSpan w:val="6"/>
          </w:tcPr>
          <w:p>
            <w:pPr>
              <w:pStyle w:val="63"/>
              <w:tabs>
                <w:tab w:val="left" w:pos="3885"/>
              </w:tabs>
              <w:spacing w:before="148"/>
              <w:ind w:left="100"/>
              <w:rPr>
                <w:rFonts w:ascii="仿宋" w:hAnsi="仿宋" w:eastAsia="仿宋" w:cs="仿宋"/>
                <w:color w:val="auto"/>
                <w:highlight w:val="none"/>
              </w:rPr>
            </w:pPr>
            <w:r>
              <w:rPr>
                <w:rFonts w:hint="eastAsia" w:ascii="仿宋" w:hAnsi="仿宋" w:eastAsia="仿宋" w:cs="仿宋"/>
                <w:color w:val="auto"/>
                <w:spacing w:val="-15"/>
                <w:highlight w:val="none"/>
              </w:rPr>
              <w:t>项目服务期：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exact"/>
        </w:trPr>
        <w:tc>
          <w:tcPr>
            <w:tcW w:w="9134" w:type="dxa"/>
            <w:gridSpan w:val="6"/>
          </w:tcPr>
          <w:p>
            <w:pPr>
              <w:pStyle w:val="63"/>
              <w:tabs>
                <w:tab w:val="left" w:pos="3744"/>
              </w:tabs>
              <w:spacing w:before="158"/>
              <w:ind w:left="100"/>
              <w:rPr>
                <w:rFonts w:ascii="仿宋" w:hAnsi="仿宋" w:eastAsia="仿宋" w:cs="仿宋"/>
                <w:color w:val="auto"/>
                <w:highlight w:val="none"/>
              </w:rPr>
            </w:pPr>
            <w:r>
              <w:rPr>
                <w:rFonts w:hint="eastAsia" w:ascii="仿宋" w:hAnsi="仿宋" w:eastAsia="仿宋" w:cs="仿宋"/>
                <w:color w:val="auto"/>
                <w:spacing w:val="-15"/>
                <w:highlight w:val="none"/>
              </w:rPr>
              <w:t>服务地点：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exact"/>
        </w:trPr>
        <w:tc>
          <w:tcPr>
            <w:tcW w:w="9134" w:type="dxa"/>
            <w:gridSpan w:val="6"/>
          </w:tcPr>
          <w:p>
            <w:pPr>
              <w:pStyle w:val="63"/>
              <w:spacing w:line="288" w:lineRule="auto"/>
              <w:ind w:left="100" w:right="103" w:firstLine="419"/>
              <w:rPr>
                <w:rFonts w:ascii="仿宋" w:hAnsi="仿宋" w:eastAsia="仿宋" w:cs="仿宋"/>
                <w:color w:val="auto"/>
                <w:highlight w:val="none"/>
              </w:rPr>
            </w:pPr>
            <w:r>
              <w:rPr>
                <w:rFonts w:hint="eastAsia" w:ascii="仿宋" w:hAnsi="仿宋" w:eastAsia="仿宋" w:cs="仿宋"/>
                <w:color w:val="auto"/>
                <w:highlight w:val="none"/>
              </w:rPr>
              <w:t>投标报价包括本次采购范围内的服务价款、服务所用耗材、人工费、差旅费（含出差补助、 交通费、食宿费等）、管理费用、保险、报送、验收、维护、资料收集及数据处理费、实地调查 费、资料打印及装订费、税费、合同实施过程中的应预见和不可预见费用等完成合同规定责任和 义务的一切费用及企业利润（供应商中标总价为签订合同价格。在合同有效期内，合同价不受市 场价格变化的影响）等全部费用供应商综合考虑在报价中。</w:t>
            </w:r>
          </w:p>
        </w:tc>
      </w:tr>
    </w:tbl>
    <w:p>
      <w:pPr>
        <w:pStyle w:val="13"/>
        <w:spacing w:line="440" w:lineRule="exact"/>
        <w:rPr>
          <w:rFonts w:ascii="仿宋" w:hAnsi="仿宋" w:eastAsia="仿宋" w:cs="仿宋"/>
          <w:b/>
          <w:bCs/>
          <w:color w:val="auto"/>
          <w:highlight w:val="none"/>
          <w:u w:val="single"/>
        </w:rPr>
      </w:pPr>
    </w:p>
    <w:p>
      <w:pPr>
        <w:pStyle w:val="13"/>
        <w:spacing w:line="440" w:lineRule="exact"/>
        <w:rPr>
          <w:rFonts w:ascii="仿宋" w:hAnsi="仿宋" w:eastAsia="仿宋" w:cs="仿宋"/>
          <w:color w:val="auto"/>
          <w:highlight w:val="none"/>
        </w:rPr>
      </w:pPr>
    </w:p>
    <w:p>
      <w:pPr>
        <w:pStyle w:val="13"/>
        <w:spacing w:line="440" w:lineRule="exact"/>
        <w:rPr>
          <w:rFonts w:ascii="仿宋" w:hAnsi="仿宋" w:eastAsia="仿宋" w:cs="仿宋"/>
          <w:color w:val="auto"/>
          <w:highlight w:val="none"/>
          <w:u w:val="single"/>
        </w:rPr>
      </w:pPr>
    </w:p>
    <w:p>
      <w:pPr>
        <w:pStyle w:val="13"/>
        <w:spacing w:line="360" w:lineRule="auto"/>
        <w:ind w:firstLine="3480" w:firstLineChars="14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pPr>
        <w:pStyle w:val="13"/>
        <w:spacing w:line="360" w:lineRule="auto"/>
        <w:ind w:firstLine="3360" w:firstLineChars="1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法定代表人或委托代理人（签字）：</w:t>
      </w:r>
      <w:r>
        <w:rPr>
          <w:rFonts w:hint="eastAsia" w:ascii="仿宋" w:hAnsi="仿宋" w:eastAsia="仿宋" w:cs="仿宋"/>
          <w:color w:val="auto"/>
          <w:sz w:val="24"/>
          <w:szCs w:val="24"/>
          <w:highlight w:val="none"/>
          <w:u w:val="single"/>
        </w:rPr>
        <w:t xml:space="preserve">              </w:t>
      </w:r>
    </w:p>
    <w:p>
      <w:pPr>
        <w:pStyle w:val="13"/>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3"/>
        <w:spacing w:line="360" w:lineRule="auto"/>
        <w:rPr>
          <w:rFonts w:ascii="仿宋" w:hAnsi="仿宋" w:eastAsia="仿宋" w:cs="仿宋"/>
          <w:color w:val="auto"/>
          <w:highlight w:val="none"/>
        </w:rPr>
      </w:pPr>
    </w:p>
    <w:p>
      <w:pPr>
        <w:pStyle w:val="13"/>
        <w:spacing w:line="360" w:lineRule="auto"/>
        <w:rPr>
          <w:rFonts w:ascii="仿宋" w:hAnsi="仿宋" w:eastAsia="仿宋" w:cs="仿宋"/>
          <w:color w:val="auto"/>
          <w:highlight w:val="none"/>
        </w:rPr>
      </w:pPr>
    </w:p>
    <w:p>
      <w:pPr>
        <w:pStyle w:val="11"/>
        <w:spacing w:before="37"/>
        <w:ind w:left="138" w:right="1912"/>
        <w:rPr>
          <w:rFonts w:ascii="仿宋" w:hAnsi="仿宋" w:eastAsia="仿宋" w:cs="仿宋"/>
          <w:color w:val="auto"/>
          <w:highlight w:val="none"/>
        </w:rPr>
      </w:pPr>
      <w:r>
        <w:rPr>
          <w:rFonts w:hint="eastAsia" w:ascii="仿宋" w:hAnsi="仿宋" w:eastAsia="仿宋" w:cs="仿宋"/>
          <w:color w:val="auto"/>
          <w:highlight w:val="none"/>
        </w:rPr>
        <w:t>投标说明：</w:t>
      </w:r>
    </w:p>
    <w:p>
      <w:pPr>
        <w:pStyle w:val="11"/>
        <w:spacing w:before="56"/>
        <w:ind w:left="558" w:right="1912"/>
        <w:rPr>
          <w:rFonts w:ascii="仿宋" w:hAnsi="仿宋" w:eastAsia="仿宋" w:cs="仿宋"/>
          <w:color w:val="auto"/>
          <w:highlight w:val="none"/>
        </w:rPr>
      </w:pPr>
      <w:r>
        <w:rPr>
          <w:rFonts w:hint="eastAsia" w:ascii="仿宋" w:hAnsi="仿宋" w:eastAsia="仿宋" w:cs="仿宋"/>
          <w:color w:val="auto"/>
          <w:highlight w:val="none"/>
        </w:rPr>
        <w:t>1、供应商必须加盖公章并签字，无签字盖公章的投标无效。</w:t>
      </w:r>
    </w:p>
    <w:p>
      <w:pPr>
        <w:pStyle w:val="13"/>
        <w:spacing w:line="360" w:lineRule="auto"/>
        <w:ind w:firstLine="600" w:firstLineChars="300"/>
        <w:rPr>
          <w:rFonts w:ascii="仿宋" w:hAnsi="仿宋" w:eastAsia="仿宋" w:cs="仿宋"/>
          <w:color w:val="auto"/>
          <w:highlight w:val="none"/>
        </w:rPr>
      </w:pPr>
      <w:r>
        <w:rPr>
          <w:rFonts w:hint="eastAsia" w:ascii="仿宋" w:hAnsi="仿宋" w:eastAsia="仿宋" w:cs="仿宋"/>
          <w:color w:val="auto"/>
          <w:highlight w:val="none"/>
        </w:rPr>
        <w:t>2、此表若由多页构成的，需逐页加盖公章并由法定代表人（或被授权人）签字，否则投标无效。</w:t>
      </w:r>
    </w:p>
    <w:p>
      <w:pPr>
        <w:pStyle w:val="13"/>
        <w:spacing w:line="360" w:lineRule="auto"/>
        <w:rPr>
          <w:rFonts w:ascii="仿宋" w:hAnsi="仿宋" w:eastAsia="仿宋" w:cs="仿宋"/>
          <w:color w:val="auto"/>
          <w:highlight w:val="none"/>
        </w:rPr>
      </w:pPr>
    </w:p>
    <w:p>
      <w:pPr>
        <w:tabs>
          <w:tab w:val="left" w:pos="720"/>
          <w:tab w:val="left" w:pos="900"/>
          <w:tab w:val="left" w:pos="1260"/>
          <w:tab w:val="left" w:pos="1440"/>
        </w:tabs>
        <w:ind w:right="31" w:rightChars="15"/>
        <w:rPr>
          <w:rFonts w:ascii="仿宋" w:hAnsi="仿宋" w:eastAsia="仿宋" w:cs="仿宋"/>
          <w:color w:val="auto"/>
          <w:highlight w:val="none"/>
        </w:rPr>
      </w:pPr>
      <w:r>
        <w:rPr>
          <w:rFonts w:hint="eastAsia" w:ascii="仿宋" w:hAnsi="仿宋" w:eastAsia="仿宋" w:cs="仿宋"/>
          <w:color w:val="auto"/>
          <w:highlight w:val="none"/>
        </w:rPr>
        <w:br w:type="page"/>
      </w:r>
    </w:p>
    <w:p>
      <w:pPr>
        <w:snapToGrid w:val="0"/>
        <w:spacing w:before="120" w:beforeLines="50" w:after="50"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三、投标声明书</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（采购代理机构）</w:t>
      </w:r>
      <w:r>
        <w:rPr>
          <w:rFonts w:hint="eastAsia" w:ascii="仿宋" w:hAnsi="仿宋" w:eastAsia="仿宋" w:cs="仿宋"/>
          <w:color w:val="auto"/>
          <w:sz w:val="24"/>
          <w:szCs w:val="24"/>
          <w:highlight w:val="none"/>
        </w:rPr>
        <w:t>：</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（供应商名称）系中华人民共和国合法企业，经营地址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（姓名）系_______（供应商名称）的法定代表人，我方愿意参加贵方组织的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）的投标，为便于贵方公正、择优地确定成交供应商及其投标产品和服务，我方就本次投标有关事项郑重声明如下：</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1.我方向贵方提交的所有投标文件、资料都是准确的和真实的。</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4. 以上事项如有虚假或隐瞒，我方愿意承担一切后果，并不再寻求任何旨在减轻或免除法律责任的辩解。</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 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□我方本次投标文件</w:t>
      </w:r>
      <w:r>
        <w:rPr>
          <w:rFonts w:hint="eastAsia" w:ascii="仿宋" w:hAnsi="仿宋" w:eastAsia="仿宋" w:cs="仿宋"/>
          <w:color w:val="auto"/>
          <w:kern w:val="0"/>
          <w:sz w:val="24"/>
          <w:szCs w:val="24"/>
          <w:highlight w:val="none"/>
        </w:rPr>
        <w:t>内容中</w:t>
      </w:r>
      <w:r>
        <w:rPr>
          <w:rFonts w:hint="eastAsia" w:ascii="仿宋" w:hAnsi="仿宋" w:eastAsia="仿宋" w:cs="仿宋"/>
          <w:color w:val="auto"/>
          <w:sz w:val="24"/>
          <w:szCs w:val="24"/>
          <w:highlight w:val="none"/>
        </w:rPr>
        <w:t>未</w:t>
      </w:r>
      <w:r>
        <w:rPr>
          <w:rFonts w:hint="eastAsia" w:ascii="仿宋" w:hAnsi="仿宋" w:eastAsia="仿宋" w:cs="仿宋"/>
          <w:color w:val="auto"/>
          <w:kern w:val="0"/>
          <w:sz w:val="24"/>
          <w:szCs w:val="24"/>
          <w:highlight w:val="none"/>
        </w:rPr>
        <w:t>涉及商业秘密；</w:t>
      </w:r>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□我方本次投标文件</w:t>
      </w:r>
      <w:r>
        <w:rPr>
          <w:rFonts w:hint="eastAsia" w:ascii="仿宋" w:hAnsi="仿宋" w:eastAsia="仿宋" w:cs="仿宋"/>
          <w:color w:val="auto"/>
          <w:kern w:val="0"/>
          <w:sz w:val="24"/>
          <w:szCs w:val="24"/>
          <w:highlight w:val="none"/>
        </w:rPr>
        <w:t>涉及商业秘密的内容有：</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360" w:lineRule="exact"/>
        <w:ind w:firstLine="5476" w:firstLineChars="2282"/>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rPr>
        <w:t xml:space="preserve">             </w:t>
      </w:r>
    </w:p>
    <w:p>
      <w:pPr>
        <w:snapToGrid w:val="0"/>
        <w:spacing w:line="360" w:lineRule="exact"/>
        <w:ind w:firstLine="5520" w:firstLineChars="2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pPr>
        <w:snapToGrid w:val="0"/>
        <w:spacing w:line="360" w:lineRule="exact"/>
        <w:ind w:right="480" w:firstLine="240" w:firstLineChars="1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tabs>
          <w:tab w:val="left" w:pos="720"/>
          <w:tab w:val="left" w:pos="900"/>
          <w:tab w:val="left" w:pos="1260"/>
          <w:tab w:val="left" w:pos="1440"/>
        </w:tabs>
        <w:ind w:left="176" w:right="31" w:rightChars="15" w:hanging="176"/>
        <w:jc w:val="center"/>
        <w:rPr>
          <w:rFonts w:ascii="仿宋" w:hAnsi="仿宋" w:eastAsia="仿宋" w:cs="仿宋"/>
          <w:b/>
          <w:bCs/>
          <w:color w:val="auto"/>
          <w:sz w:val="28"/>
          <w:szCs w:val="28"/>
          <w:highlight w:val="none"/>
        </w:rPr>
      </w:pPr>
    </w:p>
    <w:p>
      <w:pPr>
        <w:tabs>
          <w:tab w:val="left" w:pos="720"/>
          <w:tab w:val="left" w:pos="900"/>
          <w:tab w:val="left" w:pos="1260"/>
          <w:tab w:val="left" w:pos="1440"/>
        </w:tabs>
        <w:ind w:left="176" w:right="31" w:rightChars="15" w:hanging="176"/>
        <w:jc w:val="center"/>
        <w:rPr>
          <w:rFonts w:ascii="仿宋" w:hAnsi="仿宋" w:eastAsia="仿宋" w:cs="仿宋"/>
          <w:b/>
          <w:bCs/>
          <w:color w:val="auto"/>
          <w:sz w:val="28"/>
          <w:szCs w:val="28"/>
          <w:highlight w:val="none"/>
        </w:rPr>
      </w:pPr>
    </w:p>
    <w:p>
      <w:pPr>
        <w:tabs>
          <w:tab w:val="left" w:pos="720"/>
          <w:tab w:val="left" w:pos="900"/>
          <w:tab w:val="left" w:pos="1260"/>
          <w:tab w:val="left" w:pos="1440"/>
        </w:tabs>
        <w:ind w:left="176" w:right="31" w:rightChars="15" w:hanging="176"/>
        <w:jc w:val="center"/>
        <w:rPr>
          <w:rFonts w:ascii="仿宋" w:hAnsi="仿宋" w:eastAsia="仿宋" w:cs="仿宋"/>
          <w:b/>
          <w:bCs/>
          <w:color w:val="auto"/>
          <w:sz w:val="28"/>
          <w:szCs w:val="28"/>
          <w:highlight w:val="none"/>
        </w:rPr>
      </w:pPr>
    </w:p>
    <w:p>
      <w:pPr>
        <w:tabs>
          <w:tab w:val="left" w:pos="720"/>
          <w:tab w:val="left" w:pos="900"/>
          <w:tab w:val="left" w:pos="1260"/>
          <w:tab w:val="left" w:pos="1440"/>
        </w:tabs>
        <w:ind w:right="31" w:rightChars="15"/>
        <w:rPr>
          <w:rFonts w:ascii="仿宋" w:hAnsi="仿宋" w:eastAsia="仿宋" w:cs="仿宋"/>
          <w:b/>
          <w:bCs/>
          <w:color w:val="auto"/>
          <w:sz w:val="28"/>
          <w:szCs w:val="28"/>
          <w:highlight w:val="none"/>
        </w:rPr>
      </w:pPr>
    </w:p>
    <w:p>
      <w:pPr>
        <w:tabs>
          <w:tab w:val="left" w:pos="720"/>
          <w:tab w:val="left" w:pos="900"/>
          <w:tab w:val="left" w:pos="1260"/>
          <w:tab w:val="left" w:pos="1440"/>
        </w:tabs>
        <w:ind w:left="176" w:right="31" w:rightChars="15" w:hanging="176"/>
        <w:jc w:val="center"/>
        <w:rPr>
          <w:rFonts w:ascii="仿宋" w:hAnsi="仿宋" w:eastAsia="仿宋" w:cs="仿宋"/>
          <w:b/>
          <w:bCs/>
          <w:color w:val="auto"/>
          <w:sz w:val="28"/>
          <w:szCs w:val="28"/>
          <w:highlight w:val="none"/>
        </w:rPr>
      </w:pPr>
    </w:p>
    <w:p>
      <w:pPr>
        <w:tabs>
          <w:tab w:val="left" w:pos="720"/>
          <w:tab w:val="left" w:pos="900"/>
          <w:tab w:val="left" w:pos="1260"/>
          <w:tab w:val="left" w:pos="1440"/>
        </w:tabs>
        <w:ind w:left="176" w:right="31" w:rightChars="15" w:hanging="176"/>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四、保密承诺书</w:t>
      </w:r>
    </w:p>
    <w:p>
      <w:pPr>
        <w:tabs>
          <w:tab w:val="left" w:pos="720"/>
          <w:tab w:val="left" w:pos="900"/>
          <w:tab w:val="left" w:pos="1260"/>
          <w:tab w:val="left" w:pos="1440"/>
        </w:tabs>
        <w:spacing w:line="360" w:lineRule="auto"/>
        <w:ind w:left="176" w:leftChars="84" w:right="32" w:firstLine="544"/>
        <w:rPr>
          <w:rFonts w:ascii="仿宋" w:hAnsi="仿宋" w:eastAsia="仿宋" w:cs="仿宋"/>
          <w:color w:val="auto"/>
          <w:kern w:val="24"/>
          <w:highlight w:val="none"/>
        </w:rPr>
      </w:pPr>
    </w:p>
    <w:p>
      <w:pPr>
        <w:tabs>
          <w:tab w:val="left" w:pos="720"/>
          <w:tab w:val="left" w:pos="900"/>
          <w:tab w:val="left" w:pos="1260"/>
          <w:tab w:val="left" w:pos="1440"/>
        </w:tabs>
        <w:spacing w:line="360" w:lineRule="auto"/>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致：</w:t>
      </w:r>
      <w:r>
        <w:rPr>
          <w:rFonts w:hint="eastAsia" w:ascii="仿宋" w:hAnsi="仿宋" w:eastAsia="仿宋" w:cs="仿宋"/>
          <w:color w:val="auto"/>
          <w:kern w:val="24"/>
          <w:sz w:val="24"/>
          <w:szCs w:val="24"/>
          <w:highlight w:val="none"/>
          <w:u w:val="single"/>
        </w:rPr>
        <w:t xml:space="preserve">   （采购人）   </w:t>
      </w:r>
    </w:p>
    <w:p>
      <w:pPr>
        <w:tabs>
          <w:tab w:val="left" w:pos="720"/>
          <w:tab w:val="left" w:pos="900"/>
          <w:tab w:val="left" w:pos="1260"/>
          <w:tab w:val="left" w:pos="1440"/>
        </w:tabs>
        <w:spacing w:line="360" w:lineRule="auto"/>
        <w:ind w:firstLine="480" w:firstLineChars="200"/>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鉴于</w:t>
      </w:r>
      <w:r>
        <w:rPr>
          <w:rFonts w:hint="eastAsia" w:ascii="仿宋" w:hAnsi="仿宋" w:eastAsia="仿宋" w:cs="仿宋"/>
          <w:color w:val="auto"/>
          <w:kern w:val="24"/>
          <w:sz w:val="24"/>
          <w:szCs w:val="24"/>
          <w:highlight w:val="none"/>
          <w:u w:val="single"/>
        </w:rPr>
        <w:t xml:space="preserve">       （供应商）    </w:t>
      </w:r>
      <w:r>
        <w:rPr>
          <w:rFonts w:hint="eastAsia" w:ascii="仿宋" w:hAnsi="仿宋" w:eastAsia="仿宋" w:cs="仿宋"/>
          <w:color w:val="auto"/>
          <w:kern w:val="24"/>
          <w:sz w:val="24"/>
          <w:szCs w:val="24"/>
          <w:highlight w:val="none"/>
        </w:rPr>
        <w:t>拟参加</w:t>
      </w:r>
      <w:r>
        <w:rPr>
          <w:rFonts w:hint="eastAsia" w:ascii="仿宋" w:hAnsi="仿宋" w:eastAsia="仿宋" w:cs="仿宋"/>
          <w:color w:val="auto"/>
          <w:kern w:val="24"/>
          <w:sz w:val="24"/>
          <w:szCs w:val="24"/>
          <w:highlight w:val="none"/>
          <w:u w:val="single"/>
        </w:rPr>
        <w:t xml:space="preserve">      （项目名称）      </w:t>
      </w:r>
      <w:r>
        <w:rPr>
          <w:rFonts w:hint="eastAsia" w:ascii="仿宋" w:hAnsi="仿宋" w:eastAsia="仿宋" w:cs="仿宋"/>
          <w:color w:val="auto"/>
          <w:kern w:val="24"/>
          <w:sz w:val="24"/>
          <w:szCs w:val="24"/>
          <w:highlight w:val="none"/>
        </w:rPr>
        <w:t>竞标，现就有关保密事宜承诺如下：</w:t>
      </w:r>
    </w:p>
    <w:p>
      <w:pPr>
        <w:tabs>
          <w:tab w:val="left" w:pos="720"/>
          <w:tab w:val="left" w:pos="900"/>
          <w:tab w:val="left" w:pos="1260"/>
          <w:tab w:val="left" w:pos="1440"/>
        </w:tabs>
        <w:spacing w:line="360" w:lineRule="auto"/>
        <w:ind w:firstLine="480" w:firstLineChars="200"/>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1．我方在竞标活动过程中将严格遵守《中华人民共和国保密法》及其它相关法律法规，如违反了《中华人民共和国保密法》及其它相关法律法规，自行承担相应的法律责任。</w:t>
      </w:r>
    </w:p>
    <w:p>
      <w:pPr>
        <w:tabs>
          <w:tab w:val="left" w:pos="720"/>
          <w:tab w:val="left" w:pos="900"/>
          <w:tab w:val="left" w:pos="1260"/>
          <w:tab w:val="left" w:pos="1440"/>
        </w:tabs>
        <w:spacing w:line="360" w:lineRule="auto"/>
        <w:ind w:firstLine="480" w:firstLineChars="200"/>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2．如中标，我方将与发包人签订保密协议，认真履行保密协议义务，承但保密责任。</w:t>
      </w:r>
    </w:p>
    <w:p>
      <w:pPr>
        <w:tabs>
          <w:tab w:val="left" w:pos="720"/>
          <w:tab w:val="left" w:pos="900"/>
          <w:tab w:val="left" w:pos="1260"/>
          <w:tab w:val="left" w:pos="1440"/>
        </w:tabs>
        <w:spacing w:line="360" w:lineRule="auto"/>
        <w:ind w:firstLine="480" w:firstLineChars="200"/>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3．我方在中标签订合同、执行合同过程中均将严格遵守《中华人民共和国保密法》及其它相关法律法规，如违反了《中华人民共和国保密法》及其它相关法律法规，自行承担相应的法律责任。</w:t>
      </w:r>
    </w:p>
    <w:p>
      <w:pPr>
        <w:tabs>
          <w:tab w:val="left" w:pos="720"/>
          <w:tab w:val="left" w:pos="900"/>
          <w:tab w:val="left" w:pos="1260"/>
          <w:tab w:val="left" w:pos="1440"/>
        </w:tabs>
        <w:spacing w:line="360" w:lineRule="auto"/>
        <w:ind w:firstLine="480" w:firstLineChars="200"/>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4．我方认真履行合同中审核人的保密义务。</w:t>
      </w:r>
    </w:p>
    <w:p>
      <w:pPr>
        <w:tabs>
          <w:tab w:val="left" w:pos="720"/>
          <w:tab w:val="left" w:pos="900"/>
          <w:tab w:val="left" w:pos="1260"/>
          <w:tab w:val="left" w:pos="1440"/>
        </w:tabs>
        <w:spacing w:line="360" w:lineRule="auto"/>
        <w:ind w:firstLine="480" w:firstLineChars="200"/>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5．我方将爱善保存好本项目与中华人民共和国国家秘密有关的各种图纸、数据、资料，不得以任何形式泄露到中华人民共和国境外地区和国家。</w:t>
      </w:r>
    </w:p>
    <w:p>
      <w:pPr>
        <w:tabs>
          <w:tab w:val="left" w:pos="720"/>
          <w:tab w:val="left" w:pos="900"/>
          <w:tab w:val="left" w:pos="1260"/>
          <w:tab w:val="left" w:pos="1440"/>
        </w:tabs>
        <w:spacing w:line="360" w:lineRule="auto"/>
        <w:ind w:firstLine="480" w:firstLineChars="200"/>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6．本承诺书自签署后生效。</w:t>
      </w:r>
    </w:p>
    <w:p>
      <w:pPr>
        <w:tabs>
          <w:tab w:val="left" w:pos="720"/>
          <w:tab w:val="left" w:pos="900"/>
          <w:tab w:val="left" w:pos="1260"/>
          <w:tab w:val="left" w:pos="1440"/>
        </w:tabs>
        <w:spacing w:line="360" w:lineRule="auto"/>
        <w:ind w:left="176" w:leftChars="84" w:right="32" w:firstLine="544"/>
        <w:rPr>
          <w:rFonts w:ascii="仿宋" w:hAnsi="仿宋" w:eastAsia="仿宋" w:cs="仿宋"/>
          <w:color w:val="auto"/>
          <w:kern w:val="24"/>
          <w:sz w:val="24"/>
          <w:szCs w:val="24"/>
          <w:highlight w:val="none"/>
        </w:rPr>
      </w:pPr>
    </w:p>
    <w:p>
      <w:pPr>
        <w:tabs>
          <w:tab w:val="left" w:pos="720"/>
          <w:tab w:val="left" w:pos="900"/>
          <w:tab w:val="left" w:pos="1260"/>
          <w:tab w:val="left" w:pos="1440"/>
        </w:tabs>
        <w:spacing w:line="360" w:lineRule="auto"/>
        <w:ind w:left="176" w:leftChars="84" w:right="32" w:firstLine="544"/>
        <w:rPr>
          <w:rFonts w:ascii="仿宋" w:hAnsi="仿宋" w:eastAsia="仿宋" w:cs="仿宋"/>
          <w:color w:val="auto"/>
          <w:kern w:val="24"/>
          <w:sz w:val="24"/>
          <w:szCs w:val="24"/>
          <w:highlight w:val="none"/>
        </w:rPr>
      </w:pPr>
    </w:p>
    <w:p>
      <w:pPr>
        <w:tabs>
          <w:tab w:val="left" w:pos="720"/>
          <w:tab w:val="left" w:pos="900"/>
          <w:tab w:val="left" w:pos="1260"/>
          <w:tab w:val="left" w:pos="1440"/>
        </w:tabs>
        <w:spacing w:line="360" w:lineRule="auto"/>
        <w:ind w:left="176" w:leftChars="84" w:right="32" w:firstLine="544"/>
        <w:rPr>
          <w:rFonts w:ascii="仿宋" w:hAnsi="仿宋" w:eastAsia="仿宋" w:cs="仿宋"/>
          <w:color w:val="auto"/>
          <w:kern w:val="24"/>
          <w:sz w:val="24"/>
          <w:szCs w:val="24"/>
          <w:highlight w:val="none"/>
        </w:rPr>
      </w:pPr>
    </w:p>
    <w:p>
      <w:pPr>
        <w:tabs>
          <w:tab w:val="left" w:pos="720"/>
          <w:tab w:val="left" w:pos="900"/>
          <w:tab w:val="left" w:pos="1260"/>
          <w:tab w:val="left" w:pos="1440"/>
        </w:tabs>
        <w:spacing w:line="480" w:lineRule="auto"/>
        <w:ind w:right="512"/>
        <w:jc w:val="center"/>
        <w:rPr>
          <w:rFonts w:ascii="仿宋" w:hAnsi="仿宋" w:eastAsia="仿宋" w:cs="仿宋"/>
          <w:color w:val="auto"/>
          <w:kern w:val="24"/>
          <w:sz w:val="24"/>
          <w:szCs w:val="24"/>
          <w:highlight w:val="none"/>
          <w:u w:val="single"/>
        </w:rPr>
      </w:pPr>
      <w:r>
        <w:rPr>
          <w:rFonts w:hint="eastAsia" w:ascii="仿宋" w:hAnsi="仿宋" w:eastAsia="仿宋" w:cs="仿宋"/>
          <w:color w:val="auto"/>
          <w:kern w:val="24"/>
          <w:sz w:val="24"/>
          <w:szCs w:val="24"/>
          <w:highlight w:val="none"/>
        </w:rPr>
        <w:t xml:space="preserve">                              供应商：</w:t>
      </w:r>
      <w:r>
        <w:rPr>
          <w:rFonts w:hint="eastAsia" w:ascii="仿宋" w:hAnsi="仿宋" w:eastAsia="仿宋" w:cs="仿宋"/>
          <w:color w:val="auto"/>
          <w:kern w:val="24"/>
          <w:sz w:val="24"/>
          <w:szCs w:val="24"/>
          <w:highlight w:val="none"/>
          <w:u w:val="single"/>
        </w:rPr>
        <w:t xml:space="preserve">                           (盖章)</w:t>
      </w:r>
    </w:p>
    <w:p>
      <w:pPr>
        <w:tabs>
          <w:tab w:val="left" w:pos="720"/>
          <w:tab w:val="left" w:pos="900"/>
          <w:tab w:val="left" w:pos="1260"/>
          <w:tab w:val="left" w:pos="1440"/>
        </w:tabs>
        <w:spacing w:line="480" w:lineRule="auto"/>
        <w:ind w:left="176" w:leftChars="84" w:right="512"/>
        <w:jc w:val="right"/>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法定代表人或其授权代理人：</w:t>
      </w:r>
      <w:r>
        <w:rPr>
          <w:rFonts w:hint="eastAsia" w:ascii="仿宋" w:hAnsi="仿宋" w:eastAsia="仿宋" w:cs="仿宋"/>
          <w:color w:val="auto"/>
          <w:kern w:val="24"/>
          <w:sz w:val="24"/>
          <w:szCs w:val="24"/>
          <w:highlight w:val="none"/>
          <w:u w:val="single"/>
        </w:rPr>
        <w:t xml:space="preserve">         (签字) </w:t>
      </w:r>
    </w:p>
    <w:p>
      <w:pPr>
        <w:spacing w:line="480" w:lineRule="auto"/>
        <w:ind w:firstLine="3600" w:firstLineChars="1500"/>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日   期：</w:t>
      </w:r>
      <w:r>
        <w:rPr>
          <w:rFonts w:hint="eastAsia" w:ascii="仿宋" w:hAnsi="仿宋" w:eastAsia="仿宋" w:cs="仿宋"/>
          <w:color w:val="auto"/>
          <w:kern w:val="24"/>
          <w:sz w:val="24"/>
          <w:szCs w:val="24"/>
          <w:highlight w:val="none"/>
          <w:u w:val="single"/>
        </w:rPr>
        <w:t xml:space="preserve">     </w:t>
      </w:r>
      <w:r>
        <w:rPr>
          <w:rFonts w:hint="eastAsia" w:ascii="仿宋" w:hAnsi="仿宋" w:eastAsia="仿宋" w:cs="仿宋"/>
          <w:color w:val="auto"/>
          <w:kern w:val="24"/>
          <w:sz w:val="24"/>
          <w:szCs w:val="24"/>
          <w:highlight w:val="none"/>
        </w:rPr>
        <w:t>年</w:t>
      </w:r>
      <w:r>
        <w:rPr>
          <w:rFonts w:hint="eastAsia" w:ascii="仿宋" w:hAnsi="仿宋" w:eastAsia="仿宋" w:cs="仿宋"/>
          <w:color w:val="auto"/>
          <w:kern w:val="24"/>
          <w:sz w:val="24"/>
          <w:szCs w:val="24"/>
          <w:highlight w:val="none"/>
          <w:u w:val="single"/>
        </w:rPr>
        <w:t xml:space="preserve">    </w:t>
      </w:r>
      <w:r>
        <w:rPr>
          <w:rFonts w:hint="eastAsia" w:ascii="仿宋" w:hAnsi="仿宋" w:eastAsia="仿宋" w:cs="仿宋"/>
          <w:color w:val="auto"/>
          <w:kern w:val="24"/>
          <w:sz w:val="24"/>
          <w:szCs w:val="24"/>
          <w:highlight w:val="none"/>
        </w:rPr>
        <w:t>月</w:t>
      </w:r>
      <w:r>
        <w:rPr>
          <w:rFonts w:hint="eastAsia" w:ascii="仿宋" w:hAnsi="仿宋" w:eastAsia="仿宋" w:cs="仿宋"/>
          <w:color w:val="auto"/>
          <w:kern w:val="24"/>
          <w:sz w:val="24"/>
          <w:szCs w:val="24"/>
          <w:highlight w:val="none"/>
          <w:u w:val="single"/>
        </w:rPr>
        <w:t xml:space="preserve">    </w:t>
      </w:r>
      <w:r>
        <w:rPr>
          <w:rFonts w:hint="eastAsia" w:ascii="仿宋" w:hAnsi="仿宋" w:eastAsia="仿宋" w:cs="仿宋"/>
          <w:color w:val="auto"/>
          <w:kern w:val="24"/>
          <w:sz w:val="24"/>
          <w:szCs w:val="24"/>
          <w:highlight w:val="none"/>
        </w:rPr>
        <w:t>日</w:t>
      </w:r>
    </w:p>
    <w:p>
      <w:pPr>
        <w:pStyle w:val="13"/>
        <w:spacing w:line="360" w:lineRule="auto"/>
        <w:rPr>
          <w:rFonts w:ascii="仿宋" w:hAnsi="仿宋" w:eastAsia="仿宋" w:cs="仿宋"/>
          <w:b/>
          <w:bCs/>
          <w:color w:val="auto"/>
          <w:sz w:val="32"/>
          <w:szCs w:val="32"/>
          <w:highlight w:val="none"/>
        </w:rPr>
      </w:pPr>
    </w:p>
    <w:p>
      <w:pPr>
        <w:pStyle w:val="13"/>
        <w:spacing w:line="360" w:lineRule="auto"/>
        <w:rPr>
          <w:rFonts w:ascii="仿宋" w:hAnsi="仿宋" w:eastAsia="仿宋" w:cs="仿宋"/>
          <w:b/>
          <w:bCs/>
          <w:color w:val="auto"/>
          <w:sz w:val="32"/>
          <w:szCs w:val="32"/>
          <w:highlight w:val="none"/>
        </w:rPr>
      </w:pPr>
    </w:p>
    <w:p>
      <w:pPr>
        <w:pStyle w:val="13"/>
        <w:spacing w:line="360" w:lineRule="auto"/>
        <w:rPr>
          <w:rFonts w:ascii="仿宋" w:hAnsi="仿宋" w:eastAsia="仿宋" w:cs="仿宋"/>
          <w:b/>
          <w:bCs/>
          <w:color w:val="auto"/>
          <w:sz w:val="32"/>
          <w:szCs w:val="32"/>
          <w:highlight w:val="none"/>
        </w:rPr>
      </w:pPr>
    </w:p>
    <w:p>
      <w:pPr>
        <w:pStyle w:val="13"/>
        <w:spacing w:line="360" w:lineRule="auto"/>
        <w:rPr>
          <w:rFonts w:ascii="仿宋" w:hAnsi="仿宋" w:eastAsia="仿宋" w:cs="仿宋"/>
          <w:b/>
          <w:bCs/>
          <w:color w:val="auto"/>
          <w:sz w:val="32"/>
          <w:szCs w:val="32"/>
          <w:highlight w:val="none"/>
        </w:rPr>
      </w:pPr>
    </w:p>
    <w:p>
      <w:pPr>
        <w:pStyle w:val="13"/>
        <w:spacing w:line="360" w:lineRule="auto"/>
        <w:rPr>
          <w:rFonts w:ascii="仿宋" w:hAnsi="仿宋" w:eastAsia="仿宋" w:cs="仿宋"/>
          <w:b/>
          <w:bCs/>
          <w:color w:val="auto"/>
          <w:sz w:val="32"/>
          <w:szCs w:val="32"/>
          <w:highlight w:val="none"/>
        </w:rPr>
      </w:pPr>
    </w:p>
    <w:p>
      <w:pPr>
        <w:pStyle w:val="13"/>
        <w:spacing w:line="360" w:lineRule="auto"/>
        <w:rPr>
          <w:rFonts w:ascii="仿宋" w:hAnsi="仿宋" w:eastAsia="仿宋" w:cs="仿宋"/>
          <w:b/>
          <w:bCs/>
          <w:color w:val="auto"/>
          <w:sz w:val="32"/>
          <w:szCs w:val="32"/>
          <w:highlight w:val="none"/>
        </w:rPr>
      </w:pPr>
    </w:p>
    <w:p>
      <w:pPr>
        <w:pStyle w:val="13"/>
        <w:spacing w:line="360" w:lineRule="auto"/>
        <w:jc w:val="center"/>
        <w:rPr>
          <w:rFonts w:ascii="仿宋" w:hAnsi="仿宋" w:eastAsia="仿宋" w:cs="仿宋"/>
          <w:b/>
          <w:bCs/>
          <w:color w:val="auto"/>
          <w:sz w:val="32"/>
          <w:szCs w:val="32"/>
          <w:highlight w:val="none"/>
        </w:rPr>
      </w:pPr>
      <w:bookmarkStart w:id="223" w:name="_Toc395731156"/>
    </w:p>
    <w:p>
      <w:pPr>
        <w:jc w:val="center"/>
        <w:rPr>
          <w:rFonts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rPr>
        <w:t>五、</w:t>
      </w:r>
      <w:r>
        <w:rPr>
          <w:rFonts w:hint="eastAsia" w:ascii="仿宋" w:hAnsi="仿宋" w:eastAsia="仿宋" w:cs="仿宋"/>
          <w:b/>
          <w:bCs/>
          <w:color w:val="auto"/>
          <w:sz w:val="28"/>
          <w:szCs w:val="28"/>
          <w:highlight w:val="none"/>
        </w:rPr>
        <w:t>资格证明文件</w:t>
      </w:r>
    </w:p>
    <w:p>
      <w:pPr>
        <w:jc w:val="center"/>
        <w:rPr>
          <w:rFonts w:ascii="仿宋" w:hAnsi="仿宋" w:eastAsia="仿宋" w:cs="仿宋"/>
          <w:color w:val="auto"/>
          <w:highlight w:val="none"/>
        </w:rPr>
      </w:pPr>
    </w:p>
    <w:p>
      <w:pPr>
        <w:pStyle w:val="13"/>
        <w:numPr>
          <w:ilvl w:val="0"/>
          <w:numId w:val="1"/>
        </w:num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企业营业执照或事业单位（社会团体）法人登记证书副本复印件，要求清晰反映企业法人营业执照有效期和经营范围</w:t>
      </w:r>
      <w:r>
        <w:rPr>
          <w:rFonts w:hint="eastAsia" w:ascii="仿宋" w:hAnsi="仿宋" w:eastAsia="仿宋" w:cs="仿宋"/>
          <w:b/>
          <w:bCs/>
          <w:color w:val="auto"/>
          <w:sz w:val="24"/>
          <w:szCs w:val="24"/>
          <w:highlight w:val="none"/>
        </w:rPr>
        <w:t>（必须提供加盖单位公章，否则其竞标无效）</w:t>
      </w:r>
      <w:r>
        <w:rPr>
          <w:rFonts w:hint="eastAsia" w:ascii="仿宋" w:hAnsi="仿宋" w:eastAsia="仿宋" w:cs="仿宋"/>
          <w:color w:val="auto"/>
          <w:sz w:val="24"/>
          <w:szCs w:val="24"/>
          <w:highlight w:val="none"/>
        </w:rPr>
        <w:t>；</w:t>
      </w:r>
    </w:p>
    <w:p>
      <w:pPr>
        <w:pStyle w:val="13"/>
        <w:numPr>
          <w:ilvl w:val="0"/>
          <w:numId w:val="1"/>
        </w:num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拟投入的项目负责人的证件及职称证</w:t>
      </w:r>
      <w:r>
        <w:rPr>
          <w:rFonts w:hint="eastAsia" w:ascii="仿宋" w:hAnsi="仿宋" w:eastAsia="仿宋" w:cs="仿宋"/>
          <w:b/>
          <w:bCs/>
          <w:color w:val="auto"/>
          <w:sz w:val="24"/>
          <w:szCs w:val="24"/>
          <w:highlight w:val="none"/>
        </w:rPr>
        <w:t>（必须提供）；</w:t>
      </w:r>
    </w:p>
    <w:p>
      <w:pPr>
        <w:pStyle w:val="13"/>
        <w:spacing w:line="360" w:lineRule="auto"/>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）投标截止之日前半年内供应商连续三个月的依法缴纳税费或依法免缴税费的证明（复印件，格式自拟）；依法免税的，应提供由供应商所在地主管税务部门出具的《依法纳税或依法免税证明》</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w:t>
      </w:r>
    </w:p>
    <w:p>
      <w:pPr>
        <w:pStyle w:val="1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）投标截止之日前半年内供应商连续三个月的依法缴纳社保费的缴费凭证（复印件，格式自拟）；依法免缴社保的，应提供由供应商所在地社保部门出具的《依法缴纳或依法免缴社保费证明》</w:t>
      </w:r>
      <w:r>
        <w:rPr>
          <w:rFonts w:hint="eastAsia" w:ascii="仿宋" w:hAnsi="仿宋" w:eastAsia="仿宋" w:cs="仿宋"/>
          <w:b/>
          <w:bCs/>
          <w:color w:val="auto"/>
          <w:sz w:val="24"/>
          <w:szCs w:val="24"/>
          <w:highlight w:val="none"/>
        </w:rPr>
        <w:t>（必须提供）；</w:t>
      </w:r>
    </w:p>
    <w:p>
      <w:pPr>
        <w:pStyle w:val="1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年度或201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年度的财务报表复印件（新成立的公司提供公司成立日之后次月起到响应文件递交截止前一个月的财务报表复印件）或供应商基本开户银行出具的资信证明复印件； </w:t>
      </w:r>
      <w:r>
        <w:rPr>
          <w:rFonts w:hint="eastAsia" w:ascii="仿宋" w:hAnsi="仿宋" w:eastAsia="仿宋" w:cs="仿宋"/>
          <w:b/>
          <w:bCs/>
          <w:color w:val="auto"/>
          <w:sz w:val="24"/>
          <w:szCs w:val="24"/>
          <w:highlight w:val="none"/>
        </w:rPr>
        <w:t>(必须提供)</w:t>
      </w:r>
    </w:p>
    <w:p>
      <w:pPr>
        <w:pStyle w:val="13"/>
        <w:spacing w:line="360" w:lineRule="auto"/>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）法定代表人资格证明书及身份证复印件；</w:t>
      </w:r>
      <w:r>
        <w:rPr>
          <w:rFonts w:hint="eastAsia" w:ascii="仿宋" w:hAnsi="仿宋" w:eastAsia="仿宋" w:cs="仿宋"/>
          <w:b/>
          <w:bCs/>
          <w:color w:val="auto"/>
          <w:sz w:val="24"/>
          <w:szCs w:val="24"/>
          <w:highlight w:val="none"/>
        </w:rPr>
        <w:t>（必须提供）</w:t>
      </w:r>
    </w:p>
    <w:p>
      <w:pPr>
        <w:pStyle w:val="13"/>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）法定代表人授权委托书及被委托人身份证；</w:t>
      </w:r>
      <w:r>
        <w:rPr>
          <w:rFonts w:hint="eastAsia" w:ascii="仿宋" w:hAnsi="仿宋" w:eastAsia="仿宋" w:cs="仿宋"/>
          <w:b/>
          <w:bCs/>
          <w:color w:val="auto"/>
          <w:sz w:val="24"/>
          <w:szCs w:val="24"/>
          <w:highlight w:val="none"/>
        </w:rPr>
        <w:t>（委托代理时必须提供）</w:t>
      </w:r>
    </w:p>
    <w:p>
      <w:pPr>
        <w:pStyle w:val="1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）参加政府采购活动前三年内在经营活动中没有重大违法记录和不良信用记录的书面声明；</w:t>
      </w:r>
      <w:r>
        <w:rPr>
          <w:rFonts w:hint="eastAsia" w:ascii="仿宋" w:hAnsi="仿宋" w:eastAsia="仿宋" w:cs="仿宋"/>
          <w:b/>
          <w:bCs/>
          <w:color w:val="auto"/>
          <w:sz w:val="24"/>
          <w:szCs w:val="24"/>
          <w:highlight w:val="none"/>
        </w:rPr>
        <w:t>（格式自拟，必须提供）</w:t>
      </w:r>
      <w:r>
        <w:rPr>
          <w:rFonts w:hint="eastAsia" w:ascii="仿宋" w:hAnsi="仿宋" w:eastAsia="仿宋" w:cs="仿宋"/>
          <w:color w:val="auto"/>
          <w:sz w:val="24"/>
          <w:szCs w:val="24"/>
          <w:highlight w:val="none"/>
        </w:rPr>
        <w:t>；</w:t>
      </w:r>
    </w:p>
    <w:p>
      <w:pPr>
        <w:pStyle w:val="1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）供应商控股及管理关系情况申报表；</w:t>
      </w:r>
      <w:r>
        <w:rPr>
          <w:rFonts w:hint="eastAsia" w:ascii="仿宋" w:hAnsi="仿宋" w:eastAsia="仿宋" w:cs="仿宋"/>
          <w:b/>
          <w:bCs/>
          <w:color w:val="auto"/>
          <w:sz w:val="24"/>
          <w:szCs w:val="24"/>
          <w:highlight w:val="none"/>
        </w:rPr>
        <w:t>（必须提供）</w:t>
      </w:r>
    </w:p>
    <w:p>
      <w:pPr>
        <w:adjustRightIn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）供应商认为有必要提供的证明其满足本项目竞标资格的声明及文件资料。</w:t>
      </w:r>
    </w:p>
    <w:p>
      <w:pPr>
        <w:ind w:firstLine="472" w:firstLineChars="196"/>
        <w:rPr>
          <w:rFonts w:ascii="仿宋" w:hAnsi="仿宋" w:eastAsia="仿宋" w:cs="仿宋"/>
          <w:color w:val="auto"/>
          <w:highlight w:val="none"/>
        </w:rPr>
      </w:pPr>
      <w:r>
        <w:rPr>
          <w:rFonts w:hint="eastAsia" w:ascii="仿宋" w:hAnsi="仿宋" w:eastAsia="仿宋" w:cs="仿宋"/>
          <w:b/>
          <w:bCs/>
          <w:color w:val="auto"/>
          <w:sz w:val="24"/>
          <w:szCs w:val="24"/>
          <w:highlight w:val="none"/>
        </w:rPr>
        <w:t>（以上材料属复印件的复印后必须加盖单位公章，标注有“必须提供”的材料必须提供，否则磋商响应无效）</w:t>
      </w:r>
    </w:p>
    <w:p>
      <w:pPr>
        <w:rPr>
          <w:rFonts w:ascii="仿宋" w:hAnsi="仿宋" w:eastAsia="仿宋" w:cs="仿宋"/>
          <w:color w:val="auto"/>
          <w:highlight w:val="none"/>
        </w:rPr>
      </w:pPr>
    </w:p>
    <w:p>
      <w:pPr>
        <w:pStyle w:val="13"/>
        <w:spacing w:line="360" w:lineRule="auto"/>
        <w:rPr>
          <w:rFonts w:ascii="仿宋" w:hAnsi="仿宋" w:eastAsia="仿宋" w:cs="仿宋"/>
          <w:b/>
          <w:bCs/>
          <w:color w:val="auto"/>
          <w:sz w:val="24"/>
          <w:szCs w:val="24"/>
          <w:highlight w:val="none"/>
        </w:rPr>
      </w:pPr>
    </w:p>
    <w:p>
      <w:pPr>
        <w:pStyle w:val="13"/>
        <w:spacing w:line="360" w:lineRule="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pPr>
        <w:pStyle w:val="13"/>
        <w:spacing w:line="320" w:lineRule="exact"/>
        <w:ind w:firstLine="420"/>
        <w:jc w:val="center"/>
        <w:rPr>
          <w:rFonts w:ascii="仿宋" w:hAnsi="仿宋" w:eastAsia="仿宋" w:cs="仿宋"/>
          <w:b/>
          <w:bCs/>
          <w:color w:val="auto"/>
          <w:sz w:val="30"/>
          <w:szCs w:val="30"/>
          <w:highlight w:val="none"/>
        </w:rPr>
      </w:pPr>
    </w:p>
    <w:p>
      <w:pPr>
        <w:pStyle w:val="13"/>
        <w:spacing w:line="320" w:lineRule="exact"/>
        <w:ind w:firstLine="42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法定代表人资格证明书（格式）</w:t>
      </w:r>
    </w:p>
    <w:p>
      <w:pPr>
        <w:pStyle w:val="13"/>
        <w:spacing w:line="320" w:lineRule="exact"/>
        <w:ind w:firstLine="420"/>
        <w:rPr>
          <w:rFonts w:ascii="仿宋" w:hAnsi="仿宋" w:eastAsia="仿宋" w:cs="仿宋"/>
          <w:b/>
          <w:bCs/>
          <w:color w:val="auto"/>
          <w:sz w:val="30"/>
          <w:szCs w:val="30"/>
          <w:highlight w:val="none"/>
        </w:rPr>
      </w:pPr>
    </w:p>
    <w:p>
      <w:pPr>
        <w:pStyle w:val="13"/>
        <w:spacing w:line="500" w:lineRule="exact"/>
        <w:ind w:firstLine="27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 xml:space="preserve">                         </w:t>
      </w:r>
    </w:p>
    <w:p>
      <w:pPr>
        <w:pStyle w:val="13"/>
        <w:spacing w:line="500" w:lineRule="exact"/>
        <w:ind w:firstLine="27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pPr>
        <w:pStyle w:val="13"/>
        <w:spacing w:line="500" w:lineRule="exact"/>
        <w:ind w:firstLine="27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3"/>
        <w:spacing w:line="500" w:lineRule="exact"/>
        <w:ind w:firstLine="27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p>
    <w:p>
      <w:pPr>
        <w:pStyle w:val="13"/>
        <w:spacing w:line="500" w:lineRule="exact"/>
        <w:ind w:firstLine="27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pStyle w:val="13"/>
        <w:spacing w:line="500" w:lineRule="exact"/>
        <w:ind w:firstLine="27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pPr>
        <w:pStyle w:val="13"/>
        <w:spacing w:line="500" w:lineRule="exact"/>
        <w:ind w:firstLine="27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Style w:val="13"/>
        <w:spacing w:line="500" w:lineRule="exact"/>
        <w:rPr>
          <w:rFonts w:ascii="仿宋" w:hAnsi="仿宋" w:eastAsia="仿宋" w:cs="仿宋"/>
          <w:color w:val="auto"/>
          <w:sz w:val="24"/>
          <w:szCs w:val="24"/>
          <w:highlight w:val="none"/>
        </w:rPr>
      </w:pPr>
    </w:p>
    <w:p>
      <w:pPr>
        <w:pStyle w:val="13"/>
        <w:spacing w:line="500" w:lineRule="exact"/>
        <w:ind w:right="6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pStyle w:val="13"/>
        <w:spacing w:line="500" w:lineRule="exact"/>
        <w:ind w:firstLine="4560" w:firstLineChars="19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时      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3"/>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w:t>
      </w:r>
    </w:p>
    <w:p>
      <w:pPr>
        <w:pStyle w:val="13"/>
        <w:spacing w:line="480" w:lineRule="exact"/>
        <w:rPr>
          <w:rFonts w:ascii="仿宋" w:hAnsi="仿宋" w:eastAsia="仿宋" w:cs="仿宋"/>
          <w:color w:val="auto"/>
          <w:highlight w:val="none"/>
        </w:rPr>
      </w:pPr>
      <w:r>
        <w:rPr>
          <w:rFonts w:hint="eastAsia" w:ascii="仿宋" w:hAnsi="仿宋" w:eastAsia="仿宋" w:cs="仿宋"/>
          <w:b/>
          <w:bCs/>
          <w:color w:val="auto"/>
          <w:sz w:val="24"/>
          <w:szCs w:val="24"/>
          <w:highlight w:val="none"/>
        </w:rPr>
        <w:t>附：法定代表人身份证复印件</w:t>
      </w:r>
      <w:r>
        <w:rPr>
          <w:rFonts w:ascii="仿宋" w:hAnsi="仿宋" w:eastAsia="仿宋" w:cs="仿宋"/>
          <w:color w:val="auto"/>
          <w:highlight w:val="none"/>
        </w:rPr>
        <mc:AlternateContent>
          <mc:Choice Requires="wps">
            <w:drawing>
              <wp:anchor distT="180340" distB="0" distL="114300" distR="114300" simplePos="0" relativeHeight="1024"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 name="Line 7"/>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margin-left:0pt;margin-top:0pt;height:0pt;width:483pt;mso-wrap-distance-bottom:0pt;mso-wrap-distance-top:14.2pt;z-index:102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AdU99AAAAACAQAADwAAAAAAAAABACAAAAAiAAAAZHJzL2Rvd25yZXYueG1sUEsBAhQA&#10;FAAAAAgAh07iQPU8AMDBAQAAiwMAAA4AAAAAAAAAAQAgAAAAHwEAAGRycy9lMm9Eb2MueG1sUEsF&#10;BgAAAAAGAAYAWQEAAFIFAAAAAA==&#10;">
                <v:fill on="f" focussize="0,0"/>
                <v:stroke color="#000000" joinstyle="round"/>
                <v:imagedata o:title=""/>
                <o:lock v:ext="edit" aspectratio="f"/>
                <w10:wrap type="topAndBottom"/>
              </v:line>
            </w:pict>
          </mc:Fallback>
        </mc:AlternateContent>
      </w:r>
    </w:p>
    <w:p>
      <w:pPr>
        <w:pStyle w:val="13"/>
        <w:spacing w:line="480" w:lineRule="exact"/>
        <w:rPr>
          <w:rFonts w:ascii="仿宋" w:hAnsi="仿宋" w:eastAsia="仿宋" w:cs="仿宋"/>
          <w:color w:val="auto"/>
          <w:highlight w:val="none"/>
        </w:rPr>
      </w:pPr>
    </w:p>
    <w:p>
      <w:pPr>
        <w:pStyle w:val="13"/>
        <w:spacing w:line="240" w:lineRule="exact"/>
        <w:rPr>
          <w:rFonts w:ascii="仿宋" w:hAnsi="仿宋" w:eastAsia="仿宋" w:cs="仿宋"/>
          <w:color w:val="auto"/>
          <w:sz w:val="24"/>
          <w:szCs w:val="24"/>
          <w:highlight w:val="none"/>
        </w:rPr>
      </w:pPr>
    </w:p>
    <w:p>
      <w:pPr>
        <w:pStyle w:val="13"/>
        <w:spacing w:line="320" w:lineRule="exact"/>
        <w:rPr>
          <w:rFonts w:ascii="仿宋" w:hAnsi="仿宋" w:eastAsia="仿宋" w:cs="仿宋"/>
          <w:color w:val="auto"/>
          <w:highlight w:val="none"/>
        </w:rPr>
      </w:pPr>
    </w:p>
    <w:p>
      <w:pPr>
        <w:pStyle w:val="13"/>
        <w:spacing w:line="320" w:lineRule="exact"/>
        <w:rPr>
          <w:rFonts w:ascii="仿宋" w:hAnsi="仿宋" w:eastAsia="仿宋" w:cs="仿宋"/>
          <w:color w:val="auto"/>
          <w:highlight w:val="none"/>
        </w:rPr>
      </w:pPr>
      <w:r>
        <w:rPr>
          <w:rFonts w:hint="eastAsia" w:ascii="仿宋" w:hAnsi="仿宋" w:eastAsia="仿宋" w:cs="仿宋"/>
          <w:color w:val="auto"/>
          <w:highlight w:val="none"/>
        </w:rPr>
        <w:t>说明：</w:t>
      </w:r>
    </w:p>
    <w:p>
      <w:pPr>
        <w:pStyle w:val="13"/>
        <w:numPr>
          <w:ilvl w:val="0"/>
          <w:numId w:val="2"/>
        </w:numPr>
        <w:spacing w:line="320" w:lineRule="exact"/>
        <w:rPr>
          <w:rFonts w:ascii="仿宋" w:hAnsi="仿宋" w:eastAsia="仿宋" w:cs="仿宋"/>
          <w:color w:val="auto"/>
          <w:highlight w:val="none"/>
        </w:rPr>
      </w:pPr>
      <w:r>
        <w:rPr>
          <w:rFonts w:hint="eastAsia" w:ascii="仿宋" w:hAnsi="仿宋" w:eastAsia="仿宋" w:cs="仿宋"/>
          <w:color w:val="auto"/>
          <w:highlight w:val="none"/>
        </w:rPr>
        <w:t>内容填写要明确，响应文件正本必须为原件，文字要工整清楚，涂改无效。</w:t>
      </w:r>
    </w:p>
    <w:p>
      <w:pPr>
        <w:pStyle w:val="13"/>
        <w:numPr>
          <w:ilvl w:val="0"/>
          <w:numId w:val="2"/>
        </w:numPr>
        <w:spacing w:line="320" w:lineRule="exact"/>
        <w:rPr>
          <w:rFonts w:ascii="仿宋" w:hAnsi="仿宋" w:eastAsia="仿宋" w:cs="仿宋"/>
          <w:color w:val="auto"/>
          <w:highlight w:val="none"/>
        </w:rPr>
      </w:pPr>
      <w:r>
        <w:rPr>
          <w:rFonts w:hint="eastAsia" w:ascii="仿宋" w:hAnsi="仿宋" w:eastAsia="仿宋" w:cs="仿宋"/>
          <w:color w:val="auto"/>
          <w:highlight w:val="none"/>
        </w:rPr>
        <w:t>不得转借、转让。</w:t>
      </w:r>
    </w:p>
    <w:p>
      <w:pPr>
        <w:pStyle w:val="13"/>
        <w:spacing w:line="440" w:lineRule="exact"/>
        <w:jc w:val="center"/>
        <w:rPr>
          <w:rFonts w:ascii="仿宋" w:hAnsi="仿宋" w:eastAsia="仿宋" w:cs="仿宋"/>
          <w:color w:val="auto"/>
          <w:highlight w:val="none"/>
        </w:rPr>
      </w:pPr>
      <w:r>
        <w:rPr>
          <w:rFonts w:hint="eastAsia" w:ascii="仿宋" w:hAnsi="仿宋" w:eastAsia="仿宋" w:cs="仿宋"/>
          <w:color w:val="auto"/>
          <w:highlight w:val="none"/>
        </w:rPr>
        <w:br w:type="page"/>
      </w:r>
    </w:p>
    <w:p>
      <w:pPr>
        <w:pStyle w:val="13"/>
        <w:spacing w:line="440" w:lineRule="exact"/>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法定代表人授权委托书</w:t>
      </w:r>
      <w:r>
        <w:rPr>
          <w:rFonts w:hint="eastAsia" w:ascii="仿宋" w:hAnsi="仿宋" w:eastAsia="仿宋" w:cs="仿宋"/>
          <w:color w:val="auto"/>
          <w:kern w:val="44"/>
          <w:sz w:val="32"/>
          <w:szCs w:val="32"/>
          <w:highlight w:val="none"/>
        </w:rPr>
        <w:t>（格式）</w:t>
      </w:r>
    </w:p>
    <w:p>
      <w:pPr>
        <w:pStyle w:val="13"/>
        <w:rPr>
          <w:rFonts w:ascii="仿宋" w:hAnsi="仿宋" w:eastAsia="仿宋" w:cs="仿宋"/>
          <w:color w:val="auto"/>
          <w:highlight w:val="none"/>
        </w:rPr>
      </w:pPr>
    </w:p>
    <w:p>
      <w:pPr>
        <w:pStyle w:val="13"/>
        <w:spacing w:line="48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同志为我方参加贵单位组织的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）竞标代理人，全权代表我公司处理在该项目活动中的一切事宜。</w:t>
      </w:r>
    </w:p>
    <w:p>
      <w:pPr>
        <w:pStyle w:val="13"/>
        <w:spacing w:line="480" w:lineRule="exact"/>
        <w:rPr>
          <w:rFonts w:ascii="仿宋" w:hAnsi="仿宋" w:eastAsia="仿宋" w:cs="仿宋"/>
          <w:color w:val="auto"/>
          <w:sz w:val="24"/>
          <w:szCs w:val="24"/>
          <w:highlight w:val="none"/>
        </w:rPr>
      </w:pPr>
    </w:p>
    <w:p>
      <w:pPr>
        <w:pStyle w:val="13"/>
        <w:spacing w:line="480" w:lineRule="exact"/>
        <w:ind w:firstLine="420"/>
        <w:rPr>
          <w:rFonts w:ascii="仿宋" w:hAnsi="仿宋" w:eastAsia="仿宋" w:cs="仿宋"/>
          <w:color w:val="auto"/>
          <w:highlight w:val="none"/>
        </w:rPr>
      </w:pPr>
      <w:r>
        <w:rPr>
          <w:rFonts w:hint="eastAsia" w:ascii="仿宋" w:hAnsi="仿宋" w:eastAsia="仿宋" w:cs="仿宋"/>
          <w:color w:val="auto"/>
          <w:sz w:val="24"/>
          <w:szCs w:val="24"/>
          <w:highlight w:val="none"/>
        </w:rPr>
        <w:t xml:space="preserve">代理期限：  </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pStyle w:val="13"/>
        <w:spacing w:line="480" w:lineRule="exact"/>
        <w:rPr>
          <w:rFonts w:ascii="仿宋" w:hAnsi="仿宋" w:eastAsia="仿宋" w:cs="仿宋"/>
          <w:color w:val="auto"/>
          <w:sz w:val="24"/>
          <w:szCs w:val="24"/>
          <w:highlight w:val="none"/>
        </w:rPr>
      </w:pPr>
    </w:p>
    <w:p>
      <w:pPr>
        <w:pStyle w:val="13"/>
        <w:spacing w:line="48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    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pStyle w:val="13"/>
        <w:spacing w:line="480" w:lineRule="exact"/>
        <w:ind w:firstLine="420"/>
        <w:rPr>
          <w:rFonts w:ascii="仿宋" w:hAnsi="仿宋" w:eastAsia="仿宋" w:cs="仿宋"/>
          <w:color w:val="auto"/>
          <w:sz w:val="24"/>
          <w:szCs w:val="24"/>
          <w:highlight w:val="none"/>
        </w:rPr>
      </w:pPr>
    </w:p>
    <w:p>
      <w:pPr>
        <w:pStyle w:val="13"/>
        <w:spacing w:line="48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3"/>
        <w:spacing w:line="4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13"/>
        <w:spacing w:line="480" w:lineRule="exact"/>
        <w:rPr>
          <w:rFonts w:ascii="仿宋" w:hAnsi="仿宋" w:eastAsia="仿宋" w:cs="仿宋"/>
          <w:color w:val="auto"/>
          <w:sz w:val="24"/>
          <w:szCs w:val="24"/>
          <w:highlight w:val="none"/>
          <w:u w:val="single"/>
        </w:rPr>
      </w:pPr>
      <w:r>
        <w:rPr>
          <w:rFonts w:ascii="仿宋" w:hAnsi="仿宋" w:eastAsia="仿宋" w:cs="仿宋"/>
          <w:color w:val="auto"/>
          <w:highlight w:val="none"/>
        </w:rPr>
        <mc:AlternateContent>
          <mc:Choice Requires="wps">
            <w:drawing>
              <wp:anchor distT="180340" distB="0" distL="114300" distR="114300" simplePos="0" relativeHeight="1024"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2" name="Line 8"/>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0pt;margin-top:0pt;height:0pt;width:483pt;mso-wrap-distance-bottom:0pt;mso-wrap-distance-top:14.2pt;z-index:102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AdU99AAAAACAQAADwAAAAAAAAABACAAAAAiAAAAZHJzL2Rvd25yZXYueG1sUEsBAhQA&#10;FAAAAAgAh07iQOiLAlbBAQAAiwMAAA4AAAAAAAAAAQAgAAAAHwEAAGRycy9lMm9Eb2MueG1sUEsF&#10;BgAAAAAGAAYAWQEAAFIFAAAAAA==&#10;">
                <v:fill on="f" focussize="0,0"/>
                <v:stroke color="#000000" joinstyle="round"/>
                <v:imagedata o:title=""/>
                <o:lock v:ext="edit" aspectratio="f"/>
                <w10:wrap type="topAndBottom"/>
              </v:line>
            </w:pict>
          </mc:Fallback>
        </mc:AlternateContent>
      </w:r>
      <w:r>
        <w:rPr>
          <w:rFonts w:hint="eastAsia" w:ascii="仿宋" w:hAnsi="仿宋" w:eastAsia="仿宋" w:cs="仿宋"/>
          <w:color w:val="auto"/>
          <w:sz w:val="24"/>
          <w:szCs w:val="24"/>
          <w:highlight w:val="none"/>
        </w:rPr>
        <w:t xml:space="preserve">    附注：1、代理人工作单位：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pStyle w:val="13"/>
        <w:spacing w:line="48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p>
    <w:p>
      <w:pPr>
        <w:pStyle w:val="13"/>
        <w:spacing w:line="480" w:lineRule="exact"/>
        <w:ind w:firstLine="361" w:firstLineChars="15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附：代理人身份证复印件。</w:t>
      </w:r>
    </w:p>
    <w:p>
      <w:pPr>
        <w:pStyle w:val="13"/>
        <w:spacing w:line="480" w:lineRule="exact"/>
        <w:rPr>
          <w:rFonts w:ascii="仿宋" w:hAnsi="仿宋" w:eastAsia="仿宋" w:cs="仿宋"/>
          <w:color w:val="auto"/>
          <w:sz w:val="24"/>
          <w:szCs w:val="24"/>
          <w:highlight w:val="none"/>
        </w:rPr>
      </w:pPr>
    </w:p>
    <w:p>
      <w:pPr>
        <w:pStyle w:val="13"/>
        <w:spacing w:line="480" w:lineRule="exact"/>
        <w:rPr>
          <w:rFonts w:ascii="仿宋" w:hAnsi="仿宋" w:eastAsia="仿宋" w:cs="仿宋"/>
          <w:color w:val="auto"/>
          <w:sz w:val="24"/>
          <w:szCs w:val="24"/>
          <w:highlight w:val="none"/>
        </w:rPr>
      </w:pPr>
    </w:p>
    <w:p>
      <w:pPr>
        <w:pStyle w:val="13"/>
        <w:spacing w:line="360" w:lineRule="auto"/>
        <w:rPr>
          <w:rFonts w:ascii="仿宋" w:hAnsi="仿宋" w:eastAsia="仿宋" w:cs="仿宋"/>
          <w:color w:val="auto"/>
          <w:highlight w:val="none"/>
        </w:rPr>
      </w:pPr>
      <w:r>
        <w:rPr>
          <w:rFonts w:hint="eastAsia" w:ascii="仿宋" w:hAnsi="仿宋" w:eastAsia="仿宋" w:cs="仿宋"/>
          <w:b/>
          <w:bCs/>
          <w:color w:val="auto"/>
          <w:highlight w:val="none"/>
        </w:rPr>
        <w:t>说明</w:t>
      </w:r>
      <w:r>
        <w:rPr>
          <w:rFonts w:hint="eastAsia" w:ascii="仿宋" w:hAnsi="仿宋" w:eastAsia="仿宋" w:cs="仿宋"/>
          <w:color w:val="auto"/>
          <w:highlight w:val="none"/>
        </w:rPr>
        <w:t>：</w:t>
      </w:r>
    </w:p>
    <w:p>
      <w:pPr>
        <w:pStyle w:val="13"/>
        <w:spacing w:line="360" w:lineRule="auto"/>
        <w:ind w:firstLine="400" w:firstLineChars="20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rPr>
        <w:t>法定代表人授权委托书所签发的代理期限必须涵盖代理人所有签字为有效的时间</w:t>
      </w:r>
      <w:r>
        <w:rPr>
          <w:rFonts w:hint="eastAsia" w:ascii="仿宋" w:hAnsi="仿宋" w:eastAsia="仿宋" w:cs="仿宋"/>
          <w:color w:val="auto"/>
          <w:highlight w:val="none"/>
        </w:rPr>
        <w:t>。</w:t>
      </w:r>
    </w:p>
    <w:p>
      <w:pPr>
        <w:pStyle w:val="13"/>
        <w:spacing w:line="360" w:lineRule="auto"/>
        <w:ind w:firstLine="400" w:firstLineChars="200"/>
        <w:rPr>
          <w:rFonts w:ascii="仿宋" w:hAnsi="仿宋" w:eastAsia="仿宋" w:cs="仿宋"/>
          <w:color w:val="auto"/>
          <w:highlight w:val="none"/>
        </w:rPr>
      </w:pPr>
      <w:r>
        <w:rPr>
          <w:rFonts w:hint="eastAsia" w:ascii="仿宋" w:hAnsi="仿宋" w:eastAsia="仿宋" w:cs="仿宋"/>
          <w:color w:val="auto"/>
          <w:highlight w:val="none"/>
        </w:rPr>
        <w:t>2、委托书内容填写要明确，文字要工整清楚，涂改无效。</w:t>
      </w:r>
    </w:p>
    <w:p>
      <w:pPr>
        <w:pStyle w:val="13"/>
        <w:spacing w:line="360" w:lineRule="auto"/>
        <w:ind w:firstLine="400" w:firstLineChars="200"/>
        <w:rPr>
          <w:rFonts w:ascii="仿宋" w:hAnsi="仿宋" w:eastAsia="仿宋" w:cs="仿宋"/>
          <w:color w:val="auto"/>
          <w:highlight w:val="none"/>
        </w:rPr>
      </w:pPr>
      <w:r>
        <w:rPr>
          <w:rFonts w:hint="eastAsia" w:ascii="仿宋" w:hAnsi="仿宋" w:eastAsia="仿宋" w:cs="仿宋"/>
          <w:color w:val="auto"/>
          <w:highlight w:val="none"/>
        </w:rPr>
        <w:t>3、委托书不得转借、转让，不得买卖。</w:t>
      </w:r>
    </w:p>
    <w:p>
      <w:pPr>
        <w:pStyle w:val="13"/>
        <w:spacing w:line="360" w:lineRule="auto"/>
        <w:ind w:firstLine="400" w:firstLineChars="200"/>
        <w:rPr>
          <w:rFonts w:ascii="仿宋" w:hAnsi="仿宋" w:eastAsia="仿宋" w:cs="仿宋"/>
          <w:color w:val="auto"/>
          <w:highlight w:val="none"/>
        </w:rPr>
      </w:pPr>
      <w:r>
        <w:rPr>
          <w:rFonts w:hint="eastAsia" w:ascii="仿宋" w:hAnsi="仿宋" w:eastAsia="仿宋" w:cs="仿宋"/>
          <w:color w:val="auto"/>
          <w:highlight w:val="none"/>
        </w:rPr>
        <w:t>4、代理人根据授权范围，以委托单位的名义签订合同，并将此委托书提交给对方作为合同附件。</w:t>
      </w:r>
    </w:p>
    <w:p>
      <w:pPr>
        <w:pStyle w:val="13"/>
        <w:spacing w:line="360" w:lineRule="auto"/>
        <w:rPr>
          <w:rFonts w:ascii="仿宋" w:hAnsi="仿宋" w:eastAsia="仿宋" w:cs="仿宋"/>
          <w:color w:val="auto"/>
          <w:sz w:val="24"/>
          <w:szCs w:val="24"/>
          <w:highlight w:val="none"/>
        </w:rPr>
      </w:pPr>
    </w:p>
    <w:p>
      <w:pPr>
        <w:pStyle w:val="13"/>
        <w:spacing w:line="480" w:lineRule="exact"/>
        <w:rPr>
          <w:rFonts w:ascii="仿宋" w:hAnsi="仿宋" w:eastAsia="仿宋" w:cs="仿宋"/>
          <w:color w:val="auto"/>
          <w:highlight w:val="none"/>
        </w:rPr>
      </w:pPr>
    </w:p>
    <w:p>
      <w:pPr>
        <w:pStyle w:val="13"/>
        <w:spacing w:line="480" w:lineRule="exact"/>
        <w:rPr>
          <w:rFonts w:ascii="仿宋" w:hAnsi="仿宋" w:eastAsia="仿宋" w:cs="仿宋"/>
          <w:color w:val="auto"/>
          <w:highlight w:val="none"/>
        </w:rPr>
      </w:pPr>
    </w:p>
    <w:p>
      <w:pPr>
        <w:pStyle w:val="13"/>
        <w:spacing w:line="480" w:lineRule="exact"/>
        <w:rPr>
          <w:rFonts w:ascii="仿宋" w:hAnsi="仿宋" w:eastAsia="仿宋" w:cs="仿宋"/>
          <w:color w:val="auto"/>
          <w:highlight w:val="none"/>
        </w:rPr>
      </w:pPr>
    </w:p>
    <w:p>
      <w:pPr>
        <w:pStyle w:val="13"/>
        <w:spacing w:line="480" w:lineRule="exact"/>
        <w:rPr>
          <w:rFonts w:ascii="仿宋" w:hAnsi="仿宋" w:eastAsia="仿宋" w:cs="仿宋"/>
          <w:color w:val="auto"/>
          <w:highlight w:val="none"/>
        </w:rPr>
      </w:pPr>
    </w:p>
    <w:p>
      <w:pPr>
        <w:pStyle w:val="3"/>
        <w:spacing w:before="340" w:after="330"/>
        <w:jc w:val="center"/>
        <w:rPr>
          <w:rFonts w:ascii="仿宋" w:hAnsi="仿宋" w:eastAsia="仿宋" w:cs="仿宋"/>
          <w:color w:val="auto"/>
          <w:sz w:val="32"/>
          <w:szCs w:val="32"/>
          <w:highlight w:val="none"/>
        </w:rPr>
      </w:pPr>
      <w:bookmarkStart w:id="224" w:name="_Toc25731"/>
      <w:bookmarkStart w:id="225" w:name="_Toc9859"/>
      <w:bookmarkStart w:id="226" w:name="_Toc22374"/>
    </w:p>
    <w:p>
      <w:pPr>
        <w:pStyle w:val="3"/>
        <w:spacing w:before="340" w:after="330"/>
        <w:jc w:val="center"/>
        <w:rPr>
          <w:rFonts w:ascii="仿宋" w:hAnsi="仿宋" w:eastAsia="仿宋" w:cs="仿宋"/>
          <w:color w:val="auto"/>
          <w:spacing w:val="-6"/>
          <w:sz w:val="28"/>
          <w:szCs w:val="28"/>
          <w:highlight w:val="none"/>
        </w:rPr>
      </w:pPr>
      <w:r>
        <w:rPr>
          <w:rFonts w:hint="eastAsia" w:ascii="仿宋" w:hAnsi="仿宋" w:eastAsia="仿宋" w:cs="仿宋"/>
          <w:color w:val="auto"/>
          <w:sz w:val="32"/>
          <w:szCs w:val="32"/>
          <w:highlight w:val="none"/>
        </w:rPr>
        <w:t>无重大违法记录声明书 （格式）</w:t>
      </w:r>
      <w:bookmarkEnd w:id="224"/>
      <w:bookmarkEnd w:id="225"/>
      <w:bookmarkEnd w:id="226"/>
    </w:p>
    <w:p>
      <w:pPr>
        <w:spacing w:line="480" w:lineRule="auto"/>
        <w:jc w:val="lef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致：</w:t>
      </w:r>
      <w:r>
        <w:rPr>
          <w:rFonts w:hint="eastAsia" w:ascii="仿宋" w:hAnsi="仿宋" w:eastAsia="仿宋" w:cs="仿宋"/>
          <w:color w:val="auto"/>
          <w:spacing w:val="-6"/>
          <w:sz w:val="24"/>
          <w:szCs w:val="24"/>
          <w:highlight w:val="none"/>
          <w:u w:val="single"/>
        </w:rPr>
        <w:t>（采购人）</w:t>
      </w:r>
      <w:r>
        <w:rPr>
          <w:rFonts w:hint="eastAsia" w:ascii="仿宋" w:hAnsi="仿宋" w:eastAsia="仿宋" w:cs="仿宋"/>
          <w:color w:val="auto"/>
          <w:spacing w:val="-6"/>
          <w:sz w:val="24"/>
          <w:szCs w:val="24"/>
          <w:highlight w:val="none"/>
        </w:rPr>
        <w:t xml:space="preserve"> </w:t>
      </w:r>
    </w:p>
    <w:p>
      <w:pPr>
        <w:spacing w:line="480" w:lineRule="auto"/>
        <w:jc w:val="lef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我公司参加贵单位组织 </w:t>
      </w:r>
      <w:r>
        <w:rPr>
          <w:rFonts w:hint="eastAsia" w:ascii="仿宋" w:hAnsi="仿宋" w:eastAsia="仿宋" w:cs="仿宋"/>
          <w:color w:val="auto"/>
          <w:spacing w:val="-6"/>
          <w:sz w:val="24"/>
          <w:szCs w:val="24"/>
          <w:highlight w:val="none"/>
          <w:u w:val="single"/>
        </w:rPr>
        <w:t xml:space="preserve">             （项目名称）    </w:t>
      </w:r>
      <w:r>
        <w:rPr>
          <w:rFonts w:hint="eastAsia" w:ascii="仿宋" w:hAnsi="仿宋" w:eastAsia="仿宋" w:cs="仿宋"/>
          <w:color w:val="auto"/>
          <w:spacing w:val="-6"/>
          <w:sz w:val="24"/>
          <w:szCs w:val="24"/>
          <w:highlight w:val="none"/>
        </w:rPr>
        <w:t xml:space="preserve">项目的竞标活动。我公司在此郑重声明，我公司参加本项目的政府采购活动前三年内在经营活动中没有重大违法记录，符合《中华人民共和国政府采购法》及《中华人民共和国政府采购实施条例》规定的谈判供应商条件，我公司对此声明负全部法律责任。 </w:t>
      </w:r>
    </w:p>
    <w:p>
      <w:pPr>
        <w:spacing w:line="480" w:lineRule="auto"/>
        <w:jc w:val="left"/>
        <w:rPr>
          <w:rFonts w:ascii="仿宋" w:hAnsi="仿宋" w:eastAsia="仿宋" w:cs="仿宋"/>
          <w:b/>
          <w:bCs/>
          <w:color w:val="auto"/>
          <w:spacing w:val="-6"/>
          <w:sz w:val="28"/>
          <w:szCs w:val="28"/>
          <w:highlight w:val="none"/>
        </w:rPr>
      </w:pPr>
      <w:r>
        <w:rPr>
          <w:rFonts w:hint="eastAsia" w:ascii="仿宋" w:hAnsi="仿宋" w:eastAsia="仿宋" w:cs="仿宋"/>
          <w:color w:val="auto"/>
          <w:spacing w:val="-6"/>
          <w:sz w:val="24"/>
          <w:szCs w:val="24"/>
          <w:highlight w:val="none"/>
        </w:rPr>
        <w:t xml:space="preserve">特此承诺。 </w:t>
      </w:r>
      <w:r>
        <w:rPr>
          <w:rFonts w:hint="eastAsia" w:ascii="仿宋" w:hAnsi="仿宋" w:eastAsia="仿宋" w:cs="仿宋"/>
          <w:b/>
          <w:bCs/>
          <w:color w:val="auto"/>
          <w:spacing w:val="-6"/>
          <w:sz w:val="28"/>
          <w:szCs w:val="28"/>
          <w:highlight w:val="none"/>
        </w:rPr>
        <w:t xml:space="preserve"> </w:t>
      </w:r>
    </w:p>
    <w:p>
      <w:pPr>
        <w:spacing w:line="480" w:lineRule="auto"/>
        <w:ind w:firstLine="2280" w:firstLineChars="950"/>
        <w:jc w:val="left"/>
        <w:rPr>
          <w:rFonts w:ascii="仿宋" w:hAnsi="仿宋" w:eastAsia="仿宋" w:cs="仿宋"/>
          <w:color w:val="auto"/>
          <w:sz w:val="24"/>
          <w:szCs w:val="24"/>
          <w:highlight w:val="none"/>
        </w:rPr>
      </w:pPr>
    </w:p>
    <w:p>
      <w:pPr>
        <w:pStyle w:val="1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供应商（盖章）：</w:t>
      </w:r>
      <w:r>
        <w:rPr>
          <w:rFonts w:hint="eastAsia" w:ascii="仿宋" w:hAnsi="仿宋" w:eastAsia="仿宋" w:cs="仿宋"/>
          <w:color w:val="auto"/>
          <w:sz w:val="24"/>
          <w:szCs w:val="24"/>
          <w:highlight w:val="none"/>
          <w:u w:val="single"/>
        </w:rPr>
        <w:t xml:space="preserve">                                     </w:t>
      </w:r>
    </w:p>
    <w:p>
      <w:pPr>
        <w:pStyle w:val="13"/>
        <w:jc w:val="left"/>
        <w:rPr>
          <w:rFonts w:ascii="仿宋" w:hAnsi="仿宋" w:eastAsia="仿宋" w:cs="仿宋"/>
          <w:color w:val="auto"/>
          <w:sz w:val="24"/>
          <w:szCs w:val="24"/>
          <w:highlight w:val="none"/>
        </w:rPr>
      </w:pPr>
    </w:p>
    <w:p>
      <w:pPr>
        <w:pStyle w:val="1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法定代表人或委托代理人（签字或盖章）：</w:t>
      </w:r>
      <w:r>
        <w:rPr>
          <w:rFonts w:hint="eastAsia" w:ascii="仿宋" w:hAnsi="仿宋" w:eastAsia="仿宋" w:cs="仿宋"/>
          <w:color w:val="auto"/>
          <w:sz w:val="24"/>
          <w:szCs w:val="24"/>
          <w:highlight w:val="none"/>
          <w:u w:val="single"/>
        </w:rPr>
        <w:t xml:space="preserve">               </w:t>
      </w:r>
    </w:p>
    <w:p>
      <w:pPr>
        <w:pStyle w:val="13"/>
        <w:jc w:val="left"/>
        <w:rPr>
          <w:rFonts w:ascii="仿宋" w:hAnsi="仿宋" w:eastAsia="仿宋" w:cs="仿宋"/>
          <w:b/>
          <w:bCs/>
          <w:color w:val="auto"/>
          <w:sz w:val="24"/>
          <w:szCs w:val="24"/>
          <w:highlight w:val="none"/>
        </w:rPr>
      </w:pPr>
    </w:p>
    <w:p>
      <w:pPr>
        <w:pStyle w:val="1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w:t>
      </w:r>
    </w:p>
    <w:p>
      <w:pPr>
        <w:pStyle w:val="13"/>
        <w:rPr>
          <w:rFonts w:ascii="仿宋" w:hAnsi="仿宋" w:eastAsia="仿宋" w:cs="仿宋"/>
          <w:color w:val="auto"/>
          <w:highlight w:val="none"/>
        </w:rPr>
      </w:pPr>
    </w:p>
    <w:p>
      <w:pPr>
        <w:pStyle w:val="3"/>
        <w:jc w:val="cente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62"/>
        <w:ind w:firstLine="0" w:firstLineChars="0"/>
        <w:jc w:val="center"/>
        <w:rPr>
          <w:rFonts w:ascii="仿宋" w:hAnsi="仿宋" w:eastAsia="仿宋" w:cs="仿宋"/>
          <w:b/>
          <w:bCs/>
          <w:color w:val="auto"/>
          <w:sz w:val="30"/>
          <w:szCs w:val="30"/>
          <w:highlight w:val="none"/>
        </w:rPr>
      </w:pPr>
    </w:p>
    <w:p>
      <w:pPr>
        <w:pStyle w:val="62"/>
        <w:ind w:firstLine="0" w:firstLineChars="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供应商控股及管理关系情况申报表</w:t>
      </w:r>
    </w:p>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致                  </w:t>
      </w:r>
      <w:r>
        <w:rPr>
          <w:rFonts w:hint="eastAsia" w:ascii="仿宋" w:hAnsi="仿宋" w:eastAsia="仿宋" w:cs="仿宋"/>
          <w:color w:val="auto"/>
          <w:sz w:val="24"/>
          <w:szCs w:val="24"/>
          <w:highlight w:val="none"/>
        </w:rPr>
        <w:t>：</w:t>
      </w:r>
    </w:p>
    <w:p>
      <w:pPr>
        <w:adjustRightInd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我司参加</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的竞标，根据法律法规维护投标公正性的相关规定，特就本单位控股及管理关系情况申报如下，并承担申报不实的责任。</w:t>
      </w:r>
    </w:p>
    <w:tbl>
      <w:tblPr>
        <w:tblStyle w:val="23"/>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259"/>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申报人名称</w:t>
            </w:r>
          </w:p>
        </w:tc>
        <w:tc>
          <w:tcPr>
            <w:tcW w:w="5917" w:type="dxa"/>
            <w:gridSpan w:val="2"/>
            <w:vAlign w:val="center"/>
          </w:tcPr>
          <w:p>
            <w:pPr>
              <w:adjustRightInd w:val="0"/>
              <w:snapToGrid w:val="0"/>
              <w:spacing w:line="440" w:lineRule="exac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w:t>
            </w:r>
          </w:p>
        </w:tc>
        <w:tc>
          <w:tcPr>
            <w:tcW w:w="2259" w:type="dxa"/>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3658" w:type="dxa"/>
            <w:vAlign w:val="center"/>
          </w:tcPr>
          <w:p>
            <w:pPr>
              <w:adjustRightInd w:val="0"/>
              <w:snapToGrid w:val="0"/>
              <w:spacing w:line="440" w:lineRule="exac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49" w:type="dxa"/>
            <w:vMerge w:val="continue"/>
            <w:vAlign w:val="center"/>
          </w:tcPr>
          <w:p>
            <w:pPr>
              <w:adjustRightInd w:val="0"/>
              <w:snapToGrid w:val="0"/>
              <w:spacing w:line="440" w:lineRule="exact"/>
              <w:rPr>
                <w:rFonts w:ascii="仿宋" w:hAnsi="仿宋" w:eastAsia="仿宋" w:cs="仿宋"/>
                <w:color w:val="auto"/>
                <w:sz w:val="24"/>
                <w:szCs w:val="24"/>
                <w:highlight w:val="none"/>
              </w:rPr>
            </w:pPr>
          </w:p>
        </w:tc>
        <w:tc>
          <w:tcPr>
            <w:tcW w:w="2259" w:type="dxa"/>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p>
        </w:tc>
        <w:tc>
          <w:tcPr>
            <w:tcW w:w="3658" w:type="dxa"/>
            <w:vAlign w:val="center"/>
          </w:tcPr>
          <w:p>
            <w:pPr>
              <w:adjustRightInd w:val="0"/>
              <w:snapToGrid w:val="0"/>
              <w:spacing w:line="440" w:lineRule="exac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449" w:type="dxa"/>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控股股东/投资人名称</w:t>
            </w:r>
          </w:p>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及出资比例</w:t>
            </w:r>
          </w:p>
        </w:tc>
        <w:tc>
          <w:tcPr>
            <w:tcW w:w="5917" w:type="dxa"/>
            <w:gridSpan w:val="2"/>
            <w:vAlign w:val="center"/>
          </w:tcPr>
          <w:p>
            <w:pPr>
              <w:adjustRightInd w:val="0"/>
              <w:snapToGrid w:val="0"/>
              <w:spacing w:line="440" w:lineRule="exac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449" w:type="dxa"/>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非控股股东/投资人名称</w:t>
            </w:r>
          </w:p>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及出资比例</w:t>
            </w:r>
          </w:p>
        </w:tc>
        <w:tc>
          <w:tcPr>
            <w:tcW w:w="5917" w:type="dxa"/>
            <w:gridSpan w:val="2"/>
            <w:vAlign w:val="center"/>
          </w:tcPr>
          <w:p>
            <w:pPr>
              <w:adjustRightInd w:val="0"/>
              <w:snapToGrid w:val="0"/>
              <w:spacing w:line="440" w:lineRule="exac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管理关系单位名称</w:t>
            </w:r>
          </w:p>
        </w:tc>
        <w:tc>
          <w:tcPr>
            <w:tcW w:w="2259" w:type="dxa"/>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管理关系单位名称</w:t>
            </w:r>
          </w:p>
        </w:tc>
        <w:tc>
          <w:tcPr>
            <w:tcW w:w="3658" w:type="dxa"/>
            <w:vAlign w:val="center"/>
          </w:tcPr>
          <w:p>
            <w:pPr>
              <w:adjustRightInd w:val="0"/>
              <w:snapToGrid w:val="0"/>
              <w:spacing w:line="440" w:lineRule="exac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Merge w:val="continue"/>
            <w:vAlign w:val="center"/>
          </w:tcPr>
          <w:p>
            <w:pPr>
              <w:adjustRightInd w:val="0"/>
              <w:snapToGrid w:val="0"/>
              <w:spacing w:line="440" w:lineRule="exact"/>
              <w:rPr>
                <w:rFonts w:ascii="仿宋" w:hAnsi="仿宋" w:eastAsia="仿宋" w:cs="仿宋"/>
                <w:color w:val="auto"/>
                <w:sz w:val="24"/>
                <w:szCs w:val="24"/>
                <w:highlight w:val="none"/>
              </w:rPr>
            </w:pPr>
          </w:p>
        </w:tc>
        <w:tc>
          <w:tcPr>
            <w:tcW w:w="2259" w:type="dxa"/>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被管理关系单位名称</w:t>
            </w:r>
          </w:p>
        </w:tc>
        <w:tc>
          <w:tcPr>
            <w:tcW w:w="3658" w:type="dxa"/>
            <w:vAlign w:val="center"/>
          </w:tcPr>
          <w:p>
            <w:pPr>
              <w:adjustRightInd w:val="0"/>
              <w:snapToGrid w:val="0"/>
              <w:spacing w:line="440" w:lineRule="exac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66" w:type="dxa"/>
            <w:gridSpan w:val="3"/>
            <w:vAlign w:val="center"/>
          </w:tcPr>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bl>
    <w:p>
      <w:pPr>
        <w:adjustRightInd w:val="0"/>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pStyle w:val="62"/>
        <w:numPr>
          <w:ilvl w:val="3"/>
          <w:numId w:val="3"/>
        </w:numPr>
        <w:adjustRightInd w:val="0"/>
        <w:snapToGrid w:val="0"/>
        <w:spacing w:line="440" w:lineRule="exact"/>
        <w:ind w:left="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控股股东/投资人是指出资比例在50%以上，或者出资比例不足50%，但享有公司股东会/董事会控制权的投资方（含单位或者个人）；</w:t>
      </w:r>
    </w:p>
    <w:p>
      <w:pPr>
        <w:pStyle w:val="62"/>
        <w:numPr>
          <w:ilvl w:val="3"/>
          <w:numId w:val="3"/>
        </w:numPr>
        <w:adjustRightInd w:val="0"/>
        <w:snapToGrid w:val="0"/>
        <w:spacing w:line="440" w:lineRule="exact"/>
        <w:ind w:left="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管理关系单位是指与不具有出资持股关系的其他单位之间存在管理与被管理关系的单位； </w:t>
      </w:r>
    </w:p>
    <w:p>
      <w:pPr>
        <w:pStyle w:val="62"/>
        <w:numPr>
          <w:ilvl w:val="3"/>
          <w:numId w:val="3"/>
        </w:numPr>
        <w:adjustRightInd w:val="0"/>
        <w:snapToGrid w:val="0"/>
        <w:spacing w:line="440" w:lineRule="exact"/>
        <w:ind w:left="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如未有相关情况，请在相应栏填写“无”。</w:t>
      </w:r>
    </w:p>
    <w:p>
      <w:pPr>
        <w:pStyle w:val="13"/>
        <w:spacing w:before="120" w:beforeLines="50" w:after="120" w:afterLines="50" w:line="440" w:lineRule="exact"/>
        <w:ind w:left="590" w:hanging="590" w:hangingChars="245"/>
        <w:rPr>
          <w:rFonts w:ascii="仿宋" w:hAnsi="仿宋" w:eastAsia="仿宋" w:cs="仿宋"/>
          <w:b/>
          <w:bCs/>
          <w:color w:val="auto"/>
          <w:sz w:val="24"/>
          <w:szCs w:val="24"/>
          <w:highlight w:val="none"/>
        </w:rPr>
      </w:pPr>
    </w:p>
    <w:p>
      <w:pPr>
        <w:pStyle w:val="13"/>
        <w:spacing w:before="120" w:beforeLines="50" w:after="120" w:afterLines="50" w:line="440" w:lineRule="exact"/>
        <w:ind w:left="420" w:leftChars="200" w:firstLine="2660" w:firstLineChars="950"/>
        <w:rPr>
          <w:rFonts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供应商名称(公章)：</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w:t>
      </w:r>
    </w:p>
    <w:p>
      <w:pPr>
        <w:snapToGrid w:val="0"/>
        <w:spacing w:before="50" w:after="50" w:line="360" w:lineRule="exact"/>
        <w:ind w:firstLine="3120" w:firstLineChars="1300"/>
        <w:rPr>
          <w:rFonts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法定代表人或被授权人</w:t>
      </w:r>
      <w:r>
        <w:rPr>
          <w:rFonts w:hint="eastAsia" w:ascii="仿宋" w:hAnsi="仿宋" w:eastAsia="仿宋" w:cs="仿宋"/>
          <w:color w:val="auto"/>
          <w:spacing w:val="20"/>
          <w:sz w:val="24"/>
          <w:szCs w:val="24"/>
          <w:highlight w:val="none"/>
        </w:rPr>
        <w:t>签字：</w:t>
      </w:r>
      <w:r>
        <w:rPr>
          <w:rFonts w:hint="eastAsia" w:ascii="仿宋" w:hAnsi="仿宋" w:eastAsia="仿宋" w:cs="仿宋"/>
          <w:color w:val="auto"/>
          <w:spacing w:val="20"/>
          <w:sz w:val="24"/>
          <w:szCs w:val="24"/>
          <w:highlight w:val="none"/>
          <w:u w:val="single"/>
        </w:rPr>
        <w:t xml:space="preserve">        </w:t>
      </w:r>
    </w:p>
    <w:p>
      <w:pPr>
        <w:pStyle w:val="13"/>
        <w:spacing w:before="120" w:beforeLines="50" w:after="120" w:afterLines="50" w:line="440" w:lineRule="exact"/>
        <w:ind w:left="420" w:leftChars="200" w:firstLine="2660" w:firstLineChars="950"/>
        <w:rPr>
          <w:rFonts w:ascii="仿宋" w:hAnsi="仿宋" w:eastAsia="仿宋" w:cs="仿宋"/>
          <w:b/>
          <w:bCs/>
          <w:color w:val="auto"/>
          <w:sz w:val="24"/>
          <w:szCs w:val="24"/>
          <w:highlight w:val="none"/>
        </w:rPr>
      </w:pPr>
      <w:r>
        <w:rPr>
          <w:rFonts w:hint="eastAsia" w:ascii="仿宋" w:hAnsi="仿宋" w:eastAsia="仿宋" w:cs="仿宋"/>
          <w:color w:val="auto"/>
          <w:spacing w:val="20"/>
          <w:sz w:val="24"/>
          <w:szCs w:val="24"/>
          <w:highlight w:val="none"/>
        </w:rPr>
        <w:t>日  期：</w:t>
      </w:r>
      <w:r>
        <w:rPr>
          <w:rFonts w:hint="eastAsia" w:ascii="仿宋" w:hAnsi="仿宋" w:eastAsia="仿宋" w:cs="仿宋"/>
          <w:color w:val="auto"/>
          <w:spacing w:val="20"/>
          <w:sz w:val="24"/>
          <w:szCs w:val="24"/>
          <w:highlight w:val="none"/>
          <w:u w:val="single"/>
        </w:rPr>
        <w:t xml:space="preserve">    年   月   日</w:t>
      </w:r>
    </w:p>
    <w:p>
      <w:pPr>
        <w:pStyle w:val="13"/>
        <w:spacing w:line="360" w:lineRule="auto"/>
        <w:rPr>
          <w:rFonts w:ascii="仿宋" w:hAnsi="仿宋" w:eastAsia="仿宋" w:cs="仿宋"/>
          <w:b/>
          <w:bCs/>
          <w:color w:val="auto"/>
          <w:sz w:val="30"/>
          <w:szCs w:val="30"/>
          <w:highlight w:val="none"/>
        </w:rPr>
      </w:pPr>
    </w:p>
    <w:p>
      <w:pPr>
        <w:pStyle w:val="13"/>
        <w:spacing w:line="360" w:lineRule="auto"/>
        <w:rPr>
          <w:rFonts w:ascii="仿宋" w:hAnsi="仿宋" w:eastAsia="仿宋" w:cs="仿宋"/>
          <w:b/>
          <w:bCs/>
          <w:color w:val="auto"/>
          <w:sz w:val="30"/>
          <w:szCs w:val="30"/>
          <w:highlight w:val="none"/>
        </w:rPr>
      </w:pPr>
    </w:p>
    <w:p>
      <w:pPr>
        <w:rPr>
          <w:rFonts w:ascii="仿宋" w:hAnsi="仿宋" w:eastAsia="仿宋" w:cs="仿宋"/>
          <w:b/>
          <w:bCs/>
          <w:color w:val="auto"/>
          <w:kern w:val="0"/>
          <w:sz w:val="30"/>
          <w:szCs w:val="30"/>
          <w:highlight w:val="none"/>
        </w:rPr>
      </w:pPr>
    </w:p>
    <w:p>
      <w:pPr>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六、投入本项目人员配备情况表</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t>投入本项目人员配备情况表</w:t>
      </w:r>
      <w:r>
        <w:rPr>
          <w:rFonts w:hint="eastAsia" w:ascii="仿宋" w:hAnsi="仿宋" w:eastAsia="仿宋" w:cs="仿宋"/>
          <w:color w:val="auto"/>
          <w:sz w:val="24"/>
          <w:szCs w:val="24"/>
          <w:highlight w:val="none"/>
        </w:rPr>
        <w:t>（按下表填写，并提供相关证明材料）</w:t>
      </w:r>
    </w:p>
    <w:p>
      <w:pPr>
        <w:tabs>
          <w:tab w:val="left" w:pos="540"/>
        </w:tabs>
        <w:spacing w:line="360" w:lineRule="auto"/>
        <w:jc w:val="center"/>
        <w:outlineLvl w:val="0"/>
        <w:rPr>
          <w:rFonts w:ascii="仿宋" w:hAnsi="仿宋" w:eastAsia="仿宋" w:cs="仿宋"/>
          <w:b/>
          <w:bCs/>
          <w:color w:val="auto"/>
          <w:highlight w:val="none"/>
        </w:rPr>
      </w:pPr>
      <w:bookmarkStart w:id="227" w:name="_Toc472695621"/>
      <w:bookmarkStart w:id="228" w:name="_Toc27058"/>
    </w:p>
    <w:p>
      <w:pPr>
        <w:tabs>
          <w:tab w:val="left" w:pos="540"/>
        </w:tabs>
        <w:spacing w:line="360" w:lineRule="auto"/>
        <w:outlineLvl w:val="0"/>
        <w:rPr>
          <w:rFonts w:ascii="仿宋" w:hAnsi="仿宋" w:eastAsia="仿宋" w:cs="仿宋"/>
          <w:b/>
          <w:bCs/>
          <w:color w:val="auto"/>
          <w:highlight w:val="none"/>
        </w:rPr>
      </w:pPr>
    </w:p>
    <w:bookmarkEnd w:id="227"/>
    <w:bookmarkEnd w:id="228"/>
    <w:p>
      <w:pPr>
        <w:pStyle w:val="13"/>
        <w:spacing w:line="40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项目负责人简历表</w:t>
      </w:r>
    </w:p>
    <w:tbl>
      <w:tblPr>
        <w:tblStyle w:val="23"/>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848"/>
        <w:gridCol w:w="849"/>
        <w:gridCol w:w="849"/>
        <w:gridCol w:w="849"/>
        <w:gridCol w:w="849"/>
        <w:gridCol w:w="849"/>
        <w:gridCol w:w="851"/>
        <w:gridCol w:w="850"/>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54" w:type="dxa"/>
            <w:gridSpan w:val="1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848" w:type="dxa"/>
            <w:vAlign w:val="center"/>
          </w:tcPr>
          <w:p>
            <w:pPr>
              <w:jc w:val="center"/>
              <w:rPr>
                <w:rFonts w:ascii="仿宋" w:hAnsi="仿宋" w:eastAsia="仿宋" w:cs="仿宋"/>
                <w:color w:val="auto"/>
                <w:sz w:val="24"/>
                <w:szCs w:val="24"/>
                <w:highlight w:val="none"/>
              </w:rPr>
            </w:pPr>
          </w:p>
        </w:tc>
        <w:tc>
          <w:tcPr>
            <w:tcW w:w="849"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849" w:type="dxa"/>
            <w:vAlign w:val="center"/>
          </w:tcPr>
          <w:p>
            <w:pPr>
              <w:jc w:val="center"/>
              <w:rPr>
                <w:rFonts w:ascii="仿宋" w:hAnsi="仿宋" w:eastAsia="仿宋" w:cs="仿宋"/>
                <w:color w:val="auto"/>
                <w:sz w:val="24"/>
                <w:szCs w:val="24"/>
                <w:highlight w:val="none"/>
              </w:rPr>
            </w:pPr>
          </w:p>
        </w:tc>
        <w:tc>
          <w:tcPr>
            <w:tcW w:w="849"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849" w:type="dxa"/>
            <w:vAlign w:val="center"/>
          </w:tcPr>
          <w:p>
            <w:pPr>
              <w:jc w:val="center"/>
              <w:rPr>
                <w:rFonts w:ascii="仿宋" w:hAnsi="仿宋" w:eastAsia="仿宋" w:cs="仿宋"/>
                <w:color w:val="auto"/>
                <w:sz w:val="24"/>
                <w:szCs w:val="24"/>
                <w:highlight w:val="none"/>
              </w:rPr>
            </w:pPr>
          </w:p>
        </w:tc>
        <w:tc>
          <w:tcPr>
            <w:tcW w:w="849"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学位</w:t>
            </w:r>
          </w:p>
        </w:tc>
        <w:tc>
          <w:tcPr>
            <w:tcW w:w="851" w:type="dxa"/>
            <w:vAlign w:val="center"/>
          </w:tcPr>
          <w:p>
            <w:pPr>
              <w:jc w:val="center"/>
              <w:rPr>
                <w:rFonts w:ascii="仿宋" w:hAnsi="仿宋" w:eastAsia="仿宋" w:cs="仿宋"/>
                <w:color w:val="auto"/>
                <w:sz w:val="24"/>
                <w:szCs w:val="24"/>
                <w:highlight w:val="none"/>
              </w:rPr>
            </w:pPr>
          </w:p>
        </w:tc>
        <w:tc>
          <w:tcPr>
            <w:tcW w:w="850"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456" w:type="dxa"/>
            <w:vAlign w:val="center"/>
          </w:tcPr>
          <w:p>
            <w:pPr>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4244" w:type="dxa"/>
            <w:gridSpan w:val="5"/>
            <w:vAlign w:val="center"/>
          </w:tcPr>
          <w:p>
            <w:pPr>
              <w:jc w:val="center"/>
              <w:rPr>
                <w:rFonts w:ascii="仿宋" w:hAnsi="仿宋" w:eastAsia="仿宋" w:cs="仿宋"/>
                <w:color w:val="auto"/>
                <w:sz w:val="24"/>
                <w:szCs w:val="24"/>
                <w:highlight w:val="none"/>
              </w:rPr>
            </w:pPr>
          </w:p>
        </w:tc>
        <w:tc>
          <w:tcPr>
            <w:tcW w:w="1700" w:type="dxa"/>
            <w:gridSpan w:val="2"/>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在本合同中拟任职</w:t>
            </w:r>
          </w:p>
        </w:tc>
        <w:tc>
          <w:tcPr>
            <w:tcW w:w="2306" w:type="dxa"/>
            <w:gridSpan w:val="2"/>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8250" w:type="dxa"/>
            <w:gridSpan w:val="9"/>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54" w:type="dxa"/>
            <w:gridSpan w:val="1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0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4244" w:type="dxa"/>
            <w:gridSpan w:val="5"/>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负责过的主要过程</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（项目名称、规模）</w:t>
            </w:r>
          </w:p>
        </w:tc>
        <w:tc>
          <w:tcPr>
            <w:tcW w:w="1700" w:type="dxa"/>
            <w:gridSpan w:val="2"/>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该项目中的</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任职</w:t>
            </w:r>
          </w:p>
        </w:tc>
        <w:tc>
          <w:tcPr>
            <w:tcW w:w="2306" w:type="dxa"/>
            <w:gridSpan w:val="2"/>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04" w:type="dxa"/>
            <w:vAlign w:val="center"/>
          </w:tcPr>
          <w:p>
            <w:pPr>
              <w:rPr>
                <w:rFonts w:ascii="仿宋" w:hAnsi="仿宋" w:eastAsia="仿宋" w:cs="仿宋"/>
                <w:color w:val="auto"/>
                <w:sz w:val="24"/>
                <w:szCs w:val="24"/>
                <w:highlight w:val="none"/>
              </w:rPr>
            </w:pPr>
          </w:p>
        </w:tc>
        <w:tc>
          <w:tcPr>
            <w:tcW w:w="4244" w:type="dxa"/>
            <w:gridSpan w:val="5"/>
            <w:vAlign w:val="center"/>
          </w:tcPr>
          <w:p>
            <w:pPr>
              <w:jc w:val="center"/>
              <w:rPr>
                <w:rFonts w:ascii="仿宋" w:hAnsi="仿宋" w:eastAsia="仿宋" w:cs="仿宋"/>
                <w:color w:val="auto"/>
                <w:sz w:val="24"/>
                <w:szCs w:val="24"/>
                <w:highlight w:val="none"/>
              </w:rPr>
            </w:pPr>
          </w:p>
        </w:tc>
        <w:tc>
          <w:tcPr>
            <w:tcW w:w="1700" w:type="dxa"/>
            <w:gridSpan w:val="2"/>
            <w:vAlign w:val="center"/>
          </w:tcPr>
          <w:p>
            <w:pPr>
              <w:rPr>
                <w:rFonts w:ascii="仿宋" w:hAnsi="仿宋" w:eastAsia="仿宋" w:cs="仿宋"/>
                <w:color w:val="auto"/>
                <w:sz w:val="24"/>
                <w:szCs w:val="24"/>
                <w:highlight w:val="none"/>
              </w:rPr>
            </w:pPr>
          </w:p>
        </w:tc>
        <w:tc>
          <w:tcPr>
            <w:tcW w:w="2306" w:type="dxa"/>
            <w:gridSpan w:val="2"/>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54" w:type="dxa"/>
            <w:gridSpan w:val="1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54" w:type="dxa"/>
            <w:gridSpan w:val="10"/>
            <w:vAlign w:val="center"/>
          </w:tcPr>
          <w:p>
            <w:pPr>
              <w:jc w:val="center"/>
              <w:rPr>
                <w:rFonts w:ascii="仿宋" w:hAnsi="仿宋" w:eastAsia="仿宋" w:cs="仿宋"/>
                <w:color w:val="auto"/>
                <w:sz w:val="24"/>
                <w:szCs w:val="24"/>
                <w:highlight w:val="none"/>
              </w:rPr>
            </w:pPr>
          </w:p>
        </w:tc>
      </w:tr>
    </w:tbl>
    <w:p>
      <w:pPr>
        <w:autoSpaceDE w:val="0"/>
        <w:autoSpaceDN w:val="0"/>
        <w:adjustRightIn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附：学历证、身份证复印件</w:t>
      </w:r>
    </w:p>
    <w:p>
      <w:pPr>
        <w:spacing w:line="360" w:lineRule="auto"/>
        <w:jc w:val="center"/>
        <w:rPr>
          <w:rFonts w:ascii="仿宋" w:hAnsi="仿宋" w:eastAsia="仿宋" w:cs="仿宋"/>
          <w:b/>
          <w:bCs/>
          <w:color w:val="auto"/>
          <w:sz w:val="28"/>
          <w:szCs w:val="28"/>
          <w:highlight w:val="none"/>
        </w:rPr>
      </w:pPr>
    </w:p>
    <w:p>
      <w:pPr>
        <w:spacing w:line="360" w:lineRule="auto"/>
        <w:jc w:val="center"/>
        <w:rPr>
          <w:rFonts w:ascii="仿宋" w:hAnsi="仿宋" w:eastAsia="仿宋" w:cs="仿宋"/>
          <w:b/>
          <w:bCs/>
          <w:color w:val="auto"/>
          <w:sz w:val="28"/>
          <w:szCs w:val="28"/>
          <w:highlight w:val="none"/>
        </w:rPr>
      </w:pPr>
    </w:p>
    <w:p>
      <w:pPr>
        <w:autoSpaceDE w:val="0"/>
        <w:autoSpaceDN w:val="0"/>
        <w:adjustRightInd w:val="0"/>
        <w:spacing w:line="360" w:lineRule="auto"/>
        <w:ind w:firstLine="281" w:firstLineChars="100"/>
        <w:rPr>
          <w:rFonts w:ascii="仿宋" w:hAnsi="仿宋" w:eastAsia="仿宋" w:cs="仿宋"/>
          <w:color w:val="auto"/>
          <w:kern w:val="0"/>
          <w:highlight w:val="none"/>
        </w:rPr>
      </w:pPr>
      <w:r>
        <w:rPr>
          <w:rFonts w:hint="eastAsia" w:ascii="仿宋" w:hAnsi="仿宋" w:eastAsia="仿宋" w:cs="仿宋"/>
          <w:b/>
          <w:bCs/>
          <w:color w:val="auto"/>
          <w:sz w:val="28"/>
          <w:szCs w:val="28"/>
          <w:highlight w:val="none"/>
        </w:rPr>
        <w:br w:type="page"/>
      </w:r>
    </w:p>
    <w:p>
      <w:pPr>
        <w:tabs>
          <w:tab w:val="left" w:pos="900"/>
          <w:tab w:val="left" w:pos="1260"/>
          <w:tab w:val="left" w:pos="1440"/>
        </w:tabs>
        <w:spacing w:before="240" w:beforeLines="100" w:after="360" w:afterLines="150"/>
        <w:ind w:left="176" w:right="32"/>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投入本项目主要人员配备</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1844"/>
        <w:gridCol w:w="283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tcBorders>
              <w:top w:val="single" w:color="auto" w:sz="8"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00" w:type="dxa"/>
            <w:tcBorders>
              <w:top w:val="single" w:color="auto" w:sz="8"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职务/职称</w:t>
            </w:r>
          </w:p>
        </w:tc>
        <w:tc>
          <w:tcPr>
            <w:tcW w:w="1844" w:type="dxa"/>
            <w:tcBorders>
              <w:top w:val="single" w:color="auto" w:sz="8" w:space="0"/>
              <w:right w:val="single" w:color="auto" w:sz="8" w:space="0"/>
            </w:tcBorders>
            <w:vAlign w:val="center"/>
          </w:tcPr>
          <w:p>
            <w:pPr>
              <w:snapToGrid w:val="0"/>
              <w:ind w:left="-105" w:leftChars="-50" w:right="-105" w:rightChar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本项目拟任职务</w:t>
            </w:r>
          </w:p>
        </w:tc>
        <w:tc>
          <w:tcPr>
            <w:tcW w:w="2836" w:type="dxa"/>
            <w:tcBorders>
              <w:top w:val="single" w:color="auto" w:sz="8" w:space="0"/>
              <w:right w:val="single" w:color="auto" w:sz="8" w:space="0"/>
            </w:tcBorders>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主要经验及承担过的项目</w:t>
            </w:r>
          </w:p>
        </w:tc>
        <w:tc>
          <w:tcPr>
            <w:tcW w:w="900"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snapToGrid w:val="0"/>
              <w:jc w:val="center"/>
              <w:rPr>
                <w:rFonts w:ascii="仿宋" w:hAnsi="仿宋" w:eastAsia="仿宋" w:cs="仿宋"/>
                <w:color w:val="auto"/>
                <w:sz w:val="24"/>
                <w:szCs w:val="24"/>
                <w:highlight w:val="none"/>
              </w:rPr>
            </w:pPr>
          </w:p>
        </w:tc>
        <w:tc>
          <w:tcPr>
            <w:tcW w:w="1800" w:type="dxa"/>
            <w:vAlign w:val="center"/>
          </w:tcPr>
          <w:p>
            <w:pPr>
              <w:pStyle w:val="8"/>
              <w:snapToGrid w:val="0"/>
              <w:ind w:firstLine="480"/>
              <w:jc w:val="center"/>
              <w:rPr>
                <w:rFonts w:ascii="仿宋" w:hAnsi="仿宋" w:eastAsia="仿宋" w:cs="仿宋"/>
                <w:color w:val="auto"/>
                <w:sz w:val="24"/>
                <w:szCs w:val="24"/>
                <w:highlight w:val="none"/>
              </w:rPr>
            </w:pPr>
          </w:p>
        </w:tc>
        <w:tc>
          <w:tcPr>
            <w:tcW w:w="1844" w:type="dxa"/>
            <w:vAlign w:val="center"/>
          </w:tcPr>
          <w:p>
            <w:pPr>
              <w:pStyle w:val="8"/>
              <w:snapToGrid w:val="0"/>
              <w:ind w:firstLine="480"/>
              <w:jc w:val="center"/>
              <w:rPr>
                <w:rFonts w:ascii="仿宋" w:hAnsi="仿宋" w:eastAsia="仿宋" w:cs="仿宋"/>
                <w:color w:val="auto"/>
                <w:sz w:val="24"/>
                <w:szCs w:val="24"/>
                <w:highlight w:val="none"/>
              </w:rPr>
            </w:pPr>
          </w:p>
        </w:tc>
        <w:tc>
          <w:tcPr>
            <w:tcW w:w="2836" w:type="dxa"/>
            <w:vAlign w:val="center"/>
          </w:tcPr>
          <w:p>
            <w:pPr>
              <w:pStyle w:val="8"/>
              <w:snapToGrid w:val="0"/>
              <w:ind w:firstLine="480"/>
              <w:jc w:val="center"/>
              <w:rPr>
                <w:rFonts w:ascii="仿宋" w:hAnsi="仿宋" w:eastAsia="仿宋" w:cs="仿宋"/>
                <w:color w:val="auto"/>
                <w:sz w:val="24"/>
                <w:szCs w:val="24"/>
                <w:highlight w:val="none"/>
              </w:rPr>
            </w:pPr>
          </w:p>
        </w:tc>
        <w:tc>
          <w:tcPr>
            <w:tcW w:w="900" w:type="dxa"/>
            <w:vAlign w:val="center"/>
          </w:tcPr>
          <w:p>
            <w:pPr>
              <w:pStyle w:val="8"/>
              <w:snapToGrid w:val="0"/>
              <w:ind w:firstLine="480"/>
              <w:jc w:val="center"/>
              <w:rPr>
                <w:rFonts w:ascii="仿宋" w:hAnsi="仿宋" w:eastAsia="仿宋" w:cs="仿宋"/>
                <w:color w:val="auto"/>
                <w:sz w:val="24"/>
                <w:szCs w:val="24"/>
                <w:highlight w:val="none"/>
              </w:rPr>
            </w:pPr>
          </w:p>
        </w:tc>
      </w:tr>
    </w:tbl>
    <w:p>
      <w:pPr>
        <w:widowControl/>
        <w:tabs>
          <w:tab w:val="left" w:pos="720"/>
          <w:tab w:val="left" w:pos="900"/>
          <w:tab w:val="left" w:pos="1260"/>
          <w:tab w:val="left" w:pos="1440"/>
        </w:tabs>
        <w:ind w:right="32"/>
        <w:rPr>
          <w:rFonts w:ascii="仿宋" w:hAnsi="仿宋" w:eastAsia="仿宋" w:cs="仿宋"/>
          <w:color w:val="auto"/>
          <w:kern w:val="0"/>
          <w:sz w:val="20"/>
          <w:szCs w:val="20"/>
          <w:highlight w:val="none"/>
        </w:rPr>
      </w:pPr>
    </w:p>
    <w:p>
      <w:pPr>
        <w:pStyle w:val="13"/>
        <w:tabs>
          <w:tab w:val="left" w:pos="7560"/>
        </w:tabs>
        <w:adjustRightInd w:val="0"/>
        <w:snapToGrid w:val="0"/>
        <w:spacing w:line="360" w:lineRule="auto"/>
        <w:ind w:firstLine="400" w:firstLineChars="200"/>
        <w:jc w:val="center"/>
        <w:rPr>
          <w:rFonts w:ascii="仿宋" w:hAnsi="仿宋" w:eastAsia="仿宋" w:cs="仿宋"/>
          <w:b/>
          <w:bCs/>
          <w:color w:val="auto"/>
          <w:sz w:val="28"/>
          <w:szCs w:val="28"/>
          <w:highlight w:val="none"/>
        </w:rPr>
      </w:pPr>
      <w:r>
        <w:rPr>
          <w:rFonts w:hint="eastAsia" w:ascii="仿宋" w:hAnsi="仿宋" w:eastAsia="仿宋" w:cs="仿宋"/>
          <w:color w:val="auto"/>
          <w:highlight w:val="none"/>
        </w:rPr>
        <w:t>注：表后须附：学历证、身份证复印件；</w:t>
      </w:r>
      <w:r>
        <w:rPr>
          <w:rFonts w:hint="eastAsia" w:ascii="仿宋" w:hAnsi="仿宋" w:eastAsia="仿宋" w:cs="仿宋"/>
          <w:b/>
          <w:bCs/>
          <w:color w:val="auto"/>
          <w:sz w:val="28"/>
          <w:szCs w:val="28"/>
          <w:highlight w:val="none"/>
        </w:rPr>
        <w:br w:type="page"/>
      </w:r>
      <w:bookmarkStart w:id="229" w:name="_Toc395731158"/>
      <w:bookmarkStart w:id="230" w:name="_Toc310378665"/>
    </w:p>
    <w:p>
      <w:pPr>
        <w:pStyle w:val="13"/>
        <w:tabs>
          <w:tab w:val="left" w:pos="7560"/>
        </w:tabs>
        <w:adjustRightInd w:val="0"/>
        <w:snapToGrid w:val="0"/>
        <w:spacing w:line="360" w:lineRule="auto"/>
        <w:ind w:firstLine="562" w:firstLineChars="200"/>
        <w:jc w:val="center"/>
        <w:rPr>
          <w:rFonts w:ascii="仿宋" w:hAnsi="仿宋" w:eastAsia="仿宋" w:cs="仿宋"/>
          <w:b/>
          <w:bCs/>
          <w:color w:val="auto"/>
          <w:sz w:val="28"/>
          <w:szCs w:val="28"/>
          <w:highlight w:val="none"/>
        </w:rPr>
      </w:pPr>
    </w:p>
    <w:p>
      <w:pPr>
        <w:pStyle w:val="13"/>
        <w:tabs>
          <w:tab w:val="left" w:pos="7560"/>
        </w:tabs>
        <w:adjustRightInd w:val="0"/>
        <w:snapToGrid w:val="0"/>
        <w:spacing w:line="360" w:lineRule="auto"/>
        <w:ind w:firstLine="562" w:firstLineChars="200"/>
        <w:jc w:val="center"/>
        <w:rPr>
          <w:rFonts w:ascii="仿宋" w:hAnsi="仿宋" w:eastAsia="仿宋" w:cs="仿宋"/>
          <w:b/>
          <w:bCs/>
          <w:color w:val="auto"/>
          <w:sz w:val="28"/>
          <w:szCs w:val="28"/>
          <w:highlight w:val="none"/>
        </w:rPr>
      </w:pPr>
    </w:p>
    <w:p>
      <w:pPr>
        <w:pStyle w:val="13"/>
        <w:tabs>
          <w:tab w:val="left" w:pos="7560"/>
        </w:tabs>
        <w:adjustRightInd w:val="0"/>
        <w:snapToGrid w:val="0"/>
        <w:spacing w:line="360" w:lineRule="auto"/>
        <w:ind w:firstLine="562" w:firstLineChars="200"/>
        <w:jc w:val="center"/>
        <w:rPr>
          <w:rFonts w:ascii="仿宋" w:hAnsi="仿宋" w:eastAsia="仿宋" w:cs="仿宋"/>
          <w:b/>
          <w:bCs/>
          <w:color w:val="auto"/>
          <w:sz w:val="28"/>
          <w:szCs w:val="28"/>
          <w:highlight w:val="none"/>
        </w:rPr>
      </w:pPr>
    </w:p>
    <w:p>
      <w:pPr>
        <w:pStyle w:val="13"/>
        <w:tabs>
          <w:tab w:val="left" w:pos="7560"/>
        </w:tabs>
        <w:adjustRightInd w:val="0"/>
        <w:snapToGrid w:val="0"/>
        <w:spacing w:line="360" w:lineRule="auto"/>
        <w:ind w:firstLine="562" w:firstLineChars="200"/>
        <w:jc w:val="center"/>
        <w:rPr>
          <w:rFonts w:ascii="仿宋" w:hAnsi="仿宋" w:eastAsia="仿宋" w:cs="仿宋"/>
          <w:b/>
          <w:bCs/>
          <w:color w:val="auto"/>
          <w:sz w:val="28"/>
          <w:szCs w:val="28"/>
          <w:highlight w:val="none"/>
        </w:rPr>
      </w:pPr>
    </w:p>
    <w:p>
      <w:pPr>
        <w:pStyle w:val="13"/>
        <w:tabs>
          <w:tab w:val="left" w:pos="7560"/>
        </w:tabs>
        <w:adjustRightInd w:val="0"/>
        <w:snapToGrid w:val="0"/>
        <w:spacing w:line="360" w:lineRule="auto"/>
        <w:ind w:firstLine="562" w:firstLineChars="200"/>
        <w:jc w:val="center"/>
        <w:rPr>
          <w:rFonts w:ascii="仿宋" w:hAnsi="仿宋" w:eastAsia="仿宋" w:cs="仿宋"/>
          <w:b/>
          <w:bCs/>
          <w:color w:val="auto"/>
          <w:sz w:val="28"/>
          <w:szCs w:val="28"/>
          <w:highlight w:val="none"/>
        </w:rPr>
      </w:pPr>
    </w:p>
    <w:p>
      <w:pPr>
        <w:pStyle w:val="13"/>
        <w:tabs>
          <w:tab w:val="left" w:pos="7560"/>
        </w:tabs>
        <w:adjustRightInd w:val="0"/>
        <w:snapToGrid w:val="0"/>
        <w:spacing w:line="360" w:lineRule="auto"/>
        <w:ind w:firstLine="562" w:firstLineChars="200"/>
        <w:jc w:val="center"/>
        <w:rPr>
          <w:rFonts w:ascii="仿宋" w:hAnsi="仿宋" w:eastAsia="仿宋" w:cs="仿宋"/>
          <w:b/>
          <w:bCs/>
          <w:color w:val="auto"/>
          <w:sz w:val="28"/>
          <w:szCs w:val="28"/>
          <w:highlight w:val="none"/>
        </w:rPr>
      </w:pPr>
    </w:p>
    <w:p>
      <w:pPr>
        <w:pStyle w:val="13"/>
        <w:tabs>
          <w:tab w:val="left" w:pos="7560"/>
        </w:tabs>
        <w:adjustRightInd w:val="0"/>
        <w:snapToGrid w:val="0"/>
        <w:spacing w:line="360" w:lineRule="auto"/>
        <w:ind w:firstLine="562" w:firstLineChars="200"/>
        <w:jc w:val="center"/>
        <w:rPr>
          <w:rFonts w:ascii="仿宋" w:hAnsi="仿宋" w:eastAsia="仿宋" w:cs="仿宋"/>
          <w:b/>
          <w:bCs/>
          <w:color w:val="auto"/>
          <w:sz w:val="28"/>
          <w:szCs w:val="28"/>
          <w:highlight w:val="none"/>
        </w:rPr>
      </w:pPr>
    </w:p>
    <w:p>
      <w:pPr>
        <w:pStyle w:val="13"/>
        <w:tabs>
          <w:tab w:val="left" w:pos="7560"/>
        </w:tabs>
        <w:adjustRightInd w:val="0"/>
        <w:snapToGrid w:val="0"/>
        <w:spacing w:line="360" w:lineRule="auto"/>
        <w:ind w:firstLine="562" w:firstLineChars="200"/>
        <w:jc w:val="center"/>
        <w:rPr>
          <w:rFonts w:ascii="仿宋" w:hAnsi="仿宋" w:eastAsia="仿宋" w:cs="仿宋"/>
          <w:b/>
          <w:bCs/>
          <w:color w:val="auto"/>
          <w:sz w:val="28"/>
          <w:szCs w:val="28"/>
          <w:highlight w:val="none"/>
        </w:rPr>
      </w:pPr>
    </w:p>
    <w:p>
      <w:pPr>
        <w:pStyle w:val="13"/>
        <w:tabs>
          <w:tab w:val="left" w:pos="7560"/>
        </w:tabs>
        <w:adjustRightInd w:val="0"/>
        <w:snapToGrid w:val="0"/>
        <w:spacing w:line="360" w:lineRule="auto"/>
        <w:ind w:firstLine="602" w:firstLineChars="200"/>
        <w:jc w:val="center"/>
        <w:rPr>
          <w:rFonts w:ascii="仿宋" w:hAnsi="仿宋" w:eastAsia="仿宋" w:cs="仿宋"/>
          <w:color w:val="auto"/>
          <w:highlight w:val="none"/>
        </w:rPr>
      </w:pPr>
      <w:r>
        <w:rPr>
          <w:rFonts w:hint="eastAsia" w:ascii="仿宋" w:hAnsi="仿宋" w:eastAsia="仿宋" w:cs="仿宋"/>
          <w:b/>
          <w:color w:val="auto"/>
          <w:sz w:val="30"/>
          <w:highlight w:val="none"/>
        </w:rPr>
        <w:t>七、</w:t>
      </w:r>
      <w:r>
        <w:rPr>
          <w:rFonts w:hint="eastAsia" w:ascii="仿宋" w:hAnsi="仿宋" w:eastAsia="仿宋" w:cs="仿宋"/>
          <w:b/>
          <w:bCs/>
          <w:color w:val="auto"/>
          <w:sz w:val="32"/>
          <w:szCs w:val="32"/>
          <w:highlight w:val="none"/>
        </w:rPr>
        <w:t>监理服务大纲（供应商自行编写）</w:t>
      </w:r>
    </w:p>
    <w:p>
      <w:pPr>
        <w:spacing w:line="480" w:lineRule="auto"/>
        <w:ind w:firstLine="4819" w:firstLineChars="1500"/>
        <w:rPr>
          <w:rFonts w:ascii="仿宋" w:hAnsi="仿宋" w:eastAsia="仿宋" w:cs="仿宋"/>
          <w:color w:val="auto"/>
          <w:kern w:val="24"/>
          <w:sz w:val="24"/>
          <w:szCs w:val="24"/>
          <w:highlight w:val="none"/>
        </w:rPr>
      </w:pPr>
      <w:r>
        <w:rPr>
          <w:rFonts w:hint="eastAsia" w:ascii="仿宋" w:hAnsi="仿宋" w:eastAsia="仿宋" w:cs="仿宋"/>
          <w:b/>
          <w:bCs/>
          <w:color w:val="auto"/>
          <w:kern w:val="0"/>
          <w:sz w:val="32"/>
          <w:szCs w:val="32"/>
          <w:highlight w:val="none"/>
        </w:rPr>
        <w:br w:type="page"/>
      </w:r>
    </w:p>
    <w:p>
      <w:pPr>
        <w:spacing w:line="360" w:lineRule="auto"/>
        <w:jc w:val="center"/>
        <w:rPr>
          <w:rFonts w:ascii="仿宋" w:hAnsi="仿宋" w:eastAsia="仿宋" w:cs="仿宋"/>
          <w:b/>
          <w:bCs/>
          <w:color w:val="auto"/>
          <w:sz w:val="30"/>
          <w:szCs w:val="30"/>
          <w:highlight w:val="none"/>
        </w:rPr>
      </w:pPr>
    </w:p>
    <w:p>
      <w:pPr>
        <w:spacing w:line="360" w:lineRule="auto"/>
        <w:jc w:val="center"/>
        <w:rPr>
          <w:rFonts w:ascii="仿宋" w:hAnsi="仿宋" w:eastAsia="仿宋" w:cs="仿宋"/>
          <w:b/>
          <w:bCs/>
          <w:color w:val="auto"/>
          <w:sz w:val="30"/>
          <w:szCs w:val="30"/>
          <w:highlight w:val="none"/>
        </w:rPr>
      </w:pPr>
    </w:p>
    <w:p>
      <w:pPr>
        <w:spacing w:line="360" w:lineRule="auto"/>
        <w:jc w:val="center"/>
        <w:rPr>
          <w:rFonts w:ascii="仿宋" w:hAnsi="仿宋" w:eastAsia="仿宋" w:cs="仿宋"/>
          <w:b/>
          <w:bCs/>
          <w:color w:val="auto"/>
          <w:sz w:val="30"/>
          <w:szCs w:val="30"/>
          <w:highlight w:val="none"/>
        </w:rPr>
      </w:pPr>
    </w:p>
    <w:p>
      <w:pPr>
        <w:spacing w:line="360" w:lineRule="auto"/>
        <w:jc w:val="center"/>
        <w:rPr>
          <w:rFonts w:ascii="仿宋" w:hAnsi="仿宋" w:eastAsia="仿宋" w:cs="仿宋"/>
          <w:b/>
          <w:bCs/>
          <w:color w:val="auto"/>
          <w:sz w:val="30"/>
          <w:szCs w:val="30"/>
          <w:highlight w:val="none"/>
        </w:rPr>
      </w:pPr>
    </w:p>
    <w:p>
      <w:pPr>
        <w:spacing w:line="360" w:lineRule="auto"/>
        <w:jc w:val="center"/>
        <w:rPr>
          <w:rFonts w:ascii="仿宋" w:hAnsi="仿宋" w:eastAsia="仿宋" w:cs="仿宋"/>
          <w:b/>
          <w:bCs/>
          <w:color w:val="auto"/>
          <w:sz w:val="30"/>
          <w:szCs w:val="30"/>
          <w:highlight w:val="none"/>
        </w:rPr>
      </w:pPr>
    </w:p>
    <w:p>
      <w:pPr>
        <w:spacing w:line="360" w:lineRule="auto"/>
        <w:jc w:val="center"/>
        <w:rPr>
          <w:rFonts w:ascii="仿宋" w:hAnsi="仿宋" w:eastAsia="仿宋" w:cs="仿宋"/>
          <w:b/>
          <w:bCs/>
          <w:color w:val="auto"/>
          <w:sz w:val="30"/>
          <w:szCs w:val="30"/>
          <w:highlight w:val="none"/>
        </w:rPr>
      </w:pPr>
    </w:p>
    <w:p>
      <w:pPr>
        <w:spacing w:line="360" w:lineRule="auto"/>
        <w:jc w:val="center"/>
        <w:rPr>
          <w:rFonts w:ascii="仿宋" w:hAnsi="仿宋" w:eastAsia="仿宋" w:cs="仿宋"/>
          <w:b/>
          <w:bCs/>
          <w:color w:val="auto"/>
          <w:sz w:val="30"/>
          <w:szCs w:val="30"/>
          <w:highlight w:val="none"/>
        </w:rPr>
      </w:pPr>
    </w:p>
    <w:p>
      <w:pPr>
        <w:spacing w:line="360" w:lineRule="auto"/>
        <w:jc w:val="center"/>
        <w:rPr>
          <w:rFonts w:ascii="仿宋" w:hAnsi="仿宋" w:eastAsia="仿宋" w:cs="仿宋"/>
          <w:b/>
          <w:bCs/>
          <w:color w:val="auto"/>
          <w:sz w:val="30"/>
          <w:szCs w:val="30"/>
          <w:highlight w:val="none"/>
        </w:rPr>
      </w:pPr>
    </w:p>
    <w:p>
      <w:pPr>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30"/>
          <w:szCs w:val="30"/>
          <w:highlight w:val="none"/>
        </w:rPr>
        <w:t>八、</w:t>
      </w:r>
      <w:bookmarkEnd w:id="229"/>
      <w:bookmarkEnd w:id="230"/>
      <w:r>
        <w:rPr>
          <w:rFonts w:hint="eastAsia" w:ascii="仿宋" w:hAnsi="仿宋" w:eastAsia="仿宋" w:cs="仿宋"/>
          <w:b/>
          <w:bCs/>
          <w:color w:val="auto"/>
          <w:sz w:val="32"/>
          <w:szCs w:val="32"/>
          <w:highlight w:val="none"/>
        </w:rPr>
        <w:t>服务质量承诺书</w:t>
      </w:r>
    </w:p>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（由供应商针对本项目情况自行编写，格式自拟）</w:t>
      </w: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pStyle w:val="13"/>
        <w:jc w:val="center"/>
        <w:rPr>
          <w:rFonts w:ascii="仿宋" w:hAnsi="仿宋" w:eastAsia="仿宋" w:cs="仿宋"/>
          <w:b/>
          <w:bCs/>
          <w:color w:val="auto"/>
          <w:sz w:val="32"/>
          <w:szCs w:val="32"/>
          <w:highlight w:val="none"/>
        </w:rPr>
      </w:pPr>
    </w:p>
    <w:p>
      <w:pPr>
        <w:tabs>
          <w:tab w:val="left" w:pos="720"/>
          <w:tab w:val="left" w:pos="900"/>
          <w:tab w:val="left" w:pos="1260"/>
          <w:tab w:val="left" w:pos="1440"/>
        </w:tabs>
        <w:spacing w:line="480" w:lineRule="auto"/>
        <w:ind w:right="512"/>
        <w:jc w:val="center"/>
        <w:rPr>
          <w:rFonts w:ascii="仿宋" w:hAnsi="仿宋" w:eastAsia="仿宋" w:cs="仿宋"/>
          <w:color w:val="auto"/>
          <w:kern w:val="24"/>
          <w:sz w:val="24"/>
          <w:szCs w:val="24"/>
          <w:highlight w:val="none"/>
          <w:u w:val="single"/>
        </w:rPr>
      </w:pPr>
      <w:r>
        <w:rPr>
          <w:rFonts w:hint="eastAsia" w:ascii="仿宋" w:hAnsi="仿宋" w:eastAsia="仿宋" w:cs="仿宋"/>
          <w:color w:val="auto"/>
          <w:kern w:val="24"/>
          <w:sz w:val="24"/>
          <w:szCs w:val="24"/>
          <w:highlight w:val="none"/>
        </w:rPr>
        <w:t xml:space="preserve">                              供应商：</w:t>
      </w:r>
      <w:r>
        <w:rPr>
          <w:rFonts w:hint="eastAsia" w:ascii="仿宋" w:hAnsi="仿宋" w:eastAsia="仿宋" w:cs="仿宋"/>
          <w:color w:val="auto"/>
          <w:kern w:val="24"/>
          <w:sz w:val="24"/>
          <w:szCs w:val="24"/>
          <w:highlight w:val="none"/>
          <w:u w:val="single"/>
        </w:rPr>
        <w:t xml:space="preserve">                           (盖章)</w:t>
      </w:r>
    </w:p>
    <w:p>
      <w:pPr>
        <w:tabs>
          <w:tab w:val="left" w:pos="720"/>
          <w:tab w:val="left" w:pos="900"/>
          <w:tab w:val="left" w:pos="1260"/>
          <w:tab w:val="left" w:pos="1440"/>
        </w:tabs>
        <w:spacing w:line="480" w:lineRule="auto"/>
        <w:ind w:left="176" w:leftChars="84" w:right="512"/>
        <w:jc w:val="center"/>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 xml:space="preserve">                            法定代表人或其授权代理人：</w:t>
      </w:r>
      <w:r>
        <w:rPr>
          <w:rFonts w:hint="eastAsia" w:ascii="仿宋" w:hAnsi="仿宋" w:eastAsia="仿宋" w:cs="仿宋"/>
          <w:color w:val="auto"/>
          <w:kern w:val="24"/>
          <w:sz w:val="24"/>
          <w:szCs w:val="24"/>
          <w:highlight w:val="none"/>
          <w:u w:val="single"/>
        </w:rPr>
        <w:t xml:space="preserve">         (签字) </w:t>
      </w:r>
    </w:p>
    <w:p>
      <w:pPr>
        <w:spacing w:line="480" w:lineRule="auto"/>
        <w:ind w:firstLine="3600" w:firstLineChars="1500"/>
        <w:rPr>
          <w:rFonts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rPr>
        <w:t>日   期：</w:t>
      </w:r>
      <w:r>
        <w:rPr>
          <w:rFonts w:hint="eastAsia" w:ascii="仿宋" w:hAnsi="仿宋" w:eastAsia="仿宋" w:cs="仿宋"/>
          <w:color w:val="auto"/>
          <w:kern w:val="24"/>
          <w:sz w:val="24"/>
          <w:szCs w:val="24"/>
          <w:highlight w:val="none"/>
          <w:u w:val="single"/>
        </w:rPr>
        <w:t xml:space="preserve">     </w:t>
      </w:r>
      <w:r>
        <w:rPr>
          <w:rFonts w:hint="eastAsia" w:ascii="仿宋" w:hAnsi="仿宋" w:eastAsia="仿宋" w:cs="仿宋"/>
          <w:color w:val="auto"/>
          <w:kern w:val="24"/>
          <w:sz w:val="24"/>
          <w:szCs w:val="24"/>
          <w:highlight w:val="none"/>
        </w:rPr>
        <w:t>年</w:t>
      </w:r>
      <w:r>
        <w:rPr>
          <w:rFonts w:hint="eastAsia" w:ascii="仿宋" w:hAnsi="仿宋" w:eastAsia="仿宋" w:cs="仿宋"/>
          <w:color w:val="auto"/>
          <w:kern w:val="24"/>
          <w:sz w:val="24"/>
          <w:szCs w:val="24"/>
          <w:highlight w:val="none"/>
          <w:u w:val="single"/>
        </w:rPr>
        <w:t xml:space="preserve">    </w:t>
      </w:r>
      <w:r>
        <w:rPr>
          <w:rFonts w:hint="eastAsia" w:ascii="仿宋" w:hAnsi="仿宋" w:eastAsia="仿宋" w:cs="仿宋"/>
          <w:color w:val="auto"/>
          <w:kern w:val="24"/>
          <w:sz w:val="24"/>
          <w:szCs w:val="24"/>
          <w:highlight w:val="none"/>
        </w:rPr>
        <w:t>月</w:t>
      </w:r>
      <w:r>
        <w:rPr>
          <w:rFonts w:hint="eastAsia" w:ascii="仿宋" w:hAnsi="仿宋" w:eastAsia="仿宋" w:cs="仿宋"/>
          <w:color w:val="auto"/>
          <w:kern w:val="24"/>
          <w:sz w:val="24"/>
          <w:szCs w:val="24"/>
          <w:highlight w:val="none"/>
          <w:u w:val="single"/>
        </w:rPr>
        <w:t xml:space="preserve">    </w:t>
      </w:r>
      <w:r>
        <w:rPr>
          <w:rFonts w:hint="eastAsia" w:ascii="仿宋" w:hAnsi="仿宋" w:eastAsia="仿宋" w:cs="仿宋"/>
          <w:color w:val="auto"/>
          <w:kern w:val="24"/>
          <w:sz w:val="24"/>
          <w:szCs w:val="24"/>
          <w:highlight w:val="none"/>
        </w:rPr>
        <w:t>日</w:t>
      </w: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28"/>
          <w:szCs w:val="28"/>
          <w:highlight w:val="none"/>
        </w:rPr>
      </w:pPr>
      <w:r>
        <w:rPr>
          <w:rFonts w:hint="eastAsia" w:ascii="仿宋" w:hAnsi="仿宋" w:eastAsia="仿宋" w:cs="仿宋"/>
          <w:b/>
          <w:bCs/>
          <w:color w:val="auto"/>
          <w:sz w:val="30"/>
          <w:szCs w:val="30"/>
          <w:highlight w:val="none"/>
          <w:lang w:eastAsia="zh-CN"/>
        </w:rPr>
        <w:t>九</w:t>
      </w:r>
      <w:r>
        <w:rPr>
          <w:rFonts w:hint="eastAsia" w:ascii="仿宋" w:hAnsi="仿宋" w:eastAsia="仿宋" w:cs="仿宋"/>
          <w:b/>
          <w:bCs/>
          <w:color w:val="auto"/>
          <w:sz w:val="30"/>
          <w:szCs w:val="30"/>
          <w:highlight w:val="none"/>
        </w:rPr>
        <w:t>、同类业绩一览表</w:t>
      </w:r>
      <w:r>
        <w:rPr>
          <w:rFonts w:hint="eastAsia" w:ascii="仿宋" w:hAnsi="仿宋" w:eastAsia="仿宋" w:cs="仿宋"/>
          <w:b/>
          <w:bCs/>
          <w:color w:val="auto"/>
          <w:sz w:val="24"/>
          <w:szCs w:val="24"/>
          <w:highlight w:val="none"/>
        </w:rPr>
        <w:t>（如有，请提供）</w:t>
      </w: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u w:val="thick"/>
        </w:rPr>
        <w:t xml:space="preserve">  </w:t>
      </w:r>
      <w:r>
        <w:rPr>
          <w:rFonts w:hint="eastAsia" w:ascii="仿宋" w:hAnsi="仿宋" w:eastAsia="仿宋" w:cs="仿宋"/>
          <w:b/>
          <w:bCs/>
          <w:color w:val="auto"/>
          <w:sz w:val="28"/>
          <w:szCs w:val="28"/>
          <w:highlight w:val="none"/>
          <w:u w:val="thick"/>
        </w:rPr>
        <w:t xml:space="preserve">              </w:t>
      </w:r>
      <w:r>
        <w:rPr>
          <w:rFonts w:hint="eastAsia" w:ascii="仿宋" w:hAnsi="仿宋" w:eastAsia="仿宋" w:cs="仿宋"/>
          <w:b/>
          <w:bCs/>
          <w:color w:val="auto"/>
          <w:sz w:val="28"/>
          <w:szCs w:val="28"/>
          <w:highlight w:val="none"/>
          <w:u w:val="single"/>
        </w:rPr>
        <w:t xml:space="preserve">  </w:t>
      </w:r>
    </w:p>
    <w:tbl>
      <w:tblPr>
        <w:tblStyle w:val="23"/>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111"/>
        <w:gridCol w:w="2313"/>
        <w:gridCol w:w="1664"/>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78" w:type="dxa"/>
            <w:vAlign w:val="center"/>
          </w:tcPr>
          <w:p>
            <w:pPr>
              <w:pStyle w:val="8"/>
              <w:snapToGrid w:val="0"/>
              <w:spacing w:line="360" w:lineRule="auto"/>
              <w:ind w:firstLine="0"/>
              <w:jc w:val="center"/>
              <w:rPr>
                <w:rFonts w:ascii="仿宋" w:hAnsi="仿宋" w:eastAsia="仿宋" w:cs="仿宋"/>
                <w:color w:val="auto"/>
                <w:highlight w:val="none"/>
                <w:lang w:eastAsia="en-US"/>
              </w:rPr>
            </w:pPr>
            <w:r>
              <w:rPr>
                <w:rFonts w:hint="eastAsia" w:ascii="仿宋" w:hAnsi="仿宋" w:eastAsia="仿宋" w:cs="仿宋"/>
                <w:color w:val="auto"/>
                <w:highlight w:val="none"/>
                <w:lang w:eastAsia="en-US"/>
              </w:rPr>
              <w:t>序号</w:t>
            </w:r>
          </w:p>
        </w:tc>
        <w:tc>
          <w:tcPr>
            <w:tcW w:w="3111" w:type="dxa"/>
            <w:vAlign w:val="center"/>
          </w:tcPr>
          <w:p>
            <w:pPr>
              <w:pStyle w:val="8"/>
              <w:snapToGrid w:val="0"/>
              <w:spacing w:line="360" w:lineRule="auto"/>
              <w:ind w:firstLine="400"/>
              <w:jc w:val="center"/>
              <w:rPr>
                <w:rFonts w:ascii="仿宋" w:hAnsi="仿宋" w:eastAsia="仿宋" w:cs="仿宋"/>
                <w:color w:val="auto"/>
                <w:highlight w:val="none"/>
                <w:lang w:eastAsia="en-US"/>
              </w:rPr>
            </w:pPr>
            <w:r>
              <w:rPr>
                <w:rFonts w:hint="eastAsia" w:ascii="仿宋" w:hAnsi="仿宋" w:eastAsia="仿宋" w:cs="仿宋"/>
                <w:color w:val="auto"/>
                <w:highlight w:val="none"/>
                <w:lang w:eastAsia="en-US"/>
              </w:rPr>
              <w:t>项目名称</w:t>
            </w:r>
          </w:p>
        </w:tc>
        <w:tc>
          <w:tcPr>
            <w:tcW w:w="2313" w:type="dxa"/>
            <w:vAlign w:val="center"/>
          </w:tcPr>
          <w:p>
            <w:pPr>
              <w:pStyle w:val="8"/>
              <w:snapToGrid w:val="0"/>
              <w:spacing w:line="360" w:lineRule="auto"/>
              <w:ind w:firstLine="0"/>
              <w:jc w:val="center"/>
              <w:rPr>
                <w:rFonts w:ascii="仿宋" w:hAnsi="仿宋" w:eastAsia="仿宋" w:cs="仿宋"/>
                <w:color w:val="auto"/>
                <w:highlight w:val="none"/>
                <w:lang w:eastAsia="en-US"/>
              </w:rPr>
            </w:pPr>
            <w:r>
              <w:rPr>
                <w:rFonts w:hint="eastAsia" w:ascii="仿宋" w:hAnsi="仿宋" w:eastAsia="仿宋" w:cs="仿宋"/>
                <w:color w:val="auto"/>
                <w:highlight w:val="none"/>
              </w:rPr>
              <w:t>签订</w:t>
            </w:r>
            <w:r>
              <w:rPr>
                <w:rFonts w:hint="eastAsia" w:ascii="仿宋" w:hAnsi="仿宋" w:eastAsia="仿宋" w:cs="仿宋"/>
                <w:color w:val="auto"/>
                <w:highlight w:val="none"/>
                <w:lang w:eastAsia="en-US"/>
              </w:rPr>
              <w:t>日期</w:t>
            </w:r>
          </w:p>
        </w:tc>
        <w:tc>
          <w:tcPr>
            <w:tcW w:w="1664" w:type="dxa"/>
            <w:vAlign w:val="center"/>
          </w:tcPr>
          <w:p>
            <w:pPr>
              <w:pStyle w:val="8"/>
              <w:snapToGrid w:val="0"/>
              <w:spacing w:line="360" w:lineRule="auto"/>
              <w:ind w:firstLine="200" w:firstLineChars="100"/>
              <w:jc w:val="both"/>
              <w:rPr>
                <w:rFonts w:ascii="仿宋" w:hAnsi="仿宋" w:eastAsia="仿宋" w:cs="仿宋"/>
                <w:color w:val="auto"/>
                <w:highlight w:val="none"/>
                <w:lang w:eastAsia="en-US"/>
              </w:rPr>
            </w:pPr>
            <w:r>
              <w:rPr>
                <w:rFonts w:hint="eastAsia" w:ascii="仿宋" w:hAnsi="仿宋" w:eastAsia="仿宋" w:cs="仿宋"/>
                <w:color w:val="auto"/>
                <w:highlight w:val="none"/>
              </w:rPr>
              <w:t>业主</w:t>
            </w:r>
            <w:r>
              <w:rPr>
                <w:rFonts w:hint="eastAsia" w:ascii="仿宋" w:hAnsi="仿宋" w:eastAsia="仿宋" w:cs="仿宋"/>
                <w:color w:val="auto"/>
                <w:highlight w:val="none"/>
                <w:lang w:eastAsia="en-US"/>
              </w:rPr>
              <w:t>单位</w:t>
            </w:r>
          </w:p>
        </w:tc>
        <w:tc>
          <w:tcPr>
            <w:tcW w:w="1590" w:type="dxa"/>
            <w:vAlign w:val="center"/>
          </w:tcPr>
          <w:p>
            <w:pPr>
              <w:pStyle w:val="8"/>
              <w:snapToGrid w:val="0"/>
              <w:spacing w:line="360" w:lineRule="auto"/>
              <w:ind w:firstLine="0"/>
              <w:jc w:val="center"/>
              <w:rPr>
                <w:rFonts w:ascii="仿宋" w:hAnsi="仿宋" w:eastAsia="仿宋" w:cs="仿宋"/>
                <w:color w:val="auto"/>
                <w:highlight w:val="none"/>
                <w:lang w:eastAsia="en-US"/>
              </w:rPr>
            </w:pPr>
            <w:r>
              <w:rPr>
                <w:rFonts w:hint="eastAsia" w:ascii="仿宋" w:hAnsi="仿宋" w:eastAsia="仿宋" w:cs="仿宋"/>
                <w:color w:val="auto"/>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78"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3111"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2313"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664"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590"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78"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3111"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2313"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664"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590"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78"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3111"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2313"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664"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590"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78"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3111"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2313"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664"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590"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78"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3111"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2313"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664"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590"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78"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3111"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2313"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664"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590"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78"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3111"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2313"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664"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590"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8"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3111"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2313"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664"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c>
          <w:tcPr>
            <w:tcW w:w="1590" w:type="dxa"/>
            <w:vAlign w:val="center"/>
          </w:tcPr>
          <w:p>
            <w:pPr>
              <w:pStyle w:val="8"/>
              <w:snapToGrid w:val="0"/>
              <w:spacing w:line="360" w:lineRule="auto"/>
              <w:ind w:firstLine="400"/>
              <w:jc w:val="center"/>
              <w:rPr>
                <w:rFonts w:ascii="仿宋" w:hAnsi="仿宋" w:eastAsia="仿宋" w:cs="仿宋"/>
                <w:color w:val="auto"/>
                <w:highlight w:val="none"/>
                <w:lang w:eastAsia="en-US"/>
              </w:rPr>
            </w:pPr>
          </w:p>
        </w:tc>
      </w:tr>
    </w:tbl>
    <w:p>
      <w:pPr>
        <w:pStyle w:val="8"/>
        <w:snapToGrid w:val="0"/>
        <w:spacing w:line="360" w:lineRule="auto"/>
        <w:ind w:firstLine="0"/>
        <w:rPr>
          <w:rFonts w:ascii="仿宋" w:hAnsi="仿宋" w:eastAsia="仿宋" w:cs="仿宋"/>
          <w:color w:val="auto"/>
          <w:highlight w:val="none"/>
        </w:rPr>
      </w:pPr>
      <w:r>
        <w:rPr>
          <w:rFonts w:hint="eastAsia" w:ascii="仿宋" w:hAnsi="仿宋" w:eastAsia="仿宋" w:cs="仿宋"/>
          <w:color w:val="auto"/>
          <w:highlight w:val="none"/>
        </w:rPr>
        <w:t>注：1、如本表格式内容不能满足需要，供应商可自行划表填写，但必须体现以上内容。</w:t>
      </w:r>
    </w:p>
    <w:p>
      <w:pPr>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2、至少应提供上述项目包括</w:t>
      </w:r>
      <w:r>
        <w:rPr>
          <w:rFonts w:hint="eastAsia" w:ascii="仿宋" w:hAnsi="仿宋" w:eastAsia="仿宋" w:cs="仿宋"/>
          <w:b/>
          <w:bCs/>
          <w:color w:val="auto"/>
          <w:highlight w:val="none"/>
          <w:u w:val="thick"/>
        </w:rPr>
        <w:t>以中标、成交通知书或签订合同为准（加盖公章）</w:t>
      </w:r>
      <w:r>
        <w:rPr>
          <w:rFonts w:hint="eastAsia" w:ascii="仿宋" w:hAnsi="仿宋" w:eastAsia="仿宋" w:cs="仿宋"/>
          <w:color w:val="auto"/>
          <w:highlight w:val="none"/>
        </w:rPr>
        <w:t>。</w:t>
      </w: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jc w:val="center"/>
        <w:rPr>
          <w:rFonts w:ascii="仿宋" w:hAnsi="仿宋" w:eastAsia="仿宋" w:cs="仿宋"/>
          <w:color w:val="auto"/>
          <w:highlight w:val="none"/>
        </w:rPr>
      </w:pPr>
    </w:p>
    <w:p>
      <w:pPr>
        <w:pStyle w:val="13"/>
        <w:spacing w:before="120" w:beforeLines="50" w:after="120" w:afterLines="50" w:line="440" w:lineRule="exact"/>
        <w:ind w:left="420" w:leftChars="200" w:firstLine="3780" w:firstLineChars="1350"/>
        <w:rPr>
          <w:rFonts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供应商名称(公章)：</w:t>
      </w:r>
    </w:p>
    <w:p>
      <w:pPr>
        <w:snapToGrid w:val="0"/>
        <w:spacing w:before="50" w:after="50" w:line="360" w:lineRule="exact"/>
        <w:ind w:firstLine="4080" w:firstLineChars="1700"/>
        <w:rPr>
          <w:rFonts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法定代表人或被授权人</w:t>
      </w:r>
      <w:r>
        <w:rPr>
          <w:rFonts w:hint="eastAsia" w:ascii="仿宋" w:hAnsi="仿宋" w:eastAsia="仿宋" w:cs="仿宋"/>
          <w:color w:val="auto"/>
          <w:spacing w:val="20"/>
          <w:sz w:val="24"/>
          <w:szCs w:val="24"/>
          <w:highlight w:val="none"/>
        </w:rPr>
        <w:t>签字：</w:t>
      </w:r>
    </w:p>
    <w:p>
      <w:pPr>
        <w:jc w:val="center"/>
        <w:rPr>
          <w:rFonts w:ascii="仿宋" w:hAnsi="仿宋" w:eastAsia="仿宋" w:cs="仿宋"/>
          <w:color w:val="auto"/>
          <w:highlight w:val="none"/>
        </w:rPr>
      </w:pPr>
      <w:r>
        <w:rPr>
          <w:rFonts w:hint="eastAsia" w:ascii="仿宋" w:hAnsi="仿宋" w:eastAsia="仿宋" w:cs="仿宋"/>
          <w:color w:val="auto"/>
          <w:spacing w:val="20"/>
          <w:sz w:val="24"/>
          <w:szCs w:val="24"/>
          <w:highlight w:val="none"/>
        </w:rPr>
        <w:t xml:space="preserve">                     日  期：</w:t>
      </w:r>
      <w:r>
        <w:rPr>
          <w:rFonts w:hint="eastAsia" w:ascii="仿宋" w:hAnsi="仿宋" w:eastAsia="仿宋" w:cs="仿宋"/>
          <w:color w:val="auto"/>
          <w:spacing w:val="20"/>
          <w:sz w:val="24"/>
          <w:szCs w:val="24"/>
          <w:highlight w:val="none"/>
          <w:u w:val="single"/>
        </w:rPr>
        <w:t xml:space="preserve">    年   月   日</w:t>
      </w: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十、供应商获得的相关信誉与荣誉证明材料（如有，请提供）</w:t>
      </w: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w:t>
      </w:r>
      <w:r>
        <w:rPr>
          <w:rFonts w:hint="eastAsia" w:ascii="仿宋" w:hAnsi="仿宋" w:eastAsia="仿宋" w:cs="仿宋"/>
          <w:b/>
          <w:bCs/>
          <w:color w:val="auto"/>
          <w:sz w:val="30"/>
          <w:szCs w:val="30"/>
          <w:highlight w:val="none"/>
          <w:lang w:eastAsia="zh-CN"/>
        </w:rPr>
        <w:t>一</w:t>
      </w:r>
      <w:r>
        <w:rPr>
          <w:rFonts w:hint="eastAsia" w:ascii="仿宋" w:hAnsi="仿宋" w:eastAsia="仿宋" w:cs="仿宋"/>
          <w:b/>
          <w:bCs/>
          <w:color w:val="auto"/>
          <w:sz w:val="30"/>
          <w:szCs w:val="30"/>
          <w:highlight w:val="none"/>
        </w:rPr>
        <w:t>、供应商认为需要提供的材料（如有，请提供）</w:t>
      </w:r>
    </w:p>
    <w:p>
      <w:pPr>
        <w:jc w:val="center"/>
        <w:rPr>
          <w:rFonts w:ascii="仿宋" w:hAnsi="仿宋" w:eastAsia="仿宋" w:cs="仿宋"/>
          <w:b/>
          <w:bCs/>
          <w:color w:val="auto"/>
          <w:sz w:val="30"/>
          <w:szCs w:val="30"/>
          <w:highlight w:val="none"/>
        </w:rPr>
      </w:pPr>
    </w:p>
    <w:p>
      <w:pPr>
        <w:spacing w:line="360" w:lineRule="auto"/>
        <w:jc w:val="center"/>
        <w:rPr>
          <w:rFonts w:ascii="仿宋" w:hAnsi="仿宋" w:eastAsia="仿宋" w:cs="仿宋"/>
          <w:b/>
          <w:bCs/>
          <w:color w:val="auto"/>
          <w:sz w:val="30"/>
          <w:szCs w:val="30"/>
          <w:highlight w:val="none"/>
        </w:rPr>
      </w:pPr>
      <w:r>
        <w:rPr>
          <w:rFonts w:hint="eastAsia" w:ascii="仿宋" w:hAnsi="仿宋" w:eastAsia="仿宋" w:cs="仿宋"/>
          <w:color w:val="auto"/>
          <w:kern w:val="0"/>
          <w:sz w:val="24"/>
          <w:szCs w:val="24"/>
          <w:highlight w:val="none"/>
        </w:rPr>
        <w:t>（本项无固定格式，由供应商自拟）</w:t>
      </w:r>
    </w:p>
    <w:bookmarkEnd w:id="223"/>
    <w:p>
      <w:pPr>
        <w:rPr>
          <w:rFonts w:ascii="仿宋" w:hAnsi="仿宋" w:eastAsia="仿宋" w:cs="仿宋"/>
          <w:b/>
          <w:bCs/>
          <w:color w:val="auto"/>
          <w:sz w:val="44"/>
          <w:szCs w:val="44"/>
          <w:highlight w:val="none"/>
        </w:rPr>
      </w:pPr>
      <w:bookmarkStart w:id="231" w:name="_Toc313535218"/>
      <w:r>
        <w:rPr>
          <w:rFonts w:hint="eastAsia" w:ascii="仿宋" w:hAnsi="仿宋" w:eastAsia="仿宋" w:cs="仿宋"/>
          <w:color w:val="auto"/>
          <w:highlight w:val="none"/>
        </w:rPr>
        <w:br w:type="page"/>
      </w:r>
      <w:bookmarkStart w:id="232" w:name="_Toc23199"/>
    </w:p>
    <w:p>
      <w:pPr>
        <w:pStyle w:val="4"/>
        <w:spacing w:line="240" w:lineRule="auto"/>
        <w:jc w:val="center"/>
        <w:rPr>
          <w:rFonts w:ascii="仿宋" w:hAnsi="仿宋" w:eastAsia="仿宋" w:cs="仿宋"/>
          <w:b w:val="0"/>
          <w:bCs w:val="0"/>
          <w:color w:val="auto"/>
          <w:sz w:val="44"/>
          <w:szCs w:val="44"/>
          <w:highlight w:val="none"/>
        </w:rPr>
      </w:pPr>
      <w:r>
        <w:rPr>
          <w:rFonts w:hint="eastAsia" w:ascii="仿宋" w:hAnsi="仿宋" w:eastAsia="仿宋" w:cs="仿宋"/>
          <w:color w:val="auto"/>
          <w:highlight w:val="none"/>
        </w:rPr>
        <w:t xml:space="preserve">第五章  </w:t>
      </w:r>
      <w:bookmarkEnd w:id="231"/>
      <w:r>
        <w:rPr>
          <w:rFonts w:hint="eastAsia" w:ascii="仿宋" w:hAnsi="仿宋" w:eastAsia="仿宋" w:cs="仿宋"/>
          <w:color w:val="auto"/>
          <w:highlight w:val="none"/>
        </w:rPr>
        <w:t>评标方法和评标标准</w:t>
      </w:r>
      <w:bookmarkEnd w:id="232"/>
    </w:p>
    <w:p>
      <w:pPr>
        <w:spacing w:line="360" w:lineRule="auto"/>
        <w:ind w:firstLine="480" w:firstLineChars="200"/>
        <w:rPr>
          <w:rFonts w:ascii="仿宋" w:hAnsi="仿宋" w:eastAsia="仿宋" w:cs="仿宋"/>
          <w:color w:val="auto"/>
          <w:sz w:val="24"/>
          <w:szCs w:val="24"/>
          <w:highlight w:val="none"/>
        </w:rPr>
      </w:pPr>
      <w:bookmarkStart w:id="233" w:name="_Toc391627166"/>
      <w:bookmarkStart w:id="234" w:name="_Toc421789849"/>
      <w:bookmarkStart w:id="235" w:name="_Toc391973420"/>
      <w:bookmarkStart w:id="236" w:name="_Toc359882937"/>
      <w:bookmarkStart w:id="237" w:name="_Toc336541947"/>
    </w:p>
    <w:bookmarkEnd w:id="233"/>
    <w:bookmarkEnd w:id="234"/>
    <w:bookmarkEnd w:id="235"/>
    <w:bookmarkEnd w:id="236"/>
    <w:bookmarkEnd w:id="237"/>
    <w:p>
      <w:pPr>
        <w:pStyle w:val="13"/>
        <w:spacing w:line="440" w:lineRule="exact"/>
        <w:ind w:firstLine="518" w:firstLineChars="21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一、评标原则</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小组成：本采购项目的磋商小组由采购人在监督人员监督下在财政部门设立的专家题库随机抽取构成。磋商小组成员人数应当评审专家、采购人代表等三人（含三人）以上单数组成，其中评审专家人数不得少于磋商小组成员总数的三分之二。</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（二）评审依据：磋商小组将以竞争性磋商文件和响应文件为评标依据，对磋商供应商的磋商报价、项目服务方案、综合实力方面内容按百分制打分。</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（三）评标方式：以封闭方式进行。</w:t>
      </w:r>
    </w:p>
    <w:p>
      <w:pPr>
        <w:pStyle w:val="13"/>
        <w:spacing w:line="440" w:lineRule="exact"/>
        <w:ind w:firstLine="470" w:firstLineChars="196"/>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二、评定方法</w:t>
      </w:r>
    </w:p>
    <w:p>
      <w:pPr>
        <w:widowControl/>
        <w:spacing w:line="44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（一）对进入详评的，采用百分制综合评分法。</w:t>
      </w:r>
    </w:p>
    <w:p>
      <w:pPr>
        <w:pStyle w:val="13"/>
        <w:spacing w:line="440" w:lineRule="exact"/>
        <w:ind w:firstLine="470" w:firstLineChars="196"/>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（二）计分办法（按四舍五入取至百分位）。</w:t>
      </w:r>
    </w:p>
    <w:p>
      <w:pPr>
        <w:spacing w:line="440" w:lineRule="exact"/>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1、价格分……………………………………………………………………………</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0分</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（1）评标价为供应商的投标报价进行政策性扣除后的价格，评标价只是作为评标时使用。最终成交供应商的中标金额＝投标报价。</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（2）政策性扣除计算方法。 供应商符合小型、微型企业或监狱企业条件的，其投标报价将按相应比例进行扣除，用扣除后的价格参与评审（计算价格分）。小型、微型企业组成联合体参加投标的，联合体视同为小型、微型企业享受扶持政策。</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（3）按照《财政部、司法部关于政府采购支持监狱企业发展有关问题的通知》（财库〔2014〕68 号）之规定，监狱企业视同小型、微型企业。</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按《关于促进残疾人就业政府采购政策的通知》(财库〔2017〕141号)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（5）按照《政府采购促进中小企业发展暂行办法》（财库[2011]181 号）之规定，投标产品被认定 为小型和微型企业产品（以具有认定职能的部门出具的证明材料为准）的，对小型和微型企业产品的价 格给予 </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%的扣除，扣除后的价格为评标报价，即评标报价=投标价×（1-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%）；大中型企业和其他自然 人、法人或者其他组织与小型、微型企业组成联合体投标，联合体协议中约定小型、微型企业的协议合 同金额占到联合体协议合同总金额 30%以上的，联合体投标价给予 2%的扣除，扣除后的价格为评标价， 即评标报价=投标价×（1-2%）；除上述情况外，评标报价=投标价。</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（6）以进入综合评分环节的最低的评标报价为基准价，基准价报价得分为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 分。</w:t>
      </w:r>
    </w:p>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（7）价格分计算公式：</w:t>
      </w:r>
    </w:p>
    <w:p>
      <w:pPr>
        <w:pStyle w:val="13"/>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磋商基准价</w:t>
      </w:r>
    </w:p>
    <w:p>
      <w:pPr>
        <w:pStyle w:val="13"/>
        <w:spacing w:line="440" w:lineRule="exact"/>
        <w:ind w:right="386" w:rightChars="184" w:firstLine="1336" w:firstLineChars="55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某有效磋商供应商价格分 =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p>
      <w:pPr>
        <w:pStyle w:val="13"/>
        <w:spacing w:line="440" w:lineRule="exact"/>
        <w:ind w:right="386" w:rightChars="1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某有效磋商供应商评审报价</w:t>
      </w:r>
    </w:p>
    <w:p>
      <w:pPr>
        <w:spacing w:line="46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2、监理大纲……………………………………………………………………满分</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5分</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（1）工程特点、难点分析及监理对策（满分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分）：描述清晰准确、分析到位、内容完整，完全满足要求。</w:t>
      </w:r>
    </w:p>
    <w:p>
      <w:pPr>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分）：描述基本清晰、分析基本到位、内容基本完整，基本满足要求。</w:t>
      </w:r>
    </w:p>
    <w:p>
      <w:pPr>
        <w:spacing w:line="440"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三挡（1 分）：描述不清晰、分析不到位、内容不完整，不满足要求。</w:t>
      </w: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（2）质量控制重点及监理措施（满分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spacing w:line="460" w:lineRule="exact"/>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要求：各阶段控制的目标明确，方法正确，措施得力:主体工程质量控制措施得当,其他配套质量控制措施得当。</w:t>
      </w:r>
    </w:p>
    <w:p>
      <w:pPr>
        <w:spacing w:line="460" w:lineRule="exact"/>
        <w:ind w:firstLine="720" w:firstLineChars="3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 xml:space="preserve"> 分）：完全满足要求。</w:t>
      </w:r>
    </w:p>
    <w:p>
      <w:pPr>
        <w:spacing w:line="460" w:lineRule="exact"/>
        <w:ind w:firstLine="720" w:firstLineChars="3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分）：基本满足要求。</w:t>
      </w:r>
    </w:p>
    <w:p>
      <w:pPr>
        <w:spacing w:line="460" w:lineRule="exact"/>
        <w:ind w:firstLine="720" w:firstLineChars="3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 xml:space="preserve"> 分）：不满足要求。</w:t>
      </w:r>
    </w:p>
    <w:p>
      <w:pPr>
        <w:pStyle w:val="36"/>
        <w:spacing w:line="460" w:lineRule="exact"/>
        <w:ind w:firstLine="480" w:firstLineChars="200"/>
        <w:rPr>
          <w:rFonts w:ascii="仿宋" w:hAnsi="仿宋" w:eastAsia="仿宋" w:cs="仿宋"/>
          <w:color w:val="auto"/>
          <w:w w:val="99"/>
          <w:highlight w:val="none"/>
        </w:rPr>
      </w:pPr>
      <w:r>
        <w:rPr>
          <w:rFonts w:hint="eastAsia" w:ascii="仿宋" w:hAnsi="仿宋" w:eastAsia="仿宋" w:cs="仿宋"/>
          <w:color w:val="auto"/>
          <w:highlight w:val="none"/>
        </w:rPr>
        <w:t>（3）进度控制重点及监理措施（满分</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p>
      <w:pPr>
        <w:pStyle w:val="36"/>
        <w:spacing w:line="460" w:lineRule="exact"/>
        <w:ind w:firstLine="480" w:firstLineChars="200"/>
        <w:rPr>
          <w:rFonts w:ascii="仿宋" w:hAnsi="仿宋" w:eastAsia="仿宋" w:cs="仿宋"/>
          <w:color w:val="auto"/>
          <w:kern w:val="2"/>
          <w:highlight w:val="none"/>
        </w:rPr>
      </w:pPr>
      <w:r>
        <w:rPr>
          <w:rFonts w:hint="eastAsia" w:ascii="仿宋" w:hAnsi="仿宋" w:eastAsia="仿宋" w:cs="仿宋"/>
          <w:color w:val="auto"/>
          <w:kern w:val="2"/>
          <w:highlight w:val="none"/>
        </w:rPr>
        <w:t>节点或阶段工期明确，进度控制重点明确；工期总进度计划网络图科学、优化，工期控制点设置合理，控制措施与手段可靠有力。</w:t>
      </w:r>
    </w:p>
    <w:p>
      <w:pPr>
        <w:pStyle w:val="36"/>
        <w:spacing w:line="460" w:lineRule="exact"/>
        <w:ind w:firstLine="720" w:firstLineChars="300"/>
        <w:rPr>
          <w:rFonts w:ascii="仿宋" w:hAnsi="仿宋" w:eastAsia="仿宋" w:cs="仿宋"/>
          <w:color w:val="auto"/>
          <w:kern w:val="2"/>
          <w:highlight w:val="none"/>
        </w:rPr>
      </w:pPr>
      <w:r>
        <w:rPr>
          <w:rFonts w:hint="eastAsia" w:ascii="仿宋" w:hAnsi="仿宋" w:eastAsia="仿宋" w:cs="仿宋"/>
          <w:color w:val="auto"/>
          <w:kern w:val="2"/>
          <w:highlight w:val="none"/>
        </w:rPr>
        <w:t>一档（</w:t>
      </w:r>
      <w:r>
        <w:rPr>
          <w:rFonts w:hint="eastAsia" w:ascii="仿宋" w:hAnsi="仿宋" w:eastAsia="仿宋" w:cs="仿宋"/>
          <w:color w:val="auto"/>
          <w:kern w:val="2"/>
          <w:highlight w:val="none"/>
          <w:lang w:val="en-US" w:eastAsia="zh-CN"/>
        </w:rPr>
        <w:t>10</w:t>
      </w:r>
      <w:r>
        <w:rPr>
          <w:rFonts w:hint="eastAsia" w:ascii="仿宋" w:hAnsi="仿宋" w:eastAsia="仿宋" w:cs="仿宋"/>
          <w:color w:val="auto"/>
          <w:kern w:val="2"/>
          <w:highlight w:val="none"/>
        </w:rPr>
        <w:t>分）：完全满足要求。</w:t>
      </w:r>
    </w:p>
    <w:p>
      <w:pPr>
        <w:pStyle w:val="36"/>
        <w:spacing w:line="460" w:lineRule="exact"/>
        <w:ind w:firstLine="720" w:firstLineChars="300"/>
        <w:rPr>
          <w:rFonts w:ascii="仿宋" w:hAnsi="仿宋" w:eastAsia="仿宋" w:cs="仿宋"/>
          <w:color w:val="auto"/>
          <w:kern w:val="2"/>
          <w:highlight w:val="none"/>
        </w:rPr>
      </w:pPr>
      <w:r>
        <w:rPr>
          <w:rFonts w:hint="eastAsia" w:ascii="仿宋" w:hAnsi="仿宋" w:eastAsia="仿宋" w:cs="仿宋"/>
          <w:color w:val="auto"/>
          <w:kern w:val="2"/>
          <w:highlight w:val="none"/>
        </w:rPr>
        <w:t>二档（</w:t>
      </w:r>
      <w:r>
        <w:rPr>
          <w:rFonts w:hint="eastAsia" w:ascii="仿宋" w:hAnsi="仿宋" w:eastAsia="仿宋" w:cs="仿宋"/>
          <w:color w:val="auto"/>
          <w:kern w:val="2"/>
          <w:highlight w:val="none"/>
          <w:lang w:val="en-US" w:eastAsia="zh-CN"/>
        </w:rPr>
        <w:t>5</w:t>
      </w:r>
      <w:r>
        <w:rPr>
          <w:rFonts w:hint="eastAsia" w:ascii="仿宋" w:hAnsi="仿宋" w:eastAsia="仿宋" w:cs="仿宋"/>
          <w:color w:val="auto"/>
          <w:kern w:val="2"/>
          <w:highlight w:val="none"/>
        </w:rPr>
        <w:t xml:space="preserve"> 分）：基本满足要求。</w:t>
      </w:r>
    </w:p>
    <w:p>
      <w:pPr>
        <w:pStyle w:val="36"/>
        <w:spacing w:line="460" w:lineRule="exact"/>
        <w:ind w:firstLine="720" w:firstLineChars="300"/>
        <w:rPr>
          <w:rFonts w:ascii="仿宋" w:hAnsi="仿宋" w:eastAsia="仿宋" w:cs="仿宋"/>
          <w:color w:val="auto"/>
          <w:kern w:val="2"/>
          <w:highlight w:val="none"/>
        </w:rPr>
      </w:pPr>
      <w:r>
        <w:rPr>
          <w:rFonts w:hint="eastAsia" w:ascii="仿宋" w:hAnsi="仿宋" w:eastAsia="仿宋" w:cs="仿宋"/>
          <w:color w:val="auto"/>
          <w:kern w:val="2"/>
          <w:highlight w:val="none"/>
        </w:rPr>
        <w:t>三档（</w:t>
      </w:r>
      <w:r>
        <w:rPr>
          <w:rFonts w:hint="eastAsia" w:ascii="仿宋" w:hAnsi="仿宋" w:eastAsia="仿宋" w:cs="仿宋"/>
          <w:color w:val="auto"/>
          <w:kern w:val="2"/>
          <w:highlight w:val="none"/>
          <w:lang w:val="en-US" w:eastAsia="zh-CN"/>
        </w:rPr>
        <w:t>1</w:t>
      </w:r>
      <w:r>
        <w:rPr>
          <w:rFonts w:hint="eastAsia" w:ascii="仿宋" w:hAnsi="仿宋" w:eastAsia="仿宋" w:cs="仿宋"/>
          <w:color w:val="auto"/>
          <w:kern w:val="2"/>
          <w:highlight w:val="none"/>
        </w:rPr>
        <w:t>分）：不满足要求。</w:t>
      </w:r>
    </w:p>
    <w:p>
      <w:pPr>
        <w:pStyle w:val="36"/>
        <w:numPr>
          <w:ilvl w:val="0"/>
          <w:numId w:val="1"/>
        </w:numPr>
        <w:spacing w:line="460" w:lineRule="exact"/>
        <w:ind w:firstLine="480" w:firstLineChars="200"/>
        <w:rPr>
          <w:rFonts w:ascii="仿宋" w:hAnsi="仿宋" w:eastAsia="仿宋" w:cs="仿宋"/>
          <w:color w:val="auto"/>
          <w:kern w:val="2"/>
          <w:highlight w:val="none"/>
        </w:rPr>
      </w:pPr>
      <w:r>
        <w:rPr>
          <w:rFonts w:hint="eastAsia" w:ascii="仿宋" w:hAnsi="仿宋" w:eastAsia="仿宋" w:cs="仿宋"/>
          <w:color w:val="auto"/>
          <w:kern w:val="2"/>
          <w:highlight w:val="none"/>
        </w:rPr>
        <w:t>造价控制重点及监理措施（满分</w:t>
      </w:r>
      <w:r>
        <w:rPr>
          <w:rFonts w:hint="eastAsia" w:ascii="仿宋" w:hAnsi="仿宋" w:eastAsia="仿宋" w:cs="仿宋"/>
          <w:color w:val="auto"/>
          <w:kern w:val="2"/>
          <w:highlight w:val="none"/>
          <w:lang w:val="en-US" w:eastAsia="zh-CN"/>
        </w:rPr>
        <w:t>8</w:t>
      </w:r>
      <w:r>
        <w:rPr>
          <w:rFonts w:hint="eastAsia" w:ascii="仿宋" w:hAnsi="仿宋" w:eastAsia="仿宋" w:cs="仿宋"/>
          <w:color w:val="auto"/>
          <w:kern w:val="2"/>
          <w:highlight w:val="none"/>
        </w:rPr>
        <w:t>分）</w:t>
      </w:r>
    </w:p>
    <w:p>
      <w:pPr>
        <w:pStyle w:val="36"/>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要求：投资控制重点分析到位明确；风险预测与防范对策有效可行；能抓住工程费用最易突破的环节，明确投资控制重点；控制措施与手段健全；能兼顾工期与质量目标，合理确定资金流量；能提出有效的合理化建议，降低工程投资。</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一档（</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 分）：完全满足要求。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二档（4 分）：基本满足要求。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二档（1 分）：不满足要求。</w:t>
      </w:r>
    </w:p>
    <w:p>
      <w:pPr>
        <w:pStyle w:val="36"/>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（5）合同及信息管理措施（满分6分）</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要求：合同及信息管理制度明确、程序清晰、控制措施合理全面。</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一档（6 分）：完全满足要求。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二档（4 分）：基本满足要求。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三档（1 分）：不满足要求。</w:t>
      </w:r>
    </w:p>
    <w:p>
      <w:pPr>
        <w:pStyle w:val="36"/>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（6）监理工作协调（满分6分）</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要求：监理工作协调方法正确,措施得力。</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一档（6 分）：完全满足要求。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二档（4 分）：基本满足要求。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三档（1 分）：不满足要求。</w:t>
      </w:r>
    </w:p>
    <w:p>
      <w:pPr>
        <w:pStyle w:val="36"/>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（7）环境保护及文明施工监理措施（满分6分）</w:t>
      </w:r>
    </w:p>
    <w:p>
      <w:pPr>
        <w:pStyle w:val="36"/>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要求：环境保护、安全文明施工保证体系健全、可靠；安全事故控制措施得力；能有针对工程环境及工程特点、难点防范及化解安全事故的发生，措施得力。</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一档（6 分）：完全满足要求。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二档（4 分）：基本满足要求。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三档（1 分）：不满足要求。</w:t>
      </w:r>
    </w:p>
    <w:p>
      <w:pPr>
        <w:pStyle w:val="36"/>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（8）履行安全职责措施（满分6分）</w:t>
      </w:r>
    </w:p>
    <w:p>
      <w:pPr>
        <w:pStyle w:val="36"/>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要求：保证施工安全的监理控制措施体系健全、可靠；安全事故控制措施得力；能有针对工程特点、难点防范及化解安全事故的发生，措施得力。</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一档（6 分）：完全满足要求。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二档（4 分）：基本满足要求。</w:t>
      </w:r>
    </w:p>
    <w:p>
      <w:pPr>
        <w:pStyle w:val="36"/>
        <w:spacing w:line="46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三档（1 分）：不满足要求。</w:t>
      </w:r>
    </w:p>
    <w:p>
      <w:pPr>
        <w:pStyle w:val="36"/>
        <w:numPr>
          <w:ilvl w:val="0"/>
          <w:numId w:val="4"/>
        </w:num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项目监理人员机构情况（满分13分）</w:t>
      </w:r>
    </w:p>
    <w:p>
      <w:pPr>
        <w:pStyle w:val="36"/>
        <w:spacing w:line="460" w:lineRule="exact"/>
        <w:ind w:firstLine="72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①环境监理总监获得环境监理资格5年以上（不含5年）得3分； 5年及以下得2分；（有效证明材料以监理培训证书核发时间为准）。</w:t>
      </w:r>
    </w:p>
    <w:p>
      <w:pPr>
        <w:pStyle w:val="36"/>
        <w:spacing w:line="460" w:lineRule="exact"/>
        <w:ind w:firstLine="72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②环境监理总监具备环境类本科及以上学历得3分，大专学历得1分。</w:t>
      </w:r>
    </w:p>
    <w:p>
      <w:pPr>
        <w:pStyle w:val="36"/>
        <w:spacing w:line="460" w:lineRule="exact"/>
        <w:ind w:firstLine="72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③环境监理总监考核期内监理过类似工程每个得1分，最多得3分。</w:t>
      </w:r>
    </w:p>
    <w:p>
      <w:pPr>
        <w:pStyle w:val="36"/>
        <w:spacing w:line="460" w:lineRule="exact"/>
        <w:ind w:firstLine="72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④</w:t>
      </w:r>
      <w:r>
        <w:rPr>
          <w:rFonts w:hint="eastAsia" w:ascii="仿宋" w:hAnsi="仿宋" w:eastAsia="仿宋" w:cs="仿宋"/>
          <w:color w:val="auto"/>
          <w:highlight w:val="none"/>
        </w:rPr>
        <w:t>环境专业监理、环评工程师、现场监理人员配备齐全，每增加一个专业监理的得1分，增加一个环评工程师的得1分。（满分4分）</w:t>
      </w:r>
    </w:p>
    <w:p>
      <w:pPr>
        <w:spacing w:line="360" w:lineRule="auto"/>
        <w:ind w:firstLine="482" w:firstLineChars="200"/>
        <w:rPr>
          <w:rFonts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kern w:val="0"/>
          <w:sz w:val="24"/>
          <w:szCs w:val="24"/>
          <w:highlight w:val="none"/>
        </w:rPr>
        <w:t>企业实力（满分15分）</w:t>
      </w:r>
    </w:p>
    <w:p>
      <w:pPr>
        <w:spacing w:line="460" w:lineRule="exact"/>
        <w:ind w:firstLine="240" w:firstLineChars="100"/>
        <w:rPr>
          <w:rFonts w:ascii="仿宋" w:hAnsi="仿宋" w:eastAsia="仿宋" w:cs="仿宋"/>
          <w:color w:val="auto"/>
          <w:sz w:val="24"/>
          <w:szCs w:val="24"/>
          <w:highlight w:val="none"/>
        </w:rPr>
      </w:pPr>
    </w:p>
    <w:p>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（1）承担污染场地环境调查或地下水专项调查评估工作服务的每个得2分（满分10分）；</w:t>
      </w:r>
    </w:p>
    <w:p>
      <w:pPr>
        <w:pStyle w:val="13"/>
        <w:spacing w:line="44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近三年</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eastAsia="zh-CN"/>
        </w:rPr>
        <w:t>过</w:t>
      </w:r>
      <w:r>
        <w:rPr>
          <w:rFonts w:hint="eastAsia" w:ascii="仿宋" w:hAnsi="仿宋" w:eastAsia="仿宋" w:cs="仿宋"/>
          <w:color w:val="auto"/>
          <w:sz w:val="24"/>
          <w:szCs w:val="24"/>
          <w:highlight w:val="none"/>
        </w:rPr>
        <w:t>农田土壤治理项目环境监理项目的得2分，</w:t>
      </w:r>
      <w:r>
        <w:rPr>
          <w:rFonts w:hint="eastAsia" w:ascii="仿宋" w:hAnsi="仿宋" w:eastAsia="仿宋" w:cs="仿宋"/>
          <w:color w:val="auto"/>
          <w:sz w:val="24"/>
          <w:szCs w:val="24"/>
          <w:highlight w:val="none"/>
          <w:lang w:eastAsia="zh-CN"/>
        </w:rPr>
        <w:t>近三年</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eastAsia="zh-CN"/>
        </w:rPr>
        <w:t>过</w:t>
      </w:r>
      <w:r>
        <w:rPr>
          <w:rFonts w:hint="eastAsia" w:ascii="仿宋" w:hAnsi="仿宋" w:eastAsia="仿宋" w:cs="仿宋"/>
          <w:color w:val="auto"/>
          <w:sz w:val="24"/>
          <w:szCs w:val="24"/>
          <w:highlight w:val="none"/>
        </w:rPr>
        <w:t>农田土壤重金属污染调查及修复治理项目环境监理项目的得3分，最多得5分。</w:t>
      </w:r>
    </w:p>
    <w:p>
      <w:pPr>
        <w:spacing w:line="460" w:lineRule="exact"/>
        <w:ind w:firstLine="241" w:firstLineChars="1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综合得分=1+2+3</w:t>
      </w:r>
    </w:p>
    <w:p>
      <w:pPr>
        <w:spacing w:line="44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三、成交供应商的确定</w:t>
      </w:r>
    </w:p>
    <w:p>
      <w:pPr>
        <w:pStyle w:val="13"/>
        <w:spacing w:line="44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应当根据综合评分情况，按照评审总得分由高到低顺序推荐3名以上成交候选供应商，并编写评审报告。符合财库﹝2014﹞214号《政府采购竞争性磋商采购方式管理暂行办法》第二十一条第三款情形的，可以推荐2家成交候选供应商。评审总得分相同的，按照最后报价由低到高的顺序推荐。评审总得分且最后报价相同的，按照技术指标优劣顺序推荐。</w:t>
      </w:r>
    </w:p>
    <w:p>
      <w:pPr>
        <w:pStyle w:val="13"/>
        <w:spacing w:line="44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将根据综合评分总得分由高到低排列次序（评审总得分相同的，按照最后报价由低到高的顺序推荐。评审得分且最后报价相同的，按照服务方案分优劣顺序推荐）并推荐成交候选供应商；排名第一的成交候选人为成交人。排名第一的成交人放弃中标、因不可抗力提出不能履行合同，或者采购文件规定应当提交履约保证金而在规定的期限内未能提交的。政府采购活动或成交供应商不存在违法违规情形的，采购人可以根据采购项目的实际情况，综合考虑递补供应商的经济性和效率等因素，自主确定是否重新开展采购活动或确定下一候选人为成交供应商。</w:t>
      </w:r>
    </w:p>
    <w:p>
      <w:pPr>
        <w:pStyle w:val="13"/>
        <w:spacing w:line="440" w:lineRule="exact"/>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13"/>
        <w:spacing w:line="360" w:lineRule="auto"/>
        <w:ind w:firstLine="241" w:firstLineChars="1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w:t>
      </w:r>
    </w:p>
    <w:p>
      <w:pPr>
        <w:spacing w:line="588" w:lineRule="exact"/>
        <w:jc w:val="center"/>
        <w:rPr>
          <w:rFonts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中小企业声明函</w:t>
      </w:r>
    </w:p>
    <w:p>
      <w:pPr>
        <w:spacing w:line="588" w:lineRule="exact"/>
        <w:rPr>
          <w:rFonts w:ascii="仿宋" w:hAnsi="仿宋" w:eastAsia="仿宋" w:cs="仿宋"/>
          <w:b/>
          <w:bCs/>
          <w:color w:val="auto"/>
          <w:spacing w:val="6"/>
          <w:sz w:val="24"/>
          <w:szCs w:val="24"/>
          <w:highlight w:val="none"/>
        </w:rPr>
      </w:pPr>
    </w:p>
    <w:p>
      <w:pPr>
        <w:spacing w:line="420" w:lineRule="exact"/>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本公司郑重声明，根据《政府采购促进中小企业发展暂行办法》（财库[2011]181号）的规定，本公司为</w:t>
      </w:r>
      <w:bookmarkStart w:id="238" w:name="OLE_LINK2"/>
      <w:bookmarkStart w:id="239" w:name="OLE_LINK5"/>
      <w:r>
        <w:rPr>
          <w:rFonts w:hint="eastAsia" w:ascii="仿宋" w:hAnsi="仿宋" w:eastAsia="仿宋" w:cs="仿宋"/>
          <w:color w:val="auto"/>
          <w:spacing w:val="6"/>
          <w:sz w:val="24"/>
          <w:szCs w:val="24"/>
          <w:highlight w:val="none"/>
        </w:rPr>
        <w:t>______（请填写：中型、小型、微型）企业</w:t>
      </w:r>
      <w:bookmarkEnd w:id="238"/>
      <w:bookmarkEnd w:id="239"/>
      <w:r>
        <w:rPr>
          <w:rFonts w:hint="eastAsia" w:ascii="仿宋" w:hAnsi="仿宋" w:eastAsia="仿宋" w:cs="仿宋"/>
          <w:color w:val="auto"/>
          <w:spacing w:val="6"/>
          <w:sz w:val="24"/>
          <w:szCs w:val="24"/>
          <w:highlight w:val="none"/>
        </w:rPr>
        <w:t>。即，本公司同时满足以下条件：</w:t>
      </w:r>
    </w:p>
    <w:p>
      <w:pPr>
        <w:spacing w:line="420" w:lineRule="exact"/>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420" w:lineRule="exact"/>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20" w:lineRule="exact"/>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本公司对上述声明的真实性负责。如有虚假，将依法承担相应责任。</w:t>
      </w:r>
    </w:p>
    <w:p>
      <w:pPr>
        <w:spacing w:line="420" w:lineRule="exact"/>
        <w:ind w:firstLine="504" w:firstLineChars="200"/>
        <w:rPr>
          <w:rFonts w:ascii="仿宋" w:hAnsi="仿宋" w:eastAsia="仿宋" w:cs="仿宋"/>
          <w:color w:val="auto"/>
          <w:spacing w:val="6"/>
          <w:sz w:val="24"/>
          <w:szCs w:val="24"/>
          <w:highlight w:val="none"/>
        </w:rPr>
      </w:pPr>
    </w:p>
    <w:p>
      <w:pPr>
        <w:spacing w:line="420" w:lineRule="exact"/>
        <w:ind w:firstLine="504" w:firstLineChars="200"/>
        <w:rPr>
          <w:rFonts w:ascii="仿宋" w:hAnsi="仿宋" w:eastAsia="仿宋" w:cs="仿宋"/>
          <w:color w:val="auto"/>
          <w:spacing w:val="6"/>
          <w:sz w:val="24"/>
          <w:szCs w:val="24"/>
          <w:highlight w:val="none"/>
        </w:rPr>
      </w:pPr>
    </w:p>
    <w:p>
      <w:pPr>
        <w:spacing w:line="420" w:lineRule="exact"/>
        <w:ind w:firstLine="504" w:firstLineChars="200"/>
        <w:rPr>
          <w:rFonts w:ascii="仿宋" w:hAnsi="仿宋" w:eastAsia="仿宋" w:cs="仿宋"/>
          <w:color w:val="auto"/>
          <w:spacing w:val="6"/>
          <w:sz w:val="24"/>
          <w:szCs w:val="24"/>
          <w:highlight w:val="none"/>
        </w:rPr>
      </w:pPr>
    </w:p>
    <w:p>
      <w:pPr>
        <w:spacing w:line="420" w:lineRule="exact"/>
        <w:ind w:firstLine="504" w:firstLineChars="200"/>
        <w:rPr>
          <w:rFonts w:ascii="仿宋" w:hAnsi="仿宋" w:eastAsia="仿宋" w:cs="仿宋"/>
          <w:color w:val="auto"/>
          <w:spacing w:val="6"/>
          <w:sz w:val="24"/>
          <w:szCs w:val="24"/>
          <w:highlight w:val="none"/>
        </w:rPr>
      </w:pPr>
    </w:p>
    <w:p>
      <w:pPr>
        <w:spacing w:line="420" w:lineRule="exact"/>
        <w:ind w:firstLine="504" w:firstLineChars="200"/>
        <w:rPr>
          <w:rFonts w:ascii="仿宋" w:hAnsi="仿宋" w:eastAsia="仿宋" w:cs="仿宋"/>
          <w:color w:val="auto"/>
          <w:spacing w:val="6"/>
          <w:sz w:val="24"/>
          <w:szCs w:val="24"/>
          <w:highlight w:val="none"/>
        </w:rPr>
      </w:pPr>
    </w:p>
    <w:p>
      <w:pPr>
        <w:tabs>
          <w:tab w:val="left" w:pos="4860"/>
        </w:tabs>
        <w:spacing w:line="420" w:lineRule="exact"/>
        <w:ind w:right="1560" w:firstLine="504" w:firstLineChars="200"/>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企业名称（盖章）： </w:t>
      </w:r>
    </w:p>
    <w:p>
      <w:pPr>
        <w:spacing w:line="420" w:lineRule="exact"/>
        <w:rPr>
          <w:rFonts w:ascii="仿宋" w:hAnsi="仿宋" w:eastAsia="仿宋" w:cs="仿宋"/>
          <w:color w:val="auto"/>
          <w:kern w:val="44"/>
          <w:sz w:val="24"/>
          <w:szCs w:val="24"/>
          <w:highlight w:val="none"/>
        </w:rPr>
      </w:pPr>
      <w:r>
        <w:rPr>
          <w:rFonts w:hint="eastAsia" w:ascii="仿宋" w:hAnsi="仿宋" w:eastAsia="仿宋" w:cs="仿宋"/>
          <w:color w:val="auto"/>
          <w:spacing w:val="6"/>
          <w:sz w:val="24"/>
          <w:szCs w:val="24"/>
          <w:highlight w:val="none"/>
        </w:rPr>
        <w:t xml:space="preserve">                                      日  期：            </w:t>
      </w:r>
    </w:p>
    <w:p>
      <w:pPr>
        <w:spacing w:line="420" w:lineRule="exact"/>
        <w:rPr>
          <w:rFonts w:ascii="仿宋" w:hAnsi="仿宋" w:eastAsia="仿宋" w:cs="仿宋"/>
          <w:color w:val="auto"/>
          <w:sz w:val="24"/>
          <w:szCs w:val="24"/>
          <w:highlight w:val="none"/>
        </w:rPr>
      </w:pPr>
    </w:p>
    <w:p>
      <w:pPr>
        <w:pStyle w:val="13"/>
        <w:ind w:firstLine="392" w:firstLineChars="196"/>
        <w:rPr>
          <w:rFonts w:ascii="仿宋" w:hAnsi="仿宋" w:eastAsia="仿宋" w:cs="仿宋"/>
          <w:color w:val="auto"/>
          <w:highlight w:val="none"/>
        </w:rPr>
      </w:pPr>
      <w:r>
        <w:rPr>
          <w:rFonts w:hint="eastAsia" w:ascii="仿宋" w:hAnsi="仿宋" w:eastAsia="仿宋" w:cs="仿宋"/>
          <w:color w:val="auto"/>
          <w:highlight w:val="none"/>
        </w:rPr>
        <w:t xml:space="preserve"> </w:t>
      </w:r>
    </w:p>
    <w:p>
      <w:pPr>
        <w:pStyle w:val="13"/>
        <w:adjustRightInd w:val="0"/>
        <w:snapToGrid w:val="0"/>
        <w:spacing w:line="960" w:lineRule="exact"/>
        <w:rPr>
          <w:rFonts w:ascii="仿宋" w:hAnsi="仿宋" w:eastAsia="仿宋" w:cs="仿宋"/>
          <w:color w:val="auto"/>
          <w:highlight w:val="none"/>
        </w:rPr>
      </w:pPr>
    </w:p>
    <w:p>
      <w:pPr>
        <w:pStyle w:val="13"/>
        <w:adjustRightInd w:val="0"/>
        <w:snapToGrid w:val="0"/>
        <w:spacing w:line="960" w:lineRule="exact"/>
        <w:rPr>
          <w:rFonts w:ascii="仿宋" w:hAnsi="仿宋" w:eastAsia="仿宋" w:cs="仿宋"/>
          <w:color w:val="auto"/>
          <w:highlight w:val="none"/>
        </w:rPr>
      </w:pPr>
    </w:p>
    <w:p>
      <w:pPr>
        <w:pStyle w:val="13"/>
        <w:adjustRightInd w:val="0"/>
        <w:snapToGrid w:val="0"/>
        <w:spacing w:line="960" w:lineRule="exact"/>
        <w:rPr>
          <w:rFonts w:ascii="仿宋" w:hAnsi="仿宋" w:eastAsia="仿宋" w:cs="仿宋"/>
          <w:color w:val="auto"/>
          <w:highlight w:val="none"/>
        </w:rPr>
      </w:pPr>
    </w:p>
    <w:p>
      <w:pPr>
        <w:pStyle w:val="13"/>
        <w:adjustRightInd w:val="0"/>
        <w:snapToGrid w:val="0"/>
        <w:spacing w:line="960" w:lineRule="exact"/>
        <w:rPr>
          <w:rFonts w:ascii="仿宋" w:hAnsi="仿宋" w:eastAsia="仿宋" w:cs="仿宋"/>
          <w:color w:val="auto"/>
          <w:highlight w:val="none"/>
        </w:rPr>
      </w:pPr>
    </w:p>
    <w:p>
      <w:pPr>
        <w:pStyle w:val="13"/>
        <w:adjustRightInd w:val="0"/>
        <w:snapToGrid w:val="0"/>
        <w:spacing w:line="960" w:lineRule="exact"/>
        <w:rPr>
          <w:rFonts w:ascii="仿宋" w:hAnsi="仿宋" w:eastAsia="仿宋" w:cs="仿宋"/>
          <w:color w:val="auto"/>
          <w:highlight w:val="none"/>
        </w:rPr>
      </w:pPr>
    </w:p>
    <w:p>
      <w:pPr>
        <w:widowControl/>
        <w:jc w:val="left"/>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w:t>
      </w:r>
    </w:p>
    <w:p>
      <w:pPr>
        <w:widowControl/>
        <w:jc w:val="left"/>
        <w:rPr>
          <w:rFonts w:ascii="仿宋" w:hAnsi="仿宋" w:eastAsia="仿宋" w:cs="仿宋"/>
          <w:color w:val="auto"/>
          <w:kern w:val="0"/>
          <w:sz w:val="24"/>
          <w:szCs w:val="24"/>
          <w:highlight w:val="none"/>
        </w:rPr>
      </w:pPr>
    </w:p>
    <w:p>
      <w:pPr>
        <w:widowControl/>
        <w:jc w:val="left"/>
        <w:rPr>
          <w:rFonts w:ascii="仿宋" w:hAnsi="仿宋" w:eastAsia="仿宋" w:cs="仿宋"/>
          <w:color w:val="auto"/>
          <w:kern w:val="0"/>
          <w:sz w:val="24"/>
          <w:szCs w:val="24"/>
          <w:highlight w:val="none"/>
        </w:rPr>
      </w:pPr>
    </w:p>
    <w:p>
      <w:pPr>
        <w:widowControl/>
        <w:spacing w:line="480" w:lineRule="auto"/>
        <w:jc w:val="left"/>
        <w:rPr>
          <w:rFonts w:ascii="仿宋" w:hAnsi="仿宋" w:eastAsia="仿宋" w:cs="仿宋"/>
          <w:color w:val="auto"/>
          <w:kern w:val="0"/>
          <w:sz w:val="24"/>
          <w:szCs w:val="24"/>
          <w:highlight w:val="none"/>
        </w:rPr>
      </w:pPr>
      <w:r>
        <w:rPr>
          <w:rFonts w:hint="eastAsia" w:ascii="仿宋" w:hAnsi="仿宋" w:eastAsia="仿宋" w:cs="仿宋"/>
          <w:b/>
          <w:bCs/>
          <w:color w:val="auto"/>
          <w:kern w:val="0"/>
          <w:sz w:val="32"/>
          <w:szCs w:val="32"/>
          <w:highlight w:val="none"/>
        </w:rPr>
        <w:t xml:space="preserve">                  残疾人福利性单位声明函</w:t>
      </w:r>
      <w:r>
        <w:rPr>
          <w:rFonts w:hint="eastAsia" w:ascii="仿宋" w:hAnsi="仿宋" w:eastAsia="仿宋" w:cs="仿宋"/>
          <w:b/>
          <w:bCs/>
          <w:color w:val="auto"/>
          <w:kern w:val="0"/>
          <w:sz w:val="32"/>
          <w:szCs w:val="32"/>
          <w:highlight w:val="none"/>
        </w:rPr>
        <w:br w:type="textWrapping"/>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80" w:lineRule="auto"/>
        <w:jc w:val="left"/>
        <w:rPr>
          <w:rFonts w:ascii="仿宋" w:hAnsi="仿宋" w:eastAsia="仿宋" w:cs="仿宋"/>
          <w:color w:val="auto"/>
          <w:highlight w:val="none"/>
        </w:rPr>
      </w:pPr>
      <w:r>
        <w:rPr>
          <w:rFonts w:hint="eastAsia" w:ascii="仿宋" w:hAnsi="仿宋" w:eastAsia="仿宋" w:cs="仿宋"/>
          <w:color w:val="auto"/>
          <w:kern w:val="0"/>
          <w:sz w:val="24"/>
          <w:szCs w:val="24"/>
          <w:highlight w:val="none"/>
        </w:rPr>
        <w:t xml:space="preserve">    本单位对上述声明的真实性负责。如有虚假，将依法承担相应责任。</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单位名称（盖章）：</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日  期：</w:t>
      </w:r>
    </w:p>
    <w:p>
      <w:pPr>
        <w:pStyle w:val="13"/>
        <w:adjustRightInd w:val="0"/>
        <w:snapToGrid w:val="0"/>
        <w:spacing w:line="960" w:lineRule="exact"/>
        <w:rPr>
          <w:rFonts w:ascii="仿宋" w:hAnsi="仿宋" w:eastAsia="仿宋" w:cs="仿宋"/>
          <w:color w:val="auto"/>
          <w:highlight w:val="none"/>
        </w:rPr>
      </w:pPr>
    </w:p>
    <w:p>
      <w:pPr>
        <w:pStyle w:val="13"/>
        <w:adjustRightInd w:val="0"/>
        <w:snapToGrid w:val="0"/>
        <w:spacing w:line="960" w:lineRule="exact"/>
        <w:rPr>
          <w:rFonts w:ascii="仿宋" w:hAnsi="仿宋" w:eastAsia="仿宋" w:cs="仿宋"/>
          <w:color w:val="auto"/>
          <w:highlight w:val="none"/>
        </w:rPr>
      </w:pPr>
    </w:p>
    <w:p>
      <w:pPr>
        <w:rPr>
          <w:rFonts w:ascii="仿宋" w:hAnsi="仿宋" w:eastAsia="仿宋" w:cs="仿宋"/>
          <w:color w:val="auto"/>
          <w:highlight w:val="none"/>
        </w:rPr>
      </w:pPr>
    </w:p>
    <w:sectPr>
      <w:pgSz w:w="11907" w:h="16840"/>
      <w:pgMar w:top="1418" w:right="1249" w:bottom="1418" w:left="1418" w:header="851" w:footer="964"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CJK JP Regular">
    <w:altName w:val="Segoe Print"/>
    <w:panose1 w:val="00000000000000000000"/>
    <w:charset w:val="00"/>
    <w:family w:val="swiss"/>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Arial" w:hAnsi="Arial" w:cs="Arial"/>
      </w:rPr>
    </w:pPr>
    <w:r>
      <w:rPr>
        <w:rStyle w:val="26"/>
        <w:rFonts w:ascii="Arial" w:hAnsi="Arial" w:cs="Arial"/>
      </w:rPr>
      <w:fldChar w:fldCharType="begin"/>
    </w:r>
    <w:r>
      <w:rPr>
        <w:rStyle w:val="26"/>
        <w:rFonts w:ascii="Arial" w:hAnsi="Arial" w:cs="Arial"/>
      </w:rPr>
      <w:instrText xml:space="preserve">PAGE  </w:instrText>
    </w:r>
    <w:r>
      <w:rPr>
        <w:rStyle w:val="26"/>
        <w:rFonts w:ascii="Arial" w:hAnsi="Arial" w:cs="Arial"/>
      </w:rPr>
      <w:fldChar w:fldCharType="separate"/>
    </w:r>
    <w:r>
      <w:rPr>
        <w:rStyle w:val="26"/>
        <w:rFonts w:ascii="Arial" w:hAnsi="Arial" w:cs="Arial"/>
      </w:rPr>
      <w:t>6</w:t>
    </w:r>
    <w:r>
      <w:rPr>
        <w:rStyle w:val="26"/>
        <w:rFonts w:ascii="Arial" w:hAnsi="Arial" w:cs="Arial"/>
      </w:rPr>
      <w:fldChar w:fldCharType="end"/>
    </w:r>
  </w:p>
  <w:p>
    <w:pPr>
      <w:pStyle w:val="16"/>
      <w:ind w:right="360"/>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Arial" w:hAnsi="Arial" w:cs="Arial"/>
      </w:rPr>
    </w:pPr>
    <w:r>
      <w:rPr>
        <w:rStyle w:val="26"/>
        <w:rFonts w:ascii="Arial" w:hAnsi="Arial" w:cs="Arial"/>
      </w:rPr>
      <w:fldChar w:fldCharType="begin"/>
    </w:r>
    <w:r>
      <w:rPr>
        <w:rStyle w:val="26"/>
        <w:rFonts w:ascii="Arial" w:hAnsi="Arial" w:cs="Arial"/>
      </w:rPr>
      <w:instrText xml:space="preserve">PAGE  </w:instrText>
    </w:r>
    <w:r>
      <w:rPr>
        <w:rStyle w:val="26"/>
        <w:rFonts w:ascii="Arial" w:hAnsi="Arial" w:cs="Arial"/>
      </w:rPr>
      <w:fldChar w:fldCharType="separate"/>
    </w:r>
    <w:r>
      <w:rPr>
        <w:rStyle w:val="26"/>
        <w:rFonts w:ascii="Arial" w:hAnsi="Arial" w:cs="Arial"/>
      </w:rPr>
      <w:t>51</w:t>
    </w:r>
    <w:r>
      <w:rPr>
        <w:rStyle w:val="26"/>
        <w:rFonts w:ascii="Arial" w:hAnsi="Arial" w:cs="Arial"/>
      </w:rPr>
      <w:fldChar w:fldCharType="end"/>
    </w:r>
  </w:p>
  <w:p>
    <w:pPr>
      <w:pStyle w:val="16"/>
      <w:ind w:right="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cs="Times New Roman"/>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39833"/>
    <w:multiLevelType w:val="singleLevel"/>
    <w:tmpl w:val="DFE39833"/>
    <w:lvl w:ilvl="0" w:tentative="0">
      <w:start w:val="9"/>
      <w:numFmt w:val="decimal"/>
      <w:suff w:val="nothing"/>
      <w:lvlText w:val="（%1）"/>
      <w:lvlJc w:val="left"/>
      <w:pPr>
        <w:ind w:left="480" w:firstLine="0"/>
      </w:pPr>
    </w:lvl>
  </w:abstractNum>
  <w:abstractNum w:abstractNumId="1">
    <w:nsid w:val="0000000C"/>
    <w:multiLevelType w:val="multilevel"/>
    <w:tmpl w:val="0000000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8DB7844"/>
    <w:multiLevelType w:val="singleLevel"/>
    <w:tmpl w:val="28DB7844"/>
    <w:lvl w:ilvl="0" w:tentative="0">
      <w:start w:val="1"/>
      <w:numFmt w:val="decimal"/>
      <w:suff w:val="nothing"/>
      <w:lvlText w:val="（%1）"/>
      <w:lvlJc w:val="left"/>
    </w:lvl>
  </w:abstractNum>
  <w:abstractNum w:abstractNumId="3">
    <w:nsid w:val="4CBF751F"/>
    <w:multiLevelType w:val="multilevel"/>
    <w:tmpl w:val="4CBF751F"/>
    <w:lvl w:ilvl="0" w:tentative="0">
      <w:start w:val="1"/>
      <w:numFmt w:val="decimal"/>
      <w:lvlText w:val="%1."/>
      <w:lvlJc w:val="left"/>
      <w:pPr>
        <w:ind w:left="420" w:hanging="420"/>
      </w:pPr>
      <w:rPr>
        <w:rFonts w:hint="eastAsia" w:eastAsia="仿宋_GB2312"/>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E550B"/>
    <w:rsid w:val="0006679A"/>
    <w:rsid w:val="00080126"/>
    <w:rsid w:val="00092461"/>
    <w:rsid w:val="000A458C"/>
    <w:rsid w:val="000E7AD9"/>
    <w:rsid w:val="001256BB"/>
    <w:rsid w:val="00143CB5"/>
    <w:rsid w:val="001614E5"/>
    <w:rsid w:val="0016584F"/>
    <w:rsid w:val="0017147C"/>
    <w:rsid w:val="001D5F90"/>
    <w:rsid w:val="001E54C3"/>
    <w:rsid w:val="00210F68"/>
    <w:rsid w:val="002220A2"/>
    <w:rsid w:val="00251FC5"/>
    <w:rsid w:val="002C0F28"/>
    <w:rsid w:val="002C4AB5"/>
    <w:rsid w:val="002E2940"/>
    <w:rsid w:val="002E65F5"/>
    <w:rsid w:val="00326970"/>
    <w:rsid w:val="00344173"/>
    <w:rsid w:val="00364FB1"/>
    <w:rsid w:val="003B2944"/>
    <w:rsid w:val="003D7839"/>
    <w:rsid w:val="003F14A7"/>
    <w:rsid w:val="003F5492"/>
    <w:rsid w:val="00413BA2"/>
    <w:rsid w:val="00424F5A"/>
    <w:rsid w:val="00466D08"/>
    <w:rsid w:val="00476AAB"/>
    <w:rsid w:val="00495D1B"/>
    <w:rsid w:val="004A6C20"/>
    <w:rsid w:val="004B16B3"/>
    <w:rsid w:val="004F2615"/>
    <w:rsid w:val="0051715D"/>
    <w:rsid w:val="0054101E"/>
    <w:rsid w:val="00543290"/>
    <w:rsid w:val="00544F08"/>
    <w:rsid w:val="005A197E"/>
    <w:rsid w:val="00686764"/>
    <w:rsid w:val="006D1609"/>
    <w:rsid w:val="007603A9"/>
    <w:rsid w:val="00775CDA"/>
    <w:rsid w:val="007973BC"/>
    <w:rsid w:val="007E3E26"/>
    <w:rsid w:val="00862FD6"/>
    <w:rsid w:val="00886C03"/>
    <w:rsid w:val="008A1612"/>
    <w:rsid w:val="008A17E7"/>
    <w:rsid w:val="009024DF"/>
    <w:rsid w:val="00920C61"/>
    <w:rsid w:val="009325B4"/>
    <w:rsid w:val="00946C5F"/>
    <w:rsid w:val="00950B3E"/>
    <w:rsid w:val="00984B46"/>
    <w:rsid w:val="0099289F"/>
    <w:rsid w:val="009C470F"/>
    <w:rsid w:val="009C4DFC"/>
    <w:rsid w:val="00A03C5F"/>
    <w:rsid w:val="00A2058F"/>
    <w:rsid w:val="00A47359"/>
    <w:rsid w:val="00A661A5"/>
    <w:rsid w:val="00AC27A8"/>
    <w:rsid w:val="00AD2A1D"/>
    <w:rsid w:val="00AD519E"/>
    <w:rsid w:val="00AE0429"/>
    <w:rsid w:val="00B12152"/>
    <w:rsid w:val="00B71160"/>
    <w:rsid w:val="00B71C72"/>
    <w:rsid w:val="00BA6D15"/>
    <w:rsid w:val="00BD7D35"/>
    <w:rsid w:val="00C02633"/>
    <w:rsid w:val="00C3637E"/>
    <w:rsid w:val="00C539CE"/>
    <w:rsid w:val="00CA2E60"/>
    <w:rsid w:val="00CD366F"/>
    <w:rsid w:val="00CD4493"/>
    <w:rsid w:val="00CE2D9A"/>
    <w:rsid w:val="00D44734"/>
    <w:rsid w:val="00D71326"/>
    <w:rsid w:val="00D71DEE"/>
    <w:rsid w:val="00D86040"/>
    <w:rsid w:val="00DC31F4"/>
    <w:rsid w:val="00DD2570"/>
    <w:rsid w:val="00DE0DBD"/>
    <w:rsid w:val="00E11BDE"/>
    <w:rsid w:val="00E214A1"/>
    <w:rsid w:val="00E4136A"/>
    <w:rsid w:val="00E470DF"/>
    <w:rsid w:val="00E55183"/>
    <w:rsid w:val="00E7180A"/>
    <w:rsid w:val="00E90263"/>
    <w:rsid w:val="00E94CCD"/>
    <w:rsid w:val="00E963FA"/>
    <w:rsid w:val="00EA3E54"/>
    <w:rsid w:val="00EA6DFD"/>
    <w:rsid w:val="00F04BE1"/>
    <w:rsid w:val="00F13AED"/>
    <w:rsid w:val="00F66994"/>
    <w:rsid w:val="00F85C7D"/>
    <w:rsid w:val="00F9692D"/>
    <w:rsid w:val="00FA0B42"/>
    <w:rsid w:val="00FB3B1F"/>
    <w:rsid w:val="00FF05FB"/>
    <w:rsid w:val="02C84FF1"/>
    <w:rsid w:val="02D83704"/>
    <w:rsid w:val="03C95194"/>
    <w:rsid w:val="05FF69F6"/>
    <w:rsid w:val="06B87AD6"/>
    <w:rsid w:val="06EA0DD7"/>
    <w:rsid w:val="07B97608"/>
    <w:rsid w:val="07C068C8"/>
    <w:rsid w:val="09997065"/>
    <w:rsid w:val="0A4841FA"/>
    <w:rsid w:val="0A607511"/>
    <w:rsid w:val="0AB974DA"/>
    <w:rsid w:val="0BB2171E"/>
    <w:rsid w:val="0BCC6703"/>
    <w:rsid w:val="0C29453F"/>
    <w:rsid w:val="0D07612C"/>
    <w:rsid w:val="0EA46698"/>
    <w:rsid w:val="0ECA0F13"/>
    <w:rsid w:val="0EF843AF"/>
    <w:rsid w:val="0F096969"/>
    <w:rsid w:val="0F513CD9"/>
    <w:rsid w:val="0F70105E"/>
    <w:rsid w:val="0FFF3183"/>
    <w:rsid w:val="106202F9"/>
    <w:rsid w:val="11464B25"/>
    <w:rsid w:val="116A478B"/>
    <w:rsid w:val="11B0642B"/>
    <w:rsid w:val="11B662E7"/>
    <w:rsid w:val="11C71278"/>
    <w:rsid w:val="122B704C"/>
    <w:rsid w:val="13110275"/>
    <w:rsid w:val="144C19DB"/>
    <w:rsid w:val="16034ABF"/>
    <w:rsid w:val="161A1825"/>
    <w:rsid w:val="161A7E62"/>
    <w:rsid w:val="161E51B3"/>
    <w:rsid w:val="16FF47A5"/>
    <w:rsid w:val="17527A88"/>
    <w:rsid w:val="179C0C31"/>
    <w:rsid w:val="18472181"/>
    <w:rsid w:val="184A1CA1"/>
    <w:rsid w:val="19B2069B"/>
    <w:rsid w:val="1CC825DB"/>
    <w:rsid w:val="1E8E26AD"/>
    <w:rsid w:val="1EE86EAA"/>
    <w:rsid w:val="1FC229AF"/>
    <w:rsid w:val="20527E04"/>
    <w:rsid w:val="22691A5C"/>
    <w:rsid w:val="2271665E"/>
    <w:rsid w:val="228B20E5"/>
    <w:rsid w:val="22D33415"/>
    <w:rsid w:val="23747C62"/>
    <w:rsid w:val="23DE371F"/>
    <w:rsid w:val="23F30005"/>
    <w:rsid w:val="24CC0415"/>
    <w:rsid w:val="24D571CA"/>
    <w:rsid w:val="26265784"/>
    <w:rsid w:val="26323A45"/>
    <w:rsid w:val="276F55D9"/>
    <w:rsid w:val="288B1B35"/>
    <w:rsid w:val="296906DD"/>
    <w:rsid w:val="29807011"/>
    <w:rsid w:val="29B873CD"/>
    <w:rsid w:val="2A331782"/>
    <w:rsid w:val="2B0300A2"/>
    <w:rsid w:val="2B313261"/>
    <w:rsid w:val="2D3A5E1A"/>
    <w:rsid w:val="2F621738"/>
    <w:rsid w:val="302B2B79"/>
    <w:rsid w:val="30611F44"/>
    <w:rsid w:val="30D52212"/>
    <w:rsid w:val="31B57E65"/>
    <w:rsid w:val="32092151"/>
    <w:rsid w:val="328B46CF"/>
    <w:rsid w:val="3316515C"/>
    <w:rsid w:val="36B24E52"/>
    <w:rsid w:val="36BE1DE2"/>
    <w:rsid w:val="36D1259F"/>
    <w:rsid w:val="37401249"/>
    <w:rsid w:val="381D0B78"/>
    <w:rsid w:val="38477614"/>
    <w:rsid w:val="38B469EB"/>
    <w:rsid w:val="390F0E47"/>
    <w:rsid w:val="3A0B5CDD"/>
    <w:rsid w:val="3A8207F2"/>
    <w:rsid w:val="3CB10A9D"/>
    <w:rsid w:val="3CE81A41"/>
    <w:rsid w:val="3D941A96"/>
    <w:rsid w:val="3E520428"/>
    <w:rsid w:val="3EB00A56"/>
    <w:rsid w:val="3FA15740"/>
    <w:rsid w:val="3FB04ACE"/>
    <w:rsid w:val="3FD5004F"/>
    <w:rsid w:val="3FDF5BF3"/>
    <w:rsid w:val="402A6119"/>
    <w:rsid w:val="421B406C"/>
    <w:rsid w:val="43E3465D"/>
    <w:rsid w:val="44137B53"/>
    <w:rsid w:val="460E49C0"/>
    <w:rsid w:val="46D90508"/>
    <w:rsid w:val="4803144D"/>
    <w:rsid w:val="48751A23"/>
    <w:rsid w:val="493D1145"/>
    <w:rsid w:val="4A223595"/>
    <w:rsid w:val="4A4E2AC9"/>
    <w:rsid w:val="4AA517AB"/>
    <w:rsid w:val="4C20241B"/>
    <w:rsid w:val="4D4D3D0D"/>
    <w:rsid w:val="4D9B42F4"/>
    <w:rsid w:val="4DC277AA"/>
    <w:rsid w:val="4DE75EBB"/>
    <w:rsid w:val="4DE91C96"/>
    <w:rsid w:val="4EBA25FE"/>
    <w:rsid w:val="4F101D71"/>
    <w:rsid w:val="50D35739"/>
    <w:rsid w:val="51055742"/>
    <w:rsid w:val="51660975"/>
    <w:rsid w:val="53294B42"/>
    <w:rsid w:val="550A5917"/>
    <w:rsid w:val="551B3C30"/>
    <w:rsid w:val="555728E4"/>
    <w:rsid w:val="55B82B6A"/>
    <w:rsid w:val="563D1165"/>
    <w:rsid w:val="56453AD0"/>
    <w:rsid w:val="5691368F"/>
    <w:rsid w:val="56D17F3E"/>
    <w:rsid w:val="56E640DE"/>
    <w:rsid w:val="574D657B"/>
    <w:rsid w:val="57850598"/>
    <w:rsid w:val="591775FB"/>
    <w:rsid w:val="59BA612B"/>
    <w:rsid w:val="59F31A16"/>
    <w:rsid w:val="5A9831F8"/>
    <w:rsid w:val="5B194824"/>
    <w:rsid w:val="5C265C04"/>
    <w:rsid w:val="5C565DEF"/>
    <w:rsid w:val="5CC83BDE"/>
    <w:rsid w:val="5D3B41E9"/>
    <w:rsid w:val="5DB91E63"/>
    <w:rsid w:val="5DCF2EAF"/>
    <w:rsid w:val="5E2E270A"/>
    <w:rsid w:val="5EDC1955"/>
    <w:rsid w:val="5F7208FE"/>
    <w:rsid w:val="5F952AF8"/>
    <w:rsid w:val="5FE91C74"/>
    <w:rsid w:val="61347C23"/>
    <w:rsid w:val="6250426A"/>
    <w:rsid w:val="625B0B3F"/>
    <w:rsid w:val="628426A4"/>
    <w:rsid w:val="652D2740"/>
    <w:rsid w:val="668E0A60"/>
    <w:rsid w:val="67D00E1B"/>
    <w:rsid w:val="69336539"/>
    <w:rsid w:val="69F13B8D"/>
    <w:rsid w:val="6AB101BB"/>
    <w:rsid w:val="6B0C00DA"/>
    <w:rsid w:val="6BD175DB"/>
    <w:rsid w:val="6CCF1641"/>
    <w:rsid w:val="6CF84610"/>
    <w:rsid w:val="6D514779"/>
    <w:rsid w:val="6DE90939"/>
    <w:rsid w:val="6E394053"/>
    <w:rsid w:val="6F0B6818"/>
    <w:rsid w:val="6F154C77"/>
    <w:rsid w:val="6F1D2B6D"/>
    <w:rsid w:val="703601D8"/>
    <w:rsid w:val="71407B59"/>
    <w:rsid w:val="727455D7"/>
    <w:rsid w:val="729C678D"/>
    <w:rsid w:val="72CA6B32"/>
    <w:rsid w:val="72D365F5"/>
    <w:rsid w:val="738165DB"/>
    <w:rsid w:val="7435229C"/>
    <w:rsid w:val="74E5437B"/>
    <w:rsid w:val="74F41B47"/>
    <w:rsid w:val="752A742C"/>
    <w:rsid w:val="75FE70F2"/>
    <w:rsid w:val="765734E6"/>
    <w:rsid w:val="76EE7EBF"/>
    <w:rsid w:val="77245FD5"/>
    <w:rsid w:val="772745D7"/>
    <w:rsid w:val="79D47F70"/>
    <w:rsid w:val="7AD32B8C"/>
    <w:rsid w:val="7C352EAD"/>
    <w:rsid w:val="7C5743A1"/>
    <w:rsid w:val="7CED5D1D"/>
    <w:rsid w:val="7D67597E"/>
    <w:rsid w:val="7E315306"/>
    <w:rsid w:val="7E525876"/>
    <w:rsid w:val="7EBE2243"/>
    <w:rsid w:val="7EFB72AF"/>
    <w:rsid w:val="7F6E55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ocked="1"/>
    <w:lsdException w:qFormat="1" w:unhideWhenUsed="0" w:uiPriority="99" w:semiHidden="0" w:name="heading 5" w:locked="1"/>
    <w:lsdException w:qFormat="1" w:uiPriority="0" w:name="heading 6" w:locked="1"/>
    <w:lsdException w:qFormat="1" w:unhideWhenUsed="0" w:uiPriority="99"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宋体"/>
      <w:kern w:val="2"/>
      <w:sz w:val="21"/>
      <w:szCs w:val="21"/>
      <w:lang w:val="en-US" w:eastAsia="zh-CN" w:bidi="ar-SA"/>
    </w:rPr>
  </w:style>
  <w:style w:type="paragraph" w:styleId="3">
    <w:name w:val="heading 1"/>
    <w:basedOn w:val="1"/>
    <w:next w:val="1"/>
    <w:link w:val="37"/>
    <w:qFormat/>
    <w:uiPriority w:val="99"/>
    <w:pPr>
      <w:keepNext/>
      <w:keepLines/>
      <w:spacing w:line="578" w:lineRule="auto"/>
      <w:outlineLvl w:val="0"/>
    </w:pPr>
    <w:rPr>
      <w:b/>
      <w:bCs/>
      <w:kern w:val="44"/>
      <w:sz w:val="44"/>
      <w:szCs w:val="44"/>
    </w:rPr>
  </w:style>
  <w:style w:type="paragraph" w:styleId="4">
    <w:name w:val="heading 2"/>
    <w:basedOn w:val="1"/>
    <w:next w:val="1"/>
    <w:link w:val="38"/>
    <w:qFormat/>
    <w:uiPriority w:val="99"/>
    <w:pPr>
      <w:keepNext/>
      <w:keepLines/>
      <w:spacing w:line="416" w:lineRule="auto"/>
      <w:outlineLvl w:val="1"/>
    </w:pPr>
    <w:rPr>
      <w:rFonts w:ascii="Cambria" w:hAnsi="Cambria" w:cs="Cambria"/>
      <w:b/>
      <w:bCs/>
      <w:kern w:val="0"/>
      <w:sz w:val="32"/>
      <w:szCs w:val="32"/>
    </w:rPr>
  </w:style>
  <w:style w:type="paragraph" w:styleId="5">
    <w:name w:val="heading 4"/>
    <w:basedOn w:val="1"/>
    <w:next w:val="1"/>
    <w:link w:val="39"/>
    <w:qFormat/>
    <w:locked/>
    <w:uiPriority w:val="99"/>
    <w:pPr>
      <w:ind w:left="312"/>
      <w:outlineLvl w:val="3"/>
    </w:pPr>
    <w:rPr>
      <w:rFonts w:ascii="Noto Sans CJK JP Regular" w:hAnsi="Noto Sans CJK JP Regular" w:cs="Noto Sans CJK JP Regular"/>
      <w:sz w:val="32"/>
      <w:szCs w:val="32"/>
      <w:lang w:val="zh-CN"/>
    </w:rPr>
  </w:style>
  <w:style w:type="paragraph" w:styleId="6">
    <w:name w:val="heading 5"/>
    <w:basedOn w:val="1"/>
    <w:next w:val="1"/>
    <w:link w:val="40"/>
    <w:qFormat/>
    <w:locked/>
    <w:uiPriority w:val="99"/>
    <w:pPr>
      <w:keepNext/>
      <w:keepLines/>
      <w:spacing w:before="100" w:after="100"/>
      <w:outlineLvl w:val="4"/>
    </w:pPr>
    <w:rPr>
      <w:b/>
      <w:bCs/>
      <w:sz w:val="28"/>
      <w:szCs w:val="28"/>
    </w:rPr>
  </w:style>
  <w:style w:type="paragraph" w:styleId="7">
    <w:name w:val="heading 7"/>
    <w:basedOn w:val="1"/>
    <w:next w:val="1"/>
    <w:link w:val="41"/>
    <w:qFormat/>
    <w:locked/>
    <w:uiPriority w:val="99"/>
    <w:pPr>
      <w:ind w:left="561"/>
      <w:outlineLvl w:val="6"/>
    </w:pPr>
    <w:rPr>
      <w:rFonts w:ascii="Microsoft JhengHei" w:hAnsi="Microsoft JhengHei" w:eastAsia="Microsoft JhengHei" w:cs="Microsoft JhengHei"/>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8">
    <w:name w:val="Normal Indent"/>
    <w:basedOn w:val="1"/>
    <w:qFormat/>
    <w:uiPriority w:val="99"/>
    <w:pPr>
      <w:widowControl/>
      <w:ind w:firstLine="420"/>
      <w:jc w:val="left"/>
    </w:pPr>
    <w:rPr>
      <w:rFonts w:ascii="Times New Roman" w:hAnsi="Times New Roman" w:cs="Times New Roman"/>
      <w:kern w:val="0"/>
      <w:sz w:val="20"/>
      <w:szCs w:val="20"/>
    </w:rPr>
  </w:style>
  <w:style w:type="paragraph" w:styleId="9">
    <w:name w:val="Document Map"/>
    <w:basedOn w:val="1"/>
    <w:link w:val="69"/>
    <w:semiHidden/>
    <w:unhideWhenUsed/>
    <w:qFormat/>
    <w:uiPriority w:val="99"/>
    <w:rPr>
      <w:sz w:val="18"/>
      <w:szCs w:val="18"/>
    </w:rPr>
  </w:style>
  <w:style w:type="paragraph" w:styleId="10">
    <w:name w:val="annotation text"/>
    <w:basedOn w:val="1"/>
    <w:link w:val="42"/>
    <w:semiHidden/>
    <w:qFormat/>
    <w:uiPriority w:val="99"/>
    <w:pPr>
      <w:jc w:val="left"/>
    </w:pPr>
  </w:style>
  <w:style w:type="paragraph" w:styleId="11">
    <w:name w:val="Body Text"/>
    <w:basedOn w:val="1"/>
    <w:link w:val="43"/>
    <w:qFormat/>
    <w:uiPriority w:val="99"/>
    <w:rPr>
      <w:rFonts w:hAnsi="宋体"/>
    </w:rPr>
  </w:style>
  <w:style w:type="paragraph" w:styleId="12">
    <w:name w:val="Body Text Indent"/>
    <w:basedOn w:val="1"/>
    <w:link w:val="44"/>
    <w:qFormat/>
    <w:uiPriority w:val="99"/>
    <w:pPr>
      <w:spacing w:line="520" w:lineRule="exact"/>
      <w:ind w:firstLine="525"/>
    </w:pPr>
    <w:rPr>
      <w:sz w:val="24"/>
      <w:szCs w:val="24"/>
    </w:rPr>
  </w:style>
  <w:style w:type="paragraph" w:styleId="13">
    <w:name w:val="Plain Text"/>
    <w:basedOn w:val="1"/>
    <w:next w:val="1"/>
    <w:link w:val="45"/>
    <w:qFormat/>
    <w:uiPriority w:val="99"/>
    <w:rPr>
      <w:kern w:val="0"/>
      <w:sz w:val="20"/>
      <w:szCs w:val="20"/>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6"/>
    <w:semiHidden/>
    <w:qFormat/>
    <w:uiPriority w:val="99"/>
    <w:rPr>
      <w:sz w:val="18"/>
      <w:szCs w:val="18"/>
    </w:rPr>
  </w:style>
  <w:style w:type="paragraph" w:styleId="16">
    <w:name w:val="footer"/>
    <w:basedOn w:val="1"/>
    <w:link w:val="47"/>
    <w:qFormat/>
    <w:uiPriority w:val="99"/>
    <w:pPr>
      <w:tabs>
        <w:tab w:val="center" w:pos="4153"/>
        <w:tab w:val="right" w:pos="8306"/>
      </w:tabs>
      <w:snapToGrid w:val="0"/>
      <w:jc w:val="left"/>
    </w:pPr>
    <w:rPr>
      <w:kern w:val="0"/>
      <w:sz w:val="18"/>
      <w:szCs w:val="18"/>
    </w:rPr>
  </w:style>
  <w:style w:type="paragraph" w:styleId="17">
    <w:name w:val="header"/>
    <w:basedOn w:val="1"/>
    <w:link w:val="48"/>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qFormat/>
    <w:uiPriority w:val="99"/>
    <w:pPr>
      <w:tabs>
        <w:tab w:val="left" w:pos="850"/>
        <w:tab w:val="right" w:leader="dot" w:pos="9360"/>
      </w:tabs>
      <w:spacing w:line="360" w:lineRule="auto"/>
    </w:pPr>
    <w:rPr>
      <w:b/>
      <w:bCs/>
      <w:sz w:val="28"/>
      <w:szCs w:val="28"/>
    </w:rPr>
  </w:style>
  <w:style w:type="paragraph" w:styleId="19">
    <w:name w:val="toc 2"/>
    <w:basedOn w:val="1"/>
    <w:next w:val="1"/>
    <w:semiHidden/>
    <w:qFormat/>
    <w:uiPriority w:val="99"/>
    <w:pPr>
      <w:tabs>
        <w:tab w:val="right" w:leader="dot" w:pos="9360"/>
      </w:tabs>
      <w:spacing w:line="360" w:lineRule="auto"/>
      <w:ind w:left="210" w:leftChars="100" w:right="210" w:rightChars="100"/>
    </w:pPr>
    <w:rPr>
      <w:rFonts w:hAnsi="宋体"/>
      <w:color w:val="000000"/>
    </w:rPr>
  </w:style>
  <w:style w:type="paragraph" w:styleId="20">
    <w:name w:val="Normal (Web)"/>
    <w:basedOn w:val="1"/>
    <w:qFormat/>
    <w:uiPriority w:val="99"/>
    <w:pPr>
      <w:widowControl/>
      <w:spacing w:before="100" w:beforeAutospacing="1" w:after="100" w:afterAutospacing="1"/>
      <w:jc w:val="left"/>
    </w:pPr>
    <w:rPr>
      <w:rFonts w:hAnsi="宋体"/>
      <w:kern w:val="0"/>
      <w:sz w:val="24"/>
      <w:szCs w:val="24"/>
    </w:rPr>
  </w:style>
  <w:style w:type="paragraph" w:styleId="21">
    <w:name w:val="annotation subject"/>
    <w:basedOn w:val="10"/>
    <w:next w:val="10"/>
    <w:link w:val="49"/>
    <w:semiHidden/>
    <w:qFormat/>
    <w:uiPriority w:val="99"/>
    <w:rPr>
      <w:b/>
      <w:bCs/>
    </w:rPr>
  </w:style>
  <w:style w:type="paragraph" w:styleId="22">
    <w:name w:val="Body Text First Indent 2"/>
    <w:basedOn w:val="12"/>
    <w:link w:val="50"/>
    <w:qFormat/>
    <w:uiPriority w:val="99"/>
    <w:pPr>
      <w:spacing w:after="120"/>
      <w:ind w:left="420" w:leftChars="200" w:firstLine="420"/>
    </w:p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style>
  <w:style w:type="character" w:styleId="27">
    <w:name w:val="FollowedHyperlink"/>
    <w:qFormat/>
    <w:uiPriority w:val="99"/>
    <w:rPr>
      <w:rFonts w:ascii="微软雅黑" w:hAnsi="微软雅黑" w:eastAsia="微软雅黑" w:cs="微软雅黑"/>
      <w:color w:val="auto"/>
      <w:u w:val="single"/>
    </w:rPr>
  </w:style>
  <w:style w:type="character" w:styleId="28">
    <w:name w:val="Emphasis"/>
    <w:basedOn w:val="25"/>
    <w:qFormat/>
    <w:locked/>
    <w:uiPriority w:val="99"/>
  </w:style>
  <w:style w:type="character" w:styleId="29">
    <w:name w:val="HTML Definition"/>
    <w:basedOn w:val="25"/>
    <w:qFormat/>
    <w:uiPriority w:val="99"/>
  </w:style>
  <w:style w:type="character" w:styleId="30">
    <w:name w:val="HTML Acronym"/>
    <w:basedOn w:val="25"/>
    <w:qFormat/>
    <w:uiPriority w:val="99"/>
  </w:style>
  <w:style w:type="character" w:styleId="31">
    <w:name w:val="HTML Variable"/>
    <w:basedOn w:val="25"/>
    <w:qFormat/>
    <w:uiPriority w:val="99"/>
  </w:style>
  <w:style w:type="character" w:styleId="32">
    <w:name w:val="Hyperlink"/>
    <w:qFormat/>
    <w:uiPriority w:val="99"/>
    <w:rPr>
      <w:rFonts w:ascii="微软雅黑" w:hAnsi="微软雅黑" w:eastAsia="微软雅黑" w:cs="微软雅黑"/>
      <w:color w:val="auto"/>
      <w:u w:val="single"/>
    </w:rPr>
  </w:style>
  <w:style w:type="character" w:styleId="33">
    <w:name w:val="HTML Code"/>
    <w:qFormat/>
    <w:uiPriority w:val="99"/>
    <w:rPr>
      <w:rFonts w:ascii="Courier New" w:hAnsi="Courier New" w:cs="Courier New"/>
      <w:sz w:val="20"/>
      <w:szCs w:val="20"/>
    </w:rPr>
  </w:style>
  <w:style w:type="character" w:styleId="34">
    <w:name w:val="annotation reference"/>
    <w:semiHidden/>
    <w:qFormat/>
    <w:uiPriority w:val="99"/>
    <w:rPr>
      <w:sz w:val="21"/>
      <w:szCs w:val="21"/>
    </w:rPr>
  </w:style>
  <w:style w:type="character" w:styleId="35">
    <w:name w:val="HTML Cite"/>
    <w:basedOn w:val="25"/>
    <w:qFormat/>
    <w:uiPriority w:val="99"/>
  </w:style>
  <w:style w:type="paragraph" w:customStyle="1" w:styleId="3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7">
    <w:name w:val="标题 1 Char"/>
    <w:link w:val="3"/>
    <w:qFormat/>
    <w:locked/>
    <w:uiPriority w:val="99"/>
    <w:rPr>
      <w:rFonts w:ascii="宋体" w:hAnsi="Courier New" w:cs="宋体"/>
      <w:b/>
      <w:bCs/>
      <w:kern w:val="44"/>
      <w:sz w:val="44"/>
      <w:szCs w:val="44"/>
    </w:rPr>
  </w:style>
  <w:style w:type="character" w:customStyle="1" w:styleId="38">
    <w:name w:val="标题 2 Char"/>
    <w:link w:val="4"/>
    <w:semiHidden/>
    <w:qFormat/>
    <w:locked/>
    <w:uiPriority w:val="99"/>
    <w:rPr>
      <w:rFonts w:ascii="Cambria" w:hAnsi="Cambria" w:eastAsia="宋体" w:cs="Cambria"/>
      <w:b/>
      <w:bCs/>
      <w:sz w:val="32"/>
      <w:szCs w:val="32"/>
    </w:rPr>
  </w:style>
  <w:style w:type="character" w:customStyle="1" w:styleId="39">
    <w:name w:val="标题 4 Char"/>
    <w:link w:val="5"/>
    <w:semiHidden/>
    <w:qFormat/>
    <w:uiPriority w:val="9"/>
    <w:rPr>
      <w:rFonts w:ascii="Cambria" w:hAnsi="Cambria" w:eastAsia="宋体" w:cs="Times New Roman"/>
      <w:b/>
      <w:bCs/>
      <w:sz w:val="28"/>
      <w:szCs w:val="28"/>
    </w:rPr>
  </w:style>
  <w:style w:type="character" w:customStyle="1" w:styleId="40">
    <w:name w:val="标题 5 Char"/>
    <w:link w:val="6"/>
    <w:semiHidden/>
    <w:qFormat/>
    <w:uiPriority w:val="9"/>
    <w:rPr>
      <w:rFonts w:ascii="宋体" w:hAnsi="Courier New" w:cs="宋体"/>
      <w:b/>
      <w:bCs/>
      <w:sz w:val="28"/>
      <w:szCs w:val="28"/>
    </w:rPr>
  </w:style>
  <w:style w:type="character" w:customStyle="1" w:styleId="41">
    <w:name w:val="标题 7 Char"/>
    <w:link w:val="7"/>
    <w:semiHidden/>
    <w:qFormat/>
    <w:uiPriority w:val="9"/>
    <w:rPr>
      <w:rFonts w:ascii="宋体" w:hAnsi="Courier New" w:cs="宋体"/>
      <w:b/>
      <w:bCs/>
      <w:sz w:val="24"/>
      <w:szCs w:val="24"/>
    </w:rPr>
  </w:style>
  <w:style w:type="character" w:customStyle="1" w:styleId="42">
    <w:name w:val="批注文字 Char"/>
    <w:link w:val="10"/>
    <w:qFormat/>
    <w:locked/>
    <w:uiPriority w:val="99"/>
    <w:rPr>
      <w:rFonts w:ascii="宋体" w:hAnsi="Courier New" w:cs="宋体"/>
      <w:kern w:val="2"/>
      <w:sz w:val="21"/>
      <w:szCs w:val="21"/>
    </w:rPr>
  </w:style>
  <w:style w:type="character" w:customStyle="1" w:styleId="43">
    <w:name w:val="正文文本 Char"/>
    <w:link w:val="11"/>
    <w:semiHidden/>
    <w:qFormat/>
    <w:uiPriority w:val="99"/>
    <w:rPr>
      <w:rFonts w:ascii="宋体" w:hAnsi="Courier New" w:cs="宋体"/>
      <w:szCs w:val="21"/>
    </w:rPr>
  </w:style>
  <w:style w:type="character" w:customStyle="1" w:styleId="44">
    <w:name w:val="正文文本缩进 Char"/>
    <w:link w:val="12"/>
    <w:semiHidden/>
    <w:qFormat/>
    <w:uiPriority w:val="99"/>
    <w:rPr>
      <w:rFonts w:ascii="宋体" w:hAnsi="Courier New" w:cs="宋体"/>
      <w:szCs w:val="21"/>
    </w:rPr>
  </w:style>
  <w:style w:type="character" w:customStyle="1" w:styleId="45">
    <w:name w:val="纯文本 Char"/>
    <w:link w:val="13"/>
    <w:qFormat/>
    <w:locked/>
    <w:uiPriority w:val="99"/>
    <w:rPr>
      <w:rFonts w:ascii="宋体" w:hAnsi="Courier New" w:cs="宋体"/>
      <w:sz w:val="21"/>
      <w:szCs w:val="21"/>
    </w:rPr>
  </w:style>
  <w:style w:type="character" w:customStyle="1" w:styleId="46">
    <w:name w:val="批注框文本 Char"/>
    <w:link w:val="15"/>
    <w:semiHidden/>
    <w:qFormat/>
    <w:locked/>
    <w:uiPriority w:val="99"/>
    <w:rPr>
      <w:rFonts w:ascii="宋体" w:hAnsi="Courier New" w:cs="宋体"/>
      <w:kern w:val="2"/>
      <w:sz w:val="18"/>
      <w:szCs w:val="18"/>
    </w:rPr>
  </w:style>
  <w:style w:type="character" w:customStyle="1" w:styleId="47">
    <w:name w:val="页脚 Char"/>
    <w:link w:val="16"/>
    <w:semiHidden/>
    <w:qFormat/>
    <w:locked/>
    <w:uiPriority w:val="99"/>
    <w:rPr>
      <w:rFonts w:ascii="宋体" w:hAnsi="Courier New" w:cs="宋体"/>
      <w:sz w:val="18"/>
      <w:szCs w:val="18"/>
    </w:rPr>
  </w:style>
  <w:style w:type="character" w:customStyle="1" w:styleId="48">
    <w:name w:val="页眉 Char"/>
    <w:link w:val="17"/>
    <w:semiHidden/>
    <w:qFormat/>
    <w:locked/>
    <w:uiPriority w:val="99"/>
    <w:rPr>
      <w:rFonts w:ascii="宋体" w:hAnsi="Courier New" w:cs="宋体"/>
      <w:sz w:val="18"/>
      <w:szCs w:val="18"/>
    </w:rPr>
  </w:style>
  <w:style w:type="character" w:customStyle="1" w:styleId="49">
    <w:name w:val="批注主题 Char"/>
    <w:link w:val="21"/>
    <w:qFormat/>
    <w:locked/>
    <w:uiPriority w:val="99"/>
    <w:rPr>
      <w:rFonts w:ascii="宋体" w:hAnsi="Courier New" w:cs="宋体"/>
      <w:kern w:val="2"/>
      <w:sz w:val="21"/>
      <w:szCs w:val="21"/>
    </w:rPr>
  </w:style>
  <w:style w:type="character" w:customStyle="1" w:styleId="50">
    <w:name w:val="正文首行缩进 2 Char"/>
    <w:link w:val="22"/>
    <w:semiHidden/>
    <w:qFormat/>
    <w:uiPriority w:val="99"/>
    <w:rPr>
      <w:rFonts w:ascii="宋体" w:hAnsi="Courier New" w:cs="宋体"/>
      <w:szCs w:val="21"/>
    </w:rPr>
  </w:style>
  <w:style w:type="character" w:customStyle="1" w:styleId="51">
    <w:name w:val="gpa"/>
    <w:qFormat/>
    <w:uiPriority w:val="99"/>
    <w:rPr>
      <w:rFonts w:ascii="Arial" w:hAnsi="Arial" w:cs="Arial"/>
      <w:sz w:val="15"/>
      <w:szCs w:val="15"/>
    </w:rPr>
  </w:style>
  <w:style w:type="character" w:customStyle="1" w:styleId="52">
    <w:name w:val="redfilefwwh"/>
    <w:qFormat/>
    <w:uiPriority w:val="99"/>
    <w:rPr>
      <w:color w:val="auto"/>
      <w:sz w:val="18"/>
      <w:szCs w:val="18"/>
    </w:rPr>
  </w:style>
  <w:style w:type="character" w:customStyle="1" w:styleId="53">
    <w:name w:val="cfdate"/>
    <w:qFormat/>
    <w:uiPriority w:val="99"/>
    <w:rPr>
      <w:color w:val="auto"/>
      <w:sz w:val="18"/>
      <w:szCs w:val="18"/>
    </w:rPr>
  </w:style>
  <w:style w:type="character" w:customStyle="1" w:styleId="54">
    <w:name w:val="selected"/>
    <w:qFormat/>
    <w:uiPriority w:val="99"/>
    <w:rPr>
      <w:shd w:val="clear" w:color="auto" w:fill="auto"/>
    </w:rPr>
  </w:style>
  <w:style w:type="character" w:customStyle="1" w:styleId="55">
    <w:name w:val="redfilenumber"/>
    <w:qFormat/>
    <w:uiPriority w:val="99"/>
    <w:rPr>
      <w:color w:val="auto"/>
      <w:sz w:val="18"/>
      <w:szCs w:val="18"/>
    </w:rPr>
  </w:style>
  <w:style w:type="character" w:customStyle="1" w:styleId="56">
    <w:name w:val="first-child"/>
    <w:basedOn w:val="25"/>
    <w:qFormat/>
    <w:uiPriority w:val="99"/>
  </w:style>
  <w:style w:type="character" w:customStyle="1" w:styleId="57">
    <w:name w:val="gjfg"/>
    <w:basedOn w:val="25"/>
    <w:qFormat/>
    <w:uiPriority w:val="99"/>
  </w:style>
  <w:style w:type="character" w:customStyle="1" w:styleId="58">
    <w:name w:val="displayarti"/>
    <w:qFormat/>
    <w:uiPriority w:val="99"/>
    <w:rPr>
      <w:color w:val="FFFFFF"/>
      <w:shd w:val="clear" w:color="auto" w:fill="auto"/>
    </w:rPr>
  </w:style>
  <w:style w:type="character" w:customStyle="1" w:styleId="59">
    <w:name w:val="qxdate"/>
    <w:qFormat/>
    <w:uiPriority w:val="99"/>
    <w:rPr>
      <w:color w:val="auto"/>
      <w:sz w:val="18"/>
      <w:szCs w:val="18"/>
    </w:rPr>
  </w:style>
  <w:style w:type="character" w:customStyle="1" w:styleId="60">
    <w:name w:val="layui-layer-tabnow"/>
    <w:qFormat/>
    <w:uiPriority w:val="99"/>
    <w:rPr>
      <w:bdr w:val="single" w:color="auto" w:sz="6" w:space="0"/>
      <w:shd w:val="clear" w:color="auto" w:fill="FFFFFF"/>
    </w:rPr>
  </w:style>
  <w:style w:type="paragraph" w:customStyle="1" w:styleId="61">
    <w:name w:val="1"/>
    <w:basedOn w:val="1"/>
    <w:next w:val="13"/>
    <w:qFormat/>
    <w:uiPriority w:val="99"/>
  </w:style>
  <w:style w:type="paragraph" w:customStyle="1" w:styleId="62">
    <w:name w:val="列出段落2"/>
    <w:basedOn w:val="1"/>
    <w:qFormat/>
    <w:uiPriority w:val="99"/>
    <w:pPr>
      <w:ind w:firstLine="420" w:firstLineChars="200"/>
    </w:pPr>
  </w:style>
  <w:style w:type="paragraph" w:customStyle="1" w:styleId="63">
    <w:name w:val="Table Paragraph"/>
    <w:basedOn w:val="1"/>
    <w:qFormat/>
    <w:uiPriority w:val="99"/>
    <w:rPr>
      <w:rFonts w:hAnsi="宋体"/>
    </w:rPr>
  </w:style>
  <w:style w:type="paragraph" w:styleId="64">
    <w:name w:val="List Paragraph"/>
    <w:basedOn w:val="1"/>
    <w:qFormat/>
    <w:uiPriority w:val="99"/>
    <w:pPr>
      <w:ind w:left="428" w:firstLine="480"/>
    </w:pPr>
    <w:rPr>
      <w:rFonts w:ascii="Noto Sans CJK JP Regular" w:hAnsi="Noto Sans CJK JP Regular" w:cs="Noto Sans CJK JP Regular"/>
      <w:lang w:val="zh-CN"/>
    </w:rPr>
  </w:style>
  <w:style w:type="paragraph" w:customStyle="1" w:styleId="65">
    <w:name w:val="_Style 32"/>
    <w:basedOn w:val="1"/>
    <w:qFormat/>
    <w:uiPriority w:val="99"/>
    <w:rPr>
      <w:rFonts w:ascii="Times New Roman" w:hAnsi="Times New Roman" w:cs="Times New Roman"/>
    </w:rPr>
  </w:style>
  <w:style w:type="paragraph" w:customStyle="1" w:styleId="66">
    <w:name w:val="表格文字"/>
    <w:basedOn w:val="1"/>
    <w:qFormat/>
    <w:uiPriority w:val="99"/>
    <w:rPr>
      <w:spacing w:val="10"/>
      <w:sz w:val="24"/>
      <w:szCs w:val="24"/>
    </w:rPr>
  </w:style>
  <w:style w:type="paragraph" w:customStyle="1" w:styleId="67">
    <w:name w:val="Char Char Char Char"/>
    <w:basedOn w:val="1"/>
    <w:qFormat/>
    <w:uiPriority w:val="99"/>
    <w:rPr>
      <w:rFonts w:ascii="Tahoma" w:hAnsi="Tahoma" w:cs="Tahoma"/>
      <w:sz w:val="24"/>
      <w:szCs w:val="24"/>
    </w:rPr>
  </w:style>
  <w:style w:type="paragraph" w:customStyle="1" w:styleId="68">
    <w:name w:val="图"/>
    <w:basedOn w:val="1"/>
    <w:qFormat/>
    <w:uiPriority w:val="99"/>
    <w:pPr>
      <w:keepNext/>
      <w:adjustRightInd w:val="0"/>
      <w:spacing w:line="300" w:lineRule="auto"/>
      <w:jc w:val="center"/>
      <w:textAlignment w:val="center"/>
    </w:pPr>
    <w:rPr>
      <w:spacing w:val="20"/>
      <w:sz w:val="24"/>
      <w:szCs w:val="24"/>
    </w:rPr>
  </w:style>
  <w:style w:type="character" w:customStyle="1" w:styleId="69">
    <w:name w:val="文档结构图 Char"/>
    <w:link w:val="9"/>
    <w:semiHidden/>
    <w:qFormat/>
    <w:uiPriority w:val="99"/>
    <w:rPr>
      <w:rFonts w:ascii="宋体" w:hAnsi="Courier New"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18F43-86E0-4956-BF6C-40B61089A7E4}">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26518</Words>
  <Characters>27673</Characters>
  <Lines>244</Lines>
  <Paragraphs>68</Paragraphs>
  <TotalTime>44</TotalTime>
  <ScaleCrop>false</ScaleCrop>
  <LinksUpToDate>false</LinksUpToDate>
  <CharactersWithSpaces>31281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2019-09-02T13:53:00Z</dcterms:created>
  <dc:creator>ZX.L</dc:creator>
  <cp:lastModifiedBy>ZX.L</cp:lastModifiedBy>
  <cp:lastPrinted>2017-09-13T03:35:00Z</cp:lastPrinted>
  <dcterms:modified xsi:type="dcterms:W3CDTF">2020-10-14T10:25:22Z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