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738B6">
      <w:pPr>
        <w:pStyle w:val="27"/>
        <w:jc w:val="center"/>
        <w:rPr>
          <w:color w:val="auto"/>
          <w:sz w:val="48"/>
          <w:szCs w:val="48"/>
          <w:highlight w:val="none"/>
          <w:u w:val="none"/>
        </w:rPr>
      </w:pPr>
      <w:r>
        <w:rPr>
          <w:rFonts w:hint="eastAsia" w:asciiTheme="minorEastAsia" w:hAnsiTheme="minorEastAsia" w:eastAsiaTheme="minorEastAsia" w:cstheme="minorEastAsia"/>
          <w:b/>
          <w:color w:val="auto"/>
          <w:sz w:val="48"/>
          <w:szCs w:val="48"/>
          <w:highlight w:val="none"/>
          <w:u w:val="none"/>
          <w:lang w:eastAsia="zh-CN"/>
        </w:rPr>
        <w:t>中科标禾工程项目管理有限公司关于</w:t>
      </w:r>
      <w:r>
        <w:rPr>
          <w:rFonts w:hint="eastAsia" w:ascii="宋体" w:hAnsi="宋体"/>
          <w:b/>
          <w:bCs/>
          <w:sz w:val="48"/>
          <w:szCs w:val="48"/>
          <w:u w:val="none"/>
          <w:lang w:val="en-US" w:eastAsia="zh-CN"/>
        </w:rPr>
        <w:t>东阳市巍山镇金塘山塘综合整治工程（第三次）</w:t>
      </w:r>
    </w:p>
    <w:p w14:paraId="42497B2D">
      <w:pPr>
        <w:pStyle w:val="27"/>
        <w:rPr>
          <w:rFonts w:ascii="宋体" w:hAnsi="宋体" w:cs="宋体"/>
          <w:color w:val="auto"/>
          <w:sz w:val="40"/>
          <w:szCs w:val="40"/>
          <w:highlight w:val="none"/>
        </w:rPr>
      </w:pPr>
    </w:p>
    <w:p w14:paraId="558BA2D5">
      <w:pPr>
        <w:pStyle w:val="27"/>
        <w:rPr>
          <w:rFonts w:ascii="宋体" w:hAnsi="宋体" w:cs="宋体"/>
          <w:color w:val="auto"/>
          <w:sz w:val="24"/>
          <w:szCs w:val="24"/>
          <w:highlight w:val="none"/>
        </w:rPr>
      </w:pPr>
    </w:p>
    <w:p w14:paraId="7C47B2B7">
      <w:pPr>
        <w:pStyle w:val="28"/>
        <w:rPr>
          <w:color w:val="auto"/>
          <w:highlight w:val="none"/>
        </w:rPr>
      </w:pPr>
    </w:p>
    <w:p w14:paraId="0FB9A241">
      <w:pPr>
        <w:rPr>
          <w:color w:val="auto"/>
          <w:highlight w:val="none"/>
        </w:rPr>
      </w:pPr>
    </w:p>
    <w:p w14:paraId="34B6CF01">
      <w:pPr>
        <w:pStyle w:val="28"/>
        <w:rPr>
          <w:color w:val="auto"/>
          <w:highlight w:val="none"/>
        </w:rPr>
      </w:pPr>
    </w:p>
    <w:p w14:paraId="5254E1E5">
      <w:pPr>
        <w:rPr>
          <w:rFonts w:ascii="宋体" w:hAnsi="宋体" w:cs="宋体"/>
          <w:color w:val="auto"/>
          <w:sz w:val="24"/>
          <w:highlight w:val="none"/>
        </w:rPr>
      </w:pPr>
    </w:p>
    <w:p w14:paraId="2B700839">
      <w:pPr>
        <w:pStyle w:val="2"/>
        <w:jc w:val="center"/>
        <w:rPr>
          <w:rFonts w:hint="eastAsia" w:ascii="宋体" w:hAnsi="宋体" w:cs="宋体"/>
          <w:b/>
          <w:bCs/>
          <w:color w:val="auto"/>
          <w:sz w:val="72"/>
          <w:szCs w:val="72"/>
          <w:highlight w:val="none"/>
          <w:lang w:val="en-US" w:eastAsia="zh-CN"/>
        </w:rPr>
      </w:pPr>
    </w:p>
    <w:p w14:paraId="79AF25A8">
      <w:pPr>
        <w:pStyle w:val="2"/>
        <w:jc w:val="center"/>
        <w:rPr>
          <w:color w:val="auto"/>
          <w:sz w:val="52"/>
          <w:szCs w:val="52"/>
          <w:highlight w:val="none"/>
        </w:rPr>
      </w:pPr>
      <w:r>
        <w:rPr>
          <w:rFonts w:hint="eastAsia" w:ascii="宋体" w:hAnsi="宋体" w:cs="宋体"/>
          <w:b/>
          <w:bCs/>
          <w:color w:val="auto"/>
          <w:sz w:val="52"/>
          <w:szCs w:val="52"/>
          <w:highlight w:val="none"/>
          <w:lang w:val="en-US" w:eastAsia="zh-CN"/>
        </w:rPr>
        <w:t>竞争性磋商文件</w:t>
      </w:r>
    </w:p>
    <w:p w14:paraId="730BB370">
      <w:pPr>
        <w:rPr>
          <w:color w:val="auto"/>
          <w:highlight w:val="none"/>
        </w:rPr>
      </w:pPr>
    </w:p>
    <w:p w14:paraId="32EBD9CF">
      <w:pPr>
        <w:rPr>
          <w:rFonts w:ascii="宋体" w:hAnsi="宋体" w:cs="宋体"/>
          <w:color w:val="auto"/>
          <w:sz w:val="24"/>
          <w:highlight w:val="none"/>
        </w:rPr>
      </w:pPr>
    </w:p>
    <w:p w14:paraId="794F7664">
      <w:pPr>
        <w:pStyle w:val="12"/>
        <w:rPr>
          <w:color w:val="auto"/>
          <w:highlight w:val="none"/>
        </w:rPr>
      </w:pPr>
    </w:p>
    <w:p w14:paraId="143CC281">
      <w:pPr>
        <w:pStyle w:val="13"/>
        <w:rPr>
          <w:color w:val="auto"/>
          <w:highlight w:val="none"/>
        </w:rPr>
      </w:pPr>
    </w:p>
    <w:p w14:paraId="22059AE0">
      <w:pPr>
        <w:pStyle w:val="13"/>
        <w:rPr>
          <w:color w:val="auto"/>
          <w:highlight w:val="none"/>
        </w:rPr>
      </w:pPr>
    </w:p>
    <w:p w14:paraId="2F8F56D0">
      <w:pPr>
        <w:pStyle w:val="13"/>
        <w:rPr>
          <w:color w:val="auto"/>
          <w:highlight w:val="none"/>
        </w:rPr>
      </w:pPr>
    </w:p>
    <w:p w14:paraId="2695B070">
      <w:pPr>
        <w:pStyle w:val="13"/>
        <w:rPr>
          <w:color w:val="auto"/>
          <w:highlight w:val="none"/>
        </w:rPr>
      </w:pPr>
    </w:p>
    <w:p w14:paraId="4FA5AC68">
      <w:pPr>
        <w:rPr>
          <w:rFonts w:ascii="宋体" w:hAnsi="宋体" w:cs="宋体"/>
          <w:color w:val="auto"/>
          <w:sz w:val="24"/>
          <w:highlight w:val="none"/>
        </w:rPr>
      </w:pPr>
    </w:p>
    <w:p w14:paraId="57E335C9">
      <w:pPr>
        <w:spacing w:line="480" w:lineRule="auto"/>
        <w:ind w:firstLine="643" w:firstLineChars="200"/>
        <w:jc w:val="left"/>
        <w:rPr>
          <w:rFonts w:hint="default" w:ascii="宋体" w:hAnsi="宋体" w:eastAsia="宋体" w:cs="宋体"/>
          <w:b/>
          <w:bCs/>
          <w:color w:val="auto"/>
          <w:sz w:val="32"/>
          <w:szCs w:val="32"/>
          <w:highlight w:val="none"/>
          <w:lang w:val="en-US" w:eastAsia="zh-CN"/>
        </w:rPr>
      </w:pPr>
      <w:r>
        <w:rPr>
          <w:rFonts w:hint="eastAsia" w:ascii="宋体" w:hAnsi="宋体" w:cs="宋体"/>
          <w:b/>
          <w:bCs/>
          <w:color w:val="auto"/>
          <w:kern w:val="0"/>
          <w:sz w:val="32"/>
          <w:szCs w:val="32"/>
          <w:highlight w:val="none"/>
        </w:rPr>
        <w:t>磋商编号：</w:t>
      </w:r>
      <w:r>
        <w:rPr>
          <w:rFonts w:hint="eastAsia" w:ascii="宋体" w:hAnsi="宋体" w:cs="宋体"/>
          <w:b/>
          <w:bCs/>
          <w:color w:val="auto"/>
          <w:sz w:val="32"/>
          <w:szCs w:val="32"/>
          <w:highlight w:val="none"/>
          <w:lang w:eastAsia="zh-CN"/>
        </w:rPr>
        <w:t>ZKBHZFCG2025-CS-003-2</w:t>
      </w:r>
    </w:p>
    <w:p w14:paraId="7E250A89">
      <w:pPr>
        <w:pStyle w:val="27"/>
        <w:ind w:firstLine="643" w:firstLineChars="200"/>
        <w:jc w:val="both"/>
        <w:rPr>
          <w:rFonts w:hint="eastAsia" w:ascii="宋体" w:hAnsi="宋体" w:eastAsia="宋体" w:cs="宋体"/>
          <w:b/>
          <w:bCs/>
          <w:color w:val="auto"/>
          <w:kern w:val="0"/>
          <w:sz w:val="32"/>
          <w:szCs w:val="32"/>
          <w:highlight w:val="none"/>
          <w:lang w:val="en-US" w:eastAsia="zh-CN" w:bidi="ar-SA"/>
        </w:rPr>
      </w:pPr>
      <w:r>
        <w:rPr>
          <w:rFonts w:hint="eastAsia" w:ascii="宋体" w:hAnsi="宋体" w:cs="宋体"/>
          <w:b/>
          <w:bCs/>
          <w:color w:val="auto"/>
          <w:kern w:val="0"/>
          <w:sz w:val="32"/>
          <w:szCs w:val="32"/>
          <w:highlight w:val="none"/>
        </w:rPr>
        <w:t>项目名称</w:t>
      </w:r>
      <w:r>
        <w:rPr>
          <w:rFonts w:hint="eastAsia" w:ascii="宋体" w:hAnsi="宋体" w:eastAsia="宋体" w:cs="宋体"/>
          <w:b/>
          <w:bCs/>
          <w:color w:val="auto"/>
          <w:kern w:val="0"/>
          <w:sz w:val="32"/>
          <w:szCs w:val="32"/>
          <w:highlight w:val="none"/>
          <w:lang w:val="en-US" w:eastAsia="zh-CN" w:bidi="ar-SA"/>
        </w:rPr>
        <w:t>：</w:t>
      </w:r>
      <w:r>
        <w:rPr>
          <w:rFonts w:hint="eastAsia" w:ascii="宋体" w:hAnsi="宋体" w:cs="宋体"/>
          <w:b/>
          <w:bCs/>
          <w:color w:val="auto"/>
          <w:kern w:val="0"/>
          <w:sz w:val="32"/>
          <w:szCs w:val="32"/>
          <w:highlight w:val="none"/>
          <w:lang w:val="en-US" w:eastAsia="zh-CN" w:bidi="ar-SA"/>
        </w:rPr>
        <w:t>东阳市巍山镇金塘山塘综合整治工程（第三次）</w:t>
      </w:r>
    </w:p>
    <w:p w14:paraId="7BCA8205">
      <w:pPr>
        <w:spacing w:line="480" w:lineRule="auto"/>
        <w:ind w:left="2244" w:leftChars="304" w:hanging="1606" w:hangingChars="500"/>
        <w:jc w:val="left"/>
        <w:rPr>
          <w:rFonts w:hint="eastAsia" w:ascii="宋体" w:hAnsi="宋体" w:cs="宋体"/>
          <w:b/>
          <w:bCs/>
          <w:color w:val="auto"/>
          <w:kern w:val="0"/>
          <w:sz w:val="32"/>
          <w:szCs w:val="32"/>
          <w:highlight w:val="none"/>
          <w:lang w:eastAsia="zh-CN"/>
        </w:rPr>
      </w:pPr>
    </w:p>
    <w:p w14:paraId="150BBEAF">
      <w:pPr>
        <w:spacing w:line="480" w:lineRule="auto"/>
        <w:ind w:firstLine="643" w:firstLineChars="200"/>
        <w:jc w:val="left"/>
        <w:rPr>
          <w:rFonts w:hint="eastAsia" w:ascii="宋体" w:hAnsi="宋体" w:eastAsia="宋体" w:cs="宋体"/>
          <w:b/>
          <w:bCs/>
          <w:color w:val="auto"/>
          <w:kern w:val="0"/>
          <w:sz w:val="32"/>
          <w:szCs w:val="32"/>
          <w:highlight w:val="none"/>
          <w:lang w:val="en-US" w:eastAsia="zh-CN" w:bidi="ar-SA"/>
        </w:rPr>
      </w:pPr>
      <w:r>
        <w:rPr>
          <w:rFonts w:hint="eastAsia" w:ascii="宋体" w:hAnsi="宋体" w:cs="宋体"/>
          <w:b/>
          <w:bCs/>
          <w:color w:val="auto"/>
          <w:kern w:val="0"/>
          <w:sz w:val="32"/>
          <w:szCs w:val="32"/>
          <w:highlight w:val="none"/>
        </w:rPr>
        <w:t>采购单位：</w:t>
      </w:r>
      <w:r>
        <w:rPr>
          <w:rFonts w:hint="eastAsia" w:ascii="宋体" w:hAnsi="宋体" w:cs="宋体"/>
          <w:b/>
          <w:bCs/>
          <w:color w:val="auto"/>
          <w:kern w:val="0"/>
          <w:sz w:val="32"/>
          <w:szCs w:val="32"/>
          <w:highlight w:val="none"/>
          <w:lang w:eastAsia="zh-CN"/>
        </w:rPr>
        <w:t>东阳市巍山镇人民政府</w:t>
      </w:r>
      <w:r>
        <w:rPr>
          <w:rFonts w:hint="eastAsia" w:ascii="宋体" w:hAnsi="宋体" w:eastAsia="宋体" w:cs="宋体"/>
          <w:b/>
          <w:bCs/>
          <w:color w:val="auto"/>
          <w:kern w:val="0"/>
          <w:sz w:val="32"/>
          <w:szCs w:val="32"/>
          <w:highlight w:val="none"/>
          <w:lang w:val="en-US" w:eastAsia="zh-CN" w:bidi="ar-SA"/>
        </w:rPr>
        <w:t xml:space="preserve"> </w:t>
      </w:r>
    </w:p>
    <w:p w14:paraId="0FDAE6B6">
      <w:pPr>
        <w:spacing w:line="480" w:lineRule="auto"/>
        <w:ind w:firstLine="643" w:firstLineChars="200"/>
        <w:jc w:val="left"/>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rPr>
        <w:t>招标机构：</w:t>
      </w:r>
      <w:r>
        <w:rPr>
          <w:rFonts w:hint="eastAsia" w:ascii="宋体" w:hAnsi="宋体" w:cs="宋体"/>
          <w:b/>
          <w:bCs/>
          <w:color w:val="auto"/>
          <w:kern w:val="0"/>
          <w:sz w:val="32"/>
          <w:szCs w:val="32"/>
          <w:highlight w:val="none"/>
          <w:lang w:eastAsia="zh-CN"/>
        </w:rPr>
        <w:t>中科标禾工程项目管理有限公司</w:t>
      </w:r>
    </w:p>
    <w:p w14:paraId="4901C8D6">
      <w:pPr>
        <w:pStyle w:val="12"/>
        <w:rPr>
          <w:rFonts w:hint="eastAsia"/>
        </w:rPr>
      </w:pPr>
    </w:p>
    <w:p w14:paraId="028434D2">
      <w:pPr>
        <w:pStyle w:val="22"/>
        <w:spacing w:line="480" w:lineRule="auto"/>
        <w:ind w:firstLine="859" w:firstLineChars="300"/>
        <w:jc w:val="both"/>
        <w:rPr>
          <w:rFonts w:ascii="宋体" w:hAnsi="宋体" w:cs="宋体"/>
          <w:b/>
          <w:color w:val="auto"/>
          <w:sz w:val="32"/>
          <w:szCs w:val="32"/>
          <w:highlight w:val="none"/>
        </w:rPr>
      </w:pPr>
      <w:r>
        <w:rPr>
          <w:rFonts w:hint="eastAsia" w:ascii="宋体" w:hAnsi="宋体" w:cs="宋体"/>
          <w:b/>
          <w:bCs/>
          <w:color w:val="auto"/>
          <w:w w:val="95"/>
          <w:sz w:val="30"/>
          <w:szCs w:val="30"/>
          <w:highlight w:val="none"/>
          <w:lang w:val="en-US" w:eastAsia="zh-CN"/>
        </w:rPr>
        <w:t>编制时间：2025</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 xml:space="preserve"> 6</w:t>
      </w:r>
      <w:r>
        <w:rPr>
          <w:rFonts w:hint="eastAsia" w:ascii="宋体" w:hAnsi="宋体" w:cs="宋体"/>
          <w:b/>
          <w:bCs/>
          <w:color w:val="auto"/>
          <w:w w:val="95"/>
          <w:sz w:val="30"/>
          <w:szCs w:val="30"/>
          <w:highlight w:val="none"/>
        </w:rPr>
        <w:t>月</w:t>
      </w:r>
    </w:p>
    <w:p w14:paraId="0583DF88">
      <w:pPr>
        <w:pStyle w:val="139"/>
        <w:widowControl w:val="0"/>
        <w:spacing w:beforeLines="125" w:afterLines="175" w:line="340" w:lineRule="exact"/>
        <w:ind w:firstLine="0" w:firstLineChars="0"/>
        <w:jc w:val="center"/>
        <w:rPr>
          <w:rFonts w:hint="eastAsia"/>
          <w:b/>
          <w:sz w:val="48"/>
          <w:szCs w:val="48"/>
        </w:rPr>
      </w:pPr>
    </w:p>
    <w:p w14:paraId="31A9B547">
      <w:pPr>
        <w:pStyle w:val="139"/>
        <w:widowControl w:val="0"/>
        <w:spacing w:beforeLines="125" w:afterLines="175" w:line="340" w:lineRule="exact"/>
        <w:ind w:firstLine="0" w:firstLineChars="0"/>
        <w:jc w:val="center"/>
        <w:rPr>
          <w:rFonts w:hint="eastAsia"/>
          <w:b/>
          <w:sz w:val="48"/>
          <w:szCs w:val="48"/>
        </w:rPr>
      </w:pPr>
    </w:p>
    <w:p w14:paraId="5BB337A2">
      <w:pPr>
        <w:pStyle w:val="139"/>
        <w:widowControl w:val="0"/>
        <w:spacing w:beforeLines="125" w:afterLines="175" w:line="340" w:lineRule="exact"/>
        <w:ind w:firstLine="0" w:firstLineChars="0"/>
        <w:jc w:val="center"/>
        <w:rPr>
          <w:rFonts w:hint="eastAsia"/>
          <w:b/>
          <w:sz w:val="48"/>
          <w:szCs w:val="48"/>
        </w:rPr>
      </w:pPr>
    </w:p>
    <w:p w14:paraId="057211FC">
      <w:pPr>
        <w:pStyle w:val="139"/>
        <w:keepNext w:val="0"/>
        <w:keepLines w:val="0"/>
        <w:pageBreakBefore w:val="0"/>
        <w:widowControl w:val="0"/>
        <w:kinsoku/>
        <w:wordWrap/>
        <w:overflowPunct/>
        <w:topLinePunct w:val="0"/>
        <w:autoSpaceDE/>
        <w:autoSpaceDN/>
        <w:bidi w:val="0"/>
        <w:adjustRightInd/>
        <w:snapToGrid w:val="0"/>
        <w:spacing w:beforeLines="125" w:afterLines="175" w:line="360" w:lineRule="auto"/>
        <w:ind w:firstLine="0" w:firstLineChars="0"/>
        <w:jc w:val="center"/>
        <w:textAlignment w:val="auto"/>
        <w:rPr>
          <w:b/>
          <w:sz w:val="48"/>
          <w:szCs w:val="48"/>
        </w:rPr>
      </w:pPr>
      <w:r>
        <w:rPr>
          <w:rFonts w:hint="eastAsia"/>
          <w:b/>
          <w:sz w:val="48"/>
          <w:szCs w:val="48"/>
        </w:rPr>
        <w:t>目录</w:t>
      </w:r>
    </w:p>
    <w:sdt>
      <w:sdtPr>
        <w:rPr>
          <w:rFonts w:ascii="宋体" w:hAnsi="宋体"/>
        </w:rPr>
        <w:id w:val="147476861"/>
        <w:docPartObj>
          <w:docPartGallery w:val="Table of Contents"/>
          <w:docPartUnique/>
        </w:docPartObj>
      </w:sdtPr>
      <w:sdtEndPr>
        <w:rPr>
          <w:rFonts w:ascii="Times New Roman" w:hAnsi="Times New Roman"/>
        </w:rPr>
      </w:sdtEndPr>
      <w:sdtContent>
        <w:p w14:paraId="2242BDE6">
          <w:pPr>
            <w:jc w:val="center"/>
          </w:pPr>
        </w:p>
        <w:p w14:paraId="1FF896EE">
          <w:pPr>
            <w:pStyle w:val="138"/>
            <w:tabs>
              <w:tab w:val="right" w:leader="dot" w:pos="9412"/>
            </w:tabs>
            <w:spacing w:line="360" w:lineRule="auto"/>
            <w:rPr>
              <w:sz w:val="30"/>
              <w:szCs w:val="30"/>
            </w:rPr>
          </w:pPr>
          <w:r>
            <w:rPr>
              <w:sz w:val="30"/>
              <w:szCs w:val="30"/>
            </w:rPr>
            <w:fldChar w:fldCharType="begin"/>
          </w:r>
          <w:r>
            <w:rPr>
              <w:sz w:val="30"/>
              <w:szCs w:val="30"/>
            </w:rPr>
            <w:instrText xml:space="preserve">TOC \o "1-1" \h \u </w:instrText>
          </w:r>
          <w:r>
            <w:rPr>
              <w:sz w:val="30"/>
              <w:szCs w:val="30"/>
            </w:rPr>
            <w:fldChar w:fldCharType="separate"/>
          </w:r>
          <w:r>
            <w:fldChar w:fldCharType="begin"/>
          </w:r>
          <w:r>
            <w:instrText xml:space="preserve"> HYPERLINK \l "_Toc1215" </w:instrText>
          </w:r>
          <w:r>
            <w:fldChar w:fldCharType="separate"/>
          </w:r>
          <w:r>
            <w:rPr>
              <w:rFonts w:hint="eastAsia"/>
              <w:sz w:val="30"/>
              <w:szCs w:val="30"/>
            </w:rPr>
            <w:t>第一章  竞争性磋商公告</w:t>
          </w:r>
          <w:r>
            <w:rPr>
              <w:sz w:val="30"/>
              <w:szCs w:val="30"/>
            </w:rPr>
            <w:fldChar w:fldCharType="end"/>
          </w:r>
        </w:p>
        <w:p w14:paraId="4E90C433">
          <w:pPr>
            <w:pStyle w:val="138"/>
            <w:tabs>
              <w:tab w:val="right" w:leader="dot" w:pos="9412"/>
            </w:tabs>
            <w:spacing w:line="360" w:lineRule="auto"/>
            <w:rPr>
              <w:sz w:val="30"/>
              <w:szCs w:val="30"/>
            </w:rPr>
          </w:pPr>
          <w:r>
            <w:fldChar w:fldCharType="begin"/>
          </w:r>
          <w:r>
            <w:instrText xml:space="preserve"> HYPERLINK \l "_Toc6904" </w:instrText>
          </w:r>
          <w:r>
            <w:fldChar w:fldCharType="separate"/>
          </w:r>
          <w:r>
            <w:rPr>
              <w:rFonts w:hint="eastAsia"/>
              <w:sz w:val="30"/>
              <w:szCs w:val="30"/>
            </w:rPr>
            <w:t>第二章  采购需求</w:t>
          </w:r>
          <w:r>
            <w:rPr>
              <w:sz w:val="30"/>
              <w:szCs w:val="30"/>
            </w:rPr>
            <w:fldChar w:fldCharType="end"/>
          </w:r>
        </w:p>
        <w:p w14:paraId="1B795BA0">
          <w:pPr>
            <w:pStyle w:val="138"/>
            <w:tabs>
              <w:tab w:val="right" w:leader="dot" w:pos="9412"/>
            </w:tabs>
            <w:spacing w:line="360" w:lineRule="auto"/>
            <w:rPr>
              <w:sz w:val="30"/>
              <w:szCs w:val="30"/>
            </w:rPr>
          </w:pPr>
          <w:r>
            <w:fldChar w:fldCharType="begin"/>
          </w:r>
          <w:r>
            <w:instrText xml:space="preserve"> HYPERLINK \l "_Toc27500" </w:instrText>
          </w:r>
          <w:r>
            <w:fldChar w:fldCharType="separate"/>
          </w:r>
          <w:r>
            <w:rPr>
              <w:rFonts w:hint="eastAsia"/>
              <w:sz w:val="30"/>
              <w:szCs w:val="30"/>
            </w:rPr>
            <w:t>第三章  供应商须知</w:t>
          </w:r>
          <w:r>
            <w:rPr>
              <w:sz w:val="30"/>
              <w:szCs w:val="30"/>
            </w:rPr>
            <w:fldChar w:fldCharType="end"/>
          </w:r>
        </w:p>
        <w:p w14:paraId="15F98DB0">
          <w:pPr>
            <w:pStyle w:val="138"/>
            <w:tabs>
              <w:tab w:val="right" w:leader="dot" w:pos="9412"/>
            </w:tabs>
            <w:spacing w:line="360" w:lineRule="auto"/>
            <w:rPr>
              <w:sz w:val="30"/>
              <w:szCs w:val="30"/>
            </w:rPr>
          </w:pPr>
          <w:r>
            <w:fldChar w:fldCharType="begin"/>
          </w:r>
          <w:r>
            <w:instrText xml:space="preserve"> HYPERLINK \l "_Toc1829" </w:instrText>
          </w:r>
          <w:r>
            <w:fldChar w:fldCharType="separate"/>
          </w:r>
          <w:r>
            <w:rPr>
              <w:rFonts w:hint="eastAsia"/>
              <w:sz w:val="30"/>
              <w:szCs w:val="30"/>
            </w:rPr>
            <w:t>第四章  磋商评审办法及评分标准</w:t>
          </w:r>
          <w:r>
            <w:rPr>
              <w:sz w:val="30"/>
              <w:szCs w:val="30"/>
            </w:rPr>
            <w:fldChar w:fldCharType="end"/>
          </w:r>
        </w:p>
        <w:p w14:paraId="0B7501D2">
          <w:pPr>
            <w:pStyle w:val="138"/>
            <w:tabs>
              <w:tab w:val="right" w:leader="dot" w:pos="9412"/>
            </w:tabs>
            <w:spacing w:line="360" w:lineRule="auto"/>
            <w:rPr>
              <w:sz w:val="30"/>
              <w:szCs w:val="30"/>
            </w:rPr>
          </w:pPr>
          <w:r>
            <w:fldChar w:fldCharType="begin"/>
          </w:r>
          <w:r>
            <w:instrText xml:space="preserve"> HYPERLINK \l "_Toc31087" </w:instrText>
          </w:r>
          <w:r>
            <w:fldChar w:fldCharType="separate"/>
          </w:r>
          <w:r>
            <w:rPr>
              <w:rFonts w:hint="eastAsia"/>
              <w:sz w:val="30"/>
              <w:szCs w:val="30"/>
            </w:rPr>
            <w:t>第五章  合同</w:t>
          </w:r>
          <w:r>
            <w:rPr>
              <w:sz w:val="30"/>
              <w:szCs w:val="30"/>
            </w:rPr>
            <w:fldChar w:fldCharType="end"/>
          </w:r>
        </w:p>
        <w:p w14:paraId="39B1EE2F">
          <w:pPr>
            <w:pStyle w:val="138"/>
            <w:tabs>
              <w:tab w:val="right" w:leader="dot" w:pos="9412"/>
            </w:tabs>
            <w:spacing w:line="360" w:lineRule="auto"/>
            <w:rPr>
              <w:sz w:val="30"/>
              <w:szCs w:val="30"/>
            </w:rPr>
          </w:pPr>
          <w:r>
            <w:fldChar w:fldCharType="begin"/>
          </w:r>
          <w:r>
            <w:instrText xml:space="preserve"> HYPERLINK \l "_Toc19486" </w:instrText>
          </w:r>
          <w:r>
            <w:fldChar w:fldCharType="separate"/>
          </w:r>
          <w:r>
            <w:rPr>
              <w:rFonts w:hint="eastAsia"/>
              <w:sz w:val="30"/>
              <w:szCs w:val="30"/>
            </w:rPr>
            <w:t xml:space="preserve">第六章  </w:t>
          </w:r>
          <w:r>
            <w:rPr>
              <w:rFonts w:hint="eastAsia"/>
              <w:sz w:val="30"/>
              <w:szCs w:val="30"/>
              <w:lang w:eastAsia="zh-CN"/>
            </w:rPr>
            <w:t>磋商</w:t>
          </w:r>
          <w:r>
            <w:rPr>
              <w:rFonts w:hint="eastAsia"/>
              <w:sz w:val="30"/>
              <w:szCs w:val="30"/>
            </w:rPr>
            <w:t>响应文件格式</w:t>
          </w:r>
          <w:r>
            <w:rPr>
              <w:sz w:val="30"/>
              <w:szCs w:val="30"/>
            </w:rPr>
            <w:fldChar w:fldCharType="end"/>
          </w:r>
        </w:p>
        <w:p w14:paraId="42DF0342">
          <w:pPr>
            <w:spacing w:line="360" w:lineRule="auto"/>
          </w:pPr>
          <w:r>
            <w:rPr>
              <w:sz w:val="30"/>
              <w:szCs w:val="30"/>
            </w:rPr>
            <w:fldChar w:fldCharType="end"/>
          </w:r>
        </w:p>
      </w:sdtContent>
    </w:sdt>
    <w:p w14:paraId="0B52CFE0">
      <w:pPr>
        <w:pStyle w:val="28"/>
        <w:tabs>
          <w:tab w:val="right" w:leader="dot" w:pos="9127"/>
        </w:tabs>
        <w:rPr>
          <w:rFonts w:hint="default" w:eastAsia="宋体"/>
          <w:lang w:val="en-US" w:eastAsia="zh-CN"/>
        </w:rPr>
      </w:pPr>
    </w:p>
    <w:p w14:paraId="790C00F3">
      <w:pPr>
        <w:pStyle w:val="28"/>
        <w:tabs>
          <w:tab w:val="right" w:leader="dot" w:pos="9127"/>
        </w:tabs>
        <w:rPr>
          <w:rFonts w:hint="default" w:eastAsia="宋体"/>
          <w:lang w:val="en-US" w:eastAsia="zh-CN"/>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_Toc21277 </w:instrText>
      </w:r>
      <w:r>
        <w:rPr>
          <w:rFonts w:hint="eastAsia" w:ascii="宋体" w:hAnsi="宋体" w:cs="宋体"/>
          <w:highlight w:val="none"/>
        </w:rPr>
        <w:fldChar w:fldCharType="separate"/>
      </w:r>
    </w:p>
    <w:p w14:paraId="2AE95B28">
      <w:pPr>
        <w:pStyle w:val="12"/>
        <w:ind w:left="0" w:leftChars="0" w:firstLine="0" w:firstLineChars="0"/>
        <w:rPr>
          <w:rFonts w:hint="default" w:ascii="宋体" w:hAnsi="宋体" w:eastAsia="宋体" w:cs="宋体"/>
          <w:color w:val="auto"/>
          <w:sz w:val="24"/>
          <w:highlight w:val="none"/>
          <w:lang w:val="en-US" w:eastAsia="zh-CN"/>
        </w:rPr>
      </w:pPr>
      <w:r>
        <w:tab/>
      </w:r>
      <w:r>
        <w:rPr>
          <w:rFonts w:hint="eastAsia" w:ascii="宋体" w:hAnsi="宋体" w:cs="宋体"/>
          <w:color w:val="auto"/>
          <w:highlight w:val="none"/>
        </w:rPr>
        <w:fldChar w:fldCharType="end"/>
      </w:r>
      <w:r>
        <w:tab/>
      </w:r>
    </w:p>
    <w:p w14:paraId="2AAD7DAD">
      <w:pPr>
        <w:keepNext w:val="0"/>
        <w:keepLines w:val="0"/>
        <w:pageBreakBefore w:val="0"/>
        <w:widowControl w:val="0"/>
        <w:tabs>
          <w:tab w:val="right" w:leader="middleDot" w:pos="9127"/>
        </w:tabs>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p>
    <w:p w14:paraId="64434EB6">
      <w:pPr>
        <w:pStyle w:val="30"/>
        <w:pageBreakBefore/>
        <w:tabs>
          <w:tab w:val="right" w:leader="dot" w:pos="9402"/>
        </w:tabs>
        <w:spacing w:line="460" w:lineRule="exact"/>
        <w:jc w:val="center"/>
        <w:outlineLvl w:val="0"/>
        <w:rPr>
          <w:rFonts w:ascii="宋体" w:hAnsi="宋体" w:cs="宋体"/>
          <w:b/>
          <w:color w:val="auto"/>
          <w:sz w:val="24"/>
          <w:highlight w:val="none"/>
        </w:rPr>
      </w:pPr>
      <w:bookmarkStart w:id="0" w:name="_Toc14996"/>
      <w:r>
        <w:rPr>
          <w:rFonts w:hint="eastAsia" w:ascii="宋体" w:hAnsi="宋体" w:cs="宋体"/>
          <w:b/>
          <w:color w:val="auto"/>
          <w:sz w:val="36"/>
          <w:szCs w:val="36"/>
          <w:highlight w:val="none"/>
        </w:rPr>
        <w:t>第一章  竞争性磋商公告</w:t>
      </w:r>
      <w:bookmarkEnd w:id="0"/>
      <w:r>
        <w:rPr>
          <w:rFonts w:hint="eastAsia" w:ascii="宋体" w:hAnsi="宋体" w:cs="宋体"/>
          <w:b/>
          <w:color w:val="auto"/>
          <w:sz w:val="24"/>
          <w:highlight w:val="none"/>
        </w:rPr>
        <w:t xml:space="preserve"> </w:t>
      </w:r>
    </w:p>
    <w:p w14:paraId="7603E27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241" w:firstLineChars="100"/>
        <w:textAlignment w:val="auto"/>
        <w:rPr>
          <w:rFonts w:ascii="宋体" w:hAnsi="宋体" w:cs="宋体"/>
          <w:b/>
          <w:bCs/>
          <w:color w:val="auto"/>
          <w:sz w:val="24"/>
          <w:highlight w:val="none"/>
        </w:rPr>
      </w:pPr>
      <w:r>
        <w:rPr>
          <w:rFonts w:hint="eastAsia" w:ascii="宋体" w:hAnsi="宋体" w:cs="宋体"/>
          <w:b/>
          <w:bCs/>
          <w:color w:val="auto"/>
          <w:sz w:val="24"/>
          <w:highlight w:val="none"/>
        </w:rPr>
        <w:t>项目概况</w:t>
      </w:r>
    </w:p>
    <w:p w14:paraId="5687251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东阳市巍山镇金塘山塘综合整治工程（第三次）</w:t>
      </w:r>
      <w:r>
        <w:rPr>
          <w:rFonts w:hint="eastAsia" w:ascii="宋体" w:hAnsi="宋体" w:cs="宋体"/>
          <w:b/>
          <w:bCs/>
          <w:color w:val="auto"/>
          <w:sz w:val="24"/>
          <w:highlight w:val="none"/>
          <w:u w:val="single"/>
          <w:lang w:val="en-US" w:eastAsia="zh-CN"/>
        </w:rPr>
        <w:t>(</w:t>
      </w:r>
      <w:r>
        <w:rPr>
          <w:rFonts w:hint="eastAsia" w:ascii="宋体" w:hAnsi="宋体" w:cs="宋体"/>
          <w:b/>
          <w:bCs/>
          <w:color w:val="auto"/>
          <w:sz w:val="24"/>
          <w:highlight w:val="none"/>
          <w:u w:val="single"/>
        </w:rPr>
        <w:t>经</w:t>
      </w:r>
      <w:r>
        <w:rPr>
          <w:rFonts w:hint="eastAsia" w:ascii="宋体" w:hAnsi="宋体" w:cs="宋体"/>
          <w:b/>
          <w:bCs/>
          <w:color w:val="auto"/>
          <w:sz w:val="24"/>
          <w:highlight w:val="none"/>
          <w:u w:val="single"/>
          <w:lang w:eastAsia="zh-CN"/>
        </w:rPr>
        <w:t>政采云</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eastAsia="zh-CN"/>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 xml:space="preserve"> 299 </w:t>
      </w:r>
      <w:r>
        <w:rPr>
          <w:rFonts w:hint="eastAsia" w:ascii="宋体" w:hAnsi="宋体" w:cs="宋体"/>
          <w:b/>
          <w:bCs/>
          <w:color w:val="auto"/>
          <w:sz w:val="24"/>
          <w:highlight w:val="none"/>
          <w:u w:val="single"/>
        </w:rPr>
        <w:t>号采购计划确认书批准</w:t>
      </w:r>
      <w:r>
        <w:rPr>
          <w:rFonts w:hint="eastAsia" w:ascii="宋体" w:hAnsi="宋体" w:cs="宋体"/>
          <w:b/>
          <w:bCs/>
          <w:color w:val="auto"/>
          <w:sz w:val="24"/>
          <w:highlight w:val="none"/>
          <w:u w:val="single"/>
          <w:lang w:val="en-US" w:eastAsia="zh-CN"/>
        </w:rPr>
        <w:t>)</w:t>
      </w:r>
      <w:r>
        <w:rPr>
          <w:rFonts w:hint="eastAsia" w:ascii="宋体" w:hAnsi="宋体" w:eastAsia="宋体" w:cs="宋体"/>
          <w:color w:val="auto"/>
          <w:kern w:val="2"/>
          <w:sz w:val="24"/>
          <w:szCs w:val="24"/>
          <w:highlight w:val="none"/>
          <w:lang w:val="en-US" w:eastAsia="zh-CN" w:bidi="ar-SA"/>
        </w:rPr>
        <w:t>的潜在供应商应在浙江政府采购网（http://zfcg.czt.zj.gov.cn/）；东阳市公共资源交易网(http://www.dongyang.gov.cn/ggzyjy/index.html)获取（下载）磋商文件，并于202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 xml:space="preserve"> 7 </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 xml:space="preserve"> 11 </w:t>
      </w:r>
      <w:r>
        <w:rPr>
          <w:rFonts w:hint="eastAsia" w:ascii="宋体" w:hAnsi="宋体" w:eastAsia="宋体" w:cs="宋体"/>
          <w:color w:val="auto"/>
          <w:kern w:val="2"/>
          <w:sz w:val="24"/>
          <w:szCs w:val="24"/>
          <w:highlight w:val="none"/>
          <w:lang w:val="en-US" w:eastAsia="zh-CN" w:bidi="ar-SA"/>
        </w:rPr>
        <w:t>日</w:t>
      </w:r>
      <w:r>
        <w:rPr>
          <w:rFonts w:hint="eastAsia" w:ascii="宋体" w:hAnsi="宋体" w:cs="宋体"/>
          <w:color w:val="auto"/>
          <w:kern w:val="2"/>
          <w:sz w:val="24"/>
          <w:szCs w:val="24"/>
          <w:highlight w:val="none"/>
          <w:lang w:val="en-US" w:eastAsia="zh-CN" w:bidi="ar-SA"/>
        </w:rPr>
        <w:t xml:space="preserve"> 9 </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 xml:space="preserve"> 00 </w:t>
      </w:r>
      <w:r>
        <w:rPr>
          <w:rFonts w:hint="eastAsia" w:ascii="宋体" w:hAnsi="宋体" w:eastAsia="宋体" w:cs="宋体"/>
          <w:color w:val="auto"/>
          <w:kern w:val="2"/>
          <w:sz w:val="24"/>
          <w:szCs w:val="24"/>
          <w:highlight w:val="none"/>
          <w:lang w:val="en-US" w:eastAsia="zh-CN" w:bidi="ar-SA"/>
        </w:rPr>
        <w:t>分（北京时间）前递交（上传）电子磋商响应文件。</w:t>
      </w:r>
    </w:p>
    <w:p w14:paraId="2D9812D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p>
    <w:p w14:paraId="51DF1140">
      <w:pPr>
        <w:keepNext w:val="0"/>
        <w:keepLines w:val="0"/>
        <w:pageBreakBefore w:val="0"/>
        <w:numPr>
          <w:ilvl w:val="0"/>
          <w:numId w:val="4"/>
        </w:numPr>
        <w:kinsoku/>
        <w:wordWrap/>
        <w:overflowPunct/>
        <w:topLinePunct w:val="0"/>
        <w:autoSpaceDE/>
        <w:autoSpaceDN/>
        <w:bidi w:val="0"/>
        <w:snapToGrid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项目基本情况</w:t>
      </w:r>
    </w:p>
    <w:p w14:paraId="5B15E9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项目编号：</w:t>
      </w:r>
      <w:r>
        <w:rPr>
          <w:rFonts w:hint="eastAsia" w:ascii="宋体" w:hAnsi="宋体" w:cs="宋体"/>
          <w:color w:val="auto"/>
          <w:sz w:val="24"/>
          <w:highlight w:val="none"/>
          <w:lang w:eastAsia="zh-CN"/>
        </w:rPr>
        <w:t>ZKBHZFCG2025-CS-003-2</w:t>
      </w:r>
    </w:p>
    <w:p w14:paraId="4DB3F4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项目名称：</w:t>
      </w:r>
      <w:r>
        <w:rPr>
          <w:rFonts w:hint="eastAsia" w:ascii="宋体" w:hAnsi="宋体" w:cs="宋体"/>
          <w:b w:val="0"/>
          <w:bCs w:val="0"/>
          <w:color w:val="auto"/>
          <w:sz w:val="24"/>
          <w:highlight w:val="none"/>
          <w:lang w:eastAsia="zh-CN"/>
        </w:rPr>
        <w:t>东阳市巍山镇金塘山塘综合整治工程（第三次）</w:t>
      </w:r>
    </w:p>
    <w:p w14:paraId="3EFF07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3、采购组织类型：</w:t>
      </w:r>
      <w:r>
        <w:rPr>
          <w:rFonts w:hint="eastAsia" w:ascii="宋体" w:hAnsi="宋体" w:cs="宋体"/>
          <w:b w:val="0"/>
          <w:bCs w:val="0"/>
          <w:color w:val="auto"/>
          <w:sz w:val="24"/>
          <w:highlight w:val="none"/>
          <w:lang w:val="en-US" w:eastAsia="zh-CN"/>
        </w:rPr>
        <w:t>分散采购委托代理</w:t>
      </w:r>
    </w:p>
    <w:p w14:paraId="3E69205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采购方式：</w:t>
      </w:r>
      <w:r>
        <w:rPr>
          <w:rFonts w:hint="eastAsia" w:ascii="宋体" w:hAnsi="宋体" w:cs="宋体"/>
          <w:b w:val="0"/>
          <w:bCs w:val="0"/>
          <w:color w:val="auto"/>
          <w:sz w:val="24"/>
          <w:highlight w:val="none"/>
        </w:rPr>
        <w:t>竞争性磋商</w:t>
      </w:r>
    </w:p>
    <w:p w14:paraId="3101E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预算金额（元）：</w:t>
      </w:r>
      <w:r>
        <w:rPr>
          <w:rFonts w:hint="eastAsia" w:ascii="宋体" w:hAnsi="宋体" w:cs="宋体"/>
          <w:b w:val="0"/>
          <w:bCs w:val="0"/>
          <w:color w:val="auto"/>
          <w:kern w:val="2"/>
          <w:sz w:val="24"/>
          <w:szCs w:val="24"/>
          <w:highlight w:val="none"/>
          <w:lang w:val="en-US" w:eastAsia="zh-CN" w:bidi="ar-SA"/>
        </w:rPr>
        <w:t>2047857元</w:t>
      </w:r>
    </w:p>
    <w:p w14:paraId="6815279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最高限价（元）：</w:t>
      </w:r>
      <w:r>
        <w:rPr>
          <w:rFonts w:hint="eastAsia" w:ascii="宋体" w:hAnsi="宋体" w:cs="宋体"/>
          <w:b w:val="0"/>
          <w:bCs w:val="0"/>
          <w:color w:val="auto"/>
          <w:kern w:val="2"/>
          <w:sz w:val="24"/>
          <w:szCs w:val="24"/>
          <w:highlight w:val="none"/>
          <w:lang w:val="en-US" w:eastAsia="zh-CN" w:bidi="ar-SA"/>
        </w:rPr>
        <w:t>1880032元</w:t>
      </w:r>
    </w:p>
    <w:p w14:paraId="6373FED8">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采购需求：</w:t>
      </w:r>
    </w:p>
    <w:p w14:paraId="64B759C4">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标</w:t>
      </w:r>
      <w:r>
        <w:rPr>
          <w:rFonts w:hint="eastAsia" w:ascii="宋体" w:hAnsi="宋体" w:cs="宋体"/>
          <w:b/>
          <w:bCs/>
          <w:color w:val="auto"/>
          <w:sz w:val="24"/>
          <w:highlight w:val="none"/>
          <w:lang w:val="en-US" w:eastAsia="zh-CN"/>
        </w:rPr>
        <w:t>项</w:t>
      </w:r>
      <w:r>
        <w:rPr>
          <w:rFonts w:hint="eastAsia" w:ascii="宋体" w:hAnsi="宋体" w:cs="宋体"/>
          <w:b/>
          <w:bCs/>
          <w:color w:val="auto"/>
          <w:sz w:val="24"/>
          <w:highlight w:val="none"/>
        </w:rPr>
        <w:t>一：</w:t>
      </w:r>
    </w:p>
    <w:p w14:paraId="200A18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b w:val="0"/>
          <w:bCs w:val="0"/>
          <w:color w:val="auto"/>
          <w:sz w:val="24"/>
          <w:highlight w:val="none"/>
          <w:lang w:eastAsia="zh-CN"/>
        </w:rPr>
        <w:t>东阳市巍山镇金塘山塘综合整治工程（第三次）</w:t>
      </w:r>
    </w:p>
    <w:p w14:paraId="22CD0A01">
      <w:pPr>
        <w:pStyle w:val="2"/>
        <w:keepNext w:val="0"/>
        <w:keepLines w:val="0"/>
        <w:pageBreakBefore w:val="0"/>
        <w:kinsoku/>
        <w:wordWrap/>
        <w:overflowPunct/>
        <w:topLinePunct w:val="0"/>
        <w:autoSpaceDE/>
        <w:autoSpaceDN/>
        <w:bidi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数量：1项</w:t>
      </w:r>
    </w:p>
    <w:p w14:paraId="7D4F4852">
      <w:pPr>
        <w:pStyle w:val="2"/>
        <w:keepNext w:val="0"/>
        <w:keepLines w:val="0"/>
        <w:pageBreakBefore w:val="0"/>
        <w:kinsoku/>
        <w:wordWrap/>
        <w:overflowPunct/>
        <w:topLinePunct w:val="0"/>
        <w:autoSpaceDE/>
        <w:autoSpaceDN/>
        <w:bidi w:val="0"/>
        <w:spacing w:line="360" w:lineRule="auto"/>
        <w:ind w:firstLine="480"/>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color w:val="auto"/>
          <w:sz w:val="24"/>
          <w:highlight w:val="none"/>
        </w:rPr>
        <w:t>预算金额（元）：</w:t>
      </w:r>
      <w:r>
        <w:rPr>
          <w:rFonts w:hint="eastAsia" w:ascii="宋体" w:hAnsi="宋体" w:cs="宋体"/>
          <w:color w:val="auto"/>
          <w:sz w:val="24"/>
          <w:highlight w:val="none"/>
          <w:lang w:val="en-US" w:eastAsia="zh-CN"/>
        </w:rPr>
        <w:t>2047857</w:t>
      </w:r>
      <w:r>
        <w:rPr>
          <w:rFonts w:hint="eastAsia" w:ascii="宋体" w:hAnsi="宋体" w:cs="宋体"/>
          <w:b/>
          <w:bCs/>
          <w:color w:val="auto"/>
          <w:kern w:val="2"/>
          <w:sz w:val="24"/>
          <w:szCs w:val="24"/>
          <w:highlight w:val="none"/>
          <w:lang w:val="en-US" w:eastAsia="zh-CN" w:bidi="ar-SA"/>
        </w:rPr>
        <w:t>元</w:t>
      </w:r>
    </w:p>
    <w:p w14:paraId="1D67CD6B">
      <w:pPr>
        <w:pStyle w:val="2"/>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章招标需求</w:t>
      </w:r>
    </w:p>
    <w:p w14:paraId="43E59E06">
      <w:pPr>
        <w:pStyle w:val="2"/>
        <w:keepNext w:val="0"/>
        <w:keepLines w:val="0"/>
        <w:pageBreakBefore w:val="0"/>
        <w:kinsoku/>
        <w:wordWrap/>
        <w:overflowPunct/>
        <w:topLinePunct w:val="0"/>
        <w:autoSpaceDE/>
        <w:autoSpaceDN/>
        <w:bidi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备注：</w:t>
      </w:r>
    </w:p>
    <w:p w14:paraId="502C9F75">
      <w:pPr>
        <w:pStyle w:val="2"/>
        <w:keepNext w:val="0"/>
        <w:keepLines w:val="0"/>
        <w:pageBreakBefore w:val="0"/>
        <w:kinsoku/>
        <w:wordWrap/>
        <w:overflowPunct/>
        <w:topLinePunct w:val="0"/>
        <w:autoSpaceDE/>
        <w:autoSpaceDN/>
        <w:bidi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合同履约期限：</w:t>
      </w:r>
      <w:r>
        <w:rPr>
          <w:rFonts w:hint="eastAsia" w:ascii="宋体" w:hAnsi="宋体" w:cs="宋体"/>
          <w:color w:val="auto"/>
          <w:sz w:val="24"/>
          <w:highlight w:val="none"/>
          <w:lang w:val="en-US" w:eastAsia="zh-CN"/>
        </w:rPr>
        <w:t xml:space="preserve"> 180 日历天。</w:t>
      </w:r>
    </w:p>
    <w:p w14:paraId="083FC81D">
      <w:pPr>
        <w:pStyle w:val="2"/>
        <w:keepNext w:val="0"/>
        <w:keepLines w:val="0"/>
        <w:pageBreakBefore w:val="0"/>
        <w:kinsoku/>
        <w:wordWrap/>
        <w:overflowPunct/>
        <w:topLinePunct w:val="0"/>
        <w:autoSpaceDE/>
        <w:autoSpaceDN/>
        <w:bidi w:val="0"/>
        <w:spacing w:line="360" w:lineRule="auto"/>
        <w:ind w:firstLine="480"/>
        <w:textAlignment w:val="auto"/>
        <w:rPr>
          <w:rFonts w:hint="eastAsia"/>
        </w:rPr>
      </w:pPr>
      <w:r>
        <w:rPr>
          <w:rFonts w:hint="eastAsia" w:ascii="宋体" w:hAnsi="宋体" w:cs="宋体"/>
          <w:color w:val="auto"/>
          <w:sz w:val="24"/>
          <w:highlight w:val="none"/>
        </w:rPr>
        <w:t xml:space="preserve">本项目（是）接受联合体投标。  </w:t>
      </w:r>
    </w:p>
    <w:p w14:paraId="7F54E768">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strike/>
          <w:color w:val="auto"/>
          <w:sz w:val="24"/>
          <w:highlight w:val="none"/>
        </w:rPr>
      </w:pPr>
      <w:r>
        <w:rPr>
          <w:rFonts w:hint="eastAsia" w:ascii="宋体" w:hAnsi="宋体" w:cs="宋体"/>
          <w:b/>
          <w:bCs/>
          <w:color w:val="auto"/>
          <w:sz w:val="24"/>
          <w:highlight w:val="none"/>
        </w:rPr>
        <w:t xml:space="preserve">▲二、申请人的资格要求： </w:t>
      </w:r>
    </w:p>
    <w:p w14:paraId="4CA4B620">
      <w:pPr>
        <w:pStyle w:val="2"/>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9298E22">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2、落实政府采购政策需满足的资格要求：根据《政府采购促进中小企业发展管理办法》有关规定，本项目仅面向中小型及以下企业响应磋商。</w:t>
      </w:r>
      <w:r>
        <w:rPr>
          <w:rFonts w:hint="eastAsia" w:ascii="宋体" w:hAnsi="宋体"/>
          <w:b/>
          <w:bCs/>
          <w:sz w:val="24"/>
          <w:szCs w:val="24"/>
          <w:highlight w:val="none"/>
        </w:rPr>
        <w:t>供应商参加磋商时，响应文件中须提供中小企业声明函（格式见附件）</w:t>
      </w:r>
    </w:p>
    <w:p w14:paraId="19B93D0A">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3、本项目的特定资格要求：</w:t>
      </w:r>
    </w:p>
    <w:p w14:paraId="49BBEBF3">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投标人须具有</w:t>
      </w:r>
      <w:r>
        <w:rPr>
          <w:rFonts w:hint="eastAsia" w:ascii="宋体" w:hAnsi="宋体" w:cs="宋体"/>
          <w:color w:val="auto"/>
          <w:sz w:val="24"/>
          <w:highlight w:val="none"/>
          <w:lang w:val="en-US" w:eastAsia="zh-CN"/>
        </w:rPr>
        <w:t>水利水电</w:t>
      </w:r>
      <w:r>
        <w:rPr>
          <w:rFonts w:hint="eastAsia" w:ascii="宋体" w:hAnsi="宋体" w:eastAsia="宋体" w:cs="宋体"/>
          <w:color w:val="auto"/>
          <w:sz w:val="24"/>
          <w:highlight w:val="none"/>
          <w:lang w:val="en-US" w:eastAsia="zh-CN"/>
        </w:rPr>
        <w:t>工程施工总承包三级（含）以上资质并同时具有有效的安全生产许可证的</w:t>
      </w:r>
    </w:p>
    <w:p w14:paraId="6B799D1B">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宋体" w:hAnsi="宋体" w:cs="宋体"/>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投标人须为浙江政府采购网注册的正式供应商或承诺中标后30天内注册为浙江政府采购网正式供应商</w:t>
      </w:r>
      <w:r>
        <w:rPr>
          <w:rFonts w:hint="eastAsia" w:ascii="宋体" w:hAnsi="宋体" w:eastAsia="宋体" w:cs="宋体"/>
          <w:color w:val="auto"/>
          <w:sz w:val="24"/>
          <w:highlight w:val="none"/>
          <w:lang w:eastAsia="zh-CN"/>
        </w:rPr>
        <w:t>。</w:t>
      </w:r>
    </w:p>
    <w:p w14:paraId="24682E33">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▲三、获取磋商文件： </w:t>
      </w:r>
    </w:p>
    <w:p w14:paraId="36DDBE13">
      <w:pPr>
        <w:keepNext w:val="0"/>
        <w:keepLines w:val="0"/>
        <w:pageBreakBefore w:val="0"/>
        <w:kinsoku/>
        <w:wordWrap/>
        <w:overflowPunct/>
        <w:topLinePunct w:val="0"/>
        <w:autoSpaceDE/>
        <w:autoSpaceDN/>
        <w:bidi w:val="0"/>
        <w:spacing w:line="360"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 xml:space="preserve"> 7 </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 xml:space="preserve"> 11 </w:t>
      </w:r>
      <w:r>
        <w:rPr>
          <w:rFonts w:hint="eastAsia" w:ascii="宋体" w:hAnsi="宋体" w:eastAsia="宋体" w:cs="宋体"/>
          <w:color w:val="auto"/>
          <w:kern w:val="2"/>
          <w:sz w:val="24"/>
          <w:szCs w:val="24"/>
          <w:highlight w:val="none"/>
          <w:lang w:val="en-US" w:eastAsia="zh-CN" w:bidi="ar-SA"/>
        </w:rPr>
        <w:t>日</w:t>
      </w:r>
      <w:r>
        <w:rPr>
          <w:rFonts w:hint="eastAsia" w:ascii="宋体" w:hAnsi="宋体" w:cs="宋体"/>
          <w:color w:val="auto"/>
          <w:kern w:val="2"/>
          <w:sz w:val="24"/>
          <w:szCs w:val="24"/>
          <w:highlight w:val="none"/>
          <w:lang w:val="en-US" w:eastAsia="zh-CN" w:bidi="ar-SA"/>
        </w:rPr>
        <w:t xml:space="preserve"> 9 </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 xml:space="preserve"> 00 </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sz w:val="24"/>
          <w:highlight w:val="none"/>
        </w:rPr>
        <w:t>，每天上午00：00至12:00，下午12:00至23:59（北京时间，线上获取法定节假日均可，线下获取文件法定节假日除外）</w:t>
      </w:r>
    </w:p>
    <w:p w14:paraId="3191E784">
      <w:pPr>
        <w:keepNext w:val="0"/>
        <w:keepLines w:val="0"/>
        <w:pageBreakBefore w:val="0"/>
        <w:kinsoku/>
        <w:wordWrap/>
        <w:overflowPunct/>
        <w:topLinePunct w:val="0"/>
        <w:autoSpaceDE/>
        <w:autoSpaceDN/>
        <w:bidi w:val="0"/>
        <w:spacing w:line="360"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4AEC51D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方式：1、由供应商通过登录浙江省政府采购网(http://zfcg.czt.zj.gov.cn/)上的政采云系统进行获取（首次参加谈判的单位应先登录浙江省政府采购网(http://zfcg.czt.zj.gov.cn/)进行账户注册，注册完毕待审核成功后方可登录政采云系统获取；注册流程见网址</w:t>
      </w:r>
    </w:p>
    <w:p w14:paraId="0F8CAFE0">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0C23A0B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highlight w:val="none"/>
        </w:rPr>
      </w:pPr>
      <w:r>
        <w:rPr>
          <w:rFonts w:hint="eastAsia" w:ascii="宋体" w:hAnsi="宋体" w:cs="宋体"/>
          <w:color w:val="auto"/>
          <w:sz w:val="24"/>
          <w:highlight w:val="none"/>
        </w:rPr>
        <w:t>2、竞争性磋商文件获取流程：浙江政府采购网-政采云用户登录-用户中心-项目采购-获取采购文件管理。</w:t>
      </w:r>
    </w:p>
    <w:p w14:paraId="3161BB4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41C3AB1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售价（元）：0</w:t>
      </w:r>
    </w:p>
    <w:p w14:paraId="36E2EED9">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四、响应文件提交</w:t>
      </w:r>
    </w:p>
    <w:p w14:paraId="32CE277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 xml:space="preserve"> 7 </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 xml:space="preserve"> 11 </w:t>
      </w:r>
      <w:r>
        <w:rPr>
          <w:rFonts w:hint="eastAsia" w:ascii="宋体" w:hAnsi="宋体" w:eastAsia="宋体" w:cs="宋体"/>
          <w:color w:val="auto"/>
          <w:kern w:val="2"/>
          <w:sz w:val="24"/>
          <w:szCs w:val="24"/>
          <w:highlight w:val="none"/>
          <w:lang w:val="en-US" w:eastAsia="zh-CN" w:bidi="ar-SA"/>
        </w:rPr>
        <w:t>日</w:t>
      </w:r>
      <w:r>
        <w:rPr>
          <w:rFonts w:hint="eastAsia" w:ascii="宋体" w:hAnsi="宋体" w:cs="宋体"/>
          <w:color w:val="auto"/>
          <w:kern w:val="2"/>
          <w:sz w:val="24"/>
          <w:szCs w:val="24"/>
          <w:highlight w:val="none"/>
          <w:lang w:val="en-US" w:eastAsia="zh-CN" w:bidi="ar-SA"/>
        </w:rPr>
        <w:t xml:space="preserve"> 9 </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 xml:space="preserve"> 00 </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sz w:val="24"/>
          <w:highlight w:val="none"/>
        </w:rPr>
        <w:t xml:space="preserve"> （北京时间）</w:t>
      </w:r>
    </w:p>
    <w:p w14:paraId="3223C0F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地点（网址）：政采云平台</w:t>
      </w:r>
    </w:p>
    <w:p w14:paraId="4CE22F1E">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五、响应文件开启</w:t>
      </w:r>
    </w:p>
    <w:p w14:paraId="6C35B0D7">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rPr>
        <w:t>开启时间：</w:t>
      </w: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 xml:space="preserve"> 7 </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 xml:space="preserve"> 11 </w:t>
      </w:r>
      <w:r>
        <w:rPr>
          <w:rFonts w:hint="eastAsia" w:ascii="宋体" w:hAnsi="宋体" w:eastAsia="宋体" w:cs="宋体"/>
          <w:color w:val="auto"/>
          <w:kern w:val="2"/>
          <w:sz w:val="24"/>
          <w:szCs w:val="24"/>
          <w:highlight w:val="none"/>
          <w:lang w:val="en-US" w:eastAsia="zh-CN" w:bidi="ar-SA"/>
        </w:rPr>
        <w:t>日</w:t>
      </w:r>
      <w:r>
        <w:rPr>
          <w:rFonts w:hint="eastAsia" w:ascii="宋体" w:hAnsi="宋体" w:cs="宋体"/>
          <w:color w:val="auto"/>
          <w:kern w:val="2"/>
          <w:sz w:val="24"/>
          <w:szCs w:val="24"/>
          <w:highlight w:val="none"/>
          <w:lang w:val="en-US" w:eastAsia="zh-CN" w:bidi="ar-SA"/>
        </w:rPr>
        <w:t xml:space="preserve"> 9 </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 xml:space="preserve"> 00 </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sz w:val="24"/>
          <w:highlight w:val="none"/>
        </w:rPr>
        <w:t>（北京时间）</w:t>
      </w:r>
    </w:p>
    <w:p w14:paraId="69655CE7">
      <w:pPr>
        <w:keepNext w:val="0"/>
        <w:keepLines w:val="0"/>
        <w:pageBreakBefore w:val="0"/>
        <w:kinsoku/>
        <w:wordWrap/>
        <w:overflowPunct/>
        <w:topLinePunct w:val="0"/>
        <w:autoSpaceDE/>
        <w:autoSpaceDN/>
        <w:bidi w:val="0"/>
        <w:snapToGrid w:val="0"/>
        <w:spacing w:line="240" w:lineRule="auto"/>
        <w:ind w:firstLine="481"/>
        <w:textAlignment w:val="auto"/>
        <w:rPr>
          <w:rFonts w:ascii="宋体" w:hAnsi="宋体" w:cs="宋体"/>
          <w:color w:val="auto"/>
          <w:sz w:val="24"/>
          <w:highlight w:val="none"/>
        </w:rPr>
      </w:pPr>
      <w:r>
        <w:rPr>
          <w:rFonts w:hint="eastAsia" w:ascii="宋体" w:hAnsi="宋体" w:cs="宋体"/>
          <w:color w:val="auto"/>
          <w:sz w:val="24"/>
          <w:highlight w:val="none"/>
        </w:rPr>
        <w:t>地点（网址）：政采云平台</w:t>
      </w:r>
    </w:p>
    <w:p w14:paraId="07D110B1">
      <w:pPr>
        <w:keepNext w:val="0"/>
        <w:keepLines w:val="0"/>
        <w:pageBreakBefore w:val="0"/>
        <w:kinsoku/>
        <w:wordWrap/>
        <w:overflowPunct/>
        <w:topLinePunct w:val="0"/>
        <w:autoSpaceDE/>
        <w:autoSpaceDN/>
        <w:bidi w:val="0"/>
        <w:snapToGrid w:val="0"/>
        <w:spacing w:line="24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六、采购意向公开链接</w:t>
      </w:r>
    </w:p>
    <w:p w14:paraId="7B612806">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"https://zfcg.czt.zj.gov.cn/site/detail?parentId=600007&amp;articleId=Ng%2F4FQ1Tc2M3dJGbcDDDTg%3D%3D" </w:instrText>
      </w:r>
      <w:r>
        <w:rPr>
          <w:rFonts w:hint="eastAsia" w:ascii="宋体" w:hAnsi="宋体" w:cs="宋体"/>
          <w:b/>
          <w:bCs/>
          <w:color w:val="auto"/>
          <w:sz w:val="24"/>
          <w:highlight w:val="none"/>
        </w:rPr>
        <w:fldChar w:fldCharType="separate"/>
      </w:r>
      <w:r>
        <w:rPr>
          <w:rStyle w:val="44"/>
          <w:rFonts w:hint="eastAsia" w:ascii="宋体" w:hAnsi="宋体" w:cs="宋体"/>
          <w:b/>
          <w:bCs/>
          <w:sz w:val="24"/>
          <w:highlight w:val="none"/>
        </w:rPr>
        <w:t>https://zfcg.czt.zj.gov.cn/site/detail?parentId=600007&amp;articleId=Ng%2F4FQ1Tc2M3dJGbcDDDTg%3D%3D</w:t>
      </w:r>
      <w:r>
        <w:rPr>
          <w:rFonts w:hint="eastAsia" w:ascii="宋体" w:hAnsi="宋体" w:cs="宋体"/>
          <w:b/>
          <w:bCs/>
          <w:color w:val="auto"/>
          <w:sz w:val="24"/>
          <w:highlight w:val="none"/>
        </w:rPr>
        <w:fldChar w:fldCharType="end"/>
      </w:r>
    </w:p>
    <w:p w14:paraId="23744694">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七、公告期限</w:t>
      </w:r>
    </w:p>
    <w:p w14:paraId="3984ECD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270828DE">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八、其他补充事宜</w:t>
      </w:r>
    </w:p>
    <w:p w14:paraId="66D06870">
      <w:pPr>
        <w:pStyle w:val="35"/>
        <w:keepNext w:val="0"/>
        <w:keepLines w:val="0"/>
        <w:pageBreakBefore w:val="0"/>
        <w:kinsoku/>
        <w:wordWrap/>
        <w:overflowPunct/>
        <w:topLinePunct w:val="0"/>
        <w:autoSpaceDE/>
        <w:autoSpaceDN/>
        <w:bidi w:val="0"/>
        <w:adjustRightInd w:val="0"/>
        <w:snapToGrid w:val="0"/>
        <w:spacing w:line="360" w:lineRule="auto"/>
        <w:textAlignment w:val="auto"/>
        <w:rPr>
          <w:color w:val="auto"/>
          <w:kern w:val="2"/>
          <w:highlight w:val="none"/>
        </w:rPr>
      </w:pPr>
      <w:r>
        <w:rPr>
          <w:rFonts w:hint="eastAsia"/>
          <w:color w:val="auto"/>
          <w:highlight w:val="none"/>
        </w:rPr>
        <w:t xml:space="preserve">  </w:t>
      </w:r>
      <w:r>
        <w:rPr>
          <w:rFonts w:hint="eastAsia"/>
          <w:color w:val="auto"/>
          <w:kern w:val="2"/>
          <w:highlight w:val="none"/>
        </w:rPr>
        <w:t xml:space="preserve">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927C56">
      <w:pPr>
        <w:pStyle w:val="35"/>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auto"/>
          <w:kern w:val="2"/>
          <w:highlight w:val="none"/>
        </w:rPr>
      </w:pPr>
      <w:r>
        <w:rPr>
          <w:rFonts w:hint="eastAsia"/>
          <w:color w:val="auto"/>
          <w:kern w:val="2"/>
          <w:highlight w:val="none"/>
        </w:rPr>
        <w:t>2</w:t>
      </w:r>
      <w:r>
        <w:rPr>
          <w:rFonts w:hint="eastAsia"/>
          <w:color w:val="auto"/>
          <w:kern w:val="2"/>
          <w:highlight w:val="none"/>
          <w:lang w:val="en-US" w:eastAsia="zh-CN"/>
        </w:rPr>
        <w:t>.</w:t>
      </w:r>
      <w:r>
        <w:rPr>
          <w:rFonts w:hint="eastAsia"/>
          <w:color w:val="auto"/>
          <w:kern w:val="2"/>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51DFBD4">
      <w:pPr>
        <w:pStyle w:val="35"/>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auto"/>
          <w:kern w:val="2"/>
          <w:highlight w:val="none"/>
        </w:rPr>
      </w:pPr>
      <w:r>
        <w:rPr>
          <w:rFonts w:hint="eastAsia"/>
          <w:color w:val="auto"/>
          <w:kern w:val="2"/>
          <w:highlight w:val="none"/>
          <w:lang w:val="en-US" w:eastAsia="zh-CN"/>
        </w:rPr>
        <w:t>3</w:t>
      </w:r>
      <w:r>
        <w:rPr>
          <w:rFonts w:hint="eastAsia"/>
          <w:color w:val="auto"/>
          <w:kern w:val="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86411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szCs w:val="22"/>
          <w:highlight w:val="none"/>
        </w:rPr>
        <w:t>需要落实的政府采购政策：包括节约资源、保护环境、支持创新、促进中小企业发展等。</w:t>
      </w:r>
    </w:p>
    <w:p w14:paraId="1E5A00CD">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29312C4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1354234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本项目实行电子磋商，磋商响应文件应按照本项目竞争性磋商文件和政采云平台的要求编制、加密并递交。供应商在使用系统进行谈判的过程中遇到涉及平台使用的任何问题，可致电政采云平台技术支持热线咨询，联系方式：95763。</w:t>
      </w:r>
    </w:p>
    <w:p w14:paraId="1A9B493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.供应商应 在 开 标 前 完 成 CA 数 字 证 书 办 理 。 （ 办 理 流 程 详 见http://zfcg.czt.zj.gov.cn/bidClientTemplate/2019-05-27/12945.html）。完成 CA 数字证书办理预计一周左右，建议各供应商抓紧时间办理。</w:t>
      </w:r>
    </w:p>
    <w:p w14:paraId="4363DDE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.供应商通过政采云平台电子磋商工具制作磋商响应文件，电子磋商工具请供应商自行前往浙江省政府采购网下载并安装，（下载网址：http://zfcg.czt.zj.gov.cn/bidClientTemplate/2019-08-30/12975.html），</w:t>
      </w:r>
    </w:p>
    <w:p w14:paraId="5A84755B">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45"/>
          <w:rFonts w:hint="eastAsia" w:ascii="宋体" w:hAnsi="宋体" w:cs="宋体"/>
          <w:color w:val="auto"/>
          <w:sz w:val="24"/>
          <w:highlight w:val="none"/>
        </w:rPr>
        <w:t>https://edu.zcygov.cn/luban/e-biding?utm=a0004.2ef5001f.0001.0109.2d44db10df9111e9b92b0f36d4889416。）</w:t>
      </w:r>
      <w:r>
        <w:rPr>
          <w:rStyle w:val="45"/>
          <w:rFonts w:hint="eastAsia" w:ascii="宋体" w:hAnsi="宋体" w:cs="宋体"/>
          <w:color w:val="auto"/>
          <w:sz w:val="24"/>
          <w:highlight w:val="none"/>
        </w:rPr>
        <w:fldChar w:fldCharType="end"/>
      </w:r>
    </w:p>
    <w:p w14:paraId="24D3C2F4">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 xml:space="preserve">.政府采购金融服务提示：为扩大政府采购金融服务面，除政采云网上金融服务合作银行外，东阳市范围内增加浙商银行金华分行东阳支行作为线下合作银行。   </w:t>
      </w:r>
    </w:p>
    <w:p w14:paraId="314AF9AB">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0BFC2774">
      <w:pPr>
        <w:snapToGrid w:val="0"/>
        <w:spacing w:line="440" w:lineRule="atLeast"/>
        <w:ind w:firstLine="480" w:firstLineChars="20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0F8AE794">
      <w:pPr>
        <w:snapToGrid w:val="0"/>
        <w:spacing w:line="440" w:lineRule="atLeast"/>
        <w:ind w:firstLine="480" w:firstLineChars="200"/>
        <w:jc w:val="left"/>
        <w:rPr>
          <w:rFonts w:hint="eastAsia" w:ascii="宋体" w:hAnsi="宋体"/>
          <w:sz w:val="24"/>
          <w:szCs w:val="24"/>
        </w:rPr>
      </w:pPr>
      <w:r>
        <w:rPr>
          <w:rFonts w:hint="eastAsia" w:ascii="宋体" w:hAnsi="宋体"/>
          <w:sz w:val="24"/>
          <w:szCs w:val="24"/>
        </w:rPr>
        <w:t>市扫黑办：0579-86655381               市公安局：110、0579-86096000</w:t>
      </w:r>
    </w:p>
    <w:p w14:paraId="08A4D0A7">
      <w:pPr>
        <w:snapToGrid w:val="0"/>
        <w:spacing w:line="440" w:lineRule="atLeast"/>
        <w:ind w:firstLine="480" w:firstLineChars="200"/>
        <w:jc w:val="left"/>
        <w:rPr>
          <w:rFonts w:hint="eastAsia" w:ascii="宋体" w:hAnsi="宋体"/>
          <w:sz w:val="24"/>
          <w:szCs w:val="24"/>
        </w:rPr>
      </w:pPr>
      <w:r>
        <w:rPr>
          <w:rFonts w:hint="eastAsia" w:ascii="宋体" w:hAnsi="宋体"/>
          <w:sz w:val="24"/>
          <w:szCs w:val="24"/>
        </w:rPr>
        <w:t>市检察院: 0579-86642000               市 法 院：0579-86620148</w:t>
      </w:r>
    </w:p>
    <w:p w14:paraId="3F692279">
      <w:pPr>
        <w:snapToGrid w:val="0"/>
        <w:spacing w:line="440" w:lineRule="atLeast"/>
        <w:ind w:firstLine="480" w:firstLineChars="200"/>
      </w:pPr>
      <w:r>
        <w:rPr>
          <w:rFonts w:hint="eastAsia" w:ascii="宋体" w:hAnsi="宋体"/>
          <w:sz w:val="24"/>
          <w:szCs w:val="24"/>
        </w:rPr>
        <w:t>市公共资源办:0579-86691835            市公共资源交易中心:0579-86691729</w:t>
      </w:r>
    </w:p>
    <w:p w14:paraId="4AE4FA64">
      <w:pPr>
        <w:keepNext w:val="0"/>
        <w:keepLines w:val="0"/>
        <w:pageBreakBefore w:val="0"/>
        <w:kinsoku/>
        <w:wordWrap/>
        <w:overflowPunct/>
        <w:topLinePunct w:val="0"/>
        <w:autoSpaceDE/>
        <w:autoSpaceDN/>
        <w:bidi w:val="0"/>
        <w:spacing w:line="360" w:lineRule="auto"/>
        <w:textAlignment w:val="auto"/>
        <w:rPr>
          <w:rFonts w:ascii="宋体" w:hAnsi="宋体" w:cs="宋体"/>
          <w:b/>
          <w:color w:val="auto"/>
          <w:sz w:val="28"/>
          <w:szCs w:val="28"/>
          <w:highlight w:val="none"/>
        </w:rPr>
      </w:pPr>
      <w:r>
        <w:rPr>
          <w:rFonts w:hint="eastAsia" w:ascii="宋体" w:hAnsi="宋体" w:cs="宋体"/>
          <w:b/>
          <w:color w:val="auto"/>
          <w:sz w:val="24"/>
          <w:highlight w:val="none"/>
        </w:rPr>
        <w:t>九、对本次采购提出询问、质疑、投诉，请按以下方式联系。</w:t>
      </w:r>
    </w:p>
    <w:p w14:paraId="2A3A3AA6">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1.采购人信息  </w:t>
      </w:r>
    </w:p>
    <w:p w14:paraId="02842C39">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 xml:space="preserve">东阳市巍山镇人民政府 </w:t>
      </w:r>
      <w:r>
        <w:rPr>
          <w:rFonts w:hint="eastAsia" w:ascii="宋体" w:hAnsi="宋体" w:cs="宋体"/>
          <w:color w:val="auto"/>
          <w:sz w:val="24"/>
          <w:highlight w:val="none"/>
        </w:rPr>
        <w:t xml:space="preserve">             </w:t>
      </w:r>
    </w:p>
    <w:p w14:paraId="4E1232AD">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东阳市巍山镇</w:t>
      </w:r>
    </w:p>
    <w:p w14:paraId="310A0BE8">
      <w:pPr>
        <w:keepNext w:val="0"/>
        <w:keepLines w:val="0"/>
        <w:pageBreakBefore w:val="0"/>
        <w:kinsoku/>
        <w:wordWrap/>
        <w:overflowPunct/>
        <w:topLinePunct w:val="0"/>
        <w:autoSpaceDE/>
        <w:autoSpaceDN/>
        <w:bidi w:val="0"/>
        <w:spacing w:line="360" w:lineRule="auto"/>
        <w:ind w:left="718" w:leftChars="342" w:firstLine="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王科</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联系方式：15057994335</w:t>
      </w:r>
      <w:r>
        <w:rPr>
          <w:rFonts w:hint="eastAsia" w:ascii="宋体" w:hAnsi="宋体" w:cs="宋体"/>
          <w:color w:val="auto"/>
          <w:sz w:val="24"/>
          <w:highlight w:val="none"/>
          <w:lang w:val="en-US" w:eastAsia="zh-CN"/>
        </w:rPr>
        <w:t xml:space="preserve"> </w:t>
      </w:r>
    </w:p>
    <w:p w14:paraId="27D24B6C">
      <w:pPr>
        <w:keepNext w:val="0"/>
        <w:keepLines w:val="0"/>
        <w:pageBreakBefore w:val="0"/>
        <w:kinsoku/>
        <w:wordWrap/>
        <w:overflowPunct/>
        <w:topLinePunct w:val="0"/>
        <w:autoSpaceDE/>
        <w:autoSpaceDN/>
        <w:bidi w:val="0"/>
        <w:spacing w:line="360" w:lineRule="auto"/>
        <w:ind w:left="718" w:leftChars="342" w:firstLine="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王科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质疑联系方式：15057994335</w:t>
      </w:r>
      <w:r>
        <w:rPr>
          <w:rFonts w:hint="eastAsia" w:ascii="宋体" w:hAnsi="宋体" w:cs="宋体"/>
          <w:color w:val="auto"/>
          <w:sz w:val="24"/>
          <w:highlight w:val="none"/>
          <w:lang w:val="en-US" w:eastAsia="zh-CN"/>
        </w:rPr>
        <w:t xml:space="preserve">  </w:t>
      </w:r>
    </w:p>
    <w:p w14:paraId="3C4B47E2">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2.采购代理机构信息</w:t>
      </w:r>
    </w:p>
    <w:p w14:paraId="39C20414">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 xml:space="preserve"> </w:t>
      </w:r>
    </w:p>
    <w:p w14:paraId="69604329">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东阳市白云街道富民路132号</w:t>
      </w:r>
      <w:r>
        <w:rPr>
          <w:rFonts w:hint="eastAsia" w:ascii="宋体" w:hAnsi="宋体" w:cs="宋体"/>
          <w:color w:val="auto"/>
          <w:sz w:val="24"/>
          <w:highlight w:val="none"/>
        </w:rPr>
        <w:t xml:space="preserve">    </w:t>
      </w:r>
    </w:p>
    <w:p w14:paraId="22BB94E3">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sz w:val="24"/>
          <w:highlight w:val="none"/>
          <w:lang w:val="en-US" w:eastAsia="zh-CN"/>
        </w:rPr>
        <w:t>蒋丹明</w:t>
      </w: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13958067689</w:t>
      </w:r>
    </w:p>
    <w:p w14:paraId="210B5B73">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bCs/>
          <w:sz w:val="24"/>
          <w:lang w:val="en-US" w:eastAsia="zh-CN"/>
        </w:rPr>
        <w:t>蒋群英</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w:t>
      </w:r>
      <w:r>
        <w:rPr>
          <w:rFonts w:hint="eastAsia" w:ascii="宋体" w:hAnsi="宋体" w:cs="宋体"/>
          <w:bCs/>
          <w:sz w:val="24"/>
          <w:lang w:val="en-US" w:eastAsia="zh-CN"/>
        </w:rPr>
        <w:t>19846616405</w:t>
      </w:r>
    </w:p>
    <w:p w14:paraId="7D188023">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3.同级政府采购监督管理部门：</w:t>
      </w:r>
    </w:p>
    <w:p w14:paraId="17F7FE74">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名称：东阳市财政局采监科             地址：东阳市人民路8号</w:t>
      </w:r>
    </w:p>
    <w:p w14:paraId="58CCF3DB">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监督投诉电话：0579-86662677</w:t>
      </w:r>
    </w:p>
    <w:p w14:paraId="58B3C39E">
      <w:pPr>
        <w:keepNext w:val="0"/>
        <w:keepLines w:val="0"/>
        <w:pageBreakBefore w:val="0"/>
        <w:kinsoku/>
        <w:wordWrap/>
        <w:overflowPunct/>
        <w:topLinePunct w:val="0"/>
        <w:autoSpaceDE/>
        <w:autoSpaceDN/>
        <w:bidi w:val="0"/>
        <w:snapToGrid w:val="0"/>
        <w:spacing w:line="360" w:lineRule="auto"/>
        <w:ind w:left="723" w:hanging="723" w:hangingChars="300"/>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附件：</w:t>
      </w:r>
      <w:r>
        <w:rPr>
          <w:rFonts w:hint="eastAsia" w:ascii="宋体" w:hAnsi="宋体" w:cs="宋体"/>
          <w:b/>
          <w:color w:val="auto"/>
          <w:sz w:val="24"/>
          <w:szCs w:val="20"/>
          <w:highlight w:val="none"/>
          <w:lang w:eastAsia="zh-CN"/>
        </w:rPr>
        <w:t>东阳市巍山镇金塘山塘综合整治工程（第三次）</w:t>
      </w:r>
      <w:r>
        <w:rPr>
          <w:rFonts w:hint="eastAsia" w:ascii="宋体" w:hAnsi="宋体" w:cs="宋体"/>
          <w:b/>
          <w:color w:val="auto"/>
          <w:sz w:val="24"/>
          <w:szCs w:val="20"/>
          <w:highlight w:val="none"/>
        </w:rPr>
        <w:t>磋商文件</w:t>
      </w:r>
    </w:p>
    <w:p w14:paraId="04BC0EEF">
      <w:pPr>
        <w:pStyle w:val="2"/>
        <w:keepNext w:val="0"/>
        <w:keepLines w:val="0"/>
        <w:pageBreakBefore w:val="0"/>
        <w:kinsoku/>
        <w:wordWrap/>
        <w:overflowPunct/>
        <w:topLinePunct w:val="0"/>
        <w:autoSpaceDE/>
        <w:autoSpaceDN/>
        <w:bidi w:val="0"/>
        <w:spacing w:line="360" w:lineRule="auto"/>
        <w:textAlignment w:val="auto"/>
        <w:rPr>
          <w:rFonts w:ascii="宋体" w:hAnsi="宋体" w:cs="宋体"/>
          <w:b/>
          <w:color w:val="auto"/>
          <w:sz w:val="24"/>
          <w:szCs w:val="20"/>
          <w:highlight w:val="none"/>
        </w:rPr>
      </w:pPr>
    </w:p>
    <w:p w14:paraId="4EF92244">
      <w:pPr>
        <w:keepNext w:val="0"/>
        <w:keepLines w:val="0"/>
        <w:pageBreakBefore w:val="0"/>
        <w:kinsoku/>
        <w:wordWrap/>
        <w:overflowPunct/>
        <w:topLinePunct w:val="0"/>
        <w:autoSpaceDE/>
        <w:autoSpaceDN/>
        <w:bidi w:val="0"/>
        <w:snapToGrid w:val="0"/>
        <w:spacing w:line="360" w:lineRule="auto"/>
        <w:ind w:left="4819" w:right="198" w:hanging="4819" w:hangingChars="2000"/>
        <w:textAlignment w:val="auto"/>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 xml:space="preserve">东阳市巍山镇人民政府 </w:t>
      </w:r>
      <w:r>
        <w:rPr>
          <w:rFonts w:hint="eastAsia" w:ascii="宋体" w:hAnsi="宋体" w:cs="宋体"/>
          <w:b/>
          <w:color w:val="auto"/>
          <w:sz w:val="24"/>
          <w:highlight w:val="none"/>
        </w:rPr>
        <w:t xml:space="preserve"> </w:t>
      </w:r>
    </w:p>
    <w:p w14:paraId="31DBA719">
      <w:pPr>
        <w:keepNext w:val="0"/>
        <w:keepLines w:val="0"/>
        <w:pageBreakBefore w:val="0"/>
        <w:kinsoku/>
        <w:wordWrap/>
        <w:overflowPunct/>
        <w:topLinePunct w:val="0"/>
        <w:autoSpaceDE/>
        <w:autoSpaceDN/>
        <w:bidi w:val="0"/>
        <w:snapToGrid w:val="0"/>
        <w:spacing w:line="360" w:lineRule="auto"/>
        <w:ind w:right="198" w:firstLine="5301" w:firstLineChars="2200"/>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中科标禾工程项目管理有限公司</w:t>
      </w:r>
    </w:p>
    <w:p w14:paraId="0B1E12AE">
      <w:pPr>
        <w:keepNext w:val="0"/>
        <w:keepLines w:val="0"/>
        <w:pageBreakBefore w:val="0"/>
        <w:kinsoku/>
        <w:wordWrap/>
        <w:overflowPunct/>
        <w:topLinePunct w:val="0"/>
        <w:autoSpaceDE/>
        <w:autoSpaceDN/>
        <w:bidi w:val="0"/>
        <w:snapToGrid w:val="0"/>
        <w:spacing w:line="360" w:lineRule="auto"/>
        <w:ind w:right="198" w:firstLine="6505" w:firstLineChars="2700"/>
        <w:textAlignment w:val="auto"/>
        <w:rPr>
          <w:rFonts w:ascii="宋体" w:hAnsi="宋体" w:cs="宋体"/>
          <w:b/>
          <w:color w:val="auto"/>
          <w:sz w:val="24"/>
          <w:highlight w:val="none"/>
        </w:rPr>
      </w:pPr>
      <w:r>
        <w:rPr>
          <w:rFonts w:hint="eastAsia" w:ascii="宋体" w:hAnsi="宋体" w:cs="宋体"/>
          <w:b/>
          <w:color w:val="auto"/>
          <w:sz w:val="24"/>
          <w:highlight w:val="none"/>
        </w:rPr>
        <w:t>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 xml:space="preserve"> 6  </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 xml:space="preserve"> 27 </w:t>
      </w:r>
      <w:r>
        <w:rPr>
          <w:rFonts w:hint="eastAsia" w:ascii="宋体" w:hAnsi="宋体" w:cs="宋体"/>
          <w:b/>
          <w:color w:val="auto"/>
          <w:sz w:val="24"/>
          <w:highlight w:val="none"/>
        </w:rPr>
        <w:t>日</w:t>
      </w:r>
    </w:p>
    <w:p w14:paraId="2532614A">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color w:val="auto"/>
          <w:kern w:val="0"/>
          <w:sz w:val="24"/>
          <w:highlight w:val="none"/>
        </w:rPr>
      </w:pPr>
    </w:p>
    <w:p w14:paraId="103F3F16">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color w:val="auto"/>
          <w:sz w:val="20"/>
          <w:szCs w:val="22"/>
          <w:highlight w:val="none"/>
        </w:rPr>
      </w:pPr>
      <w:r>
        <w:rPr>
          <w:rFonts w:hint="eastAsia" w:ascii="宋体" w:hAnsi="宋体" w:cs="宋体"/>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25CFAEE7">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cs="宋体"/>
          <w:color w:val="auto"/>
          <w:kern w:val="0"/>
          <w:sz w:val="22"/>
          <w:szCs w:val="22"/>
          <w:highlight w:val="none"/>
        </w:rPr>
        <w:sectPr>
          <w:headerReference r:id="rId4" w:type="first"/>
          <w:footerReference r:id="rId6" w:type="first"/>
          <w:headerReference r:id="rId3" w:type="default"/>
          <w:footerReference r:id="rId5" w:type="default"/>
          <w:pgSz w:w="11906" w:h="16838"/>
          <w:pgMar w:top="1276" w:right="1361" w:bottom="1247" w:left="1418" w:header="851" w:footer="992" w:gutter="0"/>
          <w:cols w:space="720" w:num="1"/>
          <w:docGrid w:linePitch="312" w:charSpace="0"/>
        </w:sectPr>
      </w:pPr>
      <w:r>
        <w:rPr>
          <w:rFonts w:hint="eastAsia" w:ascii="宋体" w:hAnsi="宋体" w:cs="宋体"/>
          <w:color w:val="auto"/>
          <w:kern w:val="0"/>
          <w:sz w:val="22"/>
          <w:szCs w:val="22"/>
          <w:highlight w:val="none"/>
        </w:rPr>
        <w:t>CA问题联系电话（人工）：汇信CA 400-888-4636；天谷CA 400-087-8198。</w:t>
      </w:r>
    </w:p>
    <w:p w14:paraId="31D1289B">
      <w:pPr>
        <w:pStyle w:val="22"/>
        <w:pageBreakBefore/>
        <w:snapToGrid w:val="0"/>
        <w:spacing w:before="120" w:after="120" w:line="360" w:lineRule="auto"/>
        <w:jc w:val="center"/>
        <w:outlineLvl w:val="0"/>
        <w:rPr>
          <w:rFonts w:ascii="宋体" w:hAnsi="宋体" w:cs="宋体"/>
          <w:b/>
          <w:color w:val="auto"/>
          <w:sz w:val="36"/>
          <w:szCs w:val="36"/>
          <w:highlight w:val="none"/>
        </w:rPr>
      </w:pPr>
      <w:bookmarkStart w:id="1" w:name="_Toc10851"/>
      <w:r>
        <w:rPr>
          <w:rFonts w:hint="eastAsia" w:ascii="宋体" w:hAnsi="宋体" w:cs="宋体"/>
          <w:b/>
          <w:color w:val="auto"/>
          <w:sz w:val="36"/>
          <w:szCs w:val="36"/>
          <w:highlight w:val="none"/>
        </w:rPr>
        <w:t>第二章  招标需求</w:t>
      </w:r>
      <w:bookmarkEnd w:id="1"/>
    </w:p>
    <w:p w14:paraId="7A125F9D">
      <w:pPr>
        <w:numPr>
          <w:ilvl w:val="0"/>
          <w:numId w:val="5"/>
        </w:numPr>
        <w:spacing w:line="360" w:lineRule="auto"/>
        <w:rPr>
          <w:rFonts w:ascii="宋体" w:hAnsi="宋体" w:cs="宋体"/>
          <w:color w:val="auto"/>
          <w:sz w:val="24"/>
          <w:highlight w:val="none"/>
        </w:rPr>
      </w:pPr>
      <w:r>
        <w:rPr>
          <w:rFonts w:hint="eastAsia" w:ascii="宋体" w:hAnsi="宋体" w:cs="宋体"/>
          <w:b/>
          <w:bCs/>
          <w:color w:val="auto"/>
          <w:sz w:val="24"/>
          <w:highlight w:val="none"/>
        </w:rPr>
        <w:t>项目编号：</w:t>
      </w:r>
      <w:r>
        <w:rPr>
          <w:rFonts w:hint="eastAsia" w:ascii="宋体" w:hAnsi="宋体" w:cs="宋体"/>
          <w:color w:val="auto"/>
          <w:sz w:val="24"/>
          <w:highlight w:val="none"/>
          <w:lang w:eastAsia="zh-CN"/>
        </w:rPr>
        <w:t>ZKBHZFCG2025-CS-003-2</w:t>
      </w:r>
    </w:p>
    <w:p w14:paraId="52276F35">
      <w:pPr>
        <w:numPr>
          <w:ilvl w:val="0"/>
          <w:numId w:val="5"/>
        </w:numPr>
        <w:spacing w:line="360" w:lineRule="auto"/>
        <w:rPr>
          <w:rFonts w:ascii="宋体" w:hAnsi="宋体" w:cs="宋体"/>
          <w:b/>
          <w:color w:val="auto"/>
          <w:sz w:val="24"/>
          <w:highlight w:val="none"/>
        </w:rPr>
      </w:pPr>
      <w:r>
        <w:rPr>
          <w:rFonts w:hint="eastAsia" w:ascii="宋体" w:hAnsi="宋体" w:cs="宋体"/>
          <w:b/>
          <w:bCs/>
          <w:color w:val="auto"/>
          <w:sz w:val="24"/>
          <w:highlight w:val="none"/>
        </w:rPr>
        <w:t>采购项目名称：</w:t>
      </w:r>
      <w:bookmarkStart w:id="2" w:name="_Toc495926918"/>
      <w:r>
        <w:rPr>
          <w:rFonts w:hint="eastAsia" w:ascii="宋体" w:hAnsi="宋体" w:cs="宋体"/>
          <w:color w:val="auto"/>
          <w:sz w:val="24"/>
          <w:highlight w:val="none"/>
          <w:lang w:eastAsia="zh-CN"/>
        </w:rPr>
        <w:t xml:space="preserve">东阳市巍山镇金塘山塘综合整治工程（第三次） </w:t>
      </w:r>
    </w:p>
    <w:tbl>
      <w:tblPr>
        <w:tblStyle w:val="38"/>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3010"/>
        <w:gridCol w:w="726"/>
        <w:gridCol w:w="1466"/>
        <w:gridCol w:w="1350"/>
        <w:gridCol w:w="2168"/>
      </w:tblGrid>
      <w:tr w14:paraId="584C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55" w:type="dxa"/>
            <w:vAlign w:val="center"/>
          </w:tcPr>
          <w:p w14:paraId="095FBB5E">
            <w:pPr>
              <w:widowControl/>
              <w:overflowPunct w:val="0"/>
              <w:autoSpaceDE w:val="0"/>
              <w:autoSpaceDN w:val="0"/>
              <w:adjustRightInd w:val="0"/>
              <w:spacing w:line="360" w:lineRule="auto"/>
              <w:jc w:val="center"/>
              <w:textAlignment w:val="baseline"/>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标项</w:t>
            </w:r>
          </w:p>
        </w:tc>
        <w:tc>
          <w:tcPr>
            <w:tcW w:w="3010" w:type="dxa"/>
            <w:vAlign w:val="center"/>
          </w:tcPr>
          <w:p w14:paraId="64E9EF17">
            <w:pPr>
              <w:widowControl/>
              <w:overflowPunct w:val="0"/>
              <w:autoSpaceDE w:val="0"/>
              <w:autoSpaceDN w:val="0"/>
              <w:adjustRightInd w:val="0"/>
              <w:spacing w:line="360" w:lineRule="auto"/>
              <w:jc w:val="center"/>
              <w:textAlignment w:val="baseline"/>
              <w:rPr>
                <w:rFonts w:ascii="宋体" w:hAnsi="宋体" w:cs="宋体"/>
                <w:b/>
                <w:color w:val="auto"/>
                <w:sz w:val="24"/>
                <w:highlight w:val="none"/>
              </w:rPr>
            </w:pPr>
            <w:r>
              <w:rPr>
                <w:rFonts w:hint="eastAsia" w:ascii="宋体" w:hAnsi="宋体"/>
                <w:b/>
                <w:bCs/>
                <w:color w:val="auto"/>
                <w:kern w:val="0"/>
                <w:sz w:val="24"/>
                <w:highlight w:val="none"/>
              </w:rPr>
              <w:t>采购内容</w:t>
            </w:r>
          </w:p>
        </w:tc>
        <w:tc>
          <w:tcPr>
            <w:tcW w:w="726" w:type="dxa"/>
            <w:vAlign w:val="center"/>
          </w:tcPr>
          <w:p w14:paraId="1DCDD399">
            <w:pPr>
              <w:widowControl/>
              <w:overflowPunct w:val="0"/>
              <w:autoSpaceDE w:val="0"/>
              <w:autoSpaceDN w:val="0"/>
              <w:adjustRightInd w:val="0"/>
              <w:spacing w:line="360" w:lineRule="auto"/>
              <w:jc w:val="center"/>
              <w:textAlignment w:val="baseline"/>
              <w:rPr>
                <w:rFonts w:ascii="宋体" w:hAnsi="宋体" w:cs="宋体"/>
                <w:b/>
                <w:color w:val="auto"/>
                <w:sz w:val="24"/>
                <w:highlight w:val="none"/>
              </w:rPr>
            </w:pPr>
            <w:r>
              <w:rPr>
                <w:rFonts w:hint="eastAsia" w:ascii="宋体" w:hAnsi="宋体"/>
                <w:b/>
                <w:bCs/>
                <w:color w:val="auto"/>
                <w:kern w:val="0"/>
                <w:sz w:val="24"/>
                <w:highlight w:val="none"/>
              </w:rPr>
              <w:t>数量</w:t>
            </w:r>
          </w:p>
        </w:tc>
        <w:tc>
          <w:tcPr>
            <w:tcW w:w="1466" w:type="dxa"/>
            <w:vAlign w:val="center"/>
          </w:tcPr>
          <w:p w14:paraId="4A259035">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lang w:eastAsia="zh-CN"/>
              </w:rPr>
            </w:pPr>
            <w:r>
              <w:rPr>
                <w:rFonts w:hint="eastAsia" w:ascii="宋体" w:hAnsi="宋体" w:eastAsia="宋体" w:cs="Times New Roman"/>
                <w:b/>
                <w:bCs/>
                <w:color w:val="auto"/>
                <w:kern w:val="0"/>
                <w:sz w:val="24"/>
                <w:highlight w:val="none"/>
              </w:rPr>
              <w:t>最高限价</w:t>
            </w:r>
            <w:r>
              <w:rPr>
                <w:rFonts w:hint="eastAsia" w:ascii="宋体" w:hAnsi="宋体" w:eastAsia="宋体" w:cs="Times New Roman"/>
                <w:b/>
                <w:bCs/>
                <w:color w:val="auto"/>
                <w:kern w:val="0"/>
                <w:sz w:val="24"/>
                <w:highlight w:val="none"/>
                <w:lang w:eastAsia="zh-CN"/>
              </w:rPr>
              <w:t>（</w:t>
            </w:r>
            <w:r>
              <w:rPr>
                <w:rFonts w:hint="eastAsia" w:ascii="宋体" w:hAnsi="宋体" w:eastAsia="宋体" w:cs="Times New Roman"/>
                <w:b/>
                <w:bCs/>
                <w:color w:val="auto"/>
                <w:kern w:val="0"/>
                <w:sz w:val="24"/>
                <w:highlight w:val="none"/>
                <w:lang w:val="en-US" w:eastAsia="zh-CN"/>
              </w:rPr>
              <w:t>万元</w:t>
            </w:r>
            <w:r>
              <w:rPr>
                <w:rFonts w:hint="eastAsia" w:ascii="宋体" w:hAnsi="宋体" w:eastAsia="宋体" w:cs="Times New Roman"/>
                <w:b/>
                <w:bCs/>
                <w:color w:val="auto"/>
                <w:kern w:val="0"/>
                <w:sz w:val="24"/>
                <w:highlight w:val="none"/>
                <w:lang w:eastAsia="zh-CN"/>
              </w:rPr>
              <w:t>）</w:t>
            </w:r>
          </w:p>
        </w:tc>
        <w:tc>
          <w:tcPr>
            <w:tcW w:w="1350" w:type="dxa"/>
            <w:vAlign w:val="center"/>
          </w:tcPr>
          <w:p w14:paraId="5532A64C">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rPr>
              <w:t>预算金额</w:t>
            </w:r>
            <w:r>
              <w:rPr>
                <w:rFonts w:hint="eastAsia" w:ascii="宋体" w:hAnsi="宋体" w:eastAsia="宋体" w:cs="Times New Roman"/>
                <w:b/>
                <w:bCs/>
                <w:color w:val="auto"/>
                <w:kern w:val="0"/>
                <w:sz w:val="24"/>
                <w:highlight w:val="none"/>
                <w:lang w:eastAsia="zh-CN"/>
              </w:rPr>
              <w:t>（</w:t>
            </w:r>
            <w:r>
              <w:rPr>
                <w:rFonts w:hint="eastAsia" w:ascii="宋体" w:hAnsi="宋体" w:eastAsia="宋体" w:cs="Times New Roman"/>
                <w:b/>
                <w:bCs/>
                <w:color w:val="auto"/>
                <w:kern w:val="0"/>
                <w:sz w:val="24"/>
                <w:highlight w:val="none"/>
                <w:lang w:val="en-US" w:eastAsia="zh-CN"/>
              </w:rPr>
              <w:t>万元</w:t>
            </w:r>
            <w:r>
              <w:rPr>
                <w:rFonts w:hint="eastAsia" w:ascii="宋体" w:hAnsi="宋体" w:eastAsia="宋体" w:cs="Times New Roman"/>
                <w:b/>
                <w:bCs/>
                <w:color w:val="auto"/>
                <w:kern w:val="0"/>
                <w:sz w:val="24"/>
                <w:highlight w:val="none"/>
                <w:lang w:eastAsia="zh-CN"/>
              </w:rPr>
              <w:t>）</w:t>
            </w:r>
          </w:p>
        </w:tc>
        <w:tc>
          <w:tcPr>
            <w:tcW w:w="2168" w:type="dxa"/>
            <w:vAlign w:val="center"/>
          </w:tcPr>
          <w:p w14:paraId="51C1EE5E">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lang w:val="en-US" w:eastAsia="zh-CN"/>
              </w:rPr>
            </w:pPr>
            <w:r>
              <w:rPr>
                <w:rFonts w:hint="eastAsia" w:ascii="宋体" w:hAnsi="宋体" w:cs="Times New Roman"/>
                <w:b/>
                <w:bCs/>
                <w:color w:val="auto"/>
                <w:kern w:val="0"/>
                <w:sz w:val="24"/>
                <w:highlight w:val="none"/>
                <w:lang w:val="en-US" w:eastAsia="zh-CN"/>
              </w:rPr>
              <w:t>备注</w:t>
            </w:r>
          </w:p>
        </w:tc>
      </w:tr>
      <w:tr w14:paraId="2300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55" w:type="dxa"/>
            <w:vAlign w:val="center"/>
          </w:tcPr>
          <w:p w14:paraId="30974DB4">
            <w:pPr>
              <w:widowControl/>
              <w:overflowPunct w:val="0"/>
              <w:autoSpaceDE w:val="0"/>
              <w:autoSpaceDN w:val="0"/>
              <w:adjustRightInd w:val="0"/>
              <w:spacing w:line="360" w:lineRule="auto"/>
              <w:jc w:val="center"/>
              <w:textAlignment w:val="baseline"/>
              <w:rPr>
                <w:rFonts w:hint="eastAsia" w:ascii="宋体" w:hAnsi="宋体" w:eastAsia="宋体" w:cs="宋体"/>
                <w:b/>
                <w:color w:val="auto"/>
                <w:kern w:val="2"/>
                <w:sz w:val="24"/>
                <w:szCs w:val="24"/>
                <w:highlight w:val="none"/>
                <w:lang w:val="en-US" w:eastAsia="zh-CN" w:bidi="ar-SA"/>
              </w:rPr>
            </w:pPr>
            <w:r>
              <w:rPr>
                <w:rFonts w:hint="eastAsia" w:ascii="宋体" w:hAnsi="宋体"/>
                <w:bCs/>
                <w:color w:val="auto"/>
                <w:kern w:val="0"/>
                <w:sz w:val="24"/>
                <w:highlight w:val="none"/>
                <w:lang w:val="en-US" w:eastAsia="zh-CN"/>
              </w:rPr>
              <w:t>一</w:t>
            </w:r>
          </w:p>
        </w:tc>
        <w:tc>
          <w:tcPr>
            <w:tcW w:w="3010" w:type="dxa"/>
            <w:vAlign w:val="center"/>
          </w:tcPr>
          <w:p w14:paraId="2382C5F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东阳市巍山镇金塘山塘综合整治工程（第三次）</w:t>
            </w:r>
          </w:p>
        </w:tc>
        <w:tc>
          <w:tcPr>
            <w:tcW w:w="726" w:type="dxa"/>
            <w:vAlign w:val="center"/>
          </w:tcPr>
          <w:p w14:paraId="475023D7">
            <w:pPr>
              <w:widowControl/>
              <w:overflowPunct w:val="0"/>
              <w:autoSpaceDE w:val="0"/>
              <w:autoSpaceDN w:val="0"/>
              <w:adjustRightInd w:val="0"/>
              <w:spacing w:line="36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1项</w:t>
            </w:r>
          </w:p>
        </w:tc>
        <w:tc>
          <w:tcPr>
            <w:tcW w:w="1466" w:type="dxa"/>
            <w:vAlign w:val="center"/>
          </w:tcPr>
          <w:p w14:paraId="68DC573D">
            <w:pPr>
              <w:widowControl/>
              <w:overflowPunct w:val="0"/>
              <w:autoSpaceDE w:val="0"/>
              <w:autoSpaceDN w:val="0"/>
              <w:adjustRightInd w:val="0"/>
              <w:spacing w:line="360" w:lineRule="auto"/>
              <w:jc w:val="center"/>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highlight w:val="none"/>
                <w:lang w:eastAsia="zh-CN"/>
              </w:rPr>
              <w:t>188.0032</w:t>
            </w:r>
          </w:p>
        </w:tc>
        <w:tc>
          <w:tcPr>
            <w:tcW w:w="1350" w:type="dxa"/>
            <w:vAlign w:val="center"/>
          </w:tcPr>
          <w:p w14:paraId="5A62E112">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204.7857</w:t>
            </w:r>
          </w:p>
        </w:tc>
        <w:tc>
          <w:tcPr>
            <w:tcW w:w="2168" w:type="dxa"/>
            <w:vAlign w:val="center"/>
          </w:tcPr>
          <w:p w14:paraId="0BC2B90B">
            <w:pPr>
              <w:spacing w:line="360" w:lineRule="auto"/>
              <w:jc w:val="center"/>
              <w:rPr>
                <w:rFonts w:hint="eastAsia" w:ascii="宋体" w:hAnsi="宋体" w:cs="宋体"/>
                <w:color w:val="auto"/>
                <w:sz w:val="24"/>
                <w:highlight w:val="green"/>
              </w:rPr>
            </w:pPr>
            <w:r>
              <w:rPr>
                <w:rFonts w:hint="eastAsia" w:ascii="宋体" w:hAnsi="宋体" w:cs="宋体"/>
                <w:sz w:val="24"/>
                <w:highlight w:val="none"/>
              </w:rPr>
              <w:t>本项目财政审定价为</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cs="宋体"/>
                <w:color w:val="auto"/>
                <w:sz w:val="24"/>
                <w:highlight w:val="none"/>
                <w:lang w:eastAsia="zh-CN"/>
              </w:rPr>
              <w:t>188.0032</w:t>
            </w:r>
            <w:r>
              <w:rPr>
                <w:rFonts w:hint="eastAsia" w:ascii="宋体" w:hAnsi="宋体" w:cs="宋体"/>
                <w:color w:val="auto"/>
                <w:sz w:val="24"/>
                <w:highlight w:val="none"/>
                <w:lang w:val="en-US" w:eastAsia="zh-CN"/>
              </w:rPr>
              <w:t>万</w:t>
            </w:r>
            <w:r>
              <w:rPr>
                <w:rFonts w:hint="eastAsia" w:ascii="宋体" w:hAnsi="宋体" w:cs="宋体"/>
                <w:sz w:val="24"/>
                <w:highlight w:val="none"/>
                <w:lang w:val="en-US" w:eastAsia="zh-CN"/>
              </w:rPr>
              <w:t>元</w:t>
            </w:r>
          </w:p>
        </w:tc>
      </w:tr>
    </w:tbl>
    <w:p w14:paraId="3CABD99F">
      <w:pPr>
        <w:spacing w:line="324" w:lineRule="auto"/>
        <w:rPr>
          <w:rFonts w:ascii="宋体" w:hAnsi="宋体" w:cs="宋体"/>
          <w:b/>
          <w:sz w:val="24"/>
          <w:szCs w:val="24"/>
        </w:rPr>
      </w:pPr>
      <w:r>
        <w:rPr>
          <w:rFonts w:hint="eastAsia" w:ascii="宋体" w:hAnsi="宋体" w:cs="宋体"/>
          <w:b/>
          <w:sz w:val="24"/>
          <w:szCs w:val="24"/>
        </w:rPr>
        <w:t>注：具体清单详见附件预算书。</w:t>
      </w:r>
    </w:p>
    <w:p w14:paraId="60F74405">
      <w:pPr>
        <w:numPr>
          <w:ilvl w:val="0"/>
          <w:numId w:val="0"/>
        </w:numPr>
        <w:spacing w:line="360" w:lineRule="auto"/>
        <w:ind w:leftChars="0"/>
        <w:rPr>
          <w:rFonts w:hint="eastAsia"/>
          <w:b/>
          <w:bCs/>
          <w:color w:val="auto"/>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w:t>
      </w:r>
      <w:r>
        <w:rPr>
          <w:rFonts w:hint="eastAsia" w:ascii="宋体" w:hAnsi="宋体" w:cs="宋体"/>
          <w:b/>
          <w:color w:val="auto"/>
          <w:sz w:val="24"/>
          <w:highlight w:val="none"/>
        </w:rPr>
        <w:t xml:space="preserve">内容  </w:t>
      </w:r>
    </w:p>
    <w:p w14:paraId="18342C25">
      <w:pPr>
        <w:pStyle w:val="35"/>
        <w:keepNext w:val="0"/>
        <w:keepLines w:val="0"/>
        <w:widowControl/>
        <w:suppressLineNumbers w:val="0"/>
        <w:spacing w:before="0" w:beforeAutospacing="0" w:after="0" w:afterAutospacing="0"/>
        <w:ind w:left="0" w:right="0" w:firstLine="0"/>
        <w:rPr>
          <w:rFonts w:hint="eastAsia" w:ascii="宋体" w:hAnsi="宋体" w:eastAsia="宋体" w:cs="新宋体"/>
          <w:sz w:val="24"/>
          <w:highlight w:val="none"/>
          <w:lang w:eastAsia="zh-CN"/>
        </w:rPr>
      </w:pPr>
      <w:r>
        <w:rPr>
          <w:rFonts w:hint="eastAsia"/>
          <w:b/>
          <w:bCs/>
          <w:color w:val="auto"/>
          <w:highlight w:val="none"/>
        </w:rPr>
        <w:t>（</w:t>
      </w:r>
      <w:r>
        <w:rPr>
          <w:rFonts w:hint="eastAsia"/>
          <w:b/>
          <w:bCs/>
          <w:color w:val="auto"/>
          <w:highlight w:val="none"/>
          <w:lang w:val="en-US" w:eastAsia="zh-CN"/>
        </w:rPr>
        <w:t>一</w:t>
      </w:r>
      <w:r>
        <w:rPr>
          <w:rFonts w:hint="eastAsia"/>
          <w:b/>
          <w:bCs/>
          <w:color w:val="auto"/>
          <w:highlight w:val="none"/>
        </w:rPr>
        <w:t>）</w:t>
      </w:r>
      <w:r>
        <w:rPr>
          <w:rFonts w:hint="eastAsia" w:ascii="宋体" w:hAnsi="宋体" w:eastAsia="宋体" w:cs="宋体"/>
          <w:b/>
          <w:bCs/>
          <w:color w:val="auto"/>
          <w:highlight w:val="none"/>
        </w:rPr>
        <w:t>工程概况</w:t>
      </w:r>
      <w:r>
        <w:rPr>
          <w:rFonts w:hint="eastAsia" w:ascii="宋体" w:hAnsi="宋体" w:eastAsia="宋体" w:cs="宋体"/>
          <w:b/>
          <w:bCs/>
          <w:color w:val="auto"/>
          <w:highlight w:val="none"/>
          <w:lang w:eastAsia="zh-CN"/>
        </w:rPr>
        <w:t>：</w:t>
      </w:r>
    </w:p>
    <w:p w14:paraId="6B0734A7">
      <w:pPr>
        <w:widowControl/>
        <w:spacing w:line="360" w:lineRule="auto"/>
        <w:ind w:firstLine="480" w:firstLineChars="200"/>
        <w:jc w:val="left"/>
        <w:rPr>
          <w:rFonts w:hint="eastAsia" w:ascii="宋体" w:hAnsi="宋体" w:cs="新宋体"/>
          <w:sz w:val="24"/>
          <w:szCs w:val="24"/>
          <w:lang w:eastAsia="zh-CN"/>
        </w:rPr>
      </w:pPr>
      <w:r>
        <w:rPr>
          <w:rFonts w:hint="eastAsia" w:ascii="宋体" w:hAnsi="宋体" w:cs="新宋体"/>
          <w:sz w:val="24"/>
          <w:szCs w:val="24"/>
        </w:rPr>
        <w:t>工程名称：</w:t>
      </w:r>
      <w:r>
        <w:rPr>
          <w:rFonts w:hint="eastAsia" w:ascii="宋体" w:hAnsi="宋体" w:cs="宋体"/>
          <w:color w:val="auto"/>
          <w:sz w:val="24"/>
          <w:highlight w:val="none"/>
          <w:lang w:eastAsia="zh-CN"/>
        </w:rPr>
        <w:t>东阳市巍山镇金塘山塘综合整治工程（第三次）</w:t>
      </w:r>
    </w:p>
    <w:p w14:paraId="356CD510">
      <w:pPr>
        <w:widowControl/>
        <w:spacing w:line="360" w:lineRule="auto"/>
        <w:ind w:firstLine="480" w:firstLineChars="200"/>
        <w:jc w:val="left"/>
        <w:rPr>
          <w:rFonts w:hint="eastAsia" w:ascii="宋体" w:hAnsi="宋体" w:cs="新宋体"/>
          <w:sz w:val="24"/>
          <w:szCs w:val="24"/>
        </w:rPr>
      </w:pPr>
      <w:r>
        <w:rPr>
          <w:rFonts w:hint="eastAsia" w:ascii="宋体" w:hAnsi="宋体" w:cs="新宋体"/>
          <w:sz w:val="24"/>
          <w:szCs w:val="24"/>
        </w:rPr>
        <w:t>建设单位：</w:t>
      </w:r>
      <w:r>
        <w:rPr>
          <w:rFonts w:hint="eastAsia" w:ascii="宋体" w:hAnsi="宋体" w:cs="宋体"/>
          <w:color w:val="auto"/>
          <w:sz w:val="24"/>
          <w:highlight w:val="none"/>
          <w:lang w:eastAsia="zh-CN"/>
        </w:rPr>
        <w:t>东阳市巍山镇人民政府</w:t>
      </w:r>
    </w:p>
    <w:p w14:paraId="292F747E">
      <w:pPr>
        <w:widowControl/>
        <w:spacing w:line="360" w:lineRule="auto"/>
        <w:ind w:firstLine="480" w:firstLineChars="200"/>
        <w:jc w:val="left"/>
        <w:rPr>
          <w:rFonts w:hint="default" w:ascii="宋体" w:hAnsi="宋体" w:eastAsia="宋体" w:cs="新宋体"/>
          <w:color w:val="auto"/>
          <w:sz w:val="24"/>
          <w:szCs w:val="24"/>
          <w:lang w:val="en-US"/>
        </w:rPr>
      </w:pPr>
      <w:r>
        <w:rPr>
          <w:rFonts w:hint="eastAsia" w:ascii="宋体" w:hAnsi="宋体" w:cs="新宋体"/>
          <w:color w:val="auto"/>
          <w:sz w:val="24"/>
          <w:szCs w:val="24"/>
        </w:rPr>
        <w:t>建设地点：</w:t>
      </w:r>
      <w:r>
        <w:rPr>
          <w:rFonts w:hint="eastAsia" w:ascii="宋体" w:hAnsi="宋体"/>
          <w:sz w:val="24"/>
          <w:lang w:eastAsia="zh-CN"/>
        </w:rPr>
        <w:t>东阳市巍山镇</w:t>
      </w:r>
    </w:p>
    <w:p w14:paraId="4CFBCDA4">
      <w:pPr>
        <w:spacing w:line="360" w:lineRule="auto"/>
        <w:ind w:firstLine="480" w:firstLineChars="200"/>
        <w:rPr>
          <w:rFonts w:hint="eastAsia" w:ascii="宋体" w:hAnsi="宋体" w:eastAsia="宋体" w:cs="新宋体"/>
          <w:color w:val="auto"/>
          <w:sz w:val="24"/>
          <w:szCs w:val="24"/>
          <w:highlight w:val="green"/>
        </w:rPr>
      </w:pPr>
      <w:r>
        <w:rPr>
          <w:rFonts w:hint="eastAsia" w:ascii="宋体" w:hAnsi="宋体" w:eastAsia="宋体" w:cs="新宋体"/>
          <w:color w:val="auto"/>
          <w:sz w:val="24"/>
          <w:szCs w:val="24"/>
          <w:highlight w:val="none"/>
        </w:rPr>
        <w:t>工程规模：主要建设内容为对大坝坝顶及左侧库岸岸顶整治、岸坡护砌，并采用黏土套井加帷幕灌浆进行防渗加固，改建溢洪道，对溢洪道新建挡墙、边坡及底板进行护砌，封堵原输水涵管，在右坝头基岩内采用非开挖水平定向钻进技术新建输水涵管及其配套启闭设施，增设水位观测、安全警示牌、责任牌等安全管理设施。</w:t>
      </w:r>
    </w:p>
    <w:p w14:paraId="1E0AC7EB">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服务</w:t>
      </w:r>
      <w:r>
        <w:rPr>
          <w:rFonts w:hint="eastAsia" w:ascii="宋体" w:hAnsi="宋体" w:eastAsia="宋体" w:cs="宋体"/>
          <w:b/>
          <w:bCs/>
          <w:color w:val="auto"/>
          <w:sz w:val="24"/>
          <w:highlight w:val="none"/>
        </w:rPr>
        <w:t>内容</w:t>
      </w:r>
      <w:r>
        <w:rPr>
          <w:rFonts w:hint="eastAsia" w:ascii="宋体" w:hAnsi="宋体" w:cs="宋体"/>
          <w:b/>
          <w:bCs/>
          <w:color w:val="auto"/>
          <w:sz w:val="24"/>
          <w:highlight w:val="none"/>
          <w:lang w:val="en-US" w:eastAsia="zh-CN"/>
        </w:rPr>
        <w:t>及要求</w:t>
      </w:r>
      <w:r>
        <w:rPr>
          <w:rFonts w:hint="eastAsia" w:ascii="宋体" w:hAnsi="宋体" w:eastAsia="宋体" w:cs="宋体"/>
          <w:b/>
          <w:bCs/>
          <w:color w:val="auto"/>
          <w:sz w:val="24"/>
          <w:highlight w:val="none"/>
        </w:rPr>
        <w:t>：</w:t>
      </w:r>
    </w:p>
    <w:bookmarkEnd w:id="2"/>
    <w:p w14:paraId="24067A48">
      <w:pPr>
        <w:pStyle w:val="22"/>
        <w:spacing w:line="360" w:lineRule="auto"/>
        <w:rPr>
          <w:rFonts w:hint="eastAsia" w:ascii="宋体" w:hAnsi="宋体" w:cs="宋体"/>
          <w:b/>
          <w:bCs/>
          <w:color w:val="auto"/>
          <w:sz w:val="24"/>
          <w:highlight w:val="none"/>
          <w:lang w:val="en-US" w:eastAsia="zh-CN"/>
        </w:rPr>
      </w:pPr>
      <w:bookmarkStart w:id="3" w:name="_Toc13703"/>
      <w:r>
        <w:rPr>
          <w:rFonts w:hint="eastAsia" w:ascii="宋体" w:hAnsi="宋体" w:cs="宋体"/>
          <w:b/>
          <w:bCs/>
          <w:color w:val="auto"/>
          <w:sz w:val="24"/>
          <w:highlight w:val="none"/>
          <w:lang w:val="en-US" w:eastAsia="zh-CN"/>
        </w:rPr>
        <w:t>1、工作内容：</w:t>
      </w:r>
    </w:p>
    <w:p w14:paraId="3B4CFE6C">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1.1按图纸设计内容进行施工（包括施工所需的所有工作）（详见附件）；</w:t>
      </w:r>
      <w:bookmarkStart w:id="108" w:name="_GoBack"/>
      <w:bookmarkEnd w:id="108"/>
    </w:p>
    <w:p w14:paraId="6210B24B">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1.2工程量：根据采购人提供的施工图纸、预算书等资料（详见附件）；</w:t>
      </w:r>
    </w:p>
    <w:p w14:paraId="67AE6436">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1.3工程造价包括一切与施工相关的材料、人工、检测、检验、税收等其它费用。</w:t>
      </w:r>
    </w:p>
    <w:p w14:paraId="0D118D5D">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▲2、项目质量及施工安全</w:t>
      </w:r>
    </w:p>
    <w:p w14:paraId="4942A66E">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2.1本项目所用材料应必须有合格证，工程质量以国家相关标准规范验收合格为准；</w:t>
      </w:r>
    </w:p>
    <w:p w14:paraId="02698C45">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 xml:space="preserve">2.2本项目采购人推荐的建材品牌详见工程预算书，实际施工时必须选用推荐品牌之一的材料，否则采购人有权拒绝使用。如遇特殊情况确需更换品牌时须经采购人书面同意，选用相当于或比推荐品牌高一档的材料，但价格不再调整。  </w:t>
      </w:r>
    </w:p>
    <w:p w14:paraId="6C68AE53">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2.3项目施工材料应按相关规定进行检验，合格后方可使用。</w:t>
      </w:r>
    </w:p>
    <w:p w14:paraId="5F2B4DB1">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2.4应按国家、行业现行规范进行施工。</w:t>
      </w:r>
    </w:p>
    <w:p w14:paraId="73A7E54D">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2.5施工过程应做好相关资料记录。</w:t>
      </w:r>
    </w:p>
    <w:p w14:paraId="1D840ECD">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2.6必须按相关规定接受采购人委托单位的监督和检查，并提供相关资料。</w:t>
      </w:r>
    </w:p>
    <w:p w14:paraId="54B57BEF">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2.7中标人在施工期间发生安全事故、人身安全和交通安全等大小事故，一切责任和经济补偿均由中标人负责,采购人不承担任何责任。</w:t>
      </w:r>
    </w:p>
    <w:p w14:paraId="150AAE24">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2.8中标人不服从采购人施工管理、施工管理不规范、安全质量达不到要求、不能在规定工期内完成等情形；采购人有权暂停或取消其施工资格。</w:t>
      </w:r>
    </w:p>
    <w:p w14:paraId="29AD4529">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2.9中标人应做好现场施工噪音、环境卫生、材料堆放、安全警示等工作，并负责施工期间与环保、交通城管等部门的沟通协调工作，做好现场秩序的维护，如因中标人原因受到处罚、赔款、纠纷或因此而引起采购人经济损失的，均由中标人承担责任。</w:t>
      </w:r>
    </w:p>
    <w:p w14:paraId="1DB8BF3F">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2.10工程质量以国家相关标准规范验收合格为准，如达不到约定的质量标准，采购人可要求中标人返工，直至达到约定的质量标准，并由中标人承担返工的一切费用。</w:t>
      </w:r>
    </w:p>
    <w:p w14:paraId="43DA6285">
      <w:pPr>
        <w:widowControl w:val="0"/>
        <w:spacing w:line="360" w:lineRule="auto"/>
        <w:ind w:firstLine="482" w:firstLineChars="200"/>
        <w:jc w:val="both"/>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 xml:space="preserve">3、对拟派项目班子的要求  </w:t>
      </w:r>
    </w:p>
    <w:p w14:paraId="7C81086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3.1</w:t>
      </w:r>
      <w:r>
        <w:rPr>
          <w:rFonts w:hint="eastAsia" w:ascii="宋体" w:hAnsi="宋体" w:eastAsia="宋体" w:cs="新宋体"/>
          <w:sz w:val="24"/>
        </w:rPr>
        <w:t>项目班子成员必须录入实名制管理平台：项目组成员必须每天到岗到位，实行人脸考勤，施工项目负责人每缺勤一天罚款5000元/天，管理人员每缺勤一天罚款1000元/天。到岗率低于50%或连续无故不到岗时，采购人有权终止合同，并追究因此给采购人造成的损失。在施工期间，采购人认为中标人所选派的施工项目负责人、管理人员的现场管理能力、水平不能满足工程建设需要时，有权要求中标人选换施工项目负责人、管理人员。中标人擅自更换施工项目负责人、管理人员的，分别罚款人民币10000元/人次、5000元/人次。</w:t>
      </w:r>
    </w:p>
    <w:p w14:paraId="300865D4">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除项目经理、技术负责人、安全员等无特殊情况不允许更换外，其余工程负责人如达不到业主要求的，须无条件更换，如施工单位自行需更换人员的，必须经采购人核准。</w:t>
      </w:r>
    </w:p>
    <w:p w14:paraId="1DF86E84">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中标人应按投标文件的承诺组建工程项目管理班子，参照《金华市建筑施工现场主要管理人员考勤预警管理办法》执行。</w:t>
      </w:r>
    </w:p>
    <w:p w14:paraId="62E77B22">
      <w:pPr>
        <w:pStyle w:val="28"/>
        <w:rPr>
          <w:rFonts w:hint="eastAsia"/>
          <w:lang w:val="en-US" w:eastAsia="zh-CN"/>
        </w:rPr>
      </w:pPr>
    </w:p>
    <w:p w14:paraId="004C9B0F">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三、商务条款及其他要求</w:t>
      </w:r>
    </w:p>
    <w:p w14:paraId="007B7147">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▲1、报价要求</w:t>
      </w:r>
    </w:p>
    <w:p w14:paraId="49D8AEA6">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1.1本合同为</w:t>
      </w:r>
      <w:r>
        <w:rPr>
          <w:rFonts w:hint="eastAsia" w:ascii="宋体" w:hAnsi="宋体" w:cs="宋体"/>
          <w:b w:val="0"/>
          <w:bCs w:val="0"/>
          <w:color w:val="auto"/>
          <w:sz w:val="24"/>
          <w:highlight w:val="green"/>
          <w:lang w:val="en-US" w:eastAsia="zh-CN"/>
        </w:rPr>
        <w:t>固定总价合同</w:t>
      </w:r>
      <w:r>
        <w:rPr>
          <w:rFonts w:hint="eastAsia" w:ascii="宋体" w:hAnsi="宋体" w:cs="宋体"/>
          <w:b w:val="0"/>
          <w:bCs w:val="0"/>
          <w:color w:val="auto"/>
          <w:sz w:val="24"/>
          <w:highlight w:val="none"/>
          <w:lang w:val="en-US" w:eastAsia="zh-CN"/>
        </w:rPr>
        <w:t>，其合同总价已包含采购人确认的施工图、磋商响应方报价所列内容及所涉及的各项风险费用，竣工结算时在完成本合同工程范围内不作调整。</w:t>
      </w:r>
    </w:p>
    <w:p w14:paraId="0006EF89">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磋商报价包括项目所需的人工费、材料费、交通费、机械费、装卸费、管理费、税金、招标代理费等与本项目相关的一切费用。供应商的磋商报价为供应商所能承受的整个项目的一次性最终最低报价，如有漏项，视同已包含在本项目磋商报价中。</w:t>
      </w:r>
    </w:p>
    <w:p w14:paraId="6797450A">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1.3供应商应自行勘察现场，工程风险由供应商自行承担，结合自身能力进行磋商报价。</w:t>
      </w:r>
    </w:p>
    <w:p w14:paraId="76332C7E">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2、付款方式  </w:t>
      </w:r>
    </w:p>
    <w:p w14:paraId="120388F6">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2.1</w:t>
      </w:r>
      <w:r>
        <w:rPr>
          <w:rFonts w:hint="eastAsia" w:ascii="宋体" w:hAnsi="宋体" w:cs="宋体"/>
          <w:b/>
          <w:bCs/>
          <w:sz w:val="24"/>
          <w:szCs w:val="24"/>
          <w:highlight w:val="none"/>
        </w:rPr>
        <w:t>合同生效以及具备实施条件后7个工作日内支付合同价款</w:t>
      </w:r>
      <w:r>
        <w:rPr>
          <w:rFonts w:hint="eastAsia" w:ascii="宋体" w:hAnsi="宋体" w:cs="宋体"/>
          <w:b/>
          <w:bCs/>
          <w:sz w:val="24"/>
          <w:szCs w:val="24"/>
          <w:highlight w:val="none"/>
          <w:lang w:eastAsia="zh-CN"/>
        </w:rPr>
        <w:t>总额（扣除含税暂定价）</w:t>
      </w:r>
      <w:r>
        <w:rPr>
          <w:rFonts w:hint="eastAsia" w:ascii="宋体" w:hAnsi="宋体" w:cs="宋体"/>
          <w:b/>
          <w:bCs/>
          <w:sz w:val="24"/>
          <w:szCs w:val="24"/>
          <w:highlight w:val="none"/>
        </w:rPr>
        <w:t>的</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0%作为预付款</w:t>
      </w:r>
      <w:r>
        <w:rPr>
          <w:rFonts w:hint="eastAsia" w:ascii="宋体" w:hAnsi="宋体" w:cs="宋体"/>
          <w:b/>
          <w:bCs/>
          <w:color w:val="auto"/>
          <w:sz w:val="24"/>
          <w:highlight w:val="none"/>
          <w:lang w:val="en-US" w:eastAsia="zh-CN"/>
        </w:rPr>
        <w:t>（合同签订时，供应商明确表示无需预付款或主动降低预付款比例的，采购人可不适用前述规定；采购人根据项目特点、供应商诚信等因素，可以要求中标人提交预付款保函）；</w:t>
      </w:r>
    </w:p>
    <w:p w14:paraId="5B9E2714">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2.2</w:t>
      </w:r>
      <w:r>
        <w:rPr>
          <w:rFonts w:hint="eastAsia" w:ascii="宋体" w:hAnsi="宋体"/>
          <w:b/>
          <w:bCs/>
          <w:color w:val="auto"/>
          <w:sz w:val="24"/>
          <w:highlight w:val="none"/>
        </w:rPr>
        <w:t>全部工程完工后</w:t>
      </w:r>
      <w:r>
        <w:rPr>
          <w:rFonts w:hint="eastAsia" w:ascii="宋体" w:hAnsi="宋体"/>
          <w:b/>
          <w:bCs/>
          <w:color w:val="auto"/>
          <w:sz w:val="24"/>
          <w:highlight w:val="none"/>
          <w:lang w:val="en-US" w:eastAsia="zh-CN"/>
        </w:rPr>
        <w:t>在7个工作日内</w:t>
      </w:r>
      <w:r>
        <w:rPr>
          <w:rFonts w:hint="eastAsia" w:ascii="宋体" w:hAnsi="宋体"/>
          <w:b/>
          <w:bCs/>
          <w:color w:val="auto"/>
          <w:sz w:val="24"/>
          <w:highlight w:val="none"/>
        </w:rPr>
        <w:t>支付至合同价款的85%</w:t>
      </w:r>
      <w:r>
        <w:rPr>
          <w:rFonts w:hint="eastAsia" w:ascii="宋体" w:hAnsi="宋体"/>
          <w:b/>
          <w:bCs/>
          <w:color w:val="auto"/>
          <w:sz w:val="24"/>
          <w:highlight w:val="none"/>
          <w:lang w:eastAsia="zh-CN"/>
        </w:rPr>
        <w:t>；</w:t>
      </w:r>
    </w:p>
    <w:p w14:paraId="7150638F">
      <w:pPr>
        <w:pStyle w:val="22"/>
        <w:spacing w:line="360" w:lineRule="auto"/>
        <w:rPr>
          <w:rFonts w:hint="eastAsia" w:ascii="宋体" w:hAnsi="宋体"/>
          <w:b/>
          <w:bCs/>
          <w:color w:val="auto"/>
          <w:sz w:val="24"/>
          <w:highlight w:val="none"/>
        </w:rPr>
      </w:pPr>
      <w:r>
        <w:rPr>
          <w:rFonts w:hint="eastAsia" w:ascii="宋体" w:hAnsi="宋体" w:cs="宋体"/>
          <w:b/>
          <w:bCs/>
          <w:color w:val="auto"/>
          <w:sz w:val="24"/>
          <w:highlight w:val="none"/>
          <w:lang w:val="en-US" w:eastAsia="zh-CN"/>
        </w:rPr>
        <w:t>2.3</w:t>
      </w:r>
      <w:r>
        <w:rPr>
          <w:rFonts w:hint="eastAsia" w:ascii="宋体" w:hAnsi="宋体"/>
          <w:b/>
          <w:bCs/>
          <w:sz w:val="24"/>
          <w:szCs w:val="24"/>
          <w:highlight w:val="none"/>
        </w:rPr>
        <w:t>工程竣工验收合格并</w:t>
      </w:r>
      <w:r>
        <w:rPr>
          <w:rFonts w:hint="eastAsia" w:ascii="宋体" w:hAnsi="宋体"/>
          <w:b/>
          <w:bCs/>
          <w:sz w:val="24"/>
          <w:szCs w:val="24"/>
          <w:highlight w:val="none"/>
          <w:lang w:eastAsia="zh-CN"/>
        </w:rPr>
        <w:t>在供应商提交相关付款凭证后</w:t>
      </w:r>
      <w:r>
        <w:rPr>
          <w:rFonts w:hint="eastAsia" w:ascii="宋体" w:hAnsi="宋体"/>
          <w:b/>
          <w:bCs/>
          <w:color w:val="auto"/>
          <w:sz w:val="24"/>
          <w:highlight w:val="none"/>
        </w:rPr>
        <w:t>7个工作日内支付至合同价款的100%。</w:t>
      </w:r>
    </w:p>
    <w:p w14:paraId="2D9A099C">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 3、项目工期及项目地点</w:t>
      </w:r>
    </w:p>
    <w:p w14:paraId="32D92BC0">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3.1项目工期：180日历天；</w:t>
      </w:r>
      <w:r>
        <w:rPr>
          <w:rFonts w:hint="eastAsia" w:ascii="宋体" w:hAnsi="宋体" w:cs="宋体"/>
          <w:b w:val="0"/>
          <w:bCs w:val="0"/>
          <w:color w:val="auto"/>
          <w:sz w:val="24"/>
          <w:highlight w:val="none"/>
          <w:lang w:val="en-US" w:eastAsia="zh-CN"/>
        </w:rPr>
        <w:t>每延迟一天罚1000元，限额为合同总价的 1 %。如果实际施工工期提前于合同工期，采购人不给予奖励。如因采购人原因造成工期延误，工期顺延。</w:t>
      </w:r>
    </w:p>
    <w:p w14:paraId="382FDEFF">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3.2项目地点：</w:t>
      </w:r>
      <w:r>
        <w:rPr>
          <w:rFonts w:hint="eastAsia" w:ascii="宋体" w:hAnsi="宋体" w:cs="宋体"/>
          <w:b w:val="0"/>
          <w:bCs w:val="0"/>
          <w:color w:val="auto"/>
          <w:sz w:val="24"/>
          <w:highlight w:val="none"/>
          <w:lang w:val="en-US" w:eastAsia="zh-CN"/>
        </w:rPr>
        <w:t>按采购人指定地点。</w:t>
      </w:r>
    </w:p>
    <w:p w14:paraId="76F09EA3">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▲4、施工质保期：二年，自验收合格之日起计算</w:t>
      </w:r>
      <w:r>
        <w:rPr>
          <w:rFonts w:hint="eastAsia" w:ascii="宋体" w:hAnsi="宋体" w:cs="宋体"/>
          <w:b w:val="0"/>
          <w:bCs w:val="0"/>
          <w:color w:val="auto"/>
          <w:sz w:val="24"/>
          <w:highlight w:val="none"/>
          <w:lang w:val="en-US" w:eastAsia="zh-CN"/>
        </w:rPr>
        <w:t>。</w:t>
      </w:r>
    </w:p>
    <w:p w14:paraId="110B3503">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四、验收</w:t>
      </w:r>
    </w:p>
    <w:p w14:paraId="35AD8FFC">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AA2BD9">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2、采购人可以邀请参加本项目的其他供应商或者第三方机构参与验收。参与验收的供应商或者第三方机构的意见作为验收书的参考资料一并存档。</w:t>
      </w:r>
    </w:p>
    <w:p w14:paraId="5535CAC6">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8280DE">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4、采购人原则上应当在履约验收之日起2个工作日内，将履约验收结果在浙江政府采购网上公告。</w:t>
      </w:r>
    </w:p>
    <w:p w14:paraId="064BA679">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5、验收合格的项目，采购人将根据采购合同的约定及时向供应商支付采购资金、退还履约保证金。</w:t>
      </w:r>
    </w:p>
    <w:p w14:paraId="59D0D1F7">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0ECFD18">
      <w:pPr>
        <w:pStyle w:val="22"/>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6、验收费用由中标单位支付。</w:t>
      </w:r>
    </w:p>
    <w:p w14:paraId="703DEC88">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五、合同的签订</w:t>
      </w:r>
    </w:p>
    <w:p w14:paraId="169A9092">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中标单位在收到《中标通知书》后20日内与东阳市巍山镇人民政府签订合同。</w:t>
      </w:r>
    </w:p>
    <w:p w14:paraId="096D1290">
      <w:pPr>
        <w:adjustRightInd w:val="0"/>
        <w:spacing w:line="400" w:lineRule="exact"/>
        <w:jc w:val="left"/>
        <w:rPr>
          <w:rFonts w:hint="default" w:ascii="宋体" w:hAnsi="宋体" w:cs="Times New Roman"/>
          <w:b/>
          <w:bCs/>
          <w:color w:val="auto"/>
          <w:kern w:val="2"/>
          <w:sz w:val="24"/>
          <w:szCs w:val="24"/>
          <w:highlight w:val="none"/>
          <w:lang w:eastAsia="zh-CN" w:bidi="ar-SA"/>
        </w:rPr>
      </w:pPr>
      <w:r>
        <w:rPr>
          <w:rFonts w:hint="eastAsia" w:ascii="宋体" w:hAnsi="宋体" w:cs="Times New Roman"/>
          <w:b/>
          <w:bCs/>
          <w:color w:val="auto"/>
          <w:kern w:val="2"/>
          <w:sz w:val="24"/>
          <w:szCs w:val="24"/>
          <w:highlight w:val="none"/>
          <w:lang w:val="en-US" w:eastAsia="zh-CN" w:bidi="ar-SA"/>
        </w:rPr>
        <w:t>六、</w:t>
      </w:r>
      <w:r>
        <w:rPr>
          <w:rFonts w:hint="eastAsia" w:ascii="宋体" w:hAnsi="宋体" w:eastAsia="宋体" w:cs="Times New Roman"/>
          <w:b/>
          <w:bCs/>
          <w:color w:val="auto"/>
          <w:kern w:val="2"/>
          <w:sz w:val="24"/>
          <w:szCs w:val="24"/>
          <w:highlight w:val="none"/>
          <w:lang w:val="en-US" w:eastAsia="zh-CN" w:bidi="ar-SA"/>
        </w:rPr>
        <w:t>农</w:t>
      </w:r>
      <w:r>
        <w:rPr>
          <w:rFonts w:hint="default" w:ascii="宋体" w:hAnsi="宋体" w:eastAsia="宋体" w:cs="Times New Roman"/>
          <w:b/>
          <w:bCs/>
          <w:color w:val="auto"/>
          <w:kern w:val="2"/>
          <w:sz w:val="24"/>
          <w:szCs w:val="24"/>
          <w:highlight w:val="none"/>
          <w:lang w:val="en-US" w:eastAsia="zh-CN" w:bidi="ar-SA"/>
        </w:rPr>
        <w:t>民工工资相关</w:t>
      </w:r>
      <w:r>
        <w:rPr>
          <w:rFonts w:hint="default" w:ascii="宋体" w:hAnsi="宋体" w:cs="Times New Roman"/>
          <w:b/>
          <w:bCs/>
          <w:color w:val="auto"/>
          <w:kern w:val="2"/>
          <w:sz w:val="24"/>
          <w:szCs w:val="24"/>
          <w:highlight w:val="none"/>
          <w:lang w:eastAsia="zh-CN" w:bidi="ar-SA"/>
        </w:rPr>
        <w:t>要求：</w:t>
      </w:r>
    </w:p>
    <w:p w14:paraId="411B244E">
      <w:pPr>
        <w:adjustRightInd w:val="0"/>
        <w:spacing w:line="400" w:lineRule="exact"/>
        <w:ind w:firstLine="240" w:firstLineChars="1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农</w:t>
      </w:r>
      <w:r>
        <w:rPr>
          <w:rFonts w:hint="default" w:ascii="宋体" w:hAnsi="宋体" w:eastAsia="宋体" w:cs="Times New Roman"/>
          <w:color w:val="auto"/>
          <w:kern w:val="2"/>
          <w:sz w:val="24"/>
          <w:szCs w:val="24"/>
          <w:highlight w:val="none"/>
          <w:lang w:val="en-US" w:eastAsia="zh-CN" w:bidi="ar-SA"/>
        </w:rPr>
        <w:t>民工工资相关的管理、认定、支付等事项按按东阳市根治欠薪工作领导小组办公室《关于落实“两备案一承诺”制度的通知》文件执行。施工单位应按时支付农民工工资</w:t>
      </w:r>
      <w:r>
        <w:rPr>
          <w:rFonts w:hint="eastAsia" w:ascii="宋体" w:hAnsi="宋体" w:eastAsia="宋体" w:cs="Times New Roman"/>
          <w:color w:val="auto"/>
          <w:kern w:val="2"/>
          <w:sz w:val="24"/>
          <w:szCs w:val="24"/>
          <w:highlight w:val="none"/>
          <w:lang w:val="en-US" w:eastAsia="zh-CN" w:bidi="ar-SA"/>
        </w:rPr>
        <w:t>。</w:t>
      </w:r>
    </w:p>
    <w:p w14:paraId="7E57707B">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6B01F450">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087A61A7">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2B46F3D1">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27B076F3">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497A2D60">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0C202D0D">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0AFD093C">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336E8945">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560F25FA">
      <w:pPr>
        <w:adjustRightInd w:val="0"/>
        <w:spacing w:line="400" w:lineRule="exact"/>
        <w:jc w:val="left"/>
        <w:rPr>
          <w:rFonts w:hint="eastAsia" w:ascii="宋体" w:hAnsi="宋体" w:cs="宋体"/>
          <w:color w:val="auto"/>
          <w:sz w:val="24"/>
          <w:szCs w:val="24"/>
          <w:highlight w:val="none"/>
        </w:rPr>
      </w:pPr>
    </w:p>
    <w:p w14:paraId="3842CD30">
      <w:pPr>
        <w:adjustRightInd w:val="0"/>
        <w:spacing w:line="400" w:lineRule="exact"/>
        <w:ind w:firstLine="3600" w:firstLineChars="1500"/>
        <w:jc w:val="left"/>
        <w:rPr>
          <w:rFonts w:hint="eastAsia" w:ascii="宋体" w:hAnsi="宋体" w:cs="宋体"/>
          <w:color w:val="auto"/>
          <w:sz w:val="24"/>
          <w:szCs w:val="24"/>
          <w:highlight w:val="none"/>
        </w:rPr>
      </w:pPr>
    </w:p>
    <w:p w14:paraId="5FC83FA5">
      <w:pPr>
        <w:pStyle w:val="2"/>
        <w:rPr>
          <w:rFonts w:hint="eastAsia" w:ascii="宋体" w:hAnsi="宋体" w:cs="宋体"/>
          <w:color w:val="auto"/>
          <w:sz w:val="24"/>
          <w:szCs w:val="24"/>
          <w:highlight w:val="none"/>
        </w:rPr>
      </w:pPr>
    </w:p>
    <w:p w14:paraId="2EC9FDDF">
      <w:pPr>
        <w:pStyle w:val="3"/>
        <w:rPr>
          <w:rFonts w:hint="eastAsia" w:ascii="宋体" w:hAnsi="宋体" w:cs="宋体"/>
          <w:color w:val="auto"/>
          <w:sz w:val="24"/>
          <w:szCs w:val="24"/>
          <w:highlight w:val="none"/>
        </w:rPr>
      </w:pPr>
    </w:p>
    <w:p w14:paraId="436BE9C9">
      <w:pPr>
        <w:pStyle w:val="3"/>
        <w:rPr>
          <w:rFonts w:hint="eastAsia" w:ascii="宋体" w:hAnsi="宋体" w:cs="宋体"/>
          <w:color w:val="auto"/>
          <w:sz w:val="24"/>
          <w:szCs w:val="24"/>
          <w:highlight w:val="none"/>
        </w:rPr>
      </w:pPr>
    </w:p>
    <w:p w14:paraId="1360FF88">
      <w:pPr>
        <w:pStyle w:val="3"/>
        <w:rPr>
          <w:rFonts w:hint="eastAsia" w:ascii="宋体" w:hAnsi="宋体" w:cs="宋体"/>
          <w:color w:val="auto"/>
          <w:sz w:val="24"/>
          <w:szCs w:val="24"/>
          <w:highlight w:val="none"/>
        </w:rPr>
      </w:pPr>
    </w:p>
    <w:p w14:paraId="4266A657">
      <w:pPr>
        <w:pStyle w:val="3"/>
        <w:rPr>
          <w:rFonts w:hint="eastAsia" w:ascii="宋体" w:hAnsi="宋体" w:cs="宋体"/>
          <w:color w:val="auto"/>
          <w:sz w:val="24"/>
          <w:szCs w:val="24"/>
          <w:highlight w:val="none"/>
        </w:rPr>
      </w:pPr>
    </w:p>
    <w:p w14:paraId="354655CF">
      <w:pPr>
        <w:pStyle w:val="3"/>
        <w:rPr>
          <w:rFonts w:hint="eastAsia" w:ascii="宋体" w:hAnsi="宋体" w:cs="宋体"/>
          <w:color w:val="auto"/>
          <w:sz w:val="24"/>
          <w:szCs w:val="24"/>
          <w:highlight w:val="none"/>
        </w:rPr>
      </w:pPr>
    </w:p>
    <w:p w14:paraId="392DA4D5">
      <w:pPr>
        <w:pStyle w:val="3"/>
        <w:rPr>
          <w:rFonts w:hint="eastAsia" w:ascii="宋体" w:hAnsi="宋体" w:cs="宋体"/>
          <w:color w:val="auto"/>
          <w:sz w:val="24"/>
          <w:szCs w:val="24"/>
          <w:highlight w:val="none"/>
        </w:rPr>
      </w:pPr>
    </w:p>
    <w:p w14:paraId="70C06167">
      <w:pPr>
        <w:adjustRightInd w:val="0"/>
        <w:spacing w:line="400" w:lineRule="exact"/>
        <w:jc w:val="left"/>
        <w:rPr>
          <w:rFonts w:hint="eastAsia" w:ascii="宋体" w:hAnsi="宋体" w:cs="宋体"/>
          <w:color w:val="auto"/>
          <w:sz w:val="24"/>
          <w:szCs w:val="24"/>
          <w:highlight w:val="none"/>
        </w:rPr>
      </w:pPr>
    </w:p>
    <w:p w14:paraId="3190B89E">
      <w:pPr>
        <w:adjustRightInd w:val="0"/>
        <w:spacing w:line="400" w:lineRule="exact"/>
        <w:ind w:firstLine="3614" w:firstLineChars="1000"/>
        <w:jc w:val="both"/>
        <w:rPr>
          <w:rFonts w:ascii="宋体" w:hAnsi="宋体" w:cs="宋体"/>
          <w:b/>
          <w:bCs/>
          <w:color w:val="auto"/>
          <w:kern w:val="0"/>
          <w:sz w:val="36"/>
          <w:szCs w:val="36"/>
          <w:highlight w:val="none"/>
        </w:rPr>
      </w:pPr>
      <w:r>
        <w:rPr>
          <w:rFonts w:hint="eastAsia" w:ascii="宋体" w:hAnsi="宋体" w:cs="宋体"/>
          <w:b/>
          <w:bCs/>
          <w:color w:val="auto"/>
          <w:sz w:val="36"/>
          <w:szCs w:val="36"/>
          <w:highlight w:val="none"/>
        </w:rPr>
        <w:t>第三章   供应商须知</w:t>
      </w:r>
      <w:bookmarkEnd w:id="3"/>
    </w:p>
    <w:p w14:paraId="4AF4DE25">
      <w:pPr>
        <w:pStyle w:val="22"/>
        <w:snapToGrid w:val="0"/>
        <w:spacing w:before="120" w:after="120"/>
        <w:ind w:firstLine="4578" w:firstLineChars="1900"/>
        <w:jc w:val="both"/>
        <w:outlineLvl w:val="1"/>
        <w:rPr>
          <w:rFonts w:hint="eastAsia" w:ascii="宋体" w:hAnsi="宋体" w:cs="宋体"/>
          <w:b/>
          <w:color w:val="auto"/>
          <w:szCs w:val="24"/>
          <w:highlight w:val="none"/>
        </w:rPr>
      </w:pPr>
      <w:bookmarkStart w:id="4" w:name="_Toc24216"/>
      <w:r>
        <w:rPr>
          <w:rFonts w:hint="eastAsia" w:ascii="宋体" w:hAnsi="宋体" w:cs="宋体"/>
          <w:b/>
          <w:color w:val="auto"/>
          <w:szCs w:val="24"/>
          <w:highlight w:val="none"/>
        </w:rPr>
        <w:t>前附表</w:t>
      </w:r>
      <w:bookmarkEnd w:id="4"/>
    </w:p>
    <w:p w14:paraId="2A8F0DBE">
      <w:pPr>
        <w:pStyle w:val="28"/>
      </w:pP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743"/>
      </w:tblGrid>
      <w:tr w14:paraId="34FD2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76CE1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743" w:type="dxa"/>
            <w:tcBorders>
              <w:top w:val="single" w:color="auto" w:sz="4" w:space="0"/>
              <w:left w:val="single" w:color="auto" w:sz="4" w:space="0"/>
              <w:bottom w:val="single" w:color="auto" w:sz="4" w:space="0"/>
              <w:right w:val="single" w:color="auto" w:sz="4" w:space="0"/>
            </w:tcBorders>
            <w:vAlign w:val="center"/>
          </w:tcPr>
          <w:p w14:paraId="6280EF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75BDF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4E61769">
            <w:pPr>
              <w:snapToGrid w:val="0"/>
              <w:spacing w:line="42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8743" w:type="dxa"/>
            <w:tcBorders>
              <w:top w:val="single" w:color="auto" w:sz="4" w:space="0"/>
              <w:left w:val="single" w:color="auto" w:sz="4" w:space="0"/>
              <w:bottom w:val="single" w:color="auto" w:sz="4" w:space="0"/>
              <w:right w:val="single" w:color="auto" w:sz="4" w:space="0"/>
            </w:tcBorders>
            <w:vAlign w:val="center"/>
          </w:tcPr>
          <w:p w14:paraId="2FA793A5">
            <w:pPr>
              <w:snapToGrid w:val="0"/>
              <w:spacing w:line="420" w:lineRule="exact"/>
              <w:jc w:val="left"/>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东阳市巍山镇金塘山塘综合整治工程（第三次）</w:t>
            </w:r>
          </w:p>
        </w:tc>
      </w:tr>
      <w:tr w14:paraId="7C164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35C181F">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743" w:type="dxa"/>
            <w:tcBorders>
              <w:top w:val="single" w:color="auto" w:sz="4" w:space="0"/>
              <w:left w:val="single" w:color="auto" w:sz="4" w:space="0"/>
              <w:bottom w:val="single" w:color="auto" w:sz="4" w:space="0"/>
              <w:right w:val="single" w:color="auto" w:sz="4" w:space="0"/>
            </w:tcBorders>
            <w:vAlign w:val="center"/>
          </w:tcPr>
          <w:p w14:paraId="3D0DB248">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磋商报价及费用：1、本项目磋商应以</w:t>
            </w:r>
            <w:r>
              <w:rPr>
                <w:rFonts w:hint="eastAsia" w:ascii="宋体" w:hAnsi="宋体"/>
                <w:color w:val="auto"/>
                <w:sz w:val="24"/>
                <w:highlight w:val="none"/>
              </w:rPr>
              <w:t>人民币</w:t>
            </w:r>
            <w:r>
              <w:rPr>
                <w:rFonts w:hint="eastAsia" w:ascii="宋体" w:hAnsi="宋体" w:cs="宋体"/>
                <w:color w:val="auto"/>
                <w:sz w:val="24"/>
                <w:highlight w:val="none"/>
              </w:rPr>
              <w:t>报价；2、不论磋商结果如何，供应商均应自行承担所有与磋商有关的全部费用；3、磋商费用：</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按照本磋商文件总则第（五）条规定向中标人收取中标服务费。</w:t>
            </w:r>
          </w:p>
        </w:tc>
      </w:tr>
      <w:tr w14:paraId="19B1F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225A5AB">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743" w:type="dxa"/>
            <w:tcBorders>
              <w:top w:val="single" w:color="auto" w:sz="4" w:space="0"/>
              <w:left w:val="single" w:color="auto" w:sz="4" w:space="0"/>
              <w:bottom w:val="single" w:color="auto" w:sz="4" w:space="0"/>
              <w:right w:val="single" w:color="auto" w:sz="4" w:space="0"/>
            </w:tcBorders>
            <w:vAlign w:val="center"/>
          </w:tcPr>
          <w:p w14:paraId="5E0D2C00">
            <w:pPr>
              <w:snapToGrid w:val="0"/>
              <w:spacing w:line="420" w:lineRule="exact"/>
              <w:rPr>
                <w:rFonts w:ascii="宋体" w:hAnsi="宋体" w:cs="宋体"/>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w:t>
            </w:r>
            <w:r>
              <w:rPr>
                <w:rFonts w:ascii="宋体" w:hAnsi="宋体" w:cs="宋体"/>
                <w:b/>
                <w:bCs/>
                <w:color w:val="auto"/>
                <w:sz w:val="24"/>
                <w:highlight w:val="none"/>
                <w:u w:val="single"/>
              </w:rPr>
              <w:t>建筑业</w:t>
            </w:r>
            <w:r>
              <w:rPr>
                <w:rFonts w:hint="eastAsia" w:ascii="宋体" w:hAnsi="宋体" w:cs="宋体"/>
                <w:b/>
                <w:bCs/>
                <w:color w:val="auto"/>
                <w:sz w:val="24"/>
                <w:highlight w:val="none"/>
                <w:lang w:eastAsia="zh-CN"/>
              </w:rPr>
              <w:t>；</w:t>
            </w:r>
            <w:r>
              <w:rPr>
                <w:rFonts w:hint="eastAsia" w:ascii="宋体" w:hAnsi="宋体" w:cs="宋体"/>
                <w:b/>
                <w:bCs/>
                <w:sz w:val="24"/>
              </w:rPr>
              <w:t>本项目类型：</w:t>
            </w:r>
            <w:r>
              <w:rPr>
                <w:rFonts w:hint="eastAsia" w:ascii="宋体" w:hAnsi="宋体" w:cs="宋体"/>
                <w:b/>
                <w:bCs/>
                <w:sz w:val="24"/>
                <w:lang w:val="en-US" w:eastAsia="zh-CN"/>
              </w:rPr>
              <w:t>工程</w:t>
            </w:r>
            <w:r>
              <w:rPr>
                <w:rFonts w:hint="eastAsia" w:ascii="宋体" w:hAnsi="宋体" w:cs="宋体"/>
                <w:b/>
                <w:bCs/>
                <w:sz w:val="24"/>
              </w:rPr>
              <w:t>类；采购标的</w:t>
            </w:r>
            <w:r>
              <w:rPr>
                <w:rFonts w:hint="eastAsia" w:ascii="宋体" w:hAnsi="宋体" w:eastAsia="宋体" w:cs="宋体"/>
                <w:b/>
                <w:bCs/>
                <w:sz w:val="24"/>
              </w:rPr>
              <w:t>为：</w:t>
            </w:r>
            <w:r>
              <w:rPr>
                <w:rFonts w:hint="eastAsia" w:ascii="宋体" w:hAnsi="宋体" w:cs="宋体"/>
                <w:b/>
                <w:bCs/>
                <w:color w:val="auto"/>
                <w:sz w:val="24"/>
                <w:highlight w:val="none"/>
                <w:lang w:eastAsia="zh-CN"/>
              </w:rPr>
              <w:t>东阳市巍山镇金塘山塘综合整治工程（第三次）</w:t>
            </w:r>
          </w:p>
        </w:tc>
      </w:tr>
      <w:tr w14:paraId="6569A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25FC8FA">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743" w:type="dxa"/>
            <w:tcBorders>
              <w:top w:val="single" w:color="auto" w:sz="4" w:space="0"/>
              <w:left w:val="single" w:color="auto" w:sz="4" w:space="0"/>
              <w:bottom w:val="single" w:color="auto" w:sz="4" w:space="0"/>
              <w:right w:val="single" w:color="auto" w:sz="4" w:space="0"/>
            </w:tcBorders>
            <w:vAlign w:val="center"/>
          </w:tcPr>
          <w:p w14:paraId="0EDE854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00E14B44">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684095E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7239EB7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77A062F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3C46870C">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289F7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32834FC">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743" w:type="dxa"/>
            <w:tcBorders>
              <w:top w:val="single" w:color="auto" w:sz="4" w:space="0"/>
              <w:left w:val="single" w:color="auto" w:sz="4" w:space="0"/>
              <w:bottom w:val="single" w:color="auto" w:sz="4" w:space="0"/>
              <w:right w:val="single" w:color="auto" w:sz="4" w:space="0"/>
            </w:tcBorders>
            <w:vAlign w:val="center"/>
          </w:tcPr>
          <w:p w14:paraId="50EE8975">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答疑与澄清：供应商如认为磋商文件表述不清晰、存在歧视性、排他性或者其他违法内容的，应当按照磋商公告第三、八条规定以书面形式要求招标方作出书面解释、澄清或者向招标方提出书面质疑；</w:t>
            </w:r>
            <w:r>
              <w:rPr>
                <w:rFonts w:hint="eastAsia" w:ascii="宋体" w:hAnsi="宋体" w:cs="宋体"/>
                <w:b/>
                <w:color w:val="auto"/>
                <w:sz w:val="24"/>
                <w:highlight w:val="none"/>
              </w:rPr>
              <w:t>在质疑截止时间前，未对磋商文件提出质疑时，视供应商对磋商文件的默认；</w:t>
            </w:r>
            <w:r>
              <w:rPr>
                <w:rFonts w:hint="eastAsia" w:ascii="宋体" w:hAnsi="宋体" w:cs="宋体"/>
                <w:color w:val="auto"/>
                <w:sz w:val="24"/>
                <w:highlight w:val="none"/>
              </w:rPr>
              <w:t>招标采购单位对已发出的磋商文件进行必要澄清、答复、修改或者补充的，在财政部门指定的政府采购信息发布媒体上发布更正公告，并以书面形式通知所有已获取磋商文件的供应商；答疑内容是磋商文件的组成部分；澄清或者修改的内容可能影响磋商响应文件编制的，应当在磋商截止时间至少5日前，以书面形式通知所有获取磋商文件的潜在供应商；不足5日的，顺延提交磋商响应文件的截止时间。</w:t>
            </w:r>
          </w:p>
        </w:tc>
      </w:tr>
      <w:tr w14:paraId="56E87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33B8734">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743" w:type="dxa"/>
            <w:tcBorders>
              <w:top w:val="single" w:color="auto" w:sz="4" w:space="0"/>
              <w:left w:val="single" w:color="auto" w:sz="4" w:space="0"/>
              <w:bottom w:val="single" w:color="auto" w:sz="4" w:space="0"/>
              <w:right w:val="single" w:color="auto" w:sz="4" w:space="0"/>
            </w:tcBorders>
            <w:vAlign w:val="center"/>
          </w:tcPr>
          <w:p w14:paraId="2E4D5895">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磋商响应文件的递交：</w:t>
            </w:r>
          </w:p>
          <w:p w14:paraId="7893A7F8">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本项目磋商响应文件由资格审查文件、商务技术文件和报价文件三部分组成。供应商应按以下方式递交磋商响应文件：</w:t>
            </w:r>
          </w:p>
          <w:p w14:paraId="1D85CB60">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▲1、本项目实行“网上磋商、电子评标”，供应商应于磋商截止时间前在“政采云”（电子交易平台）上传输、递交电子版磋商响应文件（包括资格审查文件、商务技术文件和报价文件）；</w:t>
            </w:r>
          </w:p>
          <w:p w14:paraId="3C900FE1">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磋商响应文件无法解密或解密失败，导致磋商无效的情况，供应商可以在磋商截止时间前将电子备份磋商响应文件（经政采云电子交易客户端和CA驱动制作出的后缀名为“bfbs”的加密电子备份磋商响应文件）发送至</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邮箱：</w:t>
            </w:r>
            <w:r>
              <w:rPr>
                <w:rFonts w:hint="eastAsia" w:ascii="宋体" w:hAnsi="宋体" w:cs="宋体"/>
                <w:color w:val="auto"/>
                <w:sz w:val="24"/>
                <w:highlight w:val="none"/>
                <w:lang w:val="en-US" w:eastAsia="zh-CN"/>
              </w:rPr>
              <w:t>783306875</w:t>
            </w:r>
            <w:r>
              <w:rPr>
                <w:rFonts w:hint="eastAsia" w:ascii="宋体" w:hAnsi="宋体" w:cs="宋体"/>
                <w:color w:val="auto"/>
                <w:sz w:val="24"/>
                <w:highlight w:val="none"/>
                <w:lang w:eastAsia="zh-CN"/>
              </w:rPr>
              <w:t>@qq.com</w:t>
            </w:r>
            <w:r>
              <w:rPr>
                <w:rFonts w:hint="eastAsia" w:ascii="宋体" w:hAnsi="宋体" w:cs="宋体"/>
                <w:color w:val="auto"/>
                <w:sz w:val="24"/>
                <w:highlight w:val="none"/>
              </w:rPr>
              <w:t>，逾期发送或发错后缀名的备份磋商响应文件将被视为无效；</w:t>
            </w:r>
          </w:p>
          <w:p w14:paraId="18F8B7C6">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3、供应商仅提交电子备份磋商响应文件的，磋商无效；</w:t>
            </w:r>
          </w:p>
          <w:p w14:paraId="1E9B336E">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4、本项目不强制供应商提交电子备份磋商响应文件；如在开评标时出现电子磋商响应文件无法解密或解密失败等情况，因供应商未提供电子备份磋商响应文件而造成磋商无效等一切后果和风险由供应商自行承担。</w:t>
            </w:r>
          </w:p>
        </w:tc>
      </w:tr>
      <w:tr w14:paraId="79D16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43AA53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743" w:type="dxa"/>
            <w:tcBorders>
              <w:top w:val="single" w:color="auto" w:sz="4" w:space="0"/>
              <w:left w:val="single" w:color="auto" w:sz="4" w:space="0"/>
              <w:bottom w:val="single" w:color="auto" w:sz="4" w:space="0"/>
              <w:right w:val="single" w:color="auto" w:sz="4" w:space="0"/>
            </w:tcBorders>
            <w:vAlign w:val="center"/>
          </w:tcPr>
          <w:p w14:paraId="29D47841">
            <w:pPr>
              <w:snapToGrid w:val="0"/>
              <w:spacing w:line="420" w:lineRule="exact"/>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磋商截止时间：</w:t>
            </w: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 xml:space="preserve"> 7 </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 xml:space="preserve"> 11 </w:t>
            </w:r>
            <w:r>
              <w:rPr>
                <w:rFonts w:hint="eastAsia" w:ascii="宋体" w:hAnsi="宋体" w:eastAsia="宋体" w:cs="宋体"/>
                <w:color w:val="auto"/>
                <w:kern w:val="2"/>
                <w:sz w:val="24"/>
                <w:szCs w:val="24"/>
                <w:highlight w:val="none"/>
                <w:lang w:val="en-US" w:eastAsia="zh-CN" w:bidi="ar-SA"/>
              </w:rPr>
              <w:t>日</w:t>
            </w:r>
            <w:r>
              <w:rPr>
                <w:rFonts w:hint="eastAsia" w:ascii="宋体" w:hAnsi="宋体" w:cs="宋体"/>
                <w:color w:val="auto"/>
                <w:kern w:val="2"/>
                <w:sz w:val="24"/>
                <w:szCs w:val="24"/>
                <w:highlight w:val="none"/>
                <w:lang w:val="en-US" w:eastAsia="zh-CN" w:bidi="ar-SA"/>
              </w:rPr>
              <w:t xml:space="preserve"> 9 </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 xml:space="preserve"> 00 </w:t>
            </w:r>
            <w:r>
              <w:rPr>
                <w:rFonts w:hint="eastAsia" w:ascii="宋体" w:hAnsi="宋体" w:eastAsia="宋体" w:cs="宋体"/>
                <w:color w:val="auto"/>
                <w:kern w:val="2"/>
                <w:sz w:val="24"/>
                <w:szCs w:val="24"/>
                <w:highlight w:val="none"/>
                <w:lang w:val="en-US" w:eastAsia="zh-CN" w:bidi="ar-SA"/>
              </w:rPr>
              <w:t>分</w:t>
            </w:r>
          </w:p>
          <w:p w14:paraId="3371CE28">
            <w:pPr>
              <w:pStyle w:val="22"/>
              <w:spacing w:line="420" w:lineRule="exact"/>
              <w:rPr>
                <w:rFonts w:ascii="宋体" w:hAnsi="宋体" w:cs="宋体"/>
                <w:bCs/>
                <w:color w:val="auto"/>
                <w:szCs w:val="24"/>
                <w:highlight w:val="none"/>
              </w:rPr>
            </w:pPr>
            <w:r>
              <w:rPr>
                <w:rFonts w:hint="eastAsia" w:ascii="宋体" w:hAnsi="宋体" w:cs="宋体"/>
                <w:bCs/>
                <w:color w:val="auto"/>
                <w:szCs w:val="24"/>
                <w:highlight w:val="none"/>
              </w:rPr>
              <w:t>1、供应商应当在磋商截止时间前在“政采云”（电子交易平台）上自行上传加密的电子磋商响应文件。磋商截止时间前未完成传输的，视为撤回电子磋商响应文件。磋商截止时间后递交的电子磋商响应文件，将被政采云平台拒收。</w:t>
            </w:r>
          </w:p>
          <w:p w14:paraId="0BF7DD50">
            <w:pPr>
              <w:snapToGrid w:val="0"/>
              <w:spacing w:line="420" w:lineRule="exact"/>
              <w:rPr>
                <w:rFonts w:ascii="宋体" w:hAnsi="宋体" w:cs="宋体"/>
                <w:bCs/>
                <w:color w:val="auto"/>
                <w:sz w:val="24"/>
                <w:highlight w:val="none"/>
              </w:rPr>
            </w:pPr>
            <w:r>
              <w:rPr>
                <w:rFonts w:hint="eastAsia" w:ascii="宋体" w:hAnsi="宋体" w:cs="宋体"/>
                <w:bCs/>
                <w:color w:val="auto"/>
                <w:sz w:val="24"/>
                <w:highlight w:val="none"/>
              </w:rPr>
              <w:t>2、电子备份磋商响应文件的递交时间：供应商应当在磋商截止时间前，逾期未递交的视为自动放弃。</w:t>
            </w:r>
          </w:p>
          <w:p w14:paraId="3F983CEE">
            <w:pPr>
              <w:pStyle w:val="22"/>
              <w:spacing w:line="420" w:lineRule="exact"/>
              <w:rPr>
                <w:rFonts w:ascii="宋体" w:hAnsi="宋体" w:cs="宋体"/>
                <w:color w:val="auto"/>
                <w:szCs w:val="24"/>
                <w:highlight w:val="none"/>
              </w:rPr>
            </w:pPr>
            <w:r>
              <w:rPr>
                <w:rFonts w:hint="eastAsia" w:ascii="宋体" w:hAnsi="宋体" w:cs="宋体"/>
                <w:bCs/>
                <w:color w:val="auto"/>
                <w:szCs w:val="24"/>
                <w:highlight w:val="none"/>
              </w:rPr>
              <w:t>3、供应商应当在磋商截止时间前完成磋商准备事宜（应具备上网的技术条件并保持网络及联系方式畅通）及电子磋商响应文件的传输递交，可以补充、修改或者撤回电子磋商响应文件。补充或者修改电子磋商响应文件的，应当先行撤回原文件，补充、修改后重新传输递交。</w:t>
            </w:r>
          </w:p>
        </w:tc>
      </w:tr>
      <w:tr w14:paraId="132BD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51EF29B">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743" w:type="dxa"/>
            <w:tcBorders>
              <w:top w:val="single" w:color="auto" w:sz="4" w:space="0"/>
              <w:left w:val="single" w:color="auto" w:sz="4" w:space="0"/>
              <w:bottom w:val="single" w:color="auto" w:sz="4" w:space="0"/>
              <w:right w:val="single" w:color="auto" w:sz="4" w:space="0"/>
            </w:tcBorders>
            <w:vAlign w:val="center"/>
          </w:tcPr>
          <w:p w14:paraId="7A607C46">
            <w:pPr>
              <w:snapToGrid w:val="0"/>
              <w:spacing w:line="42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 xml:space="preserve"> 7 </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 xml:space="preserve"> 11 </w:t>
            </w:r>
            <w:r>
              <w:rPr>
                <w:rFonts w:hint="eastAsia" w:ascii="宋体" w:hAnsi="宋体" w:eastAsia="宋体" w:cs="宋体"/>
                <w:color w:val="auto"/>
                <w:kern w:val="2"/>
                <w:sz w:val="24"/>
                <w:szCs w:val="24"/>
                <w:highlight w:val="none"/>
                <w:lang w:val="en-US" w:eastAsia="zh-CN" w:bidi="ar-SA"/>
              </w:rPr>
              <w:t>日</w:t>
            </w:r>
            <w:r>
              <w:rPr>
                <w:rFonts w:hint="eastAsia" w:ascii="宋体" w:hAnsi="宋体" w:cs="宋体"/>
                <w:color w:val="auto"/>
                <w:kern w:val="2"/>
                <w:sz w:val="24"/>
                <w:szCs w:val="24"/>
                <w:highlight w:val="none"/>
                <w:lang w:val="en-US" w:eastAsia="zh-CN" w:bidi="ar-SA"/>
              </w:rPr>
              <w:t xml:space="preserve"> 9 </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 xml:space="preserve"> 00 </w:t>
            </w:r>
            <w:r>
              <w:rPr>
                <w:rFonts w:hint="eastAsia" w:ascii="宋体" w:hAnsi="宋体" w:eastAsia="宋体" w:cs="宋体"/>
                <w:color w:val="auto"/>
                <w:kern w:val="2"/>
                <w:sz w:val="24"/>
                <w:szCs w:val="24"/>
                <w:highlight w:val="none"/>
                <w:lang w:val="en-US" w:eastAsia="zh-CN" w:bidi="ar-SA"/>
              </w:rPr>
              <w:t>分</w:t>
            </w:r>
          </w:p>
          <w:p w14:paraId="4F50A172">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供应商到开标现场开标，但供应商应派法定代表人或委托代理人【委托代理人应当是供应商的在职正式职工（以供应商本单位缴纳社保花名册为准）】准时在线出席电子开标会议，随时关注开标进度，如在开标过程中有电子询标，应在规定的时间内对电子询标函进行澄清回复。</w:t>
            </w:r>
          </w:p>
          <w:p w14:paraId="117B9B67">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磋商响应文件，供应商须在开标时间截止后30分钟内对上传政采云的磋商响应文件进行解密，所有供应商在规定的解密时限内解密完成或解密时限到后，采购代理机构开启磋商响应文件；供应商超过解密时限的，系统默认自动放弃。</w:t>
            </w:r>
          </w:p>
        </w:tc>
      </w:tr>
      <w:tr w14:paraId="7E201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A37E186">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743" w:type="dxa"/>
            <w:tcBorders>
              <w:top w:val="single" w:color="auto" w:sz="4" w:space="0"/>
              <w:left w:val="single" w:color="auto" w:sz="4" w:space="0"/>
              <w:bottom w:val="single" w:color="auto" w:sz="4" w:space="0"/>
              <w:right w:val="single" w:color="auto" w:sz="4" w:space="0"/>
            </w:tcBorders>
            <w:vAlign w:val="center"/>
          </w:tcPr>
          <w:p w14:paraId="7DDEF872">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b/>
                <w:bCs/>
                <w:color w:val="auto"/>
                <w:sz w:val="24"/>
                <w:highlight w:val="none"/>
              </w:rPr>
              <w:t>磋商办法：综合评分法（其中报价分为两轮）</w:t>
            </w:r>
          </w:p>
        </w:tc>
      </w:tr>
      <w:tr w14:paraId="0E3B4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07A38C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743" w:type="dxa"/>
            <w:tcBorders>
              <w:top w:val="single" w:color="auto" w:sz="4" w:space="0"/>
              <w:left w:val="single" w:color="auto" w:sz="4" w:space="0"/>
              <w:bottom w:val="single" w:color="auto" w:sz="4" w:space="0"/>
              <w:right w:val="single" w:color="auto" w:sz="4" w:space="0"/>
            </w:tcBorders>
            <w:vAlign w:val="center"/>
          </w:tcPr>
          <w:p w14:paraId="0C50CC5F">
            <w:pPr>
              <w:autoSpaceDE w:val="0"/>
              <w:autoSpaceDN w:val="0"/>
              <w:snapToGrid w:val="0"/>
              <w:spacing w:line="420" w:lineRule="exact"/>
              <w:textAlignment w:val="bottom"/>
              <w:rPr>
                <w:rFonts w:ascii="宋体" w:hAnsi="宋体" w:cs="宋体"/>
                <w:color w:val="auto"/>
                <w:sz w:val="24"/>
                <w:highlight w:val="none"/>
              </w:rPr>
            </w:pPr>
            <w:bookmarkStart w:id="5" w:name="_Toc457480905"/>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5"/>
            <w:r>
              <w:rPr>
                <w:rFonts w:hint="eastAsia" w:ascii="宋体" w:hAnsi="宋体" w:cs="宋体"/>
                <w:color w:val="auto"/>
                <w:sz w:val="24"/>
                <w:highlight w:val="none"/>
              </w:rPr>
              <w:t>。</w:t>
            </w:r>
          </w:p>
        </w:tc>
      </w:tr>
      <w:tr w14:paraId="1AFE4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03C6CB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743" w:type="dxa"/>
            <w:tcBorders>
              <w:top w:val="single" w:color="auto" w:sz="4" w:space="0"/>
              <w:left w:val="single" w:color="auto" w:sz="4" w:space="0"/>
              <w:bottom w:val="single" w:color="auto" w:sz="4" w:space="0"/>
              <w:right w:val="single" w:color="auto" w:sz="4" w:space="0"/>
            </w:tcBorders>
            <w:vAlign w:val="center"/>
          </w:tcPr>
          <w:p w14:paraId="673A06C2">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7A691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0FFC701">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743" w:type="dxa"/>
            <w:tcBorders>
              <w:top w:val="single" w:color="auto" w:sz="4" w:space="0"/>
              <w:left w:val="single" w:color="auto" w:sz="4" w:space="0"/>
              <w:bottom w:val="single" w:color="auto" w:sz="4" w:space="0"/>
              <w:right w:val="single" w:color="auto" w:sz="4" w:space="0"/>
            </w:tcBorders>
            <w:vAlign w:val="center"/>
          </w:tcPr>
          <w:p w14:paraId="4F41A9FC">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cs="宋体"/>
                <w:color w:val="auto"/>
                <w:sz w:val="24"/>
                <w:highlight w:val="none"/>
              </w:rPr>
              <w:t>履约保证金：</w:t>
            </w:r>
          </w:p>
          <w:p w14:paraId="6EC7AFC8">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中标人在收到中标通知书后，需向采购人提供</w:t>
            </w:r>
            <w:r>
              <w:rPr>
                <w:rFonts w:hint="eastAsia" w:ascii="宋体" w:hAnsi="宋体" w:eastAsia="宋体" w:cs="宋体"/>
                <w:color w:val="auto"/>
                <w:sz w:val="24"/>
                <w:highlight w:val="none"/>
                <w:lang w:val="en-US" w:eastAsia="zh-CN"/>
              </w:rPr>
              <w:t>中标价的1</w:t>
            </w:r>
            <w:r>
              <w:rPr>
                <w:rFonts w:hint="eastAsia" w:ascii="宋体" w:hAnsi="宋体" w:eastAsia="宋体" w:cs="宋体"/>
                <w:color w:val="auto"/>
                <w:sz w:val="24"/>
                <w:highlight w:val="none"/>
              </w:rPr>
              <w:t>%的履约保证金，在中标人与采购人签订合同前递交，投标人需以支票、汇票、本票或者金融机构、保险公司、担保机构出具的保函（可在政采云平台购买，咨询热线4009039583）等非现金形式提交。</w:t>
            </w:r>
          </w:p>
          <w:p w14:paraId="578C95BA">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eastAsia="宋体" w:cs="宋体"/>
                <w:color w:val="auto"/>
                <w:sz w:val="24"/>
                <w:highlight w:val="none"/>
                <w:lang w:val="en-US" w:eastAsia="zh-CN"/>
              </w:rPr>
              <w:t>中标人也</w:t>
            </w:r>
            <w:r>
              <w:rPr>
                <w:rFonts w:hint="eastAsia" w:ascii="宋体" w:hAnsi="宋体" w:eastAsia="宋体" w:cs="宋体"/>
                <w:color w:val="auto"/>
                <w:sz w:val="24"/>
                <w:highlight w:val="none"/>
              </w:rPr>
              <w:t>可登录政采云平台-【金融服务】—【我的项目】—【已备案合同】以保函形式提供：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在合同列表选择需要投保的合同，点击[保函推荐]。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在弹框里查看推荐的保函产品，</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自行选择保函产品，点击[立即申请]。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tc>
      </w:tr>
      <w:tr w14:paraId="1C7F0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C780D83">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743" w:type="dxa"/>
            <w:tcBorders>
              <w:top w:val="single" w:color="auto" w:sz="4" w:space="0"/>
              <w:left w:val="single" w:color="auto" w:sz="4" w:space="0"/>
              <w:bottom w:val="single" w:color="auto" w:sz="4" w:space="0"/>
              <w:right w:val="single" w:color="auto" w:sz="4" w:space="0"/>
            </w:tcBorders>
            <w:vAlign w:val="center"/>
          </w:tcPr>
          <w:p w14:paraId="1D5C6458">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0B84CA5C">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7F756554">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浙商银行金华东阳支行联系人：许燕  联系电话：13967983441  0579-86222992</w:t>
            </w:r>
          </w:p>
        </w:tc>
      </w:tr>
      <w:tr w14:paraId="01441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872B19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743" w:type="dxa"/>
            <w:tcBorders>
              <w:top w:val="single" w:color="auto" w:sz="4" w:space="0"/>
              <w:left w:val="single" w:color="auto" w:sz="4" w:space="0"/>
              <w:bottom w:val="single" w:color="auto" w:sz="4" w:space="0"/>
              <w:right w:val="single" w:color="auto" w:sz="4" w:space="0"/>
            </w:tcBorders>
            <w:vAlign w:val="center"/>
          </w:tcPr>
          <w:p w14:paraId="29EAD0B7">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6B182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666B6DC">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743" w:type="dxa"/>
            <w:tcBorders>
              <w:top w:val="single" w:color="auto" w:sz="4" w:space="0"/>
              <w:left w:val="single" w:color="auto" w:sz="4" w:space="0"/>
              <w:bottom w:val="single" w:color="auto" w:sz="4" w:space="0"/>
              <w:right w:val="single" w:color="auto" w:sz="4" w:space="0"/>
            </w:tcBorders>
            <w:vAlign w:val="center"/>
          </w:tcPr>
          <w:p w14:paraId="4E33A548">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东阳市巍山镇人民政府</w:t>
            </w:r>
            <w:r>
              <w:rPr>
                <w:rFonts w:hint="eastAsia" w:ascii="宋体" w:hAnsi="宋体" w:cs="宋体"/>
                <w:color w:val="auto"/>
                <w:sz w:val="24"/>
                <w:highlight w:val="none"/>
              </w:rPr>
              <w:t>签订政府采购合同</w:t>
            </w:r>
            <w:r>
              <w:rPr>
                <w:rFonts w:hint="eastAsia" w:ascii="宋体" w:hAnsi="宋体" w:cs="宋体"/>
                <w:color w:val="auto"/>
                <w:sz w:val="24"/>
                <w:highlight w:val="none"/>
                <w:lang w:eastAsia="zh-CN"/>
              </w:rPr>
              <w:t>。</w:t>
            </w:r>
          </w:p>
        </w:tc>
      </w:tr>
      <w:tr w14:paraId="2B463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42B26CD">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743" w:type="dxa"/>
            <w:tcBorders>
              <w:top w:val="single" w:color="auto" w:sz="4" w:space="0"/>
              <w:left w:val="single" w:color="auto" w:sz="4" w:space="0"/>
              <w:bottom w:val="single" w:color="auto" w:sz="4" w:space="0"/>
              <w:right w:val="single" w:color="auto" w:sz="4" w:space="0"/>
            </w:tcBorders>
            <w:vAlign w:val="center"/>
          </w:tcPr>
          <w:p w14:paraId="4A2F3348">
            <w:pPr>
              <w:autoSpaceDE w:val="0"/>
              <w:autoSpaceDN w:val="0"/>
              <w:snapToGrid w:val="0"/>
              <w:spacing w:line="42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付款方式：</w:t>
            </w:r>
          </w:p>
          <w:p w14:paraId="1DF89D96">
            <w:pPr>
              <w:pStyle w:val="22"/>
              <w:numPr>
                <w:ilvl w:val="0"/>
                <w:numId w:val="6"/>
              </w:num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合同生效以及具备实施条件后7个工作日内支付合同价款</w:t>
            </w:r>
            <w:r>
              <w:rPr>
                <w:rFonts w:hint="eastAsia" w:ascii="宋体" w:hAnsi="宋体" w:cs="宋体"/>
                <w:b/>
                <w:bCs/>
                <w:sz w:val="24"/>
                <w:szCs w:val="24"/>
                <w:highlight w:val="none"/>
                <w:lang w:eastAsia="zh-CN"/>
              </w:rPr>
              <w:t>总额（扣除含税暂定价）</w:t>
            </w:r>
            <w:r>
              <w:rPr>
                <w:rFonts w:hint="eastAsia" w:ascii="宋体" w:hAnsi="宋体" w:cs="宋体"/>
                <w:b/>
                <w:bCs/>
                <w:sz w:val="24"/>
                <w:szCs w:val="24"/>
                <w:highlight w:val="none"/>
              </w:rPr>
              <w:t>的</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0%作为预付款</w:t>
            </w:r>
          </w:p>
          <w:p w14:paraId="0AA982E5">
            <w:pPr>
              <w:pStyle w:val="22"/>
              <w:numPr>
                <w:ilvl w:val="0"/>
                <w:numId w:val="6"/>
              </w:num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（合同签订时，供应商明确表示无需预付款或主动降低预付款比例的，采购人可不适用前述规定；采购人根据项目特点、供应商诚信等因素，可以要求中标人提交预付款保函）；</w:t>
            </w:r>
          </w:p>
          <w:p w14:paraId="5397E51D">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w:t>
            </w:r>
            <w:r>
              <w:rPr>
                <w:rFonts w:hint="eastAsia" w:ascii="宋体" w:hAnsi="宋体"/>
                <w:b/>
                <w:bCs/>
                <w:color w:val="auto"/>
                <w:sz w:val="24"/>
                <w:highlight w:val="none"/>
              </w:rPr>
              <w:t>全部工程完工后</w:t>
            </w:r>
            <w:r>
              <w:rPr>
                <w:rFonts w:hint="eastAsia" w:ascii="宋体" w:hAnsi="宋体"/>
                <w:b/>
                <w:bCs/>
                <w:color w:val="auto"/>
                <w:sz w:val="24"/>
                <w:highlight w:val="none"/>
                <w:lang w:val="en-US" w:eastAsia="zh-CN"/>
              </w:rPr>
              <w:t>在7个工作日内</w:t>
            </w:r>
            <w:r>
              <w:rPr>
                <w:rFonts w:hint="eastAsia" w:ascii="宋体" w:hAnsi="宋体"/>
                <w:b/>
                <w:bCs/>
                <w:color w:val="auto"/>
                <w:sz w:val="24"/>
                <w:highlight w:val="none"/>
              </w:rPr>
              <w:t>支付至合同价款的85%</w:t>
            </w:r>
            <w:r>
              <w:rPr>
                <w:rFonts w:hint="eastAsia" w:ascii="宋体" w:hAnsi="宋体"/>
                <w:b/>
                <w:bCs/>
                <w:color w:val="auto"/>
                <w:sz w:val="24"/>
                <w:highlight w:val="none"/>
                <w:lang w:eastAsia="zh-CN"/>
              </w:rPr>
              <w:t>；</w:t>
            </w:r>
          </w:p>
          <w:p w14:paraId="4462EEA5">
            <w:pPr>
              <w:spacing w:line="360" w:lineRule="auto"/>
              <w:jc w:val="left"/>
              <w:rPr>
                <w:rFonts w:hint="default" w:ascii="宋体" w:hAnsi="宋体" w:cs="宋体"/>
                <w:color w:val="auto"/>
                <w:sz w:val="24"/>
                <w:highlight w:val="none"/>
                <w:lang w:val="en-US"/>
              </w:rPr>
            </w:pPr>
            <w:r>
              <w:rPr>
                <w:rFonts w:hint="eastAsia" w:ascii="宋体" w:hAnsi="宋体" w:cs="宋体"/>
                <w:b/>
                <w:bCs/>
                <w:color w:val="auto"/>
                <w:sz w:val="24"/>
                <w:highlight w:val="none"/>
                <w:lang w:val="en-US" w:eastAsia="zh-CN"/>
              </w:rPr>
              <w:t>3、</w:t>
            </w:r>
            <w:r>
              <w:rPr>
                <w:rFonts w:hint="eastAsia" w:ascii="宋体" w:hAnsi="宋体"/>
                <w:b/>
                <w:bCs/>
                <w:sz w:val="24"/>
                <w:szCs w:val="24"/>
                <w:highlight w:val="none"/>
              </w:rPr>
              <w:t>工程竣工验收合格并</w:t>
            </w:r>
            <w:r>
              <w:rPr>
                <w:rFonts w:hint="eastAsia" w:ascii="宋体" w:hAnsi="宋体"/>
                <w:b/>
                <w:bCs/>
                <w:sz w:val="24"/>
                <w:szCs w:val="24"/>
                <w:highlight w:val="none"/>
                <w:lang w:eastAsia="zh-CN"/>
              </w:rPr>
              <w:t>在供应商提交相关付款凭证后</w:t>
            </w:r>
            <w:r>
              <w:rPr>
                <w:rFonts w:hint="eastAsia" w:ascii="宋体" w:hAnsi="宋体"/>
                <w:b/>
                <w:bCs/>
                <w:color w:val="auto"/>
                <w:sz w:val="24"/>
                <w:highlight w:val="none"/>
              </w:rPr>
              <w:t>7个工作日内支付至合同价款的100%。</w:t>
            </w:r>
          </w:p>
        </w:tc>
      </w:tr>
      <w:tr w14:paraId="63380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55BA8CC">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8743" w:type="dxa"/>
            <w:tcBorders>
              <w:top w:val="single" w:color="auto" w:sz="4" w:space="0"/>
              <w:left w:val="single" w:color="auto" w:sz="4" w:space="0"/>
              <w:bottom w:val="single" w:color="auto" w:sz="4" w:space="0"/>
              <w:right w:val="single" w:color="auto" w:sz="4" w:space="0"/>
            </w:tcBorders>
            <w:vAlign w:val="center"/>
          </w:tcPr>
          <w:p w14:paraId="552C3F9D">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服务地点：东阳市内，采购人指定的地点。</w:t>
            </w:r>
          </w:p>
          <w:p w14:paraId="219139E2">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197FFDA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AD363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5D85497C">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F755A7">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3DDD758E">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00AD2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A421007">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8743" w:type="dxa"/>
            <w:tcBorders>
              <w:top w:val="single" w:color="auto" w:sz="4" w:space="0"/>
              <w:left w:val="single" w:color="auto" w:sz="4" w:space="0"/>
              <w:bottom w:val="single" w:color="auto" w:sz="4" w:space="0"/>
              <w:right w:val="single" w:color="auto" w:sz="4" w:space="0"/>
            </w:tcBorders>
            <w:vAlign w:val="center"/>
          </w:tcPr>
          <w:p w14:paraId="52308E82">
            <w:pPr>
              <w:snapToGrid w:val="0"/>
              <w:spacing w:beforeLines="50" w:line="348"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4B3699D0">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1、提供虚假材料谋取中标、成交的； </w:t>
            </w:r>
          </w:p>
          <w:p w14:paraId="65EE1510">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2、采取不正当手段诋毁、排挤其他供应商的； </w:t>
            </w:r>
          </w:p>
          <w:p w14:paraId="49AA4913">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3、与采购人、其他供应商或者采购代理机构恶意串通的； </w:t>
            </w:r>
          </w:p>
          <w:p w14:paraId="6931E834">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4、向采购人、采购代理机构行贿或者提供其他不正当利益的； </w:t>
            </w:r>
          </w:p>
          <w:p w14:paraId="661952AE">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2A56D5A8">
            <w:pPr>
              <w:snapToGrid w:val="0"/>
              <w:spacing w:line="348"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6FD697A9">
            <w:pPr>
              <w:snapToGrid w:val="0"/>
              <w:spacing w:line="348"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6B57719F">
            <w:pPr>
              <w:snapToGrid w:val="0"/>
              <w:spacing w:line="348"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4D306325">
            <w:pPr>
              <w:snapToGrid w:val="0"/>
              <w:spacing w:line="348"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4013E42B">
            <w:pPr>
              <w:snapToGrid w:val="0"/>
              <w:spacing w:line="348"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1B4DB57A">
            <w:pPr>
              <w:snapToGrid w:val="0"/>
              <w:spacing w:line="348"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054A8663">
            <w:pPr>
              <w:snapToGrid w:val="0"/>
              <w:spacing w:line="348"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3E6E9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077C200">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743" w:type="dxa"/>
            <w:tcBorders>
              <w:top w:val="single" w:color="auto" w:sz="4" w:space="0"/>
              <w:left w:val="single" w:color="auto" w:sz="4" w:space="0"/>
              <w:bottom w:val="single" w:color="auto" w:sz="4" w:space="0"/>
              <w:right w:val="single" w:color="auto" w:sz="4" w:space="0"/>
            </w:tcBorders>
            <w:vAlign w:val="center"/>
          </w:tcPr>
          <w:p w14:paraId="5BCE9564">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磋商响应文件有效期：</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0</w:t>
            </w:r>
            <w:r>
              <w:rPr>
                <w:rFonts w:hint="eastAsia" w:ascii="宋体" w:hAnsi="宋体" w:cs="宋体"/>
                <w:color w:val="auto"/>
                <w:sz w:val="24"/>
                <w:highlight w:val="none"/>
              </w:rPr>
              <w:t>天</w:t>
            </w:r>
          </w:p>
        </w:tc>
      </w:tr>
      <w:tr w14:paraId="492E7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DD04605">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8743" w:type="dxa"/>
            <w:tcBorders>
              <w:top w:val="single" w:color="auto" w:sz="4" w:space="0"/>
              <w:left w:val="single" w:color="auto" w:sz="4" w:space="0"/>
              <w:bottom w:val="single" w:color="auto" w:sz="4" w:space="0"/>
              <w:right w:val="single" w:color="auto" w:sz="4" w:space="0"/>
            </w:tcBorders>
            <w:vAlign w:val="center"/>
          </w:tcPr>
          <w:p w14:paraId="4A0ECADA">
            <w:pPr>
              <w:snapToGrid w:val="0"/>
              <w:spacing w:line="420" w:lineRule="exact"/>
              <w:rPr>
                <w:rFonts w:ascii="宋体" w:hAnsi="宋体" w:cs="宋体"/>
                <w:b/>
                <w:color w:val="auto"/>
                <w:sz w:val="24"/>
                <w:highlight w:val="none"/>
              </w:rPr>
            </w:pPr>
            <w:r>
              <w:rPr>
                <w:rFonts w:hint="eastAsia" w:ascii="宋体" w:hAnsi="宋体" w:cs="宋体"/>
                <w:b/>
                <w:color w:val="auto"/>
                <w:sz w:val="24"/>
                <w:highlight w:val="none"/>
              </w:rPr>
              <w:t>招标方对供应商的落选不作出任何解释。</w:t>
            </w:r>
          </w:p>
        </w:tc>
      </w:tr>
      <w:tr w14:paraId="12DCF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D6D4A0B">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21</w:t>
            </w:r>
          </w:p>
        </w:tc>
        <w:tc>
          <w:tcPr>
            <w:tcW w:w="8743" w:type="dxa"/>
            <w:tcBorders>
              <w:top w:val="single" w:color="auto" w:sz="4" w:space="0"/>
              <w:left w:val="single" w:color="auto" w:sz="4" w:space="0"/>
              <w:bottom w:val="single" w:color="auto" w:sz="4" w:space="0"/>
              <w:right w:val="single" w:color="auto" w:sz="4" w:space="0"/>
            </w:tcBorders>
            <w:vAlign w:val="center"/>
          </w:tcPr>
          <w:p w14:paraId="43638F7B">
            <w:pPr>
              <w:spacing w:line="420" w:lineRule="exact"/>
              <w:rPr>
                <w:rFonts w:ascii="宋体" w:hAnsi="宋体" w:cs="宋体"/>
                <w:b/>
                <w:color w:val="auto"/>
                <w:sz w:val="24"/>
                <w:highlight w:val="none"/>
              </w:rPr>
            </w:pPr>
            <w:r>
              <w:rPr>
                <w:rFonts w:hint="eastAsia" w:ascii="宋体" w:hAnsi="宋体" w:cs="宋体"/>
                <w:b/>
                <w:color w:val="auto"/>
                <w:kern w:val="0"/>
                <w:sz w:val="24"/>
                <w:highlight w:val="none"/>
              </w:rPr>
              <w:t>采购人和招标代理机构的任何工作人员对供应商所作的任何口头解释、介绍、答复，仅供供应商参考，不作为磋商依据，对采购人、招标代理机构和供应商无任何约束力，一切以网上公告及书面形式为准。</w:t>
            </w:r>
          </w:p>
        </w:tc>
      </w:tr>
      <w:tr w14:paraId="393BB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9C1D779">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22</w:t>
            </w:r>
          </w:p>
        </w:tc>
        <w:tc>
          <w:tcPr>
            <w:tcW w:w="8743" w:type="dxa"/>
            <w:tcBorders>
              <w:top w:val="single" w:color="auto" w:sz="4" w:space="0"/>
              <w:left w:val="single" w:color="auto" w:sz="4" w:space="0"/>
              <w:bottom w:val="single" w:color="auto" w:sz="4" w:space="0"/>
              <w:right w:val="single" w:color="auto" w:sz="4" w:space="0"/>
            </w:tcBorders>
            <w:vAlign w:val="center"/>
          </w:tcPr>
          <w:p w14:paraId="5D308286">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解释：本磋商文件的解释权属于</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w:t>
            </w:r>
          </w:p>
        </w:tc>
      </w:tr>
    </w:tbl>
    <w:p w14:paraId="3768BF08">
      <w:pPr>
        <w:pStyle w:val="22"/>
        <w:snapToGrid w:val="0"/>
        <w:spacing w:before="120" w:after="120" w:line="420" w:lineRule="exact"/>
        <w:rPr>
          <w:rFonts w:ascii="宋体" w:hAnsi="宋体" w:cs="宋体"/>
          <w:b/>
          <w:color w:val="auto"/>
          <w:szCs w:val="24"/>
          <w:highlight w:val="none"/>
        </w:rPr>
      </w:pPr>
      <w:r>
        <w:rPr>
          <w:rFonts w:hint="eastAsia" w:ascii="宋体" w:hAnsi="宋体" w:cs="宋体"/>
          <w:b/>
          <w:color w:val="auto"/>
          <w:szCs w:val="24"/>
          <w:highlight w:val="none"/>
        </w:rPr>
        <w:t>注：如本磋商文件后面的条款与本表有矛盾的以本表的内容为准。</w:t>
      </w:r>
    </w:p>
    <w:p w14:paraId="539A9E0A">
      <w:pPr>
        <w:pStyle w:val="22"/>
        <w:pageBreakBefore/>
        <w:numPr>
          <w:ilvl w:val="0"/>
          <w:numId w:val="7"/>
        </w:numPr>
        <w:snapToGrid w:val="0"/>
        <w:spacing w:line="360" w:lineRule="auto"/>
        <w:ind w:left="826" w:hanging="826" w:hangingChars="343"/>
        <w:jc w:val="center"/>
        <w:outlineLvl w:val="1"/>
        <w:rPr>
          <w:rFonts w:ascii="宋体" w:hAnsi="宋体" w:cs="宋体"/>
          <w:b/>
          <w:color w:val="auto"/>
          <w:szCs w:val="24"/>
          <w:highlight w:val="none"/>
        </w:rPr>
      </w:pPr>
      <w:bookmarkStart w:id="6" w:name="_Toc13658"/>
      <w:r>
        <w:rPr>
          <w:rFonts w:hint="eastAsia" w:ascii="宋体" w:hAnsi="宋体" w:cs="宋体"/>
          <w:b/>
          <w:color w:val="auto"/>
          <w:szCs w:val="24"/>
          <w:highlight w:val="none"/>
        </w:rPr>
        <w:t>总则</w:t>
      </w:r>
      <w:bookmarkEnd w:id="6"/>
    </w:p>
    <w:p w14:paraId="0F65F283">
      <w:pPr>
        <w:spacing w:line="440" w:lineRule="exact"/>
        <w:rPr>
          <w:rFonts w:ascii="宋体" w:hAnsi="宋体" w:cs="宋体"/>
          <w:b/>
          <w:color w:val="auto"/>
          <w:sz w:val="24"/>
          <w:highlight w:val="none"/>
        </w:rPr>
      </w:pPr>
      <w:bookmarkStart w:id="7" w:name="_Toc407182093"/>
      <w:r>
        <w:rPr>
          <w:rFonts w:hint="eastAsia" w:ascii="宋体" w:hAnsi="宋体" w:cs="宋体"/>
          <w:b/>
          <w:color w:val="auto"/>
          <w:sz w:val="24"/>
          <w:highlight w:val="none"/>
        </w:rPr>
        <w:t>（一） 适用范围</w:t>
      </w:r>
      <w:bookmarkEnd w:id="7"/>
    </w:p>
    <w:p w14:paraId="26363111">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本磋商文件适用于</w:t>
      </w:r>
      <w:r>
        <w:rPr>
          <w:rFonts w:hint="eastAsia" w:ascii="宋体" w:hAnsi="宋体" w:cs="宋体"/>
          <w:color w:val="auto"/>
          <w:sz w:val="24"/>
          <w:highlight w:val="none"/>
          <w:lang w:eastAsia="zh-CN"/>
        </w:rPr>
        <w:t>东阳市巍山镇金塘山塘综合整治工程（第三次）</w:t>
      </w:r>
      <w:r>
        <w:rPr>
          <w:rFonts w:hint="eastAsia" w:ascii="宋体" w:hAnsi="宋体" w:cs="宋体"/>
          <w:color w:val="auto"/>
          <w:sz w:val="24"/>
          <w:highlight w:val="none"/>
        </w:rPr>
        <w:t>的招标、磋商、定标、验收、合同履约、付款等行为（法律、法规另有规定的，从其规定）。</w:t>
      </w:r>
    </w:p>
    <w:p w14:paraId="6CBE636D">
      <w:pPr>
        <w:spacing w:line="440" w:lineRule="exact"/>
        <w:rPr>
          <w:rFonts w:ascii="宋体" w:hAnsi="宋体" w:cs="宋体"/>
          <w:b/>
          <w:color w:val="auto"/>
          <w:sz w:val="24"/>
          <w:highlight w:val="none"/>
        </w:rPr>
      </w:pPr>
      <w:bookmarkStart w:id="8" w:name="_Toc407182094"/>
      <w:r>
        <w:rPr>
          <w:rFonts w:hint="eastAsia" w:ascii="宋体" w:hAnsi="宋体" w:cs="宋体"/>
          <w:b/>
          <w:color w:val="auto"/>
          <w:sz w:val="24"/>
          <w:highlight w:val="none"/>
        </w:rPr>
        <w:t>（二）定义</w:t>
      </w:r>
      <w:bookmarkEnd w:id="8"/>
    </w:p>
    <w:p w14:paraId="0EEB092C">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（“招标方”）和</w:t>
      </w:r>
      <w:r>
        <w:rPr>
          <w:rFonts w:hint="eastAsia" w:ascii="宋体" w:hAnsi="宋体" w:cs="宋体"/>
          <w:color w:val="auto"/>
          <w:sz w:val="24"/>
          <w:highlight w:val="none"/>
          <w:lang w:eastAsia="zh-CN"/>
        </w:rPr>
        <w:t xml:space="preserve">东阳市巍山镇人民政府 </w:t>
      </w:r>
      <w:r>
        <w:rPr>
          <w:rFonts w:hint="eastAsia" w:ascii="宋体" w:hAnsi="宋体" w:cs="宋体"/>
          <w:color w:val="auto"/>
          <w:sz w:val="24"/>
          <w:highlight w:val="none"/>
        </w:rPr>
        <w:t>（“采购人”）。</w:t>
      </w:r>
    </w:p>
    <w:p w14:paraId="61E14502">
      <w:pPr>
        <w:spacing w:line="440" w:lineRule="exact"/>
        <w:rPr>
          <w:rFonts w:ascii="宋体" w:hAnsi="宋体" w:cs="宋体"/>
          <w:color w:val="auto"/>
          <w:sz w:val="24"/>
          <w:highlight w:val="none"/>
        </w:rPr>
      </w:pPr>
      <w:r>
        <w:rPr>
          <w:rFonts w:hint="eastAsia" w:ascii="宋体" w:hAnsi="宋体" w:cs="宋体"/>
          <w:color w:val="auto"/>
          <w:sz w:val="24"/>
          <w:highlight w:val="none"/>
        </w:rPr>
        <w:t>2.“供应商”系指向招标方提交磋商响应文件的单位或个人。</w:t>
      </w:r>
    </w:p>
    <w:p w14:paraId="6D6EF60F">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3.“服务”系指磋商文件规定供应商须承担的本项目所衍生的一切服务义务。 </w:t>
      </w:r>
    </w:p>
    <w:p w14:paraId="433B0B24">
      <w:pPr>
        <w:spacing w:line="440" w:lineRule="exact"/>
        <w:rPr>
          <w:rFonts w:ascii="宋体" w:hAnsi="宋体" w:cs="宋体"/>
          <w:color w:val="auto"/>
          <w:sz w:val="24"/>
          <w:highlight w:val="none"/>
        </w:rPr>
      </w:pPr>
      <w:r>
        <w:rPr>
          <w:rFonts w:hint="eastAsia" w:ascii="宋体" w:hAnsi="宋体" w:cs="宋体"/>
          <w:color w:val="auto"/>
          <w:sz w:val="24"/>
          <w:highlight w:val="none"/>
        </w:rPr>
        <w:t>4.“项目”系指供应商按磋商文件规定向采购人提供的成果和项目服务。</w:t>
      </w:r>
    </w:p>
    <w:p w14:paraId="31BC3B52">
      <w:pPr>
        <w:spacing w:line="440" w:lineRule="exact"/>
        <w:rPr>
          <w:rFonts w:ascii="宋体" w:hAnsi="宋体" w:cs="宋体"/>
          <w:color w:val="auto"/>
          <w:sz w:val="24"/>
          <w:highlight w:val="none"/>
        </w:rPr>
      </w:pPr>
      <w:r>
        <w:rPr>
          <w:rFonts w:hint="eastAsia" w:ascii="宋体" w:hAnsi="宋体" w:cs="宋体"/>
          <w:color w:val="auto"/>
          <w:sz w:val="24"/>
          <w:highlight w:val="none"/>
        </w:rPr>
        <w:t>5.“书面形式”包括信函、传真、电报等。</w:t>
      </w:r>
    </w:p>
    <w:p w14:paraId="6C1B7C1B">
      <w:pPr>
        <w:spacing w:line="440" w:lineRule="exact"/>
        <w:rPr>
          <w:rFonts w:hint="eastAsia" w:ascii="宋体" w:hAnsi="宋体" w:cs="宋体"/>
          <w:color w:val="auto"/>
          <w:sz w:val="24"/>
          <w:highlight w:val="none"/>
        </w:rPr>
      </w:pPr>
      <w:r>
        <w:rPr>
          <w:rFonts w:hint="eastAsia" w:ascii="宋体" w:hAnsi="宋体" w:cs="宋体"/>
          <w:color w:val="auto"/>
          <w:sz w:val="24"/>
          <w:highlight w:val="none"/>
        </w:rPr>
        <w:t>6.“▲”系指实质性要求条款。</w:t>
      </w:r>
    </w:p>
    <w:p w14:paraId="0950337B">
      <w:pPr>
        <w:spacing w:line="440" w:lineRule="exact"/>
        <w:rPr>
          <w:rFonts w:hint="eastAsia" w:ascii="宋体" w:hAnsi="宋体"/>
          <w:sz w:val="24"/>
          <w:szCs w:val="24"/>
          <w:highlight w:val="none"/>
        </w:rPr>
      </w:pPr>
      <w:r>
        <w:rPr>
          <w:rFonts w:hint="eastAsia" w:ascii="宋体" w:hAnsi="宋体"/>
          <w:sz w:val="24"/>
          <w:szCs w:val="24"/>
          <w:highlight w:val="none"/>
        </w:rPr>
        <w:t>7. 采购项目需要落实的政府采购政策</w:t>
      </w:r>
    </w:p>
    <w:p w14:paraId="38008466">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276486A">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7.2 支持绿色发展</w:t>
      </w:r>
    </w:p>
    <w:p w14:paraId="497486B0">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449469A">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F48C441">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7.3支持中小企业发展</w:t>
      </w:r>
    </w:p>
    <w:p w14:paraId="0435E7B4">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57256124">
      <w:pPr>
        <w:spacing w:line="440" w:lineRule="exact"/>
        <w:rPr>
          <w:rFonts w:hint="eastAsia" w:ascii="宋体" w:hAnsi="宋体"/>
          <w:sz w:val="24"/>
          <w:szCs w:val="24"/>
          <w:highlight w:val="none"/>
        </w:rPr>
      </w:pPr>
      <w:r>
        <w:rPr>
          <w:rFonts w:hint="eastAsia" w:ascii="宋体" w:hAnsi="宋体"/>
          <w:sz w:val="24"/>
          <w:szCs w:val="24"/>
          <w:highlight w:val="none"/>
        </w:rPr>
        <w:t>符合中小企业划分标准的个体工商户，在政府采购活动中视同中小企业。</w:t>
      </w:r>
    </w:p>
    <w:p w14:paraId="3188698A">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7.3.2在政府采购活动中，供应商提供的货物、工程或者服务符合下列情形的，享受中小企业扶持政策：</w:t>
      </w:r>
    </w:p>
    <w:p w14:paraId="210F3650">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7.3.2.1在货物采购项目中，货物由中小企业制造，即货物由中小企业生产且使用该中小企业商号或者注册商标；</w:t>
      </w:r>
    </w:p>
    <w:p w14:paraId="0599AC13">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7.3.2.2在工程采购项目中，工程由中小企业承建，即工程施工单位为中小企业；</w:t>
      </w:r>
    </w:p>
    <w:p w14:paraId="01ABC4ED">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7.3.2.3在服务采购项目中，服务由中小企业承接，即提供服务的人员为中小企业依照《中华人民共和国劳动合同法》订立劳动合同的从业人员。</w:t>
      </w:r>
    </w:p>
    <w:p w14:paraId="4DC55657">
      <w:pPr>
        <w:spacing w:line="440" w:lineRule="exact"/>
        <w:rPr>
          <w:rFonts w:hint="eastAsia" w:ascii="宋体" w:hAnsi="宋体"/>
          <w:sz w:val="24"/>
          <w:szCs w:val="24"/>
          <w:highlight w:val="none"/>
        </w:rPr>
      </w:pPr>
      <w:r>
        <w:rPr>
          <w:rFonts w:hint="eastAsia" w:ascii="宋体" w:hAnsi="宋体"/>
          <w:sz w:val="24"/>
          <w:szCs w:val="24"/>
          <w:highlight w:val="none"/>
        </w:rPr>
        <w:t>在货物采购项目中，供应商提供的货物既有中小企业制造货物，也有大型企业制造货物的，不享受中小企业扶持政策。</w:t>
      </w:r>
    </w:p>
    <w:p w14:paraId="2C885C2F">
      <w:pPr>
        <w:spacing w:line="440" w:lineRule="exact"/>
        <w:rPr>
          <w:rFonts w:hint="eastAsia" w:ascii="宋体" w:hAnsi="宋体"/>
          <w:sz w:val="24"/>
          <w:szCs w:val="24"/>
          <w:highlight w:val="none"/>
        </w:rPr>
      </w:pPr>
      <w:r>
        <w:rPr>
          <w:rFonts w:hint="eastAsia" w:ascii="宋体" w:hAnsi="宋体"/>
          <w:sz w:val="24"/>
          <w:szCs w:val="24"/>
          <w:highlight w:val="none"/>
        </w:rPr>
        <w:t>以联合体形式参加政府采购活动，联合体各方均为中小企业的，联合体视同中小企业。其中，联合体各方均为小微企业的，联合体视同小微企业。</w:t>
      </w:r>
    </w:p>
    <w:p w14:paraId="61059DE5">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7.3.3符合《关于促进残疾人就业政府采购政策的通知》（财库〔2017〕141号）规定的条件并提供《残疾人福利性单位声明函》（附件1）的残疾人福利性单位视同小型、微型企业；</w:t>
      </w:r>
    </w:p>
    <w:p w14:paraId="65AAD436">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1C5BBDE2">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EEDCD83">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7.3.6中小企业享受扶持政策获得政府采购合同的，小微企业不得将合同分包给大中型企业，中型企业不得将合同分包给大型企业。</w:t>
      </w:r>
    </w:p>
    <w:p w14:paraId="1907AC49">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7.4支持创新发展</w:t>
      </w:r>
    </w:p>
    <w:p w14:paraId="4F38590D">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7.4.1 采购人优先采购被认定为首台套产品和“制造精品”的自主创新产品。</w:t>
      </w:r>
    </w:p>
    <w:p w14:paraId="5861B1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29DD0EA7">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ascii="宋体" w:hAnsi="宋体"/>
          <w:sz w:val="24"/>
          <w:szCs w:val="24"/>
          <w:highlight w:val="none"/>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6204EA23">
      <w:pPr>
        <w:spacing w:line="440" w:lineRule="exact"/>
        <w:rPr>
          <w:rFonts w:ascii="宋体" w:hAnsi="宋体" w:cs="宋体"/>
          <w:b/>
          <w:color w:val="auto"/>
          <w:sz w:val="24"/>
          <w:highlight w:val="none"/>
        </w:rPr>
      </w:pPr>
      <w:r>
        <w:rPr>
          <w:rFonts w:hint="eastAsia" w:ascii="宋体" w:hAnsi="宋体" w:cs="宋体"/>
          <w:b/>
          <w:color w:val="auto"/>
          <w:sz w:val="24"/>
          <w:highlight w:val="none"/>
        </w:rPr>
        <w:t>（三）磋商方式</w:t>
      </w:r>
    </w:p>
    <w:p w14:paraId="2CAF2AE5">
      <w:pPr>
        <w:spacing w:line="440" w:lineRule="exact"/>
        <w:ind w:firstLine="480" w:firstLineChars="200"/>
        <w:rPr>
          <w:rFonts w:ascii="宋体" w:hAnsi="宋体" w:cs="宋体"/>
          <w:color w:val="auto"/>
          <w:sz w:val="24"/>
          <w:highlight w:val="none"/>
        </w:rPr>
      </w:pPr>
      <w:r>
        <w:rPr>
          <w:rFonts w:hint="eastAsia" w:ascii="宋体" w:hAnsi="宋体"/>
          <w:sz w:val="24"/>
          <w:szCs w:val="24"/>
          <w:highlight w:val="none"/>
        </w:rPr>
        <w:t>本次采用竞争性磋商方式进行</w:t>
      </w:r>
      <w:r>
        <w:rPr>
          <w:rFonts w:hint="eastAsia" w:ascii="宋体" w:hAnsi="宋体" w:cs="宋体"/>
          <w:color w:val="auto"/>
          <w:sz w:val="24"/>
          <w:highlight w:val="none"/>
        </w:rPr>
        <w:t>。</w:t>
      </w:r>
    </w:p>
    <w:p w14:paraId="514666F0">
      <w:pPr>
        <w:spacing w:line="440" w:lineRule="exact"/>
        <w:rPr>
          <w:rFonts w:ascii="宋体" w:hAnsi="宋体" w:cs="宋体"/>
          <w:b/>
          <w:color w:val="auto"/>
          <w:sz w:val="24"/>
          <w:highlight w:val="none"/>
        </w:rPr>
      </w:pPr>
      <w:r>
        <w:rPr>
          <w:rFonts w:hint="eastAsia" w:ascii="宋体" w:hAnsi="宋体" w:cs="宋体"/>
          <w:b/>
          <w:color w:val="auto"/>
          <w:sz w:val="24"/>
          <w:highlight w:val="none"/>
        </w:rPr>
        <w:t>（四）磋商委托</w:t>
      </w:r>
    </w:p>
    <w:p w14:paraId="2E56601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如供应商代表不是法定代表人，须有法定代表人出具的授权委托书，委托代理人必须为供应商的在职正式职工（以供应商本单位缴纳社保花名册为准）。</w:t>
      </w:r>
    </w:p>
    <w:p w14:paraId="492D9CE5">
      <w:pPr>
        <w:spacing w:line="440" w:lineRule="exact"/>
        <w:rPr>
          <w:rFonts w:ascii="宋体" w:hAnsi="宋体" w:cs="宋体"/>
          <w:b/>
          <w:color w:val="auto"/>
          <w:sz w:val="24"/>
          <w:highlight w:val="none"/>
        </w:rPr>
      </w:pPr>
      <w:r>
        <w:rPr>
          <w:rFonts w:hint="eastAsia" w:ascii="宋体" w:hAnsi="宋体" w:cs="宋体"/>
          <w:b/>
          <w:color w:val="auto"/>
          <w:sz w:val="24"/>
          <w:highlight w:val="none"/>
        </w:rPr>
        <w:t>▲（五）磋商费用</w:t>
      </w:r>
    </w:p>
    <w:p w14:paraId="497E09B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1.不论磋商结果如何，供应商均应自行承担所有与磋商有关的全部费用（磋商文件有相反规定除外）。</w:t>
      </w:r>
    </w:p>
    <w:p w14:paraId="4EA6BFA4">
      <w:pPr>
        <w:snapToGrid w:val="0"/>
        <w:spacing w:line="360" w:lineRule="auto"/>
        <w:ind w:firstLine="482" w:firstLineChars="200"/>
        <w:textAlignment w:val="baseline"/>
        <w:rPr>
          <w:rFonts w:ascii="宋体" w:hAnsi="宋体" w:cs="宋体"/>
          <w:b/>
          <w:bCs/>
          <w:color w:val="auto"/>
          <w:sz w:val="24"/>
          <w:highlight w:val="none"/>
        </w:rPr>
      </w:pPr>
      <w:r>
        <w:rPr>
          <w:rFonts w:hint="eastAsia" w:ascii="宋体" w:hAnsi="宋体" w:cs="宋体"/>
          <w:b/>
          <w:color w:val="auto"/>
          <w:sz w:val="24"/>
          <w:highlight w:val="none"/>
        </w:rPr>
        <w:t>2.</w:t>
      </w:r>
      <w:r>
        <w:rPr>
          <w:rFonts w:hint="eastAsia" w:ascii="宋体" w:hAnsi="宋体" w:cs="宋体"/>
          <w:b/>
          <w:bCs/>
          <w:color w:val="auto"/>
          <w:sz w:val="24"/>
          <w:highlight w:val="none"/>
          <w:lang w:eastAsia="zh-CN"/>
        </w:rPr>
        <w:t>中科标禾工程项目管理有限公司</w:t>
      </w:r>
      <w:r>
        <w:rPr>
          <w:rFonts w:hint="eastAsia" w:ascii="宋体" w:hAnsi="宋体" w:cs="宋体"/>
          <w:b/>
          <w:bCs/>
          <w:color w:val="auto"/>
          <w:sz w:val="24"/>
          <w:highlight w:val="none"/>
        </w:rPr>
        <w:t>按差额定率累进法计算（详见本条下列表格收费标准），向中标人收取中标服务费，在中标结果公示结束之日起3天内（在领取中标通知书前）交纳。</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5"/>
        <w:gridCol w:w="4004"/>
      </w:tblGrid>
      <w:tr w14:paraId="7098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5195" w:type="dxa"/>
            <w:tcBorders>
              <w:top w:val="single" w:color="auto" w:sz="4" w:space="0"/>
              <w:left w:val="single" w:color="auto" w:sz="4" w:space="0"/>
              <w:bottom w:val="single" w:color="auto" w:sz="4" w:space="0"/>
              <w:right w:val="single" w:color="auto" w:sz="4" w:space="0"/>
              <w:tl2br w:val="single" w:color="auto" w:sz="4" w:space="0"/>
            </w:tcBorders>
          </w:tcPr>
          <w:p w14:paraId="2173565F">
            <w:pPr>
              <w:snapToGrid w:val="0"/>
              <w:ind w:firstLine="1400" w:firstLineChars="700"/>
              <w:textAlignment w:val="baseline"/>
              <w:rPr>
                <w:rFonts w:ascii="宋体" w:hAnsi="宋体" w:cs="宋体"/>
                <w:b/>
                <w:color w:val="auto"/>
                <w:sz w:val="24"/>
                <w:highlight w:val="none"/>
              </w:rPr>
            </w:pPr>
            <w:r>
              <w:rPr>
                <w:rFonts w:ascii="宋体" w:hAnsi="宋体" w:cs="宋体"/>
                <w:color w:val="auto"/>
                <w:sz w:val="20"/>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uR037VAAAACQEAAA8A&#10;AAAAAAAAAQAgAAAAIgAAAGRycy9kb3ducmV2LnhtbFBLAQIUABQAAAAIAIdO4kD+bTyG4QEAALI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cs="宋体"/>
                <w:color w:val="auto"/>
                <w:sz w:val="20"/>
                <w:highlight w:val="none"/>
                <w:lang w:val="en-US" w:eastAsia="zh-CN"/>
              </w:rPr>
              <w:t xml:space="preserve"> </w:t>
            </w:r>
            <w:r>
              <w:rPr>
                <w:rFonts w:hint="eastAsia" w:ascii="宋体" w:hAnsi="宋体" w:cs="宋体"/>
                <w:b/>
                <w:color w:val="auto"/>
                <w:sz w:val="24"/>
                <w:highlight w:val="none"/>
              </w:rPr>
              <w:t>服务类型</w:t>
            </w:r>
          </w:p>
          <w:p w14:paraId="6CD15EBC">
            <w:pPr>
              <w:snapToGrid w:val="0"/>
              <w:textAlignment w:val="baseline"/>
              <w:rPr>
                <w:rFonts w:ascii="宋体" w:hAnsi="宋体" w:cs="宋体"/>
                <w:b/>
                <w:color w:val="auto"/>
                <w:sz w:val="24"/>
                <w:highlight w:val="none"/>
              </w:rPr>
            </w:pPr>
            <w:r>
              <w:rPr>
                <w:rFonts w:hint="eastAsia" w:ascii="宋体" w:hAnsi="宋体" w:cs="宋体"/>
                <w:b/>
                <w:color w:val="auto"/>
                <w:sz w:val="24"/>
                <w:highlight w:val="none"/>
              </w:rPr>
              <w:t>费率</w:t>
            </w:r>
          </w:p>
          <w:p w14:paraId="1705F4A7">
            <w:pPr>
              <w:snapToGrid w:val="0"/>
              <w:textAlignment w:val="baseline"/>
              <w:rPr>
                <w:rFonts w:ascii="宋体" w:hAnsi="宋体" w:cs="宋体"/>
                <w:b/>
                <w:color w:val="auto"/>
                <w:sz w:val="24"/>
                <w:highlight w:val="none"/>
              </w:rPr>
            </w:pPr>
            <w:r>
              <w:rPr>
                <w:rFonts w:ascii="宋体" w:hAnsi="宋体" w:cs="宋体"/>
                <w:color w:val="auto"/>
                <w:sz w:val="20"/>
                <w:highlight w:val="none"/>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40005</wp:posOffset>
                      </wp:positionV>
                      <wp:extent cx="3260090" cy="335280"/>
                      <wp:effectExtent l="635" t="4445" r="3175" b="158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260090" cy="3352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55pt;margin-top:3.15pt;height:26.4pt;width:256.7pt;z-index:251661312;mso-width-relative:page;mso-height-relative:page;" filled="f" stroked="t" coordsize="21600,21600" o:gfxdata="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QpBZPWAAAACAEAAA8AAAAAAAAAAQAgAAAAIgAAAGRycy9kb3ducmV2LnhtbFBLAQIUABQAAAAI&#10;AIdO4kDgkV3J7wEAAL0DAAAOAAAAAAAAAAEAIAAAACUBAABkcnMvZTJvRG9jLnhtbFBLBQYAAAAA&#10;BgAGAFkBAACGBQAAAAA=&#10;">
                      <v:fill on="f" focussize="0,0"/>
                      <v:stroke color="#000000" joinstyle="round"/>
                      <v:imagedata o:title=""/>
                      <o:lock v:ext="edit" aspectratio="f"/>
                    </v:line>
                  </w:pict>
                </mc:Fallback>
              </mc:AlternateContent>
            </w:r>
          </w:p>
          <w:p w14:paraId="1E492FBE">
            <w:pPr>
              <w:snapToGrid w:val="0"/>
              <w:textAlignment w:val="baseline"/>
              <w:rPr>
                <w:rFonts w:ascii="宋体" w:hAnsi="宋体" w:cs="宋体"/>
                <w:b/>
                <w:color w:val="auto"/>
                <w:sz w:val="24"/>
                <w:highlight w:val="none"/>
              </w:rPr>
            </w:pPr>
            <w:r>
              <w:rPr>
                <w:rFonts w:hint="eastAsia" w:ascii="宋体" w:hAnsi="宋体" w:cs="宋体"/>
                <w:b/>
                <w:color w:val="auto"/>
                <w:sz w:val="24"/>
                <w:highlight w:val="none"/>
              </w:rPr>
              <w:t>中标金额（万元）</w:t>
            </w:r>
          </w:p>
        </w:tc>
        <w:tc>
          <w:tcPr>
            <w:tcW w:w="4004" w:type="dxa"/>
            <w:tcBorders>
              <w:top w:val="single" w:color="auto" w:sz="4" w:space="0"/>
              <w:left w:val="single" w:color="auto" w:sz="4" w:space="0"/>
              <w:bottom w:val="single" w:color="auto" w:sz="4" w:space="0"/>
              <w:right w:val="single" w:color="auto" w:sz="4" w:space="0"/>
            </w:tcBorders>
            <w:vAlign w:val="center"/>
          </w:tcPr>
          <w:p w14:paraId="609841DF">
            <w:pPr>
              <w:snapToGrid w:val="0"/>
              <w:jc w:val="center"/>
              <w:textAlignment w:val="baseline"/>
              <w:rPr>
                <w:rFonts w:ascii="宋体" w:hAnsi="宋体" w:cs="宋体"/>
                <w:b/>
                <w:color w:val="auto"/>
                <w:sz w:val="24"/>
                <w:highlight w:val="none"/>
              </w:rPr>
            </w:pPr>
            <w:r>
              <w:rPr>
                <w:rFonts w:hint="eastAsia" w:ascii="宋体" w:hAnsi="宋体" w:cs="宋体"/>
                <w:b/>
                <w:color w:val="auto"/>
                <w:sz w:val="24"/>
                <w:highlight w:val="none"/>
                <w:lang w:val="en-US" w:eastAsia="zh-CN"/>
              </w:rPr>
              <w:t>工程</w:t>
            </w:r>
            <w:r>
              <w:rPr>
                <w:rFonts w:hint="eastAsia" w:ascii="宋体" w:hAnsi="宋体" w:cs="宋体"/>
                <w:b/>
                <w:color w:val="auto"/>
                <w:sz w:val="24"/>
                <w:highlight w:val="none"/>
              </w:rPr>
              <w:t>招标</w:t>
            </w:r>
          </w:p>
        </w:tc>
      </w:tr>
      <w:tr w14:paraId="738B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195" w:type="dxa"/>
            <w:tcBorders>
              <w:top w:val="single" w:color="auto" w:sz="4" w:space="0"/>
              <w:left w:val="single" w:color="auto" w:sz="4" w:space="0"/>
              <w:bottom w:val="single" w:color="auto" w:sz="4" w:space="0"/>
              <w:right w:val="single" w:color="auto" w:sz="4" w:space="0"/>
            </w:tcBorders>
          </w:tcPr>
          <w:p w14:paraId="2B06DD9E">
            <w:pPr>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100以下</w:t>
            </w:r>
          </w:p>
        </w:tc>
        <w:tc>
          <w:tcPr>
            <w:tcW w:w="4004" w:type="dxa"/>
            <w:tcBorders>
              <w:top w:val="single" w:color="auto" w:sz="4" w:space="0"/>
              <w:left w:val="single" w:color="auto" w:sz="4" w:space="0"/>
              <w:bottom w:val="single" w:color="auto" w:sz="4" w:space="0"/>
              <w:right w:val="single" w:color="auto" w:sz="4" w:space="0"/>
            </w:tcBorders>
          </w:tcPr>
          <w:p w14:paraId="2EBE04BD">
            <w:pPr>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p>
        </w:tc>
      </w:tr>
      <w:tr w14:paraId="0007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195" w:type="dxa"/>
            <w:tcBorders>
              <w:top w:val="single" w:color="auto" w:sz="4" w:space="0"/>
              <w:left w:val="single" w:color="auto" w:sz="4" w:space="0"/>
              <w:bottom w:val="single" w:color="auto" w:sz="4" w:space="0"/>
              <w:right w:val="single" w:color="auto" w:sz="4" w:space="0"/>
            </w:tcBorders>
          </w:tcPr>
          <w:p w14:paraId="604985B7">
            <w:pPr>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100-500</w:t>
            </w:r>
          </w:p>
        </w:tc>
        <w:tc>
          <w:tcPr>
            <w:tcW w:w="4004" w:type="dxa"/>
            <w:tcBorders>
              <w:top w:val="single" w:color="auto" w:sz="4" w:space="0"/>
              <w:left w:val="single" w:color="auto" w:sz="4" w:space="0"/>
              <w:bottom w:val="single" w:color="auto" w:sz="4" w:space="0"/>
              <w:right w:val="single" w:color="auto" w:sz="4" w:space="0"/>
            </w:tcBorders>
          </w:tcPr>
          <w:p w14:paraId="616615E5">
            <w:pPr>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p>
        </w:tc>
      </w:tr>
    </w:tbl>
    <w:p w14:paraId="38D65C70">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中标服务费由中标供应商汇至以下账户：</w:t>
      </w:r>
    </w:p>
    <w:p w14:paraId="3C1E8C88">
      <w:pPr>
        <w:keepNext w:val="0"/>
        <w:keepLines w:val="0"/>
        <w:pageBreakBefore w:val="0"/>
        <w:widowControl w:val="0"/>
        <w:kinsoku/>
        <w:wordWrap/>
        <w:overflowPunct/>
        <w:topLinePunct w:val="0"/>
        <w:autoSpaceDE/>
        <w:autoSpaceDN/>
        <w:bidi w:val="0"/>
        <w:adjustRightInd/>
        <w:snapToGrid/>
        <w:spacing w:line="317"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帐户名称：中科标禾工程项目管理有限公司浙江东阳分公司</w:t>
      </w:r>
    </w:p>
    <w:p w14:paraId="453F2C9B">
      <w:pPr>
        <w:keepNext w:val="0"/>
        <w:keepLines w:val="0"/>
        <w:pageBreakBefore w:val="0"/>
        <w:widowControl w:val="0"/>
        <w:kinsoku/>
        <w:wordWrap/>
        <w:overflowPunct/>
        <w:topLinePunct w:val="0"/>
        <w:autoSpaceDE/>
        <w:autoSpaceDN/>
        <w:bidi w:val="0"/>
        <w:adjustRightInd/>
        <w:snapToGrid/>
        <w:spacing w:line="317"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账    号：201000270101015</w:t>
      </w:r>
    </w:p>
    <w:p w14:paraId="78E3180E">
      <w:pPr>
        <w:keepNext w:val="0"/>
        <w:keepLines w:val="0"/>
        <w:pageBreakBefore w:val="0"/>
        <w:widowControl w:val="0"/>
        <w:kinsoku/>
        <w:wordWrap/>
        <w:overflowPunct/>
        <w:topLinePunct w:val="0"/>
        <w:autoSpaceDE/>
        <w:autoSpaceDN/>
        <w:bidi w:val="0"/>
        <w:adjustRightInd/>
        <w:snapToGrid/>
        <w:spacing w:line="317"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开户银行：东阳农商银行六石支行樟村分理处</w:t>
      </w:r>
    </w:p>
    <w:p w14:paraId="0084F94D">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b/>
          <w:color w:val="auto"/>
          <w:sz w:val="24"/>
          <w:highlight w:val="none"/>
        </w:rPr>
        <w:t>（六）联合体</w:t>
      </w:r>
      <w:r>
        <w:rPr>
          <w:rFonts w:hint="eastAsia" w:ascii="宋体" w:hAnsi="宋体" w:cs="宋体"/>
          <w:b/>
          <w:bCs/>
          <w:color w:val="auto"/>
          <w:sz w:val="24"/>
          <w:highlight w:val="none"/>
        </w:rPr>
        <w:t>投标</w:t>
      </w:r>
      <w:r>
        <w:rPr>
          <w:rFonts w:hint="eastAsia" w:ascii="宋体" w:hAnsi="宋体" w:cs="宋体"/>
          <w:b/>
          <w:color w:val="auto"/>
          <w:sz w:val="24"/>
          <w:highlight w:val="none"/>
        </w:rPr>
        <w:tab/>
      </w:r>
    </w:p>
    <w:p w14:paraId="74DB4DD0">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本项目接受联合体投标。</w:t>
      </w:r>
    </w:p>
    <w:p w14:paraId="72AF5344">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44F02E81">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3C645D1B">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1563C7F5">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（八）特别说明：</w:t>
      </w:r>
    </w:p>
    <w:p w14:paraId="5F2E89C4">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多个供应商参加磋商，如其中两家或两家以上供应商的法定代表人为同一人或相互之间存在投资关系且达到控股的，应当按一个供应商认定。</w:t>
      </w:r>
    </w:p>
    <w:p w14:paraId="0E9738E0">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2.供应商磋商所使用的资格、信誉、荣誉与企业认证必须为本法人所拥有。供应商磋商所使用的采购项目实施人员必须为本法人员工（或必须为本法人或控股公司正式员工）。</w:t>
      </w:r>
    </w:p>
    <w:p w14:paraId="5F849122">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3.供应商应仔细阅读磋商文件的所有内容，按照磋商文件的要求提交磋商响应文件，并对所提供的全部资料的真实性承担法律责任。</w:t>
      </w:r>
    </w:p>
    <w:p w14:paraId="7DD5BDD7">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4.供应商在磋商活动中提供任何虚假材料,其磋商无效，并报监管部门查处；中标后发现的,中标人须依照《中华人民共和国消费者权益保护法》第49条之规定双倍赔偿采购人，且民事赔偿并不免除违法供应商的行政与刑事责任。</w:t>
      </w:r>
    </w:p>
    <w:p w14:paraId="604D7C7D">
      <w:pPr>
        <w:keepNext w:val="0"/>
        <w:keepLines w:val="0"/>
        <w:pageBreakBefore w:val="0"/>
        <w:widowControl w:val="0"/>
        <w:kinsoku/>
        <w:wordWrap/>
        <w:overflowPunct/>
        <w:topLinePunct w:val="0"/>
        <w:autoSpaceDE/>
        <w:autoSpaceDN/>
        <w:bidi w:val="0"/>
        <w:adjustRightInd/>
        <w:snapToGrid/>
        <w:spacing w:line="317" w:lineRule="auto"/>
        <w:textAlignment w:val="auto"/>
        <w:rPr>
          <w:color w:val="auto"/>
          <w:sz w:val="24"/>
          <w:highlight w:val="none"/>
        </w:rPr>
      </w:pPr>
      <w:r>
        <w:rPr>
          <w:rFonts w:hint="eastAsia" w:ascii="宋体" w:hAnsi="宋体" w:cs="宋体"/>
          <w:color w:val="auto"/>
          <w:sz w:val="24"/>
          <w:highlight w:val="none"/>
        </w:rPr>
        <w:t>5. 磋商小组认为预中标人的磋商报价明显低于其他通过符合性审查供应商的报价，有可能影响产品质量或者不能诚信履约的，应当要求其在磋商现场合理的时间内提供书面说明，必要时提交相关证明材料，预中标人不能证明其报价合理性的，磋商小组应当将其作为无效磋商响应处理。</w:t>
      </w:r>
    </w:p>
    <w:p w14:paraId="47BACFCF">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招标方不保证最低报价者为中标方。</w:t>
      </w:r>
    </w:p>
    <w:p w14:paraId="734930CB">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“政采云”平台运营机构，以及与该机构有直接控股或者管理关系可能影响采购公正性的任何单位和个人，不得在该平台进行的政府采购项目电子交易中磋商、响应政府采购项目。</w:t>
      </w:r>
    </w:p>
    <w:p w14:paraId="1F6EF8A1">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2984B47C">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color w:val="auto"/>
          <w:sz w:val="24"/>
          <w:highlight w:val="none"/>
        </w:rPr>
        <w:t>1.供应商认为磋商文件、招标过程或中标结果使自己的合法权益受到损害的，应当在知道或者应知其权益受到损害之日起七个工作日内，以书面形式向采购人、招标方提出质疑。供应商对招标方的质疑答复不满意或者招标方未在规定时间内作出答复的，可以在答复期满后十五个工作日内向同级采购监管部门投诉。</w:t>
      </w:r>
    </w:p>
    <w:p w14:paraId="49994F6F">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磋商文件、招标过程或中标结果中使自己合法权益受到损害的实质性内容，提供相关事实、依据和证据及其来源或线索，便于有关单位调查、答复和处理。</w:t>
      </w:r>
    </w:p>
    <w:p w14:paraId="4DB997FE">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color w:val="auto"/>
          <w:sz w:val="24"/>
          <w:highlight w:val="none"/>
        </w:rPr>
        <w:t>3. 采购人、招标方应当按照《浙江省政府采购供应商质疑处理办法》、中华人民共和国财政部第94号令《政府采购质疑和投诉办法》、《政府采购竞争性磋商采购方式管理暂行办法》进行受理与答复质疑。</w:t>
      </w:r>
    </w:p>
    <w:p w14:paraId="5CB48F15">
      <w:pPr>
        <w:pStyle w:val="5"/>
        <w:keepNext w:val="0"/>
        <w:keepLines w:val="0"/>
        <w:pageBreakBefore/>
        <w:widowControl w:val="0"/>
        <w:kinsoku/>
        <w:wordWrap/>
        <w:overflowPunct/>
        <w:topLinePunct w:val="0"/>
        <w:autoSpaceDE/>
        <w:autoSpaceDN/>
        <w:bidi w:val="0"/>
        <w:adjustRightInd/>
        <w:snapToGrid/>
        <w:spacing w:line="336" w:lineRule="auto"/>
        <w:jc w:val="center"/>
        <w:textAlignment w:val="auto"/>
        <w:rPr>
          <w:rFonts w:ascii="宋体" w:hAnsi="宋体" w:eastAsia="宋体" w:cs="宋体"/>
          <w:color w:val="auto"/>
          <w:sz w:val="24"/>
          <w:szCs w:val="24"/>
          <w:highlight w:val="none"/>
        </w:rPr>
      </w:pPr>
      <w:bookmarkStart w:id="9" w:name="_Toc454196066"/>
      <w:bookmarkStart w:id="10" w:name="_Toc458697268"/>
      <w:bookmarkStart w:id="11" w:name="_Toc26336"/>
      <w:r>
        <w:rPr>
          <w:rFonts w:hint="eastAsia" w:ascii="宋体" w:hAnsi="宋体" w:eastAsia="宋体" w:cs="宋体"/>
          <w:color w:val="auto"/>
          <w:sz w:val="24"/>
          <w:szCs w:val="24"/>
          <w:highlight w:val="none"/>
        </w:rPr>
        <w:t>二、</w:t>
      </w:r>
      <w:bookmarkEnd w:id="9"/>
      <w:bookmarkEnd w:id="10"/>
      <w:r>
        <w:rPr>
          <w:rFonts w:hint="eastAsia" w:ascii="宋体" w:hAnsi="宋体" w:eastAsia="宋体" w:cs="宋体"/>
          <w:color w:val="auto"/>
          <w:sz w:val="24"/>
          <w:szCs w:val="24"/>
          <w:highlight w:val="none"/>
        </w:rPr>
        <w:t>磋商文件</w:t>
      </w:r>
      <w:bookmarkEnd w:id="11"/>
    </w:p>
    <w:p w14:paraId="38D3572B">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（一）磋商文件的构成。本磋商文件由以下部分组成：</w:t>
      </w:r>
    </w:p>
    <w:p w14:paraId="3C58A445">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1.磋商公告</w:t>
      </w:r>
    </w:p>
    <w:p w14:paraId="0E442C52">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2.招标需求</w:t>
      </w:r>
    </w:p>
    <w:p w14:paraId="2447E7A4">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3.供应商须知</w:t>
      </w:r>
    </w:p>
    <w:p w14:paraId="4CED021C">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4.磋商办法及标准</w:t>
      </w:r>
    </w:p>
    <w:p w14:paraId="58DB57B5">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5.合同主要条款</w:t>
      </w:r>
    </w:p>
    <w:p w14:paraId="2003AE42">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6.磋商响应文件格式</w:t>
      </w:r>
    </w:p>
    <w:p w14:paraId="58F976E9">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7.本项目磋商文件的澄清、答复、修改、补充的内容</w:t>
      </w:r>
    </w:p>
    <w:p w14:paraId="7BD4F013">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（二）供应商的风险</w:t>
      </w:r>
    </w:p>
    <w:p w14:paraId="4ADA9B4E">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供应商没有按照磋商文件要求提供全部资料，或者供应商没有对磋商文件在各方面作出实质性响应是供应商的风险，并可能导致其磋商被拒绝。</w:t>
      </w:r>
    </w:p>
    <w:p w14:paraId="274EF2F8">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（三）磋商文件的澄清与修改 </w:t>
      </w:r>
    </w:p>
    <w:p w14:paraId="66B17FB2">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供应商应认真阅读本磋商文件，发现其中有误或有不合理要求的，供应商应当按照磋商公告第三、八条规定以书面形式要求招标方澄清</w:t>
      </w:r>
      <w:r>
        <w:rPr>
          <w:rFonts w:hint="eastAsia" w:ascii="宋体" w:hAnsi="宋体" w:cs="宋体"/>
          <w:color w:val="auto"/>
          <w:sz w:val="24"/>
          <w:highlight w:val="none"/>
        </w:rPr>
        <w:t>。招标方对已发出的磋商文件进行必要澄清、答复、修改或补充的，应当在磋商文件要求提交磋商响应文件截止时间5日前，在财政部门指定的政府采购信息发布媒体上发布更正公告，并以书面形式通知所有磋商文件收受人。</w:t>
      </w:r>
    </w:p>
    <w:p w14:paraId="7391D2FA">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2.招标方必须以书面形式答复供应商要求澄清的问题，并将不包含问题来源的答复书面通知所有购买磋商文件的供应商；除书面答复以外的其他澄清方式及澄清内容均无效。</w:t>
      </w:r>
    </w:p>
    <w:p w14:paraId="295D28B9">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3.磋商文件澄清、答复、修改、补充的内容为磋商文件的组成部分。当磋商文件与磋商文件的答复、澄清、修改、补充通知就同一内容的表述不一致时，以最后发出的书面文件为准。</w:t>
      </w:r>
    </w:p>
    <w:p w14:paraId="590CB8B0">
      <w:pPr>
        <w:keepNext w:val="0"/>
        <w:keepLines w:val="0"/>
        <w:widowControl w:val="0"/>
        <w:kinsoku/>
        <w:wordWrap/>
        <w:overflowPunct/>
        <w:topLinePunct w:val="0"/>
        <w:autoSpaceDE/>
        <w:autoSpaceDN/>
        <w:bidi w:val="0"/>
        <w:adjustRightInd/>
        <w:snapToGrid/>
        <w:spacing w:line="336"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4.磋商文件的澄清、答复、修改或补充都应该通过本招标机构以法定形式发布，采购人非通过本机构，不得擅自澄清、答复、修改或补充磋商文件。</w:t>
      </w:r>
    </w:p>
    <w:p w14:paraId="728D0AD6">
      <w:pPr>
        <w:keepNext w:val="0"/>
        <w:keepLines w:val="0"/>
        <w:widowControl w:val="0"/>
        <w:kinsoku/>
        <w:wordWrap/>
        <w:overflowPunct/>
        <w:topLinePunct w:val="0"/>
        <w:autoSpaceDE/>
        <w:autoSpaceDN/>
        <w:bidi w:val="0"/>
        <w:adjustRightInd/>
        <w:snapToGrid/>
        <w:spacing w:line="336"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5、磋商过程中，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通过电子交易平台交换数据电文的形式提交。</w:t>
      </w:r>
    </w:p>
    <w:p w14:paraId="6181F0FA">
      <w:pPr>
        <w:pStyle w:val="5"/>
        <w:keepNext w:val="0"/>
        <w:keepLines w:val="0"/>
        <w:pageBreakBefore/>
        <w:widowControl w:val="0"/>
        <w:kinsoku/>
        <w:wordWrap/>
        <w:overflowPunct/>
        <w:topLinePunct w:val="0"/>
        <w:autoSpaceDE/>
        <w:autoSpaceDN/>
        <w:bidi w:val="0"/>
        <w:adjustRightInd/>
        <w:spacing w:line="360" w:lineRule="auto"/>
        <w:jc w:val="center"/>
        <w:textAlignment w:val="auto"/>
        <w:rPr>
          <w:rFonts w:ascii="宋体" w:hAnsi="宋体" w:eastAsia="宋体" w:cs="宋体"/>
          <w:color w:val="auto"/>
          <w:sz w:val="24"/>
          <w:szCs w:val="24"/>
          <w:highlight w:val="none"/>
        </w:rPr>
      </w:pPr>
      <w:bookmarkStart w:id="12" w:name="_Toc458697269"/>
      <w:bookmarkStart w:id="13" w:name="_Toc454196067"/>
      <w:bookmarkStart w:id="14" w:name="_Toc28127"/>
      <w:r>
        <w:rPr>
          <w:rFonts w:hint="eastAsia" w:ascii="宋体" w:hAnsi="宋体" w:eastAsia="宋体" w:cs="宋体"/>
          <w:color w:val="auto"/>
          <w:sz w:val="24"/>
          <w:szCs w:val="24"/>
          <w:highlight w:val="none"/>
        </w:rPr>
        <w:t>三、磋商响应文件的编制</w:t>
      </w:r>
      <w:bookmarkEnd w:id="12"/>
      <w:bookmarkEnd w:id="13"/>
      <w:bookmarkEnd w:id="14"/>
    </w:p>
    <w:p w14:paraId="7AD71C8E">
      <w:pPr>
        <w:keepNext w:val="0"/>
        <w:keepLines w:val="0"/>
        <w:widowControl w:val="0"/>
        <w:kinsoku/>
        <w:wordWrap/>
        <w:overflowPunct/>
        <w:topLinePunct w:val="0"/>
        <w:autoSpaceDE/>
        <w:autoSpaceDN/>
        <w:bidi w:val="0"/>
        <w:adjustRightIn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▲（一）磋商响应文件的组成</w:t>
      </w:r>
    </w:p>
    <w:p w14:paraId="07B87BA3">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磋商响应文件由资格审查文件、商务技术文件、报价文件三部分组成。</w:t>
      </w:r>
    </w:p>
    <w:p w14:paraId="20A49D9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1.资格审查文件：</w:t>
      </w:r>
    </w:p>
    <w:p w14:paraId="733F549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（1）有效的营业执照复印件；</w:t>
      </w:r>
    </w:p>
    <w:p w14:paraId="12A6F4A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7A555D8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 ；</w:t>
      </w:r>
    </w:p>
    <w:p w14:paraId="494F917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sz w:val="24"/>
          <w:szCs w:val="24"/>
          <w:highlight w:val="none"/>
          <w:lang w:eastAsia="zh-CN"/>
        </w:rPr>
        <w:t>磋商</w:t>
      </w:r>
      <w:r>
        <w:rPr>
          <w:rFonts w:hint="eastAsia" w:ascii="宋体" w:hAnsi="宋体" w:cs="宋体"/>
          <w:bCs/>
          <w:sz w:val="24"/>
          <w:szCs w:val="24"/>
          <w:highlight w:val="none"/>
        </w:rPr>
        <w:t>声明书</w:t>
      </w:r>
      <w:r>
        <w:rPr>
          <w:rFonts w:hint="eastAsia" w:ascii="宋体" w:hAnsi="宋体" w:cs="宋体"/>
          <w:color w:val="auto"/>
          <w:sz w:val="24"/>
          <w:highlight w:val="none"/>
        </w:rPr>
        <w:t xml:space="preserve"> (格式见附件) ；</w:t>
      </w:r>
    </w:p>
    <w:p w14:paraId="4CF01FE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（5）浙江政府采购网注册正式供应商的网络截图或承诺书；</w:t>
      </w:r>
    </w:p>
    <w:p w14:paraId="3424D02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6）水利水电工程施工总承包三级（含）以上资质和</w:t>
      </w:r>
      <w:r>
        <w:rPr>
          <w:rFonts w:hint="eastAsia" w:ascii="宋体" w:hAnsi="宋体" w:cs="宋体"/>
          <w:color w:val="auto"/>
          <w:sz w:val="24"/>
          <w:highlight w:val="none"/>
        </w:rPr>
        <w:t>安全生产许可证</w:t>
      </w:r>
      <w:r>
        <w:rPr>
          <w:rFonts w:hint="eastAsia" w:ascii="宋体" w:hAnsi="宋体" w:cs="宋体"/>
          <w:color w:val="auto"/>
          <w:sz w:val="24"/>
          <w:highlight w:val="none"/>
          <w:lang w:eastAsia="zh-CN"/>
        </w:rPr>
        <w:t>，</w:t>
      </w:r>
      <w:r>
        <w:rPr>
          <w:rFonts w:hint="eastAsia" w:ascii="宋体" w:hAnsi="宋体" w:cs="宋体"/>
          <w:color w:val="auto"/>
          <w:sz w:val="24"/>
          <w:highlight w:val="none"/>
        </w:rPr>
        <w:t>提供有效期内的证书复印件</w:t>
      </w:r>
      <w:r>
        <w:rPr>
          <w:rFonts w:hint="eastAsia" w:ascii="宋体" w:hAnsi="宋体" w:cs="宋体"/>
          <w:color w:val="auto"/>
          <w:sz w:val="24"/>
          <w:highlight w:val="none"/>
          <w:lang w:eastAsia="zh-CN"/>
        </w:rPr>
        <w:t>。</w:t>
      </w:r>
    </w:p>
    <w:p w14:paraId="3520716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）落实政府采购政策需满足的资格条件：供应商为中小企业/小微企业，提供《中小企业声明函》（格式见附件）</w:t>
      </w:r>
      <w:r>
        <w:rPr>
          <w:rFonts w:hint="eastAsia" w:ascii="宋体" w:hAnsi="宋体" w:cs="宋体"/>
          <w:color w:val="auto"/>
          <w:sz w:val="24"/>
          <w:highlight w:val="none"/>
          <w:lang w:eastAsia="zh-CN"/>
        </w:rPr>
        <w:t>。</w:t>
      </w:r>
    </w:p>
    <w:p w14:paraId="4294FA3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）联合体协议（如有，格式见附件）；</w:t>
      </w:r>
      <w:r>
        <w:rPr>
          <w:rFonts w:hint="eastAsia" w:ascii="宋体" w:hAnsi="宋体" w:eastAsia="宋体" w:cs="宋体"/>
          <w:sz w:val="24"/>
          <w:szCs w:val="24"/>
          <w:highlight w:val="none"/>
          <w:lang w:eastAsia="zh-CN"/>
        </w:rPr>
        <w:t>分包意向协议（分包投标时适用，格式见附件）</w:t>
      </w:r>
    </w:p>
    <w:p w14:paraId="0349B38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）政府采购代理机构社会评价表(格式见附件)。 </w:t>
      </w:r>
    </w:p>
    <w:p w14:paraId="5D3D61A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8EAE2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备注：供应商的资格审查由招标代理机构和采购人在评标委员会评标以前进行。供应商应未被列入失信被执行人名单、重大税收违法案件当事人名单、政府采购严重违法失信行为记录名单，信用信息以投标截止日信用中国网站（www.creditchina.gov.cn）、中国政府采购网（www.ccgp.gov.cn）公布为准。</w:t>
      </w:r>
    </w:p>
    <w:p w14:paraId="73411484">
      <w:pPr>
        <w:numPr>
          <w:ilvl w:val="0"/>
          <w:numId w:val="0"/>
        </w:numPr>
        <w:spacing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w:t>
      </w:r>
      <w:r>
        <w:rPr>
          <w:rFonts w:hint="eastAsia" w:ascii="宋体" w:hAnsi="宋体" w:cs="宋体"/>
          <w:bCs/>
          <w:kern w:val="2"/>
          <w:sz w:val="24"/>
          <w:szCs w:val="24"/>
          <w:highlight w:val="none"/>
          <w:lang w:val="en-US" w:eastAsia="zh-CN" w:bidi="ar-SA"/>
        </w:rPr>
        <w:t>1</w:t>
      </w: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b w:val="0"/>
          <w:bCs w:val="0"/>
          <w:color w:val="auto"/>
          <w:sz w:val="24"/>
          <w:szCs w:val="24"/>
          <w:highlight w:val="none"/>
        </w:rPr>
        <w:t>政府采购供应商诚信承诺书</w:t>
      </w:r>
      <w:r>
        <w:rPr>
          <w:rFonts w:hint="eastAsia" w:ascii="宋体" w:hAnsi="宋体" w:cs="宋体"/>
          <w:color w:val="auto"/>
          <w:sz w:val="24"/>
          <w:highlight w:val="none"/>
        </w:rPr>
        <w:t>(格式见附件)</w:t>
      </w:r>
    </w:p>
    <w:p w14:paraId="1DA1B572">
      <w:pPr>
        <w:numPr>
          <w:ilvl w:val="0"/>
          <w:numId w:val="0"/>
        </w:numPr>
        <w:spacing w:line="360" w:lineRule="auto"/>
        <w:rPr>
          <w:rFonts w:hint="eastAsia"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12）</w:t>
      </w:r>
      <w:r>
        <w:rPr>
          <w:rFonts w:hint="eastAsia" w:ascii="宋体" w:hAnsi="宋体" w:cs="宋体"/>
          <w:bCs/>
          <w:sz w:val="24"/>
          <w:szCs w:val="24"/>
          <w:highlight w:val="none"/>
        </w:rPr>
        <w:t>残疾人福利性单位声明函（残疾人福利性单位投标时适用，格式见附件）</w:t>
      </w:r>
    </w:p>
    <w:p w14:paraId="7E895E8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Cs/>
          <w:sz w:val="24"/>
          <w:szCs w:val="24"/>
          <w:highlight w:val="none"/>
        </w:rPr>
      </w:pPr>
      <w:r>
        <w:rPr>
          <w:rFonts w:hint="default" w:ascii="宋体" w:hAnsi="宋体" w:eastAsia="宋体" w:cs="宋体"/>
          <w:bCs/>
          <w:kern w:val="2"/>
          <w:sz w:val="24"/>
          <w:szCs w:val="24"/>
          <w:highlight w:val="none"/>
          <w:lang w:val="en-US" w:eastAsia="zh-CN" w:bidi="ar-SA"/>
        </w:rPr>
        <w:t>（1</w:t>
      </w:r>
      <w:r>
        <w:rPr>
          <w:rFonts w:hint="eastAsia" w:ascii="宋体" w:hAnsi="宋体" w:cs="宋体"/>
          <w:bCs/>
          <w:kern w:val="2"/>
          <w:sz w:val="24"/>
          <w:szCs w:val="24"/>
          <w:highlight w:val="none"/>
          <w:lang w:val="en-US" w:eastAsia="zh-CN" w:bidi="ar-SA"/>
        </w:rPr>
        <w:t>3</w:t>
      </w:r>
      <w:r>
        <w:rPr>
          <w:rFonts w:hint="default" w:ascii="宋体" w:hAnsi="宋体" w:eastAsia="宋体"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供应</w:t>
      </w:r>
      <w:r>
        <w:rPr>
          <w:rFonts w:hint="eastAsia" w:ascii="宋体" w:hAnsi="宋体" w:cs="宋体"/>
          <w:bCs/>
          <w:sz w:val="24"/>
          <w:szCs w:val="24"/>
          <w:highlight w:val="none"/>
          <w:lang w:eastAsia="zh-CN"/>
        </w:rPr>
        <w:t>商</w:t>
      </w:r>
      <w:r>
        <w:rPr>
          <w:rFonts w:hint="eastAsia" w:ascii="宋体" w:hAnsi="宋体" w:cs="宋体"/>
          <w:bCs/>
          <w:sz w:val="24"/>
          <w:szCs w:val="24"/>
          <w:highlight w:val="none"/>
        </w:rPr>
        <w:t>认为有必要提供的其它文件。</w:t>
      </w:r>
    </w:p>
    <w:p w14:paraId="25A0ED78">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.商务技术文件</w:t>
      </w:r>
    </w:p>
    <w:p w14:paraId="3441DFD4">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olor w:val="auto"/>
          <w:sz w:val="24"/>
          <w:highlight w:val="none"/>
        </w:rPr>
      </w:pPr>
      <w:r>
        <w:rPr>
          <w:rFonts w:hint="eastAsia" w:ascii="宋体" w:hAnsi="宋体"/>
          <w:color w:val="auto"/>
          <w:sz w:val="24"/>
          <w:highlight w:val="none"/>
        </w:rPr>
        <w:t>（1）供应商资信商务、技术自评得分表（格式见附件）；</w:t>
      </w:r>
    </w:p>
    <w:p w14:paraId="7BC59282">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bCs/>
          <w:color w:val="auto"/>
          <w:sz w:val="24"/>
          <w:highlight w:val="none"/>
        </w:rPr>
      </w:pPr>
      <w:r>
        <w:rPr>
          <w:rFonts w:hint="eastAsia" w:ascii="宋体" w:hAnsi="宋体"/>
          <w:bCs/>
          <w:color w:val="auto"/>
          <w:sz w:val="24"/>
          <w:highlight w:val="none"/>
        </w:rPr>
        <w:t>（2）商务响应表（格式见附件）；</w:t>
      </w:r>
    </w:p>
    <w:p w14:paraId="6A3E67EB">
      <w:pPr>
        <w:keepNext w:val="0"/>
        <w:keepLines w:val="0"/>
        <w:pageBreakBefore w:val="0"/>
        <w:widowControl w:val="0"/>
        <w:kinsoku/>
        <w:wordWrap/>
        <w:overflowPunct/>
        <w:topLinePunct w:val="0"/>
        <w:autoSpaceDE/>
        <w:autoSpaceDN/>
        <w:bidi w:val="0"/>
        <w:adjustRightInd/>
        <w:snapToGrid w:val="0"/>
        <w:spacing w:line="351" w:lineRule="auto"/>
        <w:jc w:val="left"/>
        <w:textAlignment w:val="auto"/>
        <w:rPr>
          <w:rFonts w:ascii="宋体" w:hAnsi="宋体" w:cs="宋体"/>
          <w:color w:val="auto"/>
          <w:sz w:val="24"/>
          <w:highlight w:val="none"/>
        </w:rPr>
      </w:pPr>
      <w:r>
        <w:rPr>
          <w:rFonts w:hint="eastAsia" w:ascii="宋体" w:hAnsi="宋体"/>
          <w:color w:val="auto"/>
          <w:sz w:val="24"/>
          <w:highlight w:val="none"/>
        </w:rPr>
        <w:t>（3）技术响应表（格式见附件）；</w:t>
      </w:r>
    </w:p>
    <w:p w14:paraId="3644064E">
      <w:pPr>
        <w:keepNext w:val="0"/>
        <w:keepLines w:val="0"/>
        <w:pageBreakBefore w:val="0"/>
        <w:widowControl w:val="0"/>
        <w:kinsoku/>
        <w:wordWrap/>
        <w:overflowPunct/>
        <w:topLinePunct w:val="0"/>
        <w:autoSpaceDE/>
        <w:autoSpaceDN/>
        <w:bidi w:val="0"/>
        <w:adjustRightInd/>
        <w:snapToGrid/>
        <w:spacing w:line="351" w:lineRule="auto"/>
        <w:jc w:val="both"/>
        <w:textAlignment w:val="auto"/>
        <w:rPr>
          <w:rFonts w:ascii="宋体" w:hAnsi="宋体" w:cs="宋体"/>
          <w:color w:val="auto"/>
          <w:sz w:val="24"/>
          <w:highlight w:val="none"/>
        </w:rPr>
      </w:pPr>
      <w:r>
        <w:rPr>
          <w:rFonts w:hint="eastAsia" w:ascii="宋体" w:hAnsi="宋体" w:cs="宋体"/>
          <w:color w:val="auto"/>
          <w:sz w:val="24"/>
          <w:highlight w:val="none"/>
        </w:rPr>
        <w:t>（4）项目理解情况；</w:t>
      </w:r>
    </w:p>
    <w:p w14:paraId="43FE35A9">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rPr>
      </w:pPr>
      <w:r>
        <w:rPr>
          <w:rFonts w:hint="eastAsia" w:ascii="宋体" w:hAnsi="宋体" w:cs="宋体"/>
          <w:color w:val="auto"/>
          <w:sz w:val="24"/>
          <w:highlight w:val="none"/>
        </w:rPr>
        <w:t>（5）施工方案；</w:t>
      </w:r>
    </w:p>
    <w:p w14:paraId="436DFEE9">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rPr>
      </w:pPr>
      <w:r>
        <w:rPr>
          <w:rFonts w:hint="eastAsia" w:ascii="宋体" w:hAnsi="宋体" w:cs="宋体"/>
          <w:color w:val="auto"/>
          <w:sz w:val="24"/>
          <w:highlight w:val="none"/>
        </w:rPr>
        <w:t>（6）施工进度</w:t>
      </w:r>
      <w:r>
        <w:rPr>
          <w:rFonts w:hint="eastAsia" w:ascii="宋体" w:hAnsi="宋体" w:cs="宋体"/>
          <w:color w:val="auto"/>
          <w:sz w:val="24"/>
          <w:highlight w:val="none"/>
          <w:lang w:eastAsia="zh-CN"/>
        </w:rPr>
        <w:t>；</w:t>
      </w:r>
    </w:p>
    <w:p w14:paraId="4CB8E12E">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）质量保障</w:t>
      </w:r>
      <w:r>
        <w:rPr>
          <w:rFonts w:hint="eastAsia" w:ascii="宋体" w:hAnsi="宋体" w:eastAsia="宋体" w:cs="宋体"/>
          <w:color w:val="auto"/>
          <w:kern w:val="0"/>
          <w:sz w:val="24"/>
          <w:highlight w:val="none"/>
          <w:lang w:val="en-US" w:eastAsia="zh-CN"/>
        </w:rPr>
        <w:t>；</w:t>
      </w:r>
    </w:p>
    <w:p w14:paraId="2CC11740">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）安全、文明施工等的保证措施；</w:t>
      </w:r>
    </w:p>
    <w:p w14:paraId="49CDBC96">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）施工机具设备；</w:t>
      </w:r>
    </w:p>
    <w:p w14:paraId="13E2F79C">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）材料设备进场计划；</w:t>
      </w:r>
    </w:p>
    <w:p w14:paraId="62701597">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 xml:space="preserve">）项目人员； </w:t>
      </w:r>
    </w:p>
    <w:p w14:paraId="18DEA449">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）布置情况；</w:t>
      </w:r>
    </w:p>
    <w:p w14:paraId="37FDE274">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）关键工序、复杂环节的相应措施；</w:t>
      </w:r>
    </w:p>
    <w:p w14:paraId="2D422ECF">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）施工重点难点分析；</w:t>
      </w:r>
    </w:p>
    <w:p w14:paraId="7CBA8956">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）成品保护的保证措施；</w:t>
      </w:r>
    </w:p>
    <w:p w14:paraId="25D4CB7E">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）管理协调；</w:t>
      </w:r>
    </w:p>
    <w:p w14:paraId="26D55E49">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）企业荣誉；</w:t>
      </w:r>
    </w:p>
    <w:p w14:paraId="1BBD6F92">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）同类项目业绩（格式见附件）；</w:t>
      </w:r>
    </w:p>
    <w:p w14:paraId="48849F3F">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）售后保障；</w:t>
      </w:r>
    </w:p>
    <w:p w14:paraId="58A8132F">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）合理化建议；</w:t>
      </w:r>
    </w:p>
    <w:p w14:paraId="2A7CA3AE">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）安全生产及其他承诺函（格式见附件）；</w:t>
      </w:r>
    </w:p>
    <w:p w14:paraId="5F5EB08F">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bCs/>
          <w:color w:val="auto"/>
          <w:sz w:val="24"/>
          <w:highlight w:val="none"/>
        </w:rPr>
        <w:t>服务费承诺书（格式见附件）；</w:t>
      </w:r>
    </w:p>
    <w:p w14:paraId="4040BF87">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w:t>
      </w:r>
      <w:r>
        <w:rPr>
          <w:rFonts w:hint="eastAsia" w:ascii="宋体" w:hAnsi="宋体"/>
          <w:bCs/>
          <w:color w:val="auto"/>
          <w:sz w:val="24"/>
          <w:highlight w:val="none"/>
        </w:rPr>
        <w:t>需要说明的其他文件和说明。</w:t>
      </w:r>
    </w:p>
    <w:p w14:paraId="7293D545">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.报价文件</w:t>
      </w:r>
    </w:p>
    <w:p w14:paraId="7CEC0C3D">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（1）磋商响应函（格式见附件）； </w:t>
      </w:r>
    </w:p>
    <w:p w14:paraId="054AA25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（2）初次报价表（格式见附件）；</w:t>
      </w:r>
    </w:p>
    <w:p w14:paraId="4DCFFDC5">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中小企业声明函</w:t>
      </w:r>
      <w:r>
        <w:rPr>
          <w:rFonts w:hint="eastAsia" w:ascii="宋体" w:hAnsi="宋体" w:cs="宋体"/>
          <w:bCs/>
          <w:strike w:val="0"/>
          <w:dstrike w:val="0"/>
          <w:sz w:val="24"/>
          <w:szCs w:val="24"/>
          <w:highlight w:val="none"/>
        </w:rPr>
        <w:t>（格式见附件）</w:t>
      </w:r>
      <w:r>
        <w:rPr>
          <w:rFonts w:hint="eastAsia" w:ascii="宋体" w:hAnsi="宋体" w:cs="宋体"/>
          <w:color w:val="auto"/>
          <w:sz w:val="24"/>
          <w:highlight w:val="none"/>
        </w:rPr>
        <w:t xml:space="preserve"> </w:t>
      </w:r>
    </w:p>
    <w:p w14:paraId="38567457">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）供应商针对报价需要说明的其他文件和说明（格式自拟）；</w:t>
      </w:r>
    </w:p>
    <w:p w14:paraId="3C90036C">
      <w:pPr>
        <w:spacing w:line="430" w:lineRule="exact"/>
        <w:rPr>
          <w:rFonts w:ascii="宋体" w:hAnsi="宋体" w:cs="宋体"/>
          <w:b/>
          <w:color w:val="auto"/>
          <w:sz w:val="24"/>
          <w:highlight w:val="none"/>
        </w:rPr>
      </w:pPr>
      <w:r>
        <w:rPr>
          <w:rFonts w:hint="eastAsia" w:ascii="宋体" w:hAnsi="宋体" w:cs="宋体"/>
          <w:b/>
          <w:color w:val="auto"/>
          <w:sz w:val="24"/>
          <w:highlight w:val="none"/>
        </w:rPr>
        <w:t>▲（二）磋商响应文件的语言及计量</w:t>
      </w:r>
    </w:p>
    <w:p w14:paraId="351F0B66">
      <w:pPr>
        <w:spacing w:line="430" w:lineRule="exact"/>
        <w:rPr>
          <w:rFonts w:ascii="宋体" w:hAnsi="宋体" w:cs="宋体"/>
          <w:color w:val="auto"/>
          <w:sz w:val="24"/>
          <w:highlight w:val="none"/>
        </w:rPr>
      </w:pPr>
      <w:r>
        <w:rPr>
          <w:rFonts w:hint="eastAsia" w:ascii="宋体" w:hAnsi="宋体" w:cs="宋体"/>
          <w:color w:val="auto"/>
          <w:sz w:val="24"/>
          <w:highlight w:val="none"/>
        </w:rPr>
        <w:t>1．磋商响应文件以及供应商与招标方就有关磋商事宜的所有来往函电，均应以中文汉语书写。除签名、盖章、专用名称等特殊情形外，以中文汉语以外的文字表述的磋商响应文件视同未提供。</w:t>
      </w:r>
    </w:p>
    <w:p w14:paraId="0F6E7BBC">
      <w:pPr>
        <w:spacing w:line="430" w:lineRule="exact"/>
        <w:rPr>
          <w:rFonts w:ascii="宋体" w:hAnsi="宋体" w:cs="宋体"/>
          <w:color w:val="auto"/>
          <w:sz w:val="24"/>
          <w:highlight w:val="none"/>
        </w:rPr>
      </w:pPr>
      <w:r>
        <w:rPr>
          <w:rFonts w:hint="eastAsia" w:ascii="宋体" w:hAnsi="宋体" w:cs="宋体"/>
          <w:color w:val="auto"/>
          <w:sz w:val="24"/>
          <w:highlight w:val="none"/>
        </w:rPr>
        <w:t>2.磋商计量单位，应采用中华人民共和国法定计量单位（货币单位：人民币元），否则视同未响应。</w:t>
      </w:r>
    </w:p>
    <w:p w14:paraId="1FED0B8F">
      <w:pPr>
        <w:spacing w:line="430" w:lineRule="exact"/>
        <w:rPr>
          <w:rFonts w:ascii="宋体" w:hAnsi="宋体" w:cs="宋体"/>
          <w:b/>
          <w:bCs/>
          <w:color w:val="auto"/>
          <w:sz w:val="24"/>
          <w:highlight w:val="none"/>
        </w:rPr>
      </w:pPr>
      <w:r>
        <w:rPr>
          <w:rFonts w:hint="eastAsia" w:ascii="宋体" w:hAnsi="宋体" w:cs="宋体"/>
          <w:b/>
          <w:bCs/>
          <w:color w:val="auto"/>
          <w:sz w:val="24"/>
          <w:highlight w:val="none"/>
        </w:rPr>
        <w:t>▲（三）磋商报价</w:t>
      </w:r>
    </w:p>
    <w:p w14:paraId="77F84A37">
      <w:pPr>
        <w:spacing w:line="430" w:lineRule="exact"/>
        <w:rPr>
          <w:rFonts w:ascii="宋体" w:hAnsi="宋体" w:cs="宋体"/>
          <w:color w:val="auto"/>
          <w:sz w:val="24"/>
          <w:highlight w:val="none"/>
        </w:rPr>
      </w:pPr>
      <w:r>
        <w:rPr>
          <w:rFonts w:hint="eastAsia" w:ascii="宋体" w:hAnsi="宋体" w:cs="宋体"/>
          <w:color w:val="auto"/>
          <w:sz w:val="24"/>
          <w:highlight w:val="none"/>
        </w:rPr>
        <w:t>1.磋商报价应按磋商文件中相关附表格式填写。</w:t>
      </w:r>
    </w:p>
    <w:p w14:paraId="1EC48A9D">
      <w:pPr>
        <w:pStyle w:val="3"/>
        <w:spacing w:line="430" w:lineRule="exact"/>
        <w:ind w:firstLine="0" w:firstLineChars="0"/>
        <w:rPr>
          <w:rFonts w:ascii="宋体" w:hAnsi="宋体" w:eastAsia="宋体" w:cs="仿宋_GB2312"/>
          <w:bCs w:val="0"/>
          <w:color w:val="auto"/>
          <w:sz w:val="24"/>
          <w:highlight w:val="none"/>
        </w:rPr>
      </w:pPr>
      <w:r>
        <w:rPr>
          <w:rFonts w:hint="eastAsia" w:ascii="宋体" w:hAnsi="宋体" w:eastAsia="宋体" w:cs="仿宋_GB2312"/>
          <w:bCs w:val="0"/>
          <w:color w:val="auto"/>
          <w:sz w:val="24"/>
          <w:highlight w:val="none"/>
        </w:rPr>
        <w:t>2.磋商报价包括施工所需的施工费、材料费、供货、运输、装卸、安装调试、机械费、人工费、服务费、安全措施费等实施本项目相关的一切费用及税金。</w:t>
      </w:r>
    </w:p>
    <w:p w14:paraId="04617CE0">
      <w:pPr>
        <w:spacing w:line="430" w:lineRule="exact"/>
        <w:rPr>
          <w:rFonts w:ascii="宋体" w:hAnsi="宋体" w:cs="宋体"/>
          <w:b/>
          <w:bCs/>
          <w:color w:val="auto"/>
          <w:sz w:val="24"/>
          <w:highlight w:val="none"/>
        </w:rPr>
      </w:pPr>
      <w:r>
        <w:rPr>
          <w:rFonts w:hint="eastAsia" w:ascii="宋体" w:hAnsi="宋体" w:cs="宋体"/>
          <w:b/>
          <w:bCs/>
          <w:color w:val="auto"/>
          <w:sz w:val="24"/>
          <w:highlight w:val="none"/>
        </w:rPr>
        <w:t>（四）磋商响应文件的有效期</w:t>
      </w:r>
    </w:p>
    <w:p w14:paraId="48A2D615">
      <w:pPr>
        <w:spacing w:line="430" w:lineRule="exact"/>
        <w:rPr>
          <w:rFonts w:ascii="宋体" w:hAnsi="宋体" w:cs="宋体"/>
          <w:color w:val="auto"/>
          <w:sz w:val="24"/>
          <w:highlight w:val="none"/>
        </w:rPr>
      </w:pPr>
      <w:bookmarkStart w:id="15" w:name="_Toc450548873"/>
      <w:bookmarkStart w:id="16" w:name="_Toc405368930"/>
      <w:r>
        <w:rPr>
          <w:rFonts w:hint="eastAsia" w:ascii="宋体" w:hAnsi="宋体" w:cs="宋体"/>
          <w:color w:val="auto"/>
          <w:sz w:val="24"/>
          <w:highlight w:val="none"/>
        </w:rPr>
        <w:t>▲1.自磋商截止日起</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0</w:t>
      </w:r>
      <w:r>
        <w:rPr>
          <w:rFonts w:hint="eastAsia" w:ascii="宋体" w:hAnsi="宋体" w:cs="宋体"/>
          <w:color w:val="auto"/>
          <w:sz w:val="24"/>
          <w:highlight w:val="none"/>
        </w:rPr>
        <w:t>天磋商响应文件应保持有效。有效期不足的磋商响应文件将被拒绝。</w:t>
      </w:r>
    </w:p>
    <w:p w14:paraId="2EEF5812">
      <w:pPr>
        <w:spacing w:line="430" w:lineRule="exact"/>
        <w:rPr>
          <w:rFonts w:ascii="宋体" w:hAnsi="宋体" w:cs="宋体"/>
          <w:color w:val="auto"/>
          <w:sz w:val="24"/>
          <w:highlight w:val="none"/>
        </w:rPr>
      </w:pPr>
      <w:r>
        <w:rPr>
          <w:rFonts w:hint="eastAsia" w:ascii="宋体" w:hAnsi="宋体" w:cs="宋体"/>
          <w:color w:val="auto"/>
          <w:sz w:val="24"/>
          <w:highlight w:val="none"/>
        </w:rPr>
        <w:t>2.在特殊情况下，招标人可与供应商协商延长磋商响应文件的有效期，这种要求和答复均以书面形式进行。</w:t>
      </w:r>
    </w:p>
    <w:p w14:paraId="7366B36E">
      <w:pPr>
        <w:spacing w:line="430" w:lineRule="exact"/>
        <w:rPr>
          <w:rFonts w:ascii="宋体" w:hAnsi="宋体" w:cs="宋体"/>
          <w:color w:val="auto"/>
          <w:sz w:val="24"/>
          <w:highlight w:val="none"/>
        </w:rPr>
      </w:pPr>
      <w:bookmarkStart w:id="17" w:name="_Toc407182105"/>
      <w:r>
        <w:rPr>
          <w:rFonts w:hint="eastAsia" w:ascii="宋体" w:hAnsi="宋体" w:cs="宋体"/>
          <w:color w:val="auto"/>
          <w:sz w:val="24"/>
          <w:highlight w:val="none"/>
        </w:rPr>
        <w:t>3.供应商可拒绝接受延期要求，若同意延长有效期的供应商，则不能修改磋商响应文件。</w:t>
      </w:r>
      <w:bookmarkEnd w:id="17"/>
      <w:r>
        <w:rPr>
          <w:rFonts w:hint="eastAsia" w:ascii="宋体" w:hAnsi="宋体" w:cs="宋体"/>
          <w:color w:val="auto"/>
          <w:sz w:val="24"/>
          <w:highlight w:val="none"/>
        </w:rPr>
        <w:t xml:space="preserve"> </w:t>
      </w:r>
    </w:p>
    <w:p w14:paraId="21EEC737">
      <w:pPr>
        <w:spacing w:line="430" w:lineRule="exact"/>
        <w:rPr>
          <w:rFonts w:ascii="宋体" w:hAnsi="宋体" w:cs="宋体"/>
          <w:color w:val="auto"/>
          <w:sz w:val="24"/>
          <w:highlight w:val="none"/>
        </w:rPr>
      </w:pPr>
      <w:r>
        <w:rPr>
          <w:rFonts w:hint="eastAsia" w:ascii="宋体" w:hAnsi="宋体" w:cs="宋体"/>
          <w:color w:val="auto"/>
          <w:sz w:val="24"/>
          <w:highlight w:val="none"/>
        </w:rPr>
        <w:t>4.中标人的磋商响应文件自开标之日起至合同履行完毕止均应保持有效。</w:t>
      </w:r>
    </w:p>
    <w:bookmarkEnd w:id="15"/>
    <w:bookmarkEnd w:id="16"/>
    <w:p w14:paraId="16867E85">
      <w:pPr>
        <w:spacing w:line="360" w:lineRule="auto"/>
        <w:rPr>
          <w:rFonts w:ascii="宋体" w:hAnsi="宋体" w:cs="宋体"/>
          <w:b/>
          <w:color w:val="auto"/>
          <w:sz w:val="24"/>
          <w:highlight w:val="none"/>
        </w:rPr>
      </w:pPr>
      <w:r>
        <w:rPr>
          <w:rFonts w:hint="eastAsia" w:ascii="宋体" w:hAnsi="宋体" w:cs="宋体"/>
          <w:b/>
          <w:color w:val="auto"/>
          <w:sz w:val="24"/>
          <w:highlight w:val="none"/>
        </w:rPr>
        <w:t>▲（五）履约保证金</w:t>
      </w:r>
    </w:p>
    <w:p w14:paraId="4CEE69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▲1.保证金形式：</w:t>
      </w:r>
      <w:r>
        <w:rPr>
          <w:rFonts w:hint="eastAsia" w:ascii="宋体" w:hAnsi="宋体" w:cs="宋体"/>
          <w:color w:val="auto"/>
          <w:sz w:val="24"/>
          <w:highlight w:val="none"/>
          <w:u w:val="single"/>
          <w:lang w:val="en-US" w:eastAsia="zh-CN"/>
        </w:rPr>
        <w:t>支票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汇票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本票</w:t>
      </w:r>
      <w:r>
        <w:rPr>
          <w:rFonts w:hint="eastAsia" w:ascii="宋体" w:hAnsi="宋体" w:eastAsia="宋体" w:cs="宋体"/>
          <w:color w:val="auto"/>
          <w:sz w:val="24"/>
          <w:highlight w:val="none"/>
          <w:u w:val="single"/>
        </w:rPr>
        <w:t>、保函</w:t>
      </w:r>
      <w:r>
        <w:rPr>
          <w:rFonts w:hint="eastAsia" w:ascii="宋体" w:hAnsi="宋体" w:eastAsia="宋体" w:cs="宋体"/>
          <w:color w:val="auto"/>
          <w:sz w:val="24"/>
          <w:highlight w:val="none"/>
        </w:rPr>
        <w:t xml:space="preserve">   </w:t>
      </w:r>
    </w:p>
    <w:p w14:paraId="6ECE1EE6">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▲2.中标人在收到中标通知书后，需向采购人提供</w:t>
      </w:r>
      <w:r>
        <w:rPr>
          <w:rFonts w:hint="eastAsia" w:ascii="宋体" w:hAnsi="宋体" w:cs="宋体"/>
          <w:color w:val="auto"/>
          <w:sz w:val="24"/>
          <w:highlight w:val="none"/>
          <w:lang w:val="en-US" w:eastAsia="zh-CN"/>
        </w:rPr>
        <w:t>中标价的1</w:t>
      </w:r>
      <w:r>
        <w:rPr>
          <w:rFonts w:hint="eastAsia" w:ascii="宋体" w:hAnsi="宋体" w:eastAsia="宋体" w:cs="宋体"/>
          <w:color w:val="auto"/>
          <w:sz w:val="24"/>
          <w:highlight w:val="none"/>
        </w:rPr>
        <w:t>%的履约保证金，在中标人与采购人签订合同前递交，</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需以支票、汇票、本票或者金融机构、保险公司、担保机构出具的</w:t>
      </w:r>
      <w:r>
        <w:rPr>
          <w:rFonts w:hint="eastAsia" w:ascii="宋体" w:hAnsi="宋体" w:cs="宋体"/>
          <w:color w:val="auto"/>
          <w:sz w:val="24"/>
          <w:highlight w:val="none"/>
          <w:lang w:val="en-US" w:eastAsia="zh-CN"/>
        </w:rPr>
        <w:t>保函/保险（可在政采云平台购买，咨询热线4009039583）等非现金形式</w:t>
      </w:r>
      <w:r>
        <w:rPr>
          <w:rFonts w:hint="eastAsia" w:ascii="宋体" w:hAnsi="宋体" w:eastAsia="宋体" w:cs="宋体"/>
          <w:color w:val="auto"/>
          <w:sz w:val="24"/>
          <w:highlight w:val="none"/>
          <w:lang w:val="en-US" w:eastAsia="zh-CN"/>
        </w:rPr>
        <w:t>提交（保函期限应大于履约期限2个月）</w:t>
      </w:r>
      <w:r>
        <w:rPr>
          <w:rFonts w:hint="eastAsia" w:ascii="宋体" w:hAnsi="宋体" w:eastAsia="宋体" w:cs="宋体"/>
          <w:color w:val="auto"/>
          <w:sz w:val="24"/>
          <w:highlight w:val="none"/>
        </w:rPr>
        <w:t>。</w:t>
      </w:r>
    </w:p>
    <w:p w14:paraId="44E74128">
      <w:pPr>
        <w:numPr>
          <w:ilvl w:val="0"/>
          <w:numId w:val="0"/>
        </w:numPr>
        <w:spacing w:line="360" w:lineRule="auto"/>
        <w:ind w:firstLine="480" w:firstLineChars="200"/>
        <w:rPr>
          <w:rFonts w:hint="eastAsia"/>
          <w:color w:val="auto"/>
          <w:highlight w:val="none"/>
        </w:rPr>
      </w:pPr>
      <w:r>
        <w:rPr>
          <w:rFonts w:hint="eastAsia" w:ascii="宋体" w:hAnsi="宋体" w:eastAsia="宋体" w:cs="宋体"/>
          <w:color w:val="auto"/>
          <w:sz w:val="24"/>
          <w:highlight w:val="none"/>
          <w:lang w:val="en-US" w:eastAsia="zh-CN"/>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7E7B6B38">
      <w:pPr>
        <w:spacing w:line="430" w:lineRule="exact"/>
        <w:rPr>
          <w:rFonts w:ascii="宋体" w:hAnsi="宋体" w:cs="宋体"/>
          <w:b/>
          <w:color w:val="auto"/>
          <w:sz w:val="24"/>
          <w:highlight w:val="none"/>
        </w:rPr>
      </w:pPr>
      <w:r>
        <w:rPr>
          <w:rFonts w:hint="eastAsia" w:ascii="宋体" w:hAnsi="宋体" w:cs="宋体"/>
          <w:b/>
          <w:color w:val="auto"/>
          <w:sz w:val="24"/>
          <w:highlight w:val="none"/>
        </w:rPr>
        <w:t>（六）磋商响应文件的签署</w:t>
      </w:r>
    </w:p>
    <w:p w14:paraId="5F170B80">
      <w:pPr>
        <w:numPr>
          <w:ilvl w:val="0"/>
          <w:numId w:val="8"/>
        </w:numPr>
        <w:spacing w:line="430" w:lineRule="exact"/>
        <w:rPr>
          <w:rFonts w:ascii="宋体" w:hAnsi="宋体" w:cs="宋体"/>
          <w:color w:val="auto"/>
          <w:sz w:val="24"/>
          <w:highlight w:val="none"/>
        </w:rPr>
      </w:pPr>
      <w:r>
        <w:rPr>
          <w:rFonts w:hint="eastAsia" w:ascii="宋体" w:hAnsi="宋体" w:cs="宋体"/>
          <w:color w:val="auto"/>
          <w:sz w:val="24"/>
          <w:highlight w:val="none"/>
        </w:rPr>
        <w:t>供应商应按本磋商文件规定的格式和顺序编制磋商响应文件并标注页码，因磋商响应文件内容不完整、编排混乱、放弃关联点或关联点错误等原因导致磋商响应文件被误读、漏读或者查找不到相关内容等风险由供应商自行承担。</w:t>
      </w:r>
    </w:p>
    <w:p w14:paraId="3DF01136">
      <w:pPr>
        <w:spacing w:line="430" w:lineRule="exact"/>
        <w:rPr>
          <w:rFonts w:ascii="宋体" w:hAnsi="宋体" w:cs="宋体"/>
          <w:b/>
          <w:color w:val="auto"/>
          <w:sz w:val="24"/>
          <w:highlight w:val="none"/>
        </w:rPr>
      </w:pPr>
      <w:r>
        <w:rPr>
          <w:rFonts w:hint="eastAsia" w:ascii="宋体" w:hAnsi="宋体" w:cs="宋体"/>
          <w:b/>
          <w:color w:val="auto"/>
          <w:sz w:val="24"/>
          <w:highlight w:val="none"/>
        </w:rPr>
        <w:t>2. 磋商响应文件需盖章签字的地方必须由供应商法定代表人或法定代表人的授权委托人签署并加盖单位公章，供应商应写全称。</w:t>
      </w:r>
    </w:p>
    <w:p w14:paraId="3D5814BF">
      <w:pPr>
        <w:spacing w:line="430" w:lineRule="exact"/>
        <w:rPr>
          <w:rFonts w:ascii="宋体" w:hAnsi="宋体" w:cs="宋体"/>
          <w:color w:val="auto"/>
          <w:sz w:val="24"/>
          <w:highlight w:val="none"/>
        </w:rPr>
      </w:pPr>
      <w:r>
        <w:rPr>
          <w:rFonts w:hint="eastAsia" w:ascii="宋体" w:hAnsi="宋体" w:cs="宋体"/>
          <w:color w:val="auto"/>
          <w:sz w:val="24"/>
          <w:highlight w:val="none"/>
        </w:rPr>
        <w:t>3.磋商响应文件不得涂改，若有修改错漏处，须加盖单位公章和由法定代表人或授权委托人签字或盖章。磋商响应文件因字迹潦草或表达不清所引起的后果由供应商负责。</w:t>
      </w:r>
    </w:p>
    <w:p w14:paraId="7B33D4F8">
      <w:pPr>
        <w:spacing w:line="430" w:lineRule="exact"/>
        <w:rPr>
          <w:rFonts w:ascii="宋体" w:hAnsi="宋体" w:cs="宋体"/>
          <w:b/>
          <w:color w:val="auto"/>
          <w:sz w:val="24"/>
          <w:highlight w:val="none"/>
        </w:rPr>
      </w:pPr>
      <w:r>
        <w:rPr>
          <w:rFonts w:hint="eastAsia" w:ascii="宋体" w:hAnsi="宋体" w:cs="宋体"/>
          <w:b/>
          <w:color w:val="auto"/>
          <w:sz w:val="24"/>
          <w:highlight w:val="none"/>
        </w:rPr>
        <w:t>▲（七）磋商响应文件的上传、递交、修改和撤回</w:t>
      </w:r>
    </w:p>
    <w:p w14:paraId="605A3FEE">
      <w:pPr>
        <w:spacing w:line="430" w:lineRule="exact"/>
        <w:ind w:firstLine="495"/>
        <w:rPr>
          <w:rFonts w:ascii="宋体" w:hAnsi="宋体" w:cs="宋体"/>
          <w:color w:val="auto"/>
          <w:sz w:val="24"/>
          <w:highlight w:val="none"/>
        </w:rPr>
      </w:pPr>
      <w:r>
        <w:rPr>
          <w:rFonts w:hint="eastAsia" w:ascii="宋体" w:hAnsi="宋体" w:cs="宋体"/>
          <w:color w:val="auto"/>
          <w:sz w:val="24"/>
          <w:highlight w:val="none"/>
        </w:rPr>
        <w:t>1. 供应商应当在磋商截止时间前在“政采云”（电子交易平台）上自行上传加密的电子磋商响应文件。</w:t>
      </w:r>
    </w:p>
    <w:p w14:paraId="36B88FC8">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2.未按规定上传的磋商响应文件将被拒绝，由此造成磋商响应文件解密失败或被误投的风险由供应商承担。</w:t>
      </w:r>
    </w:p>
    <w:p w14:paraId="393443F7">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 供应商未在“政采云”（电子交易平台）上自行上传加密的电子磋商响应文件，仅提交电子备份磋商响应文件的，磋商无效。</w:t>
      </w:r>
    </w:p>
    <w:p w14:paraId="2D759EAF">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 供应商应当在磋商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磋商、响应截止时间后上传的磋商响应文件，将被政采云平台拒收。</w:t>
      </w:r>
    </w:p>
    <w:p w14:paraId="428D294C">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在磋商截止时间之前，可以对已提交的电子备份磋商响应文件进行修改或撤回，并书面通知招标采购单位；修改后重新递交的电子备份磋商响应文件应当按本磋商文件的要求签署、盖章。磋商截止时间后，供应商不得撤回、修改电子备份磋商响应文件。</w:t>
      </w:r>
    </w:p>
    <w:p w14:paraId="6273C2CC">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磋商响应文件，供应商须在开标时间截止后30分钟内对上传政采云的磋商响应文件进行解密，所有供应商在规定的解密时限内解密完成或解密时限到后，采购代理机构开启磋商响应文件；供应商超过解密时限的，系统默认自动放弃。</w:t>
      </w:r>
    </w:p>
    <w:p w14:paraId="55AE5F51">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电子磋商响应文件无法解密或解密失败时，供应商提供了电子备份磋商响应文件的，以电子备份磋商响应文件作为评审依据，否则视为磋商响应文件撤回。磋商响应文件已按时解密的，电子备份磋商响应文件自动失效。</w:t>
      </w:r>
    </w:p>
    <w:p w14:paraId="1D09BE08">
      <w:pPr>
        <w:spacing w:line="430" w:lineRule="exact"/>
        <w:rPr>
          <w:rFonts w:ascii="宋体" w:hAnsi="宋体" w:cs="宋体"/>
          <w:b/>
          <w:color w:val="auto"/>
          <w:sz w:val="24"/>
          <w:highlight w:val="none"/>
        </w:rPr>
      </w:pPr>
      <w:r>
        <w:rPr>
          <w:rFonts w:hint="eastAsia" w:ascii="宋体" w:hAnsi="宋体" w:cs="宋体"/>
          <w:b/>
          <w:color w:val="auto"/>
          <w:sz w:val="24"/>
          <w:highlight w:val="none"/>
        </w:rPr>
        <w:t>（八）磋商无效的情形</w:t>
      </w:r>
    </w:p>
    <w:p w14:paraId="0E6B231D">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磋商文件要求的磋商将被视为无效磋商。供应商不得通过修正或撤消不合要求的偏离或保留从而使其磋商成为实质上响应的磋商，但经磋商小组认定属于供应商疏忽、笔误所造成的差错，应当允许其在磋商结束之前进行修改或者补正。限期内不补正或经补正后仍不符合磋商文件要求的，应认定其磋商无效。供应商修改、补正磋商响应文件后，不影响磋商小组对其磋商响应文件所作的评价和评分结果。</w:t>
      </w:r>
    </w:p>
    <w:p w14:paraId="626D4C8A">
      <w:pPr>
        <w:spacing w:line="430" w:lineRule="exact"/>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1.在符合性审查和商务评审时，如发现下列情形之一的，磋商响应文件将被视为无效：</w:t>
      </w:r>
    </w:p>
    <w:p w14:paraId="1E256424">
      <w:pPr>
        <w:spacing w:line="430" w:lineRule="exact"/>
        <w:rPr>
          <w:rFonts w:ascii="宋体" w:hAnsi="宋体" w:cs="宋体"/>
          <w:color w:val="auto"/>
          <w:sz w:val="24"/>
          <w:highlight w:val="none"/>
        </w:rPr>
      </w:pPr>
      <w:r>
        <w:rPr>
          <w:rFonts w:hint="eastAsia" w:ascii="宋体" w:hAnsi="宋体" w:cs="宋体"/>
          <w:color w:val="auto"/>
          <w:sz w:val="24"/>
          <w:highlight w:val="none"/>
        </w:rPr>
        <w:t>（1）供应商仅提交电子备份磋商响应文件的；</w:t>
      </w:r>
    </w:p>
    <w:p w14:paraId="2F1A622A">
      <w:pPr>
        <w:spacing w:line="43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(2) 在开磋商时出现电子磋商响应文件无法解密或解密失败等情况，供应商未提供电子备份磋商响应文件，无法对供应商继续进行评审的；</w:t>
      </w:r>
    </w:p>
    <w:p w14:paraId="598AE6B9">
      <w:pPr>
        <w:spacing w:line="430" w:lineRule="exact"/>
        <w:rPr>
          <w:rFonts w:ascii="宋体" w:hAnsi="宋体" w:cs="宋体"/>
          <w:color w:val="auto"/>
          <w:sz w:val="24"/>
          <w:highlight w:val="none"/>
        </w:rPr>
      </w:pPr>
      <w:r>
        <w:rPr>
          <w:rFonts w:hint="eastAsia" w:ascii="宋体" w:hAnsi="宋体" w:cs="宋体"/>
          <w:color w:val="auto"/>
          <w:sz w:val="24"/>
          <w:highlight w:val="none"/>
        </w:rPr>
        <w:t>（3）供应商未在规定的时间内对电子询标函进行澄清回复、拒绝澄清回复或澄清回复的内容改变了磋商响应文件的实质性内容的；</w:t>
      </w:r>
    </w:p>
    <w:p w14:paraId="087C6E6D">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76D55DD9">
      <w:pPr>
        <w:spacing w:line="430" w:lineRule="exact"/>
        <w:rPr>
          <w:rFonts w:ascii="宋体" w:hAnsi="宋体" w:cs="宋体"/>
          <w:color w:val="auto"/>
          <w:sz w:val="24"/>
          <w:highlight w:val="none"/>
        </w:rPr>
      </w:pPr>
      <w:r>
        <w:rPr>
          <w:rFonts w:hint="eastAsia" w:ascii="宋体" w:hAnsi="宋体" w:cs="宋体"/>
          <w:color w:val="auto"/>
          <w:sz w:val="24"/>
          <w:highlight w:val="none"/>
        </w:rPr>
        <w:t>（5）资格证明文件不全的，或者不符合磋商文件标明的资格要求的，及未提供磋商文件中标有“ ▲”等特殊符号的证明文件的；</w:t>
      </w:r>
    </w:p>
    <w:p w14:paraId="76531D72">
      <w:pPr>
        <w:spacing w:line="43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（6）本项目投标截止之日前三年内，在“信用中国”网站、中国政府采购网有失信行为或被列入受惩黑名单。</w:t>
      </w:r>
    </w:p>
    <w:p w14:paraId="2D7F5249">
      <w:pPr>
        <w:spacing w:line="430" w:lineRule="exact"/>
        <w:rPr>
          <w:rFonts w:ascii="宋体" w:hAnsi="宋体" w:cs="宋体"/>
          <w:color w:val="auto"/>
          <w:sz w:val="24"/>
          <w:highlight w:val="none"/>
        </w:rPr>
      </w:pPr>
      <w:r>
        <w:rPr>
          <w:rFonts w:hint="eastAsia" w:ascii="宋体" w:hAnsi="宋体" w:cs="宋体"/>
          <w:color w:val="auto"/>
          <w:sz w:val="24"/>
          <w:highlight w:val="none"/>
        </w:rPr>
        <w:t>（7）磋商响应文件无法定代表人签字,或未提供法定代表人授权委托书、磋商声明书或者填写项目不齐全的；</w:t>
      </w:r>
    </w:p>
    <w:p w14:paraId="0D6AE5B5">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（8）磋商代表人未能出具身份证明或与法定代表人授权委托人身份不符的； </w:t>
      </w:r>
    </w:p>
    <w:p w14:paraId="5C896D5C">
      <w:pPr>
        <w:spacing w:line="430" w:lineRule="exact"/>
        <w:rPr>
          <w:rFonts w:ascii="宋体" w:hAnsi="宋体" w:cs="宋体"/>
          <w:color w:val="auto"/>
          <w:sz w:val="24"/>
          <w:highlight w:val="none"/>
        </w:rPr>
      </w:pPr>
      <w:r>
        <w:rPr>
          <w:rFonts w:hint="eastAsia" w:ascii="宋体" w:hAnsi="宋体" w:cs="宋体"/>
          <w:color w:val="auto"/>
          <w:sz w:val="24"/>
          <w:highlight w:val="none"/>
        </w:rPr>
        <w:t>（9）磋商响应文件格式未按磋商文件附件规定的格式、未按磋商文件规定的内容编制磋商响应文件的或者内容虚假的、未按规定签字或盖章的；</w:t>
      </w:r>
    </w:p>
    <w:p w14:paraId="4652F3B0">
      <w:pPr>
        <w:spacing w:line="430" w:lineRule="exact"/>
        <w:rPr>
          <w:rFonts w:ascii="宋体" w:hAnsi="宋体" w:cs="宋体"/>
          <w:color w:val="auto"/>
          <w:sz w:val="24"/>
          <w:highlight w:val="none"/>
        </w:rPr>
      </w:pPr>
      <w:r>
        <w:rPr>
          <w:rFonts w:hint="eastAsia" w:ascii="宋体" w:hAnsi="宋体" w:cs="宋体"/>
          <w:color w:val="auto"/>
          <w:sz w:val="24"/>
          <w:highlight w:val="none"/>
        </w:rPr>
        <w:t>（10）磋商响应文件的实质性内容未使用中文表述的或意思表述不明确、前后矛盾的或者使用计量单位不符合磋商文件要求的（经磋商小组认定并允许其当场更正的笔误除外）；</w:t>
      </w:r>
    </w:p>
    <w:p w14:paraId="33D0C0F7">
      <w:pPr>
        <w:spacing w:line="430" w:lineRule="exact"/>
        <w:rPr>
          <w:rFonts w:ascii="宋体" w:hAnsi="宋体" w:cs="宋体"/>
          <w:color w:val="auto"/>
          <w:sz w:val="24"/>
          <w:highlight w:val="none"/>
        </w:rPr>
      </w:pPr>
      <w:r>
        <w:rPr>
          <w:rFonts w:hint="eastAsia" w:ascii="宋体" w:hAnsi="宋体" w:cs="宋体"/>
          <w:color w:val="auto"/>
          <w:sz w:val="24"/>
          <w:highlight w:val="none"/>
        </w:rPr>
        <w:t>（11）磋商有效期、服务期（交货期）、质保期、付款方式等商务条款不能满足磋商文件要求的；</w:t>
      </w:r>
    </w:p>
    <w:p w14:paraId="250F60A4">
      <w:pPr>
        <w:spacing w:line="430" w:lineRule="exact"/>
        <w:rPr>
          <w:rFonts w:ascii="宋体" w:hAnsi="宋体" w:cs="宋体"/>
          <w:color w:val="auto"/>
          <w:sz w:val="24"/>
          <w:highlight w:val="none"/>
        </w:rPr>
      </w:pPr>
      <w:r>
        <w:rPr>
          <w:rFonts w:hint="eastAsia" w:ascii="宋体" w:hAnsi="宋体" w:cs="宋体"/>
          <w:color w:val="auto"/>
          <w:sz w:val="24"/>
          <w:highlight w:val="none"/>
        </w:rPr>
        <w:t>（12）未实质性响应磋商文件要求或者磋商响应文件有招标方不能接受的附加条件的；</w:t>
      </w:r>
    </w:p>
    <w:p w14:paraId="4261872D">
      <w:pPr>
        <w:spacing w:line="430" w:lineRule="exact"/>
        <w:rPr>
          <w:rFonts w:ascii="宋体" w:hAnsi="宋体" w:cs="宋体"/>
          <w:color w:val="auto"/>
          <w:sz w:val="24"/>
          <w:highlight w:val="none"/>
        </w:rPr>
      </w:pPr>
      <w:r>
        <w:rPr>
          <w:rFonts w:hint="eastAsia" w:ascii="宋体" w:hAnsi="宋体" w:cs="宋体"/>
          <w:color w:val="auto"/>
          <w:sz w:val="24"/>
          <w:highlight w:val="none"/>
        </w:rPr>
        <w:t>（13）磋商文件规定的其它磋商无效的情况；</w:t>
      </w:r>
    </w:p>
    <w:p w14:paraId="45F2162D">
      <w:pPr>
        <w:tabs>
          <w:tab w:val="left" w:pos="401"/>
        </w:tabs>
        <w:spacing w:line="430" w:lineRule="exact"/>
        <w:rPr>
          <w:rFonts w:ascii="宋体" w:hAnsi="宋体" w:cs="宋体"/>
          <w:color w:val="auto"/>
          <w:sz w:val="24"/>
          <w:highlight w:val="none"/>
        </w:rPr>
      </w:pPr>
      <w:r>
        <w:rPr>
          <w:rFonts w:hint="eastAsia" w:ascii="宋体" w:hAnsi="宋体" w:cs="宋体"/>
          <w:color w:val="auto"/>
          <w:sz w:val="24"/>
          <w:highlight w:val="none"/>
        </w:rPr>
        <w:t>（14）法律、法规规定的其它磋商无效情况。</w:t>
      </w:r>
    </w:p>
    <w:p w14:paraId="72AEB347">
      <w:pPr>
        <w:spacing w:line="430" w:lineRule="exact"/>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2.在技术资信评审时，如发现下列情形之一的，磋商响应文件将被视为无效：</w:t>
      </w:r>
    </w:p>
    <w:p w14:paraId="759D3D55">
      <w:pPr>
        <w:spacing w:line="430" w:lineRule="exact"/>
        <w:rPr>
          <w:rFonts w:ascii="宋体" w:hAnsi="宋体" w:cs="宋体"/>
          <w:b/>
          <w:color w:val="auto"/>
          <w:sz w:val="24"/>
          <w:highlight w:val="none"/>
        </w:rPr>
      </w:pPr>
      <w:r>
        <w:rPr>
          <w:rFonts w:hint="eastAsia" w:ascii="宋体" w:hAnsi="宋体" w:cs="宋体"/>
          <w:color w:val="auto"/>
          <w:sz w:val="24"/>
          <w:highlight w:val="none"/>
        </w:rPr>
        <w:t>（1）供应商未在规定的时间内对电子询标函进行澄清回复、拒绝澄清回复或澄清回复的内容改变了磋商响应文件的实质性内容的；</w:t>
      </w:r>
    </w:p>
    <w:p w14:paraId="5E9132F9">
      <w:pPr>
        <w:spacing w:line="430" w:lineRule="exact"/>
        <w:rPr>
          <w:rFonts w:ascii="宋体" w:hAnsi="宋体" w:cs="宋体"/>
          <w:color w:val="auto"/>
          <w:sz w:val="24"/>
          <w:highlight w:val="none"/>
        </w:rPr>
      </w:pPr>
      <w:r>
        <w:rPr>
          <w:rFonts w:hint="eastAsia" w:ascii="宋体" w:hAnsi="宋体" w:cs="宋体"/>
          <w:color w:val="auto"/>
          <w:sz w:val="24"/>
          <w:highlight w:val="none"/>
        </w:rPr>
        <w:t>（2）磋商响应文件标明的响应或偏离与事实不符的或虚假响应的；</w:t>
      </w:r>
    </w:p>
    <w:p w14:paraId="3A67B5BE">
      <w:pPr>
        <w:spacing w:line="430" w:lineRule="exact"/>
        <w:rPr>
          <w:rFonts w:ascii="宋体" w:hAnsi="宋体" w:cs="宋体"/>
          <w:color w:val="auto"/>
          <w:sz w:val="24"/>
          <w:highlight w:val="none"/>
        </w:rPr>
      </w:pPr>
      <w:r>
        <w:rPr>
          <w:rFonts w:hint="eastAsia" w:ascii="宋体" w:hAnsi="宋体" w:cs="宋体"/>
          <w:color w:val="auto"/>
          <w:sz w:val="24"/>
          <w:highlight w:val="none"/>
        </w:rPr>
        <w:t>（3）明显不符合磋商文件质量标准的，或者与磋商文件中标有“ ▲”等特殊符号的技术指标、主要功能项目发生实质性偏离的；</w:t>
      </w:r>
    </w:p>
    <w:p w14:paraId="0EB197B4">
      <w:pPr>
        <w:spacing w:line="430" w:lineRule="exact"/>
        <w:rPr>
          <w:rFonts w:ascii="宋体" w:hAnsi="宋体" w:cs="宋体"/>
          <w:color w:val="auto"/>
          <w:sz w:val="24"/>
          <w:highlight w:val="none"/>
        </w:rPr>
      </w:pPr>
      <w:r>
        <w:rPr>
          <w:rFonts w:hint="eastAsia" w:ascii="宋体" w:hAnsi="宋体" w:cs="宋体"/>
          <w:color w:val="auto"/>
          <w:sz w:val="24"/>
          <w:highlight w:val="none"/>
        </w:rPr>
        <w:t>（4）磋商文件中允许偏离的技术、性能指标或者辅助功能发生较大负偏离的，经磋商小组认定对项目实际使用造成影响的；</w:t>
      </w:r>
    </w:p>
    <w:p w14:paraId="57309644">
      <w:pPr>
        <w:spacing w:line="430" w:lineRule="exact"/>
        <w:rPr>
          <w:rFonts w:ascii="宋体" w:hAnsi="宋体" w:cs="宋体"/>
          <w:color w:val="auto"/>
          <w:sz w:val="24"/>
          <w:highlight w:val="none"/>
        </w:rPr>
      </w:pPr>
      <w:r>
        <w:rPr>
          <w:rFonts w:hint="eastAsia" w:ascii="宋体" w:hAnsi="宋体" w:cs="宋体"/>
          <w:color w:val="auto"/>
          <w:sz w:val="24"/>
          <w:highlight w:val="none"/>
        </w:rPr>
        <w:t>（5）磋商响应文件技术方案不明确，存在一个或一个以上备选（替代）磋商响应方案的；</w:t>
      </w:r>
    </w:p>
    <w:p w14:paraId="3110DD03">
      <w:pPr>
        <w:spacing w:line="430" w:lineRule="exact"/>
        <w:rPr>
          <w:rFonts w:ascii="宋体" w:hAnsi="宋体" w:cs="宋体"/>
          <w:color w:val="auto"/>
          <w:sz w:val="24"/>
          <w:highlight w:val="none"/>
        </w:rPr>
      </w:pPr>
      <w:r>
        <w:rPr>
          <w:rFonts w:hint="eastAsia" w:ascii="宋体" w:hAnsi="宋体" w:cs="宋体"/>
          <w:color w:val="auto"/>
          <w:sz w:val="24"/>
          <w:highlight w:val="none"/>
        </w:rPr>
        <w:t>（6）与其他参加本次磋商供应商的磋商响应文件的文字表述内容相同连续20行以上或者差错相同2处以上的；</w:t>
      </w:r>
    </w:p>
    <w:p w14:paraId="73DD0B02">
      <w:pPr>
        <w:spacing w:line="430" w:lineRule="exact"/>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6F794AD0">
      <w:pPr>
        <w:spacing w:line="430" w:lineRule="exact"/>
        <w:rPr>
          <w:rFonts w:ascii="宋体" w:hAnsi="宋体" w:cs="宋体"/>
          <w:color w:val="auto"/>
          <w:sz w:val="24"/>
          <w:highlight w:val="none"/>
        </w:rPr>
      </w:pPr>
      <w:r>
        <w:rPr>
          <w:rFonts w:hint="eastAsia" w:ascii="宋体" w:hAnsi="宋体" w:cs="宋体"/>
          <w:color w:val="auto"/>
          <w:sz w:val="24"/>
          <w:highlight w:val="none"/>
        </w:rPr>
        <w:t>（8）磋商文件规定的其它磋商无效的情况；</w:t>
      </w:r>
    </w:p>
    <w:p w14:paraId="2E63B853">
      <w:pPr>
        <w:spacing w:line="430" w:lineRule="exact"/>
        <w:rPr>
          <w:rFonts w:ascii="宋体" w:hAnsi="宋体" w:cs="宋体"/>
          <w:color w:val="auto"/>
          <w:sz w:val="24"/>
          <w:highlight w:val="none"/>
        </w:rPr>
      </w:pPr>
      <w:r>
        <w:rPr>
          <w:rFonts w:hint="eastAsia" w:ascii="宋体" w:hAnsi="宋体" w:cs="宋体"/>
          <w:color w:val="auto"/>
          <w:sz w:val="24"/>
          <w:highlight w:val="none"/>
        </w:rPr>
        <w:t>（9）法律、法规规定的其它磋商无效情况。</w:t>
      </w:r>
    </w:p>
    <w:p w14:paraId="1F1A93D1">
      <w:pPr>
        <w:spacing w:line="430" w:lineRule="exact"/>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3.在报价评审时，如发现下列情形之一的，磋商响应文件将被视为无效：</w:t>
      </w:r>
    </w:p>
    <w:p w14:paraId="0A73BAB4">
      <w:pPr>
        <w:spacing w:line="430" w:lineRule="exact"/>
        <w:rPr>
          <w:rFonts w:ascii="宋体" w:hAnsi="宋体" w:cs="宋体"/>
          <w:color w:val="auto"/>
          <w:sz w:val="24"/>
          <w:highlight w:val="none"/>
        </w:rPr>
      </w:pPr>
      <w:r>
        <w:rPr>
          <w:rFonts w:hint="eastAsia" w:ascii="宋体" w:hAnsi="宋体" w:cs="宋体"/>
          <w:color w:val="auto"/>
          <w:sz w:val="24"/>
          <w:highlight w:val="none"/>
        </w:rPr>
        <w:t>（1）供应商未在规定的时间内对电子询标函进行澄清回复、拒绝澄清回复或者澄清回复的内容改变了磋商响应文件的实质性内容的；</w:t>
      </w:r>
    </w:p>
    <w:p w14:paraId="0444103A">
      <w:pPr>
        <w:spacing w:line="430" w:lineRule="exact"/>
        <w:rPr>
          <w:rFonts w:ascii="宋体" w:hAnsi="宋体" w:cs="宋体"/>
          <w:color w:val="auto"/>
          <w:sz w:val="24"/>
          <w:highlight w:val="none"/>
        </w:rPr>
      </w:pPr>
      <w:r>
        <w:rPr>
          <w:rFonts w:hint="eastAsia" w:ascii="宋体" w:hAnsi="宋体" w:cs="宋体"/>
          <w:color w:val="auto"/>
          <w:sz w:val="24"/>
          <w:highlight w:val="none"/>
        </w:rPr>
        <w:t>（2）未采用人民币报价或者未按照磋商文件标明的币种报价的；</w:t>
      </w:r>
    </w:p>
    <w:p w14:paraId="4835F48F">
      <w:pPr>
        <w:spacing w:line="430" w:lineRule="exact"/>
        <w:rPr>
          <w:rFonts w:ascii="宋体" w:hAnsi="宋体" w:cs="宋体"/>
          <w:color w:val="auto"/>
          <w:sz w:val="24"/>
          <w:highlight w:val="none"/>
        </w:rPr>
      </w:pPr>
      <w:r>
        <w:rPr>
          <w:rFonts w:hint="eastAsia" w:ascii="宋体" w:hAnsi="宋体" w:cs="宋体"/>
          <w:color w:val="auto"/>
          <w:sz w:val="24"/>
          <w:highlight w:val="none"/>
        </w:rPr>
        <w:t>（3）磋商报价具有选择性的，或者开标价格与磋商响应文件承诺的优惠（折扣）价格不一致的；</w:t>
      </w:r>
    </w:p>
    <w:p w14:paraId="40935C20">
      <w:pPr>
        <w:spacing w:line="430" w:lineRule="exact"/>
        <w:rPr>
          <w:rFonts w:ascii="宋体" w:hAnsi="宋体" w:cs="宋体"/>
          <w:color w:val="auto"/>
          <w:sz w:val="24"/>
          <w:highlight w:val="none"/>
        </w:rPr>
      </w:pPr>
      <w:r>
        <w:rPr>
          <w:rFonts w:hint="eastAsia" w:ascii="宋体" w:hAnsi="宋体" w:cs="宋体"/>
          <w:color w:val="auto"/>
          <w:sz w:val="24"/>
          <w:highlight w:val="none"/>
        </w:rPr>
        <w:t>（4）报价超出用户设定的最高限价或预算金额的；</w:t>
      </w:r>
    </w:p>
    <w:p w14:paraId="6C9D7EE2">
      <w:pPr>
        <w:spacing w:line="430" w:lineRule="exact"/>
        <w:rPr>
          <w:rFonts w:ascii="宋体" w:hAnsi="宋体" w:cs="宋体"/>
          <w:color w:val="auto"/>
          <w:sz w:val="24"/>
          <w:highlight w:val="none"/>
        </w:rPr>
      </w:pPr>
      <w:r>
        <w:rPr>
          <w:rFonts w:hint="eastAsia" w:ascii="宋体" w:hAnsi="宋体" w:cs="宋体"/>
          <w:color w:val="auto"/>
          <w:sz w:val="24"/>
          <w:highlight w:val="none"/>
        </w:rPr>
        <w:t>（5）磋商文件规定的其它磋商无效的情况；</w:t>
      </w:r>
    </w:p>
    <w:p w14:paraId="270D843C">
      <w:pPr>
        <w:spacing w:line="430" w:lineRule="exact"/>
        <w:rPr>
          <w:rFonts w:ascii="宋体" w:hAnsi="宋体" w:cs="宋体"/>
          <w:color w:val="auto"/>
          <w:sz w:val="24"/>
          <w:highlight w:val="none"/>
        </w:rPr>
      </w:pPr>
      <w:r>
        <w:rPr>
          <w:rFonts w:hint="eastAsia" w:ascii="宋体" w:hAnsi="宋体" w:cs="宋体"/>
          <w:color w:val="auto"/>
          <w:sz w:val="24"/>
          <w:highlight w:val="none"/>
        </w:rPr>
        <w:t>（6）法律、法规规定的其它磋商无效情况。</w:t>
      </w:r>
    </w:p>
    <w:p w14:paraId="2DACA543">
      <w:pPr>
        <w:spacing w:line="430" w:lineRule="exact"/>
        <w:rPr>
          <w:rFonts w:hint="eastAsia" w:ascii="宋体" w:hAnsi="宋体" w:eastAsia="宋体" w:cs="宋体"/>
          <w:b/>
          <w:color w:val="auto"/>
          <w:sz w:val="24"/>
          <w:highlight w:val="none"/>
        </w:rPr>
      </w:pPr>
      <w:bookmarkStart w:id="18" w:name="_Toc458697270"/>
      <w:bookmarkStart w:id="19" w:name="_Toc3935"/>
      <w:r>
        <w:rPr>
          <w:rFonts w:hint="eastAsia" w:ascii="宋体" w:hAnsi="宋体" w:eastAsia="宋体" w:cs="宋体"/>
          <w:b/>
          <w:color w:val="auto"/>
          <w:sz w:val="24"/>
          <w:highlight w:val="none"/>
        </w:rPr>
        <w:t>4.除政府采购法律法规规定的恶意串通、视同串通投标情形外，在不影响公平竞争的前提下，采购人、采购代理机构应在采购文件中明确规定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44173148">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.被拒绝的磋商响应文件为无效。</w:t>
      </w:r>
    </w:p>
    <w:p w14:paraId="3E70314E">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根据有关法律、法规规定为无效、废标的，按法律、法规规定执行。</w:t>
      </w:r>
    </w:p>
    <w:p w14:paraId="38235398">
      <w:pPr>
        <w:pStyle w:val="5"/>
        <w:keepNext w:val="0"/>
        <w:keepLines w:val="0"/>
        <w:pageBreakBefore/>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w:t>
      </w:r>
      <w:bookmarkEnd w:id="18"/>
      <w:bookmarkEnd w:id="19"/>
    </w:p>
    <w:p w14:paraId="1B16786D">
      <w:pPr>
        <w:spacing w:line="360" w:lineRule="auto"/>
        <w:rPr>
          <w:rFonts w:ascii="宋体" w:hAnsi="宋体" w:cs="宋体"/>
          <w:b/>
          <w:color w:val="auto"/>
          <w:sz w:val="24"/>
          <w:highlight w:val="none"/>
        </w:rPr>
      </w:pPr>
      <w:bookmarkStart w:id="20" w:name="_Toc458697271"/>
      <w:r>
        <w:rPr>
          <w:rFonts w:hint="eastAsia" w:ascii="宋体" w:hAnsi="宋体" w:cs="宋体"/>
          <w:b/>
          <w:color w:val="auto"/>
          <w:sz w:val="24"/>
          <w:highlight w:val="none"/>
        </w:rPr>
        <w:t xml:space="preserve">（一）开标准备   </w:t>
      </w:r>
    </w:p>
    <w:p w14:paraId="3900ED48">
      <w:pPr>
        <w:spacing w:line="360" w:lineRule="auto"/>
        <w:ind w:firstLine="600" w:firstLineChars="250"/>
        <w:rPr>
          <w:rFonts w:hint="eastAsia" w:ascii="宋体" w:hAnsi="宋体" w:cs="宋体"/>
          <w:bCs/>
          <w:sz w:val="24"/>
          <w:szCs w:val="24"/>
        </w:rPr>
      </w:pPr>
      <w:r>
        <w:rPr>
          <w:rFonts w:hint="eastAsia" w:ascii="宋体" w:hAnsi="宋体" w:cs="宋体"/>
          <w:bCs/>
          <w:color w:val="auto"/>
          <w:sz w:val="24"/>
          <w:highlight w:val="none"/>
        </w:rPr>
        <w:t>采购代理机构将在规定的时间和地点进行电子开标，供应商的法定代表人或其委托代理人【委托代理人应当是供应商的在职正式职工（以供应商本单位缴纳社保花名册为准）】应做好磋商准备，准时在线参加电子开标会议，随时关注磋商进度。</w:t>
      </w:r>
      <w:r>
        <w:rPr>
          <w:rFonts w:hint="eastAsia" w:ascii="宋体" w:hAnsi="宋体" w:cs="宋体"/>
          <w:bCs/>
          <w:sz w:val="24"/>
          <w:szCs w:val="24"/>
        </w:rPr>
        <w:t>如在开标过程中有电子询标，应在规定的时间内对电子询标函进行澄清、答复。超过规定时间的询标函将不予接受，评标为委员会可以作出不利于被询标人的决定。评标委员会只对响应文件内容进行询问，以响应文件的内容作为评审依据，不接受外部补充证据，评标委员会认为供应商不符合磋商文件实质性要求明确时，可不经过询标而直接予以无效标认定，但代理机构应将无效标原因当场告知供应商。</w:t>
      </w:r>
    </w:p>
    <w:p w14:paraId="686321F0">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供应商未按采购文件要求派代表参加电子开标会议的，视同认可开标结果，不得对开标过程及开标结果提出质疑。</w:t>
      </w:r>
    </w:p>
    <w:p w14:paraId="2485E484">
      <w:pPr>
        <w:spacing w:line="360" w:lineRule="auto"/>
        <w:rPr>
          <w:rFonts w:ascii="宋体" w:hAnsi="宋体" w:cs="宋体"/>
          <w:b/>
          <w:color w:val="auto"/>
          <w:sz w:val="24"/>
          <w:highlight w:val="none"/>
        </w:rPr>
      </w:pPr>
      <w:r>
        <w:rPr>
          <w:rFonts w:hint="eastAsia" w:ascii="宋体" w:hAnsi="宋体" w:cs="宋体"/>
          <w:b/>
          <w:color w:val="auto"/>
          <w:sz w:val="24"/>
          <w:highlight w:val="none"/>
        </w:rPr>
        <w:t>（二）电子磋商开标程序</w:t>
      </w:r>
    </w:p>
    <w:p w14:paraId="7014108F">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（1）磋商截止时间后，供应商须登录政采云平台，用“项目采购-开标评标”功能对电子响应文件进行在线解密。在线解密电子响应文件时间为投标截止时间起半个小时内。</w:t>
      </w:r>
    </w:p>
    <w:p w14:paraId="46F9F856">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（2）由采购人代表对资格审查文件进行评审，评标委员会对商务技术响应文件进行评审；</w:t>
      </w:r>
    </w:p>
    <w:p w14:paraId="3D4C4841">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（3）在系统上公开资格审查和技术商务评审结果；</w:t>
      </w:r>
    </w:p>
    <w:p w14:paraId="22D8B78C">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（4）进行在线磋商；</w:t>
      </w:r>
    </w:p>
    <w:p w14:paraId="547D08B3">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（5）供应商提交二轮报价一览表；</w:t>
      </w:r>
    </w:p>
    <w:p w14:paraId="0B7E2016">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（6）在系统上公开二轮报价情况；</w:t>
      </w:r>
    </w:p>
    <w:p w14:paraId="60B71053">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（7）评标委员会对报价情况进行评审；</w:t>
      </w:r>
    </w:p>
    <w:p w14:paraId="3F1076F6">
      <w:pPr>
        <w:spacing w:line="360" w:lineRule="auto"/>
        <w:ind w:firstLine="600" w:firstLineChars="250"/>
        <w:rPr>
          <w:rFonts w:hint="eastAsia" w:ascii="宋体" w:hAnsi="宋体" w:cs="宋体"/>
          <w:bCs/>
          <w:sz w:val="24"/>
          <w:szCs w:val="24"/>
        </w:rPr>
      </w:pPr>
      <w:r>
        <w:rPr>
          <w:rFonts w:hint="eastAsia" w:ascii="宋体" w:hAnsi="宋体" w:cs="宋体"/>
          <w:bCs/>
          <w:sz w:val="24"/>
          <w:szCs w:val="24"/>
        </w:rPr>
        <w:t>（8）在系统上公布评审结果。</w:t>
      </w:r>
    </w:p>
    <w:p w14:paraId="63202A3A">
      <w:pPr>
        <w:spacing w:line="360" w:lineRule="auto"/>
        <w:ind w:firstLine="600" w:firstLineChars="250"/>
        <w:rPr>
          <w:rFonts w:hint="eastAsia" w:ascii="宋体" w:hAnsi="宋体" w:cs="宋体"/>
          <w:bCs/>
          <w:strike/>
          <w:dstrike w:val="0"/>
          <w:sz w:val="24"/>
          <w:szCs w:val="24"/>
          <w:highlight w:val="yellow"/>
        </w:rPr>
      </w:pPr>
      <w:r>
        <w:rPr>
          <w:rFonts w:hint="eastAsia" w:ascii="宋体" w:hAnsi="宋体" w:cs="宋体"/>
          <w:bCs/>
          <w:sz w:val="24"/>
          <w:szCs w:val="24"/>
        </w:rPr>
        <w:t>特别说明：政采云公司如对电子化开标及评审程序有调整的，按调整后的程序操作。</w:t>
      </w:r>
    </w:p>
    <w:p w14:paraId="3B7B634C">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4、本项目采用政采云电子磋商开标及评审程序，磋商时出现电子磋商响应文件无法解密或解密失败等情况时，采购代理机构可上传供应商的电子备份磋商响应文件继续评审。</w:t>
      </w:r>
    </w:p>
    <w:p w14:paraId="66495F9F">
      <w:pPr>
        <w:pStyle w:val="5"/>
        <w:keepNext w:val="0"/>
        <w:keepLines w:val="0"/>
        <w:pageBreakBefore/>
        <w:spacing w:line="360" w:lineRule="auto"/>
        <w:jc w:val="center"/>
        <w:rPr>
          <w:rFonts w:ascii="宋体" w:hAnsi="宋体" w:eastAsia="宋体" w:cs="宋体"/>
          <w:color w:val="auto"/>
          <w:sz w:val="24"/>
          <w:szCs w:val="24"/>
          <w:highlight w:val="none"/>
        </w:rPr>
      </w:pPr>
      <w:bookmarkStart w:id="21" w:name="_Toc11220"/>
      <w:r>
        <w:rPr>
          <w:rFonts w:hint="eastAsia" w:ascii="宋体" w:hAnsi="宋体" w:eastAsia="宋体" w:cs="宋体"/>
          <w:color w:val="auto"/>
          <w:sz w:val="24"/>
          <w:szCs w:val="24"/>
          <w:highlight w:val="none"/>
        </w:rPr>
        <w:t>五、</w:t>
      </w:r>
      <w:bookmarkEnd w:id="20"/>
      <w:r>
        <w:rPr>
          <w:rFonts w:hint="eastAsia" w:ascii="宋体" w:hAnsi="宋体" w:eastAsia="宋体" w:cs="宋体"/>
          <w:color w:val="auto"/>
          <w:sz w:val="24"/>
          <w:szCs w:val="24"/>
          <w:highlight w:val="none"/>
        </w:rPr>
        <w:t>磋商</w:t>
      </w:r>
      <w:bookmarkEnd w:id="21"/>
    </w:p>
    <w:p w14:paraId="3B1355AC">
      <w:pPr>
        <w:spacing w:line="360" w:lineRule="auto"/>
        <w:rPr>
          <w:rFonts w:ascii="宋体" w:hAnsi="宋体" w:cs="宋体"/>
          <w:b/>
          <w:color w:val="auto"/>
          <w:sz w:val="24"/>
          <w:highlight w:val="none"/>
        </w:rPr>
      </w:pPr>
      <w:r>
        <w:rPr>
          <w:rFonts w:hint="eastAsia" w:ascii="宋体" w:hAnsi="宋体" w:cs="宋体"/>
          <w:b/>
          <w:color w:val="auto"/>
          <w:sz w:val="24"/>
          <w:highlight w:val="none"/>
        </w:rPr>
        <w:t>（一）组建磋商小组</w:t>
      </w:r>
    </w:p>
    <w:p w14:paraId="033CA4BD">
      <w:pPr>
        <w:spacing w:line="360" w:lineRule="auto"/>
        <w:rPr>
          <w:rFonts w:ascii="宋体" w:hAnsi="宋体" w:cs="宋体"/>
          <w:color w:val="auto"/>
          <w:sz w:val="24"/>
          <w:highlight w:val="yellow"/>
        </w:rPr>
      </w:pPr>
      <w:r>
        <w:rPr>
          <w:rFonts w:hint="eastAsia" w:ascii="宋体" w:hAnsi="宋体" w:cs="宋体"/>
          <w:color w:val="auto"/>
          <w:sz w:val="24"/>
          <w:highlight w:val="none"/>
        </w:rPr>
        <w:t>本项目磋商小组由政府采购评审专家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人和采购人代表</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rPr>
        <w:t>人,共</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rPr>
        <w:t>人组成。（允许采购人不推荐采购人代表参加，如采购人不推荐采购人代表参加评审时，磋商小组（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人）都从评标专家库中抽取）。</w:t>
      </w:r>
    </w:p>
    <w:p w14:paraId="48A6FA60">
      <w:pPr>
        <w:spacing w:line="360" w:lineRule="auto"/>
        <w:rPr>
          <w:rFonts w:ascii="宋体" w:hAnsi="宋体" w:cs="宋体"/>
          <w:b/>
          <w:color w:val="auto"/>
          <w:sz w:val="24"/>
          <w:highlight w:val="none"/>
        </w:rPr>
      </w:pPr>
      <w:r>
        <w:rPr>
          <w:rFonts w:hint="eastAsia" w:ascii="宋体" w:hAnsi="宋体" w:cs="宋体"/>
          <w:b/>
          <w:color w:val="auto"/>
          <w:sz w:val="24"/>
          <w:highlight w:val="none"/>
        </w:rPr>
        <w:t>（二）磋商的方式</w:t>
      </w:r>
    </w:p>
    <w:p w14:paraId="47FEB488">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本项目采用不公开方式磋商，磋商的依据为磋商文件和磋商响应文件。</w:t>
      </w:r>
    </w:p>
    <w:p w14:paraId="2310D2BE">
      <w:pPr>
        <w:spacing w:line="360" w:lineRule="auto"/>
        <w:rPr>
          <w:rFonts w:ascii="宋体" w:hAnsi="宋体" w:cs="宋体"/>
          <w:b/>
          <w:color w:val="auto"/>
          <w:sz w:val="24"/>
          <w:highlight w:val="none"/>
        </w:rPr>
      </w:pPr>
      <w:r>
        <w:rPr>
          <w:rFonts w:hint="eastAsia" w:ascii="宋体" w:hAnsi="宋体" w:cs="宋体"/>
          <w:b/>
          <w:color w:val="auto"/>
          <w:sz w:val="24"/>
          <w:highlight w:val="none"/>
        </w:rPr>
        <w:t>（三）磋商程序</w:t>
      </w:r>
    </w:p>
    <w:p w14:paraId="3EE59FAD">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657A579C">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招标方工作人员协助磋商小组对供应商的商务技术文件、报价文件的完整性、合法性等进行审查。</w:t>
      </w:r>
    </w:p>
    <w:p w14:paraId="0341EB0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5907B85C">
      <w:pPr>
        <w:spacing w:line="360" w:lineRule="auto"/>
        <w:rPr>
          <w:rFonts w:ascii="宋体" w:hAnsi="宋体" w:cs="宋体"/>
          <w:color w:val="auto"/>
          <w:sz w:val="24"/>
          <w:highlight w:val="none"/>
        </w:rPr>
      </w:pPr>
      <w:r>
        <w:rPr>
          <w:rFonts w:hint="eastAsia" w:ascii="宋体" w:hAnsi="宋体" w:cs="宋体"/>
          <w:color w:val="auto"/>
          <w:sz w:val="24"/>
          <w:highlight w:val="none"/>
        </w:rPr>
        <w:t>（1）磋商小组审查磋商响应文件的实质性内容是否符合磋商文件的实质性要求。</w:t>
      </w:r>
    </w:p>
    <w:p w14:paraId="4117AB89">
      <w:pPr>
        <w:spacing w:line="360" w:lineRule="auto"/>
        <w:rPr>
          <w:rFonts w:ascii="宋体" w:hAnsi="宋体" w:cs="宋体"/>
          <w:color w:val="auto"/>
          <w:sz w:val="24"/>
          <w:highlight w:val="none"/>
        </w:rPr>
      </w:pPr>
      <w:r>
        <w:rPr>
          <w:rFonts w:hint="eastAsia" w:ascii="宋体" w:hAnsi="宋体" w:cs="宋体"/>
          <w:color w:val="auto"/>
          <w:sz w:val="24"/>
          <w:highlight w:val="none"/>
        </w:rPr>
        <w:t>（2）磋商小组将对供应商的磋商响应文件进行审查、核对,如有疑问,将对供应商进行电子询标,供应商须在规定的时间内向磋商小组澄清有关问题,并在政采云上进行询标答复。</w:t>
      </w:r>
    </w:p>
    <w:p w14:paraId="2C9B58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供应商代表未在规定的时间内进行澄清、拒绝澄清或者澄清的内容改变了磋商响应文件的实质性内容的，磋商小组有权对该磋商响应文件作出不利于供应商的评判。</w:t>
      </w:r>
    </w:p>
    <w:p w14:paraId="4A89DF37">
      <w:pPr>
        <w:spacing w:line="360" w:lineRule="auto"/>
        <w:rPr>
          <w:rFonts w:ascii="宋体" w:hAnsi="宋体" w:cs="宋体"/>
          <w:color w:val="auto"/>
          <w:sz w:val="24"/>
          <w:highlight w:val="none"/>
        </w:rPr>
      </w:pPr>
      <w:r>
        <w:rPr>
          <w:rFonts w:hint="eastAsia" w:ascii="宋体" w:hAnsi="宋体" w:cs="宋体"/>
          <w:color w:val="auto"/>
          <w:sz w:val="24"/>
          <w:highlight w:val="none"/>
        </w:rPr>
        <w:t>（3）各供应商的技术得分为所有评委的有效评分的算术平均数，由指定专人进行计算复核。</w:t>
      </w:r>
    </w:p>
    <w:p w14:paraId="1F6ED66E">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（4）招标方工作人员协助磋商小组审核商务报价有无计算错误，并根据本项目的评分标准计算各供应商的商务报价得分。</w:t>
      </w:r>
    </w:p>
    <w:p w14:paraId="3CA061B7">
      <w:pPr>
        <w:spacing w:line="360" w:lineRule="auto"/>
        <w:rPr>
          <w:rFonts w:ascii="宋体" w:hAnsi="宋体" w:cs="宋体"/>
          <w:color w:val="auto"/>
          <w:sz w:val="24"/>
          <w:highlight w:val="none"/>
        </w:rPr>
      </w:pPr>
      <w:r>
        <w:rPr>
          <w:rFonts w:hint="eastAsia" w:ascii="宋体" w:hAnsi="宋体" w:cs="宋体"/>
          <w:color w:val="auto"/>
          <w:sz w:val="24"/>
          <w:highlight w:val="none"/>
        </w:rPr>
        <w:t>（5）磋商小组完成磋商后,招标方工作人员对系统中的得分汇总进行复核,计算出本项目最终得分，磋商小组按磋商原则推荐中标候选人并起草磋商报告。</w:t>
      </w:r>
    </w:p>
    <w:p w14:paraId="0FD3D641">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0A57E35B">
      <w:pPr>
        <w:spacing w:line="360" w:lineRule="auto"/>
        <w:rPr>
          <w:rFonts w:ascii="宋体" w:hAnsi="宋体" w:cs="宋体"/>
          <w:color w:val="auto"/>
          <w:sz w:val="24"/>
          <w:highlight w:val="none"/>
        </w:rPr>
      </w:pPr>
      <w:r>
        <w:rPr>
          <w:rFonts w:hint="eastAsia" w:ascii="宋体" w:hAnsi="宋体" w:cs="宋体"/>
          <w:color w:val="auto"/>
          <w:sz w:val="24"/>
          <w:highlight w:val="none"/>
        </w:rPr>
        <w:t>对磋商响应文件中含义不明确、同类问题表述不一致或者有明显文字和计算错误的内容，磋商小组可要求供应商作出必要的澄清、说明或者纠正，供应商应在询标规定时间内进行澄清或说明（需盖CA电子签章或实体公章），并不得超出磋商响应文件的范围或者改变磋商响应文件的实质性内容。</w:t>
      </w:r>
    </w:p>
    <w:p w14:paraId="5D8A4BFF">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1945B81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磋商响应文件如果出现计算或表达上的错误，修正错误的原则如下：</w:t>
      </w:r>
    </w:p>
    <w:p w14:paraId="0ECCD0E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 磋商响应文件中开标一览表（报价表）内容与与磋商响应文件中相应内容不一致的，以开标一览表（报价表）为准；</w:t>
      </w:r>
    </w:p>
    <w:p w14:paraId="73A3FC5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6E8A2B25">
      <w:pPr>
        <w:spacing w:line="360" w:lineRule="auto"/>
        <w:ind w:left="359" w:leftChars="171"/>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3.单价金额小数点或者百分比有明显错位的，以开标一览表的总价为准，并修改单价；4.总价金额与按单价汇总金额不一致的，以单价金额计算结果为准；</w:t>
      </w:r>
    </w:p>
    <w:p w14:paraId="09DA0AF4">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5.政采云系统磋商报价与磋商响应文件中开标一览表（报价表）相应内容不一致的，以开标一览表（报价表）为准。</w:t>
      </w:r>
    </w:p>
    <w:p w14:paraId="5FC069CA">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6.对不同文字文本磋商响应文件的解释发生异议的，以中文文本为准。</w:t>
      </w:r>
    </w:p>
    <w:p w14:paraId="190D38D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供应商的澄清、说明或者补正应当采用书面形式，并加盖公章，或者由法定代表人或其授权的代表签字。供应商的澄清、说明或者补正不得超出磋商响应文件的范围或者改变磋商响应文件的实质性内容的规定经供应商确认后产生约束力，供应商不确认的，其磋商无效。</w:t>
      </w:r>
    </w:p>
    <w:p w14:paraId="7ECBB2C8">
      <w:pPr>
        <w:spacing w:line="360" w:lineRule="auto"/>
        <w:rPr>
          <w:rFonts w:ascii="宋体" w:hAnsi="宋体" w:cs="宋体"/>
          <w:b/>
          <w:bCs/>
          <w:color w:val="auto"/>
          <w:sz w:val="24"/>
          <w:highlight w:val="none"/>
        </w:rPr>
      </w:pPr>
      <w:r>
        <w:rPr>
          <w:rFonts w:hint="eastAsia" w:ascii="宋体" w:hAnsi="宋体" w:cs="宋体"/>
          <w:b/>
          <w:color w:val="auto"/>
          <w:sz w:val="24"/>
          <w:highlight w:val="none"/>
        </w:rPr>
        <w:t>（六）磋商原则和磋商办法</w:t>
      </w:r>
    </w:p>
    <w:p w14:paraId="09039E9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1.磋商小组必须公平、公正评审，遵纪守法，客观、廉洁地履行职责。</w:t>
      </w:r>
    </w:p>
    <w:p w14:paraId="28349B5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2.磋商小组在评审开始前，应关闭并上交随身携带的各种通信工具。</w:t>
      </w:r>
    </w:p>
    <w:p w14:paraId="4BF0365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3.磋商小组在评审过程中，未经许可不得中途离开评审现场，不得迟到早退。</w:t>
      </w:r>
    </w:p>
    <w:p w14:paraId="5A23D12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4.磋商小组和工作人员不得透露评审过程中的讨论情况和评审结果。</w:t>
      </w:r>
    </w:p>
    <w:p w14:paraId="1FFC8AD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磋商小组须按竞争性磋商文件规定的程序、条件和标准，对供应商投标文件的合规性、完整性和有效性进行审查、比较和评估，其中对供应商的资格条件、主要技术参数、商务报价和其他评审要素等，磋商小组应逐项进行审查、比较，不得漏评少评。如发现与竞争性磋商文件要求相偏离的，应对其偏离情形进行必要的核实，并在工作底稿中予以说明；如属于实质性偏离或符合无效投标文件的，可询问供应商，并允许供应商进行陈述申辩，但不允许其对偏离条款进行补充、修正或撤回。</w:t>
      </w:r>
    </w:p>
    <w:p w14:paraId="6F9C7F6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6.采购人、采购代理机构不得向评审委员会的磋商小组作倾向性、误导性的解释或者说明。</w:t>
      </w:r>
    </w:p>
    <w:p w14:paraId="1D52DBC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磋商小组提供必要的评审条件和相应的评审工作底稿，并严格按规定程序组织磋商小组有步骤地进行项目评审，对各磋商小组的评审情况和评审意见进行合理性和合规性审查，对明显畸高、畸低的重大差异评审情况（其总评分偏离平均分30%以上），提醒相关磋商小组进行复核或书面说明理由。</w:t>
      </w:r>
    </w:p>
    <w:p w14:paraId="4D42915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8.磋商小组在评审过程中不得将自己的观点强加给其他磋商小组，磋商小组应自主发表见解，对评审意见承担个人责任。</w:t>
      </w:r>
    </w:p>
    <w:p w14:paraId="4744936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竞争性磋商文件的评审办法和细则的规定推荐中标候选人，说明推荐理由，并重点对中标候选人的技术、服务和价格等情况进行评价和比较。如排名第一的供应商报价为最高报价的，评审报告中须对其报价的合理性等进行分析和特别说明。</w:t>
      </w:r>
    </w:p>
    <w:p w14:paraId="45E9248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10.磋商小组应当独立、客观、公正地提出评审意见，不得带有倾向性，不得影响其他磋商小组评审，并在评审报告上签字；如对评审报告有异议的，可在报告上签署不同意见，并说明理由，否则将视为同意。</w:t>
      </w:r>
    </w:p>
    <w:p w14:paraId="3136635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11.磋商小组应当遵守评审工作纪律，不得泄露评审文件、评审情况和评审中获悉的商业秘密。</w:t>
      </w:r>
    </w:p>
    <w:p w14:paraId="212C6B2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评审委员会在评审过程中发现供应商有行贿、提供虚假材料或者串通等违法行为的，应当及时向财政部门报告。</w:t>
      </w:r>
    </w:p>
    <w:p w14:paraId="1C867C6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12.竞争性磋商文件内容违反国家有关强制性规定的，评审委员会应当停止评审并向采购代理机构说明情况。</w:t>
      </w:r>
    </w:p>
    <w:p w14:paraId="102C75C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13.磋商小组应当配合采购代理机构答复供应商提出的质疑。</w:t>
      </w:r>
    </w:p>
    <w:p w14:paraId="575DB8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14.磋商小组应当配合财政部门的投诉处理工作。</w:t>
      </w:r>
    </w:p>
    <w:p w14:paraId="1260E6F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15.磋商小组有如下行为之一的，责令改正，给予警告，可以并处一千元以下的罚款：</w:t>
      </w:r>
    </w:p>
    <w:p w14:paraId="4F0A8A1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3E20E79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②在得知自己为磋商小组身份后至评审结束前时段内私下接触供应商的；</w:t>
      </w:r>
    </w:p>
    <w:p w14:paraId="51CC381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344A49F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58DD4DC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⑤未按竞争性磋商文件规定的评审方法和标准进行评审的。</w:t>
      </w:r>
    </w:p>
    <w:p w14:paraId="38E32B7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1CABFC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磋商小组未按照竞争性磋商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9E0819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政府采购磋商小组与供应商存在利害关系未回避的，处2万元以上5万元以下的罚款，禁止其参加政府采购评审活动。</w:t>
      </w:r>
    </w:p>
    <w:p w14:paraId="3B651C1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政府采购磋商小组收受采购人、采购代理机构、供应商贿赂或者获取其他不正当利益，构成犯罪的，依法追究刑事责任；尚不构成犯罪的，处2万元以上5万元以下的罚款，禁止其参加政府采购评审活动。</w:t>
      </w:r>
    </w:p>
    <w:p w14:paraId="716DF51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政府采购磋商小组有上述违法行为的，其评审意见无效，不得获取评审费；有违法所得的，没收违法所得；给他人造成损失的，依法承担民事责任。</w:t>
      </w:r>
    </w:p>
    <w:p w14:paraId="4A01C08A">
      <w:pPr>
        <w:spacing w:line="360" w:lineRule="auto"/>
        <w:rPr>
          <w:rFonts w:ascii="宋体" w:hAnsi="宋体" w:cs="宋体"/>
          <w:color w:val="auto"/>
          <w:sz w:val="24"/>
          <w:highlight w:val="none"/>
        </w:rPr>
      </w:pPr>
      <w:r>
        <w:rPr>
          <w:rFonts w:hint="eastAsia" w:ascii="宋体" w:hAnsi="宋体" w:cs="宋体"/>
          <w:color w:val="auto"/>
          <w:sz w:val="24"/>
          <w:highlight w:val="none"/>
        </w:rPr>
        <w:t>17.磋商办法。本项目磋商办法是：综合评分法（其中报价分为两轮），具体磋商内容及评分标准等详见《第四章：磋商办法及评分标准》。</w:t>
      </w:r>
    </w:p>
    <w:p w14:paraId="53A83B0F">
      <w:pPr>
        <w:spacing w:line="360" w:lineRule="auto"/>
        <w:rPr>
          <w:rFonts w:ascii="宋体" w:hAnsi="宋体" w:cs="宋体"/>
          <w:b/>
          <w:color w:val="auto"/>
          <w:sz w:val="24"/>
          <w:highlight w:val="none"/>
        </w:rPr>
      </w:pPr>
      <w:r>
        <w:rPr>
          <w:rFonts w:hint="eastAsia" w:ascii="宋体" w:hAnsi="宋体" w:cs="宋体"/>
          <w:b/>
          <w:color w:val="auto"/>
          <w:sz w:val="24"/>
          <w:highlight w:val="none"/>
        </w:rPr>
        <w:t>（七）</w:t>
      </w:r>
      <w:r>
        <w:rPr>
          <w:rFonts w:hint="eastAsia" w:ascii="宋体" w:hAnsi="宋体" w:cs="宋体"/>
          <w:b/>
          <w:bCs/>
          <w:color w:val="auto"/>
          <w:sz w:val="24"/>
          <w:highlight w:val="none"/>
        </w:rPr>
        <w:t>磋商</w:t>
      </w:r>
      <w:r>
        <w:rPr>
          <w:rFonts w:hint="eastAsia" w:ascii="宋体" w:hAnsi="宋体" w:cs="宋体"/>
          <w:b/>
          <w:color w:val="auto"/>
          <w:sz w:val="24"/>
          <w:highlight w:val="none"/>
        </w:rPr>
        <w:t>过程的监控</w:t>
      </w:r>
    </w:p>
    <w:p w14:paraId="5BCC76F2">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本项目磋商过程实行全程录音、录像监控，供应商在磋商过程中所进行的试图影响磋商结果的不公正活动，可能导致其磋商被拒绝。</w:t>
      </w:r>
    </w:p>
    <w:p w14:paraId="4A32DD0B">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5D09F102">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041E99CB">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6A193F44">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35DC2DF1">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585E2B32">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79188F0C">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11286D20">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1BF2EB24">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6、投标截止时间后及评审过程中，有效供应商不足</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家的项目，则予以废标。</w:t>
      </w:r>
    </w:p>
    <w:p w14:paraId="554E4B09">
      <w:pPr>
        <w:pStyle w:val="5"/>
        <w:keepNext w:val="0"/>
        <w:keepLines w:val="0"/>
        <w:pageBreakBefore/>
        <w:spacing w:line="360" w:lineRule="auto"/>
        <w:jc w:val="center"/>
        <w:rPr>
          <w:rFonts w:ascii="宋体" w:hAnsi="宋体" w:eastAsia="宋体" w:cs="宋体"/>
          <w:color w:val="auto"/>
          <w:sz w:val="24"/>
          <w:szCs w:val="24"/>
          <w:highlight w:val="none"/>
        </w:rPr>
      </w:pPr>
      <w:bookmarkStart w:id="22" w:name="_Toc9799"/>
      <w:bookmarkStart w:id="23" w:name="_Toc458697272"/>
      <w:r>
        <w:rPr>
          <w:rFonts w:hint="eastAsia" w:ascii="宋体" w:hAnsi="宋体" w:eastAsia="宋体" w:cs="宋体"/>
          <w:color w:val="auto"/>
          <w:sz w:val="24"/>
          <w:szCs w:val="24"/>
          <w:highlight w:val="none"/>
        </w:rPr>
        <w:t>六、定标</w:t>
      </w:r>
      <w:bookmarkEnd w:id="22"/>
      <w:bookmarkEnd w:id="23"/>
    </w:p>
    <w:p w14:paraId="099270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（一）确定中标人 </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本项目由采购人授权磋商小组确定中标人。</w:t>
      </w:r>
    </w:p>
    <w:p w14:paraId="7951BF59">
      <w:pPr>
        <w:spacing w:line="360" w:lineRule="auto"/>
        <w:rPr>
          <w:rFonts w:ascii="宋体" w:hAnsi="宋体" w:cs="宋体"/>
          <w:color w:val="auto"/>
          <w:sz w:val="24"/>
          <w:highlight w:val="none"/>
        </w:rPr>
      </w:pPr>
      <w:r>
        <w:rPr>
          <w:rFonts w:hint="eastAsia" w:ascii="宋体" w:hAnsi="宋体" w:cs="宋体"/>
          <w:color w:val="auto"/>
          <w:sz w:val="24"/>
          <w:highlight w:val="none"/>
        </w:rPr>
        <w:t>1.招标方在磋商结束后2个工作日内将磋商报告交采购人确认。</w:t>
      </w:r>
    </w:p>
    <w:p w14:paraId="65C2D535">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2.采购人应在收到磋商报告后5个工作日内对磋商结果进行确认。如有供应商对磋商结果提出质疑的，采购人可在质疑处理完毕后确定中标人。</w:t>
      </w:r>
    </w:p>
    <w:p w14:paraId="6D3CCE46">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0835FD7B">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2222870C">
      <w:pPr>
        <w:pStyle w:val="5"/>
        <w:keepNext w:val="0"/>
        <w:keepLines w:val="0"/>
        <w:pageBreakBefore/>
        <w:spacing w:line="360" w:lineRule="auto"/>
        <w:jc w:val="center"/>
        <w:rPr>
          <w:rFonts w:ascii="宋体" w:hAnsi="宋体" w:eastAsia="宋体" w:cs="宋体"/>
          <w:color w:val="auto"/>
          <w:sz w:val="24"/>
          <w:szCs w:val="24"/>
          <w:highlight w:val="none"/>
        </w:rPr>
      </w:pPr>
      <w:bookmarkStart w:id="24" w:name="_Toc458697273"/>
      <w:bookmarkStart w:id="25" w:name="_Toc3947"/>
      <w:r>
        <w:rPr>
          <w:rFonts w:hint="eastAsia" w:ascii="宋体" w:hAnsi="宋体" w:eastAsia="宋体" w:cs="宋体"/>
          <w:color w:val="auto"/>
          <w:sz w:val="24"/>
          <w:szCs w:val="24"/>
          <w:highlight w:val="none"/>
        </w:rPr>
        <w:t>七、合同授予</w:t>
      </w:r>
      <w:bookmarkEnd w:id="24"/>
      <w:bookmarkEnd w:id="25"/>
    </w:p>
    <w:p w14:paraId="57908123">
      <w:pPr>
        <w:spacing w:line="360" w:lineRule="auto"/>
        <w:rPr>
          <w:rFonts w:ascii="宋体" w:hAnsi="宋体" w:cs="宋体"/>
          <w:b/>
          <w:color w:val="auto"/>
          <w:sz w:val="24"/>
          <w:highlight w:val="none"/>
        </w:rPr>
      </w:pPr>
      <w:r>
        <w:rPr>
          <w:rFonts w:hint="eastAsia" w:ascii="宋体" w:hAnsi="宋体" w:cs="宋体"/>
          <w:b/>
          <w:color w:val="auto"/>
          <w:sz w:val="24"/>
          <w:highlight w:val="none"/>
        </w:rPr>
        <w:t>（一）签订合同</w:t>
      </w:r>
    </w:p>
    <w:p w14:paraId="2DFE1136">
      <w:pPr>
        <w:spacing w:line="360" w:lineRule="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5729DE90">
      <w:pPr>
        <w:spacing w:line="360" w:lineRule="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3B41DF64">
      <w:pPr>
        <w:spacing w:line="360" w:lineRule="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151C35F9">
      <w:pPr>
        <w:spacing w:line="360" w:lineRule="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330410CE">
      <w:pPr>
        <w:spacing w:line="360" w:lineRule="auto"/>
        <w:rPr>
          <w:rFonts w:ascii="宋体" w:hAnsi="宋体" w:cs="宋体"/>
          <w:color w:val="auto"/>
          <w:sz w:val="24"/>
          <w:highlight w:val="none"/>
        </w:rPr>
      </w:pPr>
      <w:r>
        <w:rPr>
          <w:rFonts w:hint="eastAsia" w:ascii="宋体" w:hAnsi="宋体" w:cs="宋体"/>
          <w:color w:val="auto"/>
          <w:sz w:val="24"/>
          <w:highlight w:val="none"/>
        </w:rPr>
        <w:t>5.采购人与成交人根据采购文件、磋商响应文件等内容签订政府采购合同，合同签订后送东阳市财政局采监科备案。</w:t>
      </w:r>
    </w:p>
    <w:p w14:paraId="2FB3FCDF">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6.政府采购货物和服务项目不得收取质量保证金。政府采购工程以及与工程建设有关的货物、服务，采用招标方式采购的，按国家和省有关规定执行。</w:t>
      </w:r>
    </w:p>
    <w:p w14:paraId="6FC021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（二）履约保证金</w:t>
      </w:r>
    </w:p>
    <w:p w14:paraId="12DA73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中标人在收到中标通知书后，需向采购人提供</w:t>
      </w:r>
      <w:r>
        <w:rPr>
          <w:rFonts w:hint="eastAsia" w:ascii="宋体" w:hAnsi="宋体" w:cs="宋体"/>
          <w:color w:val="auto"/>
          <w:sz w:val="24"/>
          <w:highlight w:val="none"/>
          <w:lang w:val="en-US" w:eastAsia="zh-CN"/>
        </w:rPr>
        <w:t>中标价的1</w:t>
      </w:r>
      <w:r>
        <w:rPr>
          <w:rFonts w:hint="eastAsia" w:ascii="宋体" w:hAnsi="宋体" w:eastAsia="宋体" w:cs="宋体"/>
          <w:color w:val="auto"/>
          <w:sz w:val="24"/>
          <w:highlight w:val="none"/>
        </w:rPr>
        <w:t>%</w:t>
      </w:r>
      <w:r>
        <w:rPr>
          <w:rFonts w:hint="eastAsia" w:ascii="宋体" w:hAnsi="宋体" w:cs="宋体"/>
          <w:color w:val="auto"/>
          <w:sz w:val="24"/>
          <w:highlight w:val="none"/>
        </w:rPr>
        <w:t>的履约保证金，在中标人与采购人签订合同前递交，投标人需以支票、汇票、本票或者金融机构、保险公司、担保机构出具的保函/保险（可在政采云平台购买，咨询热线4009039583）等非现金形式提交（保函期限应大于履约期限2个月）</w:t>
      </w:r>
      <w:r>
        <w:rPr>
          <w:rFonts w:hint="eastAsia" w:ascii="宋体" w:hAnsi="宋体" w:cs="宋体"/>
          <w:color w:val="auto"/>
          <w:sz w:val="24"/>
          <w:highlight w:val="none"/>
          <w:lang w:eastAsia="zh-CN"/>
        </w:rPr>
        <w:t>。</w:t>
      </w:r>
    </w:p>
    <w:p w14:paraId="64F161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highlight w:val="none"/>
          <w:lang w:eastAsia="zh-CN"/>
        </w:rPr>
      </w:pPr>
      <w:r>
        <w:rPr>
          <w:rFonts w:hint="eastAsia" w:ascii="宋体" w:hAnsi="宋体" w:cs="宋体"/>
          <w:color w:val="auto"/>
          <w:sz w:val="24"/>
          <w:highlight w:val="none"/>
          <w:lang w:val="en-US" w:eastAsia="zh-CN"/>
        </w:rPr>
        <w:t>中标人也</w:t>
      </w:r>
      <w:r>
        <w:rPr>
          <w:rFonts w:hint="eastAsia" w:ascii="宋体" w:hAnsi="宋体" w:cs="宋体"/>
          <w:color w:val="auto"/>
          <w:sz w:val="24"/>
          <w:highlight w:val="none"/>
        </w:rPr>
        <w:t>可登录政采云平台-【金融服务】—【我的项目】—【已备案合同】以保函形式提供：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在合同列表选择需要投保的合同，点击[保函推荐]。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在弹框里查看推荐的保函产品，</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自行选择保函产品，点击[立即申请]。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p w14:paraId="37BC4423">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ascii="宋体" w:hAnsi="宋体" w:eastAsia="宋体" w:cs="宋体"/>
          <w:color w:val="auto"/>
          <w:sz w:val="24"/>
          <w:highlight w:val="none"/>
        </w:rPr>
        <w:t>2.签订合同后，如中标人不按双方合同约定履约，则没收其全部履约保证金，履约保证金不足以赔偿损失的，按实际损失赔偿。</w:t>
      </w:r>
    </w:p>
    <w:p w14:paraId="72EDED8D">
      <w:pPr>
        <w:pStyle w:val="22"/>
        <w:pageBreakBefore/>
        <w:snapToGrid w:val="0"/>
        <w:spacing w:before="120" w:after="120" w:line="360" w:lineRule="auto"/>
        <w:jc w:val="center"/>
        <w:outlineLvl w:val="0"/>
        <w:rPr>
          <w:rFonts w:ascii="宋体" w:hAnsi="宋体" w:cs="宋体"/>
          <w:b/>
          <w:color w:val="auto"/>
          <w:szCs w:val="24"/>
          <w:highlight w:val="none"/>
        </w:rPr>
      </w:pPr>
      <w:bookmarkStart w:id="26" w:name="_Toc12984"/>
      <w:r>
        <w:rPr>
          <w:rFonts w:hint="eastAsia" w:ascii="宋体" w:hAnsi="宋体" w:cs="宋体"/>
          <w:b/>
          <w:color w:val="auto"/>
          <w:szCs w:val="24"/>
          <w:highlight w:val="none"/>
        </w:rPr>
        <w:t>第四章  磋商办法及评分标准</w:t>
      </w:r>
      <w:bookmarkEnd w:id="26"/>
    </w:p>
    <w:p w14:paraId="036DFA6C">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33293ECB">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东阳市巍山镇金塘山塘综合整治工程（第三次）</w:t>
      </w:r>
      <w:r>
        <w:rPr>
          <w:rFonts w:hint="eastAsia" w:ascii="宋体" w:hAnsi="宋体" w:cs="宋体"/>
          <w:color w:val="auto"/>
          <w:sz w:val="24"/>
          <w:highlight w:val="none"/>
        </w:rPr>
        <w:t>的磋商。</w:t>
      </w:r>
    </w:p>
    <w:p w14:paraId="72931FFD">
      <w:pPr>
        <w:spacing w:line="540" w:lineRule="exact"/>
        <w:rPr>
          <w:rFonts w:ascii="宋体" w:hAnsi="宋体" w:cs="宋体"/>
          <w:b/>
          <w:color w:val="auto"/>
          <w:sz w:val="24"/>
          <w:highlight w:val="none"/>
        </w:rPr>
      </w:pPr>
      <w:bookmarkStart w:id="27" w:name="_Toc31315"/>
      <w:bookmarkStart w:id="28" w:name="_Toc452728219"/>
      <w:bookmarkStart w:id="29" w:name="_Toc12525"/>
      <w:bookmarkStart w:id="30" w:name="_Toc26574"/>
      <w:r>
        <w:rPr>
          <w:rFonts w:hint="eastAsia" w:ascii="宋体" w:hAnsi="宋体" w:cs="宋体"/>
          <w:b/>
          <w:color w:val="auto"/>
          <w:sz w:val="24"/>
          <w:highlight w:val="none"/>
        </w:rPr>
        <w:t>一、总则</w:t>
      </w:r>
      <w:bookmarkEnd w:id="27"/>
      <w:bookmarkEnd w:id="28"/>
      <w:bookmarkEnd w:id="29"/>
      <w:bookmarkEnd w:id="30"/>
    </w:p>
    <w:p w14:paraId="0A9B30CB">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磋商采用综合评分法，总分为100分，其中价格分30分，技术、商务、资信及其他分70分；合格供应商的磋商得分为各项目汇总得分，中标候选资格按磋商综合得分由高到低顺序排列，得分相同的，按最终轮磋商报价由低到高顺序排列；得分且最终轮磋商报价相同的，按技术得分由高到低顺序排列。有效投标人为 3家时推荐2名中标候选人，有效</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大于 3 家时，推荐 3名中标候选人</w:t>
      </w:r>
      <w:r>
        <w:rPr>
          <w:rFonts w:hint="eastAsia" w:ascii="宋体" w:hAnsi="宋体" w:eastAsia="宋体" w:cs="宋体"/>
          <w:color w:val="auto"/>
          <w:sz w:val="24"/>
          <w:highlight w:val="none"/>
        </w:rPr>
        <w:t>（排名第一的中标候选人为中标人，排名第二的中标候选人为替补中标人）</w:t>
      </w:r>
      <w:r>
        <w:rPr>
          <w:rFonts w:hint="eastAsia" w:ascii="宋体" w:hAnsi="宋体" w:cs="宋体"/>
          <w:color w:val="auto"/>
          <w:sz w:val="24"/>
          <w:highlight w:val="none"/>
        </w:rPr>
        <w:t>……其他供应商中标候选资格依此类推。评分过程中采用四舍五入法，并保留小数2位。</w:t>
      </w:r>
    </w:p>
    <w:p w14:paraId="09D9F9C2">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供应商磋商综合得分=价格分+(技术分+商务分+资信及其他分)</w:t>
      </w:r>
    </w:p>
    <w:p w14:paraId="64C4CC21">
      <w:pPr>
        <w:numPr>
          <w:ilvl w:val="0"/>
          <w:numId w:val="7"/>
        </w:numPr>
        <w:spacing w:line="540" w:lineRule="exact"/>
        <w:rPr>
          <w:rFonts w:ascii="宋体" w:hAnsi="宋体" w:cs="宋体"/>
          <w:b/>
          <w:color w:val="auto"/>
          <w:sz w:val="24"/>
          <w:highlight w:val="none"/>
        </w:rPr>
      </w:pPr>
      <w:bookmarkStart w:id="31" w:name="_Toc452728220"/>
      <w:bookmarkStart w:id="32" w:name="_Toc16785"/>
      <w:bookmarkStart w:id="33" w:name="_Toc12387"/>
      <w:bookmarkStart w:id="34" w:name="_Toc6122"/>
      <w:r>
        <w:rPr>
          <w:rFonts w:hint="eastAsia" w:ascii="宋体" w:hAnsi="宋体" w:cs="宋体"/>
          <w:b/>
          <w:color w:val="auto"/>
          <w:sz w:val="24"/>
          <w:highlight w:val="none"/>
        </w:rPr>
        <w:t>磋商内容及标准</w:t>
      </w:r>
      <w:bookmarkEnd w:id="31"/>
      <w:bookmarkEnd w:id="32"/>
      <w:bookmarkEnd w:id="33"/>
      <w:bookmarkEnd w:id="34"/>
      <w:bookmarkStart w:id="35" w:name="_Toc502652282"/>
      <w:bookmarkStart w:id="36" w:name="_Hlt452359758"/>
      <w:bookmarkStart w:id="37" w:name="_Hlt452359757"/>
    </w:p>
    <w:p w14:paraId="48A58B4B">
      <w:pPr>
        <w:pStyle w:val="22"/>
        <w:spacing w:before="120" w:after="120" w:line="540" w:lineRule="exact"/>
        <w:rPr>
          <w:rFonts w:hint="default" w:ascii="宋体" w:hAnsi="宋体" w:eastAsia="宋体"/>
          <w:b/>
          <w:bCs/>
          <w:color w:val="auto"/>
          <w:szCs w:val="24"/>
          <w:highlight w:val="none"/>
          <w:lang w:val="en-US" w:eastAsia="zh-CN"/>
        </w:rPr>
      </w:pPr>
      <w:r>
        <w:rPr>
          <w:rFonts w:hint="eastAsia" w:ascii="宋体" w:hAnsi="宋体"/>
          <w:b/>
          <w:bCs/>
          <w:color w:val="auto"/>
          <w:szCs w:val="24"/>
          <w:highlight w:val="none"/>
        </w:rPr>
        <w:t>（一）技术、商务、资信及其他分（70分）</w:t>
      </w:r>
    </w:p>
    <w:p w14:paraId="77A889E5">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技术、商务资信及其他分响应标书要求的磋商单位全部进入商务报价评审。</w:t>
      </w:r>
    </w:p>
    <w:p w14:paraId="790EA813">
      <w:pPr>
        <w:pStyle w:val="13"/>
        <w:spacing w:line="540" w:lineRule="exact"/>
        <w:ind w:left="0" w:leftChars="0"/>
        <w:rPr>
          <w:rFonts w:ascii="宋体" w:hAnsi="宋体"/>
          <w:b/>
          <w:bCs/>
          <w:color w:val="auto"/>
          <w:sz w:val="24"/>
          <w:highlight w:val="none"/>
        </w:rPr>
      </w:pPr>
      <w:r>
        <w:rPr>
          <w:rFonts w:hint="eastAsia" w:ascii="宋体" w:hAnsi="宋体"/>
          <w:b/>
          <w:color w:val="auto"/>
          <w:sz w:val="24"/>
          <w:highlight w:val="none"/>
        </w:rPr>
        <w:t>（二）</w:t>
      </w:r>
      <w:r>
        <w:rPr>
          <w:rFonts w:hint="eastAsia" w:ascii="宋体" w:hAnsi="宋体"/>
          <w:b/>
          <w:bCs/>
          <w:color w:val="auto"/>
          <w:sz w:val="24"/>
          <w:highlight w:val="none"/>
        </w:rPr>
        <w:t xml:space="preserve">价格分（30分） </w:t>
      </w:r>
    </w:p>
    <w:p w14:paraId="71874833">
      <w:pPr>
        <w:spacing w:beforeLines="50" w:afterLines="50" w:line="540" w:lineRule="exact"/>
        <w:ind w:firstLine="464" w:firstLineChars="200"/>
        <w:rPr>
          <w:rFonts w:hAnsi="宋体"/>
          <w:bCs/>
          <w:color w:val="auto"/>
          <w:sz w:val="24"/>
          <w:highlight w:val="none"/>
        </w:rPr>
      </w:pPr>
      <w:r>
        <w:rPr>
          <w:rFonts w:hint="eastAsia" w:ascii="宋体" w:hAnsi="宋体"/>
          <w:bCs/>
          <w:color w:val="auto"/>
          <w:spacing w:val="-4"/>
          <w:sz w:val="24"/>
          <w:szCs w:val="20"/>
          <w:highlight w:val="none"/>
        </w:rPr>
        <w:t>（1）</w:t>
      </w:r>
      <w:r>
        <w:rPr>
          <w:rFonts w:hint="eastAsia" w:hAnsi="宋体"/>
          <w:bCs/>
          <w:color w:val="auto"/>
          <w:sz w:val="24"/>
          <w:highlight w:val="none"/>
        </w:rPr>
        <w:t>价格分采用低价优先法计算，取所有技术、资信商务得分入围供应商中，</w:t>
      </w:r>
      <w:r>
        <w:rPr>
          <w:rFonts w:hint="eastAsia" w:ascii="宋体" w:hAnsi="宋体" w:cs="宋体"/>
          <w:b/>
          <w:bCs/>
          <w:color w:val="auto"/>
          <w:sz w:val="24"/>
          <w:highlight w:val="none"/>
        </w:rPr>
        <w:t>最终轮磋商报价以</w:t>
      </w:r>
      <w:r>
        <w:rPr>
          <w:rFonts w:hint="eastAsia" w:hAnsi="宋体"/>
          <w:b/>
          <w:bCs/>
          <w:color w:val="auto"/>
          <w:sz w:val="24"/>
          <w:highlight w:val="none"/>
        </w:rPr>
        <w:t>最低的磋商报价</w:t>
      </w:r>
      <w:r>
        <w:rPr>
          <w:rFonts w:hint="eastAsia" w:hAnsi="宋体"/>
          <w:bCs/>
          <w:color w:val="auto"/>
          <w:sz w:val="24"/>
          <w:highlight w:val="none"/>
        </w:rPr>
        <w:t>为基准价，其他供应商的价格分按照下列公式计算：</w:t>
      </w:r>
    </w:p>
    <w:p w14:paraId="297FE0F9">
      <w:pPr>
        <w:spacing w:beforeLines="50" w:afterLines="50" w:line="54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价格分=基准价/最终轮磋商报价×30</w:t>
      </w:r>
    </w:p>
    <w:p w14:paraId="2C5B5D91">
      <w:pPr>
        <w:pStyle w:val="140"/>
      </w:pPr>
      <w:r>
        <w:rPr>
          <w:rFonts w:hint="eastAsia" w:ascii="宋体" w:hAnsi="宋体" w:eastAsia="宋体" w:cs="Times New Roman"/>
          <w:bCs/>
          <w:spacing w:val="-4"/>
          <w:sz w:val="24"/>
          <w:lang w:val="en-US" w:eastAsia="zh-CN"/>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助力扎实稳住经济的通知》（浙财采监[2022]8号）的规定，对小型和微型企业、监狱企业、残疾人福利性单位生产的产品价格给予10%～20%的扣除，用扣除后的价格参与评审。</w:t>
      </w:r>
      <w:r>
        <w:rPr>
          <w:rFonts w:hint="eastAsia" w:ascii="宋体"/>
          <w:b/>
          <w:spacing w:val="-4"/>
          <w:sz w:val="24"/>
          <w:u w:val="single"/>
          <w:lang w:val="en-US" w:eastAsia="zh-CN"/>
        </w:rPr>
        <w:t>本项目</w:t>
      </w:r>
      <w:r>
        <w:rPr>
          <w:rFonts w:hint="eastAsia" w:ascii="宋体" w:hAnsi="宋体" w:eastAsia="宋体" w:cs="Times New Roman"/>
          <w:b/>
          <w:bCs w:val="0"/>
          <w:spacing w:val="-4"/>
          <w:sz w:val="24"/>
          <w:u w:val="single"/>
          <w:lang w:val="en-US" w:eastAsia="zh-CN"/>
        </w:rPr>
        <w:t>已对中小微企业进行预留，不再重复享受价格扣除的优惠政策。</w:t>
      </w:r>
      <w:r>
        <w:rPr>
          <w:rFonts w:hint="eastAsia" w:ascii="宋体" w:hAnsi="宋体" w:eastAsia="宋体" w:cs="Times New Roman"/>
          <w:bCs/>
          <w:spacing w:val="-4"/>
          <w:sz w:val="24"/>
          <w:lang w:val="en-US" w:eastAsia="zh-CN"/>
        </w:rPr>
        <w:t>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 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6D575FF2">
      <w:pPr>
        <w:spacing w:line="540" w:lineRule="exact"/>
        <w:rPr>
          <w:rFonts w:ascii="宋体" w:hAnsi="宋体"/>
          <w:b/>
          <w:bCs/>
          <w:color w:val="auto"/>
          <w:sz w:val="24"/>
          <w:highlight w:val="none"/>
        </w:rPr>
      </w:pPr>
      <w:r>
        <w:rPr>
          <w:rFonts w:hint="eastAsia" w:ascii="宋体" w:hAnsi="宋体"/>
          <w:b/>
          <w:bCs/>
          <w:color w:val="auto"/>
          <w:sz w:val="24"/>
          <w:highlight w:val="none"/>
        </w:rPr>
        <w:t>（三）技术、商务、资信及其他分的计算</w:t>
      </w:r>
    </w:p>
    <w:p w14:paraId="12F30512">
      <w:pPr>
        <w:spacing w:beforeLines="50" w:afterLines="50" w:line="540" w:lineRule="exact"/>
        <w:ind w:firstLine="480" w:firstLineChars="200"/>
        <w:rPr>
          <w:rFonts w:ascii="宋体" w:hAnsi="宋体"/>
          <w:color w:val="auto"/>
          <w:sz w:val="24"/>
          <w:highlight w:val="none"/>
        </w:rPr>
      </w:pPr>
      <w:r>
        <w:rPr>
          <w:rFonts w:hint="eastAsia" w:ascii="宋体" w:hAnsi="宋体"/>
          <w:color w:val="auto"/>
          <w:sz w:val="24"/>
          <w:highlight w:val="none"/>
        </w:rPr>
        <w:t>技术、商务、资信及其他分按照磋商小组成员的独立评分结果的算术平均分计算，计算公式为：</w:t>
      </w:r>
    </w:p>
    <w:p w14:paraId="7DF63D3D">
      <w:pPr>
        <w:spacing w:beforeLines="50" w:afterLines="50" w:line="54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rPr>
        <w:t>技术商务资信及其他分=磋商小组所有成员有效评分合计数/</w:t>
      </w:r>
      <w:r>
        <w:rPr>
          <w:rFonts w:hint="eastAsia" w:ascii="宋体" w:hAnsi="宋体" w:cs="宋体"/>
          <w:color w:val="auto"/>
          <w:sz w:val="24"/>
          <w:highlight w:val="none"/>
        </w:rPr>
        <w:t>（评标委员会组成人员数）</w:t>
      </w:r>
    </w:p>
    <w:p w14:paraId="5E12B9C3">
      <w:pPr>
        <w:spacing w:beforeLines="50" w:afterLines="50" w:line="5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技术分、商务分、资信及其他分评分标准，共70分</w:t>
      </w:r>
    </w:p>
    <w:tbl>
      <w:tblPr>
        <w:tblStyle w:val="38"/>
        <w:tblW w:w="99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7"/>
        <w:gridCol w:w="1162"/>
        <w:gridCol w:w="7460"/>
        <w:gridCol w:w="789"/>
      </w:tblGrid>
      <w:tr w14:paraId="2A040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0D3184A9">
            <w:pPr>
              <w:spacing w:line="360" w:lineRule="auto"/>
              <w:jc w:val="center"/>
              <w:rPr>
                <w:rFonts w:ascii="宋体" w:hAnsi="宋体" w:cs="宋体"/>
                <w:b/>
                <w:bCs/>
                <w:highlight w:val="none"/>
              </w:rPr>
            </w:pPr>
            <w:r>
              <w:rPr>
                <w:rFonts w:hint="eastAsia" w:ascii="宋体" w:hAnsi="宋体" w:cs="宋体"/>
                <w:b/>
                <w:bCs/>
                <w:highlight w:val="none"/>
              </w:rPr>
              <w:t>序号</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55B103EA">
            <w:pPr>
              <w:spacing w:line="360" w:lineRule="auto"/>
              <w:jc w:val="center"/>
              <w:rPr>
                <w:rFonts w:ascii="宋体" w:hAnsi="宋体" w:cs="宋体"/>
                <w:b/>
                <w:bCs/>
                <w:highlight w:val="none"/>
              </w:rPr>
            </w:pPr>
            <w:r>
              <w:rPr>
                <w:rFonts w:hint="eastAsia" w:ascii="宋体" w:hAnsi="宋体" w:cs="宋体"/>
                <w:b/>
                <w:bCs/>
                <w:highlight w:val="none"/>
              </w:rPr>
              <w:t>评审内容</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7DB32702">
            <w:pPr>
              <w:spacing w:line="360" w:lineRule="auto"/>
              <w:jc w:val="center"/>
              <w:rPr>
                <w:rFonts w:ascii="宋体" w:hAnsi="宋体" w:cs="宋体"/>
                <w:b/>
                <w:bCs/>
                <w:highlight w:val="none"/>
              </w:rPr>
            </w:pPr>
            <w:r>
              <w:rPr>
                <w:rFonts w:hint="eastAsia" w:ascii="宋体" w:hAnsi="宋体" w:cs="宋体"/>
                <w:b/>
                <w:bCs/>
                <w:highlight w:val="none"/>
              </w:rPr>
              <w:t>评分标准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629DF5CA">
            <w:pPr>
              <w:spacing w:line="360" w:lineRule="auto"/>
              <w:jc w:val="center"/>
              <w:rPr>
                <w:rFonts w:ascii="宋体" w:hAnsi="宋体" w:cs="宋体"/>
                <w:b/>
                <w:bCs/>
                <w:highlight w:val="none"/>
              </w:rPr>
            </w:pPr>
            <w:r>
              <w:rPr>
                <w:rFonts w:hint="eastAsia" w:ascii="宋体" w:hAnsi="宋体" w:cs="宋体"/>
                <w:b/>
                <w:bCs/>
                <w:highlight w:val="none"/>
              </w:rPr>
              <w:t>分值</w:t>
            </w:r>
          </w:p>
        </w:tc>
      </w:tr>
      <w:tr w14:paraId="4A9E3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7A4BE031">
            <w:pPr>
              <w:spacing w:line="360" w:lineRule="auto"/>
              <w:jc w:val="center"/>
              <w:rPr>
                <w:rFonts w:ascii="宋体" w:hAnsi="宋体" w:cs="宋体"/>
                <w:b/>
                <w:bCs/>
                <w:highlight w:val="none"/>
              </w:rPr>
            </w:pPr>
            <w:r>
              <w:rPr>
                <w:rFonts w:hint="eastAsia" w:ascii="宋体" w:hAnsi="宋体" w:cs="宋体"/>
                <w:b/>
                <w:bCs/>
                <w:highlight w:val="none"/>
              </w:rPr>
              <w:t>一</w:t>
            </w:r>
          </w:p>
        </w:tc>
        <w:tc>
          <w:tcPr>
            <w:tcW w:w="8622" w:type="dxa"/>
            <w:gridSpan w:val="2"/>
            <w:tcBorders>
              <w:top w:val="single" w:color="auto" w:sz="4" w:space="0"/>
              <w:left w:val="single" w:color="auto" w:sz="4" w:space="0"/>
              <w:bottom w:val="single" w:color="auto" w:sz="4" w:space="0"/>
              <w:right w:val="single" w:color="auto" w:sz="4" w:space="0"/>
            </w:tcBorders>
            <w:noWrap w:val="0"/>
            <w:vAlign w:val="center"/>
          </w:tcPr>
          <w:p w14:paraId="75FA33BF">
            <w:pPr>
              <w:spacing w:line="360" w:lineRule="auto"/>
              <w:jc w:val="center"/>
              <w:rPr>
                <w:rFonts w:ascii="宋体" w:hAnsi="宋体" w:cs="宋体"/>
                <w:b/>
                <w:bCs/>
                <w:highlight w:val="none"/>
              </w:rPr>
            </w:pPr>
            <w:r>
              <w:rPr>
                <w:rFonts w:hint="eastAsia" w:ascii="宋体" w:hAnsi="宋体" w:cs="宋体"/>
                <w:b/>
                <w:bCs/>
                <w:highlight w:val="none"/>
              </w:rPr>
              <w:t>技术分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B9858A0">
            <w:pPr>
              <w:spacing w:line="360" w:lineRule="auto"/>
              <w:jc w:val="center"/>
              <w:rPr>
                <w:rFonts w:ascii="宋体" w:hAnsi="宋体" w:cs="宋体"/>
                <w:b/>
                <w:bCs/>
                <w:highlight w:val="none"/>
              </w:rPr>
            </w:pPr>
            <w:r>
              <w:rPr>
                <w:rFonts w:hint="eastAsia" w:ascii="宋体" w:hAnsi="宋体" w:cs="宋体"/>
                <w:b/>
                <w:bCs/>
                <w:highlight w:val="none"/>
                <w:lang w:val="en-US" w:eastAsia="zh-CN"/>
              </w:rPr>
              <w:t>59</w:t>
            </w:r>
            <w:r>
              <w:rPr>
                <w:rFonts w:hint="eastAsia" w:ascii="宋体" w:hAnsi="宋体" w:cs="宋体"/>
                <w:b/>
                <w:bCs/>
                <w:highlight w:val="none"/>
              </w:rPr>
              <w:t>分</w:t>
            </w:r>
          </w:p>
        </w:tc>
      </w:tr>
      <w:tr w14:paraId="03A3E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46B66E47">
            <w:pPr>
              <w:spacing w:line="360" w:lineRule="auto"/>
              <w:jc w:val="center"/>
              <w:rPr>
                <w:rFonts w:ascii="宋体" w:hAnsi="宋体" w:cs="宋体"/>
                <w:highlight w:val="none"/>
              </w:rPr>
            </w:pPr>
            <w:r>
              <w:rPr>
                <w:rFonts w:hint="eastAsia" w:ascii="宋体" w:hAnsi="宋体" w:cs="宋体"/>
                <w:highlight w:val="none"/>
              </w:rPr>
              <w:t>1</w:t>
            </w:r>
          </w:p>
        </w:tc>
        <w:tc>
          <w:tcPr>
            <w:tcW w:w="1162" w:type="dxa"/>
            <w:tcBorders>
              <w:left w:val="single" w:color="auto" w:sz="4" w:space="0"/>
              <w:right w:val="single" w:color="auto" w:sz="4" w:space="0"/>
            </w:tcBorders>
            <w:noWrap w:val="0"/>
            <w:vAlign w:val="center"/>
          </w:tcPr>
          <w:p w14:paraId="43336DBF">
            <w:pPr>
              <w:spacing w:line="340" w:lineRule="exact"/>
              <w:jc w:val="center"/>
              <w:rPr>
                <w:rFonts w:ascii="宋体" w:hAnsi="宋体" w:cs="宋体"/>
                <w:highlight w:val="none"/>
              </w:rPr>
            </w:pPr>
            <w:r>
              <w:rPr>
                <w:rFonts w:hint="eastAsia" w:ascii="宋体" w:hAnsi="宋体" w:cs="宋体"/>
                <w:highlight w:val="none"/>
                <w:lang w:val="en-US" w:eastAsia="zh-CN"/>
              </w:rPr>
              <w:t>项目理解情况</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73AC368A">
            <w:pPr>
              <w:spacing w:line="340" w:lineRule="exact"/>
              <w:rPr>
                <w:rFonts w:hint="eastAsia" w:ascii="宋体" w:hAnsi="宋体" w:cs="宋体"/>
                <w:highlight w:val="none"/>
              </w:rPr>
            </w:pPr>
            <w:r>
              <w:rPr>
                <w:rFonts w:hint="eastAsia" w:ascii="宋体" w:hAnsi="宋体" w:cs="宋体"/>
                <w:highlight w:val="none"/>
                <w:lang w:val="en-US" w:eastAsia="zh-CN"/>
              </w:rPr>
              <w:t>根据磋商响应方对项目实施思路（0-2分）、技术要求（0-2分）、项目特点（0-2分）的理解情况，根据其科学性、合理性、可行性等情况进行打分，不提供方案不得分。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17895634">
            <w:pPr>
              <w:spacing w:line="360" w:lineRule="auto"/>
              <w:jc w:val="center"/>
              <w:rPr>
                <w:rFonts w:ascii="宋体" w:hAnsi="宋体" w:cs="宋体"/>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14:paraId="44993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5BB92808">
            <w:pPr>
              <w:spacing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2</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68B101FF">
            <w:pPr>
              <w:spacing w:line="340" w:lineRule="exact"/>
              <w:jc w:val="center"/>
              <w:rPr>
                <w:rFonts w:hint="eastAsia" w:ascii="宋体" w:hAnsi="宋体" w:cs="宋体"/>
                <w:highlight w:val="none"/>
              </w:rPr>
            </w:pPr>
            <w:r>
              <w:rPr>
                <w:rFonts w:hint="eastAsia" w:ascii="宋体" w:hAnsi="宋体" w:cs="宋体"/>
                <w:highlight w:val="none"/>
              </w:rPr>
              <w:t>施工方案</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627F6985">
            <w:pPr>
              <w:spacing w:line="340" w:lineRule="exact"/>
              <w:rPr>
                <w:rFonts w:hint="eastAsia" w:ascii="宋体" w:hAnsi="宋体" w:cs="宋体"/>
                <w:highlight w:val="none"/>
              </w:rPr>
            </w:pPr>
            <w:r>
              <w:rPr>
                <w:rFonts w:hint="eastAsia" w:ascii="宋体" w:hAnsi="宋体" w:cs="宋体"/>
                <w:highlight w:val="none"/>
              </w:rPr>
              <w:t>施工方案内容齐全、结构完整、表述准确、条理清晰程度，与需求的吻合程度（0-</w:t>
            </w:r>
            <w:r>
              <w:rPr>
                <w:rFonts w:hint="eastAsia" w:ascii="宋体" w:hAnsi="宋体" w:cs="宋体"/>
                <w:highlight w:val="none"/>
                <w:lang w:val="en-US" w:eastAsia="zh-CN"/>
              </w:rPr>
              <w:t>3</w:t>
            </w:r>
            <w:r>
              <w:rPr>
                <w:rFonts w:hint="eastAsia" w:ascii="宋体" w:hAnsi="宋体" w:cs="宋体"/>
                <w:highlight w:val="none"/>
              </w:rPr>
              <w:t>分）；是否涵盖本次工程实施有关的内容（0-</w:t>
            </w:r>
            <w:r>
              <w:rPr>
                <w:rFonts w:hint="eastAsia" w:ascii="宋体" w:hAnsi="宋体" w:cs="宋体"/>
                <w:highlight w:val="none"/>
                <w:lang w:val="en-US" w:eastAsia="zh-CN"/>
              </w:rPr>
              <w:t>3</w:t>
            </w:r>
            <w:r>
              <w:rPr>
                <w:rFonts w:hint="eastAsia" w:ascii="宋体" w:hAnsi="宋体" w:cs="宋体"/>
                <w:highlight w:val="none"/>
              </w:rPr>
              <w:t>分），包括方案的先进性、可行性和扩展性，进行打分。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866ECB3">
            <w:pPr>
              <w:spacing w:line="360" w:lineRule="auto"/>
              <w:jc w:val="center"/>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分</w:t>
            </w:r>
          </w:p>
        </w:tc>
      </w:tr>
      <w:tr w14:paraId="757AE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6458F4A6">
            <w:pPr>
              <w:spacing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3</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2685F042">
            <w:pPr>
              <w:spacing w:line="360" w:lineRule="auto"/>
              <w:jc w:val="center"/>
              <w:rPr>
                <w:rFonts w:ascii="宋体" w:hAnsi="宋体" w:cs="宋体"/>
                <w:highlight w:val="none"/>
              </w:rPr>
            </w:pPr>
            <w:r>
              <w:rPr>
                <w:rFonts w:hint="eastAsia" w:ascii="宋体" w:hAnsi="宋体" w:cs="宋体"/>
                <w:highlight w:val="none"/>
              </w:rPr>
              <w:t>施工进度</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180E507F">
            <w:pPr>
              <w:spacing w:line="340" w:lineRule="exact"/>
              <w:rPr>
                <w:rFonts w:hint="eastAsia" w:ascii="宋体" w:hAnsi="宋体" w:cs="宋体"/>
                <w:highlight w:val="none"/>
              </w:rPr>
            </w:pPr>
            <w:r>
              <w:rPr>
                <w:rFonts w:hint="eastAsia" w:ascii="宋体" w:hAnsi="宋体" w:cs="宋体"/>
                <w:highlight w:val="none"/>
              </w:rPr>
              <w:t>根据项目工期要求，施工进度安排合理、准确、关键节点的控制措施进行打分</w:t>
            </w:r>
            <w:r>
              <w:rPr>
                <w:rFonts w:hint="eastAsia" w:ascii="宋体" w:hAnsi="宋体" w:cs="宋体"/>
                <w:highlight w:val="none"/>
                <w:lang w:eastAsia="zh-CN"/>
              </w:rPr>
              <w:t>。</w:t>
            </w:r>
            <w:r>
              <w:rPr>
                <w:rFonts w:hint="eastAsia" w:ascii="宋体" w:hAnsi="宋体" w:cs="宋体"/>
                <w:highlight w:val="none"/>
              </w:rPr>
              <w:t>（0-3分）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2572D05D">
            <w:pPr>
              <w:spacing w:line="360" w:lineRule="auto"/>
              <w:jc w:val="center"/>
              <w:rPr>
                <w:rFonts w:ascii="宋体" w:hAnsi="宋体" w:cs="宋体"/>
                <w:highlight w:val="none"/>
              </w:rPr>
            </w:pPr>
            <w:r>
              <w:rPr>
                <w:rFonts w:hint="eastAsia" w:ascii="宋体" w:hAnsi="宋体" w:cs="宋体"/>
                <w:highlight w:val="none"/>
              </w:rPr>
              <w:t>3分</w:t>
            </w:r>
          </w:p>
        </w:tc>
      </w:tr>
      <w:tr w14:paraId="1CD40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2920A2E6">
            <w:pPr>
              <w:spacing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4</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0902CDEB">
            <w:pPr>
              <w:spacing w:line="360" w:lineRule="auto"/>
              <w:jc w:val="center"/>
              <w:rPr>
                <w:rFonts w:hint="eastAsia" w:ascii="宋体" w:hAnsi="宋体" w:cs="宋体"/>
                <w:highlight w:val="none"/>
              </w:rPr>
            </w:pPr>
            <w:r>
              <w:rPr>
                <w:rFonts w:hint="eastAsia" w:ascii="宋体" w:hAnsi="宋体" w:cs="宋体"/>
                <w:highlight w:val="none"/>
              </w:rPr>
              <w:t>质量保障</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7B804B1D">
            <w:pPr>
              <w:spacing w:line="340" w:lineRule="exact"/>
              <w:rPr>
                <w:rFonts w:hint="eastAsia" w:ascii="宋体" w:hAnsi="宋体" w:cs="宋体"/>
                <w:highlight w:val="none"/>
              </w:rPr>
            </w:pPr>
            <w:r>
              <w:rPr>
                <w:rFonts w:hint="eastAsia" w:ascii="宋体" w:hAnsi="宋体" w:cs="宋体"/>
                <w:highlight w:val="none"/>
                <w:lang w:val="en-US" w:eastAsia="zh-CN"/>
              </w:rPr>
              <w:t>对</w:t>
            </w:r>
            <w:r>
              <w:rPr>
                <w:rFonts w:hint="eastAsia" w:ascii="宋体" w:hAnsi="宋体" w:cs="宋体"/>
                <w:highlight w:val="none"/>
              </w:rPr>
              <w:t>施工质量目标明确（0-</w:t>
            </w:r>
            <w:r>
              <w:rPr>
                <w:rFonts w:hint="eastAsia" w:ascii="宋体" w:hAnsi="宋体" w:cs="宋体"/>
                <w:highlight w:val="none"/>
                <w:lang w:val="en-US" w:eastAsia="zh-CN"/>
              </w:rPr>
              <w:t>2</w:t>
            </w:r>
            <w:r>
              <w:rPr>
                <w:rFonts w:hint="eastAsia" w:ascii="宋体" w:hAnsi="宋体" w:cs="宋体"/>
                <w:highlight w:val="none"/>
              </w:rPr>
              <w:t>分）</w:t>
            </w:r>
            <w:r>
              <w:rPr>
                <w:rFonts w:hint="eastAsia" w:ascii="宋体" w:hAnsi="宋体" w:cs="宋体"/>
                <w:highlight w:val="none"/>
                <w:lang w:eastAsia="zh-CN"/>
              </w:rPr>
              <w:t>、</w:t>
            </w:r>
            <w:r>
              <w:rPr>
                <w:rFonts w:hint="eastAsia" w:ascii="宋体" w:hAnsi="宋体" w:cs="宋体"/>
                <w:highlight w:val="none"/>
              </w:rPr>
              <w:t>质量控制措施（0-2分）</w:t>
            </w:r>
            <w:r>
              <w:rPr>
                <w:rFonts w:hint="eastAsia" w:ascii="宋体" w:hAnsi="宋体" w:cs="宋体"/>
                <w:highlight w:val="none"/>
                <w:lang w:val="en-US" w:eastAsia="zh-CN"/>
              </w:rPr>
              <w:t>的</w:t>
            </w:r>
            <w:r>
              <w:rPr>
                <w:rFonts w:hint="eastAsia" w:ascii="宋体" w:hAnsi="宋体" w:cs="宋体"/>
                <w:highlight w:val="none"/>
              </w:rPr>
              <w:t>科学</w:t>
            </w:r>
            <w:r>
              <w:rPr>
                <w:rFonts w:hint="eastAsia" w:ascii="宋体" w:hAnsi="宋体" w:cs="宋体"/>
                <w:highlight w:val="none"/>
                <w:lang w:val="en-US" w:eastAsia="zh-CN"/>
              </w:rPr>
              <w:t>性和</w:t>
            </w:r>
            <w:r>
              <w:rPr>
                <w:rFonts w:hint="eastAsia" w:ascii="宋体" w:hAnsi="宋体" w:cs="宋体"/>
                <w:highlight w:val="none"/>
              </w:rPr>
              <w:t>合理</w:t>
            </w:r>
            <w:r>
              <w:rPr>
                <w:rFonts w:hint="eastAsia" w:ascii="宋体" w:hAnsi="宋体" w:cs="宋体"/>
                <w:highlight w:val="none"/>
                <w:lang w:val="en-US" w:eastAsia="zh-CN"/>
              </w:rPr>
              <w:t>性</w:t>
            </w:r>
            <w:r>
              <w:rPr>
                <w:rFonts w:hint="eastAsia" w:ascii="宋体" w:hAnsi="宋体" w:cs="宋体"/>
                <w:highlight w:val="none"/>
              </w:rPr>
              <w:t>进行打分</w:t>
            </w:r>
            <w:r>
              <w:rPr>
                <w:rFonts w:hint="eastAsia" w:ascii="宋体" w:hAnsi="宋体" w:cs="宋体"/>
                <w:highlight w:val="none"/>
                <w:lang w:eastAsia="zh-CN"/>
              </w:rPr>
              <w:t>。</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2613FDBB">
            <w:pPr>
              <w:spacing w:line="360" w:lineRule="auto"/>
              <w:jc w:val="center"/>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分</w:t>
            </w:r>
          </w:p>
        </w:tc>
      </w:tr>
      <w:tr w14:paraId="2429D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537" w:type="dxa"/>
            <w:vMerge w:val="restart"/>
            <w:tcBorders>
              <w:top w:val="single" w:color="auto" w:sz="4" w:space="0"/>
              <w:left w:val="single" w:color="auto" w:sz="4" w:space="0"/>
              <w:right w:val="single" w:color="auto" w:sz="4" w:space="0"/>
            </w:tcBorders>
            <w:noWrap w:val="0"/>
            <w:vAlign w:val="center"/>
          </w:tcPr>
          <w:p w14:paraId="6133CEB8">
            <w:pPr>
              <w:spacing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5</w:t>
            </w:r>
          </w:p>
        </w:tc>
        <w:tc>
          <w:tcPr>
            <w:tcW w:w="1162" w:type="dxa"/>
            <w:vMerge w:val="restart"/>
            <w:tcBorders>
              <w:top w:val="single" w:color="auto" w:sz="4" w:space="0"/>
              <w:left w:val="single" w:color="auto" w:sz="4" w:space="0"/>
              <w:right w:val="single" w:color="auto" w:sz="4" w:space="0"/>
            </w:tcBorders>
            <w:noWrap w:val="0"/>
            <w:vAlign w:val="center"/>
          </w:tcPr>
          <w:p w14:paraId="1BFA8D9D">
            <w:pPr>
              <w:spacing w:line="340" w:lineRule="exact"/>
              <w:jc w:val="center"/>
              <w:rPr>
                <w:rFonts w:hint="eastAsia" w:ascii="宋体" w:hAnsi="宋体" w:cs="宋体"/>
                <w:highlight w:val="none"/>
              </w:rPr>
            </w:pPr>
            <w:r>
              <w:rPr>
                <w:rFonts w:hint="eastAsia" w:ascii="宋体" w:hAnsi="宋体" w:cs="宋体"/>
                <w:highlight w:val="none"/>
              </w:rPr>
              <w:t>安全、文明施工等的保证措施</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7BDE6337">
            <w:pPr>
              <w:spacing w:line="340" w:lineRule="exact"/>
              <w:rPr>
                <w:rFonts w:hint="eastAsia" w:ascii="宋体" w:hAnsi="宋体" w:cs="宋体"/>
                <w:highlight w:val="none"/>
              </w:rPr>
            </w:pPr>
            <w:r>
              <w:rPr>
                <w:rFonts w:hint="eastAsia" w:ascii="宋体" w:hAnsi="宋体" w:cs="宋体"/>
                <w:highlight w:val="none"/>
                <w:lang w:val="en-US" w:eastAsia="zh-CN"/>
              </w:rPr>
              <w:t>对</w:t>
            </w:r>
            <w:r>
              <w:rPr>
                <w:rFonts w:hint="eastAsia" w:ascii="宋体" w:hAnsi="宋体" w:cs="宋体"/>
                <w:highlight w:val="none"/>
              </w:rPr>
              <w:t>安全、文明施工及</w:t>
            </w:r>
            <w:r>
              <w:rPr>
                <w:rFonts w:hint="eastAsia" w:ascii="宋体" w:hAnsi="宋体" w:cs="宋体"/>
                <w:highlight w:val="none"/>
                <w:lang w:eastAsia="zh-CN"/>
              </w:rPr>
              <w:t>市政</w:t>
            </w:r>
            <w:r>
              <w:rPr>
                <w:rFonts w:hint="eastAsia" w:ascii="宋体" w:hAnsi="宋体" w:cs="宋体"/>
                <w:highlight w:val="none"/>
              </w:rPr>
              <w:t>、市容、</w:t>
            </w:r>
            <w:r>
              <w:rPr>
                <w:rFonts w:hint="eastAsia" w:ascii="宋体" w:hAnsi="宋体" w:cs="宋体"/>
                <w:highlight w:val="none"/>
                <w:lang w:eastAsia="zh-CN"/>
              </w:rPr>
              <w:t>环保、</w:t>
            </w:r>
            <w:r>
              <w:rPr>
                <w:rFonts w:hint="eastAsia" w:ascii="宋体" w:hAnsi="宋体" w:cs="宋体"/>
                <w:highlight w:val="none"/>
              </w:rPr>
              <w:t>消防的保证措施</w:t>
            </w:r>
            <w:r>
              <w:rPr>
                <w:rFonts w:hint="eastAsia" w:ascii="宋体" w:hAnsi="宋体" w:cs="宋体"/>
                <w:highlight w:val="none"/>
                <w:lang w:val="en-US" w:eastAsia="zh-CN"/>
              </w:rPr>
              <w:t>的</w:t>
            </w:r>
            <w:r>
              <w:rPr>
                <w:rFonts w:hint="eastAsia" w:ascii="宋体" w:hAnsi="宋体" w:cs="宋体"/>
                <w:highlight w:val="none"/>
              </w:rPr>
              <w:t>可行</w:t>
            </w:r>
            <w:r>
              <w:rPr>
                <w:rFonts w:hint="eastAsia" w:ascii="宋体" w:hAnsi="宋体" w:cs="宋体"/>
                <w:highlight w:val="none"/>
                <w:lang w:val="en-US" w:eastAsia="zh-CN"/>
              </w:rPr>
              <w:t>性</w:t>
            </w:r>
            <w:r>
              <w:rPr>
                <w:rFonts w:hint="eastAsia" w:ascii="宋体" w:hAnsi="宋体" w:cs="宋体"/>
                <w:color w:val="auto"/>
                <w:highlight w:val="none"/>
              </w:rPr>
              <w:t>进行打分</w:t>
            </w:r>
            <w:r>
              <w:rPr>
                <w:rFonts w:hint="eastAsia" w:ascii="宋体" w:hAnsi="宋体" w:cs="宋体"/>
                <w:color w:val="auto"/>
                <w:highlight w:val="none"/>
                <w:lang w:eastAsia="zh-CN"/>
              </w:rPr>
              <w:t>。</w:t>
            </w:r>
            <w:r>
              <w:rPr>
                <w:rFonts w:hint="eastAsia" w:ascii="宋体" w:hAnsi="宋体" w:cs="宋体"/>
                <w:color w:val="auto"/>
                <w:highlight w:val="none"/>
              </w:rPr>
              <w:t>（0-</w:t>
            </w:r>
            <w:r>
              <w:rPr>
                <w:rFonts w:hint="eastAsia" w:ascii="宋体" w:hAnsi="宋体" w:cs="宋体"/>
                <w:color w:val="auto"/>
                <w:highlight w:val="none"/>
                <w:lang w:val="en-US" w:eastAsia="zh-CN"/>
              </w:rPr>
              <w:t>4</w:t>
            </w:r>
            <w:r>
              <w:rPr>
                <w:rFonts w:hint="eastAsia" w:ascii="宋体" w:hAnsi="宋体" w:cs="宋体"/>
                <w:color w:val="auto"/>
                <w:highlight w:val="none"/>
              </w:rPr>
              <w:t>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68FCEFF1">
            <w:pPr>
              <w:spacing w:line="360" w:lineRule="auto"/>
              <w:jc w:val="center"/>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分</w:t>
            </w:r>
          </w:p>
        </w:tc>
      </w:tr>
      <w:tr w14:paraId="69F57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37" w:type="dxa"/>
            <w:vMerge w:val="continue"/>
            <w:tcBorders>
              <w:left w:val="single" w:color="auto" w:sz="4" w:space="0"/>
              <w:bottom w:val="single" w:color="auto" w:sz="4" w:space="0"/>
              <w:right w:val="single" w:color="auto" w:sz="4" w:space="0"/>
            </w:tcBorders>
            <w:noWrap w:val="0"/>
            <w:vAlign w:val="center"/>
          </w:tcPr>
          <w:p w14:paraId="2C8FD686">
            <w:pPr>
              <w:spacing w:line="360" w:lineRule="auto"/>
              <w:jc w:val="center"/>
              <w:rPr>
                <w:rFonts w:ascii="宋体" w:hAnsi="宋体" w:cs="宋体"/>
                <w:highlight w:val="none"/>
              </w:rPr>
            </w:pPr>
          </w:p>
        </w:tc>
        <w:tc>
          <w:tcPr>
            <w:tcW w:w="1162" w:type="dxa"/>
            <w:vMerge w:val="continue"/>
            <w:tcBorders>
              <w:left w:val="single" w:color="auto" w:sz="4" w:space="0"/>
              <w:bottom w:val="single" w:color="auto" w:sz="4" w:space="0"/>
              <w:right w:val="single" w:color="auto" w:sz="4" w:space="0"/>
            </w:tcBorders>
            <w:noWrap w:val="0"/>
            <w:vAlign w:val="center"/>
          </w:tcPr>
          <w:p w14:paraId="20034D92">
            <w:pPr>
              <w:spacing w:line="340" w:lineRule="exact"/>
              <w:jc w:val="center"/>
              <w:rPr>
                <w:rFonts w:hint="eastAsia" w:ascii="宋体" w:hAnsi="宋体" w:cs="宋体"/>
                <w:highlight w:val="none"/>
              </w:rPr>
            </w:pPr>
          </w:p>
        </w:tc>
        <w:tc>
          <w:tcPr>
            <w:tcW w:w="7460" w:type="dxa"/>
            <w:tcBorders>
              <w:top w:val="single" w:color="auto" w:sz="4" w:space="0"/>
              <w:left w:val="single" w:color="auto" w:sz="4" w:space="0"/>
              <w:bottom w:val="single" w:color="auto" w:sz="4" w:space="0"/>
              <w:right w:val="single" w:color="auto" w:sz="4" w:space="0"/>
            </w:tcBorders>
            <w:noWrap w:val="0"/>
            <w:vAlign w:val="center"/>
          </w:tcPr>
          <w:p w14:paraId="02F22E37">
            <w:pPr>
              <w:spacing w:line="340" w:lineRule="exact"/>
              <w:rPr>
                <w:rFonts w:hint="eastAsia" w:ascii="宋体" w:hAnsi="宋体" w:cs="宋体"/>
                <w:highlight w:val="none"/>
              </w:rPr>
            </w:pPr>
            <w:r>
              <w:rPr>
                <w:rFonts w:hint="eastAsia" w:ascii="宋体" w:hAnsi="宋体" w:cs="宋体"/>
                <w:highlight w:val="none"/>
              </w:rPr>
              <w:t>根据施工场地周边情况对扬尘治理、垃圾清运、人员管理、降噪等措施进行打分</w:t>
            </w:r>
            <w:r>
              <w:rPr>
                <w:rFonts w:hint="eastAsia" w:ascii="宋体" w:hAnsi="宋体" w:cs="宋体"/>
                <w:highlight w:val="none"/>
                <w:lang w:eastAsia="zh-CN"/>
              </w:rPr>
              <w:t>。</w:t>
            </w:r>
            <w:r>
              <w:rPr>
                <w:rFonts w:hint="eastAsia" w:ascii="宋体" w:hAnsi="宋体" w:cs="宋体"/>
                <w:highlight w:val="none"/>
              </w:rPr>
              <w:t>（0-</w:t>
            </w:r>
            <w:r>
              <w:rPr>
                <w:rFonts w:hint="eastAsia" w:ascii="宋体" w:hAnsi="宋体" w:cs="宋体"/>
                <w:highlight w:val="none"/>
                <w:lang w:val="en-US" w:eastAsia="zh-CN"/>
              </w:rPr>
              <w:t>3</w:t>
            </w:r>
            <w:r>
              <w:rPr>
                <w:rFonts w:hint="eastAsia" w:ascii="宋体" w:hAnsi="宋体" w:cs="宋体"/>
                <w:highlight w:val="none"/>
              </w:rPr>
              <w:t>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66246A7B">
            <w:pPr>
              <w:spacing w:line="360" w:lineRule="auto"/>
              <w:jc w:val="center"/>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分</w:t>
            </w:r>
          </w:p>
        </w:tc>
      </w:tr>
      <w:tr w14:paraId="72CE4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5027C22F">
            <w:pPr>
              <w:spacing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6</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7A222D1F">
            <w:pPr>
              <w:spacing w:line="340" w:lineRule="exact"/>
              <w:jc w:val="center"/>
              <w:rPr>
                <w:rFonts w:hint="eastAsia" w:ascii="宋体" w:hAnsi="宋体" w:cs="宋体"/>
                <w:highlight w:val="none"/>
              </w:rPr>
            </w:pPr>
            <w:r>
              <w:rPr>
                <w:rFonts w:hint="eastAsia" w:ascii="宋体" w:hAnsi="宋体" w:cs="宋体"/>
                <w:highlight w:val="none"/>
              </w:rPr>
              <w:t>施工机具</w:t>
            </w:r>
          </w:p>
          <w:p w14:paraId="6C8F0A90">
            <w:pPr>
              <w:spacing w:line="340" w:lineRule="exact"/>
              <w:jc w:val="center"/>
              <w:rPr>
                <w:rFonts w:hint="eastAsia" w:ascii="宋体" w:hAnsi="宋体" w:cs="宋体"/>
                <w:highlight w:val="none"/>
              </w:rPr>
            </w:pPr>
            <w:r>
              <w:rPr>
                <w:rFonts w:hint="eastAsia" w:ascii="宋体" w:hAnsi="宋体" w:cs="宋体"/>
                <w:highlight w:val="none"/>
              </w:rPr>
              <w:t>设备</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64A2EE2E">
            <w:pPr>
              <w:spacing w:line="340" w:lineRule="exact"/>
              <w:jc w:val="left"/>
              <w:rPr>
                <w:rFonts w:hint="eastAsia" w:ascii="宋体" w:hAnsi="宋体" w:cs="宋体"/>
                <w:highlight w:val="none"/>
              </w:rPr>
            </w:pPr>
            <w:r>
              <w:rPr>
                <w:rFonts w:hint="eastAsia" w:ascii="宋体" w:hAnsi="宋体" w:cs="宋体"/>
                <w:highlight w:val="none"/>
              </w:rPr>
              <w:t>施工机具设备的投入能够优于工程实施的需要，且与项目相适应，根据其针对性、合理性进行打分</w:t>
            </w:r>
            <w:r>
              <w:rPr>
                <w:rFonts w:hint="eastAsia" w:ascii="宋体" w:hAnsi="宋体" w:cs="宋体"/>
                <w:highlight w:val="none"/>
                <w:lang w:eastAsia="zh-CN"/>
              </w:rPr>
              <w:t>。</w:t>
            </w:r>
            <w:r>
              <w:rPr>
                <w:rFonts w:hint="eastAsia" w:ascii="宋体" w:hAnsi="宋体" w:cs="宋体"/>
                <w:highlight w:val="none"/>
              </w:rPr>
              <w:t>（0-3分）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25449378">
            <w:pPr>
              <w:spacing w:line="360" w:lineRule="auto"/>
              <w:jc w:val="center"/>
              <w:rPr>
                <w:rFonts w:hint="eastAsia" w:ascii="宋体" w:hAnsi="宋体" w:cs="宋体"/>
                <w:highlight w:val="none"/>
              </w:rPr>
            </w:pPr>
            <w:r>
              <w:rPr>
                <w:rFonts w:hint="eastAsia" w:ascii="宋体" w:hAnsi="宋体" w:cs="宋体"/>
                <w:highlight w:val="none"/>
              </w:rPr>
              <w:t>3分</w:t>
            </w:r>
          </w:p>
        </w:tc>
      </w:tr>
      <w:tr w14:paraId="555FA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076B96B8">
            <w:pPr>
              <w:spacing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7</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5CCDF809">
            <w:pPr>
              <w:spacing w:line="340" w:lineRule="exact"/>
              <w:jc w:val="center"/>
              <w:rPr>
                <w:rFonts w:hint="eastAsia" w:ascii="宋体" w:hAnsi="宋体" w:cs="宋体"/>
                <w:highlight w:val="none"/>
              </w:rPr>
            </w:pPr>
            <w:r>
              <w:rPr>
                <w:rFonts w:hint="eastAsia" w:ascii="宋体" w:hAnsi="宋体" w:cs="宋体"/>
                <w:highlight w:val="none"/>
              </w:rPr>
              <w:t>材料设备进场计划</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791485FD">
            <w:pPr>
              <w:spacing w:line="340" w:lineRule="exact"/>
              <w:jc w:val="left"/>
              <w:rPr>
                <w:rFonts w:hint="eastAsia" w:ascii="宋体" w:hAnsi="宋体" w:cs="宋体"/>
                <w:highlight w:val="none"/>
              </w:rPr>
            </w:pPr>
            <w:r>
              <w:rPr>
                <w:rFonts w:hint="eastAsia" w:ascii="宋体" w:hAnsi="宋体" w:cs="宋体"/>
                <w:highlight w:val="none"/>
              </w:rPr>
              <w:t>材料设备进场计划及施工计划情况：是否具有详细的材料设备进场计划、时间安排合理、材料数量清点情况、材料质量控制情况进行打分</w:t>
            </w:r>
            <w:r>
              <w:rPr>
                <w:rFonts w:hint="eastAsia" w:ascii="宋体" w:hAnsi="宋体" w:cs="宋体"/>
                <w:highlight w:val="none"/>
                <w:lang w:eastAsia="zh-CN"/>
              </w:rPr>
              <w:t>。</w:t>
            </w:r>
            <w:r>
              <w:rPr>
                <w:rFonts w:hint="eastAsia" w:ascii="宋体" w:hAnsi="宋体" w:cs="宋体"/>
                <w:highlight w:val="none"/>
              </w:rPr>
              <w:t>（0-</w:t>
            </w:r>
            <w:r>
              <w:rPr>
                <w:rFonts w:hint="eastAsia" w:ascii="宋体" w:hAnsi="宋体" w:cs="宋体"/>
                <w:highlight w:val="none"/>
                <w:lang w:val="en-US" w:eastAsia="zh-CN"/>
              </w:rPr>
              <w:t>4</w:t>
            </w:r>
            <w:r>
              <w:rPr>
                <w:rFonts w:hint="eastAsia" w:ascii="宋体" w:hAnsi="宋体" w:cs="宋体"/>
                <w:highlight w:val="none"/>
              </w:rPr>
              <w:t>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A949561">
            <w:pPr>
              <w:spacing w:line="340" w:lineRule="exact"/>
              <w:jc w:val="center"/>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分</w:t>
            </w:r>
          </w:p>
        </w:tc>
      </w:tr>
      <w:tr w14:paraId="74C65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37" w:type="dxa"/>
            <w:vMerge w:val="restart"/>
            <w:tcBorders>
              <w:top w:val="single" w:color="auto" w:sz="4" w:space="0"/>
              <w:left w:val="single" w:color="auto" w:sz="4" w:space="0"/>
              <w:right w:val="single" w:color="auto" w:sz="4" w:space="0"/>
            </w:tcBorders>
            <w:noWrap w:val="0"/>
            <w:vAlign w:val="center"/>
          </w:tcPr>
          <w:p w14:paraId="29E72573">
            <w:pPr>
              <w:spacing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8</w:t>
            </w:r>
          </w:p>
        </w:tc>
        <w:tc>
          <w:tcPr>
            <w:tcW w:w="1162" w:type="dxa"/>
            <w:vMerge w:val="restart"/>
            <w:tcBorders>
              <w:top w:val="single" w:color="auto" w:sz="4" w:space="0"/>
              <w:left w:val="single" w:color="auto" w:sz="4" w:space="0"/>
              <w:right w:val="single" w:color="auto" w:sz="4" w:space="0"/>
            </w:tcBorders>
            <w:noWrap w:val="0"/>
            <w:vAlign w:val="center"/>
          </w:tcPr>
          <w:p w14:paraId="62731DF8">
            <w:pPr>
              <w:spacing w:line="340" w:lineRule="exact"/>
              <w:jc w:val="center"/>
              <w:rPr>
                <w:rFonts w:hint="eastAsia" w:ascii="宋体" w:hAnsi="宋体" w:cs="宋体"/>
                <w:highlight w:val="none"/>
              </w:rPr>
            </w:pPr>
            <w:r>
              <w:rPr>
                <w:rFonts w:hint="eastAsia" w:ascii="宋体" w:hAnsi="宋体" w:cs="宋体"/>
                <w:highlight w:val="none"/>
              </w:rPr>
              <w:t>项目人员</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0B97FA39">
            <w:pPr>
              <w:spacing w:line="340" w:lineRule="exact"/>
              <w:jc w:val="left"/>
              <w:rPr>
                <w:rFonts w:hint="default" w:ascii="宋体" w:hAnsi="宋体" w:eastAsia="宋体" w:cs="宋体"/>
                <w:highlight w:val="none"/>
                <w:lang w:val="en-US" w:eastAsia="zh-CN"/>
              </w:rPr>
            </w:pPr>
            <w:r>
              <w:rPr>
                <w:rFonts w:hint="eastAsia" w:ascii="宋体" w:hAnsi="宋体" w:cs="宋体"/>
                <w:highlight w:val="none"/>
              </w:rPr>
              <w:t>项目负责人</w:t>
            </w:r>
            <w:r>
              <w:rPr>
                <w:rFonts w:hint="eastAsia" w:ascii="宋体" w:hAnsi="宋体" w:cs="宋体"/>
                <w:highlight w:val="none"/>
                <w:lang w:val="en-US" w:eastAsia="zh-CN"/>
              </w:rPr>
              <w:t>具有水利水电工程二级及以上注册建造师资格并同时具有工程师及以上职称的得3分，不同时具有的得1分。</w:t>
            </w:r>
          </w:p>
          <w:p w14:paraId="4C0B4B7E">
            <w:pPr>
              <w:spacing w:line="340" w:lineRule="exact"/>
              <w:jc w:val="left"/>
              <w:rPr>
                <w:rFonts w:hint="eastAsia" w:ascii="宋体" w:hAnsi="宋体" w:cs="宋体"/>
                <w:highlight w:val="none"/>
              </w:rPr>
            </w:pPr>
            <w:r>
              <w:rPr>
                <w:rFonts w:hint="eastAsia" w:ascii="宋体" w:hAnsi="宋体" w:cs="宋体"/>
                <w:highlight w:val="none"/>
              </w:rPr>
              <w:t>注：须提供证书复印件，项目负责人必须是本单位在职员工，提供已在本单位缴纳社保的承诺书并加盖公章，否则不得分。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AE3D440">
            <w:pPr>
              <w:spacing w:line="340" w:lineRule="exact"/>
              <w:jc w:val="center"/>
              <w:rPr>
                <w:rFonts w:ascii="宋体" w:hAnsi="宋体" w:cs="宋体"/>
                <w:highlight w:val="none"/>
              </w:rPr>
            </w:pPr>
            <w:r>
              <w:rPr>
                <w:rFonts w:hint="eastAsia" w:ascii="宋体" w:hAnsi="宋体" w:cs="宋体"/>
                <w:highlight w:val="none"/>
              </w:rPr>
              <w:t>3分</w:t>
            </w:r>
          </w:p>
        </w:tc>
      </w:tr>
      <w:tr w14:paraId="23BCE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2" w:hRule="atLeast"/>
          <w:jc w:val="center"/>
        </w:trPr>
        <w:tc>
          <w:tcPr>
            <w:tcW w:w="537" w:type="dxa"/>
            <w:vMerge w:val="continue"/>
            <w:tcBorders>
              <w:left w:val="single" w:color="auto" w:sz="4" w:space="0"/>
              <w:bottom w:val="single" w:color="auto" w:sz="4" w:space="0"/>
              <w:right w:val="single" w:color="auto" w:sz="4" w:space="0"/>
            </w:tcBorders>
            <w:noWrap w:val="0"/>
            <w:vAlign w:val="center"/>
          </w:tcPr>
          <w:p w14:paraId="1BF60D37">
            <w:pPr>
              <w:spacing w:line="360" w:lineRule="auto"/>
              <w:jc w:val="center"/>
              <w:rPr>
                <w:rFonts w:ascii="宋体" w:hAnsi="宋体" w:cs="宋体"/>
                <w:highlight w:val="none"/>
              </w:rPr>
            </w:pPr>
          </w:p>
        </w:tc>
        <w:tc>
          <w:tcPr>
            <w:tcW w:w="1162" w:type="dxa"/>
            <w:vMerge w:val="continue"/>
            <w:tcBorders>
              <w:left w:val="single" w:color="auto" w:sz="4" w:space="0"/>
              <w:bottom w:val="single" w:color="auto" w:sz="4" w:space="0"/>
              <w:right w:val="single" w:color="auto" w:sz="4" w:space="0"/>
            </w:tcBorders>
            <w:noWrap w:val="0"/>
            <w:vAlign w:val="center"/>
          </w:tcPr>
          <w:p w14:paraId="49B36610">
            <w:pPr>
              <w:spacing w:line="340" w:lineRule="exact"/>
              <w:jc w:val="left"/>
              <w:rPr>
                <w:rFonts w:hint="eastAsia" w:ascii="宋体" w:hAnsi="宋体" w:cs="宋体"/>
                <w:highlight w:val="none"/>
              </w:rPr>
            </w:pPr>
          </w:p>
        </w:tc>
        <w:tc>
          <w:tcPr>
            <w:tcW w:w="7460" w:type="dxa"/>
            <w:tcBorders>
              <w:top w:val="single" w:color="auto" w:sz="4" w:space="0"/>
              <w:left w:val="single" w:color="auto" w:sz="4" w:space="0"/>
              <w:bottom w:val="single" w:color="auto" w:sz="4" w:space="0"/>
              <w:right w:val="single" w:color="auto" w:sz="4" w:space="0"/>
            </w:tcBorders>
            <w:noWrap w:val="0"/>
            <w:vAlign w:val="center"/>
          </w:tcPr>
          <w:p w14:paraId="479F14A8">
            <w:pPr>
              <w:spacing w:line="340" w:lineRule="exact"/>
              <w:rPr>
                <w:rFonts w:hint="eastAsia" w:ascii="宋体" w:hAnsi="宋体" w:cs="宋体"/>
                <w:highlight w:val="none"/>
              </w:rPr>
            </w:pPr>
            <w:r>
              <w:rPr>
                <w:rFonts w:hint="eastAsia" w:ascii="宋体" w:hAnsi="宋体" w:cs="宋体"/>
                <w:highlight w:val="none"/>
                <w:lang w:val="en-US" w:eastAsia="zh-CN"/>
              </w:rPr>
              <w:t>拟派本项目实施人员中具有安全员、施工员职业资格证书的每人得1分，最高得2分</w:t>
            </w:r>
            <w:r>
              <w:rPr>
                <w:rFonts w:hint="eastAsia" w:ascii="宋体" w:hAnsi="宋体" w:cs="宋体"/>
                <w:highlight w:val="none"/>
              </w:rPr>
              <w:t>；</w:t>
            </w:r>
          </w:p>
          <w:p w14:paraId="0BD45B90">
            <w:pPr>
              <w:spacing w:line="340" w:lineRule="exact"/>
              <w:jc w:val="left"/>
              <w:rPr>
                <w:rFonts w:hint="eastAsia" w:ascii="宋体" w:hAnsi="宋体" w:cs="宋体"/>
                <w:highlight w:val="none"/>
              </w:rPr>
            </w:pPr>
            <w:r>
              <w:rPr>
                <w:rFonts w:hint="eastAsia" w:ascii="宋体" w:hAnsi="宋体" w:cs="宋体"/>
                <w:highlight w:val="none"/>
              </w:rPr>
              <w:t>注：须提供相关证书复印件，项目团队人员必须是本单位在职员工，提供已在本单位缴纳社保的承诺书并加盖公章，否则不得分。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2FB0A88">
            <w:pPr>
              <w:spacing w:line="340" w:lineRule="exact"/>
              <w:jc w:val="center"/>
              <w:rPr>
                <w:rFonts w:hint="eastAsia" w:ascii="宋体" w:hAnsi="宋体" w:eastAsia="宋体" w:cs="宋体"/>
                <w:highlight w:val="none"/>
                <w:lang w:val="en-US" w:eastAsia="zh-CN"/>
              </w:rPr>
            </w:pPr>
            <w:r>
              <w:rPr>
                <w:rFonts w:hint="eastAsia" w:ascii="宋体" w:hAnsi="宋体" w:cs="宋体"/>
                <w:highlight w:val="none"/>
                <w:lang w:val="en-US" w:eastAsia="zh-CN"/>
              </w:rPr>
              <w:t>2分</w:t>
            </w:r>
          </w:p>
        </w:tc>
      </w:tr>
      <w:tr w14:paraId="4A2FC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2" w:hRule="atLeast"/>
          <w:jc w:val="center"/>
        </w:trPr>
        <w:tc>
          <w:tcPr>
            <w:tcW w:w="537" w:type="dxa"/>
            <w:vMerge w:val="continue"/>
            <w:tcBorders>
              <w:left w:val="single" w:color="auto" w:sz="4" w:space="0"/>
              <w:bottom w:val="single" w:color="auto" w:sz="4" w:space="0"/>
              <w:right w:val="single" w:color="auto" w:sz="4" w:space="0"/>
            </w:tcBorders>
            <w:noWrap w:val="0"/>
            <w:vAlign w:val="center"/>
          </w:tcPr>
          <w:p w14:paraId="51BCCCAA">
            <w:pPr>
              <w:spacing w:line="360" w:lineRule="auto"/>
              <w:jc w:val="center"/>
              <w:rPr>
                <w:rFonts w:ascii="宋体" w:hAnsi="宋体" w:cs="宋体"/>
                <w:highlight w:val="none"/>
              </w:rPr>
            </w:pPr>
          </w:p>
        </w:tc>
        <w:tc>
          <w:tcPr>
            <w:tcW w:w="1162" w:type="dxa"/>
            <w:vMerge w:val="continue"/>
            <w:tcBorders>
              <w:left w:val="single" w:color="auto" w:sz="4" w:space="0"/>
              <w:bottom w:val="single" w:color="auto" w:sz="4" w:space="0"/>
              <w:right w:val="single" w:color="auto" w:sz="4" w:space="0"/>
            </w:tcBorders>
            <w:noWrap w:val="0"/>
            <w:vAlign w:val="center"/>
          </w:tcPr>
          <w:p w14:paraId="0FF6ACB1">
            <w:pPr>
              <w:spacing w:line="340" w:lineRule="exact"/>
              <w:jc w:val="left"/>
              <w:rPr>
                <w:rFonts w:hint="eastAsia" w:ascii="宋体" w:hAnsi="宋体" w:cs="宋体"/>
                <w:highlight w:val="none"/>
              </w:rPr>
            </w:pPr>
          </w:p>
        </w:tc>
        <w:tc>
          <w:tcPr>
            <w:tcW w:w="7460" w:type="dxa"/>
            <w:tcBorders>
              <w:top w:val="single" w:color="auto" w:sz="4" w:space="0"/>
              <w:left w:val="single" w:color="auto" w:sz="4" w:space="0"/>
              <w:bottom w:val="single" w:color="auto" w:sz="4" w:space="0"/>
              <w:right w:val="single" w:color="auto" w:sz="4" w:space="0"/>
            </w:tcBorders>
            <w:noWrap w:val="0"/>
            <w:vAlign w:val="center"/>
          </w:tcPr>
          <w:p w14:paraId="0B387FEE">
            <w:pPr>
              <w:spacing w:line="340" w:lineRule="exact"/>
              <w:jc w:val="left"/>
              <w:rPr>
                <w:rFonts w:hint="eastAsia" w:ascii="宋体" w:hAnsi="宋体" w:cs="宋体"/>
                <w:highlight w:val="none"/>
              </w:rPr>
            </w:pPr>
            <w:r>
              <w:rPr>
                <w:rFonts w:hint="eastAsia" w:ascii="宋体" w:hAnsi="宋体" w:cs="宋体"/>
                <w:highlight w:val="none"/>
              </w:rPr>
              <w:t>拟派本项目团队人员数量充足</w:t>
            </w:r>
            <w:r>
              <w:rPr>
                <w:rFonts w:hint="eastAsia" w:ascii="宋体" w:hAnsi="宋体" w:cs="宋体"/>
                <w:highlight w:val="none"/>
                <w:lang w:val="en-US" w:eastAsia="zh-CN"/>
              </w:rPr>
              <w:t>情况</w:t>
            </w:r>
            <w:r>
              <w:rPr>
                <w:rFonts w:hint="eastAsia" w:ascii="宋体" w:hAnsi="宋体" w:cs="宋体"/>
                <w:highlight w:val="none"/>
              </w:rPr>
              <w:t>、工种岗位配置</w:t>
            </w:r>
            <w:r>
              <w:rPr>
                <w:rFonts w:hint="eastAsia" w:ascii="宋体" w:hAnsi="宋体" w:cs="宋体"/>
                <w:highlight w:val="none"/>
                <w:lang w:val="en-US" w:eastAsia="zh-CN"/>
              </w:rPr>
              <w:t>是否</w:t>
            </w:r>
            <w:r>
              <w:rPr>
                <w:rFonts w:hint="eastAsia" w:ascii="宋体" w:hAnsi="宋体" w:cs="宋体"/>
                <w:highlight w:val="none"/>
              </w:rPr>
              <w:t>合理且专业技术能力</w:t>
            </w:r>
            <w:r>
              <w:rPr>
                <w:rFonts w:hint="eastAsia" w:ascii="宋体" w:hAnsi="宋体" w:cs="宋体"/>
                <w:highlight w:val="none"/>
                <w:lang w:val="en-US" w:eastAsia="zh-CN"/>
              </w:rPr>
              <w:t>情况，进行打分</w:t>
            </w:r>
            <w:r>
              <w:rPr>
                <w:rFonts w:hint="eastAsia" w:ascii="宋体" w:hAnsi="宋体" w:cs="宋体"/>
                <w:highlight w:val="none"/>
              </w:rPr>
              <w:t>。</w:t>
            </w:r>
            <w:r>
              <w:rPr>
                <w:rFonts w:hint="eastAsia" w:ascii="宋体" w:hAnsi="宋体" w:cs="宋体"/>
                <w:highlight w:val="none"/>
                <w:lang w:eastAsia="zh-CN"/>
              </w:rPr>
              <w:t>（</w:t>
            </w:r>
            <w:r>
              <w:rPr>
                <w:rFonts w:hint="eastAsia" w:ascii="宋体" w:hAnsi="宋体" w:cs="宋体"/>
                <w:highlight w:val="none"/>
                <w:lang w:val="en-US" w:eastAsia="zh-CN"/>
              </w:rPr>
              <w:t>0-3分</w:t>
            </w:r>
            <w:r>
              <w:rPr>
                <w:rFonts w:hint="eastAsia" w:ascii="宋体" w:hAnsi="宋体" w:cs="宋体"/>
                <w:highlight w:val="none"/>
                <w:lang w:eastAsia="zh-CN"/>
              </w:rPr>
              <w:t>）</w:t>
            </w:r>
          </w:p>
          <w:p w14:paraId="5B26F0D0">
            <w:pPr>
              <w:spacing w:line="340" w:lineRule="exact"/>
              <w:jc w:val="left"/>
              <w:rPr>
                <w:rFonts w:hint="eastAsia" w:ascii="宋体" w:hAnsi="宋体" w:cs="宋体"/>
                <w:highlight w:val="none"/>
              </w:rPr>
            </w:pPr>
            <w:r>
              <w:rPr>
                <w:rFonts w:hint="eastAsia" w:ascii="宋体" w:hAnsi="宋体" w:cs="宋体"/>
                <w:highlight w:val="none"/>
              </w:rPr>
              <w:t>注：须提供相关</w:t>
            </w:r>
            <w:r>
              <w:rPr>
                <w:rFonts w:hint="eastAsia" w:ascii="宋体" w:hAnsi="宋体" w:cs="宋体"/>
                <w:highlight w:val="none"/>
                <w:lang w:val="en-US" w:eastAsia="zh-CN"/>
              </w:rPr>
              <w:t>证明材料</w:t>
            </w:r>
            <w:r>
              <w:rPr>
                <w:rFonts w:hint="eastAsia" w:ascii="宋体" w:hAnsi="宋体" w:cs="宋体"/>
                <w:highlight w:val="none"/>
              </w:rPr>
              <w:t>，项目团队人员必须是本单位在职员工，提供已在本单位缴纳社保的承诺书并加盖公章，否则不得分。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2E6F74A3">
            <w:pPr>
              <w:spacing w:line="340" w:lineRule="exact"/>
              <w:jc w:val="center"/>
              <w:rPr>
                <w:rFonts w:ascii="宋体" w:hAnsi="宋体" w:cs="宋体"/>
                <w:highlight w:val="none"/>
              </w:rPr>
            </w:pPr>
            <w:r>
              <w:rPr>
                <w:rFonts w:hint="eastAsia" w:ascii="宋体" w:hAnsi="宋体" w:cs="宋体"/>
                <w:highlight w:val="none"/>
              </w:rPr>
              <w:t>3分</w:t>
            </w:r>
          </w:p>
        </w:tc>
      </w:tr>
      <w:tr w14:paraId="012F8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451FA3AC">
            <w:pPr>
              <w:spacing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9</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0F4357D4">
            <w:pPr>
              <w:spacing w:line="340" w:lineRule="exact"/>
              <w:jc w:val="center"/>
              <w:rPr>
                <w:rFonts w:hint="eastAsia" w:ascii="宋体" w:hAnsi="宋体" w:cs="宋体"/>
                <w:highlight w:val="none"/>
              </w:rPr>
            </w:pPr>
            <w:r>
              <w:rPr>
                <w:rFonts w:hint="eastAsia" w:ascii="宋体" w:hAnsi="宋体" w:cs="宋体"/>
                <w:highlight w:val="none"/>
              </w:rPr>
              <w:t>布置情况</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23D847B1">
            <w:pPr>
              <w:spacing w:line="340" w:lineRule="exact"/>
              <w:jc w:val="left"/>
              <w:rPr>
                <w:rFonts w:hint="eastAsia" w:ascii="宋体" w:hAnsi="宋体" w:cs="宋体"/>
                <w:highlight w:val="none"/>
              </w:rPr>
            </w:pPr>
            <w:r>
              <w:rPr>
                <w:rFonts w:hint="eastAsia" w:ascii="宋体" w:hAnsi="宋体" w:cs="宋体"/>
                <w:highlight w:val="none"/>
              </w:rPr>
              <w:t>根据磋商响应方提供的材料堆场、施工通道的安排计划是否符合施工现场实际情况，安排是否科学、合理进行打分</w:t>
            </w:r>
            <w:r>
              <w:rPr>
                <w:rFonts w:hint="eastAsia" w:ascii="宋体" w:hAnsi="宋体" w:cs="宋体"/>
                <w:highlight w:val="none"/>
                <w:lang w:eastAsia="zh-CN"/>
              </w:rPr>
              <w:t>。</w:t>
            </w:r>
            <w:r>
              <w:rPr>
                <w:rFonts w:hint="eastAsia" w:ascii="宋体" w:hAnsi="宋体" w:cs="宋体"/>
                <w:highlight w:val="none"/>
              </w:rPr>
              <w:t>（0-3分）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4429B37">
            <w:pPr>
              <w:spacing w:line="340" w:lineRule="exact"/>
              <w:jc w:val="center"/>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分</w:t>
            </w:r>
          </w:p>
        </w:tc>
      </w:tr>
      <w:tr w14:paraId="453C6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59EEB958">
            <w:pPr>
              <w:spacing w:line="24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10</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196A3A31">
            <w:pPr>
              <w:spacing w:line="240" w:lineRule="auto"/>
              <w:jc w:val="center"/>
              <w:rPr>
                <w:rFonts w:hint="eastAsia" w:ascii="宋体" w:hAnsi="宋体" w:cs="宋体"/>
                <w:highlight w:val="none"/>
              </w:rPr>
            </w:pPr>
            <w:r>
              <w:rPr>
                <w:rFonts w:hint="eastAsia" w:ascii="宋体" w:hAnsi="宋体" w:cs="宋体"/>
                <w:highlight w:val="none"/>
              </w:rPr>
              <w:t>关键工序、复杂环节的相应措施</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06CEFD86">
            <w:pPr>
              <w:spacing w:line="340" w:lineRule="exact"/>
              <w:jc w:val="left"/>
              <w:rPr>
                <w:rFonts w:hint="eastAsia" w:ascii="宋体" w:hAnsi="宋体" w:cs="宋体"/>
                <w:highlight w:val="none"/>
              </w:rPr>
            </w:pPr>
            <w:r>
              <w:rPr>
                <w:rFonts w:hint="eastAsia" w:ascii="宋体" w:hAnsi="宋体" w:cs="宋体"/>
                <w:highlight w:val="none"/>
              </w:rPr>
              <w:t>关键工序、复杂环节的相应技术措施内容，根据其是否科学合理，针对性强进行打分</w:t>
            </w:r>
            <w:r>
              <w:rPr>
                <w:rFonts w:hint="eastAsia" w:ascii="宋体" w:hAnsi="宋体" w:cs="宋体"/>
                <w:highlight w:val="none"/>
                <w:lang w:eastAsia="zh-CN"/>
              </w:rPr>
              <w:t>。</w:t>
            </w:r>
            <w:r>
              <w:rPr>
                <w:rFonts w:hint="eastAsia" w:ascii="宋体" w:hAnsi="宋体" w:cs="宋体"/>
                <w:highlight w:val="none"/>
              </w:rPr>
              <w:t>（0-</w:t>
            </w:r>
            <w:r>
              <w:rPr>
                <w:rFonts w:hint="eastAsia" w:ascii="宋体" w:hAnsi="宋体" w:cs="宋体"/>
                <w:highlight w:val="none"/>
                <w:lang w:val="en-US" w:eastAsia="zh-CN"/>
              </w:rPr>
              <w:t>3</w:t>
            </w:r>
            <w:r>
              <w:rPr>
                <w:rFonts w:hint="eastAsia" w:ascii="宋体" w:hAnsi="宋体" w:cs="宋体"/>
                <w:highlight w:val="none"/>
              </w:rPr>
              <w:t>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1EF500A">
            <w:pPr>
              <w:spacing w:line="340" w:lineRule="exact"/>
              <w:jc w:val="center"/>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分</w:t>
            </w:r>
          </w:p>
        </w:tc>
      </w:tr>
      <w:tr w14:paraId="231D7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38A171C2">
            <w:pPr>
              <w:spacing w:line="24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11</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5239C7B9">
            <w:pPr>
              <w:spacing w:line="240" w:lineRule="auto"/>
              <w:jc w:val="center"/>
              <w:rPr>
                <w:rFonts w:hint="eastAsia" w:ascii="宋体" w:hAnsi="宋体" w:cs="宋体"/>
                <w:highlight w:val="none"/>
              </w:rPr>
            </w:pPr>
            <w:r>
              <w:rPr>
                <w:rFonts w:hint="eastAsia" w:ascii="宋体" w:hAnsi="宋体" w:cs="宋体"/>
                <w:highlight w:val="none"/>
              </w:rPr>
              <w:t>施工重点难点分析</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7F0181E6">
            <w:pPr>
              <w:spacing w:line="340" w:lineRule="exact"/>
              <w:jc w:val="left"/>
              <w:rPr>
                <w:rFonts w:hint="eastAsia" w:ascii="宋体" w:hAnsi="宋体" w:cs="宋体"/>
                <w:highlight w:val="none"/>
              </w:rPr>
            </w:pPr>
            <w:r>
              <w:rPr>
                <w:rFonts w:hint="eastAsia" w:ascii="宋体" w:hAnsi="宋体" w:cs="宋体"/>
                <w:highlight w:val="none"/>
              </w:rPr>
              <w:t>针对本项目施工重点、难点分析（1-3分），以及提出的重点、难点的相应解决方案（1-3分），根据其分析的全面性，解决方案的针对性进行打分，不提供方案不得分。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1FE776D9">
            <w:pPr>
              <w:spacing w:line="340" w:lineRule="exact"/>
              <w:jc w:val="center"/>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分</w:t>
            </w:r>
          </w:p>
        </w:tc>
      </w:tr>
      <w:tr w14:paraId="533DC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4AEA0FFC">
            <w:pPr>
              <w:spacing w:line="24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12</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05032CC1">
            <w:pPr>
              <w:spacing w:line="240" w:lineRule="auto"/>
              <w:jc w:val="center"/>
              <w:rPr>
                <w:rFonts w:hint="eastAsia" w:ascii="宋体" w:hAnsi="宋体" w:cs="宋体"/>
                <w:highlight w:val="none"/>
              </w:rPr>
            </w:pPr>
            <w:r>
              <w:rPr>
                <w:rFonts w:hint="eastAsia" w:ascii="宋体" w:hAnsi="宋体" w:cs="宋体"/>
                <w:highlight w:val="none"/>
              </w:rPr>
              <w:t>成品保护的保证措施</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17F12F2F">
            <w:pPr>
              <w:spacing w:line="340" w:lineRule="exact"/>
              <w:rPr>
                <w:rFonts w:hint="eastAsia" w:ascii="宋体" w:hAnsi="宋体" w:cs="宋体"/>
                <w:highlight w:val="none"/>
              </w:rPr>
            </w:pPr>
            <w:r>
              <w:rPr>
                <w:rFonts w:hint="eastAsia" w:ascii="宋体" w:hAnsi="宋体" w:cs="宋体"/>
                <w:highlight w:val="none"/>
              </w:rPr>
              <w:t>磋商响应方对成品保护的保证措施，是否合理、科学，是否具有可操作性，进行打分</w:t>
            </w:r>
            <w:r>
              <w:rPr>
                <w:rFonts w:hint="eastAsia" w:ascii="宋体" w:hAnsi="宋体" w:cs="宋体"/>
                <w:highlight w:val="none"/>
                <w:lang w:eastAsia="zh-CN"/>
              </w:rPr>
              <w:t>。</w:t>
            </w:r>
            <w:r>
              <w:rPr>
                <w:rFonts w:hint="eastAsia" w:ascii="宋体" w:hAnsi="宋体" w:cs="宋体"/>
                <w:highlight w:val="none"/>
              </w:rPr>
              <w:t>（0-</w:t>
            </w:r>
            <w:r>
              <w:rPr>
                <w:rFonts w:hint="eastAsia" w:ascii="宋体" w:hAnsi="宋体" w:cs="宋体"/>
                <w:highlight w:val="none"/>
                <w:lang w:val="en-US" w:eastAsia="zh-CN"/>
              </w:rPr>
              <w:t>2</w:t>
            </w:r>
            <w:r>
              <w:rPr>
                <w:rFonts w:hint="eastAsia" w:ascii="宋体" w:hAnsi="宋体" w:cs="宋体"/>
                <w:highlight w:val="none"/>
              </w:rPr>
              <w:t>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29F7BB48">
            <w:pPr>
              <w:spacing w:line="360" w:lineRule="auto"/>
              <w:jc w:val="center"/>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分</w:t>
            </w:r>
          </w:p>
        </w:tc>
      </w:tr>
      <w:tr w14:paraId="4E988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4D477E81">
            <w:pPr>
              <w:spacing w:line="3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13</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543E03BE">
            <w:pPr>
              <w:jc w:val="center"/>
              <w:rPr>
                <w:rFonts w:hint="eastAsia" w:ascii="宋体" w:hAnsi="宋体" w:cs="宋体"/>
                <w:highlight w:val="none"/>
              </w:rPr>
            </w:pPr>
            <w:r>
              <w:rPr>
                <w:rFonts w:hint="eastAsia" w:ascii="宋体" w:hAnsi="宋体" w:cs="宋体"/>
                <w:highlight w:val="none"/>
              </w:rPr>
              <w:t>管理协调</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2A6FD7DB">
            <w:pPr>
              <w:spacing w:line="340" w:lineRule="exact"/>
              <w:jc w:val="left"/>
              <w:rPr>
                <w:rFonts w:hint="eastAsia" w:ascii="宋体" w:hAnsi="宋体" w:cs="宋体"/>
                <w:highlight w:val="none"/>
              </w:rPr>
            </w:pPr>
            <w:r>
              <w:rPr>
                <w:rFonts w:hint="eastAsia" w:ascii="宋体" w:hAnsi="宋体" w:cs="宋体"/>
                <w:highlight w:val="none"/>
                <w:lang w:val="zh-CN"/>
              </w:rPr>
              <w:t>在工程施工过程中配合建设单位、设计单位、监理单位的服务内容</w:t>
            </w:r>
            <w:r>
              <w:rPr>
                <w:rFonts w:hint="eastAsia" w:ascii="宋体" w:hAnsi="宋体" w:cs="宋体"/>
                <w:highlight w:val="none"/>
                <w:lang w:val="en-US" w:eastAsia="zh-CN"/>
              </w:rPr>
              <w:t>,</w:t>
            </w:r>
            <w:r>
              <w:rPr>
                <w:rFonts w:hint="eastAsia" w:ascii="宋体" w:hAnsi="宋体" w:cs="宋体"/>
                <w:highlight w:val="none"/>
                <w:lang w:val="zh-CN"/>
              </w:rPr>
              <w:t>响应时间</w:t>
            </w:r>
            <w:r>
              <w:rPr>
                <w:rFonts w:hint="eastAsia" w:ascii="宋体" w:hAnsi="宋体" w:cs="宋体"/>
                <w:highlight w:val="none"/>
              </w:rPr>
              <w:t>，进行打分</w:t>
            </w:r>
            <w:r>
              <w:rPr>
                <w:rFonts w:hint="eastAsia" w:ascii="宋体" w:hAnsi="宋体" w:cs="宋体"/>
                <w:highlight w:val="none"/>
                <w:lang w:val="en-US" w:eastAsia="zh-CN"/>
              </w:rPr>
              <w:t>。</w:t>
            </w:r>
            <w:r>
              <w:rPr>
                <w:rFonts w:hint="eastAsia" w:ascii="宋体" w:hAnsi="宋体" w:cs="宋体"/>
                <w:highlight w:val="none"/>
              </w:rPr>
              <w:t>（0-</w:t>
            </w:r>
            <w:r>
              <w:rPr>
                <w:rFonts w:hint="eastAsia" w:ascii="宋体" w:hAnsi="宋体" w:cs="宋体"/>
                <w:highlight w:val="none"/>
                <w:lang w:val="en-US" w:eastAsia="zh-CN"/>
              </w:rPr>
              <w:t>4</w:t>
            </w:r>
            <w:r>
              <w:rPr>
                <w:rFonts w:hint="eastAsia" w:ascii="宋体" w:hAnsi="宋体" w:cs="宋体"/>
                <w:highlight w:val="none"/>
              </w:rPr>
              <w:t>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3273EE0">
            <w:pPr>
              <w:spacing w:line="340" w:lineRule="exact"/>
              <w:jc w:val="center"/>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分</w:t>
            </w:r>
          </w:p>
        </w:tc>
      </w:tr>
      <w:tr w14:paraId="7EC1B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7"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6C3854BA">
            <w:pPr>
              <w:spacing w:line="360" w:lineRule="auto"/>
              <w:rPr>
                <w:rFonts w:ascii="宋体" w:hAnsi="宋体" w:cs="宋体"/>
                <w:b/>
                <w:bCs/>
                <w:sz w:val="24"/>
                <w:szCs w:val="24"/>
                <w:highlight w:val="none"/>
              </w:rPr>
            </w:pPr>
            <w:r>
              <w:rPr>
                <w:rFonts w:hint="eastAsia" w:ascii="宋体" w:hAnsi="宋体" w:cs="宋体"/>
                <w:b/>
                <w:bCs/>
                <w:sz w:val="24"/>
                <w:szCs w:val="24"/>
                <w:highlight w:val="none"/>
              </w:rPr>
              <w:t>二</w:t>
            </w:r>
          </w:p>
        </w:tc>
        <w:tc>
          <w:tcPr>
            <w:tcW w:w="8622" w:type="dxa"/>
            <w:gridSpan w:val="2"/>
            <w:tcBorders>
              <w:left w:val="single" w:color="auto" w:sz="4" w:space="0"/>
              <w:right w:val="single" w:color="auto" w:sz="4" w:space="0"/>
            </w:tcBorders>
            <w:noWrap w:val="0"/>
            <w:vAlign w:val="center"/>
          </w:tcPr>
          <w:p w14:paraId="4A658E5B">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商务、资信及其他分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20921FFB">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1</w:t>
            </w: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rPr>
              <w:t>分</w:t>
            </w:r>
          </w:p>
        </w:tc>
      </w:tr>
      <w:tr w14:paraId="63DF2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1"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57F35EAF">
            <w:pPr>
              <w:spacing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14</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72A996C6">
            <w:pPr>
              <w:spacing w:line="3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企业荣誉</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73855E72">
            <w:pPr>
              <w:textAlignment w:val="baseline"/>
              <w:rPr>
                <w:rFonts w:hint="eastAsia" w:ascii="宋体" w:hAnsi="宋体" w:cs="宋体"/>
                <w:highlight w:val="none"/>
              </w:rPr>
            </w:pPr>
            <w:r>
              <w:rPr>
                <w:rFonts w:hint="eastAsia" w:ascii="宋体" w:hAnsi="宋体" w:cs="宋体"/>
                <w:highlight w:val="none"/>
                <w:lang w:val="en-US" w:eastAsia="zh-CN"/>
              </w:rPr>
              <w:t>供应商</w:t>
            </w:r>
            <w:r>
              <w:rPr>
                <w:rFonts w:hint="eastAsia" w:ascii="宋体" w:hAnsi="宋体" w:cs="宋体"/>
                <w:highlight w:val="none"/>
              </w:rPr>
              <w:t>具有质量管理体系认证、环境管理体系认证、职业健康安全管理体系认证，每</w:t>
            </w:r>
            <w:r>
              <w:rPr>
                <w:rFonts w:hint="eastAsia" w:ascii="宋体" w:hAnsi="宋体" w:cs="宋体"/>
                <w:highlight w:val="none"/>
                <w:lang w:val="en-US" w:eastAsia="zh-CN"/>
              </w:rPr>
              <w:t>提供一个</w:t>
            </w:r>
            <w:r>
              <w:rPr>
                <w:rFonts w:hint="eastAsia" w:ascii="宋体" w:hAnsi="宋体" w:cs="宋体"/>
                <w:highlight w:val="none"/>
              </w:rPr>
              <w:t>得</w:t>
            </w:r>
            <w:r>
              <w:rPr>
                <w:rFonts w:hint="eastAsia" w:ascii="宋体" w:hAnsi="宋体" w:cs="宋体"/>
                <w:highlight w:val="none"/>
                <w:lang w:val="en-US" w:eastAsia="zh-CN"/>
              </w:rPr>
              <w:t>1</w:t>
            </w:r>
            <w:r>
              <w:rPr>
                <w:rFonts w:hint="eastAsia" w:ascii="宋体" w:hAnsi="宋体" w:cs="宋体"/>
                <w:highlight w:val="none"/>
              </w:rPr>
              <w:t>分，最高得</w:t>
            </w:r>
            <w:r>
              <w:rPr>
                <w:rFonts w:hint="eastAsia" w:ascii="宋体" w:hAnsi="宋体" w:cs="宋体"/>
                <w:highlight w:val="none"/>
                <w:lang w:val="en-US" w:eastAsia="zh-CN"/>
              </w:rPr>
              <w:t>3</w:t>
            </w:r>
            <w:r>
              <w:rPr>
                <w:rFonts w:hint="eastAsia" w:ascii="宋体" w:hAnsi="宋体" w:cs="宋体"/>
                <w:highlight w:val="none"/>
              </w:rPr>
              <w:t>分。</w:t>
            </w:r>
          </w:p>
          <w:p w14:paraId="192154D5">
            <w:pPr>
              <w:numPr>
                <w:ilvl w:val="0"/>
                <w:numId w:val="0"/>
              </w:numPr>
              <w:textAlignment w:val="baseline"/>
              <w:rPr>
                <w:rFonts w:hint="default"/>
                <w:highlight w:val="none"/>
                <w:lang w:val="en-US"/>
              </w:rPr>
            </w:pPr>
            <w:r>
              <w:rPr>
                <w:rFonts w:hint="eastAsia" w:ascii="宋体" w:hAnsi="宋体" w:cs="宋体"/>
                <w:highlight w:val="none"/>
              </w:rPr>
              <w:t>注：提供有效的证书复印件</w:t>
            </w:r>
            <w:r>
              <w:rPr>
                <w:rFonts w:hint="eastAsia" w:ascii="宋体" w:hAnsi="宋体" w:cs="宋体"/>
                <w:highlight w:val="none"/>
                <w:lang w:eastAsia="zh-CN"/>
              </w:rPr>
              <w:t>及</w:t>
            </w:r>
            <w:r>
              <w:rPr>
                <w:rFonts w:hint="eastAsia" w:ascii="宋体" w:hAnsi="宋体" w:cs="宋体"/>
                <w:highlight w:val="none"/>
              </w:rPr>
              <w:t>该证书在国家市场监督管理总局</w:t>
            </w:r>
            <w:r>
              <w:rPr>
                <w:rFonts w:hint="eastAsia" w:ascii="宋体" w:hAnsi="宋体" w:cs="宋体"/>
                <w:highlight w:val="none"/>
                <w:lang w:eastAsia="zh-CN"/>
              </w:rPr>
              <w:t>－</w:t>
            </w:r>
            <w:r>
              <w:rPr>
                <w:rFonts w:hint="eastAsia" w:ascii="宋体" w:hAnsi="宋体" w:cs="宋体"/>
                <w:highlight w:val="none"/>
              </w:rPr>
              <w:t>全国认证认可信息公共服务平台</w:t>
            </w:r>
            <w:r>
              <w:rPr>
                <w:rFonts w:hint="eastAsia" w:ascii="宋体" w:hAnsi="宋体" w:cs="宋体"/>
                <w:highlight w:val="none"/>
                <w:lang w:eastAsia="zh-CN"/>
              </w:rPr>
              <w:t>（</w:t>
            </w:r>
            <w:r>
              <w:rPr>
                <w:rFonts w:hint="eastAsia" w:ascii="宋体" w:hAnsi="宋体" w:cs="宋体"/>
                <w:highlight w:val="none"/>
              </w:rPr>
              <w:t>http://cx.cnca.cn</w:t>
            </w:r>
            <w:r>
              <w:rPr>
                <w:rFonts w:hint="eastAsia" w:ascii="宋体" w:hAnsi="宋体" w:cs="宋体"/>
                <w:highlight w:val="none"/>
                <w:lang w:eastAsia="zh-CN"/>
              </w:rPr>
              <w:t>）</w:t>
            </w:r>
            <w:r>
              <w:rPr>
                <w:rFonts w:hint="eastAsia" w:ascii="宋体" w:hAnsi="宋体" w:cs="宋体"/>
                <w:highlight w:val="none"/>
              </w:rPr>
              <w:t>上状态为“有效”的查询结果截图，以上两者材料缺一不得分。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BA1EC61">
            <w:pPr>
              <w:spacing w:line="340" w:lineRule="exact"/>
              <w:jc w:val="center"/>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分</w:t>
            </w:r>
          </w:p>
        </w:tc>
      </w:tr>
      <w:tr w14:paraId="3BF64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6FCD327F">
            <w:pPr>
              <w:spacing w:line="24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15</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48FBCACD">
            <w:pPr>
              <w:spacing w:line="240" w:lineRule="auto"/>
              <w:jc w:val="center"/>
              <w:rPr>
                <w:rFonts w:hint="eastAsia" w:ascii="宋体" w:hAnsi="宋体" w:cs="宋体"/>
                <w:highlight w:val="none"/>
              </w:rPr>
            </w:pPr>
            <w:r>
              <w:rPr>
                <w:rFonts w:hint="eastAsia" w:ascii="宋体" w:hAnsi="宋体" w:cs="宋体"/>
                <w:highlight w:val="none"/>
              </w:rPr>
              <w:t>同类项目</w:t>
            </w:r>
          </w:p>
          <w:p w14:paraId="7CEA3A3A">
            <w:pPr>
              <w:spacing w:line="240" w:lineRule="auto"/>
              <w:jc w:val="center"/>
              <w:rPr>
                <w:rFonts w:hint="eastAsia" w:ascii="宋体" w:hAnsi="宋体" w:cs="宋体"/>
                <w:highlight w:val="none"/>
              </w:rPr>
            </w:pPr>
            <w:r>
              <w:rPr>
                <w:rFonts w:hint="eastAsia" w:ascii="宋体" w:hAnsi="宋体" w:cs="宋体"/>
                <w:highlight w:val="none"/>
              </w:rPr>
              <w:t>业绩</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6C5AC584">
            <w:pPr>
              <w:spacing w:line="340" w:lineRule="exact"/>
              <w:jc w:val="left"/>
              <w:rPr>
                <w:rFonts w:hint="eastAsia" w:ascii="宋体" w:hAnsi="宋体" w:cs="宋体"/>
                <w:highlight w:val="none"/>
              </w:rPr>
            </w:pPr>
            <w:r>
              <w:rPr>
                <w:rFonts w:hint="eastAsia" w:ascii="宋体" w:hAnsi="宋体" w:cs="宋体"/>
                <w:highlight w:val="none"/>
                <w:lang w:eastAsia="zh-CN"/>
              </w:rPr>
              <w:t>投标人</w:t>
            </w:r>
            <w:r>
              <w:rPr>
                <w:rFonts w:hint="eastAsia" w:ascii="宋体" w:hAnsi="宋体" w:cs="宋体"/>
                <w:highlight w:val="none"/>
              </w:rPr>
              <w:t>自</w:t>
            </w:r>
            <w:r>
              <w:rPr>
                <w:rFonts w:hint="eastAsia" w:ascii="宋体" w:hAnsi="宋体" w:cs="宋体"/>
                <w:highlight w:val="none"/>
                <w:lang w:eastAsia="zh-CN"/>
              </w:rPr>
              <w:t>2021年</w:t>
            </w:r>
            <w:r>
              <w:rPr>
                <w:rFonts w:hint="eastAsia" w:ascii="宋体" w:hAnsi="宋体" w:cs="宋体"/>
                <w:highlight w:val="none"/>
              </w:rPr>
              <w:t>1月以来（以合同签订时间为准）具有的同类业绩，每个业绩得</w:t>
            </w:r>
            <w:r>
              <w:rPr>
                <w:rFonts w:hint="eastAsia" w:ascii="宋体" w:hAnsi="宋体" w:cs="宋体"/>
                <w:highlight w:val="none"/>
                <w:lang w:val="en-US" w:eastAsia="zh-CN"/>
              </w:rPr>
              <w:t>1</w:t>
            </w:r>
            <w:r>
              <w:rPr>
                <w:rFonts w:hint="eastAsia" w:ascii="宋体" w:hAnsi="宋体" w:cs="宋体"/>
                <w:highlight w:val="none"/>
              </w:rPr>
              <w:t>分，最高得</w:t>
            </w:r>
            <w:r>
              <w:rPr>
                <w:rFonts w:hint="eastAsia" w:ascii="宋体" w:hAnsi="宋体" w:cs="宋体"/>
                <w:highlight w:val="none"/>
                <w:lang w:val="en-US" w:eastAsia="zh-CN"/>
              </w:rPr>
              <w:t>2</w:t>
            </w:r>
            <w:r>
              <w:rPr>
                <w:rFonts w:hint="eastAsia" w:ascii="宋体" w:hAnsi="宋体" w:cs="宋体"/>
                <w:highlight w:val="none"/>
              </w:rPr>
              <w:t>分。</w:t>
            </w:r>
          </w:p>
          <w:p w14:paraId="6F57675C">
            <w:pPr>
              <w:spacing w:line="340" w:lineRule="exact"/>
              <w:jc w:val="left"/>
              <w:rPr>
                <w:rFonts w:hint="eastAsia" w:ascii="宋体" w:hAnsi="宋体" w:eastAsia="宋体" w:cs="宋体"/>
                <w:highlight w:val="none"/>
                <w:lang w:eastAsia="zh-CN"/>
              </w:rPr>
            </w:pPr>
            <w:r>
              <w:rPr>
                <w:rFonts w:hint="eastAsia" w:ascii="宋体" w:hAnsi="宋体" w:cs="宋体"/>
                <w:highlight w:val="none"/>
                <w:lang w:val="en-US" w:eastAsia="zh-CN"/>
              </w:rPr>
              <w:t>注：</w:t>
            </w:r>
            <w:r>
              <w:rPr>
                <w:rFonts w:hint="eastAsia" w:ascii="宋体" w:hAnsi="宋体" w:cs="宋体"/>
                <w:highlight w:val="none"/>
              </w:rPr>
              <w:t>提供相关业绩合同</w:t>
            </w:r>
            <w:r>
              <w:rPr>
                <w:rFonts w:hint="eastAsia" w:ascii="宋体" w:hAnsi="宋体" w:cs="宋体"/>
                <w:highlight w:val="none"/>
                <w:lang w:val="en-US" w:eastAsia="zh-CN"/>
              </w:rPr>
              <w:t>及竣工验收单</w:t>
            </w:r>
            <w:r>
              <w:rPr>
                <w:rFonts w:hint="eastAsia" w:ascii="宋体" w:hAnsi="宋体" w:cs="宋体"/>
                <w:highlight w:val="none"/>
              </w:rPr>
              <w:t>复印件</w:t>
            </w:r>
            <w:r>
              <w:rPr>
                <w:rFonts w:hint="eastAsia" w:ascii="宋体" w:hAnsi="宋体" w:cs="宋体"/>
                <w:highlight w:val="none"/>
                <w:lang w:eastAsia="zh-CN"/>
              </w:rPr>
              <w:t>，</w:t>
            </w:r>
            <w:r>
              <w:rPr>
                <w:rFonts w:hint="eastAsia" w:ascii="宋体" w:hAnsi="宋体" w:cs="宋体"/>
                <w:highlight w:val="none"/>
                <w:lang w:val="en-US" w:eastAsia="zh-CN"/>
              </w:rPr>
              <w:t>二</w:t>
            </w:r>
            <w:r>
              <w:rPr>
                <w:rFonts w:hint="eastAsia" w:ascii="宋体" w:hAnsi="宋体" w:cs="宋体"/>
                <w:highlight w:val="none"/>
              </w:rPr>
              <w:t>者缺一不得分</w:t>
            </w:r>
            <w:r>
              <w:rPr>
                <w:rFonts w:hint="eastAsia" w:ascii="宋体" w:hAnsi="宋体" w:cs="宋体"/>
                <w:highlight w:val="none"/>
                <w:lang w:eastAsia="zh-CN"/>
              </w:rPr>
              <w:t>。</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916A9BC">
            <w:pPr>
              <w:spacing w:line="340" w:lineRule="exact"/>
              <w:jc w:val="center"/>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分</w:t>
            </w:r>
          </w:p>
        </w:tc>
      </w:tr>
      <w:tr w14:paraId="160A2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1B12DC71">
            <w:pPr>
              <w:spacing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16</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435D1397">
            <w:pPr>
              <w:spacing w:line="340" w:lineRule="exact"/>
              <w:jc w:val="center"/>
              <w:rPr>
                <w:rFonts w:hint="eastAsia" w:ascii="宋体" w:hAnsi="宋体" w:cs="宋体"/>
                <w:highlight w:val="none"/>
              </w:rPr>
            </w:pPr>
            <w:r>
              <w:rPr>
                <w:rFonts w:hint="eastAsia" w:ascii="宋体" w:hAnsi="宋体" w:cs="宋体"/>
                <w:highlight w:val="none"/>
              </w:rPr>
              <w:t>售后保障</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2B45265C">
            <w:pPr>
              <w:spacing w:line="340" w:lineRule="exact"/>
              <w:jc w:val="left"/>
              <w:rPr>
                <w:rFonts w:hint="eastAsia" w:ascii="宋体" w:hAnsi="宋体" w:eastAsia="宋体" w:cs="宋体"/>
                <w:highlight w:val="none"/>
                <w:lang w:eastAsia="zh-CN"/>
              </w:rPr>
            </w:pPr>
            <w:r>
              <w:rPr>
                <w:rFonts w:hint="eastAsia" w:ascii="宋体" w:hAnsi="宋体" w:cs="宋体"/>
                <w:highlight w:val="none"/>
              </w:rPr>
              <w:t>根据磋商响应方提供的售后服务方案、售后服务承诺、响应时间及时性进行打分。</w:t>
            </w:r>
            <w:r>
              <w:rPr>
                <w:rFonts w:hint="eastAsia" w:ascii="宋体" w:hAnsi="宋体" w:cs="宋体"/>
                <w:highlight w:val="none"/>
                <w:lang w:eastAsia="zh-CN"/>
              </w:rPr>
              <w:t>（</w:t>
            </w:r>
            <w:r>
              <w:rPr>
                <w:rFonts w:hint="eastAsia" w:ascii="宋体" w:hAnsi="宋体" w:cs="宋体"/>
                <w:highlight w:val="none"/>
                <w:lang w:val="en-US" w:eastAsia="zh-CN"/>
              </w:rPr>
              <w:t>0-3分</w:t>
            </w:r>
            <w:r>
              <w:rPr>
                <w:rFonts w:hint="eastAsia" w:ascii="宋体" w:hAnsi="宋体" w:cs="宋体"/>
                <w:highlight w:val="none"/>
                <w:lang w:eastAsia="zh-CN"/>
              </w:rPr>
              <w:t>）</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6291423">
            <w:pPr>
              <w:spacing w:line="340" w:lineRule="exact"/>
              <w:jc w:val="center"/>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分</w:t>
            </w:r>
          </w:p>
        </w:tc>
      </w:tr>
      <w:tr w14:paraId="5B7AE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2"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461BAC76">
            <w:pPr>
              <w:spacing w:line="24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17</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18B0270A">
            <w:pPr>
              <w:spacing w:line="240" w:lineRule="auto"/>
              <w:jc w:val="center"/>
              <w:rPr>
                <w:rFonts w:hint="eastAsia" w:ascii="宋体" w:hAnsi="宋体" w:cs="宋体"/>
                <w:highlight w:val="none"/>
              </w:rPr>
            </w:pPr>
            <w:r>
              <w:rPr>
                <w:rFonts w:hint="eastAsia" w:ascii="宋体" w:hAnsi="宋体" w:cs="宋体"/>
                <w:highlight w:val="none"/>
              </w:rPr>
              <w:t>合理化</w:t>
            </w:r>
          </w:p>
          <w:p w14:paraId="3F2EFFDB">
            <w:pPr>
              <w:spacing w:line="240" w:lineRule="auto"/>
              <w:jc w:val="center"/>
              <w:rPr>
                <w:rFonts w:hint="eastAsia" w:ascii="宋体" w:hAnsi="宋体" w:cs="宋体"/>
                <w:highlight w:val="none"/>
              </w:rPr>
            </w:pPr>
            <w:r>
              <w:rPr>
                <w:rFonts w:hint="eastAsia" w:ascii="宋体" w:hAnsi="宋体" w:cs="宋体"/>
                <w:highlight w:val="none"/>
              </w:rPr>
              <w:t>建议</w:t>
            </w:r>
          </w:p>
        </w:tc>
        <w:tc>
          <w:tcPr>
            <w:tcW w:w="7460" w:type="dxa"/>
            <w:tcBorders>
              <w:top w:val="single" w:color="auto" w:sz="4" w:space="0"/>
              <w:left w:val="single" w:color="auto" w:sz="4" w:space="0"/>
              <w:bottom w:val="single" w:color="auto" w:sz="4" w:space="0"/>
              <w:right w:val="single" w:color="auto" w:sz="4" w:space="0"/>
            </w:tcBorders>
            <w:noWrap w:val="0"/>
            <w:vAlign w:val="center"/>
          </w:tcPr>
          <w:p w14:paraId="43C2902F">
            <w:pPr>
              <w:spacing w:line="340" w:lineRule="exact"/>
              <w:jc w:val="left"/>
              <w:rPr>
                <w:rFonts w:hint="eastAsia" w:ascii="宋体" w:hAnsi="宋体" w:eastAsia="宋体" w:cs="宋体"/>
                <w:highlight w:val="none"/>
                <w:lang w:eastAsia="zh-CN"/>
              </w:rPr>
            </w:pPr>
            <w:r>
              <w:rPr>
                <w:rFonts w:hint="eastAsia" w:ascii="宋体" w:hAnsi="宋体" w:cs="宋体"/>
                <w:highlight w:val="none"/>
              </w:rPr>
              <w:t>根据磋商响应方提供的针对本项目合理化建议，是否具有可操作性、针对性，进行打分。</w:t>
            </w:r>
            <w:r>
              <w:rPr>
                <w:rFonts w:hint="eastAsia" w:ascii="宋体" w:hAnsi="宋体" w:cs="宋体"/>
                <w:highlight w:val="none"/>
                <w:lang w:eastAsia="zh-CN"/>
              </w:rPr>
              <w:t>（</w:t>
            </w:r>
            <w:r>
              <w:rPr>
                <w:rFonts w:hint="eastAsia" w:ascii="宋体" w:hAnsi="宋体" w:cs="宋体"/>
                <w:highlight w:val="none"/>
                <w:lang w:val="en-US" w:eastAsia="zh-CN"/>
              </w:rPr>
              <w:t>0-3分</w:t>
            </w:r>
            <w:r>
              <w:rPr>
                <w:rFonts w:hint="eastAsia" w:ascii="宋体" w:hAnsi="宋体" w:cs="宋体"/>
                <w:highlight w:val="none"/>
                <w:lang w:eastAsia="zh-CN"/>
              </w:rPr>
              <w:t>）</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618E4C0C">
            <w:pPr>
              <w:spacing w:line="340" w:lineRule="exact"/>
              <w:jc w:val="center"/>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分</w:t>
            </w:r>
          </w:p>
        </w:tc>
      </w:tr>
    </w:tbl>
    <w:p w14:paraId="58E9AAD1">
      <w:pPr>
        <w:spacing w:beforeLines="50" w:afterLines="50" w:line="360" w:lineRule="auto"/>
        <w:rPr>
          <w:rFonts w:hint="eastAsia" w:ascii="宋体" w:hAnsi="宋体"/>
          <w:color w:val="auto"/>
          <w:sz w:val="24"/>
          <w:highlight w:val="none"/>
        </w:rPr>
      </w:pPr>
    </w:p>
    <w:p w14:paraId="2AB5085C">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1.1开启参加磋商的供应商的第一次报价。</w:t>
      </w:r>
    </w:p>
    <w:p w14:paraId="18C72EFF">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1.2磋商小组会对上述供应商的报价文件进行评审。</w:t>
      </w:r>
    </w:p>
    <w:p w14:paraId="4315E88D">
      <w:pPr>
        <w:spacing w:beforeLines="50" w:afterLines="50" w:line="240" w:lineRule="auto"/>
        <w:ind w:firstLine="480" w:firstLineChars="200"/>
        <w:rPr>
          <w:rFonts w:ascii="宋体" w:hAnsi="宋体"/>
          <w:strike/>
          <w:color w:val="auto"/>
          <w:sz w:val="24"/>
          <w:highlight w:val="none"/>
        </w:rPr>
      </w:pPr>
      <w:r>
        <w:rPr>
          <w:rFonts w:hint="eastAsia" w:ascii="宋体" w:hAnsi="宋体"/>
          <w:color w:val="auto"/>
          <w:sz w:val="24"/>
          <w:highlight w:val="none"/>
        </w:rPr>
        <w:t>1.3第一次报价评审有效的供应商在规定时间在线进行最终报价（如果出现异常，无法通过在线提交的，供应商应及时联系采购代理机构，通过指定的电子邮箱提供（最终报价表格式见附件，指定邮箱：</w:t>
      </w:r>
      <w:r>
        <w:rPr>
          <w:rFonts w:hint="eastAsia" w:ascii="宋体" w:hAnsi="宋体" w:cs="宋体"/>
          <w:color w:val="auto"/>
          <w:sz w:val="24"/>
          <w:highlight w:val="none"/>
          <w:lang w:val="en-US" w:eastAsia="zh-CN"/>
        </w:rPr>
        <w:t>783306875</w:t>
      </w:r>
      <w:r>
        <w:rPr>
          <w:rFonts w:hint="eastAsia" w:ascii="宋体" w:hAnsi="宋体"/>
          <w:color w:val="auto"/>
          <w:sz w:val="24"/>
          <w:highlight w:val="none"/>
          <w:lang w:eastAsia="zh-CN"/>
        </w:rPr>
        <w:t>@qq.com</w:t>
      </w:r>
      <w:r>
        <w:rPr>
          <w:rFonts w:hint="eastAsia" w:ascii="宋体" w:hAnsi="宋体"/>
          <w:color w:val="auto"/>
          <w:sz w:val="24"/>
          <w:highlight w:val="none"/>
        </w:rPr>
        <w:t>）。</w:t>
      </w:r>
    </w:p>
    <w:p w14:paraId="5FF7A3F9">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1.4磋商小组对供应商的最终报价进行评审，磋商小组认为供应商的报价明显低于其他通过符合性审查供应商的报价，有可能影响服务质量或者不能诚信履约的，要求其在评审系统合理的时间内提供书面说明，必要时提交相关证明材料；供应商不能证明其报价合理性的，磋商小组应当将其作为无效磋商响应处理。</w:t>
      </w:r>
    </w:p>
    <w:p w14:paraId="3B19163B">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1.5磋商小组对最终报价审核有效的供应商，采用综合评分法进行综合评分（详见评分细则）。</w:t>
      </w:r>
    </w:p>
    <w:p w14:paraId="5BA08B66">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1.6磋商小组根据评审相关情况作出评审报告。</w:t>
      </w:r>
    </w:p>
    <w:p w14:paraId="5B060914">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1.7磋商结束后，在线公布最终的评审结果和成交供应商。</w:t>
      </w:r>
    </w:p>
    <w:p w14:paraId="5E8645E9">
      <w:pPr>
        <w:spacing w:beforeLines="50" w:afterLines="50" w:line="240" w:lineRule="auto"/>
        <w:ind w:firstLine="482" w:firstLineChars="200"/>
        <w:rPr>
          <w:rFonts w:ascii="宋体" w:hAnsi="宋体"/>
          <w:b/>
          <w:bCs/>
          <w:color w:val="auto"/>
          <w:sz w:val="24"/>
          <w:highlight w:val="none"/>
        </w:rPr>
      </w:pPr>
      <w:r>
        <w:rPr>
          <w:rFonts w:hint="eastAsia" w:ascii="宋体" w:hAnsi="宋体"/>
          <w:b/>
          <w:bCs/>
          <w:color w:val="auto"/>
          <w:sz w:val="24"/>
          <w:highlight w:val="none"/>
        </w:rPr>
        <w:t>特别说明：“政采云”如对电子化磋商程序有调整的，按调整后的程序操作。</w:t>
      </w:r>
    </w:p>
    <w:p w14:paraId="1031C05E">
      <w:pPr>
        <w:pStyle w:val="4"/>
        <w:keepNext w:val="0"/>
        <w:keepLines w:val="0"/>
        <w:pageBreakBefore/>
        <w:numPr>
          <w:ilvl w:val="0"/>
          <w:numId w:val="9"/>
        </w:numPr>
        <w:spacing w:line="240" w:lineRule="auto"/>
        <w:jc w:val="center"/>
        <w:rPr>
          <w:rFonts w:ascii="宋体" w:hAnsi="宋体" w:cs="宋体"/>
          <w:bCs w:val="0"/>
          <w:color w:val="auto"/>
          <w:sz w:val="32"/>
          <w:szCs w:val="32"/>
          <w:highlight w:val="none"/>
        </w:rPr>
      </w:pPr>
      <w:bookmarkStart w:id="38" w:name="_Toc13329"/>
      <w:r>
        <w:rPr>
          <w:rFonts w:hint="eastAsia" w:ascii="宋体" w:hAnsi="宋体" w:cs="宋体"/>
          <w:bCs w:val="0"/>
          <w:color w:val="auto"/>
          <w:sz w:val="32"/>
          <w:szCs w:val="32"/>
          <w:highlight w:val="none"/>
        </w:rPr>
        <w:t>合同主要条款</w:t>
      </w:r>
      <w:bookmarkEnd w:id="35"/>
      <w:bookmarkEnd w:id="38"/>
    </w:p>
    <w:p w14:paraId="49275BC2">
      <w:pPr>
        <w:pStyle w:val="22"/>
        <w:snapToGrid w:val="0"/>
        <w:spacing w:before="120" w:after="120" w:line="336" w:lineRule="auto"/>
        <w:rPr>
          <w:rFonts w:hAnsi="宋体"/>
        </w:rPr>
      </w:pPr>
      <w:r>
        <w:rPr>
          <w:rFonts w:hint="eastAsia" w:hAnsi="宋体"/>
        </w:rPr>
        <w:t>项目名称：</w:t>
      </w:r>
      <w:r>
        <w:rPr>
          <w:rFonts w:hAnsi="宋体"/>
        </w:rPr>
        <w:t xml:space="preserve">                    </w:t>
      </w:r>
      <w:r>
        <w:rPr>
          <w:rFonts w:hint="eastAsia" w:hAnsi="宋体"/>
        </w:rPr>
        <w:t>项目编号：</w:t>
      </w:r>
      <w:r>
        <w:rPr>
          <w:rFonts w:hAnsi="宋体"/>
        </w:rPr>
        <w:t xml:space="preserve">                  </w:t>
      </w:r>
      <w:r>
        <w:rPr>
          <w:rFonts w:hint="eastAsia" w:hAnsi="宋体"/>
        </w:rPr>
        <w:t>合同号：</w:t>
      </w:r>
    </w:p>
    <w:p w14:paraId="6B09833C">
      <w:pPr>
        <w:pStyle w:val="22"/>
        <w:snapToGrid w:val="0"/>
        <w:spacing w:before="120" w:after="120" w:line="336" w:lineRule="auto"/>
        <w:rPr>
          <w:rFonts w:hAnsi="宋体"/>
        </w:rPr>
      </w:pPr>
      <w:r>
        <w:rPr>
          <w:rFonts w:hint="eastAsia" w:hAnsi="宋体"/>
        </w:rPr>
        <w:t>甲方（买方）：</w:t>
      </w:r>
    </w:p>
    <w:p w14:paraId="43C354E3">
      <w:pPr>
        <w:pStyle w:val="22"/>
        <w:snapToGrid w:val="0"/>
        <w:spacing w:before="120" w:after="120" w:line="336" w:lineRule="auto"/>
        <w:rPr>
          <w:rFonts w:hAnsi="宋体"/>
        </w:rPr>
      </w:pPr>
      <w:r>
        <w:rPr>
          <w:rFonts w:hint="eastAsia" w:hAnsi="宋体"/>
        </w:rPr>
        <w:t>乙方（卖方）：</w:t>
      </w:r>
    </w:p>
    <w:p w14:paraId="1A5F79FB">
      <w:pPr>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根据《中华人民共和国</w:t>
      </w:r>
      <w:r>
        <w:rPr>
          <w:rFonts w:hint="eastAsia" w:ascii="宋体" w:hAnsi="宋体" w:eastAsia="宋体" w:cs="Times New Roman"/>
          <w:sz w:val="24"/>
          <w:szCs w:val="24"/>
          <w:lang w:val="en-US" w:eastAsia="zh-CN"/>
        </w:rPr>
        <w:t>民法典</w:t>
      </w:r>
      <w:r>
        <w:rPr>
          <w:rFonts w:ascii="宋体" w:hAnsi="宋体" w:eastAsia="宋体" w:cs="Times New Roman"/>
          <w:sz w:val="24"/>
          <w:szCs w:val="24"/>
        </w:rPr>
        <w:t>》、</w:t>
      </w:r>
      <w:r>
        <w:rPr>
          <w:rFonts w:hint="eastAsia" w:ascii="宋体" w:hAnsi="宋体" w:eastAsia="宋体" w:cs="Times New Roman"/>
          <w:sz w:val="24"/>
          <w:szCs w:val="24"/>
        </w:rPr>
        <w:t>《中华人民共和国政府采购法》、</w:t>
      </w:r>
      <w:r>
        <w:rPr>
          <w:rFonts w:ascii="宋体" w:hAnsi="宋体" w:eastAsia="宋体" w:cs="Times New Roman"/>
          <w:sz w:val="24"/>
          <w:szCs w:val="24"/>
        </w:rPr>
        <w:t>《中华人民共和国建筑法》及有关法律规定，遵循平等、自愿、公平和诚实信用的原则，双方就</w:t>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rPr>
        <w:t>施工及有关事项协商一致</w:t>
      </w:r>
      <w:r>
        <w:rPr>
          <w:rFonts w:hint="eastAsia" w:ascii="宋体" w:hAnsi="宋体" w:eastAsia="宋体" w:cs="Times New Roman"/>
          <w:sz w:val="24"/>
          <w:szCs w:val="24"/>
        </w:rPr>
        <w:t>，</w:t>
      </w:r>
      <w:r>
        <w:rPr>
          <w:rFonts w:ascii="宋体" w:hAnsi="宋体" w:eastAsia="宋体" w:cs="Times New Roman"/>
          <w:sz w:val="24"/>
          <w:szCs w:val="24"/>
        </w:rPr>
        <w:t>共同达成如下协议：</w:t>
      </w:r>
    </w:p>
    <w:p w14:paraId="3CEE14FA">
      <w:pPr>
        <w:pStyle w:val="7"/>
        <w:spacing w:before="120" w:after="120" w:line="440" w:lineRule="exact"/>
        <w:rPr>
          <w:rFonts w:hint="default" w:ascii="宋体" w:hAnsi="宋体" w:eastAsia="宋体"/>
          <w:b w:val="0"/>
          <w:sz w:val="24"/>
          <w:szCs w:val="24"/>
          <w:lang w:val="en-US" w:eastAsia="zh-CN"/>
        </w:rPr>
      </w:pPr>
      <w:bookmarkStart w:id="39" w:name="_Toc351203481"/>
      <w:r>
        <w:rPr>
          <w:rFonts w:hint="eastAsia" w:ascii="宋体" w:hAnsi="宋体"/>
          <w:b/>
          <w:bCs w:val="0"/>
          <w:sz w:val="24"/>
          <w:szCs w:val="24"/>
          <w:lang w:val="en-US" w:eastAsia="zh-CN"/>
        </w:rPr>
        <w:t>一、合同文件</w:t>
      </w:r>
    </w:p>
    <w:p w14:paraId="42B6B299">
      <w:pPr>
        <w:pStyle w:val="7"/>
        <w:spacing w:before="120" w:after="120" w:line="440" w:lineRule="exact"/>
        <w:ind w:firstLine="480" w:firstLineChars="200"/>
        <w:rPr>
          <w:rFonts w:ascii="宋体" w:hAnsi="宋体"/>
          <w:b w:val="0"/>
          <w:sz w:val="24"/>
          <w:szCs w:val="24"/>
        </w:rPr>
      </w:pPr>
      <w:r>
        <w:rPr>
          <w:rFonts w:hint="eastAsia" w:ascii="宋体" w:hAnsi="宋体"/>
          <w:b w:val="0"/>
          <w:sz w:val="24"/>
          <w:szCs w:val="24"/>
          <w:lang w:val="en-US" w:eastAsia="zh-CN"/>
        </w:rPr>
        <w:t>磋商</w:t>
      </w:r>
      <w:r>
        <w:rPr>
          <w:rFonts w:hint="eastAsia" w:ascii="宋体" w:hAnsi="宋体"/>
          <w:b w:val="0"/>
          <w:sz w:val="24"/>
          <w:szCs w:val="24"/>
        </w:rPr>
        <w:t>文件、</w:t>
      </w:r>
      <w:r>
        <w:rPr>
          <w:rFonts w:hint="eastAsia" w:ascii="宋体" w:hAnsi="宋体"/>
          <w:b w:val="0"/>
          <w:sz w:val="24"/>
          <w:szCs w:val="24"/>
          <w:lang w:val="en-US" w:eastAsia="zh-CN"/>
        </w:rPr>
        <w:t>磋商响应</w:t>
      </w:r>
      <w:r>
        <w:rPr>
          <w:rFonts w:hint="eastAsia" w:ascii="宋体" w:hAnsi="宋体"/>
          <w:b w:val="0"/>
          <w:sz w:val="24"/>
          <w:szCs w:val="24"/>
        </w:rPr>
        <w:t>文件、技术澄清及询标答复的所有内容是构成合同不可分割的部分，与本合同具有同等法律效力，当文件之间、文件与本合同之间有相互矛盾之处，以有利于甲方之解释为准。</w:t>
      </w:r>
    </w:p>
    <w:p w14:paraId="2722B2AF">
      <w:pPr>
        <w:pStyle w:val="7"/>
        <w:spacing w:before="120" w:after="120" w:line="440" w:lineRule="exact"/>
        <w:rPr>
          <w:rFonts w:ascii="宋体" w:hAnsi="宋体"/>
          <w:b/>
          <w:bCs w:val="0"/>
          <w:sz w:val="24"/>
          <w:szCs w:val="24"/>
        </w:rPr>
      </w:pPr>
      <w:r>
        <w:rPr>
          <w:rFonts w:hint="eastAsia" w:ascii="宋体" w:hAnsi="宋体"/>
          <w:b/>
          <w:bCs w:val="0"/>
          <w:sz w:val="24"/>
          <w:szCs w:val="24"/>
          <w:lang w:val="en-US" w:eastAsia="zh-CN"/>
        </w:rPr>
        <w:t>二</w:t>
      </w:r>
      <w:r>
        <w:rPr>
          <w:rFonts w:ascii="宋体" w:hAnsi="宋体"/>
          <w:b/>
          <w:bCs w:val="0"/>
          <w:sz w:val="24"/>
          <w:szCs w:val="24"/>
        </w:rPr>
        <w:t>、工程概况</w:t>
      </w:r>
      <w:bookmarkEnd w:id="39"/>
    </w:p>
    <w:p w14:paraId="7CAF827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新宋体"/>
          <w:sz w:val="24"/>
          <w:lang w:eastAsia="zh-CN"/>
        </w:rPr>
      </w:pPr>
      <w:r>
        <w:rPr>
          <w:rFonts w:hint="eastAsia" w:ascii="宋体" w:hAnsi="宋体" w:cs="新宋体"/>
          <w:sz w:val="24"/>
        </w:rPr>
        <w:t>建设单位：</w:t>
      </w:r>
      <w:r>
        <w:rPr>
          <w:rFonts w:hint="eastAsia" w:ascii="宋体" w:hAnsi="宋体" w:cs="新宋体"/>
          <w:sz w:val="24"/>
          <w:lang w:eastAsia="zh-CN"/>
        </w:rPr>
        <w:t>东阳市巍山镇人民政府</w:t>
      </w:r>
    </w:p>
    <w:p w14:paraId="306DFCE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新宋体"/>
          <w:sz w:val="24"/>
        </w:rPr>
      </w:pPr>
      <w:r>
        <w:rPr>
          <w:rFonts w:hint="eastAsia" w:ascii="宋体" w:hAnsi="宋体" w:cs="新宋体"/>
          <w:sz w:val="24"/>
        </w:rPr>
        <w:t>建设地点：</w:t>
      </w:r>
      <w:r>
        <w:rPr>
          <w:rFonts w:hint="eastAsia" w:ascii="宋体" w:hAnsi="宋体"/>
          <w:sz w:val="24"/>
          <w:lang w:eastAsia="zh-CN"/>
        </w:rPr>
        <w:t>东阳市巍山镇</w:t>
      </w:r>
    </w:p>
    <w:p w14:paraId="786AE11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新宋体"/>
          <w:sz w:val="24"/>
          <w:highlight w:val="none"/>
        </w:rPr>
      </w:pPr>
      <w:r>
        <w:rPr>
          <w:rFonts w:hint="eastAsia" w:ascii="宋体" w:hAnsi="宋体" w:cs="新宋体"/>
          <w:sz w:val="24"/>
          <w:highlight w:val="none"/>
        </w:rPr>
        <w:t>工程规模：</w:t>
      </w:r>
      <w:r>
        <w:rPr>
          <w:rFonts w:hint="eastAsia" w:ascii="宋体" w:hAnsi="宋体" w:eastAsia="宋体" w:cs="新宋体"/>
          <w:color w:val="auto"/>
          <w:sz w:val="24"/>
          <w:szCs w:val="24"/>
          <w:highlight w:val="none"/>
        </w:rPr>
        <w:t>主要建设内容为对大坝坝顶及左侧库岸岸顶整治、岸坡护砌，并采用黏土套井加帷幕灌浆进行防渗加固，改建溢洪道，对溢洪道新建挡墙、边坡及底板进行护砌，封堵原输水涵管，在右坝头基岩内采用非开挖水平定向钻进技术新建输水涵管及其配套启闭设施，增设水位观测、安全警示牌、责任牌等安全管理设施。</w:t>
      </w:r>
    </w:p>
    <w:p w14:paraId="599D91FF">
      <w:pPr>
        <w:pStyle w:val="7"/>
        <w:spacing w:before="120" w:after="120" w:line="440" w:lineRule="exact"/>
        <w:rPr>
          <w:rFonts w:ascii="宋体" w:hAnsi="宋体"/>
          <w:b/>
          <w:bCs w:val="0"/>
          <w:sz w:val="24"/>
          <w:szCs w:val="24"/>
        </w:rPr>
      </w:pPr>
      <w:r>
        <w:rPr>
          <w:rFonts w:ascii="宋体" w:hAnsi="宋体"/>
          <w:b/>
          <w:bCs w:val="0"/>
          <w:sz w:val="24"/>
          <w:szCs w:val="24"/>
        </w:rPr>
        <w:t xml:space="preserve"> </w:t>
      </w:r>
      <w:bookmarkStart w:id="40" w:name="_Toc351203482"/>
      <w:r>
        <w:rPr>
          <w:rFonts w:hint="eastAsia" w:ascii="宋体" w:hAnsi="宋体"/>
          <w:b/>
          <w:bCs w:val="0"/>
          <w:sz w:val="24"/>
          <w:szCs w:val="24"/>
          <w:lang w:val="en-US" w:eastAsia="zh-CN"/>
        </w:rPr>
        <w:t>三</w:t>
      </w:r>
      <w:r>
        <w:rPr>
          <w:rFonts w:ascii="宋体" w:hAnsi="宋体"/>
          <w:b/>
          <w:bCs w:val="0"/>
          <w:sz w:val="24"/>
          <w:szCs w:val="24"/>
        </w:rPr>
        <w:t>、合同工期</w:t>
      </w:r>
      <w:bookmarkEnd w:id="40"/>
    </w:p>
    <w:p w14:paraId="6D7FA61B">
      <w:pPr>
        <w:adjustRightInd w:val="0"/>
        <w:spacing w:line="360" w:lineRule="auto"/>
        <w:ind w:firstLine="420"/>
        <w:rPr>
          <w:rFonts w:hint="default" w:ascii="宋体" w:hAnsi="宋体" w:eastAsia="宋体"/>
          <w:b w:val="0"/>
          <w:bCs w:val="0"/>
          <w:sz w:val="24"/>
          <w:szCs w:val="24"/>
          <w:u w:val="single"/>
          <w:lang w:val="en-US" w:eastAsia="zh-CN"/>
        </w:rPr>
      </w:pPr>
      <w:r>
        <w:rPr>
          <w:rFonts w:hint="eastAsia" w:ascii="宋体" w:hAnsi="宋体" w:eastAsia="宋体" w:cs="Times New Roman"/>
          <w:b w:val="0"/>
          <w:bCs w:val="0"/>
          <w:sz w:val="24"/>
          <w:szCs w:val="24"/>
          <w:lang w:val="en-US" w:eastAsia="zh-CN"/>
        </w:rPr>
        <w:t>项目</w:t>
      </w:r>
      <w:r>
        <w:rPr>
          <w:rFonts w:ascii="宋体" w:hAnsi="宋体" w:eastAsia="宋体" w:cs="Times New Roman"/>
          <w:b w:val="0"/>
          <w:bCs w:val="0"/>
          <w:sz w:val="24"/>
          <w:szCs w:val="24"/>
        </w:rPr>
        <w:t>工期：</w:t>
      </w:r>
      <w:bookmarkStart w:id="41" w:name="_Toc351203483"/>
      <w:r>
        <w:rPr>
          <w:rFonts w:hint="eastAsia" w:ascii="宋体" w:hAnsi="宋体" w:cs="宋体"/>
          <w:color w:val="auto"/>
          <w:sz w:val="24"/>
          <w:highlight w:val="none"/>
          <w:lang w:val="en-US" w:eastAsia="zh-CN"/>
        </w:rPr>
        <w:t xml:space="preserve"> 180日历天</w:t>
      </w:r>
    </w:p>
    <w:p w14:paraId="7946EFE6">
      <w:pPr>
        <w:pStyle w:val="7"/>
        <w:spacing w:before="120" w:after="120" w:line="440" w:lineRule="exact"/>
        <w:rPr>
          <w:rFonts w:ascii="宋体" w:hAnsi="宋体"/>
          <w:b/>
          <w:bCs/>
          <w:sz w:val="24"/>
          <w:szCs w:val="24"/>
        </w:rPr>
      </w:pPr>
      <w:r>
        <w:rPr>
          <w:rFonts w:ascii="宋体" w:hAnsi="宋体"/>
          <w:b/>
          <w:bCs/>
          <w:sz w:val="24"/>
          <w:szCs w:val="24"/>
        </w:rPr>
        <w:t>三、质量标准</w:t>
      </w:r>
      <w:bookmarkEnd w:id="41"/>
    </w:p>
    <w:p w14:paraId="738F5856">
      <w:pPr>
        <w:spacing w:line="440" w:lineRule="exact"/>
        <w:ind w:firstLine="459"/>
        <w:rPr>
          <w:rFonts w:ascii="宋体" w:hAnsi="宋体" w:eastAsia="宋体" w:cs="Times New Roman"/>
          <w:sz w:val="24"/>
          <w:szCs w:val="24"/>
        </w:rPr>
      </w:pPr>
      <w:r>
        <w:rPr>
          <w:rFonts w:ascii="宋体" w:hAnsi="宋体" w:eastAsia="宋体" w:cs="Times New Roman"/>
          <w:sz w:val="24"/>
          <w:szCs w:val="24"/>
        </w:rPr>
        <w:t>工程质量</w:t>
      </w:r>
      <w:r>
        <w:rPr>
          <w:rFonts w:hint="eastAsia" w:ascii="宋体" w:hAnsi="宋体" w:eastAsia="宋体" w:cs="Times New Roman"/>
          <w:sz w:val="24"/>
          <w:szCs w:val="24"/>
          <w:u w:val="single"/>
        </w:rPr>
        <w:t>符合国家相关验收合格</w:t>
      </w:r>
      <w:r>
        <w:rPr>
          <w:rFonts w:ascii="宋体" w:hAnsi="宋体" w:eastAsia="宋体" w:cs="Times New Roman"/>
          <w:sz w:val="24"/>
          <w:szCs w:val="24"/>
        </w:rPr>
        <w:t>标准。</w:t>
      </w:r>
    </w:p>
    <w:p w14:paraId="1A89B5D7">
      <w:pPr>
        <w:pStyle w:val="7"/>
        <w:spacing w:before="120" w:after="120" w:line="440" w:lineRule="exact"/>
        <w:rPr>
          <w:rFonts w:hint="eastAsia" w:ascii="Times New Roman" w:hAnsi="宋体" w:eastAsia="宋体" w:cs="Times New Roman"/>
          <w:sz w:val="24"/>
          <w:szCs w:val="24"/>
          <w:lang w:val="en-US" w:eastAsia="zh-CN"/>
        </w:rPr>
      </w:pPr>
      <w:bookmarkStart w:id="42" w:name="_Toc351203484"/>
      <w:r>
        <w:rPr>
          <w:rFonts w:ascii="宋体" w:hAnsi="宋体"/>
          <w:b/>
          <w:bCs w:val="0"/>
          <w:sz w:val="24"/>
          <w:szCs w:val="24"/>
        </w:rPr>
        <w:t>四、</w:t>
      </w:r>
      <w:bookmarkEnd w:id="42"/>
      <w:r>
        <w:rPr>
          <w:rFonts w:hint="eastAsia" w:ascii="宋体" w:hAnsi="宋体"/>
          <w:b/>
          <w:bCs w:val="0"/>
          <w:sz w:val="24"/>
          <w:szCs w:val="24"/>
          <w:lang w:val="en-US" w:eastAsia="zh-CN"/>
        </w:rPr>
        <w:t>合同金额</w:t>
      </w:r>
      <w:r>
        <w:rPr>
          <w:rFonts w:ascii="宋体" w:hAnsi="宋体"/>
          <w:b/>
          <w:bCs w:val="0"/>
          <w:sz w:val="24"/>
          <w:szCs w:val="24"/>
        </w:rPr>
        <w:tab/>
      </w:r>
    </w:p>
    <w:p w14:paraId="496D8DBD">
      <w:pPr>
        <w:pStyle w:val="22"/>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b/>
          <w:bCs/>
          <w:sz w:val="24"/>
          <w:szCs w:val="24"/>
          <w:u w:val="none"/>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中标</w:t>
      </w:r>
      <w:r>
        <w:rPr>
          <w:rFonts w:hint="eastAsia" w:ascii="宋体" w:hAnsi="宋体" w:cs="宋体"/>
          <w:b/>
          <w:bCs/>
          <w:sz w:val="24"/>
          <w:szCs w:val="24"/>
          <w:lang w:val="en-US" w:eastAsia="zh-CN"/>
        </w:rPr>
        <w:t>下浮</w:t>
      </w:r>
      <w:r>
        <w:rPr>
          <w:rFonts w:hint="eastAsia" w:ascii="宋体" w:hAnsi="宋体" w:eastAsia="宋体" w:cs="宋体"/>
          <w:b/>
          <w:bCs/>
          <w:sz w:val="24"/>
          <w:szCs w:val="24"/>
          <w:lang w:eastAsia="zh-CN"/>
        </w:rPr>
        <w:t>率为</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w:t>
      </w:r>
      <w:r>
        <w:rPr>
          <w:rFonts w:hint="eastAsia" w:ascii="宋体" w:hAnsi="宋体" w:eastAsia="宋体" w:cs="宋体"/>
          <w:b/>
          <w:bCs/>
          <w:sz w:val="24"/>
          <w:szCs w:val="24"/>
          <w:highlight w:val="none"/>
          <w:lang w:val="en-US" w:eastAsia="zh-CN"/>
        </w:rPr>
        <w:t>。</w:t>
      </w:r>
      <w:r>
        <w:rPr>
          <w:rFonts w:hint="eastAsia" w:hAnsi="宋体" w:cs="宋体"/>
          <w:b/>
          <w:bCs/>
          <w:sz w:val="24"/>
          <w:szCs w:val="24"/>
          <w:highlight w:val="none"/>
          <w:lang w:val="en-US" w:eastAsia="zh-CN"/>
        </w:rPr>
        <w:t>合同</w:t>
      </w:r>
      <w:r>
        <w:rPr>
          <w:rFonts w:hint="eastAsia" w:ascii="宋体" w:hAnsi="宋体" w:eastAsia="宋体" w:cs="宋体"/>
          <w:b/>
          <w:bCs/>
          <w:sz w:val="24"/>
          <w:szCs w:val="24"/>
          <w:highlight w:val="none"/>
        </w:rPr>
        <w:t>金额</w:t>
      </w:r>
      <w:r>
        <w:rPr>
          <w:rFonts w:hint="eastAsia" w:ascii="宋体" w:hAnsi="宋体" w:eastAsia="宋体" w:cs="宋体"/>
          <w:b/>
          <w:bCs/>
          <w:sz w:val="24"/>
          <w:szCs w:val="24"/>
        </w:rPr>
        <w:t>(大写)：</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(人民币) 小写：</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lang w:eastAsia="zh-CN"/>
        </w:rPr>
        <w:t>元</w:t>
      </w:r>
      <w:r>
        <w:rPr>
          <w:rFonts w:hint="eastAsia" w:ascii="宋体" w:hAnsi="宋体" w:eastAsia="宋体" w:cs="宋体"/>
          <w:b/>
          <w:bCs/>
          <w:sz w:val="24"/>
          <w:szCs w:val="24"/>
          <w:u w:val="none"/>
          <w:lang w:eastAsia="zh-CN"/>
        </w:rPr>
        <w:t>。</w:t>
      </w:r>
    </w:p>
    <w:p w14:paraId="23A2BD76">
      <w:pPr>
        <w:pStyle w:val="7"/>
        <w:spacing w:before="120" w:after="120" w:line="440" w:lineRule="exact"/>
        <w:rPr>
          <w:rFonts w:hint="eastAsia" w:ascii="宋体" w:hAnsi="宋体"/>
          <w:b/>
          <w:bCs w:val="0"/>
          <w:sz w:val="24"/>
          <w:szCs w:val="24"/>
          <w:highlight w:val="none"/>
        </w:rPr>
      </w:pPr>
      <w:bookmarkStart w:id="43" w:name="_Toc351203485"/>
      <w:r>
        <w:rPr>
          <w:rFonts w:ascii="宋体" w:hAnsi="宋体"/>
          <w:b/>
          <w:bCs w:val="0"/>
          <w:sz w:val="24"/>
          <w:szCs w:val="24"/>
        </w:rPr>
        <w:t>五</w:t>
      </w:r>
      <w:r>
        <w:rPr>
          <w:rFonts w:ascii="宋体" w:hAnsi="宋体"/>
          <w:b/>
          <w:bCs w:val="0"/>
          <w:sz w:val="24"/>
          <w:szCs w:val="24"/>
          <w:highlight w:val="none"/>
        </w:rPr>
        <w:t>、</w:t>
      </w:r>
      <w:bookmarkEnd w:id="43"/>
      <w:r>
        <w:rPr>
          <w:rFonts w:ascii="宋体" w:hAnsi="宋体"/>
          <w:b/>
          <w:bCs w:val="0"/>
          <w:sz w:val="24"/>
          <w:szCs w:val="24"/>
          <w:highlight w:val="none"/>
        </w:rPr>
        <w:t>项目</w:t>
      </w:r>
      <w:r>
        <w:rPr>
          <w:rFonts w:hint="eastAsia" w:ascii="宋体" w:hAnsi="宋体"/>
          <w:b/>
          <w:bCs w:val="0"/>
          <w:sz w:val="24"/>
          <w:szCs w:val="24"/>
          <w:highlight w:val="none"/>
        </w:rPr>
        <w:t>经理</w:t>
      </w:r>
    </w:p>
    <w:p w14:paraId="32925AB3">
      <w:pPr>
        <w:spacing w:line="440" w:lineRule="exact"/>
        <w:ind w:firstLine="480" w:firstLineChars="200"/>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项目</w:t>
      </w:r>
      <w:r>
        <w:rPr>
          <w:rFonts w:hint="eastAsia" w:ascii="宋体" w:hAnsi="宋体" w:eastAsia="宋体" w:cs="Times New Roman"/>
          <w:sz w:val="24"/>
          <w:szCs w:val="24"/>
          <w:highlight w:val="none"/>
          <w:lang w:val="en-US" w:eastAsia="zh-CN"/>
        </w:rPr>
        <w:t>负责人</w:t>
      </w:r>
      <w:r>
        <w:rPr>
          <w:rFonts w:ascii="宋体" w:hAnsi="宋体" w:eastAsia="宋体" w:cs="Times New Roman"/>
          <w:sz w:val="24"/>
          <w:szCs w:val="24"/>
          <w:highlight w:val="none"/>
        </w:rPr>
        <w:t>：</w:t>
      </w:r>
      <w:r>
        <w:rPr>
          <w:rFonts w:hint="eastAsia" w:ascii="_x000B__x000C_" w:hAnsi="_x000B__x000C_" w:eastAsia="宋体" w:cs="Times New Roman"/>
          <w:b/>
          <w:sz w:val="24"/>
          <w:szCs w:val="28"/>
          <w:highlight w:val="none"/>
          <w:u w:val="single"/>
          <w:lang w:val="en-US" w:eastAsia="zh-CN"/>
        </w:rPr>
        <w:t xml:space="preserve">         </w:t>
      </w:r>
      <w:r>
        <w:rPr>
          <w:rFonts w:ascii="宋体" w:hAnsi="宋体" w:eastAsia="宋体" w:cs="Times New Roman"/>
          <w:sz w:val="24"/>
          <w:szCs w:val="24"/>
          <w:highlight w:val="none"/>
        </w:rPr>
        <w:t>。</w:t>
      </w:r>
      <w:r>
        <w:rPr>
          <w:rFonts w:hint="eastAsia" w:ascii="宋体" w:hAnsi="宋体" w:cs="Times New Roman"/>
          <w:sz w:val="24"/>
          <w:szCs w:val="24"/>
          <w:highlight w:val="none"/>
          <w:lang w:eastAsia="zh-CN"/>
        </w:rPr>
        <w:t>项目班子成员：</w:t>
      </w:r>
      <w:r>
        <w:rPr>
          <w:rFonts w:hint="eastAsia" w:ascii="_x000B__x000C_" w:hAnsi="_x000B__x000C_" w:eastAsia="宋体" w:cs="Times New Roman"/>
          <w:b/>
          <w:sz w:val="24"/>
          <w:szCs w:val="28"/>
          <w:highlight w:val="none"/>
          <w:u w:val="single"/>
          <w:lang w:val="en-US" w:eastAsia="zh-CN"/>
        </w:rPr>
        <w:t xml:space="preserve">         </w:t>
      </w:r>
      <w:r>
        <w:rPr>
          <w:rFonts w:hint="eastAsia" w:ascii="_x000B__x000C_" w:hAnsi="_x000B__x000C_" w:cs="Times New Roman"/>
          <w:b/>
          <w:sz w:val="24"/>
          <w:szCs w:val="28"/>
          <w:highlight w:val="none"/>
          <w:u w:val="single"/>
          <w:lang w:val="en-US" w:eastAsia="zh-CN"/>
        </w:rPr>
        <w:t>。</w:t>
      </w:r>
    </w:p>
    <w:p w14:paraId="615862D4">
      <w:pPr>
        <w:pStyle w:val="7"/>
        <w:numPr>
          <w:ilvl w:val="0"/>
          <w:numId w:val="0"/>
        </w:numPr>
        <w:spacing w:before="120" w:after="120" w:line="440" w:lineRule="exact"/>
        <w:jc w:val="both"/>
        <w:rPr>
          <w:rFonts w:hint="eastAsia" w:ascii="宋体" w:hAnsi="宋体" w:eastAsia="宋体" w:cs="宋体"/>
          <w:b/>
          <w:sz w:val="24"/>
          <w:szCs w:val="28"/>
          <w:highlight w:val="none"/>
        </w:rPr>
      </w:pPr>
      <w:r>
        <w:rPr>
          <w:rFonts w:hint="eastAsia" w:ascii="宋体" w:hAnsi="宋体" w:eastAsia="宋体" w:cs="宋体"/>
          <w:b/>
          <w:sz w:val="24"/>
          <w:szCs w:val="28"/>
          <w:highlight w:val="none"/>
          <w:lang w:val="en-US" w:eastAsia="zh-CN"/>
        </w:rPr>
        <w:t>六、</w:t>
      </w:r>
      <w:r>
        <w:rPr>
          <w:rFonts w:hint="eastAsia" w:ascii="宋体" w:hAnsi="宋体" w:eastAsia="宋体" w:cs="宋体"/>
          <w:b/>
          <w:sz w:val="24"/>
          <w:szCs w:val="28"/>
          <w:highlight w:val="none"/>
        </w:rPr>
        <w:t>合同价款</w:t>
      </w:r>
      <w:r>
        <w:rPr>
          <w:rFonts w:hint="eastAsia" w:ascii="宋体" w:hAnsi="宋体" w:cs="宋体"/>
          <w:b/>
          <w:sz w:val="24"/>
          <w:szCs w:val="28"/>
          <w:highlight w:val="none"/>
          <w:lang w:eastAsia="zh-CN"/>
        </w:rPr>
        <w:t>的</w:t>
      </w:r>
      <w:r>
        <w:rPr>
          <w:rFonts w:hint="eastAsia" w:ascii="宋体" w:hAnsi="宋体" w:eastAsia="宋体" w:cs="宋体"/>
          <w:b/>
          <w:sz w:val="24"/>
          <w:szCs w:val="28"/>
          <w:highlight w:val="none"/>
        </w:rPr>
        <w:t>支付</w:t>
      </w:r>
    </w:p>
    <w:p w14:paraId="6C67F271">
      <w:pPr>
        <w:pStyle w:val="22"/>
        <w:spacing w:line="360" w:lineRule="auto"/>
        <w:rPr>
          <w:rFonts w:hint="eastAsia" w:ascii="宋体" w:hAnsi="宋体" w:cs="宋体"/>
          <w:b/>
          <w:bCs/>
          <w:color w:val="auto"/>
          <w:sz w:val="24"/>
          <w:highlight w:val="none"/>
          <w:lang w:val="en-US" w:eastAsia="zh-CN"/>
        </w:rPr>
      </w:pPr>
      <w:bookmarkStart w:id="44" w:name="_Toc351203487"/>
      <w:r>
        <w:rPr>
          <w:rFonts w:hint="eastAsia" w:ascii="宋体" w:hAnsi="宋体" w:cs="宋体"/>
          <w:b/>
          <w:bCs/>
          <w:color w:val="auto"/>
          <w:sz w:val="24"/>
          <w:highlight w:val="none"/>
          <w:lang w:val="en-US" w:eastAsia="zh-CN"/>
        </w:rPr>
        <w:t>1、</w:t>
      </w:r>
      <w:r>
        <w:rPr>
          <w:rFonts w:hint="eastAsia" w:ascii="宋体" w:hAnsi="宋体" w:cs="宋体"/>
          <w:b/>
          <w:bCs/>
          <w:sz w:val="24"/>
          <w:szCs w:val="24"/>
          <w:highlight w:val="none"/>
        </w:rPr>
        <w:t>合同生效以及具备实施条件后7个工作日内支付合同价款</w:t>
      </w:r>
      <w:r>
        <w:rPr>
          <w:rFonts w:hint="eastAsia" w:ascii="宋体" w:hAnsi="宋体" w:cs="宋体"/>
          <w:b/>
          <w:bCs/>
          <w:sz w:val="24"/>
          <w:szCs w:val="24"/>
          <w:highlight w:val="none"/>
          <w:lang w:eastAsia="zh-CN"/>
        </w:rPr>
        <w:t>总额（扣除含税暂定价）</w:t>
      </w:r>
      <w:r>
        <w:rPr>
          <w:rFonts w:hint="eastAsia" w:ascii="宋体" w:hAnsi="宋体" w:cs="宋体"/>
          <w:b/>
          <w:bCs/>
          <w:sz w:val="24"/>
          <w:szCs w:val="24"/>
          <w:highlight w:val="none"/>
        </w:rPr>
        <w:t>的</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0%作为预付款</w:t>
      </w:r>
      <w:r>
        <w:rPr>
          <w:rFonts w:hint="eastAsia" w:ascii="宋体" w:hAnsi="宋体" w:cs="宋体"/>
          <w:b/>
          <w:bCs/>
          <w:color w:val="auto"/>
          <w:sz w:val="24"/>
          <w:highlight w:val="none"/>
          <w:lang w:val="en-US" w:eastAsia="zh-CN"/>
        </w:rPr>
        <w:t>（合同签订时，供应商明确表示无需预付款或主动降低预付款比例的，采购人可不适用前述规定；采购人根据项目特点、供应商诚信等因素，可以要求中标人提交预付款保函）；</w:t>
      </w:r>
    </w:p>
    <w:p w14:paraId="31651EE8">
      <w:pPr>
        <w:pStyle w:val="22"/>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w:t>
      </w:r>
      <w:r>
        <w:rPr>
          <w:rFonts w:hint="eastAsia" w:ascii="宋体" w:hAnsi="宋体"/>
          <w:b/>
          <w:bCs/>
          <w:color w:val="auto"/>
          <w:sz w:val="24"/>
          <w:highlight w:val="none"/>
        </w:rPr>
        <w:t>全部工程完工后</w:t>
      </w:r>
      <w:r>
        <w:rPr>
          <w:rFonts w:hint="eastAsia" w:ascii="宋体" w:hAnsi="宋体"/>
          <w:b/>
          <w:bCs/>
          <w:color w:val="auto"/>
          <w:sz w:val="24"/>
          <w:highlight w:val="none"/>
          <w:lang w:val="en-US" w:eastAsia="zh-CN"/>
        </w:rPr>
        <w:t>在7个工作日内</w:t>
      </w:r>
      <w:r>
        <w:rPr>
          <w:rFonts w:hint="eastAsia" w:ascii="宋体" w:hAnsi="宋体"/>
          <w:b/>
          <w:bCs/>
          <w:color w:val="auto"/>
          <w:sz w:val="24"/>
          <w:highlight w:val="none"/>
        </w:rPr>
        <w:t>支付至合同价款的85%</w:t>
      </w:r>
      <w:r>
        <w:rPr>
          <w:rFonts w:hint="eastAsia" w:ascii="宋体" w:hAnsi="宋体"/>
          <w:b/>
          <w:bCs/>
          <w:color w:val="auto"/>
          <w:sz w:val="24"/>
          <w:highlight w:val="none"/>
          <w:lang w:eastAsia="zh-CN"/>
        </w:rPr>
        <w:t>；</w:t>
      </w:r>
    </w:p>
    <w:p w14:paraId="050E3492">
      <w:pPr>
        <w:pStyle w:val="7"/>
        <w:spacing w:before="120" w:after="120" w:line="440" w:lineRule="exact"/>
        <w:rPr>
          <w:rFonts w:hint="eastAsia" w:ascii="宋体" w:hAnsi="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b/>
          <w:bCs/>
          <w:sz w:val="24"/>
          <w:szCs w:val="24"/>
          <w:highlight w:val="none"/>
        </w:rPr>
        <w:t>工程竣工验收合格并</w:t>
      </w:r>
      <w:r>
        <w:rPr>
          <w:rFonts w:hint="eastAsia" w:ascii="宋体" w:hAnsi="宋体"/>
          <w:b/>
          <w:bCs/>
          <w:sz w:val="24"/>
          <w:szCs w:val="24"/>
          <w:highlight w:val="none"/>
          <w:lang w:eastAsia="zh-CN"/>
        </w:rPr>
        <w:t>在供应商提交相关付款凭证后</w:t>
      </w:r>
      <w:r>
        <w:rPr>
          <w:rFonts w:hint="eastAsia" w:ascii="宋体" w:hAnsi="宋体"/>
          <w:b/>
          <w:bCs/>
          <w:color w:val="auto"/>
          <w:sz w:val="24"/>
          <w:highlight w:val="none"/>
        </w:rPr>
        <w:t>7个工作日内支付至合同价款的100%。</w:t>
      </w:r>
    </w:p>
    <w:p w14:paraId="37497772">
      <w:pPr>
        <w:pStyle w:val="7"/>
        <w:spacing w:before="120" w:after="120" w:line="440" w:lineRule="exact"/>
        <w:rPr>
          <w:rFonts w:hint="default" w:ascii="宋体" w:hAnsi="宋体" w:eastAsia="宋体"/>
          <w:b w:val="0"/>
          <w:sz w:val="24"/>
          <w:szCs w:val="24"/>
          <w:lang w:val="en-US" w:eastAsia="zh-CN"/>
        </w:rPr>
      </w:pPr>
      <w:r>
        <w:rPr>
          <w:rFonts w:hint="eastAsia" w:ascii="宋体" w:hAnsi="宋体"/>
          <w:b/>
          <w:bCs/>
          <w:sz w:val="24"/>
          <w:szCs w:val="24"/>
          <w:lang w:val="en-US" w:eastAsia="zh-CN"/>
        </w:rPr>
        <w:t>七、甲乙双方约定</w:t>
      </w:r>
    </w:p>
    <w:p w14:paraId="4C5DD011">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甲方应在开工前,向乙方提供经确认的施工图纸或做法说明,并向乙方进行现场交底。向乙方提供施工所需的水、电等</w:t>
      </w:r>
      <w:r>
        <w:rPr>
          <w:rFonts w:hint="eastAsia" w:ascii="宋体" w:hAnsi="宋体" w:cs="宋体"/>
          <w:color w:val="000000"/>
          <w:kern w:val="0"/>
          <w:sz w:val="24"/>
          <w:lang w:val="en-US" w:eastAsia="zh-CN"/>
        </w:rPr>
        <w:t>,费用由乙方自行承担</w:t>
      </w:r>
      <w:r>
        <w:rPr>
          <w:rFonts w:hint="eastAsia" w:ascii="宋体" w:hAnsi="宋体" w:cs="宋体"/>
          <w:color w:val="000000"/>
          <w:kern w:val="0"/>
          <w:sz w:val="24"/>
        </w:rPr>
        <w:t>,并说明使用注意事项。办理施工所涉及的各种申请、审批等手续。</w:t>
      </w:r>
    </w:p>
    <w:p w14:paraId="3A45359D">
      <w:pPr>
        <w:widowControl/>
        <w:spacing w:line="360" w:lineRule="auto"/>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2.</w:t>
      </w:r>
      <w:r>
        <w:rPr>
          <w:rFonts w:hint="eastAsia" w:ascii="宋体" w:hAnsi="宋体" w:cs="宋体"/>
          <w:color w:val="000000"/>
          <w:kern w:val="0"/>
          <w:sz w:val="24"/>
        </w:rPr>
        <w:t>乙方应严格执行施工规范、安全操作规程、防火安全规定、环境保护规定。严格按照图纸或做法说明进行施工,做好各项质量检查记录。</w:t>
      </w:r>
      <w:r>
        <w:rPr>
          <w:rFonts w:hint="eastAsia" w:ascii="宋体" w:hAnsi="宋体"/>
          <w:sz w:val="24"/>
        </w:rPr>
        <w:t>施工期间,</w:t>
      </w:r>
      <w:r>
        <w:rPr>
          <w:rFonts w:hint="eastAsia" w:ascii="宋体" w:hAnsi="宋体" w:cs="宋体"/>
          <w:color w:val="000000"/>
          <w:kern w:val="0"/>
          <w:sz w:val="24"/>
        </w:rPr>
        <w:t xml:space="preserve"> 乙方</w:t>
      </w:r>
      <w:r>
        <w:rPr>
          <w:rFonts w:hint="eastAsia" w:ascii="宋体" w:hAnsi="宋体"/>
          <w:sz w:val="24"/>
        </w:rPr>
        <w:t>发生人身安全和交通安全等大小事故，一切责任和经济补偿均由</w:t>
      </w:r>
      <w:r>
        <w:rPr>
          <w:rFonts w:hint="eastAsia" w:ascii="宋体" w:hAnsi="宋体" w:cs="宋体"/>
          <w:color w:val="000000"/>
          <w:kern w:val="0"/>
          <w:sz w:val="24"/>
        </w:rPr>
        <w:t>乙方</w:t>
      </w:r>
      <w:r>
        <w:rPr>
          <w:rFonts w:hint="eastAsia" w:ascii="宋体" w:hAnsi="宋体"/>
          <w:sz w:val="24"/>
        </w:rPr>
        <w:t>负责。</w:t>
      </w:r>
    </w:p>
    <w:p w14:paraId="755E093F">
      <w:pPr>
        <w:widowControl/>
        <w:spacing w:line="360" w:lineRule="auto"/>
        <w:ind w:firstLine="480"/>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乙方应遵守国家或地方政府及有关部门对施工现场管理的规定,妥善保护好施工现场周围建筑物、设备管线不受损坏。做好施工现场保卫和</w:t>
      </w:r>
      <w:r>
        <w:rPr>
          <w:rFonts w:hint="eastAsia" w:ascii="宋体" w:hAnsi="宋体" w:cs="宋体"/>
          <w:color w:val="000000"/>
          <w:kern w:val="0"/>
          <w:sz w:val="24"/>
          <w:highlight w:val="none"/>
        </w:rPr>
        <w:t>垃圾</w:t>
      </w:r>
      <w:r>
        <w:rPr>
          <w:rFonts w:hint="eastAsia" w:ascii="宋体" w:hAnsi="宋体" w:cs="宋体"/>
          <w:color w:val="000000"/>
          <w:kern w:val="0"/>
          <w:sz w:val="24"/>
          <w:highlight w:val="none"/>
          <w:lang w:eastAsia="zh-CN"/>
        </w:rPr>
        <w:t>消纳</w:t>
      </w:r>
      <w:r>
        <w:rPr>
          <w:rFonts w:hint="eastAsia" w:ascii="宋体" w:hAnsi="宋体" w:cs="宋体"/>
          <w:color w:val="000000"/>
          <w:kern w:val="0"/>
          <w:sz w:val="24"/>
          <w:highlight w:val="none"/>
        </w:rPr>
        <w:t>等</w:t>
      </w:r>
      <w:r>
        <w:rPr>
          <w:rFonts w:hint="eastAsia" w:ascii="宋体" w:hAnsi="宋体" w:cs="宋体"/>
          <w:color w:val="000000"/>
          <w:kern w:val="0"/>
          <w:sz w:val="24"/>
        </w:rPr>
        <w:t>工作。</w:t>
      </w:r>
    </w:p>
    <w:p w14:paraId="1B248DE6">
      <w:pPr>
        <w:widowControl/>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本工程工期为</w:t>
      </w:r>
      <w:r>
        <w:rPr>
          <w:rFonts w:hint="eastAsia" w:ascii="宋体" w:hAnsi="宋体" w:cs="宋体"/>
          <w:color w:val="auto"/>
          <w:sz w:val="24"/>
          <w:highlight w:val="none"/>
          <w:lang w:val="en-US" w:eastAsia="zh-CN"/>
        </w:rPr>
        <w:t xml:space="preserve"> 180日历天</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rPr>
        <w:t>, 每延迟一天罚</w:t>
      </w:r>
      <w:r>
        <w:rPr>
          <w:rFonts w:hint="eastAsia" w:ascii="宋体" w:hAnsi="宋体" w:eastAsia="宋体" w:cs="宋体"/>
          <w:sz w:val="24"/>
          <w:szCs w:val="24"/>
          <w:lang w:val="en-US" w:eastAsia="zh-CN"/>
        </w:rPr>
        <w:t>10</w:t>
      </w:r>
      <w:r>
        <w:rPr>
          <w:rFonts w:hint="eastAsia" w:ascii="宋体" w:hAnsi="宋体" w:eastAsia="宋体" w:cs="宋体"/>
          <w:sz w:val="24"/>
          <w:szCs w:val="24"/>
        </w:rPr>
        <w:t>00元，限额为合同总价的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%。如果实际施工工期提前于合同工期，甲方不给予奖励。如因甲方原因造成工期延误，工期顺延。</w:t>
      </w:r>
      <w:r>
        <w:rPr>
          <w:rFonts w:hint="eastAsia" w:ascii="宋体" w:hAnsi="宋体" w:eastAsia="宋体" w:cs="宋体"/>
          <w:color w:val="000000"/>
          <w:kern w:val="0"/>
          <w:sz w:val="24"/>
          <w:szCs w:val="24"/>
        </w:rPr>
        <w:t>乙方应按约定完成施工任务。</w:t>
      </w:r>
    </w:p>
    <w:p w14:paraId="45FE5120">
      <w:pPr>
        <w:spacing w:line="360" w:lineRule="auto"/>
        <w:ind w:firstLine="477" w:firstLineChars="199"/>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sz w:val="24"/>
          <w:szCs w:val="24"/>
        </w:rPr>
        <w:t>双方约定工期顺延的其他情况：对以下原因造成竣工日期推迟的，经甲方确认后，工期延长由双方协商解决：</w:t>
      </w:r>
    </w:p>
    <w:p w14:paraId="34D453A6">
      <w:pPr>
        <w:spacing w:line="360" w:lineRule="auto"/>
        <w:ind w:firstLine="420"/>
        <w:rPr>
          <w:rFonts w:hint="eastAsia" w:ascii="宋体" w:hAnsi="宋体" w:eastAsia="宋体" w:cs="宋体"/>
          <w:color w:val="000000"/>
          <w:sz w:val="24"/>
          <w:szCs w:val="24"/>
        </w:rPr>
      </w:pPr>
      <w:r>
        <w:rPr>
          <w:rFonts w:hint="eastAsia" w:ascii="宋体" w:hAnsi="宋体" w:eastAsia="宋体" w:cs="宋体"/>
          <w:sz w:val="24"/>
          <w:szCs w:val="24"/>
        </w:rPr>
        <w:t>（1）由甲方原因造成的工期延误；（2）不可抗力原因造成的工期延误；（3）其它原因造成的工期延误由承包方负责；</w:t>
      </w:r>
      <w:r>
        <w:rPr>
          <w:rFonts w:hint="eastAsia" w:ascii="宋体" w:hAnsi="宋体" w:eastAsia="宋体" w:cs="宋体"/>
          <w:color w:val="000000"/>
          <w:sz w:val="24"/>
          <w:szCs w:val="24"/>
        </w:rPr>
        <w:t>（4）工期延误除双方协商工期签证外，所产生的任何费用不计。</w:t>
      </w:r>
    </w:p>
    <w:p w14:paraId="592702DF">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本工程质量应达到国家质量评定合格标准。</w:t>
      </w:r>
      <w:r>
        <w:rPr>
          <w:rFonts w:hint="eastAsia" w:ascii="宋体" w:hAnsi="宋体" w:eastAsia="宋体" w:cs="宋体"/>
          <w:sz w:val="24"/>
          <w:szCs w:val="24"/>
        </w:rPr>
        <w:t>如达不到约定的质量标准，甲方可要求乙方返工，直至达到约定的质量标准，并由乙方承担返工的一切费用，返工后仍达不到约定的质量标准，由乙方承担违约责任，并按合同总价格</w:t>
      </w:r>
      <w:r>
        <w:rPr>
          <w:rFonts w:hint="eastAsia" w:ascii="宋体" w:hAnsi="宋体" w:eastAsia="宋体" w:cs="宋体"/>
          <w:sz w:val="24"/>
          <w:szCs w:val="24"/>
          <w:lang w:val="en-US" w:eastAsia="zh-CN"/>
        </w:rPr>
        <w:t>2.5</w:t>
      </w:r>
      <w:r>
        <w:rPr>
          <w:rFonts w:hint="eastAsia" w:ascii="宋体" w:hAnsi="宋体" w:eastAsia="宋体" w:cs="宋体"/>
          <w:sz w:val="24"/>
          <w:szCs w:val="24"/>
        </w:rPr>
        <w:t>%支付赔偿金。</w:t>
      </w:r>
    </w:p>
    <w:p w14:paraId="5187D44C">
      <w:pPr>
        <w:spacing w:line="360" w:lineRule="auto"/>
        <w:ind w:firstLine="480" w:firstLineChars="200"/>
        <w:rPr>
          <w:rFonts w:ascii="宋体" w:hAnsi="宋体"/>
          <w:b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sz w:val="24"/>
          <w:szCs w:val="24"/>
        </w:rPr>
        <w:t>因甲方原因达不到约定的质量标准时，由甲方承担返工的经济支出，工期相应顺延。</w:t>
      </w:r>
    </w:p>
    <w:p w14:paraId="579687B6">
      <w:pPr>
        <w:pStyle w:val="7"/>
        <w:spacing w:before="120" w:after="120" w:line="440" w:lineRule="exact"/>
        <w:rPr>
          <w:rFonts w:hint="default" w:ascii="宋体" w:hAnsi="宋体" w:eastAsia="宋体"/>
          <w:b/>
          <w:bCs w:val="0"/>
          <w:sz w:val="24"/>
          <w:szCs w:val="24"/>
          <w:lang w:val="en-US" w:eastAsia="zh-CN"/>
        </w:rPr>
      </w:pPr>
      <w:r>
        <w:rPr>
          <w:rFonts w:hint="eastAsia" w:ascii="宋体" w:hAnsi="宋体"/>
          <w:b/>
          <w:bCs w:val="0"/>
          <w:sz w:val="24"/>
          <w:szCs w:val="24"/>
          <w:lang w:val="en-US" w:eastAsia="zh-CN"/>
        </w:rPr>
        <w:t>八</w:t>
      </w:r>
      <w:r>
        <w:rPr>
          <w:rFonts w:ascii="宋体" w:hAnsi="宋体"/>
          <w:b/>
          <w:bCs w:val="0"/>
          <w:sz w:val="24"/>
          <w:szCs w:val="24"/>
        </w:rPr>
        <w:t>、</w:t>
      </w:r>
      <w:bookmarkEnd w:id="44"/>
      <w:r>
        <w:rPr>
          <w:rFonts w:hint="eastAsia" w:ascii="宋体" w:hAnsi="宋体"/>
          <w:b/>
          <w:bCs w:val="0"/>
          <w:sz w:val="24"/>
          <w:szCs w:val="24"/>
          <w:lang w:val="en-US" w:eastAsia="zh-CN"/>
        </w:rPr>
        <w:t>其他相关要求</w:t>
      </w:r>
    </w:p>
    <w:p w14:paraId="15107E26">
      <w:pPr>
        <w:widowControl/>
        <w:spacing w:line="360" w:lineRule="auto"/>
        <w:ind w:firstLine="480" w:firstLineChars="200"/>
        <w:rPr>
          <w:rFonts w:hint="eastAsia" w:ascii="宋体" w:hAnsi="宋体"/>
          <w:sz w:val="24"/>
        </w:rPr>
      </w:pPr>
      <w:bookmarkStart w:id="45" w:name="_Toc351203488"/>
      <w:r>
        <w:rPr>
          <w:rFonts w:hint="eastAsia" w:ascii="宋体" w:hAnsi="宋体" w:cs="宋体"/>
          <w:color w:val="000000"/>
          <w:kern w:val="0"/>
          <w:sz w:val="24"/>
          <w:lang w:val="en-US" w:eastAsia="zh-CN"/>
        </w:rPr>
        <w:t>1.</w:t>
      </w:r>
      <w:r>
        <w:rPr>
          <w:rFonts w:hint="eastAsia" w:ascii="宋体" w:hAnsi="宋体" w:cs="宋体"/>
          <w:color w:val="000000"/>
          <w:kern w:val="0"/>
          <w:sz w:val="24"/>
        </w:rPr>
        <w:t>用于</w:t>
      </w:r>
      <w:r>
        <w:rPr>
          <w:rFonts w:hint="eastAsia" w:ascii="宋体" w:hAnsi="宋体"/>
          <w:sz w:val="24"/>
        </w:rPr>
        <w:t>本工程所用材料品质必须是正品，质量必须合格</w:t>
      </w:r>
      <w:r>
        <w:rPr>
          <w:rFonts w:hint="eastAsia" w:ascii="宋体" w:hAnsi="宋体"/>
          <w:szCs w:val="21"/>
        </w:rPr>
        <w:t>，</w:t>
      </w:r>
      <w:r>
        <w:rPr>
          <w:rFonts w:hint="eastAsia" w:ascii="宋体" w:hAnsi="宋体"/>
          <w:sz w:val="24"/>
        </w:rPr>
        <w:t>并应符合施工和验收规范要求，进场后应按规定验收和试验、鉴定合格后方可使用于工程。</w:t>
      </w:r>
    </w:p>
    <w:p w14:paraId="2175B38B">
      <w:pPr>
        <w:widowControl/>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施工单位对防治扬尘污染的管理按《东阳市建设工程扬尘污染防治管理办法》（东政发（2015）45号）文件执行。</w:t>
      </w:r>
    </w:p>
    <w:p w14:paraId="29592A71">
      <w:pPr>
        <w:spacing w:line="440" w:lineRule="exact"/>
        <w:rPr>
          <w:rFonts w:hint="eastAsia" w:ascii="宋体" w:hAnsi="宋体" w:eastAsia="宋体" w:cs="宋体"/>
          <w:b/>
          <w:bCs/>
          <w:sz w:val="24"/>
          <w:szCs w:val="28"/>
        </w:rPr>
      </w:pPr>
      <w:r>
        <w:rPr>
          <w:rFonts w:hint="eastAsia" w:ascii="宋体" w:hAnsi="宋体" w:eastAsia="宋体" w:cs="宋体"/>
          <w:b/>
          <w:bCs/>
          <w:sz w:val="24"/>
          <w:szCs w:val="28"/>
          <w:lang w:val="en-US" w:eastAsia="zh-CN"/>
        </w:rPr>
        <w:t>九、</w:t>
      </w:r>
      <w:r>
        <w:rPr>
          <w:rFonts w:hint="eastAsia" w:ascii="宋体" w:hAnsi="宋体" w:eastAsia="宋体" w:cs="宋体"/>
          <w:b/>
          <w:bCs/>
          <w:sz w:val="24"/>
          <w:szCs w:val="28"/>
        </w:rPr>
        <w:t>工程</w:t>
      </w:r>
      <w:r>
        <w:rPr>
          <w:rFonts w:hint="eastAsia" w:ascii="宋体" w:hAnsi="宋体" w:eastAsia="宋体" w:cs="宋体"/>
          <w:b/>
          <w:bCs/>
          <w:sz w:val="24"/>
          <w:szCs w:val="28"/>
          <w:lang w:val="en-US" w:eastAsia="zh-CN"/>
        </w:rPr>
        <w:t>质保期及</w:t>
      </w:r>
      <w:r>
        <w:rPr>
          <w:rFonts w:hint="eastAsia" w:ascii="宋体" w:hAnsi="宋体" w:eastAsia="宋体" w:cs="宋体"/>
          <w:b/>
          <w:bCs/>
          <w:sz w:val="24"/>
          <w:szCs w:val="28"/>
        </w:rPr>
        <w:t>保修：</w:t>
      </w:r>
    </w:p>
    <w:p w14:paraId="6BF55498">
      <w:pPr>
        <w:spacing w:line="440" w:lineRule="exact"/>
        <w:ind w:firstLine="480" w:firstLineChars="200"/>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1.施工质保期</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u w:val="none"/>
          <w:lang w:val="en-US" w:eastAsia="zh-CN"/>
        </w:rPr>
        <w:t>年</w:t>
      </w:r>
      <w:r>
        <w:rPr>
          <w:rFonts w:hint="eastAsia" w:ascii="宋体" w:hAnsi="宋体" w:eastAsia="宋体" w:cs="宋体"/>
          <w:sz w:val="24"/>
          <w:szCs w:val="28"/>
          <w:lang w:val="en-US" w:eastAsia="zh-CN"/>
        </w:rPr>
        <w:t>，自验收合格之日起计算。</w:t>
      </w:r>
    </w:p>
    <w:p w14:paraId="6D00D8ED">
      <w:pPr>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2.</w:t>
      </w:r>
      <w:r>
        <w:rPr>
          <w:rFonts w:hint="eastAsia" w:ascii="宋体" w:hAnsi="宋体" w:eastAsia="宋体" w:cs="宋体"/>
          <w:sz w:val="24"/>
          <w:szCs w:val="28"/>
        </w:rPr>
        <w:t>全部合同工程竣工后，仍由</w:t>
      </w:r>
      <w:r>
        <w:rPr>
          <w:rFonts w:hint="eastAsia" w:ascii="宋体" w:hAnsi="宋体" w:eastAsia="宋体" w:cs="宋体"/>
          <w:sz w:val="24"/>
          <w:szCs w:val="28"/>
          <w:lang w:val="en-US" w:eastAsia="zh-CN"/>
        </w:rPr>
        <w:t>乙</w:t>
      </w:r>
      <w:r>
        <w:rPr>
          <w:rFonts w:hint="eastAsia" w:ascii="宋体" w:hAnsi="宋体" w:eastAsia="宋体" w:cs="宋体"/>
          <w:sz w:val="24"/>
          <w:szCs w:val="28"/>
        </w:rPr>
        <w:t>方对工程质量实施保修，保修责任和办法按建设部《建设工程质量管理条例》执行。</w:t>
      </w:r>
    </w:p>
    <w:bookmarkEnd w:id="45"/>
    <w:p w14:paraId="3182A44E">
      <w:pPr>
        <w:spacing w:line="440" w:lineRule="exact"/>
        <w:rPr>
          <w:rFonts w:hint="eastAsia" w:ascii="宋体" w:hAnsi="宋体" w:eastAsia="宋体" w:cs="Times New Roman"/>
          <w:b/>
          <w:sz w:val="24"/>
          <w:szCs w:val="24"/>
        </w:rPr>
      </w:pPr>
      <w:r>
        <w:rPr>
          <w:rFonts w:hint="eastAsia" w:ascii="宋体" w:hAnsi="宋体" w:eastAsia="宋体" w:cs="Times New Roman"/>
          <w:b/>
          <w:sz w:val="24"/>
          <w:szCs w:val="24"/>
          <w:lang w:val="en-US" w:eastAsia="zh-CN"/>
        </w:rPr>
        <w:t>十</w:t>
      </w:r>
      <w:r>
        <w:rPr>
          <w:rFonts w:hint="eastAsia" w:ascii="宋体" w:hAnsi="宋体" w:eastAsia="宋体" w:cs="Times New Roman"/>
          <w:b/>
          <w:sz w:val="24"/>
          <w:szCs w:val="24"/>
        </w:rPr>
        <w:t>、转包或分包</w:t>
      </w:r>
    </w:p>
    <w:p w14:paraId="428B711D">
      <w:pPr>
        <w:spacing w:line="440" w:lineRule="exact"/>
        <w:ind w:firstLine="480" w:firstLineChars="200"/>
        <w:rPr>
          <w:rFonts w:hint="eastAsia" w:ascii="宋体" w:hAnsi="宋体" w:eastAsia="宋体" w:cs="Times New Roman"/>
          <w:b w:val="0"/>
          <w:bCs/>
          <w:sz w:val="24"/>
          <w:szCs w:val="24"/>
        </w:rPr>
      </w:pPr>
      <w:r>
        <w:rPr>
          <w:rFonts w:hint="eastAsia" w:ascii="宋体" w:hAnsi="宋体" w:eastAsia="宋体" w:cs="Times New Roman"/>
          <w:b w:val="0"/>
          <w:bCs/>
          <w:sz w:val="24"/>
          <w:szCs w:val="24"/>
        </w:rPr>
        <w:t>1</w:t>
      </w:r>
      <w:r>
        <w:rPr>
          <w:rFonts w:hint="eastAsia" w:ascii="宋体" w:hAnsi="宋体" w:eastAsia="宋体" w:cs="Times New Roman"/>
          <w:b w:val="0"/>
          <w:bCs/>
          <w:sz w:val="24"/>
          <w:szCs w:val="24"/>
          <w:lang w:val="en-US" w:eastAsia="zh-CN"/>
        </w:rPr>
        <w:t>.</w:t>
      </w:r>
      <w:r>
        <w:rPr>
          <w:rFonts w:hint="eastAsia" w:ascii="宋体" w:hAnsi="宋体" w:eastAsia="宋体" w:cs="Times New Roman"/>
          <w:b w:val="0"/>
          <w:bCs/>
          <w:sz w:val="24"/>
          <w:szCs w:val="24"/>
        </w:rPr>
        <w:t>本项目不允许转包。</w:t>
      </w:r>
    </w:p>
    <w:p w14:paraId="10E3DA3E">
      <w:pPr>
        <w:spacing w:line="440" w:lineRule="exact"/>
        <w:ind w:firstLine="480" w:firstLineChars="200"/>
        <w:rPr>
          <w:rFonts w:hint="eastAsia" w:ascii="宋体" w:hAnsi="宋体" w:eastAsia="宋体" w:cs="Times New Roman"/>
          <w:b w:val="0"/>
          <w:bCs/>
          <w:sz w:val="24"/>
          <w:szCs w:val="24"/>
        </w:rPr>
      </w:pPr>
      <w:r>
        <w:rPr>
          <w:rFonts w:hint="eastAsia" w:ascii="宋体" w:hAnsi="宋体" w:eastAsia="宋体" w:cs="Times New Roman"/>
          <w:b w:val="0"/>
          <w:bCs/>
          <w:sz w:val="24"/>
          <w:szCs w:val="24"/>
        </w:rPr>
        <w:t>2</w:t>
      </w:r>
      <w:r>
        <w:rPr>
          <w:rFonts w:hint="eastAsia" w:ascii="宋体" w:hAnsi="宋体" w:eastAsia="宋体" w:cs="Times New Roman"/>
          <w:b w:val="0"/>
          <w:bCs/>
          <w:sz w:val="24"/>
          <w:szCs w:val="24"/>
          <w:lang w:val="en-US" w:eastAsia="zh-CN"/>
        </w:rPr>
        <w:t>.</w:t>
      </w:r>
      <w:r>
        <w:rPr>
          <w:rFonts w:hint="eastAsia" w:ascii="宋体" w:hAnsi="宋体" w:eastAsia="宋体" w:cs="Times New Roman"/>
          <w:b w:val="0"/>
          <w:bCs/>
          <w:sz w:val="24"/>
          <w:szCs w:val="24"/>
        </w:rPr>
        <w:t>除非得到甲方的书面同意，乙方不得将本合同范围的</w:t>
      </w:r>
      <w:r>
        <w:rPr>
          <w:rFonts w:hint="eastAsia" w:ascii="宋体" w:hAnsi="宋体" w:cs="Times New Roman"/>
          <w:b w:val="0"/>
          <w:bCs/>
          <w:sz w:val="24"/>
          <w:szCs w:val="24"/>
          <w:lang w:val="en-US" w:eastAsia="zh-CN"/>
        </w:rPr>
        <w:t>工程</w:t>
      </w:r>
      <w:r>
        <w:rPr>
          <w:rFonts w:hint="eastAsia" w:ascii="宋体" w:hAnsi="宋体" w:eastAsia="宋体" w:cs="Times New Roman"/>
          <w:b w:val="0"/>
          <w:bCs/>
          <w:sz w:val="24"/>
          <w:szCs w:val="24"/>
        </w:rPr>
        <w:t>全部或部分分包给他人供应；</w:t>
      </w:r>
    </w:p>
    <w:p w14:paraId="106C6053">
      <w:pPr>
        <w:spacing w:line="440" w:lineRule="exact"/>
        <w:ind w:firstLine="480" w:firstLineChars="200"/>
        <w:rPr>
          <w:rFonts w:ascii="宋体" w:hAnsi="宋体" w:eastAsia="宋体" w:cs="Times New Roman"/>
          <w:b w:val="0"/>
          <w:bCs/>
          <w:sz w:val="24"/>
          <w:szCs w:val="24"/>
        </w:rPr>
      </w:pPr>
      <w:r>
        <w:rPr>
          <w:rFonts w:hint="eastAsia" w:ascii="宋体" w:hAnsi="宋体" w:eastAsia="宋体" w:cs="Times New Roman"/>
          <w:b w:val="0"/>
          <w:bCs/>
          <w:sz w:val="24"/>
          <w:szCs w:val="24"/>
        </w:rPr>
        <w:t>3</w:t>
      </w:r>
      <w:r>
        <w:rPr>
          <w:rFonts w:hint="eastAsia" w:ascii="宋体" w:hAnsi="宋体" w:eastAsia="宋体" w:cs="Times New Roman"/>
          <w:b w:val="0"/>
          <w:bCs/>
          <w:sz w:val="24"/>
          <w:szCs w:val="24"/>
          <w:lang w:val="en-US" w:eastAsia="zh-CN"/>
        </w:rPr>
        <w:t>.</w:t>
      </w:r>
      <w:r>
        <w:rPr>
          <w:rFonts w:hint="eastAsia" w:ascii="宋体" w:hAnsi="宋体" w:eastAsia="宋体" w:cs="Times New Roman"/>
          <w:b w:val="0"/>
          <w:bCs/>
          <w:sz w:val="24"/>
          <w:szCs w:val="24"/>
        </w:rPr>
        <w:t>如有转让和未经甲方同意的分包行为，甲方有权解除合同，追究乙方的违约责任。</w:t>
      </w:r>
    </w:p>
    <w:p w14:paraId="3AA7AD5F">
      <w:pPr>
        <w:spacing w:line="440" w:lineRule="exact"/>
        <w:rPr>
          <w:rFonts w:hint="eastAsia" w:ascii="宋体" w:hAnsi="宋体" w:eastAsia="宋体" w:cs="宋体"/>
          <w:b/>
          <w:bCs w:val="0"/>
          <w:sz w:val="24"/>
          <w:szCs w:val="28"/>
        </w:rPr>
      </w:pPr>
      <w:r>
        <w:rPr>
          <w:rFonts w:ascii="宋体" w:hAnsi="宋体"/>
          <w:b/>
          <w:bCs w:val="0"/>
          <w:sz w:val="24"/>
          <w:szCs w:val="24"/>
        </w:rPr>
        <w:t xml:space="preserve"> </w:t>
      </w:r>
      <w:r>
        <w:rPr>
          <w:rFonts w:hint="eastAsia" w:ascii="宋体" w:hAnsi="宋体" w:eastAsia="宋体" w:cs="宋体"/>
          <w:b/>
          <w:bCs w:val="0"/>
          <w:sz w:val="24"/>
          <w:szCs w:val="28"/>
        </w:rPr>
        <w:t>十</w:t>
      </w:r>
      <w:r>
        <w:rPr>
          <w:rFonts w:hint="eastAsia" w:ascii="宋体" w:hAnsi="宋体" w:eastAsia="宋体" w:cs="宋体"/>
          <w:b/>
          <w:bCs w:val="0"/>
          <w:sz w:val="24"/>
          <w:szCs w:val="28"/>
          <w:lang w:val="en-US" w:eastAsia="zh-CN"/>
        </w:rPr>
        <w:t>一</w:t>
      </w:r>
      <w:r>
        <w:rPr>
          <w:rFonts w:hint="eastAsia" w:ascii="宋体" w:hAnsi="宋体" w:eastAsia="宋体" w:cs="宋体"/>
          <w:b/>
          <w:bCs w:val="0"/>
          <w:sz w:val="24"/>
          <w:szCs w:val="28"/>
        </w:rPr>
        <w:t>、不可抗力事件处理</w:t>
      </w:r>
    </w:p>
    <w:p w14:paraId="1289AFF0">
      <w:pPr>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1.</w:t>
      </w:r>
      <w:r>
        <w:rPr>
          <w:rFonts w:hint="eastAsia" w:ascii="宋体" w:hAnsi="宋体" w:eastAsia="宋体" w:cs="宋体"/>
          <w:sz w:val="24"/>
          <w:szCs w:val="28"/>
        </w:rPr>
        <w:t>在合同有效期内，任何一方因不可抗力事件导致不能履行合同，则合同履行期可延长，其延长期与不可抗力影响期相同。</w:t>
      </w:r>
    </w:p>
    <w:p w14:paraId="4114B7D2">
      <w:pPr>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sz w:val="24"/>
          <w:szCs w:val="28"/>
          <w:lang w:val="en-US" w:eastAsia="zh-CN"/>
        </w:rPr>
        <w:t>.</w:t>
      </w:r>
      <w:r>
        <w:rPr>
          <w:rFonts w:hint="eastAsia" w:ascii="宋体" w:hAnsi="宋体" w:eastAsia="宋体" w:cs="宋体"/>
          <w:sz w:val="24"/>
          <w:szCs w:val="28"/>
        </w:rPr>
        <w:t>不可抗力事件发生后，应立即通知对方，并寄送有关权威机构出具的证明。</w:t>
      </w:r>
    </w:p>
    <w:p w14:paraId="414CE652">
      <w:pPr>
        <w:spacing w:line="440" w:lineRule="exact"/>
        <w:ind w:firstLine="480" w:firstLineChars="200"/>
        <w:rPr>
          <w:rFonts w:ascii="宋体" w:hAnsi="宋体" w:eastAsia="宋体" w:cs="Times New Roman"/>
          <w:bCs/>
          <w:sz w:val="24"/>
          <w:szCs w:val="24"/>
        </w:rPr>
      </w:pPr>
      <w:r>
        <w:rPr>
          <w:rFonts w:hint="eastAsia" w:ascii="宋体" w:hAnsi="宋体" w:eastAsia="宋体" w:cs="宋体"/>
          <w:sz w:val="24"/>
          <w:szCs w:val="28"/>
        </w:rPr>
        <w:t>3</w:t>
      </w:r>
      <w:r>
        <w:rPr>
          <w:rFonts w:hint="eastAsia" w:ascii="宋体" w:hAnsi="宋体" w:eastAsia="宋体" w:cs="宋体"/>
          <w:sz w:val="24"/>
          <w:szCs w:val="28"/>
          <w:lang w:val="en-US" w:eastAsia="zh-CN"/>
        </w:rPr>
        <w:t>.</w:t>
      </w:r>
      <w:r>
        <w:rPr>
          <w:rFonts w:hint="eastAsia" w:ascii="宋体" w:hAnsi="宋体" w:eastAsia="宋体" w:cs="宋体"/>
          <w:sz w:val="24"/>
          <w:szCs w:val="28"/>
        </w:rPr>
        <w:t>不可抗力事件延续120天以上，双方应通过友好协商，确定是否继续履行合同。</w:t>
      </w:r>
    </w:p>
    <w:p w14:paraId="78247504">
      <w:pPr>
        <w:autoSpaceDE w:val="0"/>
        <w:snapToGrid w:val="0"/>
        <w:spacing w:line="440" w:lineRule="exact"/>
        <w:ind w:firstLine="241" w:firstLineChars="100"/>
        <w:jc w:val="left"/>
        <w:rPr>
          <w:rFonts w:hint="eastAsia" w:ascii="宋体" w:hAnsi="宋体" w:eastAsia="宋体" w:cs="Times New Roman"/>
          <w:b/>
          <w:bCs w:val="0"/>
          <w:sz w:val="24"/>
          <w:szCs w:val="24"/>
          <w:highlight w:val="none"/>
        </w:rPr>
      </w:pPr>
      <w:r>
        <w:rPr>
          <w:rFonts w:hint="eastAsia" w:ascii="宋体" w:hAnsi="宋体" w:eastAsia="宋体" w:cs="Times New Roman"/>
          <w:b/>
          <w:bCs w:val="0"/>
          <w:sz w:val="24"/>
          <w:szCs w:val="24"/>
        </w:rPr>
        <w:t>十</w:t>
      </w:r>
      <w:r>
        <w:rPr>
          <w:rFonts w:hint="eastAsia" w:ascii="宋体" w:hAnsi="宋体" w:eastAsia="宋体" w:cs="Times New Roman"/>
          <w:b/>
          <w:bCs w:val="0"/>
          <w:sz w:val="24"/>
          <w:szCs w:val="24"/>
          <w:lang w:val="en-US" w:eastAsia="zh-CN"/>
        </w:rPr>
        <w:t>二</w:t>
      </w:r>
      <w:r>
        <w:rPr>
          <w:rFonts w:hint="eastAsia" w:ascii="宋体" w:hAnsi="宋体" w:eastAsia="宋体" w:cs="Times New Roman"/>
          <w:b/>
          <w:bCs w:val="0"/>
          <w:sz w:val="24"/>
          <w:szCs w:val="24"/>
        </w:rPr>
        <w:t>、合同生效及其它</w:t>
      </w:r>
    </w:p>
    <w:p w14:paraId="1534ABBD">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highlight w:val="none"/>
        </w:rPr>
        <w:t>1.合同经双方法定代表人或授权代表签字并加盖单位公章，</w:t>
      </w:r>
      <w:r>
        <w:rPr>
          <w:rFonts w:hint="eastAsia" w:ascii="宋体" w:hAnsi="宋体"/>
          <w:sz w:val="24"/>
        </w:rPr>
        <w:t>报东阳市财政局采购办备案</w:t>
      </w:r>
      <w:r>
        <w:rPr>
          <w:rFonts w:hint="eastAsia" w:ascii="宋体" w:hAnsi="宋体"/>
          <w:sz w:val="24"/>
          <w:lang w:val="en-US" w:eastAsia="zh-CN"/>
        </w:rPr>
        <w:t>后</w:t>
      </w:r>
      <w:r>
        <w:rPr>
          <w:rFonts w:hint="eastAsia" w:ascii="宋体" w:hAnsi="宋体" w:cs="Times New Roman"/>
          <w:bCs/>
          <w:sz w:val="24"/>
          <w:szCs w:val="24"/>
          <w:highlight w:val="none"/>
          <w:lang w:val="en-US" w:eastAsia="zh-CN"/>
        </w:rPr>
        <w:t>生效</w:t>
      </w:r>
      <w:r>
        <w:rPr>
          <w:rFonts w:hint="eastAsia" w:ascii="宋体" w:hAnsi="宋体" w:eastAsia="宋体" w:cs="Times New Roman"/>
          <w:bCs/>
          <w:sz w:val="24"/>
          <w:szCs w:val="24"/>
        </w:rPr>
        <w:t>。</w:t>
      </w:r>
    </w:p>
    <w:p w14:paraId="408C7B6F">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2.合同执行中涉及采购资金和采购内容修改或补充的，须经财政部门审批，并签书面补充协议报政府采购监督管理部门备案，方可作为主合同不可分割的一部分。</w:t>
      </w:r>
    </w:p>
    <w:p w14:paraId="1ABB583D">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3.本合同未尽事宜，遵照《中华人民共和国民法典》有关条文执行。</w:t>
      </w:r>
    </w:p>
    <w:p w14:paraId="5B202A23">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4.本合同正本一式五份，甲方两份，</w:t>
      </w:r>
      <w:r>
        <w:rPr>
          <w:rFonts w:hint="eastAsia" w:ascii="宋体" w:hAnsi="宋体"/>
          <w:sz w:val="24"/>
        </w:rPr>
        <w:t>招标代理机构</w:t>
      </w:r>
      <w:r>
        <w:rPr>
          <w:rFonts w:hint="eastAsia" w:ascii="宋体" w:hAnsi="宋体" w:eastAsia="宋体" w:cs="Times New Roman"/>
          <w:bCs/>
          <w:sz w:val="24"/>
          <w:szCs w:val="24"/>
        </w:rPr>
        <w:t>、乙方、东阳市财政局采购办各执一份，具有同等法律效力。</w:t>
      </w:r>
    </w:p>
    <w:p w14:paraId="7BC1ECC3">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5、声明：本合同样本仅供参考，甲乙双方可就</w:t>
      </w:r>
      <w:r>
        <w:rPr>
          <w:rFonts w:hint="eastAsia" w:ascii="宋体" w:hAnsi="宋体" w:eastAsia="宋体" w:cs="Times New Roman"/>
          <w:bCs/>
          <w:sz w:val="24"/>
          <w:szCs w:val="24"/>
          <w:lang w:eastAsia="zh-CN"/>
        </w:rPr>
        <w:t>竞争性磋商</w:t>
      </w:r>
      <w:r>
        <w:rPr>
          <w:rFonts w:hint="eastAsia" w:ascii="宋体" w:hAnsi="宋体" w:eastAsia="宋体" w:cs="Times New Roman"/>
          <w:bCs/>
          <w:sz w:val="24"/>
          <w:szCs w:val="24"/>
        </w:rPr>
        <w:t>文件的非实质性条款进行修改，但不能修改项目的工期、单价、付款方式、品牌型号、质保期等实质性条款，甲乙双方对合同的真实性负责，鉴证方只负责鉴证项目招标的真实性。</w:t>
      </w:r>
    </w:p>
    <w:p w14:paraId="7F6C6554">
      <w:pPr>
        <w:spacing w:before="120" w:after="120" w:line="400" w:lineRule="exact"/>
        <w:rPr>
          <w:rFonts w:hint="eastAsia" w:ascii="宋体" w:hAnsi="宋体" w:eastAsia="宋体" w:cs="Times New Roman"/>
          <w:b/>
          <w:bCs/>
          <w:sz w:val="24"/>
          <w:szCs w:val="24"/>
        </w:rPr>
      </w:pPr>
      <w:r>
        <w:rPr>
          <w:rFonts w:hint="eastAsia" w:ascii="宋体" w:hAnsi="宋体" w:eastAsia="宋体" w:cs="Times New Roman"/>
          <w:b/>
          <w:bCs/>
          <w:sz w:val="24"/>
          <w:szCs w:val="24"/>
        </w:rPr>
        <w:t xml:space="preserve"> </w:t>
      </w:r>
    </w:p>
    <w:p w14:paraId="2471B733">
      <w:pPr>
        <w:snapToGrid w:val="0"/>
        <w:spacing w:line="360" w:lineRule="auto"/>
        <w:rPr>
          <w:rFonts w:ascii="宋体"/>
          <w:sz w:val="24"/>
        </w:rPr>
      </w:pPr>
      <w:r>
        <w:rPr>
          <w:rFonts w:hint="eastAsia" w:ascii="宋体" w:hAnsi="宋体"/>
          <w:b/>
          <w:sz w:val="24"/>
        </w:rPr>
        <w:t>甲方（公章）：</w:t>
      </w:r>
      <w:r>
        <w:rPr>
          <w:rFonts w:ascii="宋体" w:hAnsi="宋体"/>
          <w:b/>
          <w:sz w:val="24"/>
        </w:rPr>
        <w:t xml:space="preserve">        </w:t>
      </w:r>
      <w:r>
        <w:rPr>
          <w:rFonts w:hint="eastAsia" w:ascii="宋体" w:hAnsi="宋体"/>
          <w:b/>
          <w:sz w:val="24"/>
          <w:lang w:val="en-US" w:eastAsia="zh-CN"/>
        </w:rPr>
        <w:t xml:space="preserve">             </w:t>
      </w:r>
      <w:r>
        <w:rPr>
          <w:rFonts w:hint="eastAsia" w:ascii="宋体" w:hAnsi="宋体"/>
          <w:b/>
          <w:sz w:val="24"/>
        </w:rPr>
        <w:t>乙方（公章）：</w:t>
      </w:r>
    </w:p>
    <w:p w14:paraId="3C707E41">
      <w:pPr>
        <w:snapToGrid w:val="0"/>
        <w:spacing w:line="360" w:lineRule="auto"/>
        <w:rPr>
          <w:rFonts w:ascii="宋体"/>
          <w:sz w:val="24"/>
        </w:rPr>
      </w:pPr>
      <w:r>
        <w:rPr>
          <w:rFonts w:hint="eastAsia" w:ascii="宋体" w:hAnsi="宋体"/>
          <w:sz w:val="24"/>
        </w:rPr>
        <w:t>法定代表人或受委托人</w:t>
      </w:r>
      <w:r>
        <w:rPr>
          <w:rFonts w:ascii="宋体" w:hAnsi="宋体"/>
          <w:sz w:val="24"/>
        </w:rPr>
        <w:t xml:space="preserve">               </w:t>
      </w:r>
      <w:r>
        <w:rPr>
          <w:rFonts w:hint="eastAsia" w:ascii="宋体" w:hAnsi="宋体"/>
          <w:sz w:val="24"/>
        </w:rPr>
        <w:t>法定代表人或受委托人</w:t>
      </w:r>
    </w:p>
    <w:p w14:paraId="21C67C05">
      <w:pPr>
        <w:snapToGrid w:val="0"/>
        <w:spacing w:line="360" w:lineRule="auto"/>
        <w:rPr>
          <w:rFonts w:ascii="宋体"/>
          <w:sz w:val="24"/>
        </w:rPr>
      </w:pPr>
      <w:r>
        <w:rPr>
          <w:rFonts w:hint="eastAsia" w:ascii="宋体" w:hAnsi="宋体"/>
          <w:sz w:val="24"/>
        </w:rPr>
        <w:t>（签字）</w:t>
      </w:r>
      <w:r>
        <w:rPr>
          <w:rFonts w:ascii="宋体" w:hAnsi="宋体"/>
          <w:sz w:val="24"/>
        </w:rPr>
        <w:t xml:space="preserve">                            </w:t>
      </w:r>
      <w:r>
        <w:rPr>
          <w:rFonts w:hint="eastAsia" w:ascii="宋体" w:hAnsi="宋体"/>
          <w:sz w:val="24"/>
        </w:rPr>
        <w:t>（签字）</w:t>
      </w:r>
    </w:p>
    <w:p w14:paraId="104409BB">
      <w:pPr>
        <w:snapToGrid w:val="0"/>
        <w:spacing w:line="360" w:lineRule="auto"/>
        <w:rPr>
          <w:rFonts w:ascii="宋体"/>
          <w:sz w:val="24"/>
        </w:rPr>
      </w:pPr>
      <w:r>
        <w:rPr>
          <w:rFonts w:hint="eastAsia" w:ascii="宋体" w:hAnsi="宋体"/>
          <w:sz w:val="24"/>
        </w:rPr>
        <w:t>地址：</w:t>
      </w:r>
      <w:r>
        <w:rPr>
          <w:rFonts w:ascii="宋体" w:hAnsi="宋体"/>
          <w:sz w:val="24"/>
        </w:rPr>
        <w:t xml:space="preserve">                             </w:t>
      </w:r>
      <w:r>
        <w:rPr>
          <w:rFonts w:hint="eastAsia" w:ascii="宋体" w:hAnsi="宋体"/>
          <w:sz w:val="24"/>
        </w:rPr>
        <w:t>地址：</w:t>
      </w:r>
    </w:p>
    <w:p w14:paraId="3AFC98D9">
      <w:pPr>
        <w:snapToGrid w:val="0"/>
        <w:spacing w:line="360" w:lineRule="auto"/>
        <w:rPr>
          <w:rFonts w:ascii="宋体"/>
          <w:sz w:val="24"/>
        </w:rPr>
      </w:pPr>
      <w:r>
        <w:rPr>
          <w:rFonts w:hint="eastAsia" w:ascii="宋体" w:hAnsi="宋体"/>
          <w:sz w:val="24"/>
        </w:rPr>
        <w:t>邮编：</w:t>
      </w:r>
      <w:r>
        <w:rPr>
          <w:rFonts w:ascii="宋体" w:hAnsi="宋体"/>
          <w:sz w:val="24"/>
        </w:rPr>
        <w:t xml:space="preserve">                             </w:t>
      </w:r>
      <w:r>
        <w:rPr>
          <w:rFonts w:hint="eastAsia" w:ascii="宋体" w:hAnsi="宋体"/>
          <w:sz w:val="24"/>
        </w:rPr>
        <w:t>邮编：</w:t>
      </w:r>
    </w:p>
    <w:p w14:paraId="79E82908">
      <w:pPr>
        <w:snapToGrid w:val="0"/>
        <w:spacing w:line="360" w:lineRule="auto"/>
        <w:rPr>
          <w:rFonts w:ascii="宋体"/>
          <w:sz w:val="24"/>
        </w:rPr>
      </w:pPr>
      <w:r>
        <w:rPr>
          <w:rFonts w:hint="eastAsia" w:ascii="宋体" w:hAnsi="宋体"/>
          <w:sz w:val="24"/>
        </w:rPr>
        <w:t>电话：</w:t>
      </w:r>
      <w:r>
        <w:rPr>
          <w:rFonts w:ascii="宋体" w:hAnsi="宋体"/>
          <w:sz w:val="24"/>
        </w:rPr>
        <w:t xml:space="preserve">                             </w:t>
      </w:r>
      <w:r>
        <w:rPr>
          <w:rFonts w:hint="eastAsia" w:ascii="宋体" w:hAnsi="宋体"/>
          <w:sz w:val="24"/>
        </w:rPr>
        <w:t>电话：</w:t>
      </w:r>
    </w:p>
    <w:p w14:paraId="339D88FC">
      <w:pPr>
        <w:snapToGrid w:val="0"/>
        <w:spacing w:line="360" w:lineRule="auto"/>
        <w:rPr>
          <w:rFonts w:ascii="宋体"/>
          <w:sz w:val="24"/>
        </w:rPr>
      </w:pPr>
      <w:r>
        <w:rPr>
          <w:rFonts w:hint="eastAsia" w:ascii="宋体" w:hAnsi="宋体"/>
          <w:sz w:val="24"/>
        </w:rPr>
        <w:t>传真：</w:t>
      </w:r>
      <w:r>
        <w:rPr>
          <w:rFonts w:ascii="宋体" w:hAnsi="宋体"/>
          <w:sz w:val="24"/>
        </w:rPr>
        <w:t xml:space="preserve">                             </w:t>
      </w:r>
      <w:r>
        <w:rPr>
          <w:rFonts w:hint="eastAsia" w:ascii="宋体" w:hAnsi="宋体"/>
          <w:sz w:val="24"/>
        </w:rPr>
        <w:t>传真：</w:t>
      </w:r>
    </w:p>
    <w:p w14:paraId="574C166D">
      <w:pPr>
        <w:snapToGrid w:val="0"/>
        <w:spacing w:line="360" w:lineRule="auto"/>
        <w:rPr>
          <w:rFonts w:ascii="宋体"/>
          <w:b/>
          <w:bCs/>
          <w:szCs w:val="21"/>
        </w:rPr>
      </w:pPr>
      <w:r>
        <w:rPr>
          <w:rFonts w:hint="eastAsia" w:ascii="宋体" w:hAnsi="宋体"/>
          <w:sz w:val="24"/>
        </w:rPr>
        <w:t>户名：</w:t>
      </w:r>
      <w:r>
        <w:rPr>
          <w:rFonts w:ascii="宋体" w:hAnsi="宋体"/>
          <w:sz w:val="24"/>
        </w:rPr>
        <w:t xml:space="preserve">                             </w:t>
      </w:r>
      <w:r>
        <w:rPr>
          <w:rFonts w:hint="eastAsia" w:ascii="宋体" w:hAnsi="宋体"/>
          <w:sz w:val="24"/>
        </w:rPr>
        <w:t>户名：</w:t>
      </w:r>
    </w:p>
    <w:p w14:paraId="2B6ACD4F">
      <w:pPr>
        <w:snapToGrid w:val="0"/>
        <w:spacing w:line="360" w:lineRule="auto"/>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14:paraId="258836B3">
      <w:pPr>
        <w:snapToGrid w:val="0"/>
        <w:spacing w:line="360" w:lineRule="auto"/>
        <w:rPr>
          <w:rFonts w:hAnsi="宋体" w:cs="宋体"/>
        </w:rPr>
      </w:pPr>
      <w:r>
        <w:rPr>
          <w:rFonts w:hint="eastAsia" w:ascii="宋体" w:hAnsi="宋体"/>
          <w:sz w:val="24"/>
        </w:rPr>
        <w:t>帐号：</w:t>
      </w:r>
      <w:r>
        <w:rPr>
          <w:rFonts w:ascii="宋体" w:hAnsi="宋体"/>
          <w:sz w:val="24"/>
        </w:rPr>
        <w:t xml:space="preserve">                             </w:t>
      </w:r>
      <w:r>
        <w:rPr>
          <w:rFonts w:hint="eastAsia" w:ascii="宋体" w:hAnsi="宋体"/>
          <w:sz w:val="24"/>
        </w:rPr>
        <w:t>帐号：</w:t>
      </w:r>
    </w:p>
    <w:p w14:paraId="1D43F15A">
      <w:pPr>
        <w:snapToGrid w:val="0"/>
        <w:spacing w:line="276" w:lineRule="auto"/>
        <w:rPr>
          <w:rFonts w:ascii="宋体"/>
          <w:sz w:val="24"/>
        </w:rPr>
      </w:pPr>
    </w:p>
    <w:p w14:paraId="5E9B4420">
      <w:pPr>
        <w:snapToGrid w:val="0"/>
        <w:spacing w:line="276" w:lineRule="auto"/>
        <w:rPr>
          <w:rFonts w:hint="eastAsia" w:ascii="黑体" w:hAnsi="宋体" w:eastAsia="黑体"/>
          <w:sz w:val="32"/>
          <w:szCs w:val="32"/>
        </w:rPr>
      </w:pPr>
      <w:r>
        <w:rPr>
          <w:rFonts w:hint="eastAsia" w:ascii="宋体" w:hAnsi="宋体"/>
          <w:sz w:val="24"/>
        </w:rPr>
        <w:t>签约地点：</w:t>
      </w:r>
      <w:r>
        <w:rPr>
          <w:rFonts w:ascii="宋体" w:hAnsi="宋体"/>
          <w:sz w:val="24"/>
        </w:rPr>
        <w:t xml:space="preserve">                          </w:t>
      </w:r>
      <w:r>
        <w:rPr>
          <w:rFonts w:hint="eastAsia" w:ascii="宋体" w:hAnsi="宋体"/>
          <w:sz w:val="24"/>
        </w:rPr>
        <w:t>签约时间：</w:t>
      </w:r>
    </w:p>
    <w:p w14:paraId="2C8459F3">
      <w:pPr>
        <w:rPr>
          <w:rFonts w:hAnsi="宋体"/>
        </w:rPr>
      </w:pPr>
    </w:p>
    <w:p w14:paraId="02323F90"/>
    <w:p w14:paraId="3AE5B044">
      <w:pPr>
        <w:spacing w:line="360" w:lineRule="auto"/>
        <w:rPr>
          <w:rFonts w:hint="eastAsia" w:ascii="宋体" w:hAnsi="宋体"/>
          <w:sz w:val="24"/>
        </w:rPr>
      </w:pPr>
    </w:p>
    <w:p w14:paraId="73C68C29">
      <w:pPr>
        <w:spacing w:line="360" w:lineRule="auto"/>
        <w:rPr>
          <w:rFonts w:hint="eastAsia" w:ascii="宋体" w:hAnsi="宋体"/>
          <w:sz w:val="24"/>
        </w:rPr>
      </w:pPr>
      <w:r>
        <w:rPr>
          <w:rFonts w:hint="eastAsia" w:ascii="宋体" w:hAnsi="宋体"/>
          <w:sz w:val="24"/>
        </w:rPr>
        <w:t>鉴证方:</w:t>
      </w:r>
    </w:p>
    <w:p w14:paraId="02E12E2A">
      <w:pPr>
        <w:spacing w:line="360" w:lineRule="auto"/>
        <w:rPr>
          <w:rFonts w:hint="eastAsia" w:ascii="宋体" w:hAnsi="宋体"/>
          <w:sz w:val="24"/>
        </w:rPr>
      </w:pPr>
      <w:r>
        <w:rPr>
          <w:rFonts w:hint="eastAsia" w:ascii="宋体" w:hAnsi="宋体"/>
          <w:sz w:val="24"/>
        </w:rPr>
        <w:t>法定代表人或主要负责人:</w:t>
      </w:r>
    </w:p>
    <w:p w14:paraId="5004D37A">
      <w:pPr>
        <w:adjustRightInd w:val="0"/>
        <w:spacing w:line="400" w:lineRule="exact"/>
        <w:ind w:firstLine="420"/>
        <w:jc w:val="both"/>
        <w:rPr>
          <w:rFonts w:hint="eastAsia" w:ascii="宋体" w:hAnsi="宋体" w:eastAsia="宋体" w:cs="Times New Roman"/>
          <w:b/>
          <w:sz w:val="32"/>
          <w:szCs w:val="32"/>
        </w:rPr>
      </w:pPr>
      <w:r>
        <w:rPr>
          <w:rFonts w:hint="eastAsia" w:ascii="宋体" w:hAnsi="宋体"/>
          <w:sz w:val="24"/>
        </w:rPr>
        <w:br w:type="page"/>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Times New Roman"/>
          <w:b/>
          <w:sz w:val="32"/>
          <w:szCs w:val="32"/>
        </w:rPr>
        <w:t>工程质量保修书</w:t>
      </w:r>
    </w:p>
    <w:p w14:paraId="082A0F31">
      <w:pPr>
        <w:spacing w:line="360" w:lineRule="exact"/>
        <w:jc w:val="center"/>
        <w:rPr>
          <w:rFonts w:hint="eastAsia" w:ascii="宋体" w:hAnsi="宋体" w:eastAsia="宋体" w:cs="Times New Roman"/>
          <w:b/>
          <w:sz w:val="24"/>
        </w:rPr>
      </w:pPr>
      <w:r>
        <w:rPr>
          <w:rFonts w:hint="eastAsia" w:ascii="宋体" w:hAnsi="宋体" w:eastAsia="宋体" w:cs="Times New Roman"/>
          <w:b/>
          <w:sz w:val="24"/>
        </w:rPr>
        <w:t xml:space="preserve"> </w:t>
      </w:r>
    </w:p>
    <w:p w14:paraId="3A6C02AD">
      <w:pPr>
        <w:pStyle w:val="22"/>
        <w:spacing w:line="480" w:lineRule="exact"/>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甲方</w:t>
      </w:r>
      <w:r>
        <w:rPr>
          <w:rFonts w:ascii="Times New Roman" w:hAnsi="Times New Roman" w:eastAsia="宋体" w:cs="Times New Roman"/>
          <w:sz w:val="24"/>
          <w:szCs w:val="24"/>
        </w:rPr>
        <w:t>（全称）：</w:t>
      </w:r>
      <w:r>
        <w:rPr>
          <w:rFonts w:hint="eastAsia" w:ascii="Times New Roman" w:hAnsi="Times New Roman" w:eastAsia="宋体" w:cs="Times New Roman"/>
          <w:sz w:val="24"/>
          <w:szCs w:val="24"/>
          <w:u w:val="single"/>
          <w:lang w:val="en-US" w:eastAsia="zh-CN"/>
        </w:rPr>
        <w:t xml:space="preserve">                </w:t>
      </w:r>
    </w:p>
    <w:p w14:paraId="40D37F2B">
      <w:pPr>
        <w:spacing w:line="400" w:lineRule="exact"/>
        <w:ind w:firstLine="480" w:firstLineChars="200"/>
        <w:rPr>
          <w:rFonts w:hint="eastAsia" w:ascii="宋体" w:hAnsi="宋体" w:eastAsia="宋体" w:cs="Times New Roman"/>
          <w:sz w:val="24"/>
          <w:u w:val="single"/>
          <w:lang w:eastAsia="zh-CN"/>
        </w:rPr>
      </w:pPr>
      <w:r>
        <w:rPr>
          <w:rFonts w:hint="eastAsia" w:ascii="宋体" w:hAnsi="宋体" w:eastAsia="宋体" w:cs="Times New Roman"/>
          <w:sz w:val="24"/>
          <w:lang w:val="en-US" w:eastAsia="zh-CN"/>
        </w:rPr>
        <w:t>乙方</w:t>
      </w:r>
      <w:r>
        <w:rPr>
          <w:rFonts w:hint="eastAsia" w:ascii="宋体" w:hAnsi="宋体" w:eastAsia="宋体" w:cs="Times New Roman"/>
          <w:sz w:val="24"/>
        </w:rPr>
        <w:t>（全称）：</w:t>
      </w:r>
      <w:r>
        <w:rPr>
          <w:rFonts w:hint="eastAsia" w:ascii="宋体" w:hAnsi="宋体" w:eastAsia="宋体" w:cs="Times New Roman"/>
          <w:sz w:val="24"/>
          <w:u w:val="single"/>
          <w:lang w:val="en-US" w:eastAsia="zh-CN"/>
        </w:rPr>
        <w:t xml:space="preserve">               </w:t>
      </w:r>
      <w:r>
        <w:rPr>
          <w:rFonts w:hint="eastAsia" w:ascii="宋体" w:hAnsi="Courier New" w:eastAsia="宋体" w:cs="宋体"/>
          <w:kern w:val="2"/>
          <w:sz w:val="24"/>
          <w:szCs w:val="24"/>
          <w:u w:val="single"/>
          <w:lang w:val="en-US" w:eastAsia="zh-CN" w:bidi="ar-SA"/>
        </w:rPr>
        <w:t xml:space="preserve"> </w:t>
      </w:r>
    </w:p>
    <w:p w14:paraId="2E8EB363">
      <w:pPr>
        <w:spacing w:line="400" w:lineRule="exact"/>
        <w:ind w:firstLine="480" w:firstLineChars="200"/>
        <w:rPr>
          <w:rFonts w:ascii="宋体" w:hAnsi="宋体" w:eastAsia="宋体" w:cs="Times New Roman"/>
          <w:b/>
          <w:sz w:val="24"/>
        </w:rPr>
      </w:pPr>
      <w:r>
        <w:rPr>
          <w:rFonts w:hint="eastAsia" w:ascii="宋体" w:hAnsi="宋体" w:eastAsia="宋体" w:cs="Times New Roman"/>
          <w:sz w:val="24"/>
          <w:lang w:val="en-US" w:eastAsia="zh-CN"/>
        </w:rPr>
        <w:t>甲方</w:t>
      </w:r>
      <w:r>
        <w:rPr>
          <w:rFonts w:hint="eastAsia" w:ascii="宋体" w:hAnsi="宋体" w:eastAsia="宋体" w:cs="Times New Roman"/>
          <w:sz w:val="24"/>
        </w:rPr>
        <w:t>、</w:t>
      </w:r>
      <w:r>
        <w:rPr>
          <w:rFonts w:hint="eastAsia" w:ascii="宋体" w:hAnsi="宋体" w:eastAsia="宋体" w:cs="Times New Roman"/>
          <w:sz w:val="24"/>
          <w:lang w:val="en-US" w:eastAsia="zh-CN"/>
        </w:rPr>
        <w:t>乙方</w:t>
      </w:r>
      <w:r>
        <w:rPr>
          <w:rFonts w:hint="eastAsia" w:ascii="宋体" w:hAnsi="宋体" w:eastAsia="宋体" w:cs="Times New Roman"/>
          <w:sz w:val="24"/>
        </w:rPr>
        <w:t>根据《中华人民共和国建筑法》、《建设工程质量管理条例》和《房屋建筑工程质量保修办法》，经协商一致，对</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签订工程质量保修书。</w:t>
      </w:r>
    </w:p>
    <w:p w14:paraId="72CE4B6C">
      <w:pPr>
        <w:spacing w:line="400" w:lineRule="exact"/>
        <w:ind w:firstLine="573"/>
        <w:rPr>
          <w:rFonts w:ascii="宋体" w:hAnsi="宋体" w:eastAsia="宋体" w:cs="Times New Roman"/>
          <w:b/>
          <w:sz w:val="24"/>
        </w:rPr>
      </w:pPr>
      <w:r>
        <w:rPr>
          <w:rFonts w:hint="eastAsia" w:ascii="宋体" w:hAnsi="宋体" w:eastAsia="宋体" w:cs="Times New Roman"/>
          <w:b/>
          <w:sz w:val="24"/>
        </w:rPr>
        <w:t>一、工程质量保修范围和内容</w:t>
      </w:r>
    </w:p>
    <w:p w14:paraId="48E0C2A3">
      <w:pPr>
        <w:pStyle w:val="24"/>
        <w:spacing w:line="400" w:lineRule="exact"/>
        <w:rPr>
          <w:rFonts w:hint="eastAsia" w:ascii="宋体" w:hAnsi="宋体" w:eastAsia="宋体" w:cs="Times New Roman"/>
          <w:sz w:val="24"/>
        </w:rPr>
      </w:pPr>
      <w:r>
        <w:rPr>
          <w:rFonts w:hint="eastAsia" w:ascii="宋体" w:hAnsi="宋体" w:eastAsia="宋体" w:cs="Times New Roman"/>
          <w:sz w:val="24"/>
          <w:lang w:val="en-US" w:eastAsia="zh-CN"/>
        </w:rPr>
        <w:t>乙方</w:t>
      </w:r>
      <w:r>
        <w:rPr>
          <w:rFonts w:hint="eastAsia" w:ascii="宋体" w:hAnsi="宋体" w:eastAsia="宋体" w:cs="Times New Roman"/>
          <w:sz w:val="24"/>
        </w:rPr>
        <w:t>在质量保修期内，按照有关法律、法规、规章规定和双方约定，承担本工程质量保修责任。</w:t>
      </w:r>
    </w:p>
    <w:p w14:paraId="6D12E037">
      <w:pPr>
        <w:spacing w:line="360" w:lineRule="auto"/>
        <w:ind w:left="0" w:leftChars="0" w:firstLine="420" w:firstLineChars="0"/>
        <w:rPr>
          <w:rFonts w:hint="eastAsia" w:ascii="宋体" w:hAnsi="宋体" w:eastAsia="宋体" w:cs="Times New Roman"/>
          <w:sz w:val="24"/>
        </w:rPr>
      </w:pPr>
      <w:r>
        <w:rPr>
          <w:rFonts w:hint="eastAsia" w:ascii="宋体" w:hAnsi="宋体" w:eastAsia="宋体" w:cs="Times New Roman"/>
          <w:sz w:val="24"/>
        </w:rPr>
        <w:t>质量保修范围</w:t>
      </w:r>
      <w:r>
        <w:rPr>
          <w:rFonts w:hint="eastAsia" w:ascii="宋体" w:hAnsi="宋体" w:eastAsia="宋体" w:cs="Times New Roman"/>
          <w:color w:val="auto"/>
          <w:sz w:val="24"/>
          <w:lang w:eastAsia="zh-CN"/>
        </w:rPr>
        <w:t>（本工程图纸设计及预算书范围内）</w:t>
      </w:r>
      <w:r>
        <w:rPr>
          <w:rFonts w:hint="eastAsia" w:ascii="宋体" w:hAnsi="宋体" w:eastAsia="宋体" w:cs="Times New Roman"/>
          <w:sz w:val="24"/>
        </w:rPr>
        <w:t>包含</w:t>
      </w:r>
      <w:r>
        <w:rPr>
          <w:rFonts w:hint="eastAsia" w:ascii="宋体" w:hAnsi="宋体" w:eastAsia="宋体" w:cs="Times New Roman"/>
          <w:kern w:val="2"/>
          <w:sz w:val="24"/>
          <w:szCs w:val="20"/>
          <w:u w:val="single"/>
          <w:lang w:val="en-US" w:eastAsia="zh-CN" w:bidi="ar-SA"/>
        </w:rPr>
        <w:t xml:space="preserve">      </w:t>
      </w:r>
      <w:r>
        <w:rPr>
          <w:rFonts w:hint="eastAsia" w:ascii="Times New Roman" w:hAnsi="Times New Roman" w:eastAsia="宋体" w:cs="Times New Roman"/>
          <w:sz w:val="24"/>
          <w:u w:val="single"/>
          <w:lang w:eastAsia="zh-CN"/>
        </w:rPr>
        <w:t>等</w:t>
      </w:r>
      <w:r>
        <w:rPr>
          <w:rFonts w:hint="eastAsia" w:ascii="宋体" w:hAnsi="宋体" w:eastAsia="宋体" w:cs="Times New Roman"/>
          <w:sz w:val="24"/>
          <w:u w:val="none"/>
          <w:lang w:val="zh-CN"/>
        </w:rPr>
        <w:t>，</w:t>
      </w:r>
      <w:r>
        <w:rPr>
          <w:rFonts w:hint="eastAsia" w:ascii="宋体" w:hAnsi="宋体" w:eastAsia="宋体" w:cs="Times New Roman"/>
          <w:sz w:val="24"/>
        </w:rPr>
        <w:t>以及双方约定的其他项目。具体保修的内容，双方约定如下：</w:t>
      </w:r>
    </w:p>
    <w:p w14:paraId="38726B10">
      <w:pPr>
        <w:pStyle w:val="13"/>
        <w:spacing w:line="400" w:lineRule="exact"/>
        <w:rPr>
          <w:rFonts w:hint="eastAsia" w:ascii="宋体" w:hAnsi="宋体" w:eastAsia="宋体" w:cs="Times New Roman"/>
          <w:sz w:val="24"/>
        </w:rPr>
      </w:pPr>
      <w:r>
        <w:rPr>
          <w:rFonts w:hint="eastAsia" w:ascii="宋体" w:hAnsi="宋体" w:eastAsia="宋体" w:cs="Times New Roman"/>
          <w:sz w:val="24"/>
          <w:u w:val="single"/>
        </w:rPr>
        <w:t>按国家及省市现行有关条例执行。</w:t>
      </w:r>
    </w:p>
    <w:p w14:paraId="2B7BAE7C">
      <w:pPr>
        <w:spacing w:line="400" w:lineRule="exact"/>
        <w:ind w:firstLine="573"/>
        <w:rPr>
          <w:rFonts w:ascii="宋体" w:hAnsi="宋体" w:eastAsia="宋体" w:cs="Times New Roman"/>
          <w:b/>
          <w:sz w:val="24"/>
        </w:rPr>
      </w:pPr>
      <w:r>
        <w:rPr>
          <w:rFonts w:hint="eastAsia" w:ascii="宋体" w:hAnsi="宋体" w:eastAsia="宋体" w:cs="Times New Roman"/>
          <w:b/>
          <w:sz w:val="24"/>
        </w:rPr>
        <w:t>二、质量保修期</w:t>
      </w:r>
    </w:p>
    <w:p w14:paraId="1794634E">
      <w:pPr>
        <w:spacing w:line="400" w:lineRule="exact"/>
        <w:ind w:firstLine="573"/>
        <w:rPr>
          <w:rFonts w:ascii="宋体" w:hAnsi="宋体" w:eastAsia="宋体" w:cs="Times New Roman"/>
          <w:sz w:val="24"/>
        </w:rPr>
      </w:pPr>
      <w:r>
        <w:rPr>
          <w:rFonts w:hint="eastAsia" w:ascii="宋体" w:hAnsi="宋体" w:eastAsia="宋体" w:cs="Times New Roman"/>
          <w:sz w:val="24"/>
        </w:rPr>
        <w:t>双方根据《建设工程质量管理条例》及有关规定，约定本工程的质量保修期如下：</w:t>
      </w:r>
    </w:p>
    <w:p w14:paraId="7872A884">
      <w:pPr>
        <w:spacing w:line="400" w:lineRule="exact"/>
        <w:ind w:firstLine="573"/>
        <w:rPr>
          <w:rFonts w:hint="eastAsia" w:ascii="宋体" w:hAnsi="宋体" w:eastAsia="宋体" w:cs="Times New Roman"/>
          <w:sz w:val="24"/>
          <w:lang w:val="en-US" w:eastAsia="zh-CN"/>
        </w:rPr>
      </w:pPr>
      <w:r>
        <w:rPr>
          <w:rFonts w:hint="eastAsia" w:ascii="宋体" w:hAnsi="宋体" w:eastAsia="宋体" w:cs="Times New Roman"/>
          <w:sz w:val="24"/>
        </w:rPr>
        <w:t>1、</w:t>
      </w:r>
      <w:r>
        <w:rPr>
          <w:rFonts w:hint="eastAsia" w:ascii="宋体" w:hAnsi="宋体" w:eastAsia="宋体" w:cs="Times New Roman"/>
          <w:sz w:val="24"/>
          <w:lang w:val="en-US" w:eastAsia="zh-CN"/>
        </w:rPr>
        <w:t>本工程为</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年；</w:t>
      </w:r>
    </w:p>
    <w:p w14:paraId="17E81D1D">
      <w:pPr>
        <w:spacing w:line="400" w:lineRule="exact"/>
        <w:ind w:firstLine="573"/>
        <w:rPr>
          <w:rFonts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、其他项目保修期限约定如下：</w:t>
      </w:r>
      <w:r>
        <w:rPr>
          <w:rFonts w:hint="eastAsia" w:ascii="宋体" w:hAnsi="宋体" w:eastAsia="宋体" w:cs="Times New Roman"/>
          <w:sz w:val="24"/>
          <w:u w:val="single"/>
        </w:rPr>
        <w:t>按国家及省市现有条例执行</w:t>
      </w:r>
      <w:r>
        <w:rPr>
          <w:rFonts w:hint="eastAsia" w:ascii="宋体" w:hAnsi="宋体" w:eastAsia="宋体" w:cs="Times New Roman"/>
          <w:sz w:val="24"/>
        </w:rPr>
        <w:t>。</w:t>
      </w:r>
    </w:p>
    <w:p w14:paraId="06CE2A60">
      <w:pPr>
        <w:spacing w:line="400" w:lineRule="exact"/>
        <w:ind w:firstLine="573"/>
        <w:rPr>
          <w:rFonts w:ascii="宋体" w:hAnsi="宋体" w:eastAsia="宋体" w:cs="Times New Roman"/>
          <w:b/>
          <w:sz w:val="24"/>
        </w:rPr>
      </w:pPr>
      <w:r>
        <w:rPr>
          <w:rFonts w:hint="eastAsia" w:ascii="宋体" w:hAnsi="宋体" w:eastAsia="宋体" w:cs="Times New Roman"/>
          <w:b/>
          <w:sz w:val="24"/>
        </w:rPr>
        <w:t>三、质量保修责任</w:t>
      </w:r>
    </w:p>
    <w:p w14:paraId="33B3423B">
      <w:pPr>
        <w:spacing w:line="400" w:lineRule="exact"/>
        <w:ind w:firstLine="573"/>
        <w:rPr>
          <w:rFonts w:ascii="宋体" w:hAnsi="宋体" w:eastAsia="宋体" w:cs="Times New Roman"/>
          <w:sz w:val="24"/>
        </w:rPr>
      </w:pPr>
      <w:r>
        <w:rPr>
          <w:rFonts w:hint="eastAsia" w:ascii="宋体" w:hAnsi="宋体" w:eastAsia="宋体" w:cs="Times New Roman"/>
          <w:sz w:val="24"/>
        </w:rPr>
        <w:t>1、属于保修范围、内容的项目，承包人应当在接到保修通知之日起7天内派人保修。承包人不在约定期限内派人保修的，发包人可以委托他人修理。</w:t>
      </w:r>
    </w:p>
    <w:p w14:paraId="61D6AD80">
      <w:pPr>
        <w:spacing w:line="400" w:lineRule="exact"/>
        <w:ind w:firstLine="573"/>
        <w:rPr>
          <w:rFonts w:ascii="宋体" w:hAnsi="宋体" w:eastAsia="宋体" w:cs="Times New Roman"/>
          <w:sz w:val="24"/>
        </w:rPr>
      </w:pPr>
      <w:r>
        <w:rPr>
          <w:rFonts w:hint="eastAsia" w:ascii="宋体" w:hAnsi="宋体" w:eastAsia="宋体" w:cs="Times New Roman"/>
          <w:sz w:val="24"/>
        </w:rPr>
        <w:t>2、发生紧急抢修事故的，承包人在接到事故通知后，应当立即到达事故现场抢修。</w:t>
      </w:r>
    </w:p>
    <w:p w14:paraId="557E3D01">
      <w:pPr>
        <w:spacing w:line="400" w:lineRule="exact"/>
        <w:ind w:firstLine="573"/>
        <w:rPr>
          <w:rFonts w:ascii="宋体" w:hAnsi="宋体" w:eastAsia="宋体" w:cs="Times New Roman"/>
          <w:sz w:val="24"/>
        </w:rPr>
      </w:pPr>
      <w:r>
        <w:rPr>
          <w:rFonts w:hint="eastAsia" w:ascii="宋体" w:hAnsi="宋体" w:eastAsia="宋体" w:cs="Times New Roman"/>
          <w:sz w:val="24"/>
        </w:rPr>
        <w:t>3、对于涉及结构安全的质量问题，应当按照《建设工程质量管理条例》的规定，立即向当地建设行政主管部门报告，采取安全防范措施；由原设计单位或者具有相应资质等级的设计单位提出保修方案，承包人实施保修。</w:t>
      </w:r>
    </w:p>
    <w:p w14:paraId="231AA493">
      <w:pPr>
        <w:spacing w:line="400" w:lineRule="exact"/>
        <w:ind w:firstLine="573"/>
        <w:rPr>
          <w:rFonts w:ascii="宋体" w:hAnsi="宋体" w:eastAsia="宋体" w:cs="Times New Roman"/>
          <w:sz w:val="24"/>
        </w:rPr>
      </w:pPr>
      <w:r>
        <w:rPr>
          <w:rFonts w:hint="eastAsia" w:ascii="宋体" w:hAnsi="宋体" w:eastAsia="宋体" w:cs="Times New Roman"/>
          <w:sz w:val="24"/>
        </w:rPr>
        <w:t>4、质量保修完成后，由发包人组织验收。</w:t>
      </w:r>
    </w:p>
    <w:p w14:paraId="48880D93">
      <w:pPr>
        <w:spacing w:line="400" w:lineRule="exact"/>
        <w:rPr>
          <w:rFonts w:ascii="宋体" w:hAnsi="宋体" w:eastAsia="宋体" w:cs="Times New Roman"/>
          <w:b/>
          <w:sz w:val="24"/>
        </w:rPr>
      </w:pPr>
      <w:r>
        <w:rPr>
          <w:rFonts w:hint="eastAsia" w:ascii="宋体" w:hAnsi="宋体" w:eastAsia="宋体" w:cs="Times New Roman"/>
          <w:b/>
          <w:sz w:val="24"/>
        </w:rPr>
        <w:t>四、保修费用</w:t>
      </w:r>
    </w:p>
    <w:p w14:paraId="4AC11B3B">
      <w:pPr>
        <w:spacing w:line="400" w:lineRule="exact"/>
        <w:ind w:firstLine="573"/>
        <w:rPr>
          <w:rFonts w:ascii="宋体" w:hAnsi="宋体" w:eastAsia="宋体" w:cs="Times New Roman"/>
          <w:sz w:val="24"/>
        </w:rPr>
      </w:pPr>
      <w:r>
        <w:rPr>
          <w:rFonts w:hint="eastAsia" w:ascii="宋体" w:hAnsi="宋体" w:eastAsia="宋体" w:cs="Times New Roman"/>
          <w:sz w:val="24"/>
        </w:rPr>
        <w:t>保修费用由造成质量缺陷的责任方承担。</w:t>
      </w:r>
    </w:p>
    <w:p w14:paraId="5949B3C6">
      <w:pPr>
        <w:spacing w:line="400" w:lineRule="exact"/>
        <w:rPr>
          <w:rFonts w:ascii="宋体" w:hAnsi="宋体" w:eastAsia="宋体" w:cs="Times New Roman"/>
          <w:b/>
          <w:sz w:val="24"/>
        </w:rPr>
      </w:pPr>
      <w:r>
        <w:rPr>
          <w:rFonts w:hint="eastAsia" w:ascii="宋体" w:hAnsi="宋体" w:eastAsia="宋体" w:cs="Times New Roman"/>
          <w:b/>
          <w:sz w:val="24"/>
        </w:rPr>
        <w:t>五、其他</w:t>
      </w:r>
    </w:p>
    <w:p w14:paraId="070C0AFA">
      <w:pPr>
        <w:spacing w:line="400" w:lineRule="exact"/>
        <w:ind w:firstLine="573"/>
        <w:rPr>
          <w:rFonts w:hint="eastAsia" w:ascii="宋体" w:hAnsi="宋体" w:eastAsia="宋体" w:cs="Times New Roman"/>
          <w:b/>
          <w:bCs/>
          <w:sz w:val="24"/>
          <w:u w:val="single"/>
          <w:lang w:val="en-US" w:eastAsia="zh-CN"/>
        </w:rPr>
      </w:pPr>
      <w:r>
        <w:rPr>
          <w:rFonts w:hint="eastAsia" w:ascii="宋体" w:hAnsi="宋体" w:eastAsia="宋体" w:cs="Times New Roman"/>
          <w:sz w:val="24"/>
        </w:rPr>
        <w:t>双方约定的其他工程质量保修事项：</w:t>
      </w:r>
      <w:r>
        <w:rPr>
          <w:rFonts w:hint="eastAsia" w:ascii="宋体" w:hAnsi="宋体" w:eastAsia="宋体" w:cs="Times New Roman"/>
          <w:b/>
          <w:sz w:val="24"/>
          <w:u w:val="single"/>
          <w:lang w:val="en-US" w:eastAsia="zh-CN"/>
        </w:rPr>
        <w:t xml:space="preserve"> /</w:t>
      </w:r>
      <w:r>
        <w:rPr>
          <w:rFonts w:hint="eastAsia" w:ascii="宋体" w:hAnsi="宋体" w:eastAsia="宋体" w:cs="Times New Roman"/>
          <w:b/>
          <w:sz w:val="24"/>
          <w:u w:val="single"/>
        </w:rPr>
        <w:t>。</w:t>
      </w:r>
    </w:p>
    <w:p w14:paraId="1EC04A14">
      <w:pPr>
        <w:spacing w:line="400" w:lineRule="exact"/>
        <w:ind w:firstLine="600" w:firstLineChars="250"/>
        <w:rPr>
          <w:rFonts w:ascii="宋体" w:hAnsi="宋体" w:eastAsia="宋体" w:cs="Times New Roman"/>
          <w:sz w:val="24"/>
        </w:rPr>
      </w:pPr>
      <w:r>
        <w:rPr>
          <w:rFonts w:hint="eastAsia" w:ascii="宋体" w:hAnsi="宋体" w:eastAsia="宋体" w:cs="Times New Roman"/>
          <w:sz w:val="24"/>
        </w:rPr>
        <w:t>本工程质量保修书，由施工合同双方在竣工验收前共同签署，作为施工合同附件，其有效期限至保修期满。</w:t>
      </w:r>
    </w:p>
    <w:p w14:paraId="5D847FAF">
      <w:pPr>
        <w:spacing w:line="400" w:lineRule="exact"/>
        <w:rPr>
          <w:rFonts w:ascii="宋体" w:hAnsi="宋体" w:eastAsia="宋体" w:cs="Times New Roman"/>
          <w:sz w:val="24"/>
        </w:rPr>
      </w:pPr>
      <w:r>
        <w:rPr>
          <w:rFonts w:hint="eastAsia" w:ascii="宋体" w:hAnsi="宋体" w:eastAsia="宋体" w:cs="Times New Roman"/>
          <w:sz w:val="24"/>
        </w:rPr>
        <w:t xml:space="preserve">     </w:t>
      </w:r>
    </w:p>
    <w:p w14:paraId="63A9B3EE">
      <w:pPr>
        <w:spacing w:line="400" w:lineRule="exact"/>
        <w:rPr>
          <w:rFonts w:ascii="宋体" w:hAnsi="宋体" w:eastAsia="宋体" w:cs="Times New Roman"/>
          <w:sz w:val="24"/>
        </w:rPr>
      </w:pPr>
    </w:p>
    <w:p w14:paraId="3C0370CB">
      <w:pPr>
        <w:spacing w:line="400" w:lineRule="exact"/>
        <w:rPr>
          <w:rFonts w:ascii="宋体" w:hAnsi="宋体" w:eastAsia="宋体" w:cs="Times New Roman"/>
          <w:sz w:val="24"/>
        </w:rPr>
      </w:pPr>
    </w:p>
    <w:p w14:paraId="2830C05D">
      <w:pPr>
        <w:spacing w:line="400" w:lineRule="exact"/>
        <w:ind w:firstLine="360" w:firstLineChars="150"/>
        <w:rPr>
          <w:rFonts w:ascii="宋体" w:hAnsi="宋体" w:eastAsia="宋体" w:cs="Times New Roman"/>
          <w:sz w:val="24"/>
        </w:rPr>
      </w:pPr>
      <w:r>
        <w:rPr>
          <w:rFonts w:hint="eastAsia" w:ascii="宋体" w:hAnsi="宋体" w:eastAsia="宋体" w:cs="Times New Roman"/>
          <w:sz w:val="24"/>
          <w:lang w:val="en-US" w:eastAsia="zh-CN"/>
        </w:rPr>
        <w:t>甲方</w:t>
      </w:r>
      <w:r>
        <w:rPr>
          <w:rFonts w:ascii="宋体" w:hAnsi="宋体" w:eastAsia="宋体" w:cs="Times New Roman"/>
          <w:sz w:val="24"/>
        </w:rPr>
        <w:t>：（公章）　</w:t>
      </w:r>
      <w:r>
        <w:rPr>
          <w:rFonts w:hint="eastAsia" w:ascii="宋体" w:hAnsi="宋体" w:eastAsia="宋体" w:cs="Times New Roman"/>
          <w:sz w:val="24"/>
        </w:rPr>
        <w:t xml:space="preserve"> </w:t>
      </w:r>
      <w:r>
        <w:rPr>
          <w:rFonts w:ascii="宋体" w:hAnsi="宋体" w:eastAsia="宋体" w:cs="Times New Roman"/>
          <w:sz w:val="24"/>
        </w:rPr>
        <w:t>　</w:t>
      </w:r>
      <w:r>
        <w:rPr>
          <w:rFonts w:hint="eastAsia" w:ascii="宋体" w:hAnsi="宋体" w:eastAsia="宋体" w:cs="Times New Roman"/>
          <w:sz w:val="24"/>
        </w:rPr>
        <w:t xml:space="preserve">     </w:t>
      </w:r>
      <w:r>
        <w:rPr>
          <w:rFonts w:ascii="宋体" w:hAnsi="宋体" w:eastAsia="宋体" w:cs="Times New Roman"/>
          <w:sz w:val="24"/>
        </w:rPr>
        <w:t>　</w:t>
      </w:r>
      <w:r>
        <w:rPr>
          <w:rFonts w:hint="eastAsia" w:ascii="宋体" w:hAnsi="宋体" w:eastAsia="宋体" w:cs="Times New Roman"/>
          <w:sz w:val="24"/>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w:t>
      </w:r>
      <w:r>
        <w:rPr>
          <w:rFonts w:hint="eastAsia" w:ascii="宋体" w:hAnsi="宋体" w:eastAsia="宋体" w:cs="Times New Roman"/>
          <w:sz w:val="24"/>
          <w:lang w:val="en-US" w:eastAsia="zh-CN"/>
        </w:rPr>
        <w:t>乙方</w:t>
      </w:r>
      <w:r>
        <w:rPr>
          <w:rFonts w:ascii="宋体" w:hAnsi="宋体" w:eastAsia="宋体" w:cs="Times New Roman"/>
          <w:sz w:val="24"/>
        </w:rPr>
        <w:t>：（公章）</w:t>
      </w:r>
      <w:r>
        <w:rPr>
          <w:rFonts w:hint="eastAsia" w:ascii="宋体" w:hAnsi="宋体" w:eastAsia="宋体" w:cs="Times New Roman"/>
          <w:sz w:val="24"/>
        </w:rPr>
        <w:t xml:space="preserve">        </w:t>
      </w:r>
    </w:p>
    <w:p w14:paraId="69E4E4BC">
      <w:pPr>
        <w:spacing w:line="400" w:lineRule="exact"/>
        <w:ind w:left="6239" w:leftChars="171" w:hanging="5880" w:hangingChars="2450"/>
        <w:rPr>
          <w:rFonts w:ascii="宋体" w:hAnsi="宋体" w:eastAsia="宋体" w:cs="Times New Roman"/>
          <w:sz w:val="24"/>
        </w:rPr>
      </w:pPr>
      <w:r>
        <w:rPr>
          <w:rFonts w:ascii="宋体" w:hAnsi="宋体" w:eastAsia="宋体" w:cs="Times New Roman"/>
          <w:sz w:val="24"/>
        </w:rPr>
        <w:t>住</w:t>
      </w:r>
      <w:r>
        <w:rPr>
          <w:rFonts w:hint="eastAsia" w:ascii="宋体" w:hAnsi="宋体" w:eastAsia="宋体" w:cs="Times New Roman"/>
          <w:sz w:val="24"/>
        </w:rPr>
        <w:t xml:space="preserve">  </w:t>
      </w:r>
      <w:r>
        <w:rPr>
          <w:rFonts w:ascii="宋体" w:hAnsi="宋体" w:eastAsia="宋体" w:cs="Times New Roman"/>
          <w:sz w:val="24"/>
        </w:rPr>
        <w:t>所：</w:t>
      </w:r>
      <w:r>
        <w:rPr>
          <w:rFonts w:hint="eastAsia" w:ascii="宋体" w:hAnsi="宋体" w:eastAsia="宋体" w:cs="Times New Roman"/>
          <w:sz w:val="24"/>
        </w:rPr>
        <w:t xml:space="preserve">                                住  所：</w:t>
      </w:r>
    </w:p>
    <w:p w14:paraId="590F238D">
      <w:pPr>
        <w:spacing w:line="400" w:lineRule="exact"/>
        <w:ind w:firstLine="360" w:firstLineChars="150"/>
        <w:rPr>
          <w:rFonts w:ascii="宋体" w:hAnsi="宋体" w:eastAsia="宋体" w:cs="Times New Roman"/>
          <w:sz w:val="24"/>
        </w:rPr>
      </w:pPr>
      <w:r>
        <w:rPr>
          <w:rFonts w:ascii="宋体" w:hAnsi="宋体" w:eastAsia="宋体" w:cs="Times New Roman"/>
          <w:sz w:val="24"/>
        </w:rPr>
        <w:t>法定代表人：　　　　</w:t>
      </w:r>
      <w:r>
        <w:rPr>
          <w:rFonts w:hint="eastAsia" w:ascii="宋体" w:hAnsi="宋体" w:eastAsia="宋体" w:cs="Times New Roman"/>
          <w:sz w:val="24"/>
        </w:rPr>
        <w:t xml:space="preserve">                    法定代表人：</w:t>
      </w:r>
    </w:p>
    <w:p w14:paraId="4FC470C6">
      <w:pPr>
        <w:spacing w:line="400" w:lineRule="exact"/>
        <w:ind w:firstLine="360" w:firstLineChars="150"/>
        <w:rPr>
          <w:rFonts w:ascii="宋体" w:hAnsi="宋体" w:eastAsia="宋体" w:cs="Times New Roman"/>
          <w:sz w:val="24"/>
        </w:rPr>
      </w:pPr>
      <w:r>
        <w:rPr>
          <w:rFonts w:ascii="宋体" w:hAnsi="宋体" w:eastAsia="宋体" w:cs="Times New Roman"/>
          <w:sz w:val="24"/>
        </w:rPr>
        <w:t>委托代</w:t>
      </w:r>
      <w:r>
        <w:rPr>
          <w:rFonts w:hint="eastAsia" w:ascii="宋体" w:hAnsi="宋体" w:eastAsia="宋体" w:cs="Times New Roman"/>
          <w:sz w:val="24"/>
        </w:rPr>
        <w:t>理</w:t>
      </w:r>
      <w:r>
        <w:rPr>
          <w:rFonts w:ascii="宋体" w:hAnsi="宋体" w:eastAsia="宋体" w:cs="Times New Roman"/>
          <w:sz w:val="24"/>
        </w:rPr>
        <w:t>人：　　　　</w:t>
      </w:r>
      <w:r>
        <w:rPr>
          <w:rFonts w:hint="eastAsia" w:ascii="宋体" w:hAnsi="宋体" w:eastAsia="宋体" w:cs="Times New Roman"/>
          <w:sz w:val="24"/>
        </w:rPr>
        <w:t xml:space="preserve">                    委托代理人：</w:t>
      </w:r>
    </w:p>
    <w:p w14:paraId="42809BD5">
      <w:pPr>
        <w:spacing w:line="400" w:lineRule="exact"/>
        <w:ind w:firstLine="360" w:firstLineChars="150"/>
        <w:rPr>
          <w:rFonts w:ascii="宋体" w:hAnsi="宋体" w:eastAsia="宋体" w:cs="Times New Roman"/>
          <w:sz w:val="24"/>
        </w:rPr>
      </w:pPr>
      <w:r>
        <w:rPr>
          <w:rFonts w:ascii="宋体" w:hAnsi="宋体" w:eastAsia="宋体" w:cs="Times New Roman"/>
          <w:sz w:val="24"/>
        </w:rPr>
        <w:t>电</w:t>
      </w:r>
      <w:r>
        <w:rPr>
          <w:rFonts w:hint="eastAsia" w:ascii="宋体" w:hAnsi="宋体" w:eastAsia="宋体" w:cs="Times New Roman"/>
          <w:sz w:val="24"/>
        </w:rPr>
        <w:t xml:space="preserve">  </w:t>
      </w:r>
      <w:r>
        <w:rPr>
          <w:rFonts w:ascii="宋体" w:hAnsi="宋体" w:eastAsia="宋体" w:cs="Times New Roman"/>
          <w:sz w:val="24"/>
        </w:rPr>
        <w:t>话：　　　</w:t>
      </w:r>
      <w:r>
        <w:rPr>
          <w:rFonts w:hint="eastAsia" w:ascii="宋体" w:hAnsi="宋体" w:eastAsia="宋体" w:cs="Times New Roman"/>
          <w:sz w:val="24"/>
        </w:rPr>
        <w:t xml:space="preserve">                          电   话：  </w:t>
      </w:r>
    </w:p>
    <w:p w14:paraId="77F6CD9D">
      <w:pPr>
        <w:spacing w:line="400" w:lineRule="exact"/>
        <w:ind w:firstLine="360" w:firstLineChars="150"/>
        <w:rPr>
          <w:rFonts w:ascii="宋体" w:hAnsi="宋体" w:eastAsia="宋体" w:cs="Times New Roman"/>
          <w:sz w:val="24"/>
        </w:rPr>
      </w:pPr>
      <w:r>
        <w:rPr>
          <w:rFonts w:ascii="宋体" w:hAnsi="宋体" w:eastAsia="宋体" w:cs="Times New Roman"/>
          <w:sz w:val="24"/>
        </w:rPr>
        <w:t>传</w:t>
      </w:r>
      <w:r>
        <w:rPr>
          <w:rFonts w:hint="eastAsia" w:ascii="宋体" w:hAnsi="宋体" w:eastAsia="宋体" w:cs="Times New Roman"/>
          <w:sz w:val="24"/>
        </w:rPr>
        <w:t xml:space="preserve">  </w:t>
      </w:r>
      <w:r>
        <w:rPr>
          <w:rFonts w:ascii="宋体" w:hAnsi="宋体" w:eastAsia="宋体" w:cs="Times New Roman"/>
          <w:sz w:val="24"/>
        </w:rPr>
        <w:t>真：　　</w:t>
      </w:r>
      <w:r>
        <w:rPr>
          <w:rFonts w:hint="eastAsia" w:ascii="宋体" w:hAnsi="宋体" w:eastAsia="宋体" w:cs="Times New Roman"/>
          <w:sz w:val="24"/>
        </w:rPr>
        <w:t xml:space="preserve">                            传   真：</w:t>
      </w:r>
    </w:p>
    <w:p w14:paraId="0B62C078">
      <w:pPr>
        <w:spacing w:line="400" w:lineRule="exact"/>
        <w:ind w:firstLine="320" w:firstLineChars="100"/>
        <w:rPr>
          <w:rFonts w:ascii="宋体" w:hAnsi="宋体" w:eastAsia="宋体" w:cs="Times New Roman"/>
          <w:sz w:val="24"/>
        </w:rPr>
      </w:pPr>
      <w:r>
        <w:rPr>
          <w:rFonts w:ascii="宋体" w:hAnsi="宋体" w:eastAsia="宋体" w:cs="Times New Roman"/>
          <w:spacing w:val="40"/>
          <w:sz w:val="24"/>
        </w:rPr>
        <w:t>开户银行</w:t>
      </w:r>
      <w:r>
        <w:rPr>
          <w:rFonts w:ascii="宋体" w:hAnsi="宋体" w:eastAsia="宋体" w:cs="Times New Roman"/>
          <w:sz w:val="24"/>
        </w:rPr>
        <w:t>：　　　</w:t>
      </w:r>
      <w:r>
        <w:rPr>
          <w:rFonts w:hint="eastAsia" w:ascii="宋体" w:hAnsi="宋体" w:eastAsia="宋体" w:cs="Times New Roman"/>
          <w:sz w:val="24"/>
        </w:rPr>
        <w:t xml:space="preserve">                      开户银行：</w:t>
      </w:r>
    </w:p>
    <w:p w14:paraId="43B8627F">
      <w:pPr>
        <w:spacing w:line="400" w:lineRule="exact"/>
        <w:ind w:firstLine="360" w:firstLineChars="150"/>
        <w:rPr>
          <w:rFonts w:ascii="宋体" w:hAnsi="宋体" w:eastAsia="宋体" w:cs="Times New Roman"/>
          <w:sz w:val="24"/>
        </w:rPr>
      </w:pPr>
      <w:r>
        <w:rPr>
          <w:rFonts w:ascii="宋体" w:hAnsi="宋体" w:eastAsia="宋体" w:cs="Times New Roman"/>
          <w:sz w:val="24"/>
        </w:rPr>
        <w:t>账</w:t>
      </w:r>
      <w:r>
        <w:rPr>
          <w:rFonts w:hint="eastAsia" w:ascii="宋体" w:hAnsi="宋体" w:eastAsia="宋体" w:cs="Times New Roman"/>
          <w:sz w:val="24"/>
        </w:rPr>
        <w:t xml:space="preserve">  </w:t>
      </w:r>
      <w:r>
        <w:rPr>
          <w:rFonts w:ascii="宋体" w:hAnsi="宋体" w:eastAsia="宋体" w:cs="Times New Roman"/>
          <w:sz w:val="24"/>
        </w:rPr>
        <w:t>号：</w:t>
      </w:r>
      <w:r>
        <w:rPr>
          <w:rFonts w:hint="eastAsia" w:ascii="宋体" w:hAnsi="宋体" w:eastAsia="宋体" w:cs="Times New Roman"/>
          <w:sz w:val="24"/>
        </w:rPr>
        <w:t xml:space="preserve">   </w:t>
      </w:r>
      <w:r>
        <w:rPr>
          <w:rFonts w:ascii="宋体" w:hAnsi="宋体" w:eastAsia="宋体" w:cs="Times New Roman"/>
          <w:sz w:val="24"/>
        </w:rPr>
        <w:t>　</w:t>
      </w:r>
      <w:r>
        <w:rPr>
          <w:rFonts w:hint="eastAsia" w:ascii="宋体" w:hAnsi="宋体" w:eastAsia="宋体" w:cs="Times New Roman"/>
          <w:sz w:val="24"/>
        </w:rPr>
        <w:t xml:space="preserve">                           账  号：</w:t>
      </w:r>
    </w:p>
    <w:p w14:paraId="2BFD2A60">
      <w:pPr>
        <w:spacing w:line="400" w:lineRule="exact"/>
        <w:ind w:firstLine="320" w:firstLineChars="100"/>
        <w:rPr>
          <w:rFonts w:ascii="宋体" w:hAnsi="宋体" w:eastAsia="宋体" w:cs="Times New Roman"/>
          <w:sz w:val="24"/>
        </w:rPr>
      </w:pPr>
      <w:r>
        <w:rPr>
          <w:rFonts w:ascii="宋体" w:hAnsi="宋体" w:eastAsia="宋体" w:cs="Times New Roman"/>
          <w:spacing w:val="40"/>
          <w:sz w:val="24"/>
        </w:rPr>
        <w:t>邮政编码</w:t>
      </w:r>
      <w:r>
        <w:rPr>
          <w:rFonts w:ascii="宋体" w:hAnsi="宋体" w:eastAsia="宋体" w:cs="Times New Roman"/>
          <w:sz w:val="24"/>
        </w:rPr>
        <w:t>：</w:t>
      </w:r>
      <w:r>
        <w:rPr>
          <w:rFonts w:hint="eastAsia" w:ascii="宋体" w:hAnsi="宋体" w:eastAsia="宋体" w:cs="Times New Roman"/>
          <w:sz w:val="24"/>
        </w:rPr>
        <w:t xml:space="preserve">     </w:t>
      </w:r>
      <w:r>
        <w:rPr>
          <w:rFonts w:ascii="宋体" w:hAnsi="宋体" w:eastAsia="宋体" w:cs="Times New Roman"/>
          <w:sz w:val="24"/>
        </w:rPr>
        <w:t>　</w:t>
      </w:r>
      <w:r>
        <w:rPr>
          <w:rFonts w:hint="eastAsia" w:ascii="宋体" w:hAnsi="宋体" w:eastAsia="宋体" w:cs="Times New Roman"/>
          <w:sz w:val="24"/>
        </w:rPr>
        <w:t xml:space="preserve">                     邮政编码：</w:t>
      </w:r>
    </w:p>
    <w:p w14:paraId="0E4B62BF">
      <w:pPr>
        <w:spacing w:line="400" w:lineRule="exact"/>
        <w:ind w:firstLine="240" w:firstLineChars="100"/>
        <w:rPr>
          <w:rFonts w:ascii="宋体" w:hAnsi="宋体" w:eastAsia="宋体" w:cs="Times New Roman"/>
          <w:sz w:val="24"/>
        </w:rPr>
      </w:pPr>
    </w:p>
    <w:p w14:paraId="3DDE79F2">
      <w:pPr>
        <w:ind w:firstLine="240" w:firstLineChars="100"/>
        <w:rPr>
          <w:rFonts w:hint="eastAsia" w:ascii="宋体" w:hAnsi="Courier New" w:eastAsia="宋体" w:cs="Times New Roman"/>
          <w:b/>
          <w:bCs/>
          <w:sz w:val="24"/>
          <w:szCs w:val="24"/>
        </w:rPr>
      </w:pPr>
      <w:r>
        <w:rPr>
          <w:rFonts w:hint="eastAsia" w:ascii="宋体" w:hAnsi="宋体" w:eastAsia="宋体" w:cs="Times New Roman"/>
          <w:sz w:val="24"/>
        </w:rPr>
        <w:t xml:space="preserve">  </w:t>
      </w:r>
      <w:r>
        <w:rPr>
          <w:rFonts w:hint="eastAsia" w:ascii="宋体" w:hAnsi="宋体" w:cs="Times New Roman"/>
          <w:sz w:val="24"/>
          <w:u w:val="single"/>
          <w:lang w:val="en-US" w:eastAsia="zh-CN"/>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 xml:space="preserve">日                    </w:t>
      </w:r>
      <w:r>
        <w:rPr>
          <w:rFonts w:hint="eastAsia" w:ascii="宋体" w:hAnsi="宋体" w:eastAsia="宋体" w:cs="Times New Roman"/>
          <w:sz w:val="24"/>
          <w:u w:val="single"/>
        </w:rPr>
        <w:t xml:space="preserve"> </w:t>
      </w:r>
      <w:r>
        <w:rPr>
          <w:rFonts w:hint="eastAsia" w:ascii="宋体" w:hAnsi="宋体" w:cs="Times New Roman"/>
          <w:sz w:val="24"/>
          <w:u w:val="single"/>
          <w:lang w:val="en-US" w:eastAsia="zh-CN"/>
        </w:rPr>
        <w:t xml:space="preserve">     </w:t>
      </w:r>
      <w:r>
        <w:rPr>
          <w:rFonts w:hint="eastAsia" w:ascii="宋体" w:hAnsi="宋体" w:cs="Times New Roman"/>
          <w:sz w:val="24"/>
          <w:lang w:val="en-US" w:eastAsia="zh-CN"/>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14:paraId="41CFB39F">
      <w:pPr>
        <w:pStyle w:val="4"/>
        <w:jc w:val="center"/>
        <w:rPr>
          <w:rFonts w:hint="eastAsia" w:ascii="宋体" w:hAnsi="宋体" w:cs="宋体"/>
          <w:color w:val="auto"/>
          <w:sz w:val="24"/>
          <w:szCs w:val="24"/>
          <w:highlight w:val="none"/>
        </w:rPr>
      </w:pPr>
      <w:bookmarkStart w:id="46" w:name="_Toc30548"/>
    </w:p>
    <w:p w14:paraId="029FFF75">
      <w:pPr>
        <w:pStyle w:val="4"/>
        <w:jc w:val="center"/>
        <w:rPr>
          <w:rFonts w:hint="eastAsia" w:ascii="宋体" w:hAnsi="宋体" w:cs="宋体"/>
          <w:color w:val="auto"/>
          <w:sz w:val="24"/>
          <w:szCs w:val="24"/>
          <w:highlight w:val="none"/>
        </w:rPr>
      </w:pPr>
    </w:p>
    <w:p w14:paraId="46050E38">
      <w:pPr>
        <w:pStyle w:val="4"/>
        <w:jc w:val="both"/>
        <w:rPr>
          <w:rFonts w:hint="eastAsia" w:ascii="宋体" w:hAnsi="宋体" w:cs="宋体"/>
          <w:color w:val="auto"/>
          <w:sz w:val="24"/>
          <w:szCs w:val="24"/>
          <w:highlight w:val="none"/>
        </w:rPr>
      </w:pPr>
    </w:p>
    <w:p w14:paraId="3A5D593B">
      <w:pPr>
        <w:rPr>
          <w:rFonts w:hint="eastAsia" w:ascii="宋体" w:hAnsi="宋体" w:cs="宋体"/>
          <w:color w:val="auto"/>
          <w:sz w:val="24"/>
          <w:szCs w:val="24"/>
          <w:highlight w:val="none"/>
        </w:rPr>
      </w:pPr>
    </w:p>
    <w:p w14:paraId="34D08FF8">
      <w:pPr>
        <w:pStyle w:val="14"/>
        <w:rPr>
          <w:rFonts w:hint="eastAsia"/>
        </w:rPr>
      </w:pPr>
    </w:p>
    <w:p w14:paraId="3B5C47BA">
      <w:pPr>
        <w:pStyle w:val="4"/>
        <w:jc w:val="both"/>
        <w:rPr>
          <w:rFonts w:hint="eastAsia" w:ascii="宋体" w:hAnsi="宋体" w:cs="宋体"/>
          <w:color w:val="auto"/>
          <w:sz w:val="24"/>
          <w:szCs w:val="24"/>
          <w:highlight w:val="none"/>
        </w:rPr>
      </w:pPr>
    </w:p>
    <w:p w14:paraId="47AFCE67">
      <w:pPr>
        <w:pStyle w:val="4"/>
        <w:jc w:val="both"/>
        <w:rPr>
          <w:rFonts w:hint="eastAsia" w:ascii="宋体" w:hAnsi="宋体" w:eastAsia="宋体" w:cs="宋体"/>
          <w:b w:val="0"/>
          <w:bCs w:val="0"/>
          <w:color w:val="auto"/>
          <w:kern w:val="2"/>
          <w:sz w:val="24"/>
          <w:szCs w:val="24"/>
          <w:highlight w:val="none"/>
          <w:lang w:val="en-US" w:eastAsia="zh-CN" w:bidi="ar-SA"/>
        </w:rPr>
      </w:pPr>
    </w:p>
    <w:p w14:paraId="6D77E6A4">
      <w:pPr>
        <w:rPr>
          <w:rFonts w:hint="eastAsia" w:ascii="宋体" w:hAnsi="宋体" w:eastAsia="宋体" w:cs="宋体"/>
          <w:b w:val="0"/>
          <w:bCs w:val="0"/>
          <w:color w:val="auto"/>
          <w:kern w:val="2"/>
          <w:sz w:val="24"/>
          <w:szCs w:val="24"/>
          <w:highlight w:val="none"/>
          <w:lang w:val="en-US" w:eastAsia="zh-CN" w:bidi="ar-SA"/>
        </w:rPr>
      </w:pPr>
    </w:p>
    <w:p w14:paraId="688FC66B">
      <w:pPr>
        <w:pStyle w:val="14"/>
        <w:rPr>
          <w:rFonts w:hint="eastAsia" w:ascii="宋体" w:hAnsi="宋体" w:eastAsia="宋体" w:cs="宋体"/>
          <w:b w:val="0"/>
          <w:bCs w:val="0"/>
          <w:color w:val="auto"/>
          <w:kern w:val="2"/>
          <w:sz w:val="24"/>
          <w:szCs w:val="24"/>
          <w:highlight w:val="none"/>
          <w:lang w:val="en-US" w:eastAsia="zh-CN" w:bidi="ar-SA"/>
        </w:rPr>
      </w:pPr>
    </w:p>
    <w:p w14:paraId="4DD56664">
      <w:pPr>
        <w:rPr>
          <w:rFonts w:hint="default"/>
          <w:lang w:val="en-US" w:eastAsia="zh-CN"/>
        </w:rPr>
      </w:pPr>
      <w:r>
        <w:rPr>
          <w:rFonts w:hint="eastAsia" w:ascii="宋体" w:hAnsi="宋体" w:cs="宋体"/>
          <w:b w:val="0"/>
          <w:bCs w:val="0"/>
          <w:color w:val="auto"/>
          <w:kern w:val="2"/>
          <w:sz w:val="24"/>
          <w:szCs w:val="24"/>
          <w:highlight w:val="none"/>
          <w:lang w:val="en-US" w:eastAsia="zh-CN" w:bidi="ar-SA"/>
        </w:rPr>
        <w:t xml:space="preserve">  </w:t>
      </w:r>
    </w:p>
    <w:p w14:paraId="37A272C4">
      <w:pPr>
        <w:pStyle w:val="4"/>
        <w:jc w:val="both"/>
        <w:rPr>
          <w:rFonts w:hint="eastAsia" w:ascii="宋体" w:hAnsi="宋体" w:cs="宋体"/>
          <w:color w:val="auto"/>
          <w:sz w:val="24"/>
          <w:szCs w:val="24"/>
          <w:highlight w:val="none"/>
        </w:rPr>
      </w:pPr>
    </w:p>
    <w:p w14:paraId="5C8F0505">
      <w:pPr>
        <w:pStyle w:val="4"/>
        <w:ind w:firstLine="2650" w:firstLineChars="1100"/>
        <w:jc w:val="both"/>
        <w:rPr>
          <w:rFonts w:ascii="宋体" w:hAnsi="宋体" w:cs="宋体"/>
          <w:color w:val="auto"/>
          <w:sz w:val="24"/>
          <w:szCs w:val="24"/>
          <w:highlight w:val="none"/>
        </w:rPr>
      </w:pPr>
      <w:r>
        <w:rPr>
          <w:rFonts w:hint="eastAsia" w:ascii="宋体" w:hAnsi="宋体" w:cs="宋体"/>
          <w:color w:val="auto"/>
          <w:sz w:val="24"/>
          <w:szCs w:val="24"/>
          <w:highlight w:val="none"/>
        </w:rPr>
        <w:t>第六章　磋商响应文件组成内容及格式</w:t>
      </w:r>
      <w:bookmarkEnd w:id="46"/>
    </w:p>
    <w:bookmarkEnd w:id="36"/>
    <w:bookmarkEnd w:id="37"/>
    <w:p w14:paraId="6B1A6504">
      <w:pPr>
        <w:pStyle w:val="22"/>
        <w:spacing w:before="120" w:after="120" w:line="360" w:lineRule="auto"/>
        <w:outlineLvl w:val="9"/>
        <w:rPr>
          <w:rFonts w:ascii="宋体" w:hAnsi="宋体" w:cs="宋体"/>
          <w:color w:val="auto"/>
          <w:szCs w:val="24"/>
          <w:highlight w:val="none"/>
          <w:u w:val="single"/>
        </w:rPr>
      </w:pPr>
    </w:p>
    <w:p w14:paraId="1EC52F07">
      <w:pPr>
        <w:jc w:val="center"/>
        <w:outlineLvl w:val="9"/>
        <w:rPr>
          <w:rFonts w:ascii="宋体" w:hAnsi="宋体" w:eastAsia="宋体" w:cs="宋体"/>
          <w:b w:val="0"/>
          <w:color w:val="auto"/>
          <w:sz w:val="24"/>
          <w:szCs w:val="24"/>
          <w:highlight w:val="none"/>
        </w:rPr>
      </w:pPr>
      <w:bookmarkStart w:id="47" w:name="_Toc405368940"/>
      <w:r>
        <w:rPr>
          <w:rFonts w:hint="eastAsia" w:ascii="宋体" w:hAnsi="宋体" w:eastAsia="宋体" w:cs="宋体"/>
          <w:b w:val="0"/>
          <w:color w:val="auto"/>
          <w:sz w:val="24"/>
          <w:szCs w:val="24"/>
          <w:highlight w:val="none"/>
        </w:rPr>
        <w:t>一、磋商响应文件封面格式</w:t>
      </w:r>
      <w:bookmarkEnd w:id="47"/>
    </w:p>
    <w:p w14:paraId="5630ED94">
      <w:pPr>
        <w:outlineLvl w:val="9"/>
        <w:rPr>
          <w:rFonts w:ascii="宋体" w:hAnsi="宋体" w:cs="宋体"/>
          <w:color w:val="auto"/>
          <w:sz w:val="24"/>
          <w:highlight w:val="none"/>
        </w:rPr>
      </w:pPr>
    </w:p>
    <w:p w14:paraId="740EAC67">
      <w:pPr>
        <w:outlineLvl w:val="9"/>
        <w:rPr>
          <w:rFonts w:ascii="宋体" w:hAnsi="宋体" w:cs="宋体"/>
          <w:color w:val="auto"/>
          <w:sz w:val="24"/>
          <w:highlight w:val="none"/>
        </w:rPr>
      </w:pPr>
    </w:p>
    <w:p w14:paraId="306C2818">
      <w:pPr>
        <w:outlineLvl w:val="9"/>
        <w:rPr>
          <w:rFonts w:ascii="宋体" w:hAnsi="宋体" w:cs="宋体"/>
          <w:color w:val="auto"/>
          <w:sz w:val="24"/>
          <w:highlight w:val="none"/>
        </w:rPr>
      </w:pPr>
    </w:p>
    <w:p w14:paraId="3E39D82A">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1.磋商响应文件封面格式： </w:t>
      </w:r>
    </w:p>
    <w:p w14:paraId="2E3EBF9D">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413952A8">
      <w:pPr>
        <w:spacing w:line="360" w:lineRule="auto"/>
        <w:outlineLvl w:val="9"/>
        <w:rPr>
          <w:rFonts w:ascii="宋体" w:hAnsi="宋体" w:cs="宋体"/>
          <w:color w:val="auto"/>
          <w:sz w:val="24"/>
          <w:highlight w:val="none"/>
        </w:rPr>
      </w:pPr>
    </w:p>
    <w:p w14:paraId="7F6291B5">
      <w:pPr>
        <w:spacing w:line="360" w:lineRule="auto"/>
        <w:outlineLvl w:val="9"/>
        <w:rPr>
          <w:rFonts w:ascii="宋体" w:hAnsi="宋体" w:cs="宋体"/>
          <w:color w:val="auto"/>
          <w:sz w:val="24"/>
          <w:highlight w:val="none"/>
        </w:rPr>
      </w:pPr>
    </w:p>
    <w:p w14:paraId="38502417">
      <w:pPr>
        <w:spacing w:line="360" w:lineRule="auto"/>
        <w:outlineLvl w:val="9"/>
        <w:rPr>
          <w:rFonts w:ascii="宋体" w:hAnsi="宋体" w:cs="宋体"/>
          <w:color w:val="auto"/>
          <w:sz w:val="24"/>
          <w:highlight w:val="none"/>
        </w:rPr>
      </w:pPr>
    </w:p>
    <w:p w14:paraId="7AAF5DC3">
      <w:pPr>
        <w:spacing w:line="360" w:lineRule="auto"/>
        <w:outlineLvl w:val="9"/>
        <w:rPr>
          <w:rFonts w:ascii="宋体" w:hAnsi="宋体" w:cs="宋体"/>
          <w:color w:val="auto"/>
          <w:sz w:val="24"/>
          <w:highlight w:val="none"/>
        </w:rPr>
      </w:pPr>
    </w:p>
    <w:p w14:paraId="5F6CDFDB">
      <w:pPr>
        <w:spacing w:line="360" w:lineRule="auto"/>
        <w:outlineLvl w:val="9"/>
        <w:rPr>
          <w:rFonts w:ascii="宋体" w:hAnsi="宋体" w:cs="宋体"/>
          <w:color w:val="auto"/>
          <w:sz w:val="24"/>
          <w:highlight w:val="none"/>
        </w:rPr>
      </w:pPr>
    </w:p>
    <w:p w14:paraId="5A839359">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资格审查文件、商务技术文件、报价文件（相应选择一个磋商响应文件封面外包装名称）</w:t>
      </w:r>
    </w:p>
    <w:p w14:paraId="0CC9C6CA">
      <w:pPr>
        <w:spacing w:line="480" w:lineRule="auto"/>
        <w:rPr>
          <w:rFonts w:hint="eastAsia" w:ascii="宋体" w:hAnsi="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东阳市巍山镇金塘山塘综合整治工程（第三次）</w:t>
      </w:r>
    </w:p>
    <w:p w14:paraId="5CD45F47">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ZKBHZFCG2025-CS-003-2</w:t>
      </w:r>
    </w:p>
    <w:p w14:paraId="4786328C">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2A4B3498">
      <w:pPr>
        <w:spacing w:line="480" w:lineRule="auto"/>
        <w:rPr>
          <w:rFonts w:ascii="宋体" w:hAnsi="宋体" w:cs="宋体"/>
          <w:color w:val="auto"/>
          <w:sz w:val="24"/>
          <w:highlight w:val="none"/>
        </w:rPr>
      </w:pPr>
      <w:r>
        <w:rPr>
          <w:rFonts w:hint="eastAsia" w:ascii="宋体" w:hAnsi="宋体" w:cs="宋体"/>
          <w:color w:val="auto"/>
          <w:sz w:val="24"/>
          <w:highlight w:val="none"/>
        </w:rPr>
        <w:t>供应商名称：</w:t>
      </w:r>
    </w:p>
    <w:p w14:paraId="62BD4ADE">
      <w:pPr>
        <w:spacing w:line="480" w:lineRule="auto"/>
        <w:rPr>
          <w:rFonts w:ascii="宋体" w:hAnsi="宋体" w:cs="宋体"/>
          <w:color w:val="auto"/>
          <w:sz w:val="24"/>
          <w:highlight w:val="none"/>
        </w:rPr>
      </w:pPr>
      <w:r>
        <w:rPr>
          <w:rFonts w:hint="eastAsia" w:ascii="宋体" w:hAnsi="宋体" w:cs="宋体"/>
          <w:color w:val="auto"/>
          <w:sz w:val="24"/>
          <w:highlight w:val="none"/>
        </w:rPr>
        <w:t>供应商地址：</w:t>
      </w:r>
    </w:p>
    <w:p w14:paraId="751F5110">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FBE594E">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E2B53AB">
      <w:pPr>
        <w:spacing w:line="360" w:lineRule="auto"/>
        <w:rPr>
          <w:rFonts w:ascii="宋体" w:hAnsi="宋体" w:cs="宋体"/>
          <w:color w:val="auto"/>
          <w:sz w:val="24"/>
          <w:highlight w:val="none"/>
        </w:rPr>
      </w:pPr>
    </w:p>
    <w:p w14:paraId="0C26649F">
      <w:pPr>
        <w:rPr>
          <w:rFonts w:ascii="宋体" w:hAnsi="宋体" w:cs="宋体"/>
          <w:color w:val="auto"/>
          <w:sz w:val="24"/>
          <w:highlight w:val="none"/>
        </w:rPr>
      </w:pPr>
    </w:p>
    <w:p w14:paraId="1BD92347">
      <w:pPr>
        <w:rPr>
          <w:rFonts w:ascii="宋体" w:hAnsi="宋体" w:cs="宋体"/>
          <w:color w:val="auto"/>
          <w:sz w:val="24"/>
          <w:highlight w:val="none"/>
        </w:rPr>
      </w:pPr>
    </w:p>
    <w:p w14:paraId="3685219F">
      <w:pPr>
        <w:spacing w:line="360" w:lineRule="auto"/>
        <w:rPr>
          <w:rFonts w:ascii="宋体" w:hAnsi="宋体" w:cs="宋体"/>
          <w:b/>
          <w:color w:val="auto"/>
          <w:sz w:val="24"/>
          <w:highlight w:val="none"/>
        </w:rPr>
      </w:pPr>
    </w:p>
    <w:p w14:paraId="30F6BF20">
      <w:pPr>
        <w:pStyle w:val="12"/>
        <w:rPr>
          <w:color w:val="auto"/>
          <w:highlight w:val="none"/>
        </w:rPr>
      </w:pPr>
    </w:p>
    <w:p w14:paraId="2AB536D3">
      <w:pPr>
        <w:spacing w:line="360" w:lineRule="auto"/>
        <w:rPr>
          <w:rFonts w:ascii="宋体" w:hAnsi="宋体" w:cs="宋体"/>
          <w:b/>
          <w:color w:val="auto"/>
          <w:sz w:val="24"/>
          <w:highlight w:val="none"/>
        </w:rPr>
      </w:pPr>
    </w:p>
    <w:p w14:paraId="34FB4802">
      <w:pPr>
        <w:rPr>
          <w:color w:val="auto"/>
          <w:highlight w:val="none"/>
        </w:rPr>
      </w:pPr>
    </w:p>
    <w:p w14:paraId="4EE44514">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.资格审查文件：</w:t>
      </w:r>
    </w:p>
    <w:p w14:paraId="7EB0B05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（1）有效的营业执照复印件；</w:t>
      </w:r>
    </w:p>
    <w:p w14:paraId="4999618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7AD4B5C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 ；</w:t>
      </w:r>
    </w:p>
    <w:p w14:paraId="7FE6CD8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sz w:val="24"/>
          <w:szCs w:val="24"/>
          <w:highlight w:val="none"/>
          <w:lang w:eastAsia="zh-CN"/>
        </w:rPr>
        <w:t>磋商</w:t>
      </w:r>
      <w:r>
        <w:rPr>
          <w:rFonts w:hint="eastAsia" w:ascii="宋体" w:hAnsi="宋体" w:cs="宋体"/>
          <w:bCs/>
          <w:sz w:val="24"/>
          <w:szCs w:val="24"/>
          <w:highlight w:val="none"/>
        </w:rPr>
        <w:t>声明书</w:t>
      </w:r>
      <w:r>
        <w:rPr>
          <w:rFonts w:hint="eastAsia" w:ascii="宋体" w:hAnsi="宋体" w:cs="宋体"/>
          <w:color w:val="auto"/>
          <w:sz w:val="24"/>
          <w:highlight w:val="none"/>
        </w:rPr>
        <w:t xml:space="preserve"> (格式见附件) ；</w:t>
      </w:r>
    </w:p>
    <w:p w14:paraId="4A2BA68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（5）浙江政府采购网注册正式供应商的网络截图或承诺书；</w:t>
      </w:r>
    </w:p>
    <w:p w14:paraId="5640530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6）水利水电工程施工总承包三级（含）以上资质和</w:t>
      </w:r>
      <w:r>
        <w:rPr>
          <w:rFonts w:hint="eastAsia" w:ascii="宋体" w:hAnsi="宋体" w:cs="宋体"/>
          <w:color w:val="auto"/>
          <w:sz w:val="24"/>
          <w:highlight w:val="none"/>
        </w:rPr>
        <w:t>安全生产许可证</w:t>
      </w:r>
      <w:r>
        <w:rPr>
          <w:rFonts w:hint="eastAsia" w:ascii="宋体" w:hAnsi="宋体" w:cs="宋体"/>
          <w:color w:val="auto"/>
          <w:sz w:val="24"/>
          <w:highlight w:val="none"/>
          <w:lang w:eastAsia="zh-CN"/>
        </w:rPr>
        <w:t>，</w:t>
      </w:r>
      <w:r>
        <w:rPr>
          <w:rFonts w:hint="eastAsia" w:ascii="宋体" w:hAnsi="宋体" w:cs="宋体"/>
          <w:color w:val="auto"/>
          <w:sz w:val="24"/>
          <w:highlight w:val="none"/>
        </w:rPr>
        <w:t>提供有效期内的证书复印件</w:t>
      </w:r>
      <w:r>
        <w:rPr>
          <w:rFonts w:hint="eastAsia" w:ascii="宋体" w:hAnsi="宋体" w:cs="宋体"/>
          <w:color w:val="auto"/>
          <w:sz w:val="24"/>
          <w:highlight w:val="none"/>
          <w:lang w:eastAsia="zh-CN"/>
        </w:rPr>
        <w:t>。</w:t>
      </w:r>
    </w:p>
    <w:p w14:paraId="1AA59CC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）落实政府采购政策需满足的资格条件：供应商为中小企业/小微企业，提供《中小企业声明函》（格式见附件）</w:t>
      </w:r>
      <w:r>
        <w:rPr>
          <w:rFonts w:hint="eastAsia" w:ascii="宋体" w:hAnsi="宋体" w:cs="宋体"/>
          <w:color w:val="auto"/>
          <w:sz w:val="24"/>
          <w:highlight w:val="none"/>
          <w:lang w:eastAsia="zh-CN"/>
        </w:rPr>
        <w:t>。</w:t>
      </w:r>
    </w:p>
    <w:p w14:paraId="47C66E8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）联合体协议（如有，格式见附件）；</w:t>
      </w:r>
      <w:r>
        <w:rPr>
          <w:rFonts w:hint="eastAsia" w:ascii="宋体" w:hAnsi="宋体" w:eastAsia="宋体" w:cs="宋体"/>
          <w:sz w:val="24"/>
          <w:szCs w:val="24"/>
          <w:highlight w:val="none"/>
          <w:lang w:eastAsia="zh-CN"/>
        </w:rPr>
        <w:t>分包意向协议（分包投标时适用，格式见附件）</w:t>
      </w:r>
    </w:p>
    <w:p w14:paraId="52A7351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）政府采购代理机构社会评价表(格式见附件)。 </w:t>
      </w:r>
    </w:p>
    <w:p w14:paraId="2AC3AFF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DA330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备注：供应商的资格审查由招标代理机构和采购人在评标委员会评标以前进行。供应商应未被列入失信被执行人名单、重大税收违法案件当事人名单、政府采购严重违法失信行为记录名单，信用信息以投标截止日信用中国网站（www.creditchina.gov.cn）、中国政府采购网（www.ccgp.gov.cn）公布为准。</w:t>
      </w:r>
    </w:p>
    <w:p w14:paraId="30B6314E">
      <w:pPr>
        <w:numPr>
          <w:ilvl w:val="0"/>
          <w:numId w:val="0"/>
        </w:numPr>
        <w:spacing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w:t>
      </w:r>
      <w:r>
        <w:rPr>
          <w:rFonts w:hint="eastAsia" w:ascii="宋体" w:hAnsi="宋体" w:cs="宋体"/>
          <w:bCs/>
          <w:kern w:val="2"/>
          <w:sz w:val="24"/>
          <w:szCs w:val="24"/>
          <w:highlight w:val="none"/>
          <w:lang w:val="en-US" w:eastAsia="zh-CN" w:bidi="ar-SA"/>
        </w:rPr>
        <w:t>1</w:t>
      </w: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b w:val="0"/>
          <w:bCs w:val="0"/>
          <w:color w:val="auto"/>
          <w:sz w:val="24"/>
          <w:szCs w:val="24"/>
          <w:highlight w:val="none"/>
        </w:rPr>
        <w:t>政府采购供应商诚信承诺书</w:t>
      </w:r>
      <w:r>
        <w:rPr>
          <w:rFonts w:hint="eastAsia" w:ascii="宋体" w:hAnsi="宋体" w:cs="宋体"/>
          <w:color w:val="auto"/>
          <w:sz w:val="24"/>
          <w:highlight w:val="none"/>
        </w:rPr>
        <w:t>(格式见附件)</w:t>
      </w:r>
    </w:p>
    <w:p w14:paraId="6931D339">
      <w:pPr>
        <w:numPr>
          <w:ilvl w:val="0"/>
          <w:numId w:val="0"/>
        </w:numPr>
        <w:spacing w:line="360" w:lineRule="auto"/>
        <w:rPr>
          <w:rFonts w:hint="eastAsia"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12）</w:t>
      </w:r>
      <w:r>
        <w:rPr>
          <w:rFonts w:hint="eastAsia" w:ascii="宋体" w:hAnsi="宋体" w:cs="宋体"/>
          <w:bCs/>
          <w:sz w:val="24"/>
          <w:szCs w:val="24"/>
          <w:highlight w:val="none"/>
        </w:rPr>
        <w:t>残疾人福利性单位声明函（残疾人福利性单位投标时适用，格式见附件）</w:t>
      </w:r>
    </w:p>
    <w:p w14:paraId="0D9E001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Cs/>
          <w:sz w:val="24"/>
          <w:szCs w:val="24"/>
        </w:rPr>
      </w:pPr>
      <w:r>
        <w:rPr>
          <w:rFonts w:hint="default" w:ascii="宋体" w:hAnsi="宋体" w:eastAsia="宋体" w:cs="宋体"/>
          <w:bCs/>
          <w:kern w:val="2"/>
          <w:sz w:val="24"/>
          <w:szCs w:val="24"/>
          <w:highlight w:val="none"/>
          <w:lang w:val="en-US" w:eastAsia="zh-CN" w:bidi="ar-SA"/>
        </w:rPr>
        <w:t>（1</w:t>
      </w:r>
      <w:r>
        <w:rPr>
          <w:rFonts w:hint="eastAsia" w:ascii="宋体" w:hAnsi="宋体" w:cs="宋体"/>
          <w:bCs/>
          <w:kern w:val="2"/>
          <w:sz w:val="24"/>
          <w:szCs w:val="24"/>
          <w:highlight w:val="none"/>
          <w:lang w:val="en-US" w:eastAsia="zh-CN" w:bidi="ar-SA"/>
        </w:rPr>
        <w:t>3</w:t>
      </w:r>
      <w:r>
        <w:rPr>
          <w:rFonts w:hint="default" w:ascii="宋体" w:hAnsi="宋体" w:eastAsia="宋体"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供应</w:t>
      </w:r>
      <w:r>
        <w:rPr>
          <w:rFonts w:hint="eastAsia" w:ascii="宋体" w:hAnsi="宋体" w:cs="宋体"/>
          <w:bCs/>
          <w:sz w:val="24"/>
          <w:szCs w:val="24"/>
          <w:highlight w:val="none"/>
          <w:lang w:eastAsia="zh-CN"/>
        </w:rPr>
        <w:t>商</w:t>
      </w:r>
      <w:r>
        <w:rPr>
          <w:rFonts w:hint="eastAsia" w:ascii="宋体" w:hAnsi="宋体" w:cs="宋体"/>
          <w:bCs/>
          <w:sz w:val="24"/>
          <w:szCs w:val="24"/>
          <w:highlight w:val="none"/>
        </w:rPr>
        <w:t>认为有必要提供的其它文件。</w:t>
      </w:r>
    </w:p>
    <w:p w14:paraId="69453ECC">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.商务技术文件</w:t>
      </w:r>
    </w:p>
    <w:p w14:paraId="42979414">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olor w:val="auto"/>
          <w:sz w:val="24"/>
          <w:highlight w:val="none"/>
        </w:rPr>
      </w:pPr>
      <w:r>
        <w:rPr>
          <w:rFonts w:hint="eastAsia" w:ascii="宋体" w:hAnsi="宋体"/>
          <w:color w:val="auto"/>
          <w:sz w:val="24"/>
          <w:highlight w:val="none"/>
        </w:rPr>
        <w:t>（1）供应商资信商务、技术自评得分表（格式见附件）；</w:t>
      </w:r>
    </w:p>
    <w:p w14:paraId="66AD4932">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bCs/>
          <w:color w:val="auto"/>
          <w:sz w:val="24"/>
          <w:highlight w:val="none"/>
        </w:rPr>
      </w:pPr>
      <w:r>
        <w:rPr>
          <w:rFonts w:hint="eastAsia" w:ascii="宋体" w:hAnsi="宋体"/>
          <w:bCs/>
          <w:color w:val="auto"/>
          <w:sz w:val="24"/>
          <w:highlight w:val="none"/>
        </w:rPr>
        <w:t>（2）商务响应表（格式见附件）；</w:t>
      </w:r>
    </w:p>
    <w:p w14:paraId="0FB6AEC2">
      <w:pPr>
        <w:keepNext w:val="0"/>
        <w:keepLines w:val="0"/>
        <w:pageBreakBefore w:val="0"/>
        <w:widowControl w:val="0"/>
        <w:kinsoku/>
        <w:wordWrap/>
        <w:overflowPunct/>
        <w:topLinePunct w:val="0"/>
        <w:autoSpaceDE/>
        <w:autoSpaceDN/>
        <w:bidi w:val="0"/>
        <w:adjustRightInd/>
        <w:snapToGrid w:val="0"/>
        <w:spacing w:line="351" w:lineRule="auto"/>
        <w:jc w:val="left"/>
        <w:textAlignment w:val="auto"/>
        <w:rPr>
          <w:rFonts w:ascii="宋体" w:hAnsi="宋体" w:cs="宋体"/>
          <w:color w:val="auto"/>
          <w:sz w:val="24"/>
          <w:highlight w:val="none"/>
        </w:rPr>
      </w:pPr>
      <w:r>
        <w:rPr>
          <w:rFonts w:hint="eastAsia" w:ascii="宋体" w:hAnsi="宋体"/>
          <w:color w:val="auto"/>
          <w:sz w:val="24"/>
          <w:highlight w:val="none"/>
        </w:rPr>
        <w:t>（3）技术响应表（格式见附件）；</w:t>
      </w:r>
    </w:p>
    <w:p w14:paraId="4A833655">
      <w:pPr>
        <w:keepNext w:val="0"/>
        <w:keepLines w:val="0"/>
        <w:pageBreakBefore w:val="0"/>
        <w:widowControl w:val="0"/>
        <w:kinsoku/>
        <w:wordWrap/>
        <w:overflowPunct/>
        <w:topLinePunct w:val="0"/>
        <w:autoSpaceDE/>
        <w:autoSpaceDN/>
        <w:bidi w:val="0"/>
        <w:adjustRightInd/>
        <w:snapToGrid/>
        <w:spacing w:line="351" w:lineRule="auto"/>
        <w:jc w:val="both"/>
        <w:textAlignment w:val="auto"/>
        <w:rPr>
          <w:rFonts w:ascii="宋体" w:hAnsi="宋体" w:cs="宋体"/>
          <w:color w:val="auto"/>
          <w:sz w:val="24"/>
          <w:highlight w:val="none"/>
        </w:rPr>
      </w:pPr>
      <w:r>
        <w:rPr>
          <w:rFonts w:hint="eastAsia" w:ascii="宋体" w:hAnsi="宋体" w:cs="宋体"/>
          <w:color w:val="auto"/>
          <w:sz w:val="24"/>
          <w:highlight w:val="none"/>
        </w:rPr>
        <w:t>（4）项目理解情况；</w:t>
      </w:r>
    </w:p>
    <w:p w14:paraId="293BB12D">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rPr>
      </w:pPr>
      <w:r>
        <w:rPr>
          <w:rFonts w:hint="eastAsia" w:ascii="宋体" w:hAnsi="宋体" w:cs="宋体"/>
          <w:color w:val="auto"/>
          <w:sz w:val="24"/>
          <w:highlight w:val="none"/>
        </w:rPr>
        <w:t>（5）施工方案；</w:t>
      </w:r>
    </w:p>
    <w:p w14:paraId="3EAF1951">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rPr>
      </w:pPr>
      <w:r>
        <w:rPr>
          <w:rFonts w:hint="eastAsia" w:ascii="宋体" w:hAnsi="宋体" w:cs="宋体"/>
          <w:color w:val="auto"/>
          <w:sz w:val="24"/>
          <w:highlight w:val="none"/>
        </w:rPr>
        <w:t>（6）施工进度</w:t>
      </w:r>
      <w:r>
        <w:rPr>
          <w:rFonts w:hint="eastAsia" w:ascii="宋体" w:hAnsi="宋体" w:cs="宋体"/>
          <w:color w:val="auto"/>
          <w:sz w:val="24"/>
          <w:highlight w:val="none"/>
          <w:lang w:eastAsia="zh-CN"/>
        </w:rPr>
        <w:t>；</w:t>
      </w:r>
    </w:p>
    <w:p w14:paraId="696CB21E">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）质量保障</w:t>
      </w:r>
      <w:r>
        <w:rPr>
          <w:rFonts w:hint="eastAsia" w:ascii="宋体" w:hAnsi="宋体" w:eastAsia="宋体" w:cs="宋体"/>
          <w:color w:val="auto"/>
          <w:kern w:val="0"/>
          <w:sz w:val="24"/>
          <w:highlight w:val="none"/>
          <w:lang w:val="en-US" w:eastAsia="zh-CN"/>
        </w:rPr>
        <w:t>；</w:t>
      </w:r>
    </w:p>
    <w:p w14:paraId="32CF9E6F">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）安全、文明施工等的保证措施；</w:t>
      </w:r>
    </w:p>
    <w:p w14:paraId="3A838210">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）施工机具设备；</w:t>
      </w:r>
    </w:p>
    <w:p w14:paraId="6A4A8CAC">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）材料设备进场计划；</w:t>
      </w:r>
    </w:p>
    <w:p w14:paraId="1425DDEA">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 xml:space="preserve">）项目人员； </w:t>
      </w:r>
    </w:p>
    <w:p w14:paraId="2B40ACB9">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）布置情况；</w:t>
      </w:r>
    </w:p>
    <w:p w14:paraId="6E8D3685">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）关键工序、复杂环节的相应措施；</w:t>
      </w:r>
    </w:p>
    <w:p w14:paraId="5D553970">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）施工重点难点分析；</w:t>
      </w:r>
    </w:p>
    <w:p w14:paraId="3694B69E">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）成品保护的保证措施；</w:t>
      </w:r>
    </w:p>
    <w:p w14:paraId="5696B3EA">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）管理协调；</w:t>
      </w:r>
    </w:p>
    <w:p w14:paraId="765975B9">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）企业荣誉；</w:t>
      </w:r>
    </w:p>
    <w:p w14:paraId="0DECE4CA">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）同类项目业绩（格式见附件）；</w:t>
      </w:r>
    </w:p>
    <w:p w14:paraId="61836A25">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）售后保障；</w:t>
      </w:r>
    </w:p>
    <w:p w14:paraId="3614431E">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）合理化建议；</w:t>
      </w:r>
    </w:p>
    <w:p w14:paraId="51C7A8A3">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）安全生产及其他承诺函（格式见附件）；</w:t>
      </w:r>
    </w:p>
    <w:p w14:paraId="3246E12B">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bCs/>
          <w:color w:val="auto"/>
          <w:sz w:val="24"/>
          <w:highlight w:val="none"/>
        </w:rPr>
        <w:t>服务费承诺书（格式见附件）；</w:t>
      </w:r>
    </w:p>
    <w:p w14:paraId="7BA0EC23">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bCs/>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w:t>
      </w:r>
      <w:r>
        <w:rPr>
          <w:rFonts w:hint="eastAsia" w:ascii="宋体" w:hAnsi="宋体"/>
          <w:bCs/>
          <w:color w:val="auto"/>
          <w:sz w:val="24"/>
          <w:highlight w:val="none"/>
        </w:rPr>
        <w:t>需要说明的其他文件和说明。</w:t>
      </w:r>
    </w:p>
    <w:p w14:paraId="646E3DC8">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.报价文件</w:t>
      </w:r>
    </w:p>
    <w:p w14:paraId="78AF47A3">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bookmarkStart w:id="48" w:name="_Toc12090"/>
      <w:r>
        <w:rPr>
          <w:rFonts w:hint="eastAsia" w:ascii="宋体" w:hAnsi="宋体" w:cs="宋体"/>
          <w:color w:val="auto"/>
          <w:sz w:val="24"/>
          <w:highlight w:val="none"/>
        </w:rPr>
        <w:t xml:space="preserve">（1）磋商响应函（格式见附件）； </w:t>
      </w:r>
    </w:p>
    <w:p w14:paraId="604299A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（2）初次报价表（格式见附件）；</w:t>
      </w:r>
    </w:p>
    <w:p w14:paraId="722963C3">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bCs/>
          <w:sz w:val="24"/>
          <w:szCs w:val="24"/>
          <w:lang w:eastAsia="zh-CN"/>
        </w:rPr>
        <w:t>（</w:t>
      </w:r>
      <w:r>
        <w:rPr>
          <w:rFonts w:hint="eastAsia" w:ascii="宋体" w:hAnsi="宋体" w:cs="宋体"/>
          <w:bCs/>
          <w:sz w:val="24"/>
          <w:szCs w:val="24"/>
          <w:lang w:val="en-US" w:eastAsia="zh-CN"/>
        </w:rPr>
        <w:t>3）</w:t>
      </w:r>
      <w:r>
        <w:rPr>
          <w:rFonts w:hint="eastAsia" w:ascii="宋体" w:hAnsi="宋体" w:cs="宋体"/>
          <w:bCs/>
          <w:sz w:val="24"/>
          <w:szCs w:val="24"/>
        </w:rPr>
        <w:t>中小企业声明函</w:t>
      </w:r>
      <w:r>
        <w:rPr>
          <w:rFonts w:hint="eastAsia" w:ascii="宋体" w:hAnsi="宋体" w:cs="宋体"/>
          <w:bCs/>
          <w:strike w:val="0"/>
          <w:dstrike w:val="0"/>
          <w:sz w:val="24"/>
          <w:szCs w:val="24"/>
          <w:highlight w:val="none"/>
        </w:rPr>
        <w:t>（格式见附件）</w:t>
      </w:r>
      <w:r>
        <w:rPr>
          <w:rFonts w:hint="eastAsia" w:ascii="宋体" w:hAnsi="宋体" w:cs="宋体"/>
          <w:color w:val="auto"/>
          <w:sz w:val="24"/>
          <w:highlight w:val="none"/>
        </w:rPr>
        <w:t xml:space="preserve"> </w:t>
      </w:r>
    </w:p>
    <w:p w14:paraId="5FBF9EDC">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）供应商针对报价需要说明的其他文件和说明（格式自拟）；</w:t>
      </w:r>
    </w:p>
    <w:p w14:paraId="14F8336B">
      <w:pPr>
        <w:pStyle w:val="5"/>
        <w:keepNext w:val="0"/>
        <w:keepLines w:val="0"/>
        <w:pageBreakBefore/>
        <w:spacing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附件一：磋商声明书</w:t>
      </w:r>
      <w:bookmarkEnd w:id="48"/>
    </w:p>
    <w:p w14:paraId="0F8D77C8">
      <w:pPr>
        <w:snapToGrid w:val="0"/>
        <w:spacing w:beforeLines="50" w:after="50" w:line="276"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磋商声明书</w:t>
      </w:r>
    </w:p>
    <w:p w14:paraId="6AC8A59B">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06033158">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2F0F20">
      <w:pPr>
        <w:snapToGrid w:val="0"/>
        <w:spacing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（供应商名称）的法定代表人，我方愿意参加贵方组织的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项目的磋商，为便于贵方公正、择优地确定中标人及其磋商服务，我方就本次磋商有关事项郑重声明如下：</w:t>
      </w:r>
    </w:p>
    <w:p w14:paraId="2FDA43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1.我方向贵方提交的所有磋商响应文件、资料都是准确的和真实的。若有违背，我公司愿为由此而产生的一切后果负责。</w:t>
      </w:r>
    </w:p>
    <w:p w14:paraId="7893B094">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0B866C88">
      <w:pPr>
        <w:snapToGrid w:val="0"/>
        <w:spacing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2ED347C2">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1730A036">
      <w:pPr>
        <w:snapToGrid w:val="0"/>
        <w:spacing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4E2B2674">
      <w:pPr>
        <w:pStyle w:val="13"/>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44BFBE62">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1BF1F248">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1EEF89CF">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2824A518">
      <w:pPr>
        <w:pStyle w:val="19"/>
        <w:tabs>
          <w:tab w:val="left" w:pos="939"/>
        </w:tabs>
        <w:snapToGrid w:val="0"/>
        <w:spacing w:line="276" w:lineRule="auto"/>
        <w:ind w:left="773" w:leftChars="150" w:hanging="458" w:hangingChars="191"/>
        <w:rPr>
          <w:rFonts w:ascii="宋体" w:hAnsi="宋体" w:cs="宋体"/>
          <w:color w:val="auto"/>
          <w:sz w:val="24"/>
          <w:highlight w:val="none"/>
        </w:rPr>
      </w:pPr>
    </w:p>
    <w:p w14:paraId="27C201DF">
      <w:pPr>
        <w:pStyle w:val="119"/>
        <w:snapToGrid w:val="0"/>
        <w:spacing w:beforeLines="50" w:line="276" w:lineRule="auto"/>
        <w:ind w:firstLine="200"/>
        <w:rPr>
          <w:rFonts w:ascii="宋体" w:hAnsi="宋体" w:cs="宋体"/>
          <w:color w:val="auto"/>
          <w:szCs w:val="24"/>
          <w:highlight w:val="none"/>
        </w:rPr>
      </w:pPr>
    </w:p>
    <w:p w14:paraId="1A87613F">
      <w:pPr>
        <w:snapToGrid w:val="0"/>
        <w:spacing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5766B01B">
      <w:pPr>
        <w:snapToGrid w:val="0"/>
        <w:spacing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供应商公章：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A13A9DF">
      <w:pPr>
        <w:snapToGrid w:val="0"/>
        <w:spacing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436716DF">
      <w:pPr>
        <w:snapToGrid w:val="0"/>
        <w:spacing w:beforeLines="50" w:after="50" w:line="276" w:lineRule="auto"/>
        <w:ind w:firstLine="6240" w:firstLineChars="2600"/>
        <w:rPr>
          <w:rFonts w:ascii="宋体" w:hAnsi="宋体" w:cs="宋体"/>
          <w:color w:val="auto"/>
          <w:sz w:val="24"/>
          <w:highlight w:val="none"/>
        </w:rPr>
      </w:pPr>
    </w:p>
    <w:p w14:paraId="58BF87A4">
      <w:pPr>
        <w:snapToGrid w:val="0"/>
        <w:spacing w:beforeLines="50" w:after="50" w:line="276" w:lineRule="auto"/>
        <w:ind w:firstLine="6240" w:firstLineChars="2600"/>
        <w:rPr>
          <w:rFonts w:ascii="宋体" w:hAnsi="宋体" w:cs="宋体"/>
          <w:color w:val="auto"/>
          <w:sz w:val="24"/>
          <w:highlight w:val="none"/>
        </w:rPr>
      </w:pPr>
    </w:p>
    <w:p w14:paraId="69CDB7EF">
      <w:pPr>
        <w:snapToGrid w:val="0"/>
        <w:spacing w:beforeLines="50" w:after="50" w:line="276" w:lineRule="auto"/>
        <w:ind w:firstLine="6240" w:firstLineChars="2600"/>
        <w:rPr>
          <w:rFonts w:ascii="宋体" w:hAnsi="宋体" w:cs="宋体"/>
          <w:color w:val="auto"/>
          <w:sz w:val="24"/>
          <w:highlight w:val="none"/>
        </w:rPr>
      </w:pPr>
    </w:p>
    <w:p w14:paraId="16B7F8F5">
      <w:pPr>
        <w:snapToGrid w:val="0"/>
        <w:spacing w:beforeLines="50" w:after="50" w:line="276" w:lineRule="auto"/>
        <w:rPr>
          <w:rFonts w:ascii="宋体" w:hAnsi="宋体" w:cs="宋体"/>
          <w:color w:val="auto"/>
          <w:sz w:val="24"/>
          <w:highlight w:val="none"/>
        </w:rPr>
      </w:pPr>
    </w:p>
    <w:p w14:paraId="3DD2385D">
      <w:pPr>
        <w:pStyle w:val="5"/>
        <w:keepNext w:val="0"/>
        <w:keepLines w:val="0"/>
        <w:pageBreakBefore/>
        <w:spacing w:line="360" w:lineRule="auto"/>
        <w:rPr>
          <w:rFonts w:ascii="宋体" w:hAnsi="宋体" w:eastAsia="宋体" w:cs="宋体"/>
          <w:b w:val="0"/>
          <w:bCs w:val="0"/>
          <w:color w:val="auto"/>
          <w:sz w:val="24"/>
          <w:szCs w:val="24"/>
          <w:highlight w:val="none"/>
        </w:rPr>
      </w:pPr>
      <w:bookmarkStart w:id="49" w:name="_Toc24340"/>
      <w:bookmarkStart w:id="50" w:name="_Toc30843"/>
      <w:bookmarkStart w:id="51" w:name="_Toc3669"/>
      <w:bookmarkStart w:id="52" w:name="_Toc24603"/>
      <w:bookmarkStart w:id="53" w:name="_Toc23315"/>
      <w:bookmarkStart w:id="54" w:name="_Toc10320"/>
      <w:r>
        <w:rPr>
          <w:rFonts w:hint="eastAsia" w:ascii="宋体" w:hAnsi="宋体" w:eastAsia="宋体" w:cs="宋体"/>
          <w:b w:val="0"/>
          <w:bCs w:val="0"/>
          <w:color w:val="auto"/>
          <w:sz w:val="24"/>
          <w:szCs w:val="24"/>
          <w:highlight w:val="none"/>
        </w:rPr>
        <w:t>附件二：</w:t>
      </w:r>
      <w:bookmarkEnd w:id="49"/>
      <w:bookmarkEnd w:id="50"/>
      <w:r>
        <w:rPr>
          <w:rFonts w:hint="eastAsia" w:ascii="宋体" w:hAnsi="宋体" w:eastAsia="宋体" w:cs="宋体"/>
          <w:b w:val="0"/>
          <w:bCs w:val="0"/>
          <w:color w:val="auto"/>
          <w:sz w:val="24"/>
          <w:szCs w:val="24"/>
          <w:highlight w:val="none"/>
        </w:rPr>
        <w:t>符合参加政府采购活动应当具备的一般条件的承诺函</w:t>
      </w:r>
      <w:bookmarkEnd w:id="51"/>
      <w:bookmarkEnd w:id="52"/>
      <w:bookmarkEnd w:id="53"/>
    </w:p>
    <w:p w14:paraId="2E18E19D">
      <w:pPr>
        <w:pStyle w:val="35"/>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1CAFC017">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0BC1F85F">
      <w:pPr>
        <w:pStyle w:val="35"/>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645889E4">
      <w:pPr>
        <w:pStyle w:val="35"/>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4A28F915">
      <w:pPr>
        <w:pStyle w:val="35"/>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3DDB827E">
      <w:pPr>
        <w:pStyle w:val="35"/>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1820F67F">
      <w:pPr>
        <w:pStyle w:val="35"/>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6979FE26">
      <w:pPr>
        <w:pStyle w:val="35"/>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07F5080F">
      <w:pPr>
        <w:pStyle w:val="35"/>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43079EA7">
      <w:pPr>
        <w:pStyle w:val="35"/>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1EAB1B80">
      <w:pPr>
        <w:pStyle w:val="35"/>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02F95DFE">
      <w:pPr>
        <w:pStyle w:val="35"/>
        <w:spacing w:before="0" w:after="0" w:line="360" w:lineRule="auto"/>
        <w:ind w:left="480"/>
        <w:jc w:val="both"/>
        <w:rPr>
          <w:color w:val="auto"/>
          <w:kern w:val="2"/>
          <w:highlight w:val="none"/>
        </w:rPr>
      </w:pPr>
      <w:r>
        <w:rPr>
          <w:rFonts w:hint="eastAsia"/>
          <w:color w:val="auto"/>
          <w:kern w:val="2"/>
          <w:highlight w:val="none"/>
        </w:rPr>
        <w:t>（三）不存在以下情况：</w:t>
      </w:r>
    </w:p>
    <w:p w14:paraId="26B56D7B">
      <w:pPr>
        <w:pStyle w:val="35"/>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7B61D60E">
      <w:pPr>
        <w:pStyle w:val="35"/>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263213BE">
      <w:pPr>
        <w:pStyle w:val="35"/>
        <w:spacing w:before="0" w:after="0" w:line="360" w:lineRule="auto"/>
        <w:ind w:left="480"/>
        <w:jc w:val="both"/>
        <w:rPr>
          <w:color w:val="auto"/>
          <w:kern w:val="2"/>
          <w:highlight w:val="none"/>
        </w:rPr>
      </w:pPr>
    </w:p>
    <w:p w14:paraId="74810032">
      <w:pPr>
        <w:pStyle w:val="35"/>
        <w:spacing w:before="0" w:after="0" w:line="360" w:lineRule="auto"/>
        <w:ind w:left="480"/>
        <w:jc w:val="both"/>
        <w:rPr>
          <w:color w:val="auto"/>
          <w:kern w:val="2"/>
          <w:highlight w:val="none"/>
        </w:rPr>
      </w:pPr>
    </w:p>
    <w:p w14:paraId="060DA296">
      <w:pPr>
        <w:pStyle w:val="35"/>
        <w:spacing w:before="0" w:after="0" w:line="360" w:lineRule="auto"/>
        <w:ind w:left="480"/>
        <w:jc w:val="both"/>
        <w:rPr>
          <w:color w:val="auto"/>
          <w:kern w:val="2"/>
          <w:highlight w:val="none"/>
        </w:rPr>
      </w:pPr>
    </w:p>
    <w:p w14:paraId="1AEF481A">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03CC2292">
      <w:pPr>
        <w:snapToGrid w:val="0"/>
        <w:spacing w:beforeLines="50"/>
        <w:rPr>
          <w:rFonts w:ascii="宋体" w:hAnsi="宋体" w:cs="宋体"/>
          <w:color w:val="auto"/>
          <w:sz w:val="24"/>
          <w:highlight w:val="none"/>
        </w:rPr>
      </w:pPr>
      <w:r>
        <w:rPr>
          <w:rFonts w:hint="eastAsia" w:ascii="宋体" w:hAnsi="宋体" w:cs="宋体"/>
          <w:color w:val="auto"/>
          <w:spacing w:val="20"/>
          <w:sz w:val="24"/>
          <w:highlight w:val="none"/>
        </w:rPr>
        <w:t>供应商盖章：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321DA477">
      <w:pPr>
        <w:rPr>
          <w:rFonts w:ascii="宋体" w:hAnsi="宋体" w:cs="宋体"/>
          <w:color w:val="auto"/>
          <w:sz w:val="24"/>
          <w:highlight w:val="none"/>
        </w:rPr>
      </w:pPr>
    </w:p>
    <w:p w14:paraId="71E27241">
      <w:pPr>
        <w:pStyle w:val="5"/>
        <w:keepNext w:val="0"/>
        <w:keepLines w:val="0"/>
        <w:pageBreakBefore/>
        <w:spacing w:line="360" w:lineRule="auto"/>
        <w:rPr>
          <w:rFonts w:ascii="宋体" w:hAnsi="宋体" w:eastAsia="宋体" w:cs="宋体"/>
          <w:b w:val="0"/>
          <w:bCs w:val="0"/>
          <w:color w:val="auto"/>
          <w:sz w:val="24"/>
          <w:szCs w:val="24"/>
          <w:highlight w:val="none"/>
        </w:rPr>
      </w:pPr>
      <w:bookmarkStart w:id="55" w:name="_Toc29802"/>
      <w:r>
        <w:rPr>
          <w:rFonts w:hint="eastAsia" w:ascii="宋体" w:hAnsi="宋体" w:eastAsia="宋体" w:cs="宋体"/>
          <w:b w:val="0"/>
          <w:bCs w:val="0"/>
          <w:color w:val="auto"/>
          <w:sz w:val="24"/>
          <w:szCs w:val="24"/>
          <w:highlight w:val="none"/>
        </w:rPr>
        <w:t>附件三：</w:t>
      </w:r>
      <w:bookmarkEnd w:id="54"/>
      <w:bookmarkEnd w:id="55"/>
      <w:r>
        <w:rPr>
          <w:rFonts w:hint="eastAsia" w:ascii="宋体" w:hAnsi="宋体" w:eastAsia="宋体" w:cs="宋体"/>
          <w:b w:val="0"/>
          <w:bCs w:val="0"/>
          <w:color w:val="auto"/>
          <w:sz w:val="24"/>
          <w:szCs w:val="24"/>
          <w:highlight w:val="none"/>
        </w:rPr>
        <w:t>政府采购供应商诚信承诺书</w:t>
      </w:r>
    </w:p>
    <w:p w14:paraId="7E8741F6">
      <w:pPr>
        <w:widowControl/>
        <w:spacing w:before="100" w:beforeAutospacing="1" w:after="190"/>
        <w:jc w:val="center"/>
        <w:rPr>
          <w:rFonts w:ascii="Arial" w:hAnsi="Arial" w:cs="Arial"/>
          <w:kern w:val="0"/>
          <w:sz w:val="30"/>
          <w:szCs w:val="30"/>
        </w:rPr>
      </w:pPr>
      <w:bookmarkStart w:id="56" w:name="_Toc28821"/>
      <w:r>
        <w:rPr>
          <w:rFonts w:ascii="Arial" w:hAnsi="Arial" w:cs="Arial"/>
          <w:b/>
          <w:bCs/>
          <w:kern w:val="0"/>
          <w:sz w:val="30"/>
          <w:szCs w:val="30"/>
        </w:rPr>
        <w:t>政府采购供应商诚信承诺书</w:t>
      </w:r>
    </w:p>
    <w:p w14:paraId="5F1BADBF">
      <w:pPr>
        <w:widowControl/>
        <w:spacing w:before="100" w:beforeAutospacing="1" w:after="190"/>
        <w:jc w:val="left"/>
        <w:rPr>
          <w:rFonts w:ascii="Arial" w:hAnsi="Arial" w:cs="Arial"/>
          <w:b/>
          <w:kern w:val="0"/>
          <w:sz w:val="24"/>
        </w:rPr>
      </w:pPr>
      <w:r>
        <w:rPr>
          <w:rFonts w:hint="eastAsia" w:ascii="Arial" w:hAnsi="Arial" w:cs="Arial"/>
          <w:b/>
          <w:kern w:val="0"/>
          <w:sz w:val="24"/>
          <w:lang w:val="en-US" w:eastAsia="zh-CN"/>
        </w:rPr>
        <w:t>中科标禾工程项目管理有限公司</w:t>
      </w:r>
      <w:r>
        <w:rPr>
          <w:rFonts w:ascii="Arial" w:hAnsi="Arial" w:cs="Arial"/>
          <w:b/>
          <w:kern w:val="0"/>
          <w:sz w:val="24"/>
        </w:rPr>
        <w:t>：</w:t>
      </w:r>
    </w:p>
    <w:p w14:paraId="51AF1F3B">
      <w:pPr>
        <w:ind w:firstLine="480" w:firstLineChars="200"/>
        <w:rPr>
          <w:sz w:val="24"/>
        </w:rPr>
      </w:pPr>
      <w:r>
        <w:rPr>
          <w:kern w:val="0"/>
          <w:sz w:val="24"/>
        </w:rPr>
        <w:t>我公司自愿参与贵中心组织的</w:t>
      </w:r>
      <w:r>
        <w:rPr>
          <w:rFonts w:hint="eastAsia"/>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b/>
          <w:kern w:val="0"/>
          <w:sz w:val="24"/>
          <w:u w:val="single"/>
        </w:rPr>
        <w:t>项目</w:t>
      </w:r>
      <w:r>
        <w:rPr>
          <w:rFonts w:hint="eastAsia"/>
          <w:b/>
          <w:kern w:val="0"/>
          <w:sz w:val="24"/>
          <w:u w:val="single"/>
        </w:rPr>
        <w:t>（招标编号：</w:t>
      </w:r>
      <w:r>
        <w:rPr>
          <w:rFonts w:hint="eastAsia"/>
          <w:b/>
          <w:kern w:val="0"/>
          <w:sz w:val="24"/>
          <w:u w:val="single"/>
          <w:lang w:val="en-US" w:eastAsia="zh-CN"/>
        </w:rPr>
        <w:t xml:space="preserve">       </w:t>
      </w:r>
      <w:r>
        <w:rPr>
          <w:rFonts w:hint="eastAsia"/>
          <w:b/>
          <w:kern w:val="0"/>
          <w:sz w:val="24"/>
          <w:highlight w:val="none"/>
          <w:u w:val="single"/>
        </w:rPr>
        <w:t xml:space="preserve"> </w:t>
      </w:r>
      <w:r>
        <w:rPr>
          <w:rFonts w:hint="eastAsia"/>
          <w:b/>
          <w:kern w:val="0"/>
          <w:sz w:val="24"/>
          <w:u w:val="single"/>
        </w:rPr>
        <w:t>）</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23386119">
      <w:pPr>
        <w:spacing w:line="288" w:lineRule="auto"/>
        <w:ind w:firstLine="480" w:firstLineChars="200"/>
        <w:rPr>
          <w:sz w:val="24"/>
        </w:rPr>
      </w:pPr>
      <w:r>
        <w:rPr>
          <w:sz w:val="24"/>
        </w:rPr>
        <w:t>（一）提供虚假材料谋取中标的；</w:t>
      </w:r>
    </w:p>
    <w:p w14:paraId="0575603D">
      <w:pPr>
        <w:spacing w:line="288" w:lineRule="auto"/>
        <w:ind w:firstLine="480" w:firstLineChars="200"/>
        <w:rPr>
          <w:sz w:val="24"/>
        </w:rPr>
      </w:pPr>
      <w:r>
        <w:rPr>
          <w:sz w:val="24"/>
        </w:rPr>
        <w:t>（二）采取不正当手段诋毁、排挤</w:t>
      </w:r>
      <w:r>
        <w:fldChar w:fldCharType="begin"/>
      </w:r>
      <w:r>
        <w:instrText xml:space="preserve"> HYPERLINK "http://www.oh100.com/qita/" \t "_blank" </w:instrText>
      </w:r>
      <w:r>
        <w:fldChar w:fldCharType="separate"/>
      </w:r>
      <w:r>
        <w:rPr>
          <w:rStyle w:val="45"/>
          <w:color w:val="auto"/>
          <w:sz w:val="24"/>
        </w:rPr>
        <w:t>其他</w:t>
      </w:r>
      <w:r>
        <w:rPr>
          <w:rStyle w:val="45"/>
          <w:color w:val="auto"/>
          <w:sz w:val="24"/>
        </w:rPr>
        <w:fldChar w:fldCharType="end"/>
      </w:r>
      <w:r>
        <w:rPr>
          <w:sz w:val="24"/>
        </w:rPr>
        <w:t>供应商的；</w:t>
      </w:r>
    </w:p>
    <w:p w14:paraId="5220E3D3">
      <w:pPr>
        <w:spacing w:line="288" w:lineRule="auto"/>
        <w:ind w:firstLine="480" w:firstLineChars="200"/>
        <w:rPr>
          <w:sz w:val="24"/>
        </w:rPr>
      </w:pPr>
      <w:r>
        <w:rPr>
          <w:sz w:val="24"/>
        </w:rPr>
        <w:t>（三）与招标采购单位、其他投标人恶意串通的；</w:t>
      </w:r>
    </w:p>
    <w:p w14:paraId="101AE014">
      <w:pPr>
        <w:spacing w:line="288" w:lineRule="auto"/>
        <w:ind w:firstLine="480" w:firstLineChars="200"/>
        <w:rPr>
          <w:sz w:val="24"/>
        </w:rPr>
      </w:pPr>
      <w:r>
        <w:rPr>
          <w:sz w:val="24"/>
        </w:rPr>
        <w:t>（四）向招标采购单位行贿或提供其他不正当利益的；</w:t>
      </w:r>
    </w:p>
    <w:p w14:paraId="2CA79753">
      <w:pPr>
        <w:spacing w:line="288" w:lineRule="auto"/>
        <w:ind w:firstLine="480" w:firstLineChars="200"/>
        <w:rPr>
          <w:sz w:val="24"/>
        </w:rPr>
      </w:pPr>
      <w:r>
        <w:rPr>
          <w:sz w:val="24"/>
        </w:rPr>
        <w:t>（五）在招标过程中与招标采购单位进行协商谈判、不按照招标文件和投标文件订立合同，或者与采购人另立背离合同实质性内容协议的；</w:t>
      </w:r>
    </w:p>
    <w:p w14:paraId="14681BCD">
      <w:pPr>
        <w:spacing w:line="288" w:lineRule="auto"/>
        <w:ind w:firstLine="600" w:firstLineChars="250"/>
        <w:rPr>
          <w:sz w:val="24"/>
        </w:rPr>
      </w:pPr>
      <w:r>
        <w:rPr>
          <w:sz w:val="24"/>
        </w:rPr>
        <w:t>（</w:t>
      </w:r>
      <w:r>
        <w:rPr>
          <w:rFonts w:hint="eastAsia"/>
          <w:sz w:val="24"/>
        </w:rPr>
        <w:t>六</w:t>
      </w:r>
      <w:r>
        <w:rPr>
          <w:sz w:val="24"/>
        </w:rPr>
        <w:t>）中标后无正当理由，在规定时间内不与采购单位签订合同的；</w:t>
      </w:r>
    </w:p>
    <w:p w14:paraId="3C237FAE">
      <w:pPr>
        <w:spacing w:line="288" w:lineRule="auto"/>
        <w:ind w:firstLine="600" w:firstLineChars="250"/>
        <w:rPr>
          <w:sz w:val="24"/>
        </w:rPr>
      </w:pPr>
      <w:r>
        <w:rPr>
          <w:sz w:val="24"/>
        </w:rPr>
        <w:t>（</w:t>
      </w:r>
      <w:r>
        <w:rPr>
          <w:rFonts w:hint="eastAsia"/>
          <w:sz w:val="24"/>
        </w:rPr>
        <w:t>七</w:t>
      </w:r>
      <w:r>
        <w:rPr>
          <w:sz w:val="24"/>
        </w:rPr>
        <w:t>）将中标项目转让给他人或非法分包他人的；</w:t>
      </w:r>
    </w:p>
    <w:p w14:paraId="0BF7EBF9">
      <w:pPr>
        <w:spacing w:line="288" w:lineRule="auto"/>
        <w:ind w:firstLine="600" w:firstLineChars="250"/>
        <w:rPr>
          <w:sz w:val="24"/>
        </w:rPr>
      </w:pPr>
      <w:r>
        <w:rPr>
          <w:sz w:val="24"/>
        </w:rPr>
        <w:t>（</w:t>
      </w:r>
      <w:r>
        <w:rPr>
          <w:rFonts w:hint="eastAsia"/>
          <w:sz w:val="24"/>
        </w:rPr>
        <w:t>八</w:t>
      </w:r>
      <w:r>
        <w:rPr>
          <w:sz w:val="24"/>
        </w:rPr>
        <w:t>）无正当理由，拒绝履行合同义务的；</w:t>
      </w:r>
    </w:p>
    <w:p w14:paraId="2FA500A9">
      <w:pPr>
        <w:spacing w:line="288" w:lineRule="auto"/>
        <w:ind w:firstLine="600" w:firstLineChars="250"/>
        <w:rPr>
          <w:sz w:val="24"/>
        </w:rPr>
      </w:pPr>
      <w:r>
        <w:rPr>
          <w:sz w:val="24"/>
        </w:rPr>
        <w:t>（</w:t>
      </w:r>
      <w:r>
        <w:rPr>
          <w:rFonts w:hint="eastAsia"/>
          <w:sz w:val="24"/>
        </w:rPr>
        <w:t>九</w:t>
      </w:r>
      <w:r>
        <w:rPr>
          <w:sz w:val="24"/>
        </w:rPr>
        <w:t>）无正当理由放弃中标（成交）项目的；</w:t>
      </w:r>
    </w:p>
    <w:p w14:paraId="4CC582E7">
      <w:pPr>
        <w:spacing w:line="288" w:lineRule="auto"/>
        <w:ind w:firstLine="600" w:firstLineChars="250"/>
        <w:rPr>
          <w:sz w:val="24"/>
        </w:rPr>
      </w:pPr>
      <w:r>
        <w:rPr>
          <w:sz w:val="24"/>
        </w:rPr>
        <w:t>（十）擅自或与采购人串通或接受采购人要求，在履约合同中通过减少货物数量，更换品牌、降低配置、技术要求、质量和服务标准等，却仍按原合同进行虚假验收或终止政府采购合同的；</w:t>
      </w:r>
    </w:p>
    <w:p w14:paraId="749D92AD">
      <w:pPr>
        <w:spacing w:line="288" w:lineRule="auto"/>
        <w:ind w:firstLine="480" w:firstLineChars="200"/>
        <w:rPr>
          <w:sz w:val="24"/>
        </w:rPr>
      </w:pPr>
      <w:r>
        <w:rPr>
          <w:sz w:val="24"/>
        </w:rPr>
        <w:t>（十</w:t>
      </w:r>
      <w:r>
        <w:rPr>
          <w:rFonts w:hint="eastAsia"/>
          <w:sz w:val="24"/>
        </w:rPr>
        <w:t>一</w:t>
      </w:r>
      <w:r>
        <w:rPr>
          <w:sz w:val="24"/>
        </w:rPr>
        <w:t>）与采购人串通，对尚未履约完毕的采购项目出具虚假验收报告的；</w:t>
      </w:r>
    </w:p>
    <w:p w14:paraId="3937A71A">
      <w:pPr>
        <w:spacing w:line="288" w:lineRule="auto"/>
        <w:ind w:firstLine="480" w:firstLineChars="200"/>
        <w:rPr>
          <w:sz w:val="24"/>
        </w:rPr>
      </w:pPr>
      <w:r>
        <w:rPr>
          <w:sz w:val="24"/>
        </w:rPr>
        <w:t>（十</w:t>
      </w:r>
      <w:r>
        <w:rPr>
          <w:rFonts w:hint="eastAsia"/>
          <w:sz w:val="24"/>
        </w:rPr>
        <w:t>二</w:t>
      </w:r>
      <w:r>
        <w:rPr>
          <w:sz w:val="24"/>
        </w:rPr>
        <w:t>）无不可抗力因素，拒绝提供售后服务、售后服务态度恶劣、故意提高维修配件价格（高于市场平均价）的；</w:t>
      </w:r>
    </w:p>
    <w:p w14:paraId="38FA54B3">
      <w:pPr>
        <w:spacing w:line="288" w:lineRule="auto"/>
        <w:ind w:firstLine="480" w:firstLineChars="200"/>
        <w:rPr>
          <w:sz w:val="24"/>
        </w:rPr>
      </w:pPr>
      <w:r>
        <w:rPr>
          <w:sz w:val="24"/>
        </w:rPr>
        <w:t>（十</w:t>
      </w:r>
      <w:r>
        <w:rPr>
          <w:rFonts w:hint="eastAsia"/>
          <w:sz w:val="24"/>
        </w:rPr>
        <w:t>三</w:t>
      </w:r>
      <w:r>
        <w:rPr>
          <w:sz w:val="24"/>
        </w:rPr>
        <w:t>）开标后对招标文件的相关内容再进行质疑的；</w:t>
      </w:r>
    </w:p>
    <w:p w14:paraId="063554B2">
      <w:pPr>
        <w:spacing w:line="288" w:lineRule="auto"/>
        <w:ind w:firstLine="480" w:firstLineChars="200"/>
        <w:rPr>
          <w:sz w:val="24"/>
        </w:rPr>
      </w:pPr>
      <w:r>
        <w:rPr>
          <w:sz w:val="24"/>
        </w:rPr>
        <w:t>（十</w:t>
      </w:r>
      <w:r>
        <w:rPr>
          <w:rFonts w:hint="eastAsia"/>
          <w:sz w:val="24"/>
        </w:rPr>
        <w:t>四</w:t>
      </w:r>
      <w:r>
        <w:rPr>
          <w:sz w:val="24"/>
        </w:rPr>
        <w:t>）恶意投诉的行为：投诉经查无实据的、捏造事实或者提供虚假投诉材料的；</w:t>
      </w:r>
    </w:p>
    <w:p w14:paraId="145E7085">
      <w:pPr>
        <w:spacing w:line="288" w:lineRule="auto"/>
        <w:ind w:firstLine="480" w:firstLineChars="200"/>
        <w:rPr>
          <w:sz w:val="24"/>
        </w:rPr>
      </w:pPr>
      <w:r>
        <w:rPr>
          <w:sz w:val="24"/>
        </w:rPr>
        <w:t>（十</w:t>
      </w:r>
      <w:r>
        <w:rPr>
          <w:rFonts w:hint="eastAsia"/>
          <w:sz w:val="24"/>
        </w:rPr>
        <w:t>五</w:t>
      </w:r>
      <w:r>
        <w:rPr>
          <w:sz w:val="24"/>
        </w:rPr>
        <w:t>）拒绝有关部门监督检查或者提供虚假情况的；</w:t>
      </w:r>
    </w:p>
    <w:p w14:paraId="2C7DC767">
      <w:pPr>
        <w:spacing w:line="288" w:lineRule="auto"/>
        <w:ind w:firstLine="480" w:firstLineChars="200"/>
        <w:rPr>
          <w:sz w:val="24"/>
        </w:rPr>
      </w:pPr>
      <w:r>
        <w:rPr>
          <w:sz w:val="24"/>
        </w:rPr>
        <w:t>（十</w:t>
      </w:r>
      <w:r>
        <w:rPr>
          <w:rFonts w:hint="eastAsia"/>
          <w:sz w:val="24"/>
        </w:rPr>
        <w:t>六</w:t>
      </w:r>
      <w:r>
        <w:rPr>
          <w:sz w:val="24"/>
        </w:rPr>
        <w:t>）财政、监察部门认定的其他不诚信行为。</w:t>
      </w:r>
    </w:p>
    <w:p w14:paraId="05ECE42A">
      <w:pPr>
        <w:spacing w:line="288" w:lineRule="auto"/>
        <w:ind w:firstLine="480" w:firstLineChars="200"/>
        <w:rPr>
          <w:sz w:val="24"/>
        </w:rPr>
      </w:pPr>
      <w:r>
        <w:rPr>
          <w:rFonts w:hint="eastAsia"/>
          <w:sz w:val="24"/>
        </w:rPr>
        <w:t>（十七）招标文件规定的其他不诚信行为。</w:t>
      </w:r>
    </w:p>
    <w:p w14:paraId="392BDED8">
      <w:pPr>
        <w:spacing w:line="288" w:lineRule="auto"/>
        <w:ind w:firstLine="5760" w:firstLineChars="2400"/>
        <w:rPr>
          <w:sz w:val="24"/>
        </w:rPr>
      </w:pPr>
      <w:r>
        <w:rPr>
          <w:sz w:val="24"/>
        </w:rPr>
        <w:t>公司名称</w:t>
      </w:r>
      <w:r>
        <w:rPr>
          <w:rFonts w:hint="eastAsia"/>
          <w:sz w:val="24"/>
        </w:rPr>
        <w:t>：</w:t>
      </w:r>
      <w:r>
        <w:rPr>
          <w:sz w:val="24"/>
        </w:rPr>
        <w:t>（盖章）</w:t>
      </w:r>
    </w:p>
    <w:p w14:paraId="68BCE929">
      <w:pPr>
        <w:spacing w:line="288" w:lineRule="auto"/>
        <w:ind w:firstLine="5760" w:firstLineChars="2400"/>
        <w:rPr>
          <w:rFonts w:ascii="宋体" w:hAnsi="宋体"/>
          <w:b/>
          <w:sz w:val="24"/>
        </w:rPr>
      </w:pPr>
      <w:r>
        <w:rPr>
          <w:sz w:val="24"/>
        </w:rPr>
        <w:t>年 月 日</w:t>
      </w:r>
    </w:p>
    <w:p w14:paraId="0D72B778">
      <w:pPr>
        <w:pStyle w:val="5"/>
        <w:keepNext w:val="0"/>
        <w:keepLines w:val="0"/>
        <w:pageBreakBefore/>
        <w:spacing w:line="276"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附件四：法定代表人授权委托书</w:t>
      </w:r>
      <w:bookmarkEnd w:id="56"/>
    </w:p>
    <w:p w14:paraId="27FF9CEF">
      <w:pPr>
        <w:snapToGrid w:val="0"/>
        <w:spacing w:beforeLines="50" w:after="50" w:line="276" w:lineRule="auto"/>
        <w:jc w:val="center"/>
        <w:rPr>
          <w:rFonts w:ascii="宋体" w:hAnsi="宋体" w:cs="宋体"/>
          <w:b/>
          <w:color w:val="auto"/>
          <w:sz w:val="24"/>
          <w:highlight w:val="none"/>
        </w:rPr>
      </w:pPr>
      <w:r>
        <w:rPr>
          <w:rFonts w:hint="eastAsia" w:ascii="宋体" w:hAnsi="宋体" w:cs="宋体"/>
          <w:b/>
          <w:color w:val="auto"/>
          <w:sz w:val="24"/>
          <w:highlight w:val="none"/>
        </w:rPr>
        <w:t>法定代表人授权委托书</w:t>
      </w:r>
    </w:p>
    <w:p w14:paraId="180100D6">
      <w:pPr>
        <w:snapToGrid w:val="0"/>
        <w:spacing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45E812C6">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（供应商名称）的法定代表人，现授权委托本单位在职职工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 xml:space="preserve">东阳市巍山镇金塘山塘综合整治工程（第三次） </w:t>
      </w:r>
      <w:r>
        <w:rPr>
          <w:rFonts w:hint="eastAsia" w:ascii="宋体" w:hAnsi="宋体" w:cs="宋体"/>
          <w:color w:val="auto"/>
          <w:sz w:val="24"/>
          <w:highlight w:val="none"/>
        </w:rPr>
        <w:t>的磋商活动，并代表我方全权办理针对上述项目的磋商、开标、签约等具体事务和签署相关文件。</w:t>
      </w:r>
    </w:p>
    <w:p w14:paraId="6F6FEA09">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0CF49AA1">
      <w:pPr>
        <w:snapToGrid w:val="0"/>
        <w:spacing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4A528F9B">
      <w:pPr>
        <w:snapToGrid w:val="0"/>
        <w:spacing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628A2E9C">
      <w:pPr>
        <w:snapToGrid w:val="0"/>
        <w:spacing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14:paraId="6C51DF18">
      <w:pPr>
        <w:snapToGrid w:val="0"/>
        <w:spacing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657D6F73">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38"/>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2AC00C0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651643DD">
            <w:pPr>
              <w:snapToGrid w:val="0"/>
              <w:spacing w:beforeLines="50" w:after="50" w:line="276" w:lineRule="auto"/>
              <w:rPr>
                <w:rFonts w:ascii="宋体" w:hAnsi="宋体" w:cs="宋体"/>
                <w:color w:val="auto"/>
                <w:sz w:val="24"/>
                <w:highlight w:val="none"/>
              </w:rPr>
            </w:pPr>
          </w:p>
          <w:p w14:paraId="034B023B">
            <w:pPr>
              <w:snapToGrid w:val="0"/>
              <w:spacing w:beforeLines="50" w:after="50" w:line="276" w:lineRule="auto"/>
              <w:rPr>
                <w:rFonts w:ascii="宋体" w:hAnsi="宋体" w:cs="宋体"/>
                <w:color w:val="auto"/>
                <w:sz w:val="24"/>
                <w:highlight w:val="none"/>
              </w:rPr>
            </w:pPr>
          </w:p>
          <w:p w14:paraId="5952E85E">
            <w:pPr>
              <w:snapToGrid w:val="0"/>
              <w:spacing w:beforeLines="50" w:after="50" w:line="276" w:lineRule="auto"/>
              <w:rPr>
                <w:rFonts w:ascii="宋体" w:hAnsi="宋体" w:cs="宋体"/>
                <w:color w:val="auto"/>
                <w:sz w:val="24"/>
                <w:highlight w:val="none"/>
              </w:rPr>
            </w:pPr>
          </w:p>
          <w:p w14:paraId="261C9F7B">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547D441B">
            <w:pPr>
              <w:snapToGrid w:val="0"/>
              <w:spacing w:beforeLines="50" w:after="50" w:line="276" w:lineRule="auto"/>
              <w:jc w:val="center"/>
              <w:rPr>
                <w:rFonts w:ascii="宋体" w:hAnsi="宋体" w:cs="宋体"/>
                <w:color w:val="auto"/>
                <w:sz w:val="24"/>
                <w:highlight w:val="none"/>
              </w:rPr>
            </w:pPr>
          </w:p>
          <w:p w14:paraId="2DF17893">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22714A4D">
            <w:pPr>
              <w:snapToGrid w:val="0"/>
              <w:spacing w:beforeLines="50" w:after="50" w:line="276" w:lineRule="auto"/>
              <w:jc w:val="center"/>
              <w:rPr>
                <w:rFonts w:ascii="宋体" w:hAnsi="宋体" w:cs="宋体"/>
                <w:color w:val="auto"/>
                <w:sz w:val="24"/>
                <w:highlight w:val="none"/>
              </w:rPr>
            </w:pPr>
          </w:p>
          <w:p w14:paraId="0B9D7F5D">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390E6C12">
      <w:pPr>
        <w:snapToGrid w:val="0"/>
        <w:spacing w:beforeLines="50" w:after="50" w:line="276" w:lineRule="auto"/>
        <w:rPr>
          <w:rFonts w:ascii="宋体" w:hAnsi="宋体" w:cs="宋体"/>
          <w:color w:val="auto"/>
          <w:sz w:val="24"/>
          <w:highlight w:val="none"/>
        </w:rPr>
      </w:pPr>
    </w:p>
    <w:p w14:paraId="7E007FAC">
      <w:pPr>
        <w:snapToGrid w:val="0"/>
        <w:spacing w:beforeLines="50" w:after="50" w:line="276" w:lineRule="auto"/>
        <w:rPr>
          <w:rFonts w:ascii="宋体" w:hAnsi="宋体" w:cs="宋体"/>
          <w:color w:val="auto"/>
          <w:sz w:val="24"/>
          <w:highlight w:val="none"/>
        </w:rPr>
      </w:pPr>
    </w:p>
    <w:p w14:paraId="35B82B79">
      <w:pPr>
        <w:snapToGrid w:val="0"/>
        <w:spacing w:beforeLines="50" w:after="50" w:line="276" w:lineRule="auto"/>
        <w:rPr>
          <w:rFonts w:ascii="宋体" w:hAnsi="宋体" w:cs="宋体"/>
          <w:color w:val="auto"/>
          <w:sz w:val="24"/>
          <w:highlight w:val="none"/>
        </w:rPr>
      </w:pPr>
    </w:p>
    <w:p w14:paraId="3AD4A9B5">
      <w:pPr>
        <w:snapToGrid w:val="0"/>
        <w:spacing w:beforeLines="50" w:after="50" w:line="276" w:lineRule="auto"/>
        <w:rPr>
          <w:rFonts w:ascii="宋体" w:hAnsi="宋体" w:cs="宋体"/>
          <w:color w:val="auto"/>
          <w:sz w:val="24"/>
          <w:highlight w:val="none"/>
        </w:rPr>
      </w:pPr>
    </w:p>
    <w:p w14:paraId="07D7F517">
      <w:pPr>
        <w:snapToGrid w:val="0"/>
        <w:spacing w:beforeLines="50" w:after="50" w:line="276" w:lineRule="auto"/>
        <w:rPr>
          <w:rFonts w:ascii="宋体" w:hAnsi="宋体" w:cs="宋体"/>
          <w:color w:val="auto"/>
          <w:sz w:val="24"/>
          <w:highlight w:val="none"/>
        </w:rPr>
      </w:pPr>
    </w:p>
    <w:p w14:paraId="052ABCBA">
      <w:pPr>
        <w:snapToGrid w:val="0"/>
        <w:spacing w:beforeLines="50" w:after="50" w:line="276" w:lineRule="auto"/>
        <w:rPr>
          <w:rFonts w:ascii="宋体" w:hAnsi="宋体" w:cs="宋体"/>
          <w:color w:val="auto"/>
          <w:sz w:val="24"/>
          <w:highlight w:val="none"/>
        </w:rPr>
      </w:pPr>
    </w:p>
    <w:p w14:paraId="6C674E05">
      <w:pPr>
        <w:snapToGrid w:val="0"/>
        <w:spacing w:beforeLines="50" w:after="50" w:line="276" w:lineRule="auto"/>
        <w:rPr>
          <w:rFonts w:ascii="宋体" w:hAnsi="宋体" w:cs="宋体"/>
          <w:color w:val="auto"/>
          <w:sz w:val="24"/>
          <w:highlight w:val="none"/>
        </w:rPr>
      </w:pPr>
    </w:p>
    <w:p w14:paraId="7D4956DB">
      <w:pPr>
        <w:snapToGrid w:val="0"/>
        <w:spacing w:beforeLines="50" w:after="50" w:line="276" w:lineRule="auto"/>
        <w:rPr>
          <w:rFonts w:ascii="宋体" w:hAnsi="宋体" w:cs="宋体"/>
          <w:color w:val="auto"/>
          <w:sz w:val="24"/>
          <w:highlight w:val="none"/>
        </w:rPr>
      </w:pPr>
    </w:p>
    <w:p w14:paraId="43BB50E2">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23137DB">
      <w:pPr>
        <w:snapToGrid w:val="0"/>
        <w:spacing w:beforeLines="50" w:after="50" w:line="276" w:lineRule="auto"/>
        <w:rPr>
          <w:rFonts w:ascii="宋体" w:hAnsi="宋体" w:cs="宋体"/>
          <w:color w:val="auto"/>
          <w:sz w:val="24"/>
          <w:highlight w:val="none"/>
        </w:rPr>
      </w:pPr>
    </w:p>
    <w:p w14:paraId="747A86E5">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0EDE4D8C">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3DB695F9">
      <w:pPr>
        <w:snapToGrid w:val="0"/>
        <w:spacing w:beforeLines="50" w:after="50" w:line="276" w:lineRule="auto"/>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注；此表格格式不得修改。</w:t>
      </w:r>
    </w:p>
    <w:p w14:paraId="40A5BC35">
      <w:pPr>
        <w:pStyle w:val="5"/>
        <w:keepNext w:val="0"/>
        <w:keepLines w:val="0"/>
        <w:pageBreakBefore/>
        <w:spacing w:line="276" w:lineRule="auto"/>
        <w:rPr>
          <w:rFonts w:ascii="宋体" w:hAnsi="宋体" w:eastAsia="宋体" w:cs="宋体"/>
          <w:b w:val="0"/>
          <w:color w:val="auto"/>
          <w:sz w:val="24"/>
          <w:szCs w:val="24"/>
          <w:highlight w:val="none"/>
        </w:rPr>
      </w:pPr>
      <w:bookmarkStart w:id="57" w:name="_Toc22508"/>
      <w:bookmarkStart w:id="58" w:name="_Toc25167"/>
      <w:bookmarkStart w:id="59" w:name="_Toc1789"/>
      <w:r>
        <w:rPr>
          <w:rFonts w:hint="eastAsia" w:ascii="宋体" w:hAnsi="宋体" w:eastAsia="宋体" w:cs="宋体"/>
          <w:b w:val="0"/>
          <w:color w:val="auto"/>
          <w:sz w:val="24"/>
          <w:szCs w:val="24"/>
          <w:highlight w:val="none"/>
        </w:rPr>
        <w:t>附件五：联合体协议</w:t>
      </w:r>
      <w:bookmarkEnd w:id="57"/>
      <w:bookmarkEnd w:id="58"/>
      <w:bookmarkEnd w:id="59"/>
    </w:p>
    <w:p w14:paraId="745F2071">
      <w:pPr>
        <w:jc w:val="center"/>
        <w:rPr>
          <w:b/>
          <w:bCs/>
          <w:color w:val="auto"/>
          <w:sz w:val="32"/>
          <w:szCs w:val="32"/>
          <w:highlight w:val="none"/>
        </w:rPr>
      </w:pPr>
      <w:r>
        <w:rPr>
          <w:rFonts w:hint="eastAsia" w:ascii="宋体" w:hAnsi="宋体" w:cs="宋体"/>
          <w:b/>
          <w:bCs/>
          <w:color w:val="auto"/>
          <w:sz w:val="32"/>
          <w:szCs w:val="32"/>
          <w:highlight w:val="none"/>
        </w:rPr>
        <w:t>联合体协议</w:t>
      </w:r>
    </w:p>
    <w:p w14:paraId="7A888A31">
      <w:pPr>
        <w:snapToGrid w:val="0"/>
        <w:spacing w:line="360" w:lineRule="auto"/>
        <w:ind w:firstLine="576"/>
        <w:rPr>
          <w:rFonts w:ascii="仿宋_GB2312" w:hAnsi="仿宋" w:eastAsia="仿宋_GB2312" w:cs="仿宋_GB2312"/>
          <w:b/>
          <w:bCs/>
          <w:color w:val="auto"/>
          <w:kern w:val="0"/>
          <w:sz w:val="24"/>
          <w:highlight w:val="none"/>
          <w:u w:val="single"/>
        </w:rPr>
      </w:pPr>
      <w:r>
        <w:rPr>
          <w:rFonts w:hint="eastAsia" w:ascii="仿宋_GB2312" w:hAnsi="仿宋" w:eastAsia="仿宋_GB2312" w:cs="仿宋_GB2312"/>
          <w:b/>
          <w:bCs/>
          <w:color w:val="auto"/>
          <w:kern w:val="0"/>
          <w:sz w:val="24"/>
          <w:highlight w:val="none"/>
          <w:u w:val="single"/>
        </w:rPr>
        <w:t>（以联合体形式投标的，提供联合协议；本项目不接受联合体投标或者供应商不以联合体形式投标的，则不需要提供）</w:t>
      </w:r>
    </w:p>
    <w:p w14:paraId="198A007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组成一个联合体，以一个供应商的身份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1AFB718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61AF4E8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授权代表根据竞争性磋商文件规定及投标内容而对采购人、采购机构所作的任何合法承诺，包括书面澄清及相应等均对联合投标各方产生约束力。</w:t>
      </w:r>
    </w:p>
    <w:p w14:paraId="11B224A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2057C30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提供的全部货物/服务由小微企业制造/服务，其合同份额占到合同总金额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3C3A8B8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07D65A3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1D40074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1371A06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2FDE5C4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135E0D81">
      <w:pPr>
        <w:snapToGrid w:val="0"/>
        <w:spacing w:line="360" w:lineRule="auto"/>
        <w:ind w:firstLine="5040" w:firstLineChars="2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14:paraId="7F517CBA">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72A96881">
      <w:pPr>
        <w:snapToGrid w:val="0"/>
        <w:spacing w:line="360" w:lineRule="auto"/>
        <w:ind w:right="480"/>
        <w:rPr>
          <w:rFonts w:asciiTheme="minorEastAsia" w:hAnsiTheme="minorEastAsia" w:eastAsiaTheme="minorEastAsia" w:cstheme="minorEastAsia"/>
          <w:b/>
          <w:color w:val="auto"/>
          <w:kern w:val="0"/>
          <w:sz w:val="32"/>
          <w:szCs w:val="32"/>
          <w:highlight w:val="none"/>
          <w:lang w:val="zh-CN"/>
        </w:rPr>
        <w:sectPr>
          <w:pgSz w:w="11906" w:h="16838"/>
          <w:pgMar w:top="1276" w:right="1361" w:bottom="1247" w:left="1418" w:header="851" w:footer="992" w:gutter="0"/>
          <w:cols w:space="720" w:num="1"/>
          <w:docGrid w:linePitch="312" w:charSpace="0"/>
        </w:sectPr>
      </w:pPr>
    </w:p>
    <w:p w14:paraId="6AEAA6FC">
      <w:pPr>
        <w:pStyle w:val="5"/>
        <w:rPr>
          <w:rFonts w:ascii="宋体" w:hAnsi="宋体" w:eastAsia="宋体" w:cs="宋体"/>
          <w:b w:val="0"/>
          <w:color w:val="auto"/>
          <w:sz w:val="24"/>
          <w:szCs w:val="24"/>
          <w:highlight w:val="none"/>
        </w:rPr>
      </w:pPr>
      <w:bookmarkStart w:id="60" w:name="_Toc20690"/>
      <w:bookmarkStart w:id="61" w:name="_Toc16508"/>
      <w:bookmarkStart w:id="62" w:name="_Toc2319"/>
      <w:r>
        <w:rPr>
          <w:rFonts w:hint="eastAsia" w:ascii="宋体" w:hAnsi="宋体" w:eastAsia="宋体" w:cs="宋体"/>
          <w:b w:val="0"/>
          <w:color w:val="auto"/>
          <w:sz w:val="24"/>
          <w:szCs w:val="24"/>
          <w:highlight w:val="none"/>
        </w:rPr>
        <w:t>附件六：分包意向协议</w:t>
      </w:r>
      <w:bookmarkEnd w:id="60"/>
      <w:bookmarkEnd w:id="61"/>
      <w:bookmarkEnd w:id="62"/>
    </w:p>
    <w:p w14:paraId="67BCCA72">
      <w:pPr>
        <w:snapToGrid w:val="0"/>
        <w:spacing w:line="360" w:lineRule="auto"/>
        <w:ind w:firstLine="3534" w:firstLineChars="110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分包意向协议</w:t>
      </w:r>
    </w:p>
    <w:p w14:paraId="7CFD195E">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中标后以分包方式履行合同的，提供分包意向协议；采购人不同意分包或者供应商中标后不以分包方式履行合同的，则不需要提供。</w:t>
      </w:r>
      <w:r>
        <w:rPr>
          <w:rFonts w:hint="eastAsia" w:asciiTheme="minorEastAsia" w:hAnsiTheme="minorEastAsia" w:eastAsiaTheme="minorEastAsia" w:cstheme="minorEastAsia"/>
          <w:color w:val="auto"/>
          <w:sz w:val="24"/>
          <w:highlight w:val="none"/>
        </w:rPr>
        <w:t>）</w:t>
      </w:r>
    </w:p>
    <w:p w14:paraId="1BECF6C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（供应商名称）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（供应商名称）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15EEDA0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585FB0F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（供应商名称）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36AD6086">
      <w:pPr>
        <w:snapToGrid w:val="0"/>
        <w:spacing w:line="360" w:lineRule="auto"/>
        <w:ind w:firstLine="576"/>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u w:val="single"/>
        </w:rPr>
        <w:t>……</w:t>
      </w:r>
    </w:p>
    <w:p w14:paraId="63F82D5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二、分包工作履行期限、地点、方式</w:t>
      </w:r>
    </w:p>
    <w:p w14:paraId="5343BA90">
      <w:pPr>
        <w:snapToGrid w:val="0"/>
        <w:spacing w:line="360" w:lineRule="auto"/>
        <w:ind w:firstLine="576"/>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4E1D045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三、质量</w:t>
      </w:r>
    </w:p>
    <w:p w14:paraId="2B98AB5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67E04EC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四、价款或者报酬</w:t>
      </w:r>
    </w:p>
    <w:p w14:paraId="1A4B3002">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34BC2784">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五、违约责任</w:t>
      </w:r>
    </w:p>
    <w:p w14:paraId="620EA99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09C786C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六、争议解决的办法</w:t>
      </w:r>
    </w:p>
    <w:p w14:paraId="368128E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6F6845B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七、其他</w:t>
      </w:r>
    </w:p>
    <w:p w14:paraId="03AD1EB1">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（分包供应商名称）提供的货物/服务全部由小微企业制造/服务，</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sz w:val="24"/>
          <w:highlight w:val="none"/>
        </w:rPr>
        <w:t>。</w:t>
      </w:r>
    </w:p>
    <w:p w14:paraId="2E9952FE">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供应商名称(盖章)：</w:t>
      </w:r>
    </w:p>
    <w:p w14:paraId="0CF4B275">
      <w:pPr>
        <w:snapToGrid w:val="0"/>
        <w:spacing w:line="360" w:lineRule="auto"/>
        <w:ind w:firstLine="5640" w:firstLineChars="23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w:t>
      </w:r>
    </w:p>
    <w:p w14:paraId="209EFE99">
      <w:pPr>
        <w:snapToGrid w:val="0"/>
        <w:spacing w:line="360" w:lineRule="auto"/>
        <w:ind w:firstLine="5760" w:firstLineChars="2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w:t>
      </w:r>
    </w:p>
    <w:p w14:paraId="273FB96A">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30FB0452">
      <w:pPr>
        <w:pStyle w:val="5"/>
        <w:rPr>
          <w:rFonts w:ascii="宋体" w:hAnsi="宋体" w:eastAsia="宋体" w:cs="宋体"/>
          <w:b w:val="0"/>
          <w:color w:val="auto"/>
          <w:sz w:val="24"/>
          <w:szCs w:val="24"/>
          <w:highlight w:val="none"/>
        </w:rPr>
      </w:pPr>
      <w:bookmarkStart w:id="63" w:name="_Toc1419"/>
      <w:r>
        <w:rPr>
          <w:rFonts w:hint="eastAsia" w:ascii="宋体" w:hAnsi="宋体" w:eastAsia="宋体" w:cs="宋体"/>
          <w:b w:val="0"/>
          <w:color w:val="auto"/>
          <w:sz w:val="24"/>
          <w:szCs w:val="24"/>
          <w:highlight w:val="none"/>
        </w:rPr>
        <w:t>附件七：供应商资信商务、技术自评得分表</w:t>
      </w:r>
      <w:bookmarkEnd w:id="63"/>
    </w:p>
    <w:p w14:paraId="3B41B7B2">
      <w:pPr>
        <w:jc w:val="left"/>
        <w:rPr>
          <w:rFonts w:ascii="宋体" w:hAnsi="宋体" w:cs="宋体"/>
          <w:color w:val="auto"/>
          <w:sz w:val="24"/>
          <w:highlight w:val="none"/>
        </w:rPr>
      </w:pPr>
    </w:p>
    <w:p w14:paraId="488202F7">
      <w:pPr>
        <w:jc w:val="center"/>
        <w:rPr>
          <w:rFonts w:ascii="宋体" w:hAnsi="宋体" w:cs="宋体"/>
          <w:b/>
          <w:color w:val="auto"/>
          <w:sz w:val="24"/>
          <w:highlight w:val="none"/>
        </w:rPr>
      </w:pPr>
      <w:r>
        <w:rPr>
          <w:rFonts w:hint="eastAsia" w:ascii="宋体" w:hAnsi="宋体" w:cs="宋体"/>
          <w:b/>
          <w:color w:val="auto"/>
          <w:sz w:val="24"/>
          <w:highlight w:val="none"/>
        </w:rPr>
        <w:t>供应商资信商务、技术自评得分表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4B7B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187205B9">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6891955D">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53916D27">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510B9B1C">
            <w:pPr>
              <w:jc w:val="center"/>
              <w:rPr>
                <w:rFonts w:ascii="宋体" w:hAnsi="宋体" w:cs="宋体"/>
                <w:color w:val="auto"/>
                <w:sz w:val="24"/>
                <w:highlight w:val="none"/>
              </w:rPr>
            </w:pPr>
            <w:r>
              <w:rPr>
                <w:rFonts w:hint="eastAsia" w:ascii="宋体" w:hAnsi="宋体" w:cs="宋体"/>
                <w:color w:val="auto"/>
                <w:sz w:val="24"/>
                <w:highlight w:val="none"/>
              </w:rPr>
              <w:t>自评</w:t>
            </w:r>
          </w:p>
          <w:p w14:paraId="3C860C12">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02E33AA9">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6E89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B411595">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0B88879A">
            <w:pPr>
              <w:jc w:val="center"/>
              <w:rPr>
                <w:rFonts w:ascii="宋体" w:hAnsi="宋体" w:cs="宋体"/>
                <w:color w:val="auto"/>
                <w:sz w:val="24"/>
                <w:highlight w:val="none"/>
              </w:rPr>
            </w:pPr>
          </w:p>
        </w:tc>
        <w:tc>
          <w:tcPr>
            <w:tcW w:w="3200" w:type="dxa"/>
            <w:vAlign w:val="center"/>
          </w:tcPr>
          <w:p w14:paraId="4F36B5E0">
            <w:pPr>
              <w:jc w:val="center"/>
              <w:rPr>
                <w:rFonts w:ascii="宋体" w:hAnsi="宋体" w:cs="宋体"/>
                <w:color w:val="auto"/>
                <w:sz w:val="24"/>
                <w:highlight w:val="none"/>
              </w:rPr>
            </w:pPr>
          </w:p>
        </w:tc>
        <w:tc>
          <w:tcPr>
            <w:tcW w:w="916" w:type="dxa"/>
            <w:vAlign w:val="center"/>
          </w:tcPr>
          <w:p w14:paraId="3709FA65">
            <w:pPr>
              <w:jc w:val="center"/>
              <w:rPr>
                <w:rFonts w:ascii="宋体" w:hAnsi="宋体" w:cs="宋体"/>
                <w:color w:val="auto"/>
                <w:sz w:val="24"/>
                <w:highlight w:val="none"/>
              </w:rPr>
            </w:pPr>
          </w:p>
        </w:tc>
        <w:tc>
          <w:tcPr>
            <w:tcW w:w="1219" w:type="dxa"/>
            <w:vAlign w:val="center"/>
          </w:tcPr>
          <w:p w14:paraId="0633AB10">
            <w:pPr>
              <w:jc w:val="center"/>
              <w:rPr>
                <w:rFonts w:ascii="宋体" w:hAnsi="宋体" w:cs="宋体"/>
                <w:color w:val="auto"/>
                <w:sz w:val="24"/>
                <w:highlight w:val="none"/>
              </w:rPr>
            </w:pPr>
          </w:p>
        </w:tc>
      </w:tr>
      <w:tr w14:paraId="2A28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5CD3824">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548007D6">
            <w:pPr>
              <w:jc w:val="center"/>
              <w:rPr>
                <w:rFonts w:ascii="宋体" w:hAnsi="宋体" w:cs="宋体"/>
                <w:color w:val="auto"/>
                <w:sz w:val="24"/>
                <w:highlight w:val="none"/>
              </w:rPr>
            </w:pPr>
          </w:p>
        </w:tc>
        <w:tc>
          <w:tcPr>
            <w:tcW w:w="3200" w:type="dxa"/>
            <w:vAlign w:val="center"/>
          </w:tcPr>
          <w:p w14:paraId="19C70E8C">
            <w:pPr>
              <w:jc w:val="center"/>
              <w:rPr>
                <w:rFonts w:ascii="宋体" w:hAnsi="宋体" w:cs="宋体"/>
                <w:color w:val="auto"/>
                <w:sz w:val="24"/>
                <w:highlight w:val="none"/>
              </w:rPr>
            </w:pPr>
          </w:p>
        </w:tc>
        <w:tc>
          <w:tcPr>
            <w:tcW w:w="916" w:type="dxa"/>
            <w:vAlign w:val="center"/>
          </w:tcPr>
          <w:p w14:paraId="27E5C98C">
            <w:pPr>
              <w:jc w:val="center"/>
              <w:rPr>
                <w:rFonts w:ascii="宋体" w:hAnsi="宋体" w:cs="宋体"/>
                <w:color w:val="auto"/>
                <w:sz w:val="24"/>
                <w:highlight w:val="none"/>
              </w:rPr>
            </w:pPr>
          </w:p>
        </w:tc>
        <w:tc>
          <w:tcPr>
            <w:tcW w:w="1219" w:type="dxa"/>
            <w:vAlign w:val="center"/>
          </w:tcPr>
          <w:p w14:paraId="667ACC74">
            <w:pPr>
              <w:jc w:val="center"/>
              <w:rPr>
                <w:rFonts w:ascii="宋体" w:hAnsi="宋体" w:cs="宋体"/>
                <w:color w:val="auto"/>
                <w:sz w:val="24"/>
                <w:highlight w:val="none"/>
              </w:rPr>
            </w:pPr>
          </w:p>
        </w:tc>
      </w:tr>
      <w:tr w14:paraId="6BED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1A0D1DB">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397739E6">
            <w:pPr>
              <w:jc w:val="center"/>
              <w:rPr>
                <w:rFonts w:ascii="宋体" w:hAnsi="宋体" w:cs="宋体"/>
                <w:color w:val="auto"/>
                <w:sz w:val="24"/>
                <w:highlight w:val="none"/>
              </w:rPr>
            </w:pPr>
          </w:p>
        </w:tc>
        <w:tc>
          <w:tcPr>
            <w:tcW w:w="3200" w:type="dxa"/>
            <w:vAlign w:val="center"/>
          </w:tcPr>
          <w:p w14:paraId="21CC2948">
            <w:pPr>
              <w:jc w:val="center"/>
              <w:rPr>
                <w:rFonts w:ascii="宋体" w:hAnsi="宋体" w:cs="宋体"/>
                <w:color w:val="auto"/>
                <w:sz w:val="24"/>
                <w:highlight w:val="none"/>
              </w:rPr>
            </w:pPr>
          </w:p>
        </w:tc>
        <w:tc>
          <w:tcPr>
            <w:tcW w:w="916" w:type="dxa"/>
            <w:vAlign w:val="center"/>
          </w:tcPr>
          <w:p w14:paraId="60E97C05">
            <w:pPr>
              <w:jc w:val="center"/>
              <w:rPr>
                <w:rFonts w:ascii="宋体" w:hAnsi="宋体" w:cs="宋体"/>
                <w:color w:val="auto"/>
                <w:sz w:val="24"/>
                <w:highlight w:val="none"/>
              </w:rPr>
            </w:pPr>
          </w:p>
        </w:tc>
        <w:tc>
          <w:tcPr>
            <w:tcW w:w="1219" w:type="dxa"/>
            <w:vAlign w:val="center"/>
          </w:tcPr>
          <w:p w14:paraId="617C33AB">
            <w:pPr>
              <w:jc w:val="center"/>
              <w:rPr>
                <w:rFonts w:ascii="宋体" w:hAnsi="宋体" w:cs="宋体"/>
                <w:color w:val="auto"/>
                <w:sz w:val="24"/>
                <w:highlight w:val="none"/>
              </w:rPr>
            </w:pPr>
          </w:p>
        </w:tc>
      </w:tr>
      <w:tr w14:paraId="1D52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B159A3C">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7A6B0428">
            <w:pPr>
              <w:jc w:val="center"/>
              <w:rPr>
                <w:rFonts w:ascii="宋体" w:hAnsi="宋体" w:cs="宋体"/>
                <w:color w:val="auto"/>
                <w:sz w:val="24"/>
                <w:highlight w:val="none"/>
              </w:rPr>
            </w:pPr>
          </w:p>
        </w:tc>
        <w:tc>
          <w:tcPr>
            <w:tcW w:w="3200" w:type="dxa"/>
            <w:vAlign w:val="center"/>
          </w:tcPr>
          <w:p w14:paraId="04A8C89E">
            <w:pPr>
              <w:jc w:val="center"/>
              <w:rPr>
                <w:rFonts w:ascii="宋体" w:hAnsi="宋体" w:cs="宋体"/>
                <w:color w:val="auto"/>
                <w:sz w:val="24"/>
                <w:highlight w:val="none"/>
              </w:rPr>
            </w:pPr>
          </w:p>
        </w:tc>
        <w:tc>
          <w:tcPr>
            <w:tcW w:w="916" w:type="dxa"/>
            <w:vAlign w:val="center"/>
          </w:tcPr>
          <w:p w14:paraId="155A9BD5">
            <w:pPr>
              <w:jc w:val="center"/>
              <w:rPr>
                <w:rFonts w:ascii="宋体" w:hAnsi="宋体" w:cs="宋体"/>
                <w:color w:val="auto"/>
                <w:sz w:val="24"/>
                <w:highlight w:val="none"/>
              </w:rPr>
            </w:pPr>
          </w:p>
        </w:tc>
        <w:tc>
          <w:tcPr>
            <w:tcW w:w="1219" w:type="dxa"/>
            <w:vAlign w:val="center"/>
          </w:tcPr>
          <w:p w14:paraId="72777AE6">
            <w:pPr>
              <w:jc w:val="center"/>
              <w:rPr>
                <w:rFonts w:ascii="宋体" w:hAnsi="宋体" w:cs="宋体"/>
                <w:color w:val="auto"/>
                <w:sz w:val="24"/>
                <w:highlight w:val="none"/>
              </w:rPr>
            </w:pPr>
          </w:p>
        </w:tc>
      </w:tr>
      <w:tr w14:paraId="1F88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B3E5251">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66652783">
            <w:pPr>
              <w:jc w:val="center"/>
              <w:rPr>
                <w:rFonts w:ascii="宋体" w:hAnsi="宋体" w:cs="宋体"/>
                <w:color w:val="auto"/>
                <w:sz w:val="24"/>
                <w:highlight w:val="none"/>
              </w:rPr>
            </w:pPr>
          </w:p>
        </w:tc>
        <w:tc>
          <w:tcPr>
            <w:tcW w:w="3200" w:type="dxa"/>
            <w:vAlign w:val="center"/>
          </w:tcPr>
          <w:p w14:paraId="15F450FE">
            <w:pPr>
              <w:jc w:val="center"/>
              <w:rPr>
                <w:rFonts w:ascii="宋体" w:hAnsi="宋体" w:cs="宋体"/>
                <w:color w:val="auto"/>
                <w:sz w:val="24"/>
                <w:highlight w:val="none"/>
              </w:rPr>
            </w:pPr>
          </w:p>
        </w:tc>
        <w:tc>
          <w:tcPr>
            <w:tcW w:w="916" w:type="dxa"/>
            <w:vAlign w:val="center"/>
          </w:tcPr>
          <w:p w14:paraId="3DCEC226">
            <w:pPr>
              <w:jc w:val="center"/>
              <w:rPr>
                <w:rFonts w:ascii="宋体" w:hAnsi="宋体" w:cs="宋体"/>
                <w:color w:val="auto"/>
                <w:sz w:val="24"/>
                <w:highlight w:val="none"/>
              </w:rPr>
            </w:pPr>
          </w:p>
        </w:tc>
        <w:tc>
          <w:tcPr>
            <w:tcW w:w="1219" w:type="dxa"/>
            <w:vAlign w:val="center"/>
          </w:tcPr>
          <w:p w14:paraId="2F9EDA68">
            <w:pPr>
              <w:jc w:val="center"/>
              <w:rPr>
                <w:rFonts w:ascii="宋体" w:hAnsi="宋体" w:cs="宋体"/>
                <w:color w:val="auto"/>
                <w:sz w:val="24"/>
                <w:highlight w:val="none"/>
              </w:rPr>
            </w:pPr>
          </w:p>
        </w:tc>
      </w:tr>
      <w:tr w14:paraId="7FD6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2373F4F0">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2C0E9735">
            <w:pPr>
              <w:jc w:val="center"/>
              <w:rPr>
                <w:rFonts w:ascii="宋体" w:hAnsi="宋体" w:cs="宋体"/>
                <w:color w:val="auto"/>
                <w:sz w:val="24"/>
                <w:highlight w:val="none"/>
              </w:rPr>
            </w:pPr>
          </w:p>
        </w:tc>
        <w:tc>
          <w:tcPr>
            <w:tcW w:w="3200" w:type="dxa"/>
            <w:vAlign w:val="center"/>
          </w:tcPr>
          <w:p w14:paraId="137182A2">
            <w:pPr>
              <w:jc w:val="center"/>
              <w:rPr>
                <w:rFonts w:ascii="宋体" w:hAnsi="宋体" w:cs="宋体"/>
                <w:color w:val="auto"/>
                <w:sz w:val="24"/>
                <w:highlight w:val="none"/>
              </w:rPr>
            </w:pPr>
          </w:p>
        </w:tc>
        <w:tc>
          <w:tcPr>
            <w:tcW w:w="916" w:type="dxa"/>
            <w:vAlign w:val="center"/>
          </w:tcPr>
          <w:p w14:paraId="52576BCF">
            <w:pPr>
              <w:jc w:val="center"/>
              <w:rPr>
                <w:rFonts w:ascii="宋体" w:hAnsi="宋体" w:cs="宋体"/>
                <w:color w:val="auto"/>
                <w:sz w:val="24"/>
                <w:highlight w:val="none"/>
              </w:rPr>
            </w:pPr>
          </w:p>
        </w:tc>
        <w:tc>
          <w:tcPr>
            <w:tcW w:w="1219" w:type="dxa"/>
            <w:vAlign w:val="center"/>
          </w:tcPr>
          <w:p w14:paraId="33BACF71">
            <w:pPr>
              <w:jc w:val="center"/>
              <w:rPr>
                <w:rFonts w:ascii="宋体" w:hAnsi="宋体" w:cs="宋体"/>
                <w:color w:val="auto"/>
                <w:sz w:val="24"/>
                <w:highlight w:val="none"/>
              </w:rPr>
            </w:pPr>
          </w:p>
        </w:tc>
      </w:tr>
      <w:tr w14:paraId="21B9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21D1E4C5">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24326520">
            <w:pPr>
              <w:jc w:val="center"/>
              <w:rPr>
                <w:rFonts w:ascii="宋体" w:hAnsi="宋体" w:cs="宋体"/>
                <w:color w:val="auto"/>
                <w:sz w:val="24"/>
                <w:highlight w:val="none"/>
              </w:rPr>
            </w:pPr>
          </w:p>
        </w:tc>
        <w:tc>
          <w:tcPr>
            <w:tcW w:w="3200" w:type="dxa"/>
            <w:vAlign w:val="center"/>
          </w:tcPr>
          <w:p w14:paraId="03DEB0E8">
            <w:pPr>
              <w:jc w:val="center"/>
              <w:rPr>
                <w:rFonts w:ascii="宋体" w:hAnsi="宋体" w:cs="宋体"/>
                <w:color w:val="auto"/>
                <w:sz w:val="24"/>
                <w:highlight w:val="none"/>
              </w:rPr>
            </w:pPr>
          </w:p>
        </w:tc>
        <w:tc>
          <w:tcPr>
            <w:tcW w:w="916" w:type="dxa"/>
            <w:vAlign w:val="center"/>
          </w:tcPr>
          <w:p w14:paraId="640CB7FC">
            <w:pPr>
              <w:jc w:val="center"/>
              <w:rPr>
                <w:rFonts w:ascii="宋体" w:hAnsi="宋体" w:cs="宋体"/>
                <w:color w:val="auto"/>
                <w:sz w:val="24"/>
                <w:highlight w:val="none"/>
              </w:rPr>
            </w:pPr>
          </w:p>
        </w:tc>
        <w:tc>
          <w:tcPr>
            <w:tcW w:w="1219" w:type="dxa"/>
            <w:vAlign w:val="center"/>
          </w:tcPr>
          <w:p w14:paraId="1EB12593">
            <w:pPr>
              <w:jc w:val="center"/>
              <w:rPr>
                <w:rFonts w:ascii="宋体" w:hAnsi="宋体" w:cs="宋体"/>
                <w:color w:val="auto"/>
                <w:sz w:val="24"/>
                <w:highlight w:val="none"/>
              </w:rPr>
            </w:pPr>
          </w:p>
        </w:tc>
      </w:tr>
      <w:tr w14:paraId="5E21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367C28C">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4475D74B">
            <w:pPr>
              <w:jc w:val="center"/>
              <w:rPr>
                <w:rFonts w:ascii="宋体" w:hAnsi="宋体" w:cs="宋体"/>
                <w:color w:val="auto"/>
                <w:sz w:val="24"/>
                <w:highlight w:val="none"/>
              </w:rPr>
            </w:pPr>
          </w:p>
        </w:tc>
        <w:tc>
          <w:tcPr>
            <w:tcW w:w="3200" w:type="dxa"/>
            <w:vAlign w:val="center"/>
          </w:tcPr>
          <w:p w14:paraId="5DA4E7AA">
            <w:pPr>
              <w:jc w:val="center"/>
              <w:rPr>
                <w:rFonts w:ascii="宋体" w:hAnsi="宋体" w:cs="宋体"/>
                <w:color w:val="auto"/>
                <w:sz w:val="24"/>
                <w:highlight w:val="none"/>
              </w:rPr>
            </w:pPr>
          </w:p>
        </w:tc>
        <w:tc>
          <w:tcPr>
            <w:tcW w:w="916" w:type="dxa"/>
            <w:vAlign w:val="center"/>
          </w:tcPr>
          <w:p w14:paraId="0B686C66">
            <w:pPr>
              <w:jc w:val="center"/>
              <w:rPr>
                <w:rFonts w:ascii="宋体" w:hAnsi="宋体" w:cs="宋体"/>
                <w:color w:val="auto"/>
                <w:sz w:val="24"/>
                <w:highlight w:val="none"/>
              </w:rPr>
            </w:pPr>
          </w:p>
        </w:tc>
        <w:tc>
          <w:tcPr>
            <w:tcW w:w="1219" w:type="dxa"/>
            <w:vAlign w:val="center"/>
          </w:tcPr>
          <w:p w14:paraId="6D14C439">
            <w:pPr>
              <w:jc w:val="center"/>
              <w:rPr>
                <w:rFonts w:ascii="宋体" w:hAnsi="宋体" w:cs="宋体"/>
                <w:color w:val="auto"/>
                <w:sz w:val="24"/>
                <w:highlight w:val="none"/>
              </w:rPr>
            </w:pPr>
          </w:p>
        </w:tc>
      </w:tr>
      <w:tr w14:paraId="0EB7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834" w:type="dxa"/>
            <w:vAlign w:val="center"/>
          </w:tcPr>
          <w:p w14:paraId="616C2E15">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52E223BE">
            <w:pPr>
              <w:jc w:val="center"/>
              <w:rPr>
                <w:rFonts w:ascii="宋体" w:hAnsi="宋体" w:cs="宋体"/>
                <w:color w:val="auto"/>
                <w:sz w:val="24"/>
                <w:highlight w:val="none"/>
              </w:rPr>
            </w:pPr>
          </w:p>
        </w:tc>
        <w:tc>
          <w:tcPr>
            <w:tcW w:w="3200" w:type="dxa"/>
            <w:vAlign w:val="center"/>
          </w:tcPr>
          <w:p w14:paraId="7AEAD22B">
            <w:pPr>
              <w:jc w:val="center"/>
              <w:rPr>
                <w:rFonts w:ascii="宋体" w:hAnsi="宋体" w:cs="宋体"/>
                <w:color w:val="auto"/>
                <w:sz w:val="24"/>
                <w:highlight w:val="none"/>
              </w:rPr>
            </w:pPr>
          </w:p>
        </w:tc>
        <w:tc>
          <w:tcPr>
            <w:tcW w:w="916" w:type="dxa"/>
            <w:vAlign w:val="center"/>
          </w:tcPr>
          <w:p w14:paraId="63BA4D0E">
            <w:pPr>
              <w:jc w:val="center"/>
              <w:rPr>
                <w:rFonts w:ascii="宋体" w:hAnsi="宋体" w:cs="宋体"/>
                <w:color w:val="auto"/>
                <w:sz w:val="24"/>
                <w:highlight w:val="none"/>
              </w:rPr>
            </w:pPr>
          </w:p>
        </w:tc>
        <w:tc>
          <w:tcPr>
            <w:tcW w:w="1219" w:type="dxa"/>
            <w:vAlign w:val="center"/>
          </w:tcPr>
          <w:p w14:paraId="1B3E6972">
            <w:pPr>
              <w:jc w:val="center"/>
              <w:rPr>
                <w:rFonts w:ascii="宋体" w:hAnsi="宋体" w:cs="宋体"/>
                <w:color w:val="auto"/>
                <w:sz w:val="24"/>
                <w:highlight w:val="none"/>
              </w:rPr>
            </w:pPr>
          </w:p>
        </w:tc>
      </w:tr>
      <w:tr w14:paraId="6C8D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834" w:type="dxa"/>
            <w:vAlign w:val="center"/>
          </w:tcPr>
          <w:p w14:paraId="3930B56C">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35AB0796">
            <w:pPr>
              <w:jc w:val="center"/>
              <w:rPr>
                <w:rFonts w:ascii="宋体" w:hAnsi="宋体" w:cs="宋体"/>
                <w:color w:val="auto"/>
                <w:sz w:val="24"/>
                <w:highlight w:val="none"/>
              </w:rPr>
            </w:pPr>
          </w:p>
        </w:tc>
        <w:tc>
          <w:tcPr>
            <w:tcW w:w="3200" w:type="dxa"/>
            <w:vAlign w:val="center"/>
          </w:tcPr>
          <w:p w14:paraId="2F86CA9D">
            <w:pPr>
              <w:jc w:val="center"/>
              <w:rPr>
                <w:rFonts w:ascii="宋体" w:hAnsi="宋体" w:cs="宋体"/>
                <w:color w:val="auto"/>
                <w:sz w:val="24"/>
                <w:highlight w:val="none"/>
              </w:rPr>
            </w:pPr>
          </w:p>
        </w:tc>
        <w:tc>
          <w:tcPr>
            <w:tcW w:w="916" w:type="dxa"/>
            <w:vAlign w:val="center"/>
          </w:tcPr>
          <w:p w14:paraId="2B952C69">
            <w:pPr>
              <w:jc w:val="center"/>
              <w:rPr>
                <w:rFonts w:ascii="宋体" w:hAnsi="宋体" w:cs="宋体"/>
                <w:color w:val="auto"/>
                <w:sz w:val="24"/>
                <w:highlight w:val="none"/>
              </w:rPr>
            </w:pPr>
          </w:p>
        </w:tc>
        <w:tc>
          <w:tcPr>
            <w:tcW w:w="1219" w:type="dxa"/>
            <w:vAlign w:val="center"/>
          </w:tcPr>
          <w:p w14:paraId="61C45D62">
            <w:pPr>
              <w:jc w:val="center"/>
              <w:rPr>
                <w:rFonts w:ascii="宋体" w:hAnsi="宋体" w:cs="宋体"/>
                <w:color w:val="auto"/>
                <w:sz w:val="24"/>
                <w:highlight w:val="none"/>
              </w:rPr>
            </w:pPr>
          </w:p>
        </w:tc>
      </w:tr>
      <w:tr w14:paraId="51A0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5783000">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67304EAE">
            <w:pPr>
              <w:jc w:val="center"/>
              <w:rPr>
                <w:rFonts w:ascii="宋体" w:hAnsi="宋体" w:cs="宋体"/>
                <w:color w:val="auto"/>
                <w:sz w:val="24"/>
                <w:highlight w:val="none"/>
              </w:rPr>
            </w:pPr>
          </w:p>
        </w:tc>
        <w:tc>
          <w:tcPr>
            <w:tcW w:w="3200" w:type="dxa"/>
            <w:vAlign w:val="center"/>
          </w:tcPr>
          <w:p w14:paraId="4BE81D09">
            <w:pPr>
              <w:jc w:val="center"/>
              <w:rPr>
                <w:rFonts w:ascii="宋体" w:hAnsi="宋体" w:cs="宋体"/>
                <w:color w:val="auto"/>
                <w:sz w:val="24"/>
                <w:highlight w:val="none"/>
              </w:rPr>
            </w:pPr>
          </w:p>
        </w:tc>
        <w:tc>
          <w:tcPr>
            <w:tcW w:w="916" w:type="dxa"/>
            <w:vAlign w:val="center"/>
          </w:tcPr>
          <w:p w14:paraId="682EC482">
            <w:pPr>
              <w:jc w:val="center"/>
              <w:rPr>
                <w:rFonts w:ascii="宋体" w:hAnsi="宋体" w:cs="宋体"/>
                <w:color w:val="auto"/>
                <w:sz w:val="24"/>
                <w:highlight w:val="none"/>
              </w:rPr>
            </w:pPr>
          </w:p>
        </w:tc>
        <w:tc>
          <w:tcPr>
            <w:tcW w:w="1219" w:type="dxa"/>
            <w:vAlign w:val="center"/>
          </w:tcPr>
          <w:p w14:paraId="252D5698">
            <w:pPr>
              <w:jc w:val="center"/>
              <w:rPr>
                <w:rFonts w:ascii="宋体" w:hAnsi="宋体" w:cs="宋体"/>
                <w:color w:val="auto"/>
                <w:sz w:val="24"/>
                <w:highlight w:val="none"/>
              </w:rPr>
            </w:pPr>
          </w:p>
        </w:tc>
      </w:tr>
      <w:tr w14:paraId="5314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E9FADDA">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550" w:type="dxa"/>
            <w:vAlign w:val="center"/>
          </w:tcPr>
          <w:p w14:paraId="794850E4">
            <w:pPr>
              <w:jc w:val="center"/>
              <w:rPr>
                <w:rFonts w:ascii="宋体" w:hAnsi="宋体" w:cs="宋体"/>
                <w:color w:val="auto"/>
                <w:sz w:val="24"/>
                <w:highlight w:val="none"/>
              </w:rPr>
            </w:pPr>
          </w:p>
        </w:tc>
        <w:tc>
          <w:tcPr>
            <w:tcW w:w="3200" w:type="dxa"/>
            <w:vAlign w:val="center"/>
          </w:tcPr>
          <w:p w14:paraId="73F89EE3">
            <w:pPr>
              <w:jc w:val="center"/>
              <w:rPr>
                <w:rFonts w:ascii="宋体" w:hAnsi="宋体" w:cs="宋体"/>
                <w:color w:val="auto"/>
                <w:sz w:val="24"/>
                <w:highlight w:val="none"/>
              </w:rPr>
            </w:pPr>
          </w:p>
        </w:tc>
        <w:tc>
          <w:tcPr>
            <w:tcW w:w="916" w:type="dxa"/>
            <w:vAlign w:val="center"/>
          </w:tcPr>
          <w:p w14:paraId="2F70CB4F">
            <w:pPr>
              <w:jc w:val="center"/>
              <w:rPr>
                <w:rFonts w:ascii="宋体" w:hAnsi="宋体" w:cs="宋体"/>
                <w:color w:val="auto"/>
                <w:sz w:val="24"/>
                <w:highlight w:val="none"/>
              </w:rPr>
            </w:pPr>
          </w:p>
        </w:tc>
        <w:tc>
          <w:tcPr>
            <w:tcW w:w="1219" w:type="dxa"/>
            <w:vAlign w:val="center"/>
          </w:tcPr>
          <w:p w14:paraId="5D169AFB">
            <w:pPr>
              <w:jc w:val="center"/>
              <w:rPr>
                <w:rFonts w:ascii="宋体" w:hAnsi="宋体" w:cs="宋体"/>
                <w:color w:val="auto"/>
                <w:sz w:val="24"/>
                <w:highlight w:val="none"/>
              </w:rPr>
            </w:pPr>
          </w:p>
        </w:tc>
      </w:tr>
      <w:tr w14:paraId="3265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D3CB154">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550" w:type="dxa"/>
            <w:vAlign w:val="center"/>
          </w:tcPr>
          <w:p w14:paraId="2C79BDFD">
            <w:pPr>
              <w:jc w:val="center"/>
              <w:rPr>
                <w:rFonts w:ascii="宋体" w:hAnsi="宋体" w:cs="宋体"/>
                <w:color w:val="auto"/>
                <w:sz w:val="24"/>
                <w:highlight w:val="none"/>
              </w:rPr>
            </w:pPr>
          </w:p>
        </w:tc>
        <w:tc>
          <w:tcPr>
            <w:tcW w:w="3200" w:type="dxa"/>
            <w:vAlign w:val="center"/>
          </w:tcPr>
          <w:p w14:paraId="2863A3F3">
            <w:pPr>
              <w:jc w:val="center"/>
              <w:rPr>
                <w:rFonts w:ascii="宋体" w:hAnsi="宋体" w:cs="宋体"/>
                <w:color w:val="auto"/>
                <w:sz w:val="24"/>
                <w:highlight w:val="none"/>
              </w:rPr>
            </w:pPr>
          </w:p>
        </w:tc>
        <w:tc>
          <w:tcPr>
            <w:tcW w:w="916" w:type="dxa"/>
            <w:vAlign w:val="center"/>
          </w:tcPr>
          <w:p w14:paraId="3DAA7509">
            <w:pPr>
              <w:jc w:val="center"/>
              <w:rPr>
                <w:rFonts w:ascii="宋体" w:hAnsi="宋体" w:cs="宋体"/>
                <w:color w:val="auto"/>
                <w:sz w:val="24"/>
                <w:highlight w:val="none"/>
              </w:rPr>
            </w:pPr>
          </w:p>
        </w:tc>
        <w:tc>
          <w:tcPr>
            <w:tcW w:w="1219" w:type="dxa"/>
            <w:vAlign w:val="center"/>
          </w:tcPr>
          <w:p w14:paraId="530D543A">
            <w:pPr>
              <w:jc w:val="center"/>
              <w:rPr>
                <w:rFonts w:ascii="宋体" w:hAnsi="宋体" w:cs="宋体"/>
                <w:color w:val="auto"/>
                <w:sz w:val="24"/>
                <w:highlight w:val="none"/>
              </w:rPr>
            </w:pPr>
          </w:p>
        </w:tc>
      </w:tr>
      <w:tr w14:paraId="5816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293C9116">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1032AACB">
            <w:pPr>
              <w:jc w:val="center"/>
              <w:rPr>
                <w:rFonts w:ascii="宋体" w:hAnsi="宋体" w:cs="宋体"/>
                <w:color w:val="auto"/>
                <w:sz w:val="24"/>
                <w:highlight w:val="none"/>
              </w:rPr>
            </w:pPr>
          </w:p>
        </w:tc>
        <w:tc>
          <w:tcPr>
            <w:tcW w:w="3200" w:type="dxa"/>
            <w:vAlign w:val="center"/>
          </w:tcPr>
          <w:p w14:paraId="7AC8382F">
            <w:pPr>
              <w:jc w:val="center"/>
              <w:rPr>
                <w:rFonts w:ascii="宋体" w:hAnsi="宋体" w:cs="宋体"/>
                <w:color w:val="auto"/>
                <w:sz w:val="24"/>
                <w:highlight w:val="none"/>
              </w:rPr>
            </w:pPr>
          </w:p>
        </w:tc>
        <w:tc>
          <w:tcPr>
            <w:tcW w:w="916" w:type="dxa"/>
            <w:vAlign w:val="center"/>
          </w:tcPr>
          <w:p w14:paraId="1D30DF30">
            <w:pPr>
              <w:jc w:val="center"/>
              <w:rPr>
                <w:rFonts w:ascii="宋体" w:hAnsi="宋体" w:cs="宋体"/>
                <w:color w:val="auto"/>
                <w:sz w:val="24"/>
                <w:highlight w:val="none"/>
              </w:rPr>
            </w:pPr>
          </w:p>
        </w:tc>
        <w:tc>
          <w:tcPr>
            <w:tcW w:w="1219" w:type="dxa"/>
            <w:vAlign w:val="center"/>
          </w:tcPr>
          <w:p w14:paraId="69840BEB">
            <w:pPr>
              <w:jc w:val="center"/>
              <w:rPr>
                <w:rFonts w:ascii="宋体" w:hAnsi="宋体" w:cs="宋体"/>
                <w:color w:val="auto"/>
                <w:sz w:val="24"/>
                <w:highlight w:val="none"/>
              </w:rPr>
            </w:pPr>
          </w:p>
        </w:tc>
      </w:tr>
    </w:tbl>
    <w:p w14:paraId="20C23D60">
      <w:pPr>
        <w:rPr>
          <w:rFonts w:ascii="宋体" w:hAnsi="宋体" w:cs="宋体"/>
          <w:color w:val="auto"/>
          <w:sz w:val="24"/>
          <w:highlight w:val="none"/>
        </w:rPr>
      </w:pPr>
    </w:p>
    <w:p w14:paraId="70708B6D">
      <w:pPr>
        <w:rPr>
          <w:rFonts w:ascii="宋体" w:hAnsi="宋体" w:cs="宋体"/>
          <w:color w:val="auto"/>
          <w:sz w:val="24"/>
          <w:highlight w:val="none"/>
        </w:rPr>
      </w:pPr>
    </w:p>
    <w:p w14:paraId="63AEFBBF">
      <w:pPr>
        <w:rPr>
          <w:rFonts w:ascii="宋体" w:hAnsi="宋体" w:cs="宋体"/>
          <w:color w:val="auto"/>
          <w:sz w:val="24"/>
          <w:highlight w:val="none"/>
        </w:rPr>
      </w:pPr>
    </w:p>
    <w:p w14:paraId="0D753A38">
      <w:pPr>
        <w:rPr>
          <w:rFonts w:ascii="宋体" w:hAnsi="宋体" w:cs="宋体"/>
          <w:color w:val="auto"/>
          <w:sz w:val="24"/>
          <w:highlight w:val="none"/>
        </w:rPr>
      </w:pPr>
      <w:r>
        <w:rPr>
          <w:rFonts w:hint="eastAsia" w:ascii="宋体" w:hAnsi="宋体" w:cs="宋体"/>
          <w:color w:val="auto"/>
          <w:sz w:val="24"/>
          <w:highlight w:val="none"/>
        </w:rPr>
        <w:t>供应商名称（盖章）：                         年   月    日</w:t>
      </w:r>
    </w:p>
    <w:p w14:paraId="336F45FC">
      <w:pPr>
        <w:pStyle w:val="5"/>
        <w:keepNext w:val="0"/>
        <w:keepLines w:val="0"/>
        <w:pageBreakBefore/>
        <w:rPr>
          <w:rFonts w:ascii="宋体" w:hAnsi="宋体" w:eastAsia="宋体" w:cs="宋体"/>
          <w:b w:val="0"/>
          <w:color w:val="auto"/>
          <w:sz w:val="24"/>
          <w:szCs w:val="24"/>
          <w:highlight w:val="none"/>
        </w:rPr>
      </w:pPr>
      <w:bookmarkStart w:id="64" w:name="_Toc27303"/>
      <w:r>
        <w:rPr>
          <w:rFonts w:hint="eastAsia" w:ascii="宋体" w:hAnsi="宋体" w:eastAsia="宋体" w:cs="宋体"/>
          <w:b w:val="0"/>
          <w:color w:val="auto"/>
          <w:sz w:val="24"/>
          <w:szCs w:val="24"/>
          <w:highlight w:val="none"/>
        </w:rPr>
        <w:t>附件八：商务响应表</w:t>
      </w:r>
      <w:bookmarkEnd w:id="64"/>
    </w:p>
    <w:p w14:paraId="6F0E53AF">
      <w:pPr>
        <w:snapToGrid w:val="0"/>
        <w:spacing w:before="50" w:afterLines="50"/>
        <w:jc w:val="center"/>
        <w:rPr>
          <w:rFonts w:ascii="宋体" w:hAnsi="宋体" w:cs="宋体"/>
          <w:b/>
          <w:color w:val="auto"/>
          <w:sz w:val="24"/>
          <w:highlight w:val="none"/>
        </w:rPr>
      </w:pPr>
      <w:bookmarkStart w:id="65" w:name="_Toc496598991"/>
      <w:r>
        <w:rPr>
          <w:rFonts w:hint="eastAsia" w:ascii="宋体" w:hAnsi="宋体" w:cs="宋体"/>
          <w:b/>
          <w:color w:val="auto"/>
          <w:sz w:val="24"/>
          <w:highlight w:val="none"/>
        </w:rPr>
        <w:t>商务响应表</w:t>
      </w:r>
    </w:p>
    <w:p w14:paraId="32996406">
      <w:pPr>
        <w:snapToGrid w:val="0"/>
        <w:spacing w:before="50" w:afterLines="50"/>
        <w:jc w:val="left"/>
        <w:rPr>
          <w:rFonts w:ascii="宋体" w:hAnsi="宋体" w:cs="宋体"/>
          <w:color w:val="auto"/>
          <w:sz w:val="24"/>
          <w:highlight w:val="none"/>
          <w:u w:val="single"/>
        </w:rPr>
      </w:pPr>
    </w:p>
    <w:tbl>
      <w:tblPr>
        <w:tblStyle w:val="3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061DE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CAE274D">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290656EB">
            <w:pPr>
              <w:jc w:val="center"/>
              <w:rPr>
                <w:rFonts w:ascii="宋体" w:hAnsi="宋体" w:cs="宋体"/>
                <w:color w:val="auto"/>
                <w:sz w:val="24"/>
                <w:highlight w:val="none"/>
              </w:rPr>
            </w:pPr>
            <w:r>
              <w:rPr>
                <w:rFonts w:hint="eastAsia" w:ascii="宋体" w:hAnsi="宋体" w:cs="宋体"/>
                <w:color w:val="auto"/>
                <w:sz w:val="24"/>
                <w:highlight w:val="none"/>
              </w:rPr>
              <w:t>磋商文件要求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4E5A3CD8">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57965519">
            <w:pPr>
              <w:jc w:val="center"/>
              <w:rPr>
                <w:rFonts w:ascii="宋体" w:hAnsi="宋体" w:cs="宋体"/>
                <w:color w:val="auto"/>
                <w:sz w:val="24"/>
                <w:highlight w:val="none"/>
              </w:rPr>
            </w:pPr>
            <w:r>
              <w:rPr>
                <w:rFonts w:hint="eastAsia" w:ascii="宋体" w:hAnsi="宋体" w:cs="宋体"/>
                <w:color w:val="auto"/>
                <w:sz w:val="24"/>
                <w:highlight w:val="none"/>
              </w:rPr>
              <w:t>供应商的承诺或说明</w:t>
            </w:r>
          </w:p>
        </w:tc>
      </w:tr>
      <w:tr w14:paraId="601B6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FC8DF89">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F0BCF42">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479ECE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074B490">
            <w:pPr>
              <w:rPr>
                <w:rFonts w:ascii="宋体" w:hAnsi="宋体" w:cs="宋体"/>
                <w:color w:val="auto"/>
                <w:sz w:val="24"/>
                <w:highlight w:val="none"/>
              </w:rPr>
            </w:pPr>
          </w:p>
        </w:tc>
      </w:tr>
      <w:tr w14:paraId="429A6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9F2E0F6">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325F37F">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E9DE2F6">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C487250">
            <w:pPr>
              <w:rPr>
                <w:rFonts w:ascii="宋体" w:hAnsi="宋体" w:cs="宋体"/>
                <w:color w:val="auto"/>
                <w:sz w:val="24"/>
                <w:highlight w:val="none"/>
              </w:rPr>
            </w:pPr>
          </w:p>
        </w:tc>
      </w:tr>
      <w:tr w14:paraId="389B4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7E455A9">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73353DF">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3053F5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AAD9B5B">
            <w:pPr>
              <w:rPr>
                <w:rFonts w:ascii="宋体" w:hAnsi="宋体" w:cs="宋体"/>
                <w:color w:val="auto"/>
                <w:sz w:val="24"/>
                <w:highlight w:val="none"/>
              </w:rPr>
            </w:pPr>
          </w:p>
        </w:tc>
      </w:tr>
      <w:tr w14:paraId="4322C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98FECD5">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4089C3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00DBE5F">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64B10F8">
            <w:pPr>
              <w:rPr>
                <w:rFonts w:ascii="宋体" w:hAnsi="宋体" w:cs="宋体"/>
                <w:color w:val="auto"/>
                <w:sz w:val="24"/>
                <w:highlight w:val="none"/>
              </w:rPr>
            </w:pPr>
          </w:p>
        </w:tc>
      </w:tr>
      <w:tr w14:paraId="1DA72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5B491CC7">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798B352">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24167E4">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E8C2C4E">
            <w:pPr>
              <w:rPr>
                <w:rFonts w:ascii="宋体" w:hAnsi="宋体" w:cs="宋体"/>
                <w:color w:val="auto"/>
                <w:sz w:val="24"/>
                <w:highlight w:val="none"/>
              </w:rPr>
            </w:pPr>
          </w:p>
        </w:tc>
      </w:tr>
      <w:tr w14:paraId="54517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5C68F2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127901A">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3AC91BFC">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1C8A694">
            <w:pPr>
              <w:rPr>
                <w:rFonts w:ascii="宋体" w:hAnsi="宋体" w:cs="宋体"/>
                <w:color w:val="auto"/>
                <w:sz w:val="24"/>
                <w:highlight w:val="none"/>
              </w:rPr>
            </w:pPr>
          </w:p>
        </w:tc>
      </w:tr>
      <w:tr w14:paraId="43FCD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BA9DF87">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A1F6B04">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677B830">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9414EEE">
            <w:pPr>
              <w:rPr>
                <w:rFonts w:ascii="宋体" w:hAnsi="宋体" w:cs="宋体"/>
                <w:color w:val="auto"/>
                <w:sz w:val="24"/>
                <w:highlight w:val="none"/>
              </w:rPr>
            </w:pPr>
          </w:p>
        </w:tc>
      </w:tr>
      <w:tr w14:paraId="1FD0A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60C9F1C">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2B28738">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3A84F979">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119678B">
            <w:pPr>
              <w:rPr>
                <w:rFonts w:ascii="宋体" w:hAnsi="宋体" w:cs="宋体"/>
                <w:color w:val="auto"/>
                <w:sz w:val="24"/>
                <w:highlight w:val="none"/>
              </w:rPr>
            </w:pPr>
          </w:p>
        </w:tc>
      </w:tr>
      <w:tr w14:paraId="1C029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0815627">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B44CDC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854E95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144F624">
            <w:pPr>
              <w:rPr>
                <w:rFonts w:ascii="宋体" w:hAnsi="宋体" w:cs="宋体"/>
                <w:color w:val="auto"/>
                <w:sz w:val="24"/>
                <w:highlight w:val="none"/>
              </w:rPr>
            </w:pPr>
          </w:p>
        </w:tc>
      </w:tr>
      <w:tr w14:paraId="0138F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DBED7D1">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EB10AD5">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BE48E7B">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E5A26D2">
            <w:pPr>
              <w:rPr>
                <w:rFonts w:ascii="宋体" w:hAnsi="宋体" w:cs="宋体"/>
                <w:color w:val="auto"/>
                <w:sz w:val="24"/>
                <w:highlight w:val="none"/>
              </w:rPr>
            </w:pPr>
          </w:p>
        </w:tc>
      </w:tr>
    </w:tbl>
    <w:p w14:paraId="4B3094C3">
      <w:pPr>
        <w:snapToGrid w:val="0"/>
        <w:spacing w:beforeLines="50"/>
        <w:rPr>
          <w:rFonts w:ascii="宋体" w:hAnsi="宋体" w:cs="宋体"/>
          <w:color w:val="auto"/>
          <w:sz w:val="24"/>
          <w:highlight w:val="none"/>
        </w:rPr>
      </w:pPr>
    </w:p>
    <w:p w14:paraId="6D99FA47">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30F1976D">
      <w:pPr>
        <w:snapToGrid w:val="0"/>
        <w:spacing w:beforeLines="50"/>
        <w:rPr>
          <w:rFonts w:ascii="宋体" w:hAnsi="宋体" w:cs="宋体"/>
          <w:color w:val="auto"/>
          <w:sz w:val="24"/>
          <w:highlight w:val="none"/>
        </w:rPr>
      </w:pPr>
      <w:r>
        <w:rPr>
          <w:rFonts w:hint="eastAsia" w:ascii="宋体" w:hAnsi="宋体" w:cs="宋体"/>
          <w:color w:val="auto"/>
          <w:spacing w:val="20"/>
          <w:sz w:val="24"/>
          <w:highlight w:val="none"/>
        </w:rPr>
        <w:t>供应商盖章：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03CD3B62">
      <w:pPr>
        <w:rPr>
          <w:rFonts w:ascii="宋体" w:hAnsi="宋体" w:cs="宋体"/>
          <w:color w:val="auto"/>
          <w:sz w:val="24"/>
          <w:highlight w:val="none"/>
        </w:rPr>
      </w:pPr>
    </w:p>
    <w:p w14:paraId="4D1EF92E">
      <w:pPr>
        <w:pStyle w:val="5"/>
        <w:keepNext w:val="0"/>
        <w:keepLines w:val="0"/>
        <w:pageBreakBefore/>
        <w:spacing w:line="415" w:lineRule="auto"/>
        <w:rPr>
          <w:rFonts w:ascii="宋体" w:hAnsi="宋体" w:eastAsia="宋体" w:cs="宋体"/>
          <w:b w:val="0"/>
          <w:bCs w:val="0"/>
          <w:color w:val="auto"/>
          <w:sz w:val="24"/>
          <w:szCs w:val="24"/>
          <w:highlight w:val="none"/>
        </w:rPr>
      </w:pPr>
      <w:bookmarkStart w:id="66" w:name="_Toc17324"/>
      <w:r>
        <w:rPr>
          <w:rFonts w:hint="eastAsia" w:ascii="宋体" w:hAnsi="宋体" w:eastAsia="宋体" w:cs="宋体"/>
          <w:b w:val="0"/>
          <w:bCs w:val="0"/>
          <w:color w:val="auto"/>
          <w:sz w:val="24"/>
          <w:szCs w:val="24"/>
          <w:highlight w:val="none"/>
        </w:rPr>
        <w:t>附件九：</w:t>
      </w:r>
      <w:bookmarkEnd w:id="65"/>
      <w:r>
        <w:rPr>
          <w:rFonts w:hint="eastAsia" w:ascii="宋体" w:hAnsi="宋体" w:eastAsia="宋体" w:cs="宋体"/>
          <w:b w:val="0"/>
          <w:bCs w:val="0"/>
          <w:color w:val="auto"/>
          <w:sz w:val="24"/>
          <w:szCs w:val="24"/>
          <w:highlight w:val="none"/>
        </w:rPr>
        <w:t>技术响应表</w:t>
      </w:r>
      <w:bookmarkEnd w:id="66"/>
    </w:p>
    <w:p w14:paraId="7778A2BA">
      <w:pPr>
        <w:snapToGrid w:val="0"/>
        <w:spacing w:before="50" w:afterLines="50"/>
        <w:jc w:val="center"/>
        <w:rPr>
          <w:rFonts w:ascii="宋体" w:hAnsi="宋体" w:cs="宋体"/>
          <w:b/>
          <w:color w:val="auto"/>
          <w:sz w:val="24"/>
          <w:highlight w:val="none"/>
        </w:rPr>
      </w:pPr>
      <w:r>
        <w:rPr>
          <w:rFonts w:hint="eastAsia" w:ascii="宋体" w:hAnsi="宋体" w:cs="宋体"/>
          <w:b/>
          <w:color w:val="auto"/>
          <w:sz w:val="24"/>
          <w:highlight w:val="none"/>
        </w:rPr>
        <w:t>技术响应表</w:t>
      </w:r>
    </w:p>
    <w:p w14:paraId="6448308E">
      <w:pPr>
        <w:snapToGrid w:val="0"/>
        <w:spacing w:before="5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20AB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A57899B">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5D7C0872">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18260D7A">
            <w:pPr>
              <w:jc w:val="center"/>
              <w:rPr>
                <w:rFonts w:ascii="宋体" w:hAnsi="宋体" w:cs="宋体"/>
                <w:color w:val="auto"/>
                <w:sz w:val="24"/>
                <w:highlight w:val="none"/>
              </w:rPr>
            </w:pPr>
            <w:r>
              <w:rPr>
                <w:rFonts w:hint="eastAsia" w:ascii="宋体" w:hAnsi="宋体" w:cs="宋体"/>
                <w:color w:val="auto"/>
                <w:sz w:val="24"/>
                <w:highlight w:val="none"/>
              </w:rPr>
              <w:t>磋商文件</w:t>
            </w:r>
          </w:p>
          <w:p w14:paraId="1F5391AB">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3D9D1050">
            <w:pPr>
              <w:jc w:val="center"/>
              <w:rPr>
                <w:rFonts w:ascii="宋体" w:hAnsi="宋体" w:cs="宋体"/>
                <w:color w:val="auto"/>
                <w:sz w:val="24"/>
                <w:highlight w:val="none"/>
              </w:rPr>
            </w:pPr>
            <w:r>
              <w:rPr>
                <w:rFonts w:hint="eastAsia" w:ascii="宋体" w:hAnsi="宋体" w:cs="宋体"/>
                <w:color w:val="auto"/>
                <w:sz w:val="24"/>
                <w:highlight w:val="none"/>
              </w:rPr>
              <w:t>磋商响应文件</w:t>
            </w:r>
          </w:p>
          <w:p w14:paraId="397EC2E0">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4447843B">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6BD5DECA">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38D6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976858E">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211D77B">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0E32B11">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A32FAE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ABA3737">
            <w:pPr>
              <w:rPr>
                <w:rFonts w:ascii="宋体" w:hAnsi="宋体" w:cs="宋体"/>
                <w:color w:val="auto"/>
                <w:sz w:val="24"/>
                <w:highlight w:val="none"/>
              </w:rPr>
            </w:pPr>
          </w:p>
        </w:tc>
      </w:tr>
      <w:tr w14:paraId="3A94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8BD05E4">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3A106E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9B86BA2">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108BF30">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7158D82">
            <w:pPr>
              <w:rPr>
                <w:rFonts w:ascii="宋体" w:hAnsi="宋体" w:cs="宋体"/>
                <w:color w:val="auto"/>
                <w:sz w:val="24"/>
                <w:highlight w:val="none"/>
              </w:rPr>
            </w:pPr>
          </w:p>
        </w:tc>
      </w:tr>
      <w:tr w14:paraId="7A2F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C9D1A3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115D2A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CCEFA81">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26BBA6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8434215">
            <w:pPr>
              <w:rPr>
                <w:rFonts w:ascii="宋体" w:hAnsi="宋体" w:cs="宋体"/>
                <w:color w:val="auto"/>
                <w:sz w:val="24"/>
                <w:highlight w:val="none"/>
              </w:rPr>
            </w:pPr>
          </w:p>
        </w:tc>
      </w:tr>
      <w:tr w14:paraId="6AA1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1907867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1D6113F">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E56C3A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C6F8A9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A28A13F">
            <w:pPr>
              <w:rPr>
                <w:rFonts w:ascii="宋体" w:hAnsi="宋体" w:cs="宋体"/>
                <w:color w:val="auto"/>
                <w:sz w:val="24"/>
                <w:highlight w:val="none"/>
              </w:rPr>
            </w:pPr>
          </w:p>
        </w:tc>
      </w:tr>
      <w:tr w14:paraId="5F72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7469BD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1FEC972">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B2CDB0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92691F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B087C67">
            <w:pPr>
              <w:rPr>
                <w:rFonts w:ascii="宋体" w:hAnsi="宋体" w:cs="宋体"/>
                <w:color w:val="auto"/>
                <w:sz w:val="24"/>
                <w:highlight w:val="none"/>
              </w:rPr>
            </w:pPr>
          </w:p>
        </w:tc>
      </w:tr>
      <w:tr w14:paraId="6793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DA997E4">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43E5C34">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3005BB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EC272BC">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44ADFFE">
            <w:pPr>
              <w:rPr>
                <w:rFonts w:ascii="宋体" w:hAnsi="宋体" w:cs="宋体"/>
                <w:color w:val="auto"/>
                <w:sz w:val="24"/>
                <w:highlight w:val="none"/>
              </w:rPr>
            </w:pPr>
          </w:p>
        </w:tc>
      </w:tr>
      <w:tr w14:paraId="0FB5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5138AD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5238BF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848AF8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55F6CB0">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DA45389">
            <w:pPr>
              <w:rPr>
                <w:rFonts w:ascii="宋体" w:hAnsi="宋体" w:cs="宋体"/>
                <w:color w:val="auto"/>
                <w:sz w:val="24"/>
                <w:highlight w:val="none"/>
              </w:rPr>
            </w:pPr>
          </w:p>
        </w:tc>
      </w:tr>
      <w:tr w14:paraId="36DD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4D142B7">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6A73DEC">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D453EE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FA982B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D64F16E">
            <w:pPr>
              <w:rPr>
                <w:rFonts w:ascii="宋体" w:hAnsi="宋体" w:cs="宋体"/>
                <w:color w:val="auto"/>
                <w:sz w:val="24"/>
                <w:highlight w:val="none"/>
              </w:rPr>
            </w:pPr>
          </w:p>
        </w:tc>
      </w:tr>
      <w:tr w14:paraId="30F1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CBB5442">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BE38216">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AC8653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4B3B7D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F1BC366">
            <w:pPr>
              <w:rPr>
                <w:rFonts w:ascii="宋体" w:hAnsi="宋体" w:cs="宋体"/>
                <w:color w:val="auto"/>
                <w:sz w:val="24"/>
                <w:highlight w:val="none"/>
              </w:rPr>
            </w:pPr>
          </w:p>
        </w:tc>
      </w:tr>
      <w:tr w14:paraId="05D5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6C5804B">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3D7E139">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5A101B9">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BAD725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E4427A3">
            <w:pPr>
              <w:rPr>
                <w:rFonts w:ascii="宋体" w:hAnsi="宋体" w:cs="宋体"/>
                <w:color w:val="auto"/>
                <w:sz w:val="24"/>
                <w:highlight w:val="none"/>
              </w:rPr>
            </w:pPr>
          </w:p>
        </w:tc>
      </w:tr>
      <w:tr w14:paraId="1D50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F2766B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753473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78A341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30D2633">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E85C097">
            <w:pPr>
              <w:rPr>
                <w:rFonts w:ascii="宋体" w:hAnsi="宋体" w:cs="宋体"/>
                <w:color w:val="auto"/>
                <w:sz w:val="24"/>
                <w:highlight w:val="none"/>
              </w:rPr>
            </w:pPr>
          </w:p>
        </w:tc>
      </w:tr>
      <w:tr w14:paraId="1C46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93CDA52">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E8A472D">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7336B8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AD49F3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5F3C393">
            <w:pPr>
              <w:rPr>
                <w:rFonts w:ascii="宋体" w:hAnsi="宋体" w:cs="宋体"/>
                <w:color w:val="auto"/>
                <w:sz w:val="24"/>
                <w:highlight w:val="none"/>
              </w:rPr>
            </w:pPr>
          </w:p>
        </w:tc>
      </w:tr>
    </w:tbl>
    <w:p w14:paraId="036E8437">
      <w:pPr>
        <w:snapToGrid w:val="0"/>
        <w:spacing w:before="50" w:after="50"/>
        <w:rPr>
          <w:rFonts w:ascii="宋体" w:hAnsi="宋体" w:cs="宋体"/>
          <w:b/>
          <w:bCs/>
          <w:color w:val="auto"/>
          <w:sz w:val="24"/>
          <w:highlight w:val="none"/>
        </w:rPr>
      </w:pPr>
    </w:p>
    <w:p w14:paraId="05696EA8">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注：供应商应根据磋商文件的指标、对照磋商文件要求在“偏离情况”栏注明“正偏离”、“负偏离”或“无偏离”。</w:t>
      </w:r>
    </w:p>
    <w:p w14:paraId="62286BCD">
      <w:pPr>
        <w:snapToGrid w:val="0"/>
        <w:spacing w:before="50" w:after="50"/>
        <w:rPr>
          <w:rFonts w:ascii="宋体" w:hAnsi="宋体" w:cs="宋体"/>
          <w:color w:val="auto"/>
          <w:spacing w:val="20"/>
          <w:sz w:val="24"/>
          <w:highlight w:val="none"/>
        </w:rPr>
      </w:pPr>
    </w:p>
    <w:p w14:paraId="532B7DE8">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2B02260D">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供应商盖章：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3576C2DC">
      <w:pPr>
        <w:snapToGrid w:val="0"/>
        <w:spacing w:before="50" w:afterLines="50"/>
        <w:jc w:val="left"/>
        <w:rPr>
          <w:rFonts w:ascii="宋体" w:hAnsi="宋体" w:cs="宋体"/>
          <w:color w:val="auto"/>
          <w:sz w:val="24"/>
          <w:highlight w:val="none"/>
        </w:rPr>
      </w:pPr>
    </w:p>
    <w:p w14:paraId="581EBECF">
      <w:pPr>
        <w:spacing w:before="260" w:after="260" w:line="415" w:lineRule="auto"/>
        <w:rPr>
          <w:rFonts w:ascii="宋体" w:hAnsi="宋体" w:cs="宋体"/>
          <w:bCs/>
          <w:color w:val="auto"/>
          <w:sz w:val="24"/>
          <w:highlight w:val="none"/>
        </w:rPr>
      </w:pPr>
    </w:p>
    <w:p w14:paraId="6BE8509B">
      <w:pPr>
        <w:spacing w:before="260" w:after="260" w:line="415" w:lineRule="auto"/>
        <w:rPr>
          <w:rFonts w:ascii="宋体" w:hAnsi="宋体" w:cs="宋体"/>
          <w:bCs/>
          <w:color w:val="auto"/>
          <w:sz w:val="24"/>
          <w:highlight w:val="none"/>
        </w:rPr>
      </w:pPr>
    </w:p>
    <w:p w14:paraId="15C822E0">
      <w:pPr>
        <w:spacing w:before="260" w:after="260" w:line="415" w:lineRule="auto"/>
        <w:rPr>
          <w:rFonts w:ascii="宋体" w:hAnsi="宋体" w:cs="宋体"/>
          <w:bCs/>
          <w:color w:val="auto"/>
          <w:sz w:val="24"/>
          <w:highlight w:val="none"/>
        </w:rPr>
      </w:pPr>
    </w:p>
    <w:p w14:paraId="4CE9610B">
      <w:pPr>
        <w:rPr>
          <w:color w:val="auto"/>
          <w:highlight w:val="none"/>
        </w:rPr>
      </w:pPr>
      <w:bookmarkStart w:id="67" w:name="_Toc13087"/>
      <w:bookmarkStart w:id="68" w:name="_Toc4581"/>
      <w:bookmarkStart w:id="69" w:name="_Toc31640"/>
      <w:bookmarkStart w:id="70" w:name="_Toc21446147"/>
      <w:bookmarkStart w:id="71" w:name="_Toc21703809"/>
      <w:bookmarkStart w:id="72" w:name="_Toc536428271"/>
    </w:p>
    <w:p w14:paraId="6C0DE333">
      <w:pPr>
        <w:pStyle w:val="5"/>
        <w:keepNext w:val="0"/>
        <w:keepLines w:val="0"/>
        <w:pageBreakBefore/>
        <w:spacing w:line="415" w:lineRule="auto"/>
        <w:rPr>
          <w:rFonts w:hint="eastAsia" w:ascii="宋体" w:hAnsi="宋体" w:eastAsia="宋体" w:cs="宋体"/>
          <w:b w:val="0"/>
          <w:bCs w:val="0"/>
          <w:color w:val="auto"/>
          <w:sz w:val="24"/>
          <w:szCs w:val="24"/>
          <w:highlight w:val="none"/>
        </w:rPr>
      </w:pPr>
      <w:bookmarkStart w:id="73" w:name="_Toc26142"/>
      <w:bookmarkStart w:id="74" w:name="_Toc834"/>
      <w:bookmarkStart w:id="75" w:name="_Toc10463"/>
      <w:bookmarkStart w:id="76" w:name="_Toc28673"/>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w:t>
      </w:r>
      <w:r>
        <w:rPr>
          <w:rFonts w:hint="eastAsia" w:ascii="宋体" w:hAnsi="宋体" w:eastAsia="宋体" w:cs="宋体"/>
          <w:b w:val="0"/>
          <w:bCs w:val="0"/>
          <w:color w:val="auto"/>
          <w:sz w:val="24"/>
          <w:szCs w:val="24"/>
          <w:highlight w:val="none"/>
        </w:rPr>
        <w:t>：安全生产及其他承诺函</w:t>
      </w:r>
      <w:bookmarkEnd w:id="73"/>
      <w:bookmarkEnd w:id="74"/>
      <w:bookmarkEnd w:id="75"/>
      <w:bookmarkEnd w:id="76"/>
    </w:p>
    <w:p w14:paraId="56214E8B">
      <w:pPr>
        <w:snapToGrid w:val="0"/>
        <w:spacing w:before="50" w:after="190" w:afterLines="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安全生产及其他承诺函</w:t>
      </w:r>
    </w:p>
    <w:p w14:paraId="0AE07545">
      <w:pPr>
        <w:snapToGrid w:val="0"/>
        <w:spacing w:before="50" w:after="190" w:afterLines="50"/>
        <w:jc w:val="left"/>
        <w:rPr>
          <w:rFonts w:hint="eastAsia" w:ascii="宋体" w:hAnsi="宋体" w:cs="宋体"/>
          <w:b/>
          <w:color w:val="auto"/>
          <w:sz w:val="24"/>
          <w:highlight w:val="none"/>
        </w:rPr>
      </w:pPr>
    </w:p>
    <w:p w14:paraId="5A42B1D5">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致：</w:t>
      </w:r>
      <w:r>
        <w:rPr>
          <w:rFonts w:hint="eastAsia" w:ascii="宋体" w:hAnsi="宋体" w:cs="宋体"/>
          <w:color w:val="auto"/>
          <w:sz w:val="28"/>
          <w:szCs w:val="28"/>
          <w:highlight w:val="none"/>
          <w:u w:val="none"/>
          <w:lang w:eastAsia="zh-CN"/>
        </w:rPr>
        <w:t>东阳市巍山镇人民政府</w:t>
      </w:r>
      <w:r>
        <w:rPr>
          <w:rFonts w:hint="eastAsia" w:ascii="宋体" w:hAnsi="宋体" w:cs="宋体"/>
          <w:color w:val="auto"/>
          <w:sz w:val="28"/>
          <w:szCs w:val="28"/>
          <w:highlight w:val="none"/>
        </w:rPr>
        <w:t> </w:t>
      </w:r>
    </w:p>
    <w:p w14:paraId="18DF41C7">
      <w:pPr>
        <w:spacing w:line="360" w:lineRule="auto"/>
        <w:ind w:firstLine="560" w:firstLineChars="200"/>
        <w:rPr>
          <w:rFonts w:hint="eastAsia" w:ascii="宋体" w:hAnsi="宋体" w:cs="宋体"/>
          <w:color w:val="auto"/>
          <w:sz w:val="28"/>
          <w:szCs w:val="28"/>
          <w:highlight w:val="none"/>
        </w:rPr>
      </w:pPr>
      <w:r>
        <w:rPr>
          <w:rFonts w:hint="eastAsia" w:ascii="宋体" w:hAnsi="宋体"/>
          <w:color w:val="auto"/>
          <w:sz w:val="28"/>
          <w:szCs w:val="28"/>
          <w:highlight w:val="none"/>
        </w:rPr>
        <w:t>根据贵方</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lang w:val="en-US" w:eastAsia="zh-CN"/>
        </w:rPr>
        <w:t>招标</w:t>
      </w:r>
      <w:r>
        <w:rPr>
          <w:rFonts w:hint="eastAsia" w:ascii="宋体" w:hAnsi="宋体"/>
          <w:color w:val="auto"/>
          <w:sz w:val="28"/>
          <w:szCs w:val="28"/>
          <w:highlight w:val="none"/>
        </w:rPr>
        <w:t>公告（项目编号：</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），签字代表</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（全名）经正式授权并代表</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rPr>
        <w:t>名称）作出如下承诺：</w:t>
      </w:r>
    </w:p>
    <w:p w14:paraId="2205D2E9">
      <w:pPr>
        <w:spacing w:line="360" w:lineRule="auto"/>
        <w:ind w:firstLine="560" w:firstLineChars="200"/>
        <w:rPr>
          <w:rFonts w:hint="eastAsia" w:ascii="宋体" w:hAnsi="宋体"/>
          <w:color w:val="auto"/>
          <w:sz w:val="28"/>
          <w:szCs w:val="28"/>
          <w:highlight w:val="none"/>
        </w:rPr>
      </w:pPr>
    </w:p>
    <w:p w14:paraId="59378FB8">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（1）我方承诺本项目在验收合格前所发生的一切经济、安全及其他责任事故以及验收合格后因</w:t>
      </w:r>
      <w:r>
        <w:rPr>
          <w:rFonts w:hint="eastAsia" w:ascii="宋体" w:hAnsi="宋体"/>
          <w:color w:val="auto"/>
          <w:sz w:val="28"/>
          <w:szCs w:val="28"/>
          <w:highlight w:val="none"/>
          <w:lang w:val="en-US" w:eastAsia="zh-CN"/>
        </w:rPr>
        <w:t>中标人</w:t>
      </w:r>
      <w:r>
        <w:rPr>
          <w:rFonts w:hint="eastAsia" w:ascii="宋体" w:hAnsi="宋体"/>
          <w:color w:val="auto"/>
          <w:sz w:val="28"/>
          <w:szCs w:val="28"/>
          <w:highlight w:val="none"/>
        </w:rPr>
        <w:t>原因导致的一切事故及损失均由我公司承担，与采购人无关。</w:t>
      </w:r>
    </w:p>
    <w:p w14:paraId="238EDC18">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）在施工过程中产生的垃圾，由我公司清运、处置。</w:t>
      </w:r>
    </w:p>
    <w:p w14:paraId="1C29C078">
      <w:pPr>
        <w:rPr>
          <w:rFonts w:hint="eastAsia" w:ascii="宋体" w:hAnsi="宋体" w:cs="宋体"/>
          <w:color w:val="auto"/>
          <w:sz w:val="28"/>
          <w:szCs w:val="28"/>
          <w:highlight w:val="none"/>
        </w:rPr>
      </w:pPr>
    </w:p>
    <w:p w14:paraId="2C6D411A">
      <w:pPr>
        <w:spacing w:line="360" w:lineRule="auto"/>
        <w:rPr>
          <w:rFonts w:hint="eastAsia" w:ascii="宋体" w:hAnsi="宋体" w:cs="宋体"/>
          <w:color w:val="auto"/>
          <w:sz w:val="28"/>
          <w:szCs w:val="28"/>
          <w:highlight w:val="none"/>
        </w:rPr>
      </w:pPr>
    </w:p>
    <w:p w14:paraId="4F2E47E7">
      <w:pPr>
        <w:spacing w:line="360" w:lineRule="auto"/>
        <w:ind w:firstLine="560" w:firstLineChars="200"/>
        <w:rPr>
          <w:rFonts w:hint="eastAsia" w:ascii="宋体" w:hAnsi="宋体"/>
          <w:color w:val="auto"/>
          <w:sz w:val="28"/>
          <w:szCs w:val="28"/>
          <w:highlight w:val="none"/>
        </w:rPr>
      </w:pPr>
    </w:p>
    <w:bookmarkEnd w:id="67"/>
    <w:bookmarkEnd w:id="68"/>
    <w:p w14:paraId="51CA5194">
      <w:pPr>
        <w:spacing w:line="360" w:lineRule="auto"/>
        <w:ind w:firstLine="3920" w:firstLineChars="1400"/>
        <w:rPr>
          <w:rFonts w:hint="eastAsia" w:ascii="宋体" w:hAnsi="宋体"/>
          <w:color w:val="auto"/>
          <w:sz w:val="28"/>
          <w:szCs w:val="28"/>
          <w:highlight w:val="none"/>
        </w:rPr>
      </w:pPr>
      <w:r>
        <w:rPr>
          <w:rFonts w:hint="eastAsia" w:ascii="宋体" w:hAnsi="宋体"/>
          <w:color w:val="auto"/>
          <w:sz w:val="28"/>
          <w:szCs w:val="28"/>
          <w:highlight w:val="none"/>
          <w:lang w:val="en-US" w:eastAsia="zh-CN"/>
        </w:rPr>
        <w:t>供应商</w:t>
      </w:r>
      <w:r>
        <w:rPr>
          <w:rFonts w:hint="eastAsia" w:ascii="宋体" w:hAnsi="宋体"/>
          <w:color w:val="auto"/>
          <w:sz w:val="28"/>
          <w:szCs w:val="28"/>
          <w:highlight w:val="none"/>
        </w:rPr>
        <w:t>（单位盖章）：</w:t>
      </w:r>
    </w:p>
    <w:p w14:paraId="758C3257">
      <w:pPr>
        <w:spacing w:line="360" w:lineRule="auto"/>
        <w:ind w:firstLine="3920" w:firstLineChars="1400"/>
        <w:rPr>
          <w:rFonts w:hint="eastAsia" w:ascii="宋体" w:hAnsi="宋体" w:cs="宋体"/>
          <w:color w:val="auto"/>
          <w:sz w:val="24"/>
          <w:szCs w:val="24"/>
          <w:highlight w:val="none"/>
        </w:rPr>
      </w:pPr>
      <w:r>
        <w:rPr>
          <w:rFonts w:hint="eastAsia" w:ascii="宋体" w:hAnsi="宋体"/>
          <w:color w:val="auto"/>
          <w:sz w:val="28"/>
          <w:szCs w:val="28"/>
          <w:highlight w:val="none"/>
        </w:rPr>
        <w:t xml:space="preserve">法定代表人或委托代理人（签字或盖章）：   </w:t>
      </w:r>
      <w:r>
        <w:rPr>
          <w:rFonts w:hint="eastAsia" w:ascii="宋体" w:hAnsi="宋体" w:cs="宋体"/>
          <w:color w:val="auto"/>
          <w:sz w:val="24"/>
          <w:szCs w:val="24"/>
          <w:highlight w:val="none"/>
        </w:rPr>
        <w:t xml:space="preserve">                      </w:t>
      </w:r>
    </w:p>
    <w:p w14:paraId="04088755">
      <w:pPr>
        <w:spacing w:line="360" w:lineRule="auto"/>
        <w:ind w:firstLine="4480" w:firstLineChars="16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年  月  日</w:t>
      </w:r>
    </w:p>
    <w:p w14:paraId="6669878C">
      <w:pPr>
        <w:pStyle w:val="5"/>
        <w:keepNext w:val="0"/>
        <w:keepLines w:val="0"/>
        <w:pageBreakBefore/>
        <w:spacing w:line="415" w:lineRule="auto"/>
        <w:rPr>
          <w:rFonts w:ascii="宋体" w:hAnsi="宋体" w:eastAsia="宋体" w:cs="宋体"/>
          <w:b w:val="0"/>
          <w:bCs w:val="0"/>
          <w:color w:val="auto"/>
          <w:sz w:val="24"/>
          <w:szCs w:val="24"/>
          <w:highlight w:val="none"/>
        </w:rPr>
      </w:pPr>
      <w:bookmarkStart w:id="77" w:name="_Toc4997"/>
      <w:r>
        <w:rPr>
          <w:rFonts w:hint="eastAsia" w:ascii="宋体" w:hAnsi="宋体" w:eastAsia="宋体" w:cs="宋体"/>
          <w:b w:val="0"/>
          <w:bCs w:val="0"/>
          <w:color w:val="auto"/>
          <w:sz w:val="24"/>
          <w:szCs w:val="24"/>
          <w:highlight w:val="none"/>
        </w:rPr>
        <w:t>附件十</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w:t>
      </w:r>
      <w:bookmarkEnd w:id="69"/>
      <w:bookmarkEnd w:id="70"/>
      <w:bookmarkEnd w:id="71"/>
      <w:bookmarkStart w:id="78" w:name="_Toc20267"/>
      <w:bookmarkStart w:id="79" w:name="_Toc31096"/>
      <w:r>
        <w:rPr>
          <w:rFonts w:hint="eastAsia" w:ascii="宋体" w:hAnsi="宋体" w:eastAsia="宋体" w:cs="宋体"/>
          <w:b w:val="0"/>
          <w:bCs w:val="0"/>
          <w:color w:val="auto"/>
          <w:sz w:val="24"/>
          <w:szCs w:val="24"/>
          <w:highlight w:val="none"/>
        </w:rPr>
        <w:t>拟投入本项目</w:t>
      </w:r>
      <w:bookmarkEnd w:id="78"/>
      <w:r>
        <w:rPr>
          <w:rFonts w:hint="eastAsia" w:ascii="宋体" w:hAnsi="宋体" w:eastAsia="宋体" w:cs="宋体"/>
          <w:b w:val="0"/>
          <w:bCs w:val="0"/>
          <w:color w:val="auto"/>
          <w:sz w:val="24"/>
          <w:szCs w:val="24"/>
          <w:highlight w:val="none"/>
        </w:rPr>
        <w:t>人员一览表</w:t>
      </w:r>
      <w:bookmarkEnd w:id="77"/>
      <w:bookmarkEnd w:id="79"/>
    </w:p>
    <w:p w14:paraId="18E74317">
      <w:pPr>
        <w:jc w:val="center"/>
        <w:rPr>
          <w:rFonts w:ascii="宋体" w:hAnsi="宋体"/>
          <w:b/>
          <w:color w:val="auto"/>
          <w:sz w:val="28"/>
          <w:szCs w:val="28"/>
          <w:highlight w:val="none"/>
        </w:rPr>
      </w:pPr>
      <w:r>
        <w:rPr>
          <w:rFonts w:ascii="宋体" w:hAnsi="宋体"/>
          <w:b/>
          <w:color w:val="auto"/>
          <w:sz w:val="28"/>
          <w:szCs w:val="28"/>
          <w:highlight w:val="none"/>
        </w:rPr>
        <w:t>拟投入本项目人员一览表</w:t>
      </w:r>
    </w:p>
    <w:p w14:paraId="2362694D">
      <w:pPr>
        <w:rPr>
          <w:rFonts w:ascii="宋体" w:hAnsi="宋体"/>
          <w:b/>
          <w:color w:val="auto"/>
          <w:sz w:val="28"/>
          <w:szCs w:val="28"/>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招标编号：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1080"/>
        <w:gridCol w:w="1440"/>
        <w:gridCol w:w="1620"/>
        <w:gridCol w:w="1458"/>
        <w:gridCol w:w="1505"/>
      </w:tblGrid>
      <w:tr w14:paraId="1358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1260" w:type="dxa"/>
            <w:vMerge w:val="restart"/>
            <w:vAlign w:val="center"/>
          </w:tcPr>
          <w:p w14:paraId="0B6B0B06">
            <w:pPr>
              <w:jc w:val="center"/>
              <w:rPr>
                <w:rFonts w:ascii="宋体" w:hAnsi="宋体"/>
                <w:color w:val="auto"/>
                <w:szCs w:val="21"/>
                <w:highlight w:val="none"/>
              </w:rPr>
            </w:pPr>
            <w:r>
              <w:rPr>
                <w:rFonts w:hint="eastAsia" w:ascii="宋体" w:hAnsi="宋体"/>
                <w:color w:val="auto"/>
                <w:szCs w:val="21"/>
                <w:highlight w:val="none"/>
              </w:rPr>
              <w:t>在本项目任职岗位</w:t>
            </w:r>
          </w:p>
        </w:tc>
        <w:tc>
          <w:tcPr>
            <w:tcW w:w="1080" w:type="dxa"/>
            <w:vMerge w:val="restart"/>
            <w:vAlign w:val="center"/>
          </w:tcPr>
          <w:p w14:paraId="41C4693C">
            <w:pPr>
              <w:jc w:val="center"/>
              <w:rPr>
                <w:rFonts w:ascii="宋体" w:hAnsi="宋体"/>
                <w:color w:val="auto"/>
                <w:szCs w:val="21"/>
                <w:highlight w:val="none"/>
              </w:rPr>
            </w:pPr>
            <w:r>
              <w:rPr>
                <w:rFonts w:hint="eastAsia" w:ascii="宋体" w:hAnsi="宋体"/>
                <w:color w:val="auto"/>
                <w:szCs w:val="21"/>
                <w:highlight w:val="none"/>
              </w:rPr>
              <w:t>姓名</w:t>
            </w:r>
          </w:p>
        </w:tc>
        <w:tc>
          <w:tcPr>
            <w:tcW w:w="1080" w:type="dxa"/>
            <w:vMerge w:val="restart"/>
            <w:vAlign w:val="center"/>
          </w:tcPr>
          <w:p w14:paraId="715BDF10">
            <w:pPr>
              <w:jc w:val="center"/>
              <w:rPr>
                <w:rFonts w:ascii="宋体" w:hAnsi="宋体"/>
                <w:color w:val="auto"/>
                <w:szCs w:val="21"/>
                <w:highlight w:val="none"/>
              </w:rPr>
            </w:pPr>
            <w:r>
              <w:rPr>
                <w:rFonts w:hint="eastAsia" w:ascii="宋体" w:hAnsi="宋体"/>
                <w:color w:val="auto"/>
                <w:szCs w:val="21"/>
                <w:highlight w:val="none"/>
              </w:rPr>
              <w:t>职称</w:t>
            </w:r>
          </w:p>
        </w:tc>
        <w:tc>
          <w:tcPr>
            <w:tcW w:w="4518" w:type="dxa"/>
            <w:gridSpan w:val="3"/>
            <w:vAlign w:val="center"/>
          </w:tcPr>
          <w:p w14:paraId="3427CBEC">
            <w:pPr>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1505" w:type="dxa"/>
            <w:vMerge w:val="restart"/>
            <w:vAlign w:val="center"/>
          </w:tcPr>
          <w:p w14:paraId="023CF4AD">
            <w:pPr>
              <w:jc w:val="center"/>
              <w:rPr>
                <w:rFonts w:ascii="宋体" w:hAnsi="宋体"/>
                <w:color w:val="auto"/>
                <w:szCs w:val="21"/>
                <w:highlight w:val="none"/>
              </w:rPr>
            </w:pPr>
            <w:r>
              <w:rPr>
                <w:rFonts w:hint="eastAsia" w:ascii="宋体" w:hAnsi="宋体"/>
                <w:color w:val="auto"/>
                <w:szCs w:val="21"/>
                <w:highlight w:val="none"/>
              </w:rPr>
              <w:t>备注</w:t>
            </w:r>
          </w:p>
        </w:tc>
      </w:tr>
      <w:tr w14:paraId="37BB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vMerge w:val="continue"/>
          </w:tcPr>
          <w:p w14:paraId="051B50E4">
            <w:pPr>
              <w:rPr>
                <w:rFonts w:ascii="宋体" w:hAnsi="宋体"/>
                <w:color w:val="auto"/>
                <w:szCs w:val="21"/>
                <w:highlight w:val="none"/>
              </w:rPr>
            </w:pPr>
          </w:p>
        </w:tc>
        <w:tc>
          <w:tcPr>
            <w:tcW w:w="1080" w:type="dxa"/>
            <w:vMerge w:val="continue"/>
          </w:tcPr>
          <w:p w14:paraId="0B88C246">
            <w:pPr>
              <w:rPr>
                <w:rFonts w:ascii="宋体" w:hAnsi="宋体"/>
                <w:color w:val="auto"/>
                <w:szCs w:val="21"/>
                <w:highlight w:val="none"/>
              </w:rPr>
            </w:pPr>
          </w:p>
        </w:tc>
        <w:tc>
          <w:tcPr>
            <w:tcW w:w="1080" w:type="dxa"/>
            <w:vMerge w:val="continue"/>
          </w:tcPr>
          <w:p w14:paraId="1A387306">
            <w:pPr>
              <w:rPr>
                <w:rFonts w:ascii="宋体" w:hAnsi="宋体"/>
                <w:color w:val="auto"/>
                <w:szCs w:val="21"/>
                <w:highlight w:val="none"/>
              </w:rPr>
            </w:pPr>
          </w:p>
        </w:tc>
        <w:tc>
          <w:tcPr>
            <w:tcW w:w="1440" w:type="dxa"/>
            <w:vAlign w:val="center"/>
          </w:tcPr>
          <w:p w14:paraId="3E51732B">
            <w:pPr>
              <w:jc w:val="center"/>
              <w:rPr>
                <w:rFonts w:ascii="宋体" w:hAnsi="宋体"/>
                <w:color w:val="auto"/>
                <w:szCs w:val="21"/>
                <w:highlight w:val="none"/>
              </w:rPr>
            </w:pPr>
            <w:r>
              <w:rPr>
                <w:rFonts w:hint="eastAsia" w:ascii="宋体" w:hAnsi="宋体"/>
                <w:color w:val="auto"/>
                <w:szCs w:val="21"/>
                <w:highlight w:val="none"/>
              </w:rPr>
              <w:t>证书名称</w:t>
            </w:r>
          </w:p>
        </w:tc>
        <w:tc>
          <w:tcPr>
            <w:tcW w:w="1620" w:type="dxa"/>
            <w:vAlign w:val="center"/>
          </w:tcPr>
          <w:p w14:paraId="0405CC1D">
            <w:pPr>
              <w:jc w:val="center"/>
              <w:rPr>
                <w:rFonts w:ascii="宋体" w:hAnsi="宋体"/>
                <w:color w:val="auto"/>
                <w:szCs w:val="21"/>
                <w:highlight w:val="none"/>
              </w:rPr>
            </w:pPr>
            <w:r>
              <w:rPr>
                <w:rFonts w:hint="eastAsia" w:ascii="宋体" w:hAnsi="宋体"/>
                <w:color w:val="auto"/>
                <w:szCs w:val="21"/>
                <w:highlight w:val="none"/>
              </w:rPr>
              <w:t>级别</w:t>
            </w:r>
          </w:p>
        </w:tc>
        <w:tc>
          <w:tcPr>
            <w:tcW w:w="1458" w:type="dxa"/>
            <w:vAlign w:val="center"/>
          </w:tcPr>
          <w:p w14:paraId="5FE9D847">
            <w:pPr>
              <w:jc w:val="center"/>
              <w:rPr>
                <w:rFonts w:ascii="宋体" w:hAnsi="宋体"/>
                <w:color w:val="auto"/>
                <w:szCs w:val="21"/>
                <w:highlight w:val="none"/>
              </w:rPr>
            </w:pPr>
            <w:r>
              <w:rPr>
                <w:rFonts w:hint="eastAsia" w:ascii="宋体" w:hAnsi="宋体"/>
                <w:color w:val="auto"/>
                <w:szCs w:val="21"/>
                <w:highlight w:val="none"/>
              </w:rPr>
              <w:t>证号</w:t>
            </w:r>
          </w:p>
        </w:tc>
        <w:tc>
          <w:tcPr>
            <w:tcW w:w="1505" w:type="dxa"/>
            <w:vMerge w:val="continue"/>
          </w:tcPr>
          <w:p w14:paraId="25A77B07">
            <w:pPr>
              <w:rPr>
                <w:rFonts w:ascii="宋体" w:hAnsi="宋体"/>
                <w:color w:val="auto"/>
                <w:szCs w:val="21"/>
                <w:highlight w:val="none"/>
              </w:rPr>
            </w:pPr>
          </w:p>
        </w:tc>
      </w:tr>
      <w:tr w14:paraId="532B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19D08951">
            <w:pPr>
              <w:rPr>
                <w:rFonts w:ascii="宋体" w:hAnsi="宋体"/>
                <w:color w:val="auto"/>
                <w:szCs w:val="21"/>
                <w:highlight w:val="none"/>
              </w:rPr>
            </w:pPr>
          </w:p>
        </w:tc>
        <w:tc>
          <w:tcPr>
            <w:tcW w:w="1080" w:type="dxa"/>
          </w:tcPr>
          <w:p w14:paraId="2FE3898D">
            <w:pPr>
              <w:rPr>
                <w:rFonts w:ascii="宋体" w:hAnsi="宋体"/>
                <w:color w:val="auto"/>
                <w:szCs w:val="21"/>
                <w:highlight w:val="none"/>
              </w:rPr>
            </w:pPr>
          </w:p>
        </w:tc>
        <w:tc>
          <w:tcPr>
            <w:tcW w:w="1080" w:type="dxa"/>
          </w:tcPr>
          <w:p w14:paraId="11DB6816">
            <w:pPr>
              <w:rPr>
                <w:rFonts w:ascii="宋体" w:hAnsi="宋体"/>
                <w:color w:val="auto"/>
                <w:szCs w:val="21"/>
                <w:highlight w:val="none"/>
              </w:rPr>
            </w:pPr>
          </w:p>
        </w:tc>
        <w:tc>
          <w:tcPr>
            <w:tcW w:w="1440" w:type="dxa"/>
          </w:tcPr>
          <w:p w14:paraId="5F733F0D">
            <w:pPr>
              <w:rPr>
                <w:rFonts w:ascii="宋体" w:hAnsi="宋体"/>
                <w:color w:val="auto"/>
                <w:szCs w:val="21"/>
                <w:highlight w:val="none"/>
              </w:rPr>
            </w:pPr>
          </w:p>
        </w:tc>
        <w:tc>
          <w:tcPr>
            <w:tcW w:w="1620" w:type="dxa"/>
          </w:tcPr>
          <w:p w14:paraId="27C329D9">
            <w:pPr>
              <w:rPr>
                <w:rFonts w:ascii="宋体" w:hAnsi="宋体"/>
                <w:color w:val="auto"/>
                <w:szCs w:val="21"/>
                <w:highlight w:val="none"/>
              </w:rPr>
            </w:pPr>
          </w:p>
        </w:tc>
        <w:tc>
          <w:tcPr>
            <w:tcW w:w="1458" w:type="dxa"/>
          </w:tcPr>
          <w:p w14:paraId="2C18C9BA">
            <w:pPr>
              <w:rPr>
                <w:rFonts w:ascii="宋体" w:hAnsi="宋体"/>
                <w:color w:val="auto"/>
                <w:szCs w:val="21"/>
                <w:highlight w:val="none"/>
              </w:rPr>
            </w:pPr>
          </w:p>
        </w:tc>
        <w:tc>
          <w:tcPr>
            <w:tcW w:w="1505" w:type="dxa"/>
          </w:tcPr>
          <w:p w14:paraId="02D3240F">
            <w:pPr>
              <w:rPr>
                <w:rFonts w:ascii="宋体" w:hAnsi="宋体"/>
                <w:color w:val="auto"/>
                <w:szCs w:val="21"/>
                <w:highlight w:val="none"/>
              </w:rPr>
            </w:pPr>
          </w:p>
        </w:tc>
      </w:tr>
      <w:tr w14:paraId="2DAE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7942BA4F">
            <w:pPr>
              <w:rPr>
                <w:rFonts w:ascii="宋体" w:hAnsi="宋体"/>
                <w:color w:val="auto"/>
                <w:szCs w:val="21"/>
                <w:highlight w:val="none"/>
              </w:rPr>
            </w:pPr>
          </w:p>
        </w:tc>
        <w:tc>
          <w:tcPr>
            <w:tcW w:w="1080" w:type="dxa"/>
          </w:tcPr>
          <w:p w14:paraId="23F360DF">
            <w:pPr>
              <w:rPr>
                <w:rFonts w:ascii="宋体" w:hAnsi="宋体"/>
                <w:color w:val="auto"/>
                <w:szCs w:val="21"/>
                <w:highlight w:val="none"/>
              </w:rPr>
            </w:pPr>
          </w:p>
        </w:tc>
        <w:tc>
          <w:tcPr>
            <w:tcW w:w="1080" w:type="dxa"/>
          </w:tcPr>
          <w:p w14:paraId="72F926E6">
            <w:pPr>
              <w:rPr>
                <w:rFonts w:ascii="宋体" w:hAnsi="宋体"/>
                <w:color w:val="auto"/>
                <w:szCs w:val="21"/>
                <w:highlight w:val="none"/>
              </w:rPr>
            </w:pPr>
          </w:p>
        </w:tc>
        <w:tc>
          <w:tcPr>
            <w:tcW w:w="1440" w:type="dxa"/>
          </w:tcPr>
          <w:p w14:paraId="38F3E1A1">
            <w:pPr>
              <w:rPr>
                <w:rFonts w:ascii="宋体" w:hAnsi="宋体"/>
                <w:color w:val="auto"/>
                <w:szCs w:val="21"/>
                <w:highlight w:val="none"/>
              </w:rPr>
            </w:pPr>
          </w:p>
        </w:tc>
        <w:tc>
          <w:tcPr>
            <w:tcW w:w="1620" w:type="dxa"/>
          </w:tcPr>
          <w:p w14:paraId="30ACECF2">
            <w:pPr>
              <w:rPr>
                <w:rFonts w:ascii="宋体" w:hAnsi="宋体"/>
                <w:color w:val="auto"/>
                <w:szCs w:val="21"/>
                <w:highlight w:val="none"/>
              </w:rPr>
            </w:pPr>
          </w:p>
        </w:tc>
        <w:tc>
          <w:tcPr>
            <w:tcW w:w="1458" w:type="dxa"/>
          </w:tcPr>
          <w:p w14:paraId="6B23DFE0">
            <w:pPr>
              <w:rPr>
                <w:rFonts w:ascii="宋体" w:hAnsi="宋体"/>
                <w:color w:val="auto"/>
                <w:szCs w:val="21"/>
                <w:highlight w:val="none"/>
              </w:rPr>
            </w:pPr>
          </w:p>
        </w:tc>
        <w:tc>
          <w:tcPr>
            <w:tcW w:w="1505" w:type="dxa"/>
          </w:tcPr>
          <w:p w14:paraId="5C32123B">
            <w:pPr>
              <w:rPr>
                <w:rFonts w:ascii="宋体" w:hAnsi="宋体"/>
                <w:color w:val="auto"/>
                <w:szCs w:val="21"/>
                <w:highlight w:val="none"/>
              </w:rPr>
            </w:pPr>
          </w:p>
        </w:tc>
      </w:tr>
      <w:tr w14:paraId="316D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4E50028F">
            <w:pPr>
              <w:rPr>
                <w:rFonts w:ascii="宋体" w:hAnsi="宋体"/>
                <w:color w:val="auto"/>
                <w:szCs w:val="21"/>
                <w:highlight w:val="none"/>
              </w:rPr>
            </w:pPr>
          </w:p>
        </w:tc>
        <w:tc>
          <w:tcPr>
            <w:tcW w:w="1080" w:type="dxa"/>
          </w:tcPr>
          <w:p w14:paraId="659651E3">
            <w:pPr>
              <w:rPr>
                <w:rFonts w:ascii="宋体" w:hAnsi="宋体"/>
                <w:color w:val="auto"/>
                <w:szCs w:val="21"/>
                <w:highlight w:val="none"/>
              </w:rPr>
            </w:pPr>
          </w:p>
        </w:tc>
        <w:tc>
          <w:tcPr>
            <w:tcW w:w="1080" w:type="dxa"/>
          </w:tcPr>
          <w:p w14:paraId="4A881874">
            <w:pPr>
              <w:rPr>
                <w:rFonts w:ascii="宋体" w:hAnsi="宋体"/>
                <w:color w:val="auto"/>
                <w:szCs w:val="21"/>
                <w:highlight w:val="none"/>
              </w:rPr>
            </w:pPr>
          </w:p>
        </w:tc>
        <w:tc>
          <w:tcPr>
            <w:tcW w:w="1440" w:type="dxa"/>
          </w:tcPr>
          <w:p w14:paraId="7EB0618D">
            <w:pPr>
              <w:rPr>
                <w:rFonts w:ascii="宋体" w:hAnsi="宋体"/>
                <w:color w:val="auto"/>
                <w:szCs w:val="21"/>
                <w:highlight w:val="none"/>
              </w:rPr>
            </w:pPr>
          </w:p>
        </w:tc>
        <w:tc>
          <w:tcPr>
            <w:tcW w:w="1620" w:type="dxa"/>
          </w:tcPr>
          <w:p w14:paraId="65759403">
            <w:pPr>
              <w:rPr>
                <w:rFonts w:ascii="宋体" w:hAnsi="宋体"/>
                <w:color w:val="auto"/>
                <w:szCs w:val="21"/>
                <w:highlight w:val="none"/>
              </w:rPr>
            </w:pPr>
          </w:p>
        </w:tc>
        <w:tc>
          <w:tcPr>
            <w:tcW w:w="1458" w:type="dxa"/>
          </w:tcPr>
          <w:p w14:paraId="3CECB452">
            <w:pPr>
              <w:rPr>
                <w:rFonts w:ascii="宋体" w:hAnsi="宋体"/>
                <w:color w:val="auto"/>
                <w:szCs w:val="21"/>
                <w:highlight w:val="none"/>
              </w:rPr>
            </w:pPr>
          </w:p>
        </w:tc>
        <w:tc>
          <w:tcPr>
            <w:tcW w:w="1505" w:type="dxa"/>
          </w:tcPr>
          <w:p w14:paraId="04E1B68D">
            <w:pPr>
              <w:rPr>
                <w:rFonts w:ascii="宋体" w:hAnsi="宋体"/>
                <w:color w:val="auto"/>
                <w:szCs w:val="21"/>
                <w:highlight w:val="none"/>
              </w:rPr>
            </w:pPr>
          </w:p>
        </w:tc>
      </w:tr>
      <w:tr w14:paraId="388E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262A8E40">
            <w:pPr>
              <w:rPr>
                <w:rFonts w:ascii="宋体" w:hAnsi="宋体"/>
                <w:color w:val="auto"/>
                <w:szCs w:val="21"/>
                <w:highlight w:val="none"/>
              </w:rPr>
            </w:pPr>
          </w:p>
        </w:tc>
        <w:tc>
          <w:tcPr>
            <w:tcW w:w="1080" w:type="dxa"/>
          </w:tcPr>
          <w:p w14:paraId="43D13EE1">
            <w:pPr>
              <w:rPr>
                <w:rFonts w:ascii="宋体" w:hAnsi="宋体"/>
                <w:color w:val="auto"/>
                <w:szCs w:val="21"/>
                <w:highlight w:val="none"/>
              </w:rPr>
            </w:pPr>
          </w:p>
        </w:tc>
        <w:tc>
          <w:tcPr>
            <w:tcW w:w="1080" w:type="dxa"/>
          </w:tcPr>
          <w:p w14:paraId="5A78F3C3">
            <w:pPr>
              <w:rPr>
                <w:rFonts w:ascii="宋体" w:hAnsi="宋体"/>
                <w:color w:val="auto"/>
                <w:szCs w:val="21"/>
                <w:highlight w:val="none"/>
              </w:rPr>
            </w:pPr>
          </w:p>
        </w:tc>
        <w:tc>
          <w:tcPr>
            <w:tcW w:w="1440" w:type="dxa"/>
          </w:tcPr>
          <w:p w14:paraId="5E221A43">
            <w:pPr>
              <w:rPr>
                <w:rFonts w:ascii="宋体" w:hAnsi="宋体"/>
                <w:color w:val="auto"/>
                <w:szCs w:val="21"/>
                <w:highlight w:val="none"/>
              </w:rPr>
            </w:pPr>
          </w:p>
        </w:tc>
        <w:tc>
          <w:tcPr>
            <w:tcW w:w="1620" w:type="dxa"/>
          </w:tcPr>
          <w:p w14:paraId="0E24CED4">
            <w:pPr>
              <w:rPr>
                <w:rFonts w:ascii="宋体" w:hAnsi="宋体"/>
                <w:color w:val="auto"/>
                <w:szCs w:val="21"/>
                <w:highlight w:val="none"/>
              </w:rPr>
            </w:pPr>
          </w:p>
        </w:tc>
        <w:tc>
          <w:tcPr>
            <w:tcW w:w="1458" w:type="dxa"/>
          </w:tcPr>
          <w:p w14:paraId="360680D0">
            <w:pPr>
              <w:rPr>
                <w:rFonts w:ascii="宋体" w:hAnsi="宋体"/>
                <w:color w:val="auto"/>
                <w:szCs w:val="21"/>
                <w:highlight w:val="none"/>
              </w:rPr>
            </w:pPr>
          </w:p>
        </w:tc>
        <w:tc>
          <w:tcPr>
            <w:tcW w:w="1505" w:type="dxa"/>
          </w:tcPr>
          <w:p w14:paraId="27647FF9">
            <w:pPr>
              <w:rPr>
                <w:rFonts w:ascii="宋体" w:hAnsi="宋体"/>
                <w:color w:val="auto"/>
                <w:szCs w:val="21"/>
                <w:highlight w:val="none"/>
              </w:rPr>
            </w:pPr>
          </w:p>
        </w:tc>
      </w:tr>
      <w:tr w14:paraId="2DE9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14577D65">
            <w:pPr>
              <w:rPr>
                <w:rFonts w:ascii="宋体" w:hAnsi="宋体"/>
                <w:color w:val="auto"/>
                <w:szCs w:val="21"/>
                <w:highlight w:val="none"/>
              </w:rPr>
            </w:pPr>
          </w:p>
        </w:tc>
        <w:tc>
          <w:tcPr>
            <w:tcW w:w="1080" w:type="dxa"/>
          </w:tcPr>
          <w:p w14:paraId="7334F7AB">
            <w:pPr>
              <w:rPr>
                <w:rFonts w:ascii="宋体" w:hAnsi="宋体"/>
                <w:color w:val="auto"/>
                <w:szCs w:val="21"/>
                <w:highlight w:val="none"/>
              </w:rPr>
            </w:pPr>
          </w:p>
        </w:tc>
        <w:tc>
          <w:tcPr>
            <w:tcW w:w="1080" w:type="dxa"/>
          </w:tcPr>
          <w:p w14:paraId="4C4223EC">
            <w:pPr>
              <w:rPr>
                <w:rFonts w:ascii="宋体" w:hAnsi="宋体"/>
                <w:color w:val="auto"/>
                <w:szCs w:val="21"/>
                <w:highlight w:val="none"/>
              </w:rPr>
            </w:pPr>
          </w:p>
        </w:tc>
        <w:tc>
          <w:tcPr>
            <w:tcW w:w="1440" w:type="dxa"/>
          </w:tcPr>
          <w:p w14:paraId="33240CEB">
            <w:pPr>
              <w:rPr>
                <w:rFonts w:ascii="宋体" w:hAnsi="宋体"/>
                <w:color w:val="auto"/>
                <w:szCs w:val="21"/>
                <w:highlight w:val="none"/>
              </w:rPr>
            </w:pPr>
          </w:p>
        </w:tc>
        <w:tc>
          <w:tcPr>
            <w:tcW w:w="1620" w:type="dxa"/>
          </w:tcPr>
          <w:p w14:paraId="320430F2">
            <w:pPr>
              <w:rPr>
                <w:rFonts w:ascii="宋体" w:hAnsi="宋体"/>
                <w:color w:val="auto"/>
                <w:szCs w:val="21"/>
                <w:highlight w:val="none"/>
              </w:rPr>
            </w:pPr>
          </w:p>
        </w:tc>
        <w:tc>
          <w:tcPr>
            <w:tcW w:w="1458" w:type="dxa"/>
          </w:tcPr>
          <w:p w14:paraId="0A2020B7">
            <w:pPr>
              <w:rPr>
                <w:rFonts w:ascii="宋体" w:hAnsi="宋体"/>
                <w:color w:val="auto"/>
                <w:szCs w:val="21"/>
                <w:highlight w:val="none"/>
              </w:rPr>
            </w:pPr>
          </w:p>
        </w:tc>
        <w:tc>
          <w:tcPr>
            <w:tcW w:w="1505" w:type="dxa"/>
          </w:tcPr>
          <w:p w14:paraId="2D8177AB">
            <w:pPr>
              <w:rPr>
                <w:rFonts w:ascii="宋体" w:hAnsi="宋体"/>
                <w:color w:val="auto"/>
                <w:szCs w:val="21"/>
                <w:highlight w:val="none"/>
              </w:rPr>
            </w:pPr>
          </w:p>
        </w:tc>
      </w:tr>
      <w:tr w14:paraId="5806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739C8DE4">
            <w:pPr>
              <w:rPr>
                <w:rFonts w:ascii="宋体" w:hAnsi="宋体"/>
                <w:color w:val="auto"/>
                <w:szCs w:val="21"/>
                <w:highlight w:val="none"/>
              </w:rPr>
            </w:pPr>
          </w:p>
        </w:tc>
        <w:tc>
          <w:tcPr>
            <w:tcW w:w="1080" w:type="dxa"/>
          </w:tcPr>
          <w:p w14:paraId="7ED7C08A">
            <w:pPr>
              <w:rPr>
                <w:rFonts w:ascii="宋体" w:hAnsi="宋体"/>
                <w:color w:val="auto"/>
                <w:szCs w:val="21"/>
                <w:highlight w:val="none"/>
              </w:rPr>
            </w:pPr>
          </w:p>
        </w:tc>
        <w:tc>
          <w:tcPr>
            <w:tcW w:w="1080" w:type="dxa"/>
          </w:tcPr>
          <w:p w14:paraId="09914A54">
            <w:pPr>
              <w:rPr>
                <w:rFonts w:ascii="宋体" w:hAnsi="宋体"/>
                <w:color w:val="auto"/>
                <w:szCs w:val="21"/>
                <w:highlight w:val="none"/>
              </w:rPr>
            </w:pPr>
          </w:p>
        </w:tc>
        <w:tc>
          <w:tcPr>
            <w:tcW w:w="1440" w:type="dxa"/>
          </w:tcPr>
          <w:p w14:paraId="1713BB9C">
            <w:pPr>
              <w:rPr>
                <w:rFonts w:ascii="宋体" w:hAnsi="宋体"/>
                <w:color w:val="auto"/>
                <w:szCs w:val="21"/>
                <w:highlight w:val="none"/>
              </w:rPr>
            </w:pPr>
          </w:p>
        </w:tc>
        <w:tc>
          <w:tcPr>
            <w:tcW w:w="1620" w:type="dxa"/>
          </w:tcPr>
          <w:p w14:paraId="1C802422">
            <w:pPr>
              <w:rPr>
                <w:rFonts w:ascii="宋体" w:hAnsi="宋体"/>
                <w:color w:val="auto"/>
                <w:szCs w:val="21"/>
                <w:highlight w:val="none"/>
              </w:rPr>
            </w:pPr>
          </w:p>
        </w:tc>
        <w:tc>
          <w:tcPr>
            <w:tcW w:w="1458" w:type="dxa"/>
          </w:tcPr>
          <w:p w14:paraId="7BA34B69">
            <w:pPr>
              <w:rPr>
                <w:rFonts w:ascii="宋体" w:hAnsi="宋体"/>
                <w:color w:val="auto"/>
                <w:szCs w:val="21"/>
                <w:highlight w:val="none"/>
              </w:rPr>
            </w:pPr>
          </w:p>
        </w:tc>
        <w:tc>
          <w:tcPr>
            <w:tcW w:w="1505" w:type="dxa"/>
          </w:tcPr>
          <w:p w14:paraId="109C850F">
            <w:pPr>
              <w:rPr>
                <w:rFonts w:ascii="宋体" w:hAnsi="宋体"/>
                <w:color w:val="auto"/>
                <w:szCs w:val="21"/>
                <w:highlight w:val="none"/>
              </w:rPr>
            </w:pPr>
          </w:p>
        </w:tc>
      </w:tr>
      <w:tr w14:paraId="4149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0C9ADE5D">
            <w:pPr>
              <w:rPr>
                <w:rFonts w:ascii="宋体" w:hAnsi="宋体"/>
                <w:color w:val="auto"/>
                <w:szCs w:val="21"/>
                <w:highlight w:val="none"/>
              </w:rPr>
            </w:pPr>
          </w:p>
        </w:tc>
        <w:tc>
          <w:tcPr>
            <w:tcW w:w="1080" w:type="dxa"/>
          </w:tcPr>
          <w:p w14:paraId="56DFD074">
            <w:pPr>
              <w:rPr>
                <w:rFonts w:ascii="宋体" w:hAnsi="宋体"/>
                <w:color w:val="auto"/>
                <w:szCs w:val="21"/>
                <w:highlight w:val="none"/>
              </w:rPr>
            </w:pPr>
          </w:p>
        </w:tc>
        <w:tc>
          <w:tcPr>
            <w:tcW w:w="1080" w:type="dxa"/>
          </w:tcPr>
          <w:p w14:paraId="4298F1C2">
            <w:pPr>
              <w:rPr>
                <w:rFonts w:ascii="宋体" w:hAnsi="宋体"/>
                <w:color w:val="auto"/>
                <w:szCs w:val="21"/>
                <w:highlight w:val="none"/>
              </w:rPr>
            </w:pPr>
          </w:p>
        </w:tc>
        <w:tc>
          <w:tcPr>
            <w:tcW w:w="1440" w:type="dxa"/>
          </w:tcPr>
          <w:p w14:paraId="6147F2DC">
            <w:pPr>
              <w:rPr>
                <w:rFonts w:ascii="宋体" w:hAnsi="宋体"/>
                <w:color w:val="auto"/>
                <w:szCs w:val="21"/>
                <w:highlight w:val="none"/>
              </w:rPr>
            </w:pPr>
          </w:p>
        </w:tc>
        <w:tc>
          <w:tcPr>
            <w:tcW w:w="1620" w:type="dxa"/>
          </w:tcPr>
          <w:p w14:paraId="19455156">
            <w:pPr>
              <w:rPr>
                <w:rFonts w:ascii="宋体" w:hAnsi="宋体"/>
                <w:color w:val="auto"/>
                <w:szCs w:val="21"/>
                <w:highlight w:val="none"/>
              </w:rPr>
            </w:pPr>
          </w:p>
        </w:tc>
        <w:tc>
          <w:tcPr>
            <w:tcW w:w="1458" w:type="dxa"/>
          </w:tcPr>
          <w:p w14:paraId="44218FD8">
            <w:pPr>
              <w:rPr>
                <w:rFonts w:ascii="宋体" w:hAnsi="宋体"/>
                <w:color w:val="auto"/>
                <w:szCs w:val="21"/>
                <w:highlight w:val="none"/>
              </w:rPr>
            </w:pPr>
          </w:p>
        </w:tc>
        <w:tc>
          <w:tcPr>
            <w:tcW w:w="1505" w:type="dxa"/>
          </w:tcPr>
          <w:p w14:paraId="42826D3B">
            <w:pPr>
              <w:rPr>
                <w:rFonts w:ascii="宋体" w:hAnsi="宋体"/>
                <w:color w:val="auto"/>
                <w:szCs w:val="21"/>
                <w:highlight w:val="none"/>
              </w:rPr>
            </w:pPr>
          </w:p>
        </w:tc>
      </w:tr>
      <w:tr w14:paraId="62DC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63200892">
            <w:pPr>
              <w:rPr>
                <w:rFonts w:ascii="宋体" w:hAnsi="宋体"/>
                <w:color w:val="auto"/>
                <w:szCs w:val="21"/>
                <w:highlight w:val="none"/>
              </w:rPr>
            </w:pPr>
          </w:p>
        </w:tc>
        <w:tc>
          <w:tcPr>
            <w:tcW w:w="1080" w:type="dxa"/>
          </w:tcPr>
          <w:p w14:paraId="10296C5C">
            <w:pPr>
              <w:rPr>
                <w:rFonts w:ascii="宋体" w:hAnsi="宋体"/>
                <w:color w:val="auto"/>
                <w:szCs w:val="21"/>
                <w:highlight w:val="none"/>
              </w:rPr>
            </w:pPr>
          </w:p>
        </w:tc>
        <w:tc>
          <w:tcPr>
            <w:tcW w:w="1080" w:type="dxa"/>
          </w:tcPr>
          <w:p w14:paraId="09E8FA48">
            <w:pPr>
              <w:rPr>
                <w:rFonts w:ascii="宋体" w:hAnsi="宋体"/>
                <w:color w:val="auto"/>
                <w:szCs w:val="21"/>
                <w:highlight w:val="none"/>
              </w:rPr>
            </w:pPr>
          </w:p>
        </w:tc>
        <w:tc>
          <w:tcPr>
            <w:tcW w:w="1440" w:type="dxa"/>
          </w:tcPr>
          <w:p w14:paraId="131BFBD1">
            <w:pPr>
              <w:rPr>
                <w:rFonts w:ascii="宋体" w:hAnsi="宋体"/>
                <w:color w:val="auto"/>
                <w:szCs w:val="21"/>
                <w:highlight w:val="none"/>
              </w:rPr>
            </w:pPr>
          </w:p>
        </w:tc>
        <w:tc>
          <w:tcPr>
            <w:tcW w:w="1620" w:type="dxa"/>
          </w:tcPr>
          <w:p w14:paraId="28B1C7FA">
            <w:pPr>
              <w:rPr>
                <w:rFonts w:ascii="宋体" w:hAnsi="宋体"/>
                <w:color w:val="auto"/>
                <w:szCs w:val="21"/>
                <w:highlight w:val="none"/>
              </w:rPr>
            </w:pPr>
          </w:p>
        </w:tc>
        <w:tc>
          <w:tcPr>
            <w:tcW w:w="1458" w:type="dxa"/>
          </w:tcPr>
          <w:p w14:paraId="061FF6B1">
            <w:pPr>
              <w:rPr>
                <w:rFonts w:ascii="宋体" w:hAnsi="宋体"/>
                <w:color w:val="auto"/>
                <w:szCs w:val="21"/>
                <w:highlight w:val="none"/>
              </w:rPr>
            </w:pPr>
          </w:p>
        </w:tc>
        <w:tc>
          <w:tcPr>
            <w:tcW w:w="1505" w:type="dxa"/>
          </w:tcPr>
          <w:p w14:paraId="7E1D740C">
            <w:pPr>
              <w:rPr>
                <w:rFonts w:ascii="宋体" w:hAnsi="宋体"/>
                <w:color w:val="auto"/>
                <w:szCs w:val="21"/>
                <w:highlight w:val="none"/>
              </w:rPr>
            </w:pPr>
          </w:p>
        </w:tc>
      </w:tr>
      <w:tr w14:paraId="366E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200E6038">
            <w:pPr>
              <w:rPr>
                <w:rFonts w:ascii="宋体" w:hAnsi="宋体"/>
                <w:color w:val="auto"/>
                <w:szCs w:val="21"/>
                <w:highlight w:val="none"/>
              </w:rPr>
            </w:pPr>
          </w:p>
        </w:tc>
        <w:tc>
          <w:tcPr>
            <w:tcW w:w="1080" w:type="dxa"/>
          </w:tcPr>
          <w:p w14:paraId="56E38C67">
            <w:pPr>
              <w:rPr>
                <w:rFonts w:ascii="宋体" w:hAnsi="宋体"/>
                <w:color w:val="auto"/>
                <w:szCs w:val="21"/>
                <w:highlight w:val="none"/>
              </w:rPr>
            </w:pPr>
          </w:p>
        </w:tc>
        <w:tc>
          <w:tcPr>
            <w:tcW w:w="1080" w:type="dxa"/>
          </w:tcPr>
          <w:p w14:paraId="32969706">
            <w:pPr>
              <w:rPr>
                <w:rFonts w:ascii="宋体" w:hAnsi="宋体"/>
                <w:color w:val="auto"/>
                <w:szCs w:val="21"/>
                <w:highlight w:val="none"/>
              </w:rPr>
            </w:pPr>
          </w:p>
        </w:tc>
        <w:tc>
          <w:tcPr>
            <w:tcW w:w="1440" w:type="dxa"/>
          </w:tcPr>
          <w:p w14:paraId="70B8929A">
            <w:pPr>
              <w:rPr>
                <w:rFonts w:ascii="宋体" w:hAnsi="宋体"/>
                <w:color w:val="auto"/>
                <w:szCs w:val="21"/>
                <w:highlight w:val="none"/>
              </w:rPr>
            </w:pPr>
          </w:p>
        </w:tc>
        <w:tc>
          <w:tcPr>
            <w:tcW w:w="1620" w:type="dxa"/>
          </w:tcPr>
          <w:p w14:paraId="23F987CF">
            <w:pPr>
              <w:rPr>
                <w:rFonts w:ascii="宋体" w:hAnsi="宋体"/>
                <w:color w:val="auto"/>
                <w:szCs w:val="21"/>
                <w:highlight w:val="none"/>
              </w:rPr>
            </w:pPr>
          </w:p>
        </w:tc>
        <w:tc>
          <w:tcPr>
            <w:tcW w:w="1458" w:type="dxa"/>
          </w:tcPr>
          <w:p w14:paraId="717253AE">
            <w:pPr>
              <w:rPr>
                <w:rFonts w:ascii="宋体" w:hAnsi="宋体"/>
                <w:color w:val="auto"/>
                <w:szCs w:val="21"/>
                <w:highlight w:val="none"/>
              </w:rPr>
            </w:pPr>
          </w:p>
        </w:tc>
        <w:tc>
          <w:tcPr>
            <w:tcW w:w="1505" w:type="dxa"/>
          </w:tcPr>
          <w:p w14:paraId="025AC682">
            <w:pPr>
              <w:rPr>
                <w:rFonts w:ascii="宋体" w:hAnsi="宋体"/>
                <w:color w:val="auto"/>
                <w:szCs w:val="21"/>
                <w:highlight w:val="none"/>
              </w:rPr>
            </w:pPr>
          </w:p>
        </w:tc>
      </w:tr>
      <w:tr w14:paraId="64E6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30CC1271">
            <w:pPr>
              <w:rPr>
                <w:rFonts w:ascii="宋体" w:hAnsi="宋体"/>
                <w:color w:val="auto"/>
                <w:szCs w:val="21"/>
                <w:highlight w:val="none"/>
              </w:rPr>
            </w:pPr>
          </w:p>
        </w:tc>
        <w:tc>
          <w:tcPr>
            <w:tcW w:w="1080" w:type="dxa"/>
          </w:tcPr>
          <w:p w14:paraId="1F65A128">
            <w:pPr>
              <w:rPr>
                <w:rFonts w:ascii="宋体" w:hAnsi="宋体"/>
                <w:color w:val="auto"/>
                <w:szCs w:val="21"/>
                <w:highlight w:val="none"/>
              </w:rPr>
            </w:pPr>
          </w:p>
        </w:tc>
        <w:tc>
          <w:tcPr>
            <w:tcW w:w="1080" w:type="dxa"/>
          </w:tcPr>
          <w:p w14:paraId="0D9BC976">
            <w:pPr>
              <w:rPr>
                <w:rFonts w:ascii="宋体" w:hAnsi="宋体"/>
                <w:color w:val="auto"/>
                <w:szCs w:val="21"/>
                <w:highlight w:val="none"/>
              </w:rPr>
            </w:pPr>
          </w:p>
        </w:tc>
        <w:tc>
          <w:tcPr>
            <w:tcW w:w="1440" w:type="dxa"/>
          </w:tcPr>
          <w:p w14:paraId="0D78A039">
            <w:pPr>
              <w:rPr>
                <w:rFonts w:ascii="宋体" w:hAnsi="宋体"/>
                <w:color w:val="auto"/>
                <w:szCs w:val="21"/>
                <w:highlight w:val="none"/>
              </w:rPr>
            </w:pPr>
          </w:p>
        </w:tc>
        <w:tc>
          <w:tcPr>
            <w:tcW w:w="1620" w:type="dxa"/>
          </w:tcPr>
          <w:p w14:paraId="0F38C877">
            <w:pPr>
              <w:rPr>
                <w:rFonts w:ascii="宋体" w:hAnsi="宋体"/>
                <w:color w:val="auto"/>
                <w:szCs w:val="21"/>
                <w:highlight w:val="none"/>
              </w:rPr>
            </w:pPr>
          </w:p>
        </w:tc>
        <w:tc>
          <w:tcPr>
            <w:tcW w:w="1458" w:type="dxa"/>
          </w:tcPr>
          <w:p w14:paraId="4E3AA36A">
            <w:pPr>
              <w:rPr>
                <w:rFonts w:ascii="宋体" w:hAnsi="宋体"/>
                <w:color w:val="auto"/>
                <w:szCs w:val="21"/>
                <w:highlight w:val="none"/>
              </w:rPr>
            </w:pPr>
          </w:p>
        </w:tc>
        <w:tc>
          <w:tcPr>
            <w:tcW w:w="1505" w:type="dxa"/>
          </w:tcPr>
          <w:p w14:paraId="2A234E69">
            <w:pPr>
              <w:rPr>
                <w:rFonts w:ascii="宋体" w:hAnsi="宋体"/>
                <w:color w:val="auto"/>
                <w:szCs w:val="21"/>
                <w:highlight w:val="none"/>
              </w:rPr>
            </w:pPr>
          </w:p>
        </w:tc>
      </w:tr>
      <w:tr w14:paraId="4D12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260" w:type="dxa"/>
          </w:tcPr>
          <w:p w14:paraId="6864235D">
            <w:pPr>
              <w:rPr>
                <w:rFonts w:ascii="宋体" w:hAnsi="宋体"/>
                <w:color w:val="auto"/>
                <w:szCs w:val="21"/>
                <w:highlight w:val="none"/>
              </w:rPr>
            </w:pPr>
          </w:p>
        </w:tc>
        <w:tc>
          <w:tcPr>
            <w:tcW w:w="1080" w:type="dxa"/>
          </w:tcPr>
          <w:p w14:paraId="52CE5DD6">
            <w:pPr>
              <w:rPr>
                <w:rFonts w:ascii="宋体" w:hAnsi="宋体"/>
                <w:color w:val="auto"/>
                <w:szCs w:val="21"/>
                <w:highlight w:val="none"/>
              </w:rPr>
            </w:pPr>
          </w:p>
        </w:tc>
        <w:tc>
          <w:tcPr>
            <w:tcW w:w="1080" w:type="dxa"/>
          </w:tcPr>
          <w:p w14:paraId="6BA967EB">
            <w:pPr>
              <w:rPr>
                <w:rFonts w:ascii="宋体" w:hAnsi="宋体"/>
                <w:color w:val="auto"/>
                <w:szCs w:val="21"/>
                <w:highlight w:val="none"/>
              </w:rPr>
            </w:pPr>
          </w:p>
        </w:tc>
        <w:tc>
          <w:tcPr>
            <w:tcW w:w="1440" w:type="dxa"/>
          </w:tcPr>
          <w:p w14:paraId="38D5FB73">
            <w:pPr>
              <w:rPr>
                <w:rFonts w:ascii="宋体" w:hAnsi="宋体"/>
                <w:color w:val="auto"/>
                <w:szCs w:val="21"/>
                <w:highlight w:val="none"/>
              </w:rPr>
            </w:pPr>
          </w:p>
        </w:tc>
        <w:tc>
          <w:tcPr>
            <w:tcW w:w="1620" w:type="dxa"/>
          </w:tcPr>
          <w:p w14:paraId="03BB1F87">
            <w:pPr>
              <w:rPr>
                <w:rFonts w:ascii="宋体" w:hAnsi="宋体"/>
                <w:color w:val="auto"/>
                <w:szCs w:val="21"/>
                <w:highlight w:val="none"/>
              </w:rPr>
            </w:pPr>
          </w:p>
        </w:tc>
        <w:tc>
          <w:tcPr>
            <w:tcW w:w="1458" w:type="dxa"/>
          </w:tcPr>
          <w:p w14:paraId="143DBB39">
            <w:pPr>
              <w:rPr>
                <w:rFonts w:ascii="宋体" w:hAnsi="宋体"/>
                <w:color w:val="auto"/>
                <w:szCs w:val="21"/>
                <w:highlight w:val="none"/>
              </w:rPr>
            </w:pPr>
          </w:p>
        </w:tc>
        <w:tc>
          <w:tcPr>
            <w:tcW w:w="1505" w:type="dxa"/>
          </w:tcPr>
          <w:p w14:paraId="61F9938D">
            <w:pPr>
              <w:rPr>
                <w:rFonts w:ascii="宋体" w:hAnsi="宋体"/>
                <w:color w:val="auto"/>
                <w:szCs w:val="21"/>
                <w:highlight w:val="none"/>
              </w:rPr>
            </w:pPr>
          </w:p>
        </w:tc>
      </w:tr>
      <w:tr w14:paraId="3375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36B6D57D">
            <w:pPr>
              <w:rPr>
                <w:rFonts w:ascii="宋体" w:hAnsi="宋体"/>
                <w:color w:val="auto"/>
                <w:szCs w:val="21"/>
                <w:highlight w:val="none"/>
              </w:rPr>
            </w:pPr>
          </w:p>
        </w:tc>
        <w:tc>
          <w:tcPr>
            <w:tcW w:w="1080" w:type="dxa"/>
          </w:tcPr>
          <w:p w14:paraId="75374E7C">
            <w:pPr>
              <w:rPr>
                <w:rFonts w:ascii="宋体" w:hAnsi="宋体"/>
                <w:color w:val="auto"/>
                <w:szCs w:val="21"/>
                <w:highlight w:val="none"/>
              </w:rPr>
            </w:pPr>
          </w:p>
        </w:tc>
        <w:tc>
          <w:tcPr>
            <w:tcW w:w="1080" w:type="dxa"/>
          </w:tcPr>
          <w:p w14:paraId="234E9D77">
            <w:pPr>
              <w:rPr>
                <w:rFonts w:ascii="宋体" w:hAnsi="宋体"/>
                <w:color w:val="auto"/>
                <w:szCs w:val="21"/>
                <w:highlight w:val="none"/>
              </w:rPr>
            </w:pPr>
          </w:p>
        </w:tc>
        <w:tc>
          <w:tcPr>
            <w:tcW w:w="1440" w:type="dxa"/>
          </w:tcPr>
          <w:p w14:paraId="4090BAA5">
            <w:pPr>
              <w:rPr>
                <w:rFonts w:ascii="宋体" w:hAnsi="宋体"/>
                <w:color w:val="auto"/>
                <w:szCs w:val="21"/>
                <w:highlight w:val="none"/>
              </w:rPr>
            </w:pPr>
          </w:p>
        </w:tc>
        <w:tc>
          <w:tcPr>
            <w:tcW w:w="1620" w:type="dxa"/>
          </w:tcPr>
          <w:p w14:paraId="62B17034">
            <w:pPr>
              <w:rPr>
                <w:rFonts w:ascii="宋体" w:hAnsi="宋体"/>
                <w:color w:val="auto"/>
                <w:szCs w:val="21"/>
                <w:highlight w:val="none"/>
              </w:rPr>
            </w:pPr>
          </w:p>
        </w:tc>
        <w:tc>
          <w:tcPr>
            <w:tcW w:w="1458" w:type="dxa"/>
          </w:tcPr>
          <w:p w14:paraId="1807AAFA">
            <w:pPr>
              <w:rPr>
                <w:rFonts w:ascii="宋体" w:hAnsi="宋体"/>
                <w:color w:val="auto"/>
                <w:szCs w:val="21"/>
                <w:highlight w:val="none"/>
              </w:rPr>
            </w:pPr>
          </w:p>
        </w:tc>
        <w:tc>
          <w:tcPr>
            <w:tcW w:w="1505" w:type="dxa"/>
          </w:tcPr>
          <w:p w14:paraId="73BEB01A">
            <w:pPr>
              <w:rPr>
                <w:rFonts w:ascii="宋体" w:hAnsi="宋体"/>
                <w:color w:val="auto"/>
                <w:szCs w:val="21"/>
                <w:highlight w:val="none"/>
              </w:rPr>
            </w:pPr>
          </w:p>
        </w:tc>
      </w:tr>
    </w:tbl>
    <w:p w14:paraId="292BE57A">
      <w:pPr>
        <w:rPr>
          <w:rFonts w:ascii="宋体" w:hAnsi="宋体"/>
          <w:color w:val="auto"/>
          <w:sz w:val="24"/>
          <w:szCs w:val="20"/>
          <w:highlight w:val="none"/>
        </w:rPr>
      </w:pPr>
      <w:r>
        <w:rPr>
          <w:rFonts w:hint="eastAsia" w:ascii="宋体" w:hAnsi="宋体"/>
          <w:color w:val="auto"/>
          <w:szCs w:val="21"/>
          <w:highlight w:val="none"/>
        </w:rPr>
        <w:t>注：本表后附各人员</w:t>
      </w:r>
      <w:r>
        <w:rPr>
          <w:rFonts w:hint="eastAsia"/>
          <w:color w:val="auto"/>
          <w:szCs w:val="21"/>
          <w:highlight w:val="none"/>
        </w:rPr>
        <w:t>相关资料</w:t>
      </w:r>
      <w:r>
        <w:rPr>
          <w:rFonts w:hint="eastAsia" w:ascii="宋体" w:hAnsi="宋体"/>
          <w:color w:val="auto"/>
          <w:szCs w:val="21"/>
          <w:highlight w:val="none"/>
        </w:rPr>
        <w:t>复印件。</w:t>
      </w:r>
    </w:p>
    <w:p w14:paraId="66002423">
      <w:pPr>
        <w:snapToGrid w:val="0"/>
        <w:spacing w:line="360" w:lineRule="auto"/>
        <w:ind w:firstLine="480"/>
        <w:rPr>
          <w:rFonts w:ascii="宋体" w:hAnsi="宋体"/>
          <w:color w:val="auto"/>
          <w:sz w:val="24"/>
          <w:highlight w:val="none"/>
        </w:rPr>
      </w:pPr>
    </w:p>
    <w:p w14:paraId="0F0E518F">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r>
        <w:rPr>
          <w:rFonts w:hint="eastAsia" w:ascii="宋体" w:hAnsi="宋体"/>
          <w:color w:val="auto"/>
          <w:spacing w:val="20"/>
          <w:sz w:val="24"/>
          <w:highlight w:val="none"/>
          <w:u w:val="single"/>
        </w:rPr>
        <w:t xml:space="preserve">            </w:t>
      </w:r>
    </w:p>
    <w:p w14:paraId="104A01B3">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供应商全称（盖章）：</w:t>
      </w:r>
      <w:r>
        <w:rPr>
          <w:rFonts w:hint="eastAsia" w:ascii="宋体" w:hAnsi="宋体"/>
          <w:color w:val="auto"/>
          <w:spacing w:val="20"/>
          <w:sz w:val="24"/>
          <w:highlight w:val="none"/>
          <w:u w:val="single"/>
        </w:rPr>
        <w:t xml:space="preserve">                    </w:t>
      </w:r>
    </w:p>
    <w:p w14:paraId="099CECA0">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28C408A7">
      <w:pPr>
        <w:snapToGrid w:val="0"/>
        <w:ind w:firstLine="470" w:firstLineChars="196"/>
        <w:jc w:val="left"/>
        <w:rPr>
          <w:rFonts w:ascii="宋体" w:hAnsi="宋体"/>
          <w:color w:val="auto"/>
          <w:sz w:val="24"/>
          <w:highlight w:val="none"/>
        </w:rPr>
      </w:pPr>
    </w:p>
    <w:p w14:paraId="7707EFDC">
      <w:pPr>
        <w:rPr>
          <w:rFonts w:ascii="宋体" w:hAnsi="宋体" w:cs="宋体"/>
          <w:b/>
          <w:bCs/>
          <w:color w:val="auto"/>
          <w:sz w:val="24"/>
          <w:szCs w:val="32"/>
          <w:highlight w:val="none"/>
        </w:rPr>
      </w:pPr>
    </w:p>
    <w:bookmarkEnd w:id="72"/>
    <w:p w14:paraId="325EFD7D">
      <w:pPr>
        <w:widowControl/>
        <w:spacing w:line="560" w:lineRule="exact"/>
        <w:ind w:firstLine="4080" w:firstLineChars="1700"/>
        <w:rPr>
          <w:rFonts w:ascii="宋体" w:hAnsi="宋体"/>
          <w:color w:val="auto"/>
          <w:sz w:val="24"/>
          <w:highlight w:val="none"/>
        </w:rPr>
      </w:pPr>
    </w:p>
    <w:p w14:paraId="1EC46660">
      <w:pPr>
        <w:spacing w:line="480" w:lineRule="auto"/>
        <w:jc w:val="center"/>
        <w:rPr>
          <w:rFonts w:hint="eastAsia" w:ascii="宋体" w:hAnsi="宋体" w:cs="宋体"/>
          <w:b/>
          <w:bCs/>
          <w:sz w:val="32"/>
          <w:szCs w:val="32"/>
          <w:highlight w:val="none"/>
        </w:rPr>
      </w:pPr>
      <w:bookmarkStart w:id="80" w:name="_Toc10587"/>
      <w:bookmarkStart w:id="81" w:name="_Toc861"/>
    </w:p>
    <w:p w14:paraId="27F243E6">
      <w:pPr>
        <w:spacing w:line="360" w:lineRule="auto"/>
        <w:jc w:val="left"/>
        <w:rPr>
          <w:rFonts w:hint="default" w:ascii="宋体" w:hAnsi="宋体" w:eastAsia="宋体"/>
          <w:b/>
          <w:bCs/>
          <w:sz w:val="24"/>
          <w:highlight w:val="none"/>
          <w:lang w:val="en-US" w:eastAsia="zh-CN"/>
        </w:rPr>
      </w:pPr>
      <w:r>
        <w:rPr>
          <w:rFonts w:hint="eastAsia" w:ascii="宋体" w:hAnsi="宋体"/>
          <w:b/>
          <w:bCs/>
          <w:sz w:val="24"/>
          <w:highlight w:val="none"/>
        </w:rPr>
        <w:t>附件</w:t>
      </w:r>
      <w:r>
        <w:rPr>
          <w:rFonts w:hint="eastAsia" w:ascii="宋体" w:hAnsi="宋体"/>
          <w:b/>
          <w:bCs/>
          <w:sz w:val="24"/>
          <w:highlight w:val="none"/>
          <w:lang w:val="en-US" w:eastAsia="zh-CN"/>
        </w:rPr>
        <w:t>十二：拟投入项目负责人情况表</w:t>
      </w:r>
    </w:p>
    <w:p w14:paraId="36B7BC2D">
      <w:pPr>
        <w:spacing w:line="480" w:lineRule="auto"/>
        <w:jc w:val="center"/>
        <w:rPr>
          <w:rFonts w:hint="eastAsia" w:ascii="宋体" w:hAnsi="宋体" w:cs="宋体"/>
          <w:b/>
          <w:bCs/>
          <w:sz w:val="32"/>
          <w:szCs w:val="32"/>
          <w:highlight w:val="none"/>
        </w:rPr>
      </w:pPr>
    </w:p>
    <w:p w14:paraId="3524C7C7">
      <w:pPr>
        <w:spacing w:line="480" w:lineRule="auto"/>
        <w:jc w:val="center"/>
        <w:rPr>
          <w:rFonts w:ascii="宋体" w:hAnsi="宋体" w:cs="宋体"/>
          <w:sz w:val="28"/>
          <w:szCs w:val="28"/>
          <w:highlight w:val="none"/>
        </w:rPr>
      </w:pPr>
      <w:r>
        <w:rPr>
          <w:rFonts w:hint="eastAsia" w:ascii="宋体" w:hAnsi="宋体" w:cs="宋体"/>
          <w:b/>
          <w:bCs/>
          <w:sz w:val="32"/>
          <w:szCs w:val="32"/>
          <w:highlight w:val="none"/>
        </w:rPr>
        <w:t xml:space="preserve"> </w:t>
      </w:r>
      <w:r>
        <w:rPr>
          <w:rFonts w:hint="eastAsia" w:ascii="宋体" w:hAnsi="宋体" w:cs="宋体"/>
          <w:b/>
          <w:bCs/>
          <w:sz w:val="28"/>
          <w:szCs w:val="28"/>
          <w:highlight w:val="none"/>
        </w:rPr>
        <w:t>拟投入项目负责人情况表</w:t>
      </w:r>
    </w:p>
    <w:tbl>
      <w:tblPr>
        <w:tblStyle w:val="38"/>
        <w:tblW w:w="87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75"/>
        <w:gridCol w:w="643"/>
        <w:gridCol w:w="348"/>
        <w:gridCol w:w="1574"/>
        <w:gridCol w:w="160"/>
        <w:gridCol w:w="1430"/>
        <w:gridCol w:w="1269"/>
        <w:gridCol w:w="449"/>
        <w:gridCol w:w="1869"/>
      </w:tblGrid>
      <w:tr w14:paraId="14618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7" w:hRule="atLeast"/>
        </w:trPr>
        <w:tc>
          <w:tcPr>
            <w:tcW w:w="975" w:type="dxa"/>
            <w:vAlign w:val="center"/>
          </w:tcPr>
          <w:p w14:paraId="72B6B487">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姓名</w:t>
            </w:r>
          </w:p>
        </w:tc>
        <w:tc>
          <w:tcPr>
            <w:tcW w:w="991" w:type="dxa"/>
            <w:gridSpan w:val="2"/>
            <w:vAlign w:val="center"/>
          </w:tcPr>
          <w:p w14:paraId="38A5168B">
            <w:pPr>
              <w:keepNext w:val="0"/>
              <w:keepLines w:val="0"/>
              <w:suppressLineNumbers w:val="0"/>
              <w:spacing w:before="0" w:beforeAutospacing="0" w:after="0" w:afterAutospacing="0"/>
              <w:ind w:left="0" w:right="0"/>
              <w:jc w:val="center"/>
              <w:rPr>
                <w:rFonts w:ascii="宋体" w:hAnsi="宋体" w:cs="宋体"/>
                <w:snapToGrid w:val="0"/>
              </w:rPr>
            </w:pPr>
          </w:p>
        </w:tc>
        <w:tc>
          <w:tcPr>
            <w:tcW w:w="1734" w:type="dxa"/>
            <w:gridSpan w:val="2"/>
            <w:vAlign w:val="center"/>
          </w:tcPr>
          <w:p w14:paraId="388DA808">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性别</w:t>
            </w:r>
          </w:p>
        </w:tc>
        <w:tc>
          <w:tcPr>
            <w:tcW w:w="1430" w:type="dxa"/>
            <w:vAlign w:val="center"/>
          </w:tcPr>
          <w:p w14:paraId="32C204FB">
            <w:pPr>
              <w:keepNext w:val="0"/>
              <w:keepLines w:val="0"/>
              <w:suppressLineNumbers w:val="0"/>
              <w:spacing w:before="0" w:beforeAutospacing="0" w:after="0" w:afterAutospacing="0"/>
              <w:ind w:left="0" w:right="0"/>
              <w:jc w:val="center"/>
              <w:rPr>
                <w:rFonts w:ascii="宋体" w:hAnsi="宋体" w:cs="宋体"/>
                <w:snapToGrid w:val="0"/>
              </w:rPr>
            </w:pPr>
          </w:p>
        </w:tc>
        <w:tc>
          <w:tcPr>
            <w:tcW w:w="1269" w:type="dxa"/>
            <w:vAlign w:val="center"/>
          </w:tcPr>
          <w:p w14:paraId="67A8D234">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年龄</w:t>
            </w:r>
          </w:p>
        </w:tc>
        <w:tc>
          <w:tcPr>
            <w:tcW w:w="2318" w:type="dxa"/>
            <w:gridSpan w:val="2"/>
            <w:vAlign w:val="center"/>
          </w:tcPr>
          <w:p w14:paraId="297EBC84">
            <w:pPr>
              <w:keepNext w:val="0"/>
              <w:keepLines w:val="0"/>
              <w:suppressLineNumbers w:val="0"/>
              <w:spacing w:before="0" w:beforeAutospacing="0" w:after="0" w:afterAutospacing="0"/>
              <w:ind w:left="0" w:right="0"/>
              <w:jc w:val="center"/>
              <w:rPr>
                <w:rFonts w:ascii="宋体" w:hAnsi="宋体" w:cs="宋体"/>
                <w:snapToGrid w:val="0"/>
              </w:rPr>
            </w:pPr>
          </w:p>
        </w:tc>
      </w:tr>
      <w:tr w14:paraId="2F258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975" w:type="dxa"/>
            <w:vAlign w:val="center"/>
          </w:tcPr>
          <w:p w14:paraId="196D2F2A">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职务</w:t>
            </w:r>
          </w:p>
        </w:tc>
        <w:tc>
          <w:tcPr>
            <w:tcW w:w="991" w:type="dxa"/>
            <w:gridSpan w:val="2"/>
            <w:vAlign w:val="center"/>
          </w:tcPr>
          <w:p w14:paraId="64E38AFF">
            <w:pPr>
              <w:keepNext w:val="0"/>
              <w:keepLines w:val="0"/>
              <w:suppressLineNumbers w:val="0"/>
              <w:spacing w:before="0" w:beforeAutospacing="0" w:after="0" w:afterAutospacing="0"/>
              <w:ind w:left="0" w:right="0"/>
              <w:jc w:val="center"/>
              <w:rPr>
                <w:rFonts w:ascii="宋体" w:hAnsi="宋体" w:cs="宋体"/>
                <w:snapToGrid w:val="0"/>
              </w:rPr>
            </w:pPr>
          </w:p>
        </w:tc>
        <w:tc>
          <w:tcPr>
            <w:tcW w:w="1734" w:type="dxa"/>
            <w:gridSpan w:val="2"/>
            <w:vAlign w:val="center"/>
          </w:tcPr>
          <w:p w14:paraId="2BC6D784">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职称</w:t>
            </w:r>
          </w:p>
        </w:tc>
        <w:tc>
          <w:tcPr>
            <w:tcW w:w="1430" w:type="dxa"/>
            <w:vAlign w:val="center"/>
          </w:tcPr>
          <w:p w14:paraId="7A86844D">
            <w:pPr>
              <w:keepNext w:val="0"/>
              <w:keepLines w:val="0"/>
              <w:suppressLineNumbers w:val="0"/>
              <w:spacing w:before="0" w:beforeAutospacing="0" w:after="0" w:afterAutospacing="0"/>
              <w:ind w:left="0" w:right="0"/>
              <w:rPr>
                <w:rFonts w:ascii="宋体" w:hAnsi="宋体" w:cs="宋体"/>
                <w:snapToGrid w:val="0"/>
              </w:rPr>
            </w:pPr>
          </w:p>
        </w:tc>
        <w:tc>
          <w:tcPr>
            <w:tcW w:w="1269" w:type="dxa"/>
            <w:vAlign w:val="center"/>
          </w:tcPr>
          <w:p w14:paraId="184AB656">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学历</w:t>
            </w:r>
          </w:p>
        </w:tc>
        <w:tc>
          <w:tcPr>
            <w:tcW w:w="2318" w:type="dxa"/>
            <w:gridSpan w:val="2"/>
            <w:vAlign w:val="center"/>
          </w:tcPr>
          <w:p w14:paraId="39E656CE">
            <w:pPr>
              <w:keepNext w:val="0"/>
              <w:keepLines w:val="0"/>
              <w:suppressLineNumbers w:val="0"/>
              <w:spacing w:before="0" w:beforeAutospacing="0" w:after="0" w:afterAutospacing="0"/>
              <w:ind w:left="0" w:right="0"/>
              <w:jc w:val="center"/>
              <w:rPr>
                <w:rFonts w:ascii="宋体" w:hAnsi="宋体" w:cs="宋体"/>
                <w:snapToGrid w:val="0"/>
              </w:rPr>
            </w:pPr>
          </w:p>
        </w:tc>
      </w:tr>
      <w:tr w14:paraId="13EEB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75" w:type="dxa"/>
            <w:vAlign w:val="center"/>
          </w:tcPr>
          <w:p w14:paraId="2B467C74">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参加工作时间</w:t>
            </w:r>
          </w:p>
        </w:tc>
        <w:tc>
          <w:tcPr>
            <w:tcW w:w="991" w:type="dxa"/>
            <w:gridSpan w:val="2"/>
            <w:vAlign w:val="center"/>
          </w:tcPr>
          <w:p w14:paraId="429B58EB">
            <w:pPr>
              <w:keepNext w:val="0"/>
              <w:keepLines w:val="0"/>
              <w:suppressLineNumbers w:val="0"/>
              <w:spacing w:before="0" w:beforeAutospacing="0" w:after="0" w:afterAutospacing="0"/>
              <w:ind w:left="0" w:right="0"/>
              <w:rPr>
                <w:rFonts w:ascii="宋体" w:hAnsi="宋体" w:cs="宋体"/>
                <w:snapToGrid w:val="0"/>
              </w:rPr>
            </w:pPr>
          </w:p>
        </w:tc>
        <w:tc>
          <w:tcPr>
            <w:tcW w:w="1734" w:type="dxa"/>
            <w:gridSpan w:val="2"/>
            <w:vAlign w:val="center"/>
          </w:tcPr>
          <w:p w14:paraId="57543D60">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拟担任本</w:t>
            </w:r>
          </w:p>
          <w:p w14:paraId="3351AB7D">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项目职务</w:t>
            </w:r>
          </w:p>
        </w:tc>
        <w:tc>
          <w:tcPr>
            <w:tcW w:w="1430" w:type="dxa"/>
            <w:vAlign w:val="center"/>
          </w:tcPr>
          <w:p w14:paraId="2B1FA9A4">
            <w:pPr>
              <w:keepNext w:val="0"/>
              <w:keepLines w:val="0"/>
              <w:suppressLineNumbers w:val="0"/>
              <w:spacing w:before="0" w:beforeAutospacing="0" w:after="0" w:afterAutospacing="0"/>
              <w:ind w:left="0" w:right="0"/>
              <w:rPr>
                <w:rFonts w:ascii="宋体" w:hAnsi="宋体" w:cs="宋体"/>
                <w:snapToGrid w:val="0"/>
              </w:rPr>
            </w:pPr>
          </w:p>
        </w:tc>
        <w:tc>
          <w:tcPr>
            <w:tcW w:w="1269" w:type="dxa"/>
            <w:vAlign w:val="center"/>
          </w:tcPr>
          <w:p w14:paraId="2E78435F">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项目负责人</w:t>
            </w:r>
          </w:p>
          <w:p w14:paraId="65656E72">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从业年限</w:t>
            </w:r>
          </w:p>
        </w:tc>
        <w:tc>
          <w:tcPr>
            <w:tcW w:w="2318" w:type="dxa"/>
            <w:gridSpan w:val="2"/>
            <w:vAlign w:val="center"/>
          </w:tcPr>
          <w:p w14:paraId="0400F5B7">
            <w:pPr>
              <w:keepNext w:val="0"/>
              <w:keepLines w:val="0"/>
              <w:suppressLineNumbers w:val="0"/>
              <w:spacing w:before="0" w:beforeAutospacing="0" w:after="0" w:afterAutospacing="0"/>
              <w:ind w:left="0" w:right="0"/>
              <w:rPr>
                <w:rFonts w:ascii="宋体" w:hAnsi="宋体" w:cs="宋体"/>
                <w:snapToGrid w:val="0"/>
              </w:rPr>
            </w:pPr>
          </w:p>
        </w:tc>
      </w:tr>
      <w:tr w14:paraId="28B62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8717" w:type="dxa"/>
            <w:gridSpan w:val="9"/>
            <w:vAlign w:val="center"/>
          </w:tcPr>
          <w:p w14:paraId="32CE0BB2">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已完成项目情况</w:t>
            </w:r>
          </w:p>
        </w:tc>
      </w:tr>
      <w:tr w14:paraId="41D66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vAlign w:val="center"/>
          </w:tcPr>
          <w:p w14:paraId="7D7BD3BC">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项目名称</w:t>
            </w:r>
          </w:p>
        </w:tc>
        <w:tc>
          <w:tcPr>
            <w:tcW w:w="1922" w:type="dxa"/>
            <w:gridSpan w:val="2"/>
            <w:vAlign w:val="center"/>
          </w:tcPr>
          <w:p w14:paraId="0F9B7D8E">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项目委托单位</w:t>
            </w:r>
          </w:p>
        </w:tc>
        <w:tc>
          <w:tcPr>
            <w:tcW w:w="1590" w:type="dxa"/>
            <w:gridSpan w:val="2"/>
            <w:vAlign w:val="center"/>
          </w:tcPr>
          <w:p w14:paraId="4967C391">
            <w:pPr>
              <w:keepNext w:val="0"/>
              <w:keepLines w:val="0"/>
              <w:suppressLineNumbers w:val="0"/>
              <w:spacing w:before="0" w:beforeAutospacing="0" w:after="0" w:afterAutospacing="0"/>
              <w:ind w:left="0" w:right="0"/>
              <w:jc w:val="center"/>
              <w:rPr>
                <w:rFonts w:ascii="宋体" w:hAnsi="宋体" w:cs="宋体"/>
                <w:snapToGrid w:val="0"/>
              </w:rPr>
            </w:pPr>
            <w:r>
              <w:rPr>
                <w:rFonts w:hint="eastAsia" w:ascii="宋体" w:hAnsi="宋体" w:cs="宋体"/>
                <w:snapToGrid w:val="0"/>
              </w:rPr>
              <w:t>合同签订时间</w:t>
            </w:r>
          </w:p>
        </w:tc>
        <w:tc>
          <w:tcPr>
            <w:tcW w:w="1718" w:type="dxa"/>
            <w:gridSpan w:val="2"/>
            <w:vAlign w:val="center"/>
          </w:tcPr>
          <w:p w14:paraId="218E2C1A">
            <w:pPr>
              <w:keepNext w:val="0"/>
              <w:keepLines w:val="0"/>
              <w:suppressLineNumbers w:val="0"/>
              <w:spacing w:before="0" w:beforeAutospacing="0" w:after="0" w:afterAutospacing="0"/>
              <w:ind w:left="0" w:right="0"/>
              <w:jc w:val="center"/>
              <w:rPr>
                <w:rFonts w:ascii="宋体" w:hAnsi="宋体" w:cs="宋体"/>
                <w:snapToGrid w:val="0"/>
                <w:highlight w:val="yellow"/>
              </w:rPr>
            </w:pPr>
            <w:r>
              <w:rPr>
                <w:rFonts w:hint="eastAsia" w:ascii="宋体" w:hAnsi="宋体" w:cs="宋体"/>
                <w:snapToGrid w:val="0"/>
              </w:rPr>
              <w:t>证明材料类型</w:t>
            </w:r>
          </w:p>
        </w:tc>
        <w:tc>
          <w:tcPr>
            <w:tcW w:w="1869" w:type="dxa"/>
            <w:vAlign w:val="center"/>
          </w:tcPr>
          <w:p w14:paraId="199AAAF5">
            <w:pPr>
              <w:keepNext w:val="0"/>
              <w:keepLines w:val="0"/>
              <w:suppressLineNumbers w:val="0"/>
              <w:spacing w:before="0" w:beforeAutospacing="0" w:after="0" w:afterAutospacing="0"/>
              <w:ind w:left="0" w:right="0"/>
              <w:jc w:val="center"/>
              <w:rPr>
                <w:rFonts w:ascii="宋体" w:hAnsi="宋体" w:cs="宋体"/>
                <w:snapToGrid w:val="0"/>
                <w:highlight w:val="yellow"/>
              </w:rPr>
            </w:pPr>
            <w:r>
              <w:rPr>
                <w:rFonts w:hint="eastAsia" w:ascii="宋体" w:hAnsi="宋体" w:cs="宋体"/>
                <w:snapToGrid w:val="0"/>
              </w:rPr>
              <w:t>其他需要说明的</w:t>
            </w:r>
            <w:r>
              <w:rPr>
                <w:rFonts w:hint="eastAsia" w:ascii="宋体" w:hAnsi="宋体" w:cs="宋体"/>
                <w:snapToGrid w:val="0"/>
                <w:lang w:val="en-US" w:eastAsia="zh-CN"/>
              </w:rPr>
              <w:t xml:space="preserve"> </w:t>
            </w:r>
            <w:r>
              <w:rPr>
                <w:rFonts w:hint="eastAsia" w:ascii="宋体" w:hAnsi="宋体" w:cs="宋体"/>
                <w:snapToGrid w:val="0"/>
              </w:rPr>
              <w:t>情况</w:t>
            </w:r>
          </w:p>
        </w:tc>
      </w:tr>
      <w:tr w14:paraId="59228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vAlign w:val="center"/>
          </w:tcPr>
          <w:p w14:paraId="21AAE2B5">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vAlign w:val="center"/>
          </w:tcPr>
          <w:p w14:paraId="49CBF41A">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vAlign w:val="center"/>
          </w:tcPr>
          <w:p w14:paraId="1DBC243C">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vAlign w:val="center"/>
          </w:tcPr>
          <w:p w14:paraId="1A52223A">
            <w:pPr>
              <w:keepNext w:val="0"/>
              <w:keepLines w:val="0"/>
              <w:suppressLineNumbers w:val="0"/>
              <w:spacing w:before="0" w:beforeAutospacing="0" w:after="0" w:afterAutospacing="0"/>
              <w:ind w:left="0" w:right="0"/>
              <w:rPr>
                <w:rFonts w:ascii="宋体" w:hAnsi="宋体" w:cs="宋体"/>
                <w:snapToGrid w:val="0"/>
              </w:rPr>
            </w:pPr>
          </w:p>
        </w:tc>
        <w:tc>
          <w:tcPr>
            <w:tcW w:w="1869" w:type="dxa"/>
            <w:vAlign w:val="center"/>
          </w:tcPr>
          <w:p w14:paraId="4AC62B40">
            <w:pPr>
              <w:keepNext w:val="0"/>
              <w:keepLines w:val="0"/>
              <w:suppressLineNumbers w:val="0"/>
              <w:spacing w:before="0" w:beforeAutospacing="0" w:after="0" w:afterAutospacing="0"/>
              <w:ind w:left="0" w:right="0"/>
              <w:rPr>
                <w:rFonts w:ascii="宋体" w:hAnsi="宋体" w:cs="宋体"/>
                <w:snapToGrid w:val="0"/>
              </w:rPr>
            </w:pPr>
          </w:p>
        </w:tc>
      </w:tr>
      <w:tr w14:paraId="5F3DF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trPr>
        <w:tc>
          <w:tcPr>
            <w:tcW w:w="1618" w:type="dxa"/>
            <w:gridSpan w:val="2"/>
            <w:vAlign w:val="center"/>
          </w:tcPr>
          <w:p w14:paraId="4ABF54C7">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vAlign w:val="center"/>
          </w:tcPr>
          <w:p w14:paraId="09B47A5A">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vAlign w:val="center"/>
          </w:tcPr>
          <w:p w14:paraId="6617D0C3">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vAlign w:val="center"/>
          </w:tcPr>
          <w:p w14:paraId="7EBAB1B6">
            <w:pPr>
              <w:keepNext w:val="0"/>
              <w:keepLines w:val="0"/>
              <w:suppressLineNumbers w:val="0"/>
              <w:spacing w:before="0" w:beforeAutospacing="0" w:after="0" w:afterAutospacing="0"/>
              <w:ind w:left="0" w:right="0"/>
              <w:rPr>
                <w:rFonts w:ascii="宋体" w:hAnsi="宋体" w:cs="宋体"/>
                <w:snapToGrid w:val="0"/>
              </w:rPr>
            </w:pPr>
          </w:p>
        </w:tc>
        <w:tc>
          <w:tcPr>
            <w:tcW w:w="1869" w:type="dxa"/>
            <w:vAlign w:val="center"/>
          </w:tcPr>
          <w:p w14:paraId="2098EC47">
            <w:pPr>
              <w:keepNext w:val="0"/>
              <w:keepLines w:val="0"/>
              <w:suppressLineNumbers w:val="0"/>
              <w:spacing w:before="0" w:beforeAutospacing="0" w:after="0" w:afterAutospacing="0"/>
              <w:ind w:left="0" w:right="0"/>
              <w:rPr>
                <w:rFonts w:ascii="宋体" w:hAnsi="宋体" w:cs="宋体"/>
                <w:snapToGrid w:val="0"/>
              </w:rPr>
            </w:pPr>
          </w:p>
        </w:tc>
      </w:tr>
      <w:tr w14:paraId="37B03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vAlign w:val="center"/>
          </w:tcPr>
          <w:p w14:paraId="5B8EBD83">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vAlign w:val="center"/>
          </w:tcPr>
          <w:p w14:paraId="76DF6F6E">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vAlign w:val="center"/>
          </w:tcPr>
          <w:p w14:paraId="1D311087">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vAlign w:val="center"/>
          </w:tcPr>
          <w:p w14:paraId="1E42A695">
            <w:pPr>
              <w:keepNext w:val="0"/>
              <w:keepLines w:val="0"/>
              <w:suppressLineNumbers w:val="0"/>
              <w:spacing w:before="0" w:beforeAutospacing="0" w:after="0" w:afterAutospacing="0"/>
              <w:ind w:left="0" w:right="0"/>
              <w:rPr>
                <w:rFonts w:ascii="宋体" w:hAnsi="宋体" w:cs="宋体"/>
                <w:snapToGrid w:val="0"/>
              </w:rPr>
            </w:pPr>
          </w:p>
        </w:tc>
        <w:tc>
          <w:tcPr>
            <w:tcW w:w="1869" w:type="dxa"/>
            <w:vAlign w:val="center"/>
          </w:tcPr>
          <w:p w14:paraId="68E64DA2">
            <w:pPr>
              <w:keepNext w:val="0"/>
              <w:keepLines w:val="0"/>
              <w:suppressLineNumbers w:val="0"/>
              <w:spacing w:before="0" w:beforeAutospacing="0" w:after="0" w:afterAutospacing="0"/>
              <w:ind w:left="0" w:right="0"/>
              <w:rPr>
                <w:rFonts w:ascii="宋体" w:hAnsi="宋体" w:cs="宋体"/>
                <w:snapToGrid w:val="0"/>
              </w:rPr>
            </w:pPr>
          </w:p>
        </w:tc>
      </w:tr>
      <w:tr w14:paraId="1A1B9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vAlign w:val="center"/>
          </w:tcPr>
          <w:p w14:paraId="61F7ADB5">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vAlign w:val="center"/>
          </w:tcPr>
          <w:p w14:paraId="418388B7">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vAlign w:val="center"/>
          </w:tcPr>
          <w:p w14:paraId="788E5134">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vAlign w:val="center"/>
          </w:tcPr>
          <w:p w14:paraId="531F889A">
            <w:pPr>
              <w:keepNext w:val="0"/>
              <w:keepLines w:val="0"/>
              <w:suppressLineNumbers w:val="0"/>
              <w:spacing w:before="0" w:beforeAutospacing="0" w:after="0" w:afterAutospacing="0"/>
              <w:ind w:left="0" w:right="0"/>
              <w:rPr>
                <w:rFonts w:ascii="宋体" w:hAnsi="宋体" w:cs="宋体"/>
                <w:snapToGrid w:val="0"/>
              </w:rPr>
            </w:pPr>
          </w:p>
        </w:tc>
        <w:tc>
          <w:tcPr>
            <w:tcW w:w="1869" w:type="dxa"/>
            <w:vAlign w:val="center"/>
          </w:tcPr>
          <w:p w14:paraId="79A26903">
            <w:pPr>
              <w:keepNext w:val="0"/>
              <w:keepLines w:val="0"/>
              <w:suppressLineNumbers w:val="0"/>
              <w:spacing w:before="0" w:beforeAutospacing="0" w:after="0" w:afterAutospacing="0"/>
              <w:ind w:left="0" w:right="0"/>
              <w:rPr>
                <w:rFonts w:ascii="宋体" w:hAnsi="宋体" w:cs="宋体"/>
                <w:snapToGrid w:val="0"/>
              </w:rPr>
            </w:pPr>
          </w:p>
        </w:tc>
      </w:tr>
      <w:tr w14:paraId="71F84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vAlign w:val="center"/>
          </w:tcPr>
          <w:p w14:paraId="70AAE699">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vAlign w:val="center"/>
          </w:tcPr>
          <w:p w14:paraId="04CD2F4E">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vAlign w:val="center"/>
          </w:tcPr>
          <w:p w14:paraId="6FFAAE74">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vAlign w:val="center"/>
          </w:tcPr>
          <w:p w14:paraId="16C0E728">
            <w:pPr>
              <w:keepNext w:val="0"/>
              <w:keepLines w:val="0"/>
              <w:suppressLineNumbers w:val="0"/>
              <w:spacing w:before="0" w:beforeAutospacing="0" w:after="0" w:afterAutospacing="0"/>
              <w:ind w:left="0" w:right="0"/>
              <w:rPr>
                <w:rFonts w:ascii="宋体" w:hAnsi="宋体" w:cs="宋体"/>
                <w:snapToGrid w:val="0"/>
              </w:rPr>
            </w:pPr>
          </w:p>
        </w:tc>
        <w:tc>
          <w:tcPr>
            <w:tcW w:w="1869" w:type="dxa"/>
            <w:vAlign w:val="center"/>
          </w:tcPr>
          <w:p w14:paraId="50BAE41A">
            <w:pPr>
              <w:keepNext w:val="0"/>
              <w:keepLines w:val="0"/>
              <w:suppressLineNumbers w:val="0"/>
              <w:spacing w:before="0" w:beforeAutospacing="0" w:after="0" w:afterAutospacing="0"/>
              <w:ind w:left="0" w:right="0"/>
              <w:rPr>
                <w:rFonts w:ascii="宋体" w:hAnsi="宋体" w:cs="宋体"/>
                <w:snapToGrid w:val="0"/>
              </w:rPr>
            </w:pPr>
          </w:p>
        </w:tc>
      </w:tr>
      <w:tr w14:paraId="4F2B0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trPr>
        <w:tc>
          <w:tcPr>
            <w:tcW w:w="1618" w:type="dxa"/>
            <w:gridSpan w:val="2"/>
            <w:vAlign w:val="center"/>
          </w:tcPr>
          <w:p w14:paraId="7CC28FC7">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vAlign w:val="center"/>
          </w:tcPr>
          <w:p w14:paraId="10B639C4">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vAlign w:val="center"/>
          </w:tcPr>
          <w:p w14:paraId="52FE32EC">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vAlign w:val="center"/>
          </w:tcPr>
          <w:p w14:paraId="40333179">
            <w:pPr>
              <w:keepNext w:val="0"/>
              <w:keepLines w:val="0"/>
              <w:suppressLineNumbers w:val="0"/>
              <w:spacing w:before="0" w:beforeAutospacing="0" w:after="0" w:afterAutospacing="0"/>
              <w:ind w:left="0" w:right="0"/>
              <w:rPr>
                <w:rFonts w:ascii="宋体" w:hAnsi="宋体" w:cs="宋体"/>
                <w:snapToGrid w:val="0"/>
              </w:rPr>
            </w:pPr>
          </w:p>
        </w:tc>
        <w:tc>
          <w:tcPr>
            <w:tcW w:w="1869" w:type="dxa"/>
            <w:vAlign w:val="center"/>
          </w:tcPr>
          <w:p w14:paraId="73D8EE4A">
            <w:pPr>
              <w:keepNext w:val="0"/>
              <w:keepLines w:val="0"/>
              <w:suppressLineNumbers w:val="0"/>
              <w:spacing w:before="0" w:beforeAutospacing="0" w:after="0" w:afterAutospacing="0"/>
              <w:ind w:left="0" w:right="0"/>
              <w:rPr>
                <w:rFonts w:ascii="宋体" w:hAnsi="宋体" w:cs="宋体"/>
                <w:snapToGrid w:val="0"/>
              </w:rPr>
            </w:pPr>
          </w:p>
        </w:tc>
      </w:tr>
      <w:tr w14:paraId="59A58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trPr>
        <w:tc>
          <w:tcPr>
            <w:tcW w:w="1618" w:type="dxa"/>
            <w:gridSpan w:val="2"/>
            <w:vAlign w:val="center"/>
          </w:tcPr>
          <w:p w14:paraId="30C203FA">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vAlign w:val="center"/>
          </w:tcPr>
          <w:p w14:paraId="7653F81C">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vAlign w:val="center"/>
          </w:tcPr>
          <w:p w14:paraId="5D5279C4">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vAlign w:val="center"/>
          </w:tcPr>
          <w:p w14:paraId="11E7DBFD">
            <w:pPr>
              <w:keepNext w:val="0"/>
              <w:keepLines w:val="0"/>
              <w:suppressLineNumbers w:val="0"/>
              <w:spacing w:before="0" w:beforeAutospacing="0" w:after="0" w:afterAutospacing="0"/>
              <w:ind w:left="0" w:right="0"/>
              <w:rPr>
                <w:rFonts w:ascii="宋体" w:hAnsi="宋体" w:cs="宋体"/>
                <w:snapToGrid w:val="0"/>
              </w:rPr>
            </w:pPr>
          </w:p>
        </w:tc>
        <w:tc>
          <w:tcPr>
            <w:tcW w:w="1869" w:type="dxa"/>
            <w:vAlign w:val="center"/>
          </w:tcPr>
          <w:p w14:paraId="0ABCF9B0">
            <w:pPr>
              <w:keepNext w:val="0"/>
              <w:keepLines w:val="0"/>
              <w:suppressLineNumbers w:val="0"/>
              <w:spacing w:before="0" w:beforeAutospacing="0" w:after="0" w:afterAutospacing="0"/>
              <w:ind w:left="0" w:right="0"/>
              <w:rPr>
                <w:rFonts w:ascii="宋体" w:hAnsi="宋体" w:cs="宋体"/>
                <w:snapToGrid w:val="0"/>
              </w:rPr>
            </w:pPr>
          </w:p>
        </w:tc>
      </w:tr>
      <w:tr w14:paraId="3D0AF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trPr>
        <w:tc>
          <w:tcPr>
            <w:tcW w:w="1618" w:type="dxa"/>
            <w:gridSpan w:val="2"/>
            <w:vAlign w:val="center"/>
          </w:tcPr>
          <w:p w14:paraId="1FF8FE51">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vAlign w:val="center"/>
          </w:tcPr>
          <w:p w14:paraId="1E106481">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vAlign w:val="center"/>
          </w:tcPr>
          <w:p w14:paraId="561EE41B">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vAlign w:val="center"/>
          </w:tcPr>
          <w:p w14:paraId="56A950BB">
            <w:pPr>
              <w:keepNext w:val="0"/>
              <w:keepLines w:val="0"/>
              <w:suppressLineNumbers w:val="0"/>
              <w:spacing w:before="0" w:beforeAutospacing="0" w:after="0" w:afterAutospacing="0"/>
              <w:ind w:left="0" w:right="0"/>
              <w:rPr>
                <w:rFonts w:ascii="宋体" w:hAnsi="宋体" w:cs="宋体"/>
                <w:snapToGrid w:val="0"/>
              </w:rPr>
            </w:pPr>
          </w:p>
        </w:tc>
        <w:tc>
          <w:tcPr>
            <w:tcW w:w="1869" w:type="dxa"/>
            <w:vAlign w:val="center"/>
          </w:tcPr>
          <w:p w14:paraId="6F2C77D1">
            <w:pPr>
              <w:keepNext w:val="0"/>
              <w:keepLines w:val="0"/>
              <w:suppressLineNumbers w:val="0"/>
              <w:spacing w:before="0" w:beforeAutospacing="0" w:after="0" w:afterAutospacing="0"/>
              <w:ind w:left="0" w:right="0"/>
              <w:rPr>
                <w:rFonts w:ascii="宋体" w:hAnsi="宋体" w:cs="宋体"/>
                <w:snapToGrid w:val="0"/>
              </w:rPr>
            </w:pPr>
          </w:p>
        </w:tc>
      </w:tr>
      <w:tr w14:paraId="02DC8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trPr>
        <w:tc>
          <w:tcPr>
            <w:tcW w:w="1618" w:type="dxa"/>
            <w:gridSpan w:val="2"/>
            <w:vAlign w:val="center"/>
          </w:tcPr>
          <w:p w14:paraId="70F34F2E">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vAlign w:val="center"/>
          </w:tcPr>
          <w:p w14:paraId="05A94799">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vAlign w:val="center"/>
          </w:tcPr>
          <w:p w14:paraId="393F4966">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vAlign w:val="center"/>
          </w:tcPr>
          <w:p w14:paraId="33117392">
            <w:pPr>
              <w:keepNext w:val="0"/>
              <w:keepLines w:val="0"/>
              <w:suppressLineNumbers w:val="0"/>
              <w:spacing w:before="0" w:beforeAutospacing="0" w:after="0" w:afterAutospacing="0"/>
              <w:ind w:left="0" w:right="0"/>
              <w:rPr>
                <w:rFonts w:ascii="宋体" w:hAnsi="宋体" w:cs="宋体"/>
                <w:snapToGrid w:val="0"/>
              </w:rPr>
            </w:pPr>
          </w:p>
        </w:tc>
        <w:tc>
          <w:tcPr>
            <w:tcW w:w="1869" w:type="dxa"/>
            <w:vAlign w:val="center"/>
          </w:tcPr>
          <w:p w14:paraId="022F65A8">
            <w:pPr>
              <w:keepNext w:val="0"/>
              <w:keepLines w:val="0"/>
              <w:suppressLineNumbers w:val="0"/>
              <w:spacing w:before="0" w:beforeAutospacing="0" w:after="0" w:afterAutospacing="0"/>
              <w:ind w:left="0" w:right="0"/>
              <w:rPr>
                <w:rFonts w:ascii="宋体" w:hAnsi="宋体" w:cs="宋体"/>
                <w:snapToGrid w:val="0"/>
              </w:rPr>
            </w:pPr>
          </w:p>
        </w:tc>
      </w:tr>
      <w:tr w14:paraId="18419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vAlign w:val="center"/>
          </w:tcPr>
          <w:p w14:paraId="652C1922">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vAlign w:val="center"/>
          </w:tcPr>
          <w:p w14:paraId="2C41C259">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vAlign w:val="center"/>
          </w:tcPr>
          <w:p w14:paraId="1D27B57E">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vAlign w:val="center"/>
          </w:tcPr>
          <w:p w14:paraId="06AC524C">
            <w:pPr>
              <w:keepNext w:val="0"/>
              <w:keepLines w:val="0"/>
              <w:suppressLineNumbers w:val="0"/>
              <w:spacing w:before="0" w:beforeAutospacing="0" w:after="0" w:afterAutospacing="0"/>
              <w:ind w:left="0" w:right="0"/>
              <w:rPr>
                <w:rFonts w:ascii="宋体" w:hAnsi="宋体" w:cs="宋体"/>
                <w:snapToGrid w:val="0"/>
              </w:rPr>
            </w:pPr>
          </w:p>
        </w:tc>
        <w:tc>
          <w:tcPr>
            <w:tcW w:w="1869" w:type="dxa"/>
            <w:vAlign w:val="center"/>
          </w:tcPr>
          <w:p w14:paraId="32140672">
            <w:pPr>
              <w:keepNext w:val="0"/>
              <w:keepLines w:val="0"/>
              <w:suppressLineNumbers w:val="0"/>
              <w:spacing w:before="0" w:beforeAutospacing="0" w:after="0" w:afterAutospacing="0"/>
              <w:ind w:left="0" w:right="0"/>
              <w:rPr>
                <w:rFonts w:ascii="宋体" w:hAnsi="宋体" w:cs="宋体"/>
                <w:snapToGrid w:val="0"/>
              </w:rPr>
            </w:pPr>
          </w:p>
        </w:tc>
      </w:tr>
      <w:tr w14:paraId="61781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vAlign w:val="center"/>
          </w:tcPr>
          <w:p w14:paraId="322EF43F">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vAlign w:val="center"/>
          </w:tcPr>
          <w:p w14:paraId="56D43289">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vAlign w:val="center"/>
          </w:tcPr>
          <w:p w14:paraId="3EF474FF">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vAlign w:val="center"/>
          </w:tcPr>
          <w:p w14:paraId="439E3754">
            <w:pPr>
              <w:keepNext w:val="0"/>
              <w:keepLines w:val="0"/>
              <w:suppressLineNumbers w:val="0"/>
              <w:spacing w:before="0" w:beforeAutospacing="0" w:after="0" w:afterAutospacing="0"/>
              <w:ind w:left="0" w:right="0"/>
              <w:rPr>
                <w:rFonts w:ascii="宋体" w:hAnsi="宋体" w:cs="宋体"/>
                <w:snapToGrid w:val="0"/>
              </w:rPr>
            </w:pPr>
          </w:p>
        </w:tc>
        <w:tc>
          <w:tcPr>
            <w:tcW w:w="1869" w:type="dxa"/>
            <w:vAlign w:val="center"/>
          </w:tcPr>
          <w:p w14:paraId="4B2FFF57">
            <w:pPr>
              <w:keepNext w:val="0"/>
              <w:keepLines w:val="0"/>
              <w:suppressLineNumbers w:val="0"/>
              <w:spacing w:before="0" w:beforeAutospacing="0" w:after="0" w:afterAutospacing="0"/>
              <w:ind w:left="0" w:right="0"/>
              <w:rPr>
                <w:rFonts w:ascii="宋体" w:hAnsi="宋体" w:cs="宋体"/>
                <w:snapToGrid w:val="0"/>
              </w:rPr>
            </w:pPr>
          </w:p>
        </w:tc>
      </w:tr>
      <w:tr w14:paraId="0A991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trPr>
        <w:tc>
          <w:tcPr>
            <w:tcW w:w="1618" w:type="dxa"/>
            <w:gridSpan w:val="2"/>
            <w:vAlign w:val="center"/>
          </w:tcPr>
          <w:p w14:paraId="29EBDD23">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vAlign w:val="center"/>
          </w:tcPr>
          <w:p w14:paraId="719F5856">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vAlign w:val="center"/>
          </w:tcPr>
          <w:p w14:paraId="5FA5C67D">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vAlign w:val="center"/>
          </w:tcPr>
          <w:p w14:paraId="7CFCC48B">
            <w:pPr>
              <w:keepNext w:val="0"/>
              <w:keepLines w:val="0"/>
              <w:suppressLineNumbers w:val="0"/>
              <w:spacing w:before="0" w:beforeAutospacing="0" w:after="0" w:afterAutospacing="0"/>
              <w:ind w:left="0" w:right="0"/>
              <w:rPr>
                <w:rFonts w:ascii="宋体" w:hAnsi="宋体" w:cs="宋体"/>
                <w:snapToGrid w:val="0"/>
              </w:rPr>
            </w:pPr>
          </w:p>
        </w:tc>
        <w:tc>
          <w:tcPr>
            <w:tcW w:w="1869" w:type="dxa"/>
            <w:vAlign w:val="center"/>
          </w:tcPr>
          <w:p w14:paraId="20D52D9C">
            <w:pPr>
              <w:keepNext w:val="0"/>
              <w:keepLines w:val="0"/>
              <w:suppressLineNumbers w:val="0"/>
              <w:spacing w:before="0" w:beforeAutospacing="0" w:after="0" w:afterAutospacing="0"/>
              <w:ind w:left="0" w:right="0"/>
              <w:rPr>
                <w:rFonts w:ascii="宋体" w:hAnsi="宋体" w:cs="宋体"/>
                <w:snapToGrid w:val="0"/>
              </w:rPr>
            </w:pPr>
          </w:p>
        </w:tc>
      </w:tr>
      <w:tr w14:paraId="73E45F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vAlign w:val="center"/>
          </w:tcPr>
          <w:p w14:paraId="2C89BE46">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vAlign w:val="center"/>
          </w:tcPr>
          <w:p w14:paraId="32D4F519">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vAlign w:val="center"/>
          </w:tcPr>
          <w:p w14:paraId="4992585D">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vAlign w:val="center"/>
          </w:tcPr>
          <w:p w14:paraId="4086AB74">
            <w:pPr>
              <w:keepNext w:val="0"/>
              <w:keepLines w:val="0"/>
              <w:suppressLineNumbers w:val="0"/>
              <w:spacing w:before="0" w:beforeAutospacing="0" w:after="0" w:afterAutospacing="0"/>
              <w:ind w:left="0" w:right="0"/>
              <w:rPr>
                <w:rFonts w:ascii="宋体" w:hAnsi="宋体" w:cs="宋体"/>
                <w:snapToGrid w:val="0"/>
              </w:rPr>
            </w:pPr>
          </w:p>
        </w:tc>
        <w:tc>
          <w:tcPr>
            <w:tcW w:w="1869" w:type="dxa"/>
            <w:vAlign w:val="center"/>
          </w:tcPr>
          <w:p w14:paraId="544029F8">
            <w:pPr>
              <w:keepNext w:val="0"/>
              <w:keepLines w:val="0"/>
              <w:suppressLineNumbers w:val="0"/>
              <w:spacing w:before="0" w:beforeAutospacing="0" w:after="0" w:afterAutospacing="0"/>
              <w:ind w:left="0" w:right="0"/>
              <w:rPr>
                <w:rFonts w:ascii="宋体" w:hAnsi="宋体" w:cs="宋体"/>
                <w:snapToGrid w:val="0"/>
              </w:rPr>
            </w:pPr>
          </w:p>
        </w:tc>
      </w:tr>
      <w:tr w14:paraId="3CB77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618" w:type="dxa"/>
            <w:gridSpan w:val="2"/>
            <w:vAlign w:val="center"/>
          </w:tcPr>
          <w:p w14:paraId="57A20B05">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vAlign w:val="center"/>
          </w:tcPr>
          <w:p w14:paraId="44C77C85">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vAlign w:val="center"/>
          </w:tcPr>
          <w:p w14:paraId="3040FF1A">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vAlign w:val="center"/>
          </w:tcPr>
          <w:p w14:paraId="5C9C5F84">
            <w:pPr>
              <w:keepNext w:val="0"/>
              <w:keepLines w:val="0"/>
              <w:suppressLineNumbers w:val="0"/>
              <w:spacing w:before="0" w:beforeAutospacing="0" w:after="0" w:afterAutospacing="0"/>
              <w:ind w:left="0" w:right="0"/>
              <w:rPr>
                <w:rFonts w:ascii="宋体" w:hAnsi="宋体" w:cs="宋体"/>
                <w:snapToGrid w:val="0"/>
              </w:rPr>
            </w:pPr>
          </w:p>
        </w:tc>
        <w:tc>
          <w:tcPr>
            <w:tcW w:w="1869" w:type="dxa"/>
            <w:vAlign w:val="center"/>
          </w:tcPr>
          <w:p w14:paraId="2E666337">
            <w:pPr>
              <w:keepNext w:val="0"/>
              <w:keepLines w:val="0"/>
              <w:suppressLineNumbers w:val="0"/>
              <w:spacing w:before="0" w:beforeAutospacing="0" w:after="0" w:afterAutospacing="0"/>
              <w:ind w:left="0" w:right="0"/>
              <w:rPr>
                <w:rFonts w:ascii="宋体" w:hAnsi="宋体" w:cs="宋体"/>
                <w:snapToGrid w:val="0"/>
              </w:rPr>
            </w:pPr>
          </w:p>
        </w:tc>
      </w:tr>
      <w:tr w14:paraId="32412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7" w:hRule="atLeast"/>
        </w:trPr>
        <w:tc>
          <w:tcPr>
            <w:tcW w:w="1618" w:type="dxa"/>
            <w:gridSpan w:val="2"/>
            <w:vAlign w:val="center"/>
          </w:tcPr>
          <w:p w14:paraId="74E27D42">
            <w:pPr>
              <w:keepNext w:val="0"/>
              <w:keepLines w:val="0"/>
              <w:suppressLineNumbers w:val="0"/>
              <w:spacing w:before="0" w:beforeAutospacing="0" w:after="0" w:afterAutospacing="0"/>
              <w:ind w:left="0" w:right="0"/>
              <w:rPr>
                <w:rFonts w:ascii="宋体" w:hAnsi="宋体" w:cs="宋体"/>
                <w:snapToGrid w:val="0"/>
              </w:rPr>
            </w:pPr>
          </w:p>
        </w:tc>
        <w:tc>
          <w:tcPr>
            <w:tcW w:w="1922" w:type="dxa"/>
            <w:gridSpan w:val="2"/>
            <w:vAlign w:val="center"/>
          </w:tcPr>
          <w:p w14:paraId="1C59DA9D">
            <w:pPr>
              <w:keepNext w:val="0"/>
              <w:keepLines w:val="0"/>
              <w:suppressLineNumbers w:val="0"/>
              <w:spacing w:before="0" w:beforeAutospacing="0" w:after="0" w:afterAutospacing="0"/>
              <w:ind w:left="0" w:right="0"/>
              <w:rPr>
                <w:rFonts w:ascii="宋体" w:hAnsi="宋体" w:cs="宋体"/>
                <w:snapToGrid w:val="0"/>
              </w:rPr>
            </w:pPr>
          </w:p>
        </w:tc>
        <w:tc>
          <w:tcPr>
            <w:tcW w:w="1590" w:type="dxa"/>
            <w:gridSpan w:val="2"/>
            <w:vAlign w:val="center"/>
          </w:tcPr>
          <w:p w14:paraId="1B45E064">
            <w:pPr>
              <w:keepNext w:val="0"/>
              <w:keepLines w:val="0"/>
              <w:suppressLineNumbers w:val="0"/>
              <w:spacing w:before="0" w:beforeAutospacing="0" w:after="0" w:afterAutospacing="0"/>
              <w:ind w:left="0" w:right="0"/>
              <w:rPr>
                <w:rFonts w:ascii="宋体" w:hAnsi="宋体" w:cs="宋体"/>
                <w:snapToGrid w:val="0"/>
              </w:rPr>
            </w:pPr>
          </w:p>
        </w:tc>
        <w:tc>
          <w:tcPr>
            <w:tcW w:w="1718" w:type="dxa"/>
            <w:gridSpan w:val="2"/>
            <w:vAlign w:val="center"/>
          </w:tcPr>
          <w:p w14:paraId="49A175A8">
            <w:pPr>
              <w:keepNext w:val="0"/>
              <w:keepLines w:val="0"/>
              <w:suppressLineNumbers w:val="0"/>
              <w:spacing w:before="0" w:beforeAutospacing="0" w:after="0" w:afterAutospacing="0"/>
              <w:ind w:left="0" w:right="0"/>
              <w:rPr>
                <w:rFonts w:ascii="宋体" w:hAnsi="宋体" w:cs="宋体"/>
                <w:snapToGrid w:val="0"/>
              </w:rPr>
            </w:pPr>
          </w:p>
        </w:tc>
        <w:tc>
          <w:tcPr>
            <w:tcW w:w="1869" w:type="dxa"/>
            <w:vAlign w:val="center"/>
          </w:tcPr>
          <w:p w14:paraId="011CFFB9">
            <w:pPr>
              <w:keepNext w:val="0"/>
              <w:keepLines w:val="0"/>
              <w:suppressLineNumbers w:val="0"/>
              <w:spacing w:before="0" w:beforeAutospacing="0" w:after="0" w:afterAutospacing="0"/>
              <w:ind w:left="0" w:right="0"/>
              <w:rPr>
                <w:rFonts w:ascii="宋体" w:hAnsi="宋体" w:cs="宋体"/>
                <w:snapToGrid w:val="0"/>
              </w:rPr>
            </w:pPr>
          </w:p>
        </w:tc>
      </w:tr>
    </w:tbl>
    <w:p w14:paraId="75F6154A">
      <w:pPr>
        <w:ind w:left="240" w:hanging="240" w:hangingChars="100"/>
        <w:rPr>
          <w:rFonts w:hint="eastAsia" w:ascii="宋体" w:hAnsi="宋体" w:cs="宋体"/>
          <w:snapToGrid w:val="0"/>
          <w:sz w:val="24"/>
        </w:rPr>
      </w:pPr>
    </w:p>
    <w:p w14:paraId="702C55E4">
      <w:pPr>
        <w:snapToGrid w:val="0"/>
        <w:spacing w:before="50" w:after="120" w:afterLines="50"/>
        <w:jc w:val="left"/>
        <w:rPr>
          <w:rFonts w:hint="eastAsia" w:ascii="宋体" w:hAnsi="宋体" w:cs="宋体"/>
          <w:snapToGrid w:val="0"/>
          <w:sz w:val="22"/>
          <w:szCs w:val="22"/>
          <w:highlight w:val="none"/>
          <w:lang w:eastAsia="zh-CN"/>
        </w:rPr>
      </w:pPr>
      <w:r>
        <w:rPr>
          <w:rFonts w:hint="eastAsia" w:ascii="宋体" w:hAnsi="宋体" w:cs="宋体"/>
          <w:snapToGrid w:val="0"/>
          <w:sz w:val="22"/>
          <w:szCs w:val="22"/>
        </w:rPr>
        <w:t>附：执业资格或职称证书复印件</w:t>
      </w:r>
      <w:r>
        <w:rPr>
          <w:rFonts w:hint="eastAsia" w:ascii="宋体" w:hAnsi="宋体" w:cs="宋体"/>
          <w:snapToGrid w:val="0"/>
          <w:sz w:val="22"/>
          <w:szCs w:val="22"/>
          <w:highlight w:val="none"/>
        </w:rPr>
        <w:t>、身份证明</w:t>
      </w:r>
      <w:r>
        <w:rPr>
          <w:rFonts w:hint="eastAsia" w:ascii="宋体" w:hAnsi="宋体" w:cs="宋体"/>
          <w:snapToGrid w:val="0"/>
          <w:sz w:val="22"/>
          <w:szCs w:val="22"/>
          <w:highlight w:val="none"/>
          <w:lang w:eastAsia="zh-CN"/>
        </w:rPr>
        <w:t>、社保缴纳情况、业绩</w:t>
      </w:r>
      <w:r>
        <w:rPr>
          <w:rFonts w:hint="eastAsia" w:ascii="宋体" w:hAnsi="宋体" w:cs="宋体"/>
          <w:snapToGrid w:val="0"/>
          <w:sz w:val="22"/>
          <w:szCs w:val="22"/>
          <w:highlight w:val="none"/>
        </w:rPr>
        <w:t>等相关</w:t>
      </w:r>
      <w:r>
        <w:rPr>
          <w:rFonts w:hint="eastAsia" w:ascii="宋体" w:hAnsi="宋体" w:cs="宋体"/>
          <w:snapToGrid w:val="0"/>
          <w:sz w:val="22"/>
          <w:szCs w:val="22"/>
          <w:highlight w:val="none"/>
          <w:lang w:eastAsia="zh-CN"/>
        </w:rPr>
        <w:t>证明材料。</w:t>
      </w:r>
    </w:p>
    <w:p w14:paraId="7164A0E9">
      <w:pPr>
        <w:pStyle w:val="5"/>
        <w:keepNext w:val="0"/>
        <w:keepLines w:val="0"/>
        <w:pageBreakBefore/>
        <w:rPr>
          <w:rFonts w:ascii="宋体" w:hAnsi="宋体" w:eastAsia="宋体" w:cs="宋体"/>
          <w:b w:val="0"/>
          <w:color w:val="auto"/>
          <w:kern w:val="0"/>
          <w:sz w:val="24"/>
          <w:szCs w:val="20"/>
          <w:highlight w:val="none"/>
        </w:rPr>
      </w:pPr>
      <w:r>
        <w:rPr>
          <w:rFonts w:hint="eastAsia" w:ascii="宋体" w:hAnsi="宋体" w:eastAsia="宋体" w:cs="宋体"/>
          <w:b w:val="0"/>
          <w:color w:val="auto"/>
          <w:kern w:val="0"/>
          <w:sz w:val="24"/>
          <w:szCs w:val="20"/>
          <w:highlight w:val="none"/>
        </w:rPr>
        <w:t>附件十</w:t>
      </w:r>
      <w:r>
        <w:rPr>
          <w:rFonts w:hint="eastAsia" w:ascii="宋体" w:hAnsi="宋体" w:eastAsia="宋体" w:cs="宋体"/>
          <w:b w:val="0"/>
          <w:color w:val="auto"/>
          <w:kern w:val="0"/>
          <w:sz w:val="24"/>
          <w:szCs w:val="20"/>
          <w:highlight w:val="none"/>
          <w:lang w:val="en-US" w:eastAsia="zh-CN"/>
        </w:rPr>
        <w:t>三</w:t>
      </w:r>
      <w:r>
        <w:rPr>
          <w:rFonts w:hint="eastAsia" w:ascii="宋体" w:hAnsi="宋体" w:eastAsia="宋体" w:cs="宋体"/>
          <w:b w:val="0"/>
          <w:color w:val="auto"/>
          <w:kern w:val="0"/>
          <w:sz w:val="24"/>
          <w:szCs w:val="20"/>
          <w:highlight w:val="none"/>
        </w:rPr>
        <w:t>：同类项目业绩</w:t>
      </w:r>
      <w:bookmarkEnd w:id="80"/>
      <w:bookmarkEnd w:id="81"/>
    </w:p>
    <w:p w14:paraId="07C7763D">
      <w:pPr>
        <w:widowControl/>
        <w:jc w:val="left"/>
        <w:rPr>
          <w:rFonts w:ascii="宋体" w:hAnsi="宋体" w:cs="宋体"/>
          <w:color w:val="auto"/>
          <w:kern w:val="0"/>
          <w:sz w:val="24"/>
          <w:szCs w:val="20"/>
          <w:highlight w:val="none"/>
        </w:rPr>
      </w:pPr>
    </w:p>
    <w:p w14:paraId="3CC4F933">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同类项目业绩</w:t>
      </w:r>
    </w:p>
    <w:p w14:paraId="519596C7">
      <w:pPr>
        <w:outlineLvl w:val="9"/>
        <w:rPr>
          <w:color w:val="auto"/>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022C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05EC100E">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vAlign w:val="center"/>
          </w:tcPr>
          <w:p w14:paraId="06B62C60">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2D2BE166">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vAlign w:val="center"/>
          </w:tcPr>
          <w:p w14:paraId="1F64B6DB">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vAlign w:val="center"/>
          </w:tcPr>
          <w:p w14:paraId="19289FCA">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685A0E7F">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045FD9C2">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vAlign w:val="center"/>
          </w:tcPr>
          <w:p w14:paraId="74B21964">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vAlign w:val="center"/>
          </w:tcPr>
          <w:p w14:paraId="5DD29FB6">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vAlign w:val="center"/>
          </w:tcPr>
          <w:p w14:paraId="3F5641A8">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353B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1BA6754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08BC19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34612B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AED1E3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8A7EE5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D6502ED">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86B4630">
            <w:pPr>
              <w:autoSpaceDE w:val="0"/>
              <w:autoSpaceDN w:val="0"/>
              <w:adjustRightInd w:val="0"/>
              <w:spacing w:line="360" w:lineRule="auto"/>
              <w:jc w:val="center"/>
              <w:rPr>
                <w:rFonts w:ascii="宋体" w:hAnsi="宋体" w:cs="宋体"/>
                <w:color w:val="auto"/>
                <w:sz w:val="24"/>
                <w:highlight w:val="none"/>
                <w:lang w:val="zh-CN"/>
              </w:rPr>
            </w:pPr>
          </w:p>
        </w:tc>
      </w:tr>
      <w:tr w14:paraId="67E5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113312B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0F18D4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418312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0103C6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01BA17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F8CB93E">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5CB62BC">
            <w:pPr>
              <w:autoSpaceDE w:val="0"/>
              <w:autoSpaceDN w:val="0"/>
              <w:adjustRightInd w:val="0"/>
              <w:spacing w:line="360" w:lineRule="auto"/>
              <w:jc w:val="center"/>
              <w:rPr>
                <w:rFonts w:ascii="宋体" w:hAnsi="宋体" w:cs="宋体"/>
                <w:color w:val="auto"/>
                <w:sz w:val="24"/>
                <w:highlight w:val="none"/>
                <w:lang w:val="zh-CN"/>
              </w:rPr>
            </w:pPr>
          </w:p>
        </w:tc>
      </w:tr>
      <w:tr w14:paraId="19EC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1A009F6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6D5DC0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D14886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C2CDA0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735A64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FAC3044">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1C9B7D2">
            <w:pPr>
              <w:autoSpaceDE w:val="0"/>
              <w:autoSpaceDN w:val="0"/>
              <w:adjustRightInd w:val="0"/>
              <w:spacing w:line="360" w:lineRule="auto"/>
              <w:jc w:val="center"/>
              <w:rPr>
                <w:rFonts w:ascii="宋体" w:hAnsi="宋体" w:cs="宋体"/>
                <w:color w:val="auto"/>
                <w:sz w:val="24"/>
                <w:highlight w:val="none"/>
                <w:lang w:val="zh-CN"/>
              </w:rPr>
            </w:pPr>
          </w:p>
        </w:tc>
      </w:tr>
      <w:tr w14:paraId="2338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12CDA58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715CC2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5407DC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07E1A5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AE407A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FF1D71D">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5DD23783">
            <w:pPr>
              <w:autoSpaceDE w:val="0"/>
              <w:autoSpaceDN w:val="0"/>
              <w:adjustRightInd w:val="0"/>
              <w:spacing w:line="360" w:lineRule="auto"/>
              <w:jc w:val="center"/>
              <w:rPr>
                <w:rFonts w:ascii="宋体" w:hAnsi="宋体" w:cs="宋体"/>
                <w:color w:val="auto"/>
                <w:sz w:val="24"/>
                <w:highlight w:val="none"/>
                <w:lang w:val="zh-CN"/>
              </w:rPr>
            </w:pPr>
          </w:p>
        </w:tc>
      </w:tr>
      <w:tr w14:paraId="44BB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39F290D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B62EB6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8B98BC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D2681E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E92DE5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594751C">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10BB93A3">
            <w:pPr>
              <w:autoSpaceDE w:val="0"/>
              <w:autoSpaceDN w:val="0"/>
              <w:adjustRightInd w:val="0"/>
              <w:spacing w:line="360" w:lineRule="auto"/>
              <w:jc w:val="center"/>
              <w:rPr>
                <w:rFonts w:ascii="宋体" w:hAnsi="宋体" w:cs="宋体"/>
                <w:color w:val="auto"/>
                <w:sz w:val="24"/>
                <w:highlight w:val="none"/>
                <w:lang w:val="zh-CN"/>
              </w:rPr>
            </w:pPr>
          </w:p>
        </w:tc>
      </w:tr>
      <w:tr w14:paraId="329E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75AF63A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0EB1C0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E2046F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5C0BB8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2DD8CD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B64F520">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45531383">
            <w:pPr>
              <w:autoSpaceDE w:val="0"/>
              <w:autoSpaceDN w:val="0"/>
              <w:adjustRightInd w:val="0"/>
              <w:spacing w:line="360" w:lineRule="auto"/>
              <w:jc w:val="center"/>
              <w:rPr>
                <w:rFonts w:ascii="宋体" w:hAnsi="宋体" w:cs="宋体"/>
                <w:color w:val="auto"/>
                <w:sz w:val="24"/>
                <w:highlight w:val="none"/>
                <w:lang w:val="zh-CN"/>
              </w:rPr>
            </w:pPr>
          </w:p>
        </w:tc>
      </w:tr>
    </w:tbl>
    <w:p w14:paraId="019CA934">
      <w:pPr>
        <w:snapToGrid w:val="0"/>
        <w:spacing w:line="360" w:lineRule="auto"/>
        <w:rPr>
          <w:rFonts w:ascii="宋体" w:hAnsi="宋体" w:cs="宋体"/>
          <w:b/>
          <w:color w:val="auto"/>
          <w:szCs w:val="21"/>
          <w:highlight w:val="none"/>
        </w:rPr>
      </w:pPr>
    </w:p>
    <w:p w14:paraId="25932103">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注：1、各供应商可以根据各自业绩量准备充分的表格，此页后须附证明材料。</w:t>
      </w:r>
    </w:p>
    <w:p w14:paraId="05F66CE8">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2、供应商须真实仔细地填写本表格。</w:t>
      </w:r>
    </w:p>
    <w:p w14:paraId="1AEB5BD9">
      <w:pPr>
        <w:widowControl/>
        <w:jc w:val="left"/>
        <w:rPr>
          <w:rFonts w:ascii="宋体" w:hAnsi="宋体" w:cs="宋体"/>
          <w:color w:val="auto"/>
          <w:kern w:val="0"/>
          <w:sz w:val="24"/>
          <w:szCs w:val="20"/>
          <w:highlight w:val="none"/>
        </w:rPr>
      </w:pPr>
    </w:p>
    <w:p w14:paraId="75A473C1">
      <w:pPr>
        <w:widowControl/>
        <w:jc w:val="left"/>
        <w:rPr>
          <w:rFonts w:ascii="宋体" w:hAnsi="宋体" w:cs="宋体"/>
          <w:color w:val="auto"/>
          <w:kern w:val="0"/>
          <w:sz w:val="24"/>
          <w:szCs w:val="20"/>
          <w:highlight w:val="none"/>
        </w:rPr>
      </w:pPr>
    </w:p>
    <w:p w14:paraId="52BBCFAD">
      <w:pPr>
        <w:widowControl/>
        <w:jc w:val="left"/>
        <w:rPr>
          <w:rFonts w:ascii="宋体" w:hAnsi="宋体" w:cs="宋体"/>
          <w:color w:val="auto"/>
          <w:kern w:val="0"/>
          <w:sz w:val="24"/>
          <w:szCs w:val="20"/>
          <w:highlight w:val="none"/>
        </w:rPr>
      </w:pPr>
    </w:p>
    <w:p w14:paraId="2C1994CA">
      <w:pPr>
        <w:pStyle w:val="12"/>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供应商（单位盖章）：</w:t>
      </w:r>
    </w:p>
    <w:p w14:paraId="004F0E90">
      <w:pPr>
        <w:pStyle w:val="12"/>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1C7C293F">
      <w:pPr>
        <w:spacing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78976201">
      <w:pPr>
        <w:widowControl/>
        <w:jc w:val="left"/>
        <w:rPr>
          <w:rFonts w:ascii="宋体" w:hAnsi="宋体" w:cs="宋体"/>
          <w:color w:val="auto"/>
          <w:kern w:val="0"/>
          <w:sz w:val="24"/>
          <w:szCs w:val="20"/>
          <w:highlight w:val="none"/>
        </w:rPr>
      </w:pPr>
    </w:p>
    <w:p w14:paraId="08A76144">
      <w:pPr>
        <w:rPr>
          <w:rFonts w:ascii="宋体" w:hAnsi="宋体" w:cs="宋体"/>
          <w:bCs/>
          <w:color w:val="auto"/>
          <w:sz w:val="24"/>
          <w:szCs w:val="32"/>
          <w:highlight w:val="none"/>
        </w:rPr>
      </w:pPr>
    </w:p>
    <w:p w14:paraId="061ADBD2">
      <w:pPr>
        <w:pageBreakBefore/>
        <w:spacing w:before="260" w:after="260" w:line="415" w:lineRule="auto"/>
        <w:outlineLvl w:val="1"/>
        <w:rPr>
          <w:rFonts w:ascii="宋体" w:hAnsi="宋体" w:cs="宋体"/>
          <w:bCs/>
          <w:color w:val="auto"/>
          <w:sz w:val="24"/>
          <w:highlight w:val="none"/>
        </w:rPr>
      </w:pPr>
      <w:bookmarkStart w:id="82" w:name="_Toc26843"/>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cs="宋体"/>
          <w:bCs/>
          <w:color w:val="auto"/>
          <w:sz w:val="24"/>
          <w:highlight w:val="none"/>
        </w:rPr>
        <w:t>：服务费承诺书</w:t>
      </w:r>
      <w:bookmarkEnd w:id="82"/>
    </w:p>
    <w:p w14:paraId="354EF70F">
      <w:pPr>
        <w:snapToGrid w:val="0"/>
        <w:spacing w:before="50" w:afterLines="50"/>
        <w:jc w:val="center"/>
        <w:rPr>
          <w:rFonts w:ascii="宋体" w:hAnsi="宋体" w:cs="宋体"/>
          <w:b/>
          <w:color w:val="auto"/>
          <w:sz w:val="40"/>
          <w:szCs w:val="40"/>
          <w:highlight w:val="none"/>
        </w:rPr>
      </w:pPr>
      <w:r>
        <w:rPr>
          <w:rFonts w:hint="eastAsia" w:ascii="宋体" w:hAnsi="宋体" w:cs="宋体"/>
          <w:b/>
          <w:color w:val="auto"/>
          <w:sz w:val="40"/>
          <w:szCs w:val="40"/>
          <w:highlight w:val="none"/>
        </w:rPr>
        <w:t>承 诺 书</w:t>
      </w:r>
    </w:p>
    <w:p w14:paraId="28688F80">
      <w:pPr>
        <w:snapToGrid w:val="0"/>
        <w:spacing w:before="50" w:afterLines="50"/>
        <w:jc w:val="left"/>
        <w:rPr>
          <w:rFonts w:ascii="宋体" w:hAnsi="宋体" w:cs="宋体"/>
          <w:b/>
          <w:color w:val="auto"/>
          <w:sz w:val="24"/>
          <w:highlight w:val="none"/>
        </w:rPr>
      </w:pPr>
    </w:p>
    <w:p w14:paraId="07852BF3">
      <w:pPr>
        <w:snapToGrid w:val="0"/>
        <w:spacing w:before="50" w:afterLines="50" w:line="360" w:lineRule="auto"/>
        <w:jc w:val="left"/>
        <w:rPr>
          <w:rFonts w:ascii="宋体" w:hAnsi="宋体" w:cs="宋体"/>
          <w:b/>
          <w:bCs/>
          <w:color w:val="auto"/>
          <w:sz w:val="24"/>
          <w:highlight w:val="none"/>
        </w:rPr>
      </w:pPr>
      <w:r>
        <w:rPr>
          <w:rFonts w:hint="eastAsia" w:ascii="宋体" w:hAnsi="宋体" w:cs="宋体"/>
          <w:b/>
          <w:color w:val="auto"/>
          <w:sz w:val="24"/>
          <w:highlight w:val="none"/>
          <w:lang w:eastAsia="zh-CN"/>
        </w:rPr>
        <w:t>中科标禾工程项目管理有限公司</w:t>
      </w:r>
      <w:r>
        <w:rPr>
          <w:rFonts w:hint="eastAsia" w:ascii="宋体" w:hAnsi="宋体" w:cs="宋体"/>
          <w:b/>
          <w:bCs/>
          <w:color w:val="auto"/>
          <w:sz w:val="24"/>
          <w:highlight w:val="none"/>
        </w:rPr>
        <w:t>：</w:t>
      </w:r>
    </w:p>
    <w:p w14:paraId="6F9842E0">
      <w:pPr>
        <w:snapToGrid w:val="0"/>
        <w:spacing w:before="50" w:afterLines="50"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若我公司中标时，在中标结果公示结束之日起3天内，愿按本磋商文件总则第（五）条规定向</w:t>
      </w:r>
      <w:r>
        <w:rPr>
          <w:rFonts w:hint="eastAsia" w:ascii="宋体" w:hAnsi="宋体" w:cs="宋体"/>
          <w:b/>
          <w:color w:val="auto"/>
          <w:sz w:val="24"/>
          <w:highlight w:val="none"/>
          <w:lang w:eastAsia="zh-CN"/>
        </w:rPr>
        <w:t>中科标禾工程项目管理有限公司</w:t>
      </w:r>
      <w:r>
        <w:rPr>
          <w:rFonts w:hint="eastAsia" w:ascii="宋体" w:hAnsi="宋体" w:cs="宋体"/>
          <w:b/>
          <w:color w:val="auto"/>
          <w:sz w:val="24"/>
          <w:highlight w:val="none"/>
        </w:rPr>
        <w:t xml:space="preserve">支付中标服务费。    </w:t>
      </w:r>
    </w:p>
    <w:p w14:paraId="79FB4A48">
      <w:pPr>
        <w:snapToGrid w:val="0"/>
        <w:spacing w:before="50" w:afterLines="50"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特此承诺！</w:t>
      </w:r>
    </w:p>
    <w:p w14:paraId="6D4ED4FA">
      <w:pPr>
        <w:snapToGrid w:val="0"/>
        <w:spacing w:before="50" w:afterLines="50" w:line="360" w:lineRule="auto"/>
        <w:jc w:val="left"/>
        <w:rPr>
          <w:rFonts w:ascii="宋体" w:hAnsi="宋体" w:cs="宋体"/>
          <w:b/>
          <w:color w:val="auto"/>
          <w:sz w:val="24"/>
          <w:highlight w:val="none"/>
        </w:rPr>
      </w:pPr>
    </w:p>
    <w:p w14:paraId="6A45C634">
      <w:pPr>
        <w:snapToGrid w:val="0"/>
        <w:spacing w:before="50" w:afterLines="50"/>
        <w:jc w:val="left"/>
        <w:rPr>
          <w:rFonts w:ascii="宋体" w:hAnsi="宋体" w:cs="宋体"/>
          <w:b/>
          <w:color w:val="auto"/>
          <w:sz w:val="24"/>
          <w:highlight w:val="none"/>
        </w:rPr>
      </w:pPr>
    </w:p>
    <w:p w14:paraId="12D8FB83">
      <w:pPr>
        <w:snapToGrid w:val="0"/>
        <w:spacing w:before="50" w:afterLines="50"/>
        <w:jc w:val="left"/>
        <w:rPr>
          <w:rFonts w:ascii="宋体" w:hAnsi="宋体" w:cs="宋体"/>
          <w:b/>
          <w:color w:val="auto"/>
          <w:sz w:val="24"/>
          <w:highlight w:val="none"/>
        </w:rPr>
      </w:pPr>
    </w:p>
    <w:p w14:paraId="1BCD733B">
      <w:pPr>
        <w:snapToGrid w:val="0"/>
        <w:spacing w:before="50" w:afterLines="50"/>
        <w:jc w:val="left"/>
        <w:rPr>
          <w:rFonts w:ascii="宋体" w:hAnsi="宋体" w:cs="宋体"/>
          <w:b/>
          <w:color w:val="auto"/>
          <w:sz w:val="24"/>
          <w:highlight w:val="none"/>
        </w:rPr>
      </w:pPr>
    </w:p>
    <w:p w14:paraId="387D76A6">
      <w:pPr>
        <w:snapToGrid w:val="0"/>
        <w:spacing w:before="50" w:afterLines="50"/>
        <w:jc w:val="left"/>
        <w:rPr>
          <w:rFonts w:ascii="宋体" w:hAnsi="宋体" w:cs="宋体"/>
          <w:b/>
          <w:color w:val="auto"/>
          <w:sz w:val="24"/>
          <w:highlight w:val="none"/>
        </w:rPr>
      </w:pPr>
    </w:p>
    <w:p w14:paraId="1F95D278">
      <w:pPr>
        <w:snapToGrid w:val="0"/>
        <w:spacing w:before="50" w:afterLines="50"/>
        <w:jc w:val="left"/>
        <w:rPr>
          <w:rFonts w:ascii="宋体" w:hAnsi="宋体" w:cs="宋体"/>
          <w:b/>
          <w:color w:val="auto"/>
          <w:sz w:val="24"/>
          <w:highlight w:val="none"/>
        </w:rPr>
      </w:pPr>
    </w:p>
    <w:p w14:paraId="0FF0E555">
      <w:pPr>
        <w:snapToGrid w:val="0"/>
        <w:spacing w:before="5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承诺单位(盖章)：</w:t>
      </w:r>
    </w:p>
    <w:p w14:paraId="4CD527A0">
      <w:pPr>
        <w:snapToGrid w:val="0"/>
        <w:spacing w:before="50" w:afterLines="50"/>
        <w:jc w:val="left"/>
        <w:rPr>
          <w:rFonts w:ascii="宋体" w:hAnsi="宋体" w:cs="宋体"/>
          <w:b/>
          <w:color w:val="auto"/>
          <w:sz w:val="24"/>
          <w:highlight w:val="none"/>
        </w:rPr>
      </w:pPr>
    </w:p>
    <w:p w14:paraId="02F5B884">
      <w:pPr>
        <w:snapToGrid w:val="0"/>
        <w:spacing w:before="50" w:afterLines="50"/>
        <w:jc w:val="left"/>
        <w:rPr>
          <w:rFonts w:ascii="宋体" w:hAnsi="宋体" w:cs="宋体"/>
          <w:b/>
          <w:color w:val="auto"/>
          <w:sz w:val="24"/>
          <w:highlight w:val="none"/>
        </w:rPr>
      </w:pPr>
    </w:p>
    <w:p w14:paraId="4C80741B">
      <w:pPr>
        <w:snapToGrid w:val="0"/>
        <w:spacing w:before="5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法定代表人或委托代理人(签字)：</w:t>
      </w:r>
    </w:p>
    <w:p w14:paraId="32AC9171">
      <w:pPr>
        <w:snapToGrid w:val="0"/>
        <w:spacing w:before="50" w:afterLines="50"/>
        <w:jc w:val="left"/>
        <w:rPr>
          <w:rFonts w:ascii="宋体" w:hAnsi="宋体" w:cs="宋体"/>
          <w:b/>
          <w:bCs/>
          <w:color w:val="auto"/>
          <w:sz w:val="24"/>
          <w:highlight w:val="none"/>
        </w:rPr>
      </w:pPr>
    </w:p>
    <w:p w14:paraId="1375F0A0">
      <w:pPr>
        <w:snapToGrid w:val="0"/>
        <w:spacing w:before="50" w:afterLines="50"/>
        <w:jc w:val="left"/>
        <w:rPr>
          <w:rFonts w:ascii="宋体" w:hAnsi="宋体" w:cs="宋体"/>
          <w:b/>
          <w:bCs/>
          <w:color w:val="auto"/>
          <w:sz w:val="24"/>
          <w:highlight w:val="none"/>
        </w:rPr>
      </w:pPr>
    </w:p>
    <w:p w14:paraId="0E5240F6">
      <w:pPr>
        <w:snapToGrid w:val="0"/>
        <w:spacing w:before="50" w:afterLines="50"/>
        <w:ind w:firstLine="5980" w:firstLineChars="2482"/>
        <w:jc w:val="left"/>
        <w:rPr>
          <w:rFonts w:ascii="宋体" w:hAnsi="宋体" w:cs="宋体"/>
          <w:b/>
          <w:bCs/>
          <w:color w:val="auto"/>
          <w:sz w:val="24"/>
          <w:highlight w:val="none"/>
        </w:rPr>
      </w:pPr>
      <w:r>
        <w:rPr>
          <w:rFonts w:hint="eastAsia" w:ascii="宋体" w:hAnsi="宋体" w:cs="宋体"/>
          <w:b/>
          <w:bCs/>
          <w:color w:val="auto"/>
          <w:sz w:val="24"/>
          <w:highlight w:val="none"/>
        </w:rPr>
        <w:t>年     月    日</w:t>
      </w:r>
    </w:p>
    <w:p w14:paraId="06483D06">
      <w:pPr>
        <w:snapToGrid w:val="0"/>
        <w:spacing w:before="50" w:afterLines="50"/>
        <w:jc w:val="left"/>
        <w:rPr>
          <w:rFonts w:ascii="宋体" w:hAnsi="宋体" w:cs="宋体"/>
          <w:b/>
          <w:color w:val="auto"/>
          <w:sz w:val="24"/>
          <w:highlight w:val="none"/>
        </w:rPr>
      </w:pPr>
    </w:p>
    <w:p w14:paraId="47FF24C7">
      <w:pPr>
        <w:snapToGrid w:val="0"/>
        <w:spacing w:beforeLines="50" w:after="50" w:line="276" w:lineRule="auto"/>
        <w:jc w:val="left"/>
        <w:rPr>
          <w:rFonts w:ascii="宋体" w:hAnsi="宋体" w:cs="宋体"/>
          <w:color w:val="auto"/>
          <w:sz w:val="24"/>
          <w:highlight w:val="none"/>
        </w:rPr>
      </w:pPr>
    </w:p>
    <w:p w14:paraId="2E836229">
      <w:pPr>
        <w:snapToGrid w:val="0"/>
        <w:spacing w:beforeLines="50" w:after="50" w:line="276" w:lineRule="auto"/>
        <w:jc w:val="left"/>
        <w:rPr>
          <w:rFonts w:ascii="宋体" w:hAnsi="宋体" w:cs="宋体"/>
          <w:color w:val="auto"/>
          <w:sz w:val="24"/>
          <w:highlight w:val="none"/>
        </w:rPr>
      </w:pPr>
    </w:p>
    <w:p w14:paraId="61DDDCF6">
      <w:pPr>
        <w:snapToGrid w:val="0"/>
        <w:spacing w:beforeLines="50" w:after="50" w:line="276" w:lineRule="auto"/>
        <w:jc w:val="left"/>
        <w:rPr>
          <w:rFonts w:ascii="宋体" w:hAnsi="宋体" w:cs="宋体"/>
          <w:color w:val="auto"/>
          <w:sz w:val="24"/>
          <w:highlight w:val="none"/>
        </w:rPr>
      </w:pPr>
    </w:p>
    <w:p w14:paraId="2F672ECE">
      <w:pPr>
        <w:rPr>
          <w:rFonts w:ascii="宋体" w:hAnsi="宋体" w:cs="宋体"/>
          <w:bCs/>
          <w:color w:val="auto"/>
          <w:sz w:val="24"/>
          <w:highlight w:val="none"/>
        </w:rPr>
      </w:pPr>
      <w:bookmarkStart w:id="83" w:name="_Toc7166659"/>
      <w:bookmarkStart w:id="84" w:name="_Toc514425251"/>
    </w:p>
    <w:bookmarkEnd w:id="83"/>
    <w:bookmarkEnd w:id="84"/>
    <w:p w14:paraId="19849FB4">
      <w:pPr>
        <w:rPr>
          <w:rFonts w:ascii="宋体" w:hAnsi="宋体" w:cs="宋体"/>
          <w:b/>
          <w:color w:val="auto"/>
          <w:sz w:val="24"/>
          <w:highlight w:val="none"/>
        </w:rPr>
      </w:pPr>
    </w:p>
    <w:p w14:paraId="2F6A2D0A">
      <w:pPr>
        <w:pageBreakBefore/>
        <w:spacing w:before="260" w:after="260" w:line="415" w:lineRule="auto"/>
        <w:outlineLvl w:val="1"/>
        <w:rPr>
          <w:rFonts w:ascii="宋体" w:hAnsi="宋体" w:cs="宋体"/>
          <w:bCs/>
          <w:color w:val="auto"/>
          <w:sz w:val="24"/>
          <w:highlight w:val="none"/>
        </w:rPr>
      </w:pPr>
      <w:bookmarkStart w:id="85" w:name="_Toc496598995"/>
      <w:bookmarkStart w:id="86" w:name="_Toc3262"/>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五</w:t>
      </w:r>
      <w:r>
        <w:rPr>
          <w:rFonts w:hint="eastAsia" w:ascii="宋体" w:hAnsi="宋体" w:cs="宋体"/>
          <w:bCs/>
          <w:color w:val="auto"/>
          <w:sz w:val="24"/>
          <w:highlight w:val="none"/>
        </w:rPr>
        <w:t>:</w:t>
      </w:r>
      <w:bookmarkEnd w:id="85"/>
      <w:r>
        <w:rPr>
          <w:rFonts w:hint="eastAsia" w:ascii="宋体" w:hAnsi="宋体" w:cs="宋体"/>
          <w:bCs/>
          <w:color w:val="auto"/>
          <w:sz w:val="24"/>
          <w:highlight w:val="none"/>
        </w:rPr>
        <w:t>磋商函</w:t>
      </w:r>
      <w:bookmarkEnd w:id="86"/>
    </w:p>
    <w:p w14:paraId="7FFDA962">
      <w:pPr>
        <w:snapToGrid w:val="0"/>
        <w:spacing w:beforeLines="50" w:after="50" w:line="480" w:lineRule="auto"/>
        <w:jc w:val="center"/>
        <w:rPr>
          <w:rFonts w:ascii="宋体" w:hAnsi="宋体" w:cs="宋体"/>
          <w:b/>
          <w:color w:val="auto"/>
          <w:sz w:val="40"/>
          <w:szCs w:val="40"/>
          <w:highlight w:val="none"/>
        </w:rPr>
      </w:pPr>
      <w:r>
        <w:rPr>
          <w:rFonts w:hint="eastAsia" w:ascii="宋体" w:hAnsi="宋体" w:cs="宋体"/>
          <w:b/>
          <w:color w:val="auto"/>
          <w:sz w:val="40"/>
          <w:szCs w:val="40"/>
          <w:highlight w:val="none"/>
        </w:rPr>
        <w:t>磋 商 函</w:t>
      </w:r>
    </w:p>
    <w:p w14:paraId="4AC1C9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75AF0844">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项目的磋商公告/磋商邀请书</w:t>
      </w:r>
    </w:p>
    <w:p w14:paraId="505F23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（供应商名称）提交电子磋商响应文件。</w:t>
      </w:r>
    </w:p>
    <w:p w14:paraId="705F9E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30E361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119376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2.供应商在磋商之前已经与贵方进行了充分的沟通，完全理解并接受磋商文件的各项规定和要求，对磋商文件的合理性、合法性不再有异议。</w:t>
      </w:r>
    </w:p>
    <w:p w14:paraId="160B9A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3.本磋商响应文件有效期自开标日起 ______天。</w:t>
      </w:r>
    </w:p>
    <w:p w14:paraId="7B9324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4.如中标，本磋商响应文件至本项目合同履行完毕止均保持有效，本供应商将按“磋商文件”及政府采购法律、法规的规定履行合同责任和义务。</w:t>
      </w:r>
    </w:p>
    <w:p w14:paraId="539581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5.供应商同意按照贵方要求提供与磋商有关的一切数据或资料。</w:t>
      </w:r>
    </w:p>
    <w:p w14:paraId="715A0E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6.与本磋商有关的一切正式往来信函请寄：</w:t>
      </w:r>
    </w:p>
    <w:p w14:paraId="5ECBD5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60B9CF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传真：______________供应商代表姓名 ___________  职务：______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_______</w:t>
      </w:r>
    </w:p>
    <w:p w14:paraId="58E3FD2D">
      <w:pPr>
        <w:snapToGrid w:val="0"/>
        <w:spacing w:line="360" w:lineRule="auto"/>
        <w:rPr>
          <w:rFonts w:ascii="宋体" w:hAnsi="宋体" w:cs="宋体"/>
          <w:color w:val="auto"/>
          <w:sz w:val="24"/>
          <w:highlight w:val="none"/>
        </w:rPr>
      </w:pPr>
    </w:p>
    <w:p w14:paraId="3D3E3DA4">
      <w:pPr>
        <w:snapToGrid w:val="0"/>
        <w:spacing w:line="360" w:lineRule="auto"/>
        <w:rPr>
          <w:rFonts w:ascii="宋体" w:hAnsi="宋体" w:cs="宋体"/>
          <w:color w:val="auto"/>
          <w:sz w:val="24"/>
          <w:highlight w:val="none"/>
        </w:rPr>
      </w:pPr>
    </w:p>
    <w:p w14:paraId="1E4ABF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供应商名称(公章):___________________</w:t>
      </w:r>
    </w:p>
    <w:p w14:paraId="1320B5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14D65B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350269C8">
      <w:pPr>
        <w:snapToGrid w:val="0"/>
        <w:spacing w:before="156" w:after="156" w:line="360" w:lineRule="auto"/>
        <w:rPr>
          <w:rFonts w:ascii="宋体" w:hAnsi="宋体" w:cs="宋体"/>
          <w:color w:val="auto"/>
          <w:sz w:val="24"/>
          <w:highlight w:val="none"/>
        </w:rPr>
      </w:pPr>
    </w:p>
    <w:p w14:paraId="38717995">
      <w:pPr>
        <w:snapToGrid w:val="0"/>
        <w:spacing w:before="50" w:afterLines="50"/>
        <w:jc w:val="left"/>
        <w:rPr>
          <w:rFonts w:ascii="宋体" w:hAnsi="宋体" w:cs="宋体"/>
          <w:b/>
          <w:color w:val="auto"/>
          <w:sz w:val="24"/>
          <w:highlight w:val="none"/>
        </w:rPr>
      </w:pPr>
    </w:p>
    <w:p w14:paraId="672AF7EF">
      <w:pPr>
        <w:snapToGrid w:val="0"/>
        <w:spacing w:before="50" w:afterLines="50"/>
        <w:jc w:val="left"/>
        <w:rPr>
          <w:rFonts w:ascii="宋体" w:hAnsi="宋体" w:cs="宋体"/>
          <w:b/>
          <w:color w:val="auto"/>
          <w:sz w:val="24"/>
          <w:highlight w:val="none"/>
        </w:rPr>
      </w:pPr>
    </w:p>
    <w:p w14:paraId="4623FC21">
      <w:pPr>
        <w:snapToGrid w:val="0"/>
        <w:spacing w:before="50" w:afterLines="50"/>
        <w:jc w:val="left"/>
        <w:rPr>
          <w:rFonts w:ascii="宋体" w:hAnsi="宋体" w:cs="宋体"/>
          <w:b/>
          <w:color w:val="auto"/>
          <w:sz w:val="24"/>
          <w:highlight w:val="none"/>
        </w:rPr>
      </w:pPr>
    </w:p>
    <w:p w14:paraId="30301E32">
      <w:pPr>
        <w:keepNext/>
        <w:keepLines/>
        <w:spacing w:before="260" w:after="260" w:line="360" w:lineRule="auto"/>
        <w:outlineLvl w:val="1"/>
        <w:rPr>
          <w:rFonts w:ascii="宋体" w:hAnsi="宋体"/>
          <w:bCs/>
          <w:color w:val="auto"/>
          <w:sz w:val="24"/>
          <w:highlight w:val="none"/>
        </w:rPr>
      </w:pPr>
      <w:bookmarkStart w:id="87" w:name="_Toc14942623"/>
      <w:bookmarkStart w:id="88" w:name="_Toc26482"/>
      <w:bookmarkStart w:id="89" w:name="_Toc12413"/>
      <w:bookmarkStart w:id="90" w:name="_Toc2477"/>
      <w:bookmarkStart w:id="91" w:name="_Toc2590"/>
      <w:bookmarkStart w:id="92" w:name="_Toc496598998"/>
      <w:bookmarkStart w:id="93" w:name="_Toc1663"/>
      <w:r>
        <w:rPr>
          <w:rFonts w:hint="eastAsia" w:ascii="宋体" w:hAnsi="宋体"/>
          <w:bCs/>
          <w:color w:val="auto"/>
          <w:sz w:val="24"/>
          <w:highlight w:val="none"/>
        </w:rPr>
        <w:t>附件十</w:t>
      </w:r>
      <w:r>
        <w:rPr>
          <w:rFonts w:hint="eastAsia" w:ascii="宋体" w:hAnsi="宋体"/>
          <w:bCs/>
          <w:color w:val="auto"/>
          <w:sz w:val="24"/>
          <w:highlight w:val="none"/>
          <w:lang w:val="en-US" w:eastAsia="zh-CN"/>
        </w:rPr>
        <w:t>六</w:t>
      </w:r>
      <w:r>
        <w:rPr>
          <w:rFonts w:hint="eastAsia" w:ascii="宋体" w:hAnsi="宋体"/>
          <w:bCs/>
          <w:color w:val="auto"/>
          <w:sz w:val="24"/>
          <w:highlight w:val="none"/>
        </w:rPr>
        <w:t>：</w:t>
      </w:r>
      <w:bookmarkEnd w:id="87"/>
      <w:bookmarkEnd w:id="88"/>
      <w:bookmarkEnd w:id="89"/>
      <w:r>
        <w:rPr>
          <w:rFonts w:hint="eastAsia" w:ascii="宋体" w:hAnsi="宋体"/>
          <w:bCs/>
          <w:color w:val="auto"/>
          <w:sz w:val="24"/>
          <w:highlight w:val="none"/>
        </w:rPr>
        <w:t>初次报价表</w:t>
      </w:r>
      <w:bookmarkEnd w:id="90"/>
    </w:p>
    <w:p w14:paraId="21494043">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初次报价表</w:t>
      </w:r>
    </w:p>
    <w:p w14:paraId="2E16BE78">
      <w:pPr>
        <w:spacing w:line="360" w:lineRule="auto"/>
        <w:rPr>
          <w:rFonts w:ascii="宋体" w:hAnsi="宋体"/>
          <w:b/>
          <w:color w:val="auto"/>
          <w:sz w:val="24"/>
          <w:highlight w:val="none"/>
        </w:rPr>
      </w:pPr>
      <w:r>
        <w:rPr>
          <w:rFonts w:hint="eastAsia" w:ascii="宋体" w:hAnsi="宋体"/>
          <w:b/>
          <w:color w:val="auto"/>
          <w:sz w:val="24"/>
          <w:highlight w:val="none"/>
        </w:rPr>
        <w:t xml:space="preserve">招标编号：                             </w:t>
      </w:r>
    </w:p>
    <w:p w14:paraId="65FC3F62">
      <w:pPr>
        <w:spacing w:line="360" w:lineRule="auto"/>
        <w:rPr>
          <w:rFonts w:ascii="宋体" w:hAnsi="宋体"/>
          <w:b/>
          <w:color w:val="auto"/>
          <w:sz w:val="24"/>
          <w:highlight w:val="none"/>
        </w:rPr>
      </w:pPr>
      <w:r>
        <w:rPr>
          <w:rFonts w:hint="eastAsia" w:ascii="宋体" w:hAnsi="宋体"/>
          <w:b/>
          <w:color w:val="auto"/>
          <w:sz w:val="24"/>
          <w:highlight w:val="none"/>
        </w:rPr>
        <w:t>供应商名称：                                          单位：元</w:t>
      </w:r>
    </w:p>
    <w:tbl>
      <w:tblPr>
        <w:tblStyle w:val="38"/>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4668"/>
        <w:gridCol w:w="2152"/>
        <w:gridCol w:w="1863"/>
      </w:tblGrid>
      <w:tr w14:paraId="7FB9A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50606261">
            <w:pPr>
              <w:snapToGrid w:val="0"/>
              <w:spacing w:before="50" w:after="5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序号</w:t>
            </w:r>
          </w:p>
        </w:tc>
        <w:tc>
          <w:tcPr>
            <w:tcW w:w="4668" w:type="dxa"/>
            <w:tcBorders>
              <w:top w:val="single" w:color="auto" w:sz="4" w:space="0"/>
              <w:left w:val="single" w:color="auto" w:sz="4" w:space="0"/>
              <w:bottom w:val="single" w:color="auto" w:sz="4" w:space="0"/>
              <w:right w:val="single" w:color="auto" w:sz="4" w:space="0"/>
            </w:tcBorders>
            <w:vAlign w:val="center"/>
          </w:tcPr>
          <w:p w14:paraId="62C70C08">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2152" w:type="dxa"/>
            <w:tcBorders>
              <w:top w:val="single" w:color="auto" w:sz="4" w:space="0"/>
              <w:left w:val="single" w:color="auto" w:sz="4" w:space="0"/>
              <w:bottom w:val="single" w:color="auto" w:sz="4" w:space="0"/>
              <w:right w:val="single" w:color="auto" w:sz="4" w:space="0"/>
            </w:tcBorders>
            <w:vAlign w:val="center"/>
          </w:tcPr>
          <w:p w14:paraId="5D332BD1">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让利</w:t>
            </w:r>
            <w:r>
              <w:rPr>
                <w:rFonts w:ascii="宋体" w:hAnsi="宋体" w:cs="宋体"/>
                <w:b/>
                <w:color w:val="auto"/>
                <w:sz w:val="24"/>
                <w:highlight w:val="none"/>
              </w:rPr>
              <w:t>下浮率（%）</w:t>
            </w:r>
          </w:p>
        </w:tc>
        <w:tc>
          <w:tcPr>
            <w:tcW w:w="1863" w:type="dxa"/>
            <w:tcBorders>
              <w:top w:val="single" w:color="auto" w:sz="4" w:space="0"/>
              <w:left w:val="single" w:color="auto" w:sz="4" w:space="0"/>
              <w:bottom w:val="single" w:color="auto" w:sz="4" w:space="0"/>
              <w:right w:val="single" w:color="auto" w:sz="4" w:space="0"/>
            </w:tcBorders>
            <w:vAlign w:val="center"/>
          </w:tcPr>
          <w:p w14:paraId="4A4C699B">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磋商报价（元）</w:t>
            </w:r>
          </w:p>
        </w:tc>
      </w:tr>
      <w:tr w14:paraId="19A67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319F0D71">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668" w:type="dxa"/>
            <w:tcBorders>
              <w:top w:val="single" w:color="auto" w:sz="4" w:space="0"/>
              <w:left w:val="single" w:color="auto" w:sz="4" w:space="0"/>
              <w:bottom w:val="single" w:color="auto" w:sz="4" w:space="0"/>
              <w:right w:val="single" w:color="auto" w:sz="4" w:space="0"/>
            </w:tcBorders>
            <w:vAlign w:val="center"/>
          </w:tcPr>
          <w:p w14:paraId="64007248">
            <w:pPr>
              <w:snapToGrid w:val="0"/>
              <w:spacing w:before="50" w:after="50"/>
              <w:jc w:val="center"/>
              <w:rPr>
                <w:rFonts w:ascii="宋体" w:hAnsi="宋体" w:cs="宋体"/>
                <w:color w:val="auto"/>
                <w:sz w:val="24"/>
                <w:highlight w:val="none"/>
              </w:rPr>
            </w:pPr>
          </w:p>
        </w:tc>
        <w:tc>
          <w:tcPr>
            <w:tcW w:w="2152" w:type="dxa"/>
            <w:tcBorders>
              <w:top w:val="single" w:color="auto" w:sz="4" w:space="0"/>
              <w:left w:val="single" w:color="auto" w:sz="4" w:space="0"/>
              <w:bottom w:val="single" w:color="auto" w:sz="4" w:space="0"/>
              <w:right w:val="single" w:color="auto" w:sz="4" w:space="0"/>
            </w:tcBorders>
            <w:vAlign w:val="center"/>
          </w:tcPr>
          <w:p w14:paraId="7B042BD8">
            <w:pPr>
              <w:snapToGrid w:val="0"/>
              <w:spacing w:before="50" w:after="50"/>
              <w:jc w:val="center"/>
              <w:rPr>
                <w:rFonts w:ascii="宋体" w:hAnsi="宋体" w:cs="宋体"/>
                <w:b/>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5271F2FB">
            <w:pPr>
              <w:snapToGrid w:val="0"/>
              <w:spacing w:before="50" w:after="50"/>
              <w:jc w:val="center"/>
              <w:rPr>
                <w:rFonts w:ascii="宋体" w:hAnsi="宋体" w:cs="宋体"/>
                <w:color w:val="auto"/>
                <w:sz w:val="24"/>
                <w:highlight w:val="none"/>
              </w:rPr>
            </w:pPr>
          </w:p>
        </w:tc>
      </w:tr>
      <w:tr w14:paraId="3F331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839" w:type="dxa"/>
            <w:gridSpan w:val="4"/>
            <w:tcBorders>
              <w:top w:val="single" w:color="auto" w:sz="4" w:space="0"/>
              <w:left w:val="single" w:color="auto" w:sz="4" w:space="0"/>
              <w:bottom w:val="single" w:color="auto" w:sz="4" w:space="0"/>
              <w:right w:val="single" w:color="auto" w:sz="4" w:space="0"/>
            </w:tcBorders>
            <w:vAlign w:val="center"/>
          </w:tcPr>
          <w:p w14:paraId="6502DD0E">
            <w:pPr>
              <w:snapToGrid w:val="0"/>
              <w:spacing w:before="50" w:after="50"/>
              <w:rPr>
                <w:rFonts w:ascii="宋体" w:hAnsi="宋体" w:cs="宋体"/>
                <w:color w:val="auto"/>
                <w:sz w:val="24"/>
                <w:highlight w:val="none"/>
              </w:rPr>
            </w:pPr>
            <w:r>
              <w:rPr>
                <w:rFonts w:hint="eastAsia" w:ascii="宋体" w:hAnsi="宋体" w:cs="宋体"/>
                <w:color w:val="auto"/>
                <w:sz w:val="24"/>
                <w:highlight w:val="none"/>
              </w:rPr>
              <w:t>磋商报价大写（人民币）：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w:t>
            </w:r>
          </w:p>
        </w:tc>
      </w:tr>
    </w:tbl>
    <w:p w14:paraId="4CC165A3">
      <w:pPr>
        <w:spacing w:line="360" w:lineRule="auto"/>
        <w:jc w:val="left"/>
        <w:rPr>
          <w:rFonts w:ascii="宋体" w:hAnsi="宋体"/>
          <w:color w:val="auto"/>
          <w:sz w:val="24"/>
          <w:highlight w:val="none"/>
        </w:rPr>
      </w:pPr>
    </w:p>
    <w:p w14:paraId="64AE58ED">
      <w:pPr>
        <w:spacing w:line="360" w:lineRule="auto"/>
        <w:jc w:val="left"/>
        <w:rPr>
          <w:rFonts w:ascii="宋体" w:hAnsi="宋体"/>
          <w:color w:val="auto"/>
          <w:sz w:val="24"/>
          <w:highlight w:val="none"/>
        </w:rPr>
      </w:pPr>
      <w:r>
        <w:rPr>
          <w:rFonts w:ascii="宋体" w:hAnsi="宋体"/>
          <w:color w:val="auto"/>
          <w:sz w:val="24"/>
          <w:highlight w:val="none"/>
        </w:rPr>
        <w:t>注：</w:t>
      </w:r>
      <w:r>
        <w:rPr>
          <w:rFonts w:hint="eastAsia" w:ascii="宋体" w:hAnsi="宋体"/>
          <w:color w:val="auto"/>
          <w:sz w:val="24"/>
          <w:highlight w:val="none"/>
        </w:rPr>
        <w:t>▲1、磋商报价一栏必须填写，否则其磋商作无效标处理。</w:t>
      </w:r>
    </w:p>
    <w:p w14:paraId="10BF99E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▲2、磋商报价一经涂改，应在涂改处加盖单位公章或者由法定代表人或授权委托人签字或盖章，否则其磋商作无效标处理</w:t>
      </w:r>
      <w:r>
        <w:rPr>
          <w:rFonts w:hint="eastAsia" w:ascii="宋体" w:hAnsi="宋体" w:cs="Arial"/>
          <w:bCs/>
          <w:color w:val="auto"/>
          <w:sz w:val="24"/>
          <w:highlight w:val="none"/>
        </w:rPr>
        <w:t>；</w:t>
      </w:r>
    </w:p>
    <w:p w14:paraId="31B0B3E2">
      <w:pPr>
        <w:numPr>
          <w:ilvl w:val="0"/>
          <w:numId w:val="0"/>
        </w:numPr>
        <w:spacing w:line="360" w:lineRule="auto"/>
        <w:ind w:firstLine="482" w:firstLineChars="200"/>
        <w:jc w:val="left"/>
        <w:rPr>
          <w:rFonts w:hint="eastAsia" w:ascii="宋体" w:hAnsi="宋体" w:cs="Times New Roman"/>
          <w:b/>
          <w:bCs/>
          <w:color w:val="auto"/>
          <w:sz w:val="24"/>
          <w:highlight w:val="none"/>
          <w:lang w:val="en-US" w:eastAsia="zh-CN"/>
        </w:rPr>
      </w:pPr>
      <w:r>
        <w:rPr>
          <w:rFonts w:hint="eastAsia" w:ascii="宋体" w:hAnsi="宋体" w:cs="Times New Roman"/>
          <w:b/>
          <w:bCs/>
          <w:color w:val="auto"/>
          <w:sz w:val="24"/>
          <w:highlight w:val="none"/>
          <w:lang w:val="en-US" w:eastAsia="zh-CN"/>
        </w:rPr>
        <w:t>3、磋商报价=</w:t>
      </w:r>
      <w:r>
        <w:rPr>
          <w:rFonts w:hint="eastAsia" w:ascii="宋体" w:hAnsi="宋体" w:eastAsia="宋体" w:cs="Times New Roman"/>
          <w:b/>
          <w:bCs/>
          <w:color w:val="auto"/>
          <w:sz w:val="24"/>
          <w:highlight w:val="none"/>
          <w:lang w:val="en-US" w:eastAsia="zh-CN"/>
        </w:rPr>
        <w:t xml:space="preserve"> </w:t>
      </w:r>
      <w:r>
        <w:rPr>
          <w:rFonts w:hint="eastAsia" w:ascii="宋体" w:hAnsi="宋体" w:cs="宋体"/>
          <w:b/>
          <w:bCs/>
          <w:color w:val="auto"/>
          <w:kern w:val="2"/>
          <w:sz w:val="24"/>
          <w:szCs w:val="24"/>
          <w:highlight w:val="none"/>
          <w:lang w:val="en-US" w:eastAsia="zh-CN" w:bidi="ar-SA"/>
        </w:rPr>
        <w:t>1880032</w:t>
      </w:r>
      <w:r>
        <w:rPr>
          <w:rFonts w:hint="eastAsia" w:ascii="宋体" w:hAnsi="宋体" w:eastAsia="宋体" w:cs="Times New Roman"/>
          <w:b/>
          <w:bCs/>
          <w:color w:val="auto"/>
          <w:sz w:val="24"/>
          <w:highlight w:val="none"/>
          <w:lang w:val="en-US" w:eastAsia="zh-CN"/>
        </w:rPr>
        <w:t>元*（1-让</w:t>
      </w:r>
      <w:r>
        <w:rPr>
          <w:rFonts w:hint="eastAsia" w:ascii="宋体" w:hAnsi="宋体" w:cs="Times New Roman"/>
          <w:b/>
          <w:bCs/>
          <w:color w:val="auto"/>
          <w:sz w:val="24"/>
          <w:highlight w:val="none"/>
          <w:lang w:val="en-US" w:eastAsia="zh-CN"/>
        </w:rPr>
        <w:t xml:space="preserve">利下浮率）。 </w:t>
      </w:r>
    </w:p>
    <w:p w14:paraId="64DF5B64">
      <w:pPr>
        <w:spacing w:line="360" w:lineRule="auto"/>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、本合同为固定总价合同，其合同总价已包含采购人确认的施工图、投标人投标报价所列内容及所涉及的各项风险费用，在完成本合同工程范围内内容只核减不核增。</w:t>
      </w:r>
    </w:p>
    <w:p w14:paraId="55E2AE34">
      <w:pPr>
        <w:spacing w:line="360" w:lineRule="auto"/>
        <w:ind w:firstLine="480" w:firstLineChars="200"/>
        <w:jc w:val="left"/>
        <w:rPr>
          <w:rFonts w:ascii="宋体" w:hAnsi="宋体"/>
          <w:color w:val="auto"/>
          <w:sz w:val="24"/>
          <w:highlight w:val="none"/>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、磋商报价包括施工</w:t>
      </w:r>
      <w:r>
        <w:rPr>
          <w:rFonts w:hint="eastAsia" w:ascii="宋体" w:hAnsi="宋体"/>
          <w:color w:val="auto"/>
          <w:sz w:val="24"/>
          <w:highlight w:val="none"/>
        </w:rPr>
        <w:t>所需的施工费、材料费、供货、运输、装卸、安装调试、机械费、人工费、服务费、安全措施费等实施本项目相关的一切费用及税金。</w:t>
      </w:r>
    </w:p>
    <w:p w14:paraId="5CF58B8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、本表格式不允许修改，否则作无效标处理。</w:t>
      </w:r>
    </w:p>
    <w:p w14:paraId="6AA0D8A7">
      <w:pPr>
        <w:snapToGrid w:val="0"/>
        <w:spacing w:line="360" w:lineRule="auto"/>
        <w:ind w:firstLine="480" w:firstLineChars="200"/>
        <w:jc w:val="left"/>
        <w:rPr>
          <w:rFonts w:ascii="宋体" w:hAnsi="宋体"/>
          <w:color w:val="auto"/>
          <w:sz w:val="24"/>
          <w:highlight w:val="none"/>
        </w:rPr>
      </w:pPr>
    </w:p>
    <w:p w14:paraId="3C3F7726">
      <w:pPr>
        <w:snapToGrid w:val="0"/>
        <w:spacing w:line="360" w:lineRule="auto"/>
        <w:ind w:firstLine="480" w:firstLineChars="200"/>
        <w:jc w:val="left"/>
        <w:rPr>
          <w:rFonts w:ascii="宋体" w:hAnsi="宋体"/>
          <w:color w:val="auto"/>
          <w:sz w:val="24"/>
          <w:highlight w:val="none"/>
        </w:rPr>
      </w:pPr>
    </w:p>
    <w:p w14:paraId="587E4AEE">
      <w:pPr>
        <w:snapToGrid w:val="0"/>
        <w:spacing w:before="50" w:after="50"/>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14:paraId="6981E644">
      <w:pPr>
        <w:snapToGrid w:val="0"/>
        <w:spacing w:before="50" w:after="50"/>
        <w:ind w:left="-2" w:leftChars="-1" w:right="-817" w:rightChars="-389" w:firstLine="360" w:firstLineChars="150"/>
        <w:rPr>
          <w:rFonts w:ascii="宋体" w:hAnsi="宋体"/>
          <w:color w:val="auto"/>
          <w:sz w:val="24"/>
          <w:highlight w:val="none"/>
        </w:rPr>
      </w:pPr>
    </w:p>
    <w:p w14:paraId="395D0C6A">
      <w:pPr>
        <w:snapToGrid w:val="0"/>
        <w:spacing w:before="50" w:after="50"/>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供应商名称（盖章）：                                         </w:t>
      </w:r>
    </w:p>
    <w:p w14:paraId="3C658EF6">
      <w:pPr>
        <w:snapToGrid w:val="0"/>
        <w:spacing w:before="50" w:after="50"/>
        <w:ind w:right="-817" w:rightChars="-389"/>
        <w:rPr>
          <w:rFonts w:ascii="宋体" w:hAnsi="宋体"/>
          <w:color w:val="auto"/>
          <w:sz w:val="24"/>
          <w:highlight w:val="none"/>
        </w:rPr>
      </w:pPr>
    </w:p>
    <w:p w14:paraId="1458E7E8">
      <w:pPr>
        <w:spacing w:line="380" w:lineRule="exact"/>
        <w:ind w:firstLine="6240" w:firstLineChars="2600"/>
        <w:rPr>
          <w:rFonts w:ascii="宋体" w:hAnsi="宋体"/>
          <w:b/>
          <w:color w:val="auto"/>
          <w:sz w:val="24"/>
          <w:highlight w:val="none"/>
        </w:rPr>
      </w:pPr>
      <w:r>
        <w:rPr>
          <w:rFonts w:hint="eastAsia" w:ascii="宋体" w:hAnsi="宋体"/>
          <w:color w:val="auto"/>
          <w:sz w:val="24"/>
          <w:highlight w:val="none"/>
        </w:rPr>
        <w:t>日期：    年   月   日</w:t>
      </w:r>
    </w:p>
    <w:p w14:paraId="7E05710C">
      <w:pPr>
        <w:outlineLvl w:val="9"/>
        <w:rPr>
          <w:color w:val="auto"/>
          <w:sz w:val="24"/>
          <w:szCs w:val="24"/>
          <w:highlight w:val="none"/>
        </w:rPr>
      </w:pPr>
    </w:p>
    <w:p w14:paraId="640653BF">
      <w:pPr>
        <w:outlineLvl w:val="9"/>
        <w:rPr>
          <w:color w:val="auto"/>
          <w:highlight w:val="none"/>
        </w:rPr>
      </w:pPr>
    </w:p>
    <w:bookmarkEnd w:id="91"/>
    <w:bookmarkEnd w:id="92"/>
    <w:bookmarkEnd w:id="93"/>
    <w:p w14:paraId="5ADB6FB7">
      <w:pPr>
        <w:pageBreakBefore/>
        <w:spacing w:before="260" w:after="260" w:line="360" w:lineRule="auto"/>
        <w:outlineLvl w:val="1"/>
        <w:rPr>
          <w:rFonts w:ascii="宋体" w:hAnsi="宋体"/>
          <w:bCs/>
          <w:color w:val="auto"/>
          <w:sz w:val="24"/>
          <w:highlight w:val="none"/>
        </w:rPr>
      </w:pPr>
      <w:bookmarkStart w:id="94" w:name="_Toc26637"/>
      <w:bookmarkStart w:id="95" w:name="_Toc496599000"/>
      <w:r>
        <w:rPr>
          <w:rFonts w:hint="eastAsia" w:ascii="宋体" w:hAnsi="宋体"/>
          <w:bCs/>
          <w:color w:val="auto"/>
          <w:sz w:val="24"/>
          <w:highlight w:val="none"/>
        </w:rPr>
        <w:t>附件十</w:t>
      </w:r>
      <w:r>
        <w:rPr>
          <w:rFonts w:hint="eastAsia" w:ascii="宋体" w:hAnsi="宋体"/>
          <w:bCs/>
          <w:color w:val="auto"/>
          <w:sz w:val="24"/>
          <w:highlight w:val="none"/>
          <w:lang w:val="en-US" w:eastAsia="zh-CN"/>
        </w:rPr>
        <w:t>七</w:t>
      </w:r>
      <w:r>
        <w:rPr>
          <w:rFonts w:hint="eastAsia" w:ascii="宋体" w:hAnsi="宋体"/>
          <w:bCs/>
          <w:color w:val="auto"/>
          <w:sz w:val="24"/>
          <w:highlight w:val="none"/>
        </w:rPr>
        <w:t>：最终报价表</w:t>
      </w:r>
      <w:bookmarkEnd w:id="94"/>
    </w:p>
    <w:p w14:paraId="10B3FDE3">
      <w:pPr>
        <w:spacing w:line="360" w:lineRule="auto"/>
        <w:jc w:val="center"/>
        <w:rPr>
          <w:rFonts w:ascii="宋体" w:hAnsi="宋体"/>
          <w:b/>
          <w:color w:val="auto"/>
          <w:sz w:val="24"/>
          <w:highlight w:val="none"/>
        </w:rPr>
      </w:pPr>
      <w:r>
        <w:rPr>
          <w:rFonts w:hint="eastAsia" w:ascii="宋体" w:hAnsi="宋体"/>
          <w:b/>
          <w:color w:val="auto"/>
          <w:sz w:val="24"/>
          <w:highlight w:val="none"/>
        </w:rPr>
        <w:t>最终报价表</w:t>
      </w:r>
    </w:p>
    <w:p w14:paraId="0A9790CC">
      <w:pPr>
        <w:spacing w:line="360" w:lineRule="auto"/>
        <w:rPr>
          <w:rFonts w:ascii="宋体" w:hAnsi="宋体"/>
          <w:b/>
          <w:color w:val="auto"/>
          <w:sz w:val="24"/>
          <w:highlight w:val="none"/>
        </w:rPr>
      </w:pPr>
      <w:r>
        <w:rPr>
          <w:rFonts w:hint="eastAsia" w:ascii="宋体" w:hAnsi="宋体"/>
          <w:b/>
          <w:color w:val="auto"/>
          <w:sz w:val="24"/>
          <w:highlight w:val="none"/>
        </w:rPr>
        <w:t xml:space="preserve">招标编号：                             </w:t>
      </w:r>
    </w:p>
    <w:p w14:paraId="7FC1E064">
      <w:pPr>
        <w:spacing w:line="360" w:lineRule="auto"/>
        <w:rPr>
          <w:rFonts w:ascii="宋体" w:hAnsi="宋体"/>
          <w:b/>
          <w:color w:val="auto"/>
          <w:sz w:val="24"/>
          <w:highlight w:val="none"/>
        </w:rPr>
      </w:pPr>
      <w:r>
        <w:rPr>
          <w:rFonts w:hint="eastAsia" w:ascii="宋体" w:hAnsi="宋体"/>
          <w:b/>
          <w:color w:val="auto"/>
          <w:sz w:val="24"/>
          <w:highlight w:val="none"/>
        </w:rPr>
        <w:t>供应商名称：                                          单位：元</w:t>
      </w:r>
    </w:p>
    <w:tbl>
      <w:tblPr>
        <w:tblStyle w:val="38"/>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4668"/>
        <w:gridCol w:w="2152"/>
        <w:gridCol w:w="1863"/>
      </w:tblGrid>
      <w:tr w14:paraId="7B4F5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299E06D3">
            <w:pPr>
              <w:snapToGrid w:val="0"/>
              <w:spacing w:before="50" w:after="5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序号</w:t>
            </w:r>
          </w:p>
        </w:tc>
        <w:tc>
          <w:tcPr>
            <w:tcW w:w="4668" w:type="dxa"/>
            <w:tcBorders>
              <w:top w:val="single" w:color="auto" w:sz="4" w:space="0"/>
              <w:left w:val="single" w:color="auto" w:sz="4" w:space="0"/>
              <w:bottom w:val="single" w:color="auto" w:sz="4" w:space="0"/>
              <w:right w:val="single" w:color="auto" w:sz="4" w:space="0"/>
            </w:tcBorders>
            <w:vAlign w:val="center"/>
          </w:tcPr>
          <w:p w14:paraId="659B2774">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2152" w:type="dxa"/>
            <w:tcBorders>
              <w:top w:val="single" w:color="auto" w:sz="4" w:space="0"/>
              <w:left w:val="single" w:color="auto" w:sz="4" w:space="0"/>
              <w:bottom w:val="single" w:color="auto" w:sz="4" w:space="0"/>
              <w:right w:val="single" w:color="auto" w:sz="4" w:space="0"/>
            </w:tcBorders>
            <w:vAlign w:val="center"/>
          </w:tcPr>
          <w:p w14:paraId="2E0C3C46">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让利</w:t>
            </w:r>
            <w:r>
              <w:rPr>
                <w:rFonts w:ascii="宋体" w:hAnsi="宋体" w:cs="宋体"/>
                <w:b/>
                <w:color w:val="auto"/>
                <w:sz w:val="24"/>
                <w:highlight w:val="none"/>
              </w:rPr>
              <w:t>下浮率（%）</w:t>
            </w:r>
          </w:p>
        </w:tc>
        <w:tc>
          <w:tcPr>
            <w:tcW w:w="1863" w:type="dxa"/>
            <w:tcBorders>
              <w:top w:val="single" w:color="auto" w:sz="4" w:space="0"/>
              <w:left w:val="single" w:color="auto" w:sz="4" w:space="0"/>
              <w:bottom w:val="single" w:color="auto" w:sz="4" w:space="0"/>
              <w:right w:val="single" w:color="auto" w:sz="4" w:space="0"/>
            </w:tcBorders>
            <w:vAlign w:val="center"/>
          </w:tcPr>
          <w:p w14:paraId="650595E3">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磋商报价（元）</w:t>
            </w:r>
          </w:p>
        </w:tc>
      </w:tr>
      <w:tr w14:paraId="30E49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7290A650">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668" w:type="dxa"/>
            <w:tcBorders>
              <w:top w:val="single" w:color="auto" w:sz="4" w:space="0"/>
              <w:left w:val="single" w:color="auto" w:sz="4" w:space="0"/>
              <w:bottom w:val="single" w:color="auto" w:sz="4" w:space="0"/>
              <w:right w:val="single" w:color="auto" w:sz="4" w:space="0"/>
            </w:tcBorders>
            <w:vAlign w:val="center"/>
          </w:tcPr>
          <w:p w14:paraId="65E5F151">
            <w:pPr>
              <w:snapToGrid w:val="0"/>
              <w:spacing w:before="50" w:after="50"/>
              <w:jc w:val="center"/>
              <w:rPr>
                <w:rFonts w:ascii="宋体" w:hAnsi="宋体" w:cs="宋体"/>
                <w:color w:val="auto"/>
                <w:sz w:val="24"/>
                <w:highlight w:val="none"/>
              </w:rPr>
            </w:pPr>
          </w:p>
        </w:tc>
        <w:tc>
          <w:tcPr>
            <w:tcW w:w="2152" w:type="dxa"/>
            <w:tcBorders>
              <w:top w:val="single" w:color="auto" w:sz="4" w:space="0"/>
              <w:left w:val="single" w:color="auto" w:sz="4" w:space="0"/>
              <w:bottom w:val="single" w:color="auto" w:sz="4" w:space="0"/>
              <w:right w:val="single" w:color="auto" w:sz="4" w:space="0"/>
            </w:tcBorders>
            <w:vAlign w:val="center"/>
          </w:tcPr>
          <w:p w14:paraId="5A91592D">
            <w:pPr>
              <w:snapToGrid w:val="0"/>
              <w:spacing w:before="50" w:after="50"/>
              <w:jc w:val="center"/>
              <w:rPr>
                <w:rFonts w:ascii="宋体" w:hAnsi="宋体" w:cs="宋体"/>
                <w:b/>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2E9F4395">
            <w:pPr>
              <w:snapToGrid w:val="0"/>
              <w:spacing w:before="50" w:after="50"/>
              <w:jc w:val="center"/>
              <w:rPr>
                <w:rFonts w:ascii="宋体" w:hAnsi="宋体" w:cs="宋体"/>
                <w:color w:val="auto"/>
                <w:sz w:val="24"/>
                <w:highlight w:val="none"/>
              </w:rPr>
            </w:pPr>
          </w:p>
        </w:tc>
      </w:tr>
      <w:tr w14:paraId="71BD9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839" w:type="dxa"/>
            <w:gridSpan w:val="4"/>
            <w:tcBorders>
              <w:top w:val="single" w:color="auto" w:sz="4" w:space="0"/>
              <w:left w:val="single" w:color="auto" w:sz="4" w:space="0"/>
              <w:bottom w:val="single" w:color="auto" w:sz="4" w:space="0"/>
              <w:right w:val="single" w:color="auto" w:sz="4" w:space="0"/>
            </w:tcBorders>
            <w:vAlign w:val="center"/>
          </w:tcPr>
          <w:p w14:paraId="28A80044">
            <w:pPr>
              <w:snapToGrid w:val="0"/>
              <w:spacing w:before="50" w:after="50"/>
              <w:rPr>
                <w:rFonts w:ascii="宋体" w:hAnsi="宋体" w:cs="宋体"/>
                <w:color w:val="auto"/>
                <w:sz w:val="24"/>
                <w:highlight w:val="none"/>
              </w:rPr>
            </w:pPr>
            <w:r>
              <w:rPr>
                <w:rFonts w:hint="eastAsia" w:ascii="宋体" w:hAnsi="宋体" w:cs="宋体"/>
                <w:color w:val="auto"/>
                <w:sz w:val="24"/>
                <w:highlight w:val="none"/>
              </w:rPr>
              <w:t>磋商报价大写（人民币）：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w:t>
            </w:r>
          </w:p>
        </w:tc>
      </w:tr>
    </w:tbl>
    <w:p w14:paraId="611AC433">
      <w:pPr>
        <w:spacing w:line="360" w:lineRule="auto"/>
        <w:jc w:val="left"/>
        <w:rPr>
          <w:rFonts w:ascii="宋体" w:hAnsi="宋体"/>
          <w:color w:val="auto"/>
          <w:sz w:val="24"/>
          <w:highlight w:val="none"/>
        </w:rPr>
      </w:pPr>
    </w:p>
    <w:p w14:paraId="3F0855E0">
      <w:pPr>
        <w:spacing w:line="360" w:lineRule="auto"/>
        <w:jc w:val="left"/>
        <w:rPr>
          <w:rFonts w:ascii="宋体" w:hAnsi="宋体"/>
          <w:color w:val="auto"/>
          <w:sz w:val="24"/>
          <w:highlight w:val="none"/>
        </w:rPr>
      </w:pPr>
      <w:r>
        <w:rPr>
          <w:rFonts w:ascii="宋体" w:hAnsi="宋体"/>
          <w:color w:val="auto"/>
          <w:sz w:val="24"/>
          <w:highlight w:val="none"/>
        </w:rPr>
        <w:t>注：</w:t>
      </w:r>
      <w:r>
        <w:rPr>
          <w:rFonts w:hint="eastAsia" w:ascii="宋体" w:hAnsi="宋体"/>
          <w:color w:val="auto"/>
          <w:sz w:val="24"/>
          <w:highlight w:val="none"/>
        </w:rPr>
        <w:t>▲1、磋商报价一栏必须填写，否则其磋商作无效标处理。</w:t>
      </w:r>
    </w:p>
    <w:p w14:paraId="5C8720F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▲2、磋商报价一经涂改，应在涂改处加盖单位公章或者由法定代表人或授权委托人签字或盖章，否则其磋商作无效标处理</w:t>
      </w:r>
      <w:r>
        <w:rPr>
          <w:rFonts w:hint="eastAsia" w:ascii="宋体" w:hAnsi="宋体" w:cs="Arial"/>
          <w:bCs/>
          <w:color w:val="auto"/>
          <w:sz w:val="24"/>
          <w:highlight w:val="none"/>
        </w:rPr>
        <w:t>；</w:t>
      </w:r>
    </w:p>
    <w:p w14:paraId="0F57D870">
      <w:pPr>
        <w:numPr>
          <w:ilvl w:val="0"/>
          <w:numId w:val="0"/>
        </w:numPr>
        <w:spacing w:line="360" w:lineRule="auto"/>
        <w:ind w:firstLine="482" w:firstLineChars="200"/>
        <w:jc w:val="left"/>
        <w:rPr>
          <w:rFonts w:hint="eastAsia" w:ascii="宋体" w:hAnsi="宋体" w:cs="Times New Roman"/>
          <w:b/>
          <w:bCs/>
          <w:color w:val="auto"/>
          <w:sz w:val="24"/>
          <w:highlight w:val="none"/>
          <w:lang w:val="en-US" w:eastAsia="zh-CN"/>
        </w:rPr>
      </w:pPr>
      <w:r>
        <w:rPr>
          <w:rFonts w:hint="eastAsia" w:ascii="宋体" w:hAnsi="宋体" w:cs="Times New Roman"/>
          <w:b/>
          <w:bCs/>
          <w:color w:val="auto"/>
          <w:sz w:val="24"/>
          <w:highlight w:val="none"/>
          <w:lang w:val="en-US" w:eastAsia="zh-CN"/>
        </w:rPr>
        <w:t>3、磋商报价=</w:t>
      </w:r>
      <w:r>
        <w:rPr>
          <w:rFonts w:hint="eastAsia" w:ascii="宋体" w:hAnsi="宋体" w:eastAsia="宋体" w:cs="Times New Roman"/>
          <w:b/>
          <w:bCs/>
          <w:color w:val="auto"/>
          <w:sz w:val="24"/>
          <w:highlight w:val="none"/>
          <w:lang w:val="en-US" w:eastAsia="zh-CN"/>
        </w:rPr>
        <w:t xml:space="preserve"> </w:t>
      </w:r>
      <w:r>
        <w:rPr>
          <w:rFonts w:hint="eastAsia" w:ascii="宋体" w:hAnsi="宋体" w:cs="宋体"/>
          <w:b/>
          <w:bCs/>
          <w:color w:val="auto"/>
          <w:kern w:val="2"/>
          <w:sz w:val="24"/>
          <w:szCs w:val="24"/>
          <w:highlight w:val="none"/>
          <w:lang w:val="en-US" w:eastAsia="zh-CN" w:bidi="ar-SA"/>
        </w:rPr>
        <w:t>1880032</w:t>
      </w:r>
      <w:r>
        <w:rPr>
          <w:rFonts w:hint="eastAsia" w:ascii="宋体" w:hAnsi="宋体" w:eastAsia="宋体" w:cs="Times New Roman"/>
          <w:b/>
          <w:bCs/>
          <w:color w:val="auto"/>
          <w:sz w:val="24"/>
          <w:highlight w:val="none"/>
          <w:lang w:val="en-US" w:eastAsia="zh-CN"/>
        </w:rPr>
        <w:t>元*（1-让</w:t>
      </w:r>
      <w:r>
        <w:rPr>
          <w:rFonts w:hint="eastAsia" w:ascii="宋体" w:hAnsi="宋体" w:cs="Times New Roman"/>
          <w:b/>
          <w:bCs/>
          <w:color w:val="auto"/>
          <w:sz w:val="24"/>
          <w:highlight w:val="none"/>
          <w:lang w:val="en-US" w:eastAsia="zh-CN"/>
        </w:rPr>
        <w:t xml:space="preserve">利下浮率）。 </w:t>
      </w:r>
    </w:p>
    <w:p w14:paraId="650C9F58">
      <w:pPr>
        <w:spacing w:line="360" w:lineRule="auto"/>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、本合同为固定总价合同，其合同总价已包含采购人确认的施工图、投标人投标报价所列内容及所涉及的各项风险费用，在完成本合同工程范围内内容只核减不核增。</w:t>
      </w:r>
    </w:p>
    <w:p w14:paraId="745DFA73">
      <w:pPr>
        <w:spacing w:line="360" w:lineRule="auto"/>
        <w:ind w:firstLine="480" w:firstLineChars="200"/>
        <w:jc w:val="left"/>
        <w:rPr>
          <w:rFonts w:ascii="宋体" w:hAnsi="宋体"/>
          <w:color w:val="auto"/>
          <w:sz w:val="24"/>
          <w:highlight w:val="none"/>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、磋商报价包括施工</w:t>
      </w:r>
      <w:r>
        <w:rPr>
          <w:rFonts w:hint="eastAsia" w:ascii="宋体" w:hAnsi="宋体"/>
          <w:color w:val="auto"/>
          <w:sz w:val="24"/>
          <w:highlight w:val="none"/>
        </w:rPr>
        <w:t>所需的施工费、材料费、供货、运输、装卸、安装调试、机械费、人工费、服务费、安全措施费等实施本项目相关的一切费用及税金。</w:t>
      </w:r>
    </w:p>
    <w:p w14:paraId="743D988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、本表格式不允许修改，否则作无效标处理。</w:t>
      </w:r>
    </w:p>
    <w:p w14:paraId="37DC6000">
      <w:pPr>
        <w:snapToGrid w:val="0"/>
        <w:spacing w:line="360" w:lineRule="auto"/>
        <w:ind w:firstLine="480" w:firstLineChars="200"/>
        <w:jc w:val="left"/>
        <w:rPr>
          <w:rFonts w:ascii="宋体" w:hAnsi="宋体"/>
          <w:color w:val="auto"/>
          <w:sz w:val="24"/>
          <w:highlight w:val="none"/>
        </w:rPr>
      </w:pPr>
    </w:p>
    <w:p w14:paraId="673EB8F0">
      <w:pPr>
        <w:snapToGrid w:val="0"/>
        <w:spacing w:line="360" w:lineRule="auto"/>
        <w:ind w:firstLine="480" w:firstLineChars="200"/>
        <w:jc w:val="left"/>
        <w:rPr>
          <w:rFonts w:ascii="宋体" w:hAnsi="宋体"/>
          <w:color w:val="auto"/>
          <w:sz w:val="24"/>
          <w:highlight w:val="none"/>
        </w:rPr>
      </w:pPr>
    </w:p>
    <w:p w14:paraId="5DFB693F">
      <w:pPr>
        <w:snapToGrid w:val="0"/>
        <w:spacing w:before="50" w:after="50"/>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14:paraId="1E2D0FC5">
      <w:pPr>
        <w:snapToGrid w:val="0"/>
        <w:spacing w:before="50" w:after="50"/>
        <w:ind w:left="-2" w:leftChars="-1" w:right="-817" w:rightChars="-389" w:firstLine="360" w:firstLineChars="150"/>
        <w:rPr>
          <w:rFonts w:ascii="宋体" w:hAnsi="宋体"/>
          <w:color w:val="auto"/>
          <w:sz w:val="24"/>
          <w:highlight w:val="none"/>
        </w:rPr>
      </w:pPr>
    </w:p>
    <w:p w14:paraId="2A442E20">
      <w:pPr>
        <w:snapToGrid w:val="0"/>
        <w:spacing w:before="50" w:after="50"/>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供应商名称（盖章）：                                         </w:t>
      </w:r>
    </w:p>
    <w:p w14:paraId="26F29E87">
      <w:pPr>
        <w:snapToGrid w:val="0"/>
        <w:spacing w:before="50" w:after="50"/>
        <w:ind w:right="-817" w:rightChars="-389"/>
        <w:rPr>
          <w:rFonts w:ascii="宋体" w:hAnsi="宋体"/>
          <w:color w:val="auto"/>
          <w:sz w:val="24"/>
          <w:highlight w:val="none"/>
        </w:rPr>
      </w:pPr>
    </w:p>
    <w:p w14:paraId="5EA2D28B">
      <w:pPr>
        <w:spacing w:line="380" w:lineRule="exact"/>
        <w:ind w:firstLine="6240" w:firstLineChars="2600"/>
        <w:rPr>
          <w:rFonts w:ascii="宋体" w:hAnsi="宋体"/>
          <w:b/>
          <w:color w:val="auto"/>
          <w:sz w:val="24"/>
          <w:highlight w:val="none"/>
        </w:rPr>
      </w:pPr>
      <w:r>
        <w:rPr>
          <w:rFonts w:hint="eastAsia" w:ascii="宋体" w:hAnsi="宋体"/>
          <w:color w:val="auto"/>
          <w:sz w:val="24"/>
          <w:highlight w:val="none"/>
        </w:rPr>
        <w:t>日期：    年   月   日</w:t>
      </w:r>
    </w:p>
    <w:p w14:paraId="0018144F">
      <w:pPr>
        <w:outlineLvl w:val="9"/>
        <w:rPr>
          <w:color w:val="auto"/>
          <w:sz w:val="24"/>
          <w:szCs w:val="24"/>
          <w:highlight w:val="none"/>
        </w:rPr>
      </w:pPr>
    </w:p>
    <w:p w14:paraId="7487E71B">
      <w:pPr>
        <w:pageBreakBefore/>
        <w:spacing w:before="260" w:after="260" w:line="415" w:lineRule="auto"/>
        <w:outlineLvl w:val="1"/>
        <w:rPr>
          <w:rFonts w:ascii="宋体" w:hAnsi="宋体" w:cs="宋体"/>
          <w:bCs/>
          <w:color w:val="auto"/>
          <w:sz w:val="24"/>
          <w:highlight w:val="none"/>
        </w:rPr>
      </w:pPr>
      <w:bookmarkStart w:id="96" w:name="_Toc24731"/>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八</w:t>
      </w:r>
      <w:r>
        <w:rPr>
          <w:rFonts w:hint="eastAsia" w:ascii="宋体" w:hAnsi="宋体" w:cs="宋体"/>
          <w:bCs/>
          <w:color w:val="auto"/>
          <w:sz w:val="24"/>
          <w:highlight w:val="none"/>
        </w:rPr>
        <w:t>：</w:t>
      </w:r>
      <w:bookmarkEnd w:id="95"/>
      <w:r>
        <w:rPr>
          <w:rFonts w:hint="eastAsia" w:ascii="宋体" w:hAnsi="宋体" w:cs="宋体"/>
          <w:bCs/>
          <w:color w:val="auto"/>
          <w:sz w:val="24"/>
          <w:highlight w:val="none"/>
        </w:rPr>
        <w:t>中小企业声明函（工程、服务）</w:t>
      </w:r>
      <w:bookmarkEnd w:id="96"/>
    </w:p>
    <w:p w14:paraId="3EB1B06F">
      <w:pPr>
        <w:spacing w:line="480" w:lineRule="auto"/>
        <w:jc w:val="center"/>
        <w:rPr>
          <w:rFonts w:ascii="宋体" w:hAnsi="宋体" w:cs="宋体"/>
          <w:b/>
          <w:bCs/>
          <w:color w:val="auto"/>
          <w:sz w:val="40"/>
          <w:szCs w:val="40"/>
          <w:highlight w:val="none"/>
        </w:rPr>
      </w:pPr>
      <w:r>
        <w:rPr>
          <w:rFonts w:hint="eastAsia" w:ascii="宋体" w:hAnsi="宋体" w:cs="宋体"/>
          <w:b/>
          <w:bCs/>
          <w:color w:val="auto"/>
          <w:sz w:val="40"/>
          <w:szCs w:val="40"/>
          <w:highlight w:val="none"/>
        </w:rPr>
        <w:t>中小企业声明函（工程、服务）</w:t>
      </w:r>
    </w:p>
    <w:p w14:paraId="51470AEC">
      <w:pPr>
        <w:jc w:val="center"/>
        <w:rPr>
          <w:rFonts w:ascii="宋体" w:hAnsi="宋体" w:cs="宋体"/>
          <w:color w:val="auto"/>
          <w:sz w:val="24"/>
          <w:highlight w:val="none"/>
        </w:rPr>
      </w:pPr>
    </w:p>
    <w:p w14:paraId="42FC7484">
      <w:pPr>
        <w:spacing w:line="360" w:lineRule="auto"/>
        <w:ind w:firstLine="480" w:firstLineChars="200"/>
        <w:rPr>
          <w:rFonts w:ascii="宋体" w:hAnsi="宋体" w:cs="宋体"/>
          <w:color w:val="auto"/>
          <w:sz w:val="24"/>
          <w:highlight w:val="none"/>
        </w:rPr>
      </w:pPr>
      <w:bookmarkStart w:id="97" w:name="_Toc496599001"/>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7074845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ascii="宋体" w:hAnsi="宋体" w:cs="宋体"/>
          <w:color w:val="auto"/>
          <w:sz w:val="24"/>
          <w:highlight w:val="none"/>
          <w:u w:val="single"/>
        </w:rPr>
        <w:t>建筑业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08B7D5D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ascii="宋体" w:hAnsi="宋体" w:cs="宋体"/>
          <w:color w:val="auto"/>
          <w:sz w:val="24"/>
          <w:highlight w:val="none"/>
          <w:u w:val="single"/>
        </w:rPr>
        <w:t>建筑业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0047A10C">
      <w:pPr>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CB43C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0B279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E77C264">
      <w:pPr>
        <w:spacing w:line="360" w:lineRule="auto"/>
        <w:rPr>
          <w:rFonts w:ascii="宋体" w:hAnsi="宋体" w:cs="宋体"/>
          <w:color w:val="auto"/>
          <w:sz w:val="24"/>
          <w:highlight w:val="none"/>
        </w:rPr>
      </w:pPr>
    </w:p>
    <w:p w14:paraId="363E4D02">
      <w:pPr>
        <w:spacing w:line="360" w:lineRule="auto"/>
        <w:rPr>
          <w:rFonts w:ascii="宋体" w:hAnsi="宋体" w:cs="宋体"/>
          <w:color w:val="auto"/>
          <w:sz w:val="24"/>
          <w:highlight w:val="none"/>
        </w:rPr>
      </w:pPr>
    </w:p>
    <w:p w14:paraId="2D823345">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企业名称（盖章）：</w:t>
      </w:r>
    </w:p>
    <w:p w14:paraId="6902FCAC">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日期：</w:t>
      </w:r>
    </w:p>
    <w:p w14:paraId="5951477C">
      <w:pPr>
        <w:spacing w:line="360" w:lineRule="auto"/>
        <w:rPr>
          <w:rFonts w:ascii="宋体" w:hAnsi="宋体" w:cs="宋体"/>
          <w:color w:val="auto"/>
          <w:sz w:val="24"/>
          <w:highlight w:val="none"/>
        </w:rPr>
      </w:pPr>
    </w:p>
    <w:p w14:paraId="4E15B49C">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ragraph">
                  <wp:posOffset>111125</wp:posOffset>
                </wp:positionV>
                <wp:extent cx="1828800" cy="0"/>
                <wp:effectExtent l="0" t="0" r="0" b="0"/>
                <wp:wrapTopAndBottom/>
                <wp:docPr id="1" name="直线 6"/>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cmpd="sng">
                          <a:solidFill>
                            <a:srgbClr val="000000"/>
                          </a:solidFill>
                          <a:round/>
                        </a:ln>
                        <a:effectLst/>
                      </wps:spPr>
                      <wps:bodyPr/>
                    </wps:wsp>
                  </a:graphicData>
                </a:graphic>
              </wp:anchor>
            </w:drawing>
          </mc:Choice>
          <mc:Fallback>
            <w:pict>
              <v:line id="直线 6" o:spid="_x0000_s1026" o:spt="20" style="position:absolute;left:0pt;margin-left:90pt;margin-top:8.75pt;height:0pt;width:144pt;mso-position-horizontal-relative:page;mso-wrap-distance-bottom:0pt;mso-wrap-distance-top:0pt;z-index:-251657216;mso-width-relative:page;mso-height-relative:page;" filled="f" stroked="t" coordsize="21600,21600" o:gfxdata="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bbIbj1QAAAAkBAAAPAAAAAAAA&#10;AAEAIAAAACIAAABkcnMvZG93bnJldi54bWxQSwECFAAUAAAACACHTuJAO8rKzdwBAAC3AwAADgAA&#10;AAAAAAABACAAAAAkAQAAZHJzL2Uyb0RvYy54bWxQSwUGAAAAAAYABgBZAQAAcgUAAAAA&#10;">
                <v:fill on="f" focussize="0,0"/>
                <v:stroke weight="0pt" color="#000000" joinstyle="round"/>
                <v:imagedata o:title=""/>
                <o:lock v:ext="edit" aspectratio="f"/>
                <w10:wrap type="topAndBottom"/>
              </v:line>
            </w:pict>
          </mc:Fallback>
        </mc:AlternateContent>
      </w:r>
    </w:p>
    <w:p w14:paraId="416B006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备注：</w:t>
      </w:r>
    </w:p>
    <w:p w14:paraId="70187F06">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1、从业人员、营业收入、资产总额填报上一年度数据，无上一年度数据的新成立企业可不填报。</w:t>
      </w:r>
    </w:p>
    <w:p w14:paraId="3E4B3032">
      <w:pPr>
        <w:pStyle w:val="2"/>
        <w:rPr>
          <w:b/>
          <w:bCs/>
          <w:color w:val="auto"/>
          <w:sz w:val="24"/>
          <w:highlight w:val="none"/>
        </w:rPr>
      </w:pPr>
      <w:r>
        <w:rPr>
          <w:rFonts w:hint="eastAsia"/>
          <w:b/>
          <w:bCs/>
          <w:color w:val="auto"/>
          <w:sz w:val="24"/>
          <w:highlight w:val="none"/>
        </w:rPr>
        <w:t>2、本声明函将随中标结果同时公告，接受社会监督。</w:t>
      </w:r>
    </w:p>
    <w:p w14:paraId="35048C70">
      <w:pPr>
        <w:pageBreakBefore/>
        <w:spacing w:before="260" w:after="260" w:line="415" w:lineRule="auto"/>
        <w:outlineLvl w:val="1"/>
        <w:rPr>
          <w:rFonts w:ascii="宋体" w:hAnsi="宋体" w:cs="宋体"/>
          <w:bCs/>
          <w:color w:val="auto"/>
          <w:sz w:val="24"/>
          <w:highlight w:val="none"/>
        </w:rPr>
      </w:pPr>
      <w:bookmarkStart w:id="98" w:name="_Toc16978"/>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九</w:t>
      </w:r>
      <w:r>
        <w:rPr>
          <w:rFonts w:hint="eastAsia" w:ascii="宋体" w:hAnsi="宋体" w:cs="宋体"/>
          <w:bCs/>
          <w:color w:val="auto"/>
          <w:sz w:val="24"/>
          <w:highlight w:val="none"/>
        </w:rPr>
        <w:t>：</w:t>
      </w:r>
      <w:bookmarkEnd w:id="97"/>
      <w:r>
        <w:rPr>
          <w:rFonts w:hint="eastAsia" w:ascii="宋体" w:hAnsi="宋体" w:cs="宋体"/>
          <w:bCs/>
          <w:color w:val="auto"/>
          <w:sz w:val="24"/>
          <w:highlight w:val="none"/>
        </w:rPr>
        <w:t>东阳市采购项目验收方案</w:t>
      </w:r>
      <w:bookmarkEnd w:id="98"/>
    </w:p>
    <w:p w14:paraId="3C3C9DED">
      <w:pPr>
        <w:spacing w:after="120"/>
        <w:jc w:val="center"/>
        <w:rPr>
          <w:rFonts w:ascii="宋体" w:hAnsi="宋体" w:cs="宋体"/>
          <w:b/>
          <w:color w:val="auto"/>
          <w:sz w:val="24"/>
          <w:highlight w:val="none"/>
        </w:rPr>
      </w:pPr>
      <w:r>
        <w:rPr>
          <w:rFonts w:hint="eastAsia" w:ascii="宋体" w:hAnsi="宋体" w:cs="宋体"/>
          <w:b/>
          <w:color w:val="auto"/>
          <w:sz w:val="24"/>
          <w:highlight w:val="none"/>
        </w:rPr>
        <w:t>东阳市采购项目验收方案</w:t>
      </w:r>
    </w:p>
    <w:p w14:paraId="2045AFFA">
      <w:pPr>
        <w:spacing w:beforeLines="5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321EC4D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435F78D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444FBFF6">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2、采购内容：</w:t>
      </w:r>
    </w:p>
    <w:p w14:paraId="50005B74">
      <w:pPr>
        <w:spacing w:after="120" w:line="360" w:lineRule="auto"/>
        <w:rPr>
          <w:rFonts w:ascii="宋体" w:hAnsi="宋体" w:cs="宋体"/>
          <w:b/>
          <w:color w:val="auto"/>
          <w:sz w:val="24"/>
          <w:highlight w:val="none"/>
        </w:rPr>
      </w:pPr>
    </w:p>
    <w:p w14:paraId="474996E7">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6B41AD5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121DDEA5">
      <w:pPr>
        <w:spacing w:after="120"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6ACF18DD">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49311636">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49A4B0F3">
      <w:pPr>
        <w:spacing w:after="120" w:line="360" w:lineRule="auto"/>
        <w:rPr>
          <w:rFonts w:ascii="宋体" w:hAnsi="宋体" w:cs="宋体"/>
          <w:b/>
          <w:color w:val="auto"/>
          <w:sz w:val="24"/>
          <w:highlight w:val="none"/>
        </w:rPr>
      </w:pPr>
    </w:p>
    <w:p w14:paraId="37449940">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07C97CBC">
      <w:pPr>
        <w:spacing w:after="120" w:line="360" w:lineRule="auto"/>
        <w:rPr>
          <w:rFonts w:ascii="宋体" w:hAnsi="宋体" w:cs="宋体"/>
          <w:b/>
          <w:color w:val="auto"/>
          <w:sz w:val="24"/>
          <w:highlight w:val="none"/>
        </w:rPr>
      </w:pPr>
    </w:p>
    <w:p w14:paraId="68CD7D83">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068291DC">
      <w:pPr>
        <w:spacing w:after="120" w:line="360" w:lineRule="auto"/>
        <w:rPr>
          <w:rFonts w:ascii="宋体" w:hAnsi="宋体" w:cs="宋体"/>
          <w:b/>
          <w:color w:val="auto"/>
          <w:sz w:val="24"/>
          <w:highlight w:val="none"/>
        </w:rPr>
      </w:pPr>
    </w:p>
    <w:p w14:paraId="3F2784C1">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06F2F74A">
      <w:pPr>
        <w:spacing w:after="120" w:line="360" w:lineRule="auto"/>
        <w:ind w:left="479" w:leftChars="228" w:firstLine="470" w:firstLineChars="195"/>
        <w:rPr>
          <w:rFonts w:ascii="宋体" w:hAnsi="宋体" w:cs="宋体"/>
          <w:b/>
          <w:color w:val="auto"/>
          <w:sz w:val="24"/>
          <w:highlight w:val="none"/>
        </w:rPr>
      </w:pPr>
    </w:p>
    <w:p w14:paraId="0E364B9B">
      <w:pPr>
        <w:spacing w:after="120" w:line="360" w:lineRule="auto"/>
        <w:ind w:left="479" w:leftChars="228" w:firstLine="470" w:firstLineChars="195"/>
        <w:rPr>
          <w:rFonts w:ascii="宋体" w:hAnsi="宋体" w:cs="宋体"/>
          <w:b/>
          <w:color w:val="auto"/>
          <w:sz w:val="24"/>
          <w:highlight w:val="none"/>
        </w:rPr>
      </w:pPr>
    </w:p>
    <w:p w14:paraId="2E317211">
      <w:pPr>
        <w:spacing w:after="120" w:line="360" w:lineRule="auto"/>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5ECA93A4">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6F0C50CC">
      <w:pPr>
        <w:pageBreakBefore/>
        <w:spacing w:before="260" w:after="260" w:line="415" w:lineRule="auto"/>
        <w:outlineLvl w:val="1"/>
        <w:rPr>
          <w:rFonts w:ascii="宋体" w:hAnsi="宋体" w:cs="宋体"/>
          <w:bCs/>
          <w:color w:val="auto"/>
          <w:sz w:val="24"/>
          <w:highlight w:val="none"/>
        </w:rPr>
      </w:pPr>
      <w:bookmarkStart w:id="99" w:name="_Toc496599002"/>
      <w:bookmarkStart w:id="100" w:name="_Toc26547"/>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二十</w:t>
      </w:r>
      <w:r>
        <w:rPr>
          <w:rFonts w:hint="eastAsia" w:ascii="宋体" w:hAnsi="宋体" w:cs="宋体"/>
          <w:bCs/>
          <w:color w:val="auto"/>
          <w:sz w:val="24"/>
          <w:highlight w:val="none"/>
        </w:rPr>
        <w:t>：</w:t>
      </w:r>
      <w:bookmarkEnd w:id="99"/>
      <w:r>
        <w:rPr>
          <w:rFonts w:hint="eastAsia" w:ascii="宋体" w:hAnsi="宋体" w:cs="宋体"/>
          <w:bCs/>
          <w:color w:val="auto"/>
          <w:sz w:val="24"/>
          <w:highlight w:val="none"/>
        </w:rPr>
        <w:t>东阳市政府采购代理机构社会评价表</w:t>
      </w:r>
      <w:bookmarkEnd w:id="100"/>
    </w:p>
    <w:p w14:paraId="2EDB23AA">
      <w:pPr>
        <w:jc w:val="center"/>
        <w:rPr>
          <w:rFonts w:ascii="宋体" w:hAnsi="宋体"/>
          <w:color w:val="auto"/>
          <w:sz w:val="44"/>
          <w:szCs w:val="44"/>
          <w:highlight w:val="none"/>
        </w:rPr>
      </w:pPr>
      <w:r>
        <w:rPr>
          <w:rFonts w:hint="eastAsia" w:ascii="宋体" w:hAnsi="宋体"/>
          <w:color w:val="auto"/>
          <w:sz w:val="44"/>
          <w:szCs w:val="44"/>
          <w:highlight w:val="none"/>
        </w:rPr>
        <w:t>东阳市政府采购代理机构社会评价表</w:t>
      </w:r>
    </w:p>
    <w:p w14:paraId="2946067F">
      <w:pPr>
        <w:rPr>
          <w:rFonts w:ascii="宋体" w:hAnsi="宋体"/>
          <w:color w:val="auto"/>
          <w:sz w:val="28"/>
          <w:szCs w:val="28"/>
          <w:highlight w:val="none"/>
        </w:rPr>
      </w:pPr>
      <w:r>
        <w:rPr>
          <w:rFonts w:hint="eastAsia" w:ascii="宋体" w:hAnsi="宋体"/>
          <w:color w:val="auto"/>
          <w:sz w:val="28"/>
          <w:szCs w:val="28"/>
          <w:highlight w:val="none"/>
        </w:rPr>
        <w:t xml:space="preserve">代理机构名称： </w:t>
      </w: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7B97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604CF337">
            <w:pPr>
              <w:jc w:val="center"/>
              <w:rPr>
                <w:color w:val="auto"/>
                <w:sz w:val="24"/>
                <w:highlight w:val="none"/>
              </w:rPr>
            </w:pPr>
            <w:r>
              <w:rPr>
                <w:rFonts w:hint="eastAsia" w:ascii="宋体" w:hAnsi="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370C7F48">
            <w:pPr>
              <w:ind w:firstLine="480" w:firstLineChars="200"/>
              <w:jc w:val="center"/>
              <w:rPr>
                <w:color w:val="auto"/>
                <w:sz w:val="24"/>
                <w:highlight w:val="none"/>
              </w:rPr>
            </w:pPr>
            <w:r>
              <w:rPr>
                <w:rFonts w:hint="eastAsia" w:ascii="宋体" w:hAnsi="宋体"/>
                <w:color w:val="auto"/>
                <w:sz w:val="24"/>
                <w:highlight w:val="none"/>
              </w:rPr>
              <w:t>□采购单位</w:t>
            </w:r>
            <w:r>
              <w:rPr>
                <w:color w:val="auto"/>
                <w:sz w:val="24"/>
                <w:highlight w:val="none"/>
              </w:rPr>
              <w:t xml:space="preserve">      </w:t>
            </w:r>
            <w:r>
              <w:rPr>
                <w:rFonts w:hint="eastAsia" w:ascii="宋体" w:hAnsi="宋体"/>
                <w:color w:val="auto"/>
                <w:sz w:val="24"/>
                <w:highlight w:val="none"/>
              </w:rPr>
              <w:t>□供应商</w:t>
            </w:r>
            <w:r>
              <w:rPr>
                <w:color w:val="auto"/>
                <w:sz w:val="24"/>
                <w:highlight w:val="none"/>
              </w:rPr>
              <w:t xml:space="preserve">      </w:t>
            </w:r>
            <w:r>
              <w:rPr>
                <w:rFonts w:hint="eastAsia" w:ascii="宋体" w:hAnsi="宋体"/>
                <w:color w:val="auto"/>
                <w:sz w:val="24"/>
                <w:highlight w:val="none"/>
              </w:rPr>
              <w:t>□专家</w:t>
            </w:r>
            <w:r>
              <w:rPr>
                <w:color w:val="auto"/>
                <w:sz w:val="24"/>
                <w:highlight w:val="none"/>
              </w:rPr>
              <w:t xml:space="preserve">     </w:t>
            </w:r>
          </w:p>
        </w:tc>
      </w:tr>
      <w:tr w14:paraId="480F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6077135A">
            <w:pPr>
              <w:jc w:val="center"/>
              <w:rPr>
                <w:color w:val="auto"/>
                <w:sz w:val="24"/>
                <w:highlight w:val="none"/>
              </w:rPr>
            </w:pPr>
            <w:r>
              <w:rPr>
                <w:rFonts w:hint="eastAsia" w:ascii="宋体" w:hAnsi="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57C7287F">
            <w:pPr>
              <w:jc w:val="center"/>
              <w:rPr>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48C4D372">
            <w:pPr>
              <w:jc w:val="center"/>
              <w:rPr>
                <w:color w:val="auto"/>
                <w:sz w:val="24"/>
                <w:highlight w:val="none"/>
              </w:rPr>
            </w:pPr>
            <w:r>
              <w:rPr>
                <w:rFonts w:hint="eastAsia" w:ascii="宋体" w:hAnsi="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2FCB353D">
            <w:pPr>
              <w:jc w:val="center"/>
              <w:rPr>
                <w:rFonts w:ascii="宋体" w:hAnsi="宋体"/>
                <w:color w:val="auto"/>
                <w:sz w:val="24"/>
                <w:highlight w:val="none"/>
              </w:rPr>
            </w:pPr>
          </w:p>
        </w:tc>
      </w:tr>
      <w:tr w14:paraId="421C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083B5286">
            <w:pPr>
              <w:jc w:val="center"/>
              <w:rPr>
                <w:color w:val="auto"/>
                <w:sz w:val="24"/>
                <w:highlight w:val="none"/>
              </w:rPr>
            </w:pPr>
            <w:r>
              <w:rPr>
                <w:rFonts w:hint="eastAsia" w:ascii="宋体" w:hAnsi="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26781BA0">
            <w:pPr>
              <w:jc w:val="center"/>
              <w:rPr>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2237CCE7">
            <w:pPr>
              <w:jc w:val="center"/>
              <w:rPr>
                <w:color w:val="auto"/>
                <w:sz w:val="24"/>
                <w:highlight w:val="none"/>
              </w:rPr>
            </w:pPr>
            <w:r>
              <w:rPr>
                <w:rFonts w:hint="eastAsia" w:ascii="宋体" w:hAnsi="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6DC9C6BF">
            <w:pPr>
              <w:jc w:val="center"/>
              <w:rPr>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29367A53">
            <w:pPr>
              <w:jc w:val="center"/>
              <w:rPr>
                <w:color w:val="auto"/>
                <w:sz w:val="24"/>
                <w:highlight w:val="none"/>
              </w:rPr>
            </w:pPr>
            <w:r>
              <w:rPr>
                <w:rFonts w:hint="eastAsia" w:ascii="宋体" w:hAnsi="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07ECF54E">
            <w:pPr>
              <w:jc w:val="center"/>
              <w:rPr>
                <w:color w:val="auto"/>
                <w:sz w:val="24"/>
                <w:highlight w:val="none"/>
              </w:rPr>
            </w:pPr>
          </w:p>
        </w:tc>
      </w:tr>
      <w:tr w14:paraId="1A29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79163F10">
            <w:pPr>
              <w:jc w:val="center"/>
              <w:rPr>
                <w:color w:val="auto"/>
                <w:sz w:val="24"/>
                <w:highlight w:val="none"/>
              </w:rPr>
            </w:pPr>
            <w:r>
              <w:rPr>
                <w:rFonts w:hint="eastAsia" w:ascii="宋体" w:hAnsi="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6C96C365">
            <w:pPr>
              <w:spacing w:line="500" w:lineRule="exact"/>
              <w:jc w:val="center"/>
              <w:rPr>
                <w:color w:val="auto"/>
                <w:sz w:val="24"/>
                <w:highlight w:val="none"/>
              </w:rPr>
            </w:pPr>
            <w:r>
              <w:rPr>
                <w:rFonts w:hint="eastAsia" w:ascii="宋体" w:hAnsi="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06D3CD58">
            <w:pPr>
              <w:spacing w:line="500" w:lineRule="exact"/>
              <w:jc w:val="center"/>
              <w:rPr>
                <w:color w:val="auto"/>
                <w:sz w:val="24"/>
                <w:highlight w:val="none"/>
              </w:rPr>
            </w:pPr>
            <w:r>
              <w:rPr>
                <w:rFonts w:hint="eastAsia" w:ascii="宋体" w:hAnsi="宋体"/>
                <w:color w:val="auto"/>
                <w:sz w:val="24"/>
                <w:highlight w:val="none"/>
              </w:rPr>
              <w:t>评价（请在分值范围内进行打分）</w:t>
            </w:r>
          </w:p>
        </w:tc>
      </w:tr>
      <w:tr w14:paraId="6F75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643E756">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034EA8ED">
            <w:pPr>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080AED12">
            <w:pPr>
              <w:spacing w:line="500" w:lineRule="exact"/>
              <w:jc w:val="center"/>
              <w:rPr>
                <w:color w:val="auto"/>
                <w:sz w:val="24"/>
                <w:highlight w:val="none"/>
              </w:rPr>
            </w:pPr>
          </w:p>
        </w:tc>
      </w:tr>
      <w:tr w14:paraId="63CF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0B7159B">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DC6E987">
            <w:pPr>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操作程序是否规范，采购行为、过程、结果是否公开、公平、公正，采购组织管理是否规范严谨（2分）</w:t>
            </w:r>
            <w:r>
              <w:rPr>
                <w:rFonts w:hint="eastAsia" w:asciiTheme="majorEastAsia" w:hAnsiTheme="majorEastAsia" w:eastAsiaTheme="majorEastAsia"/>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6DD82D78">
            <w:pPr>
              <w:spacing w:line="500" w:lineRule="exact"/>
              <w:jc w:val="center"/>
              <w:rPr>
                <w:color w:val="auto"/>
                <w:sz w:val="24"/>
                <w:highlight w:val="none"/>
              </w:rPr>
            </w:pPr>
          </w:p>
        </w:tc>
      </w:tr>
      <w:tr w14:paraId="13D5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65DF167">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634794C">
            <w:pPr>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是否及时组织采购，是否有承诺办事时间并能限时办结（2分）</w:t>
            </w:r>
            <w:r>
              <w:rPr>
                <w:rFonts w:hint="eastAsia" w:asciiTheme="majorEastAsia" w:hAnsiTheme="majorEastAsia" w:eastAsiaTheme="majorEastAsia"/>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6EB359E4">
            <w:pPr>
              <w:spacing w:line="500" w:lineRule="exact"/>
              <w:jc w:val="center"/>
              <w:rPr>
                <w:color w:val="auto"/>
                <w:sz w:val="24"/>
                <w:highlight w:val="none"/>
              </w:rPr>
            </w:pPr>
          </w:p>
        </w:tc>
      </w:tr>
      <w:tr w14:paraId="427C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8CA1C57">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5226E276">
            <w:pP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是否能积极</w:t>
            </w:r>
            <w:r>
              <w:rPr>
                <w:rFonts w:hint="eastAsia" w:asciiTheme="majorEastAsia" w:hAnsiTheme="majorEastAsia" w:eastAsiaTheme="majorEastAsia"/>
                <w:color w:val="auto"/>
                <w:kern w:val="0"/>
                <w:sz w:val="24"/>
                <w:highlight w:val="none"/>
              </w:rPr>
              <w:t>主动</w:t>
            </w:r>
            <w:r>
              <w:rPr>
                <w:rFonts w:hint="eastAsia" w:asciiTheme="majorEastAsia" w:hAnsiTheme="majorEastAsia" w:eastAsiaTheme="majorEastAsia"/>
                <w:color w:val="auto"/>
                <w:sz w:val="24"/>
                <w:highlight w:val="none"/>
              </w:rPr>
              <w:t>与当事人沟通</w:t>
            </w:r>
            <w:r>
              <w:rPr>
                <w:rFonts w:hint="eastAsia" w:asciiTheme="majorEastAsia" w:hAnsiTheme="majorEastAsia" w:eastAsiaTheme="majorEastAsia"/>
                <w:color w:val="auto"/>
                <w:kern w:val="0"/>
                <w:sz w:val="24"/>
                <w:highlight w:val="none"/>
              </w:rPr>
              <w:t>对接；对采购政策进行详细解读；</w:t>
            </w:r>
            <w:r>
              <w:rPr>
                <w:rFonts w:hint="eastAsia" w:asciiTheme="majorEastAsia" w:hAnsiTheme="majorEastAsia" w:eastAsiaTheme="majorEastAsia"/>
                <w:color w:val="auto"/>
                <w:sz w:val="24"/>
                <w:highlight w:val="none"/>
              </w:rPr>
              <w:t>咨询答复是否热情周到、耐心细致（2分）</w:t>
            </w:r>
            <w:r>
              <w:rPr>
                <w:rFonts w:hint="eastAsia" w:asciiTheme="majorEastAsia" w:hAnsiTheme="majorEastAsia" w:eastAsiaTheme="majorEastAsia"/>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2372CF19">
            <w:pPr>
              <w:spacing w:line="500" w:lineRule="exact"/>
              <w:jc w:val="center"/>
              <w:rPr>
                <w:color w:val="auto"/>
                <w:sz w:val="24"/>
                <w:highlight w:val="none"/>
              </w:rPr>
            </w:pPr>
          </w:p>
        </w:tc>
      </w:tr>
      <w:tr w14:paraId="7C26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06FF496">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18A9C48A">
            <w:pP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69B01B2C">
            <w:pPr>
              <w:spacing w:line="500" w:lineRule="exact"/>
              <w:jc w:val="center"/>
              <w:rPr>
                <w:color w:val="auto"/>
                <w:sz w:val="24"/>
                <w:highlight w:val="none"/>
              </w:rPr>
            </w:pPr>
          </w:p>
        </w:tc>
      </w:tr>
      <w:tr w14:paraId="3E46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7EDA03C">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835079A">
            <w:pPr>
              <w:spacing w:line="500" w:lineRule="exact"/>
              <w:jc w:val="center"/>
              <w:rPr>
                <w:color w:val="auto"/>
                <w:sz w:val="24"/>
                <w:highlight w:val="none"/>
              </w:rPr>
            </w:pPr>
            <w:r>
              <w:rPr>
                <w:rFonts w:hint="eastAsia" w:ascii="宋体" w:hAnsi="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594CB9F6">
            <w:pPr>
              <w:spacing w:line="500" w:lineRule="exact"/>
              <w:jc w:val="center"/>
              <w:rPr>
                <w:color w:val="auto"/>
                <w:sz w:val="24"/>
                <w:highlight w:val="none"/>
              </w:rPr>
            </w:pPr>
          </w:p>
        </w:tc>
      </w:tr>
      <w:tr w14:paraId="4334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1B848995">
            <w:pPr>
              <w:jc w:val="center"/>
              <w:rPr>
                <w:color w:val="auto"/>
                <w:sz w:val="24"/>
                <w:highlight w:val="none"/>
              </w:rPr>
            </w:pPr>
            <w:r>
              <w:rPr>
                <w:rFonts w:hint="eastAsia" w:ascii="宋体" w:hAnsi="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04684FF2">
            <w:pPr>
              <w:jc w:val="center"/>
              <w:rPr>
                <w:color w:val="auto"/>
                <w:sz w:val="24"/>
                <w:highlight w:val="none"/>
              </w:rPr>
            </w:pPr>
          </w:p>
        </w:tc>
      </w:tr>
      <w:tr w14:paraId="1CA6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1E5CD5D4">
            <w:pPr>
              <w:jc w:val="center"/>
              <w:rPr>
                <w:color w:val="auto"/>
                <w:sz w:val="24"/>
                <w:highlight w:val="none"/>
              </w:rPr>
            </w:pPr>
            <w:r>
              <w:rPr>
                <w:rFonts w:hint="eastAsia" w:ascii="宋体" w:hAnsi="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75E66414">
            <w:pPr>
              <w:jc w:val="center"/>
              <w:rPr>
                <w:color w:val="auto"/>
                <w:sz w:val="24"/>
                <w:highlight w:val="none"/>
              </w:rPr>
            </w:pPr>
          </w:p>
        </w:tc>
      </w:tr>
    </w:tbl>
    <w:p w14:paraId="4EF3EB8F">
      <w:pPr>
        <w:spacing w:after="120"/>
        <w:ind w:right="1240"/>
        <w:rPr>
          <w:rFonts w:ascii="宋体" w:hAnsi="宋体" w:cs="宋体"/>
          <w:color w:val="auto"/>
          <w:sz w:val="24"/>
          <w:highlight w:val="none"/>
        </w:rPr>
      </w:pPr>
      <w:r>
        <w:rPr>
          <w:rFonts w:hint="eastAsia" w:ascii="宋体" w:hAnsi="宋体"/>
          <w:color w:val="auto"/>
          <w:sz w:val="24"/>
          <w:highlight w:val="none"/>
        </w:rPr>
        <w:t>填表人签字盖章：</w:t>
      </w:r>
      <w:r>
        <w:rPr>
          <w:color w:val="auto"/>
          <w:sz w:val="24"/>
          <w:highlight w:val="none"/>
        </w:rPr>
        <w:t xml:space="preserve">                    </w:t>
      </w:r>
      <w:r>
        <w:rPr>
          <w:rFonts w:hint="eastAsia" w:ascii="宋体" w:hAnsi="宋体"/>
          <w:color w:val="auto"/>
          <w:sz w:val="24"/>
          <w:highlight w:val="none"/>
        </w:rPr>
        <w:t>日期</w:t>
      </w:r>
    </w:p>
    <w:p w14:paraId="01477F6B">
      <w:pPr>
        <w:spacing w:after="120"/>
        <w:ind w:right="-154"/>
        <w:rPr>
          <w:rFonts w:ascii="宋体" w:hAnsi="宋体" w:cs="宋体"/>
          <w:color w:val="auto"/>
          <w:szCs w:val="21"/>
          <w:highlight w:val="none"/>
        </w:rPr>
      </w:pPr>
      <w:r>
        <w:rPr>
          <w:rFonts w:hint="eastAsia" w:ascii="宋体" w:hAnsi="宋体" w:cs="宋体"/>
          <w:color w:val="auto"/>
          <w:szCs w:val="21"/>
          <w:highlight w:val="none"/>
        </w:rPr>
        <w:t>注：磋商单位须加盖单位红章。</w:t>
      </w:r>
    </w:p>
    <w:p w14:paraId="2FA72068">
      <w:pPr>
        <w:pStyle w:val="2"/>
        <w:rPr>
          <w:rFonts w:ascii="宋体" w:hAnsi="宋体" w:cs="宋体"/>
          <w:color w:val="auto"/>
          <w:szCs w:val="21"/>
          <w:highlight w:val="none"/>
        </w:rPr>
      </w:pPr>
    </w:p>
    <w:p w14:paraId="17FC4036">
      <w:pPr>
        <w:pStyle w:val="5"/>
        <w:rPr>
          <w:rFonts w:ascii="宋体" w:hAnsi="宋体" w:eastAsia="宋体" w:cs="宋体"/>
          <w:b w:val="0"/>
          <w:color w:val="auto"/>
          <w:sz w:val="24"/>
          <w:szCs w:val="24"/>
          <w:highlight w:val="none"/>
        </w:rPr>
      </w:pPr>
      <w:bookmarkStart w:id="101" w:name="_Toc20976"/>
      <w:r>
        <w:rPr>
          <w:rFonts w:hint="eastAsia" w:ascii="宋体" w:hAnsi="宋体" w:eastAsia="宋体" w:cs="宋体"/>
          <w:b w:val="0"/>
          <w:color w:val="auto"/>
          <w:sz w:val="24"/>
          <w:szCs w:val="24"/>
          <w:highlight w:val="none"/>
        </w:rPr>
        <w:t>附件二十</w:t>
      </w:r>
      <w:r>
        <w:rPr>
          <w:rFonts w:hint="eastAsia" w:ascii="宋体" w:hAnsi="宋体" w:eastAsia="宋体" w:cs="宋体"/>
          <w:b w:val="0"/>
          <w:color w:val="auto"/>
          <w:sz w:val="24"/>
          <w:szCs w:val="24"/>
          <w:highlight w:val="none"/>
          <w:lang w:val="en-US" w:eastAsia="zh-CN"/>
        </w:rPr>
        <w:t>一</w:t>
      </w:r>
      <w:r>
        <w:rPr>
          <w:rFonts w:hint="eastAsia" w:ascii="宋体" w:hAnsi="宋体" w:eastAsia="宋体" w:cs="宋体"/>
          <w:b w:val="0"/>
          <w:color w:val="auto"/>
          <w:sz w:val="24"/>
          <w:szCs w:val="24"/>
          <w:highlight w:val="none"/>
        </w:rPr>
        <w:t>：办理保函需提供资料</w:t>
      </w:r>
      <w:bookmarkEnd w:id="101"/>
    </w:p>
    <w:p w14:paraId="3F247A65">
      <w:pPr>
        <w:spacing w:after="120"/>
        <w:ind w:right="-154"/>
        <w:rPr>
          <w:rFonts w:ascii="宋体" w:hAnsi="宋体" w:cs="宋体"/>
          <w:color w:val="auto"/>
          <w:sz w:val="24"/>
          <w:highlight w:val="none"/>
        </w:rPr>
      </w:pPr>
    </w:p>
    <w:p w14:paraId="18401D45">
      <w:pPr>
        <w:spacing w:after="120"/>
        <w:ind w:right="-154"/>
        <w:jc w:val="center"/>
        <w:rPr>
          <w:rFonts w:ascii="宋体" w:hAnsi="宋体" w:cs="宋体"/>
          <w:b/>
          <w:color w:val="auto"/>
          <w:sz w:val="40"/>
          <w:szCs w:val="40"/>
          <w:highlight w:val="none"/>
        </w:rPr>
      </w:pPr>
      <w:r>
        <w:rPr>
          <w:rFonts w:hint="eastAsia" w:ascii="宋体" w:hAnsi="宋体" w:cs="宋体"/>
          <w:b/>
          <w:color w:val="auto"/>
          <w:sz w:val="40"/>
          <w:szCs w:val="40"/>
          <w:highlight w:val="none"/>
        </w:rPr>
        <w:t>办理保函需提供资料</w:t>
      </w:r>
    </w:p>
    <w:p w14:paraId="66B007BC">
      <w:pPr>
        <w:numPr>
          <w:ilvl w:val="0"/>
          <w:numId w:val="10"/>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营业执照</w:t>
      </w:r>
    </w:p>
    <w:p w14:paraId="35374CEC">
      <w:pPr>
        <w:numPr>
          <w:ilvl w:val="0"/>
          <w:numId w:val="10"/>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法人身份证</w:t>
      </w:r>
    </w:p>
    <w:p w14:paraId="01E6873F">
      <w:pPr>
        <w:numPr>
          <w:ilvl w:val="0"/>
          <w:numId w:val="10"/>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256801E7">
      <w:pPr>
        <w:numPr>
          <w:ilvl w:val="0"/>
          <w:numId w:val="10"/>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1CC91F54">
      <w:pPr>
        <w:numPr>
          <w:ilvl w:val="0"/>
          <w:numId w:val="10"/>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中标通知书</w:t>
      </w:r>
    </w:p>
    <w:p w14:paraId="001622C0">
      <w:pPr>
        <w:numPr>
          <w:ilvl w:val="0"/>
          <w:numId w:val="10"/>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磋商文件电子版</w:t>
      </w:r>
    </w:p>
    <w:p w14:paraId="3124DD67">
      <w:pPr>
        <w:numPr>
          <w:ilvl w:val="0"/>
          <w:numId w:val="10"/>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信用反担保函</w:t>
      </w:r>
    </w:p>
    <w:p w14:paraId="7C6F93B6">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3504F2B0">
      <w:pPr>
        <w:spacing w:after="120"/>
        <w:ind w:right="-154"/>
        <w:rPr>
          <w:rFonts w:ascii="宋体" w:hAnsi="宋体" w:cs="宋体"/>
          <w:b/>
          <w:color w:val="auto"/>
          <w:sz w:val="24"/>
          <w:highlight w:val="none"/>
        </w:rPr>
      </w:pPr>
    </w:p>
    <w:p w14:paraId="539F01EB">
      <w:pPr>
        <w:spacing w:after="120"/>
        <w:ind w:right="-154"/>
        <w:rPr>
          <w:rFonts w:ascii="宋体" w:hAnsi="宋体" w:cs="宋体"/>
          <w:b/>
          <w:color w:val="auto"/>
          <w:sz w:val="24"/>
          <w:highlight w:val="none"/>
        </w:rPr>
      </w:pPr>
    </w:p>
    <w:p w14:paraId="23153E4B">
      <w:pPr>
        <w:spacing w:after="120"/>
        <w:ind w:right="-154"/>
        <w:rPr>
          <w:rFonts w:ascii="宋体" w:hAnsi="宋体" w:cs="宋体"/>
          <w:b/>
          <w:color w:val="auto"/>
          <w:sz w:val="24"/>
          <w:highlight w:val="none"/>
        </w:rPr>
      </w:pPr>
    </w:p>
    <w:p w14:paraId="68BCECC0">
      <w:pPr>
        <w:spacing w:after="120"/>
        <w:ind w:right="-154"/>
        <w:rPr>
          <w:rFonts w:ascii="宋体" w:hAnsi="宋体" w:cs="宋体"/>
          <w:b/>
          <w:color w:val="auto"/>
          <w:sz w:val="24"/>
          <w:highlight w:val="none"/>
        </w:rPr>
      </w:pPr>
    </w:p>
    <w:p w14:paraId="19039FC4">
      <w:pPr>
        <w:spacing w:after="120"/>
        <w:ind w:right="-154"/>
        <w:rPr>
          <w:rFonts w:ascii="宋体" w:hAnsi="宋体" w:cs="宋体"/>
          <w:b/>
          <w:color w:val="auto"/>
          <w:sz w:val="24"/>
          <w:highlight w:val="none"/>
        </w:rPr>
      </w:pPr>
    </w:p>
    <w:p w14:paraId="3DB9B42D">
      <w:pPr>
        <w:spacing w:after="120"/>
        <w:ind w:right="-154"/>
        <w:rPr>
          <w:rFonts w:ascii="宋体" w:hAnsi="宋体" w:cs="宋体"/>
          <w:b/>
          <w:color w:val="auto"/>
          <w:sz w:val="24"/>
          <w:highlight w:val="none"/>
        </w:rPr>
      </w:pPr>
    </w:p>
    <w:p w14:paraId="1582658B">
      <w:pPr>
        <w:spacing w:after="120"/>
        <w:ind w:right="-154"/>
        <w:rPr>
          <w:rFonts w:ascii="宋体" w:hAnsi="宋体" w:cs="宋体"/>
          <w:b/>
          <w:color w:val="auto"/>
          <w:sz w:val="24"/>
          <w:highlight w:val="none"/>
        </w:rPr>
      </w:pPr>
    </w:p>
    <w:p w14:paraId="65414953">
      <w:pPr>
        <w:spacing w:after="120"/>
        <w:ind w:right="-154"/>
        <w:rPr>
          <w:rFonts w:ascii="宋体" w:hAnsi="宋体" w:cs="宋体"/>
          <w:b/>
          <w:color w:val="auto"/>
          <w:sz w:val="24"/>
          <w:highlight w:val="none"/>
        </w:rPr>
      </w:pPr>
    </w:p>
    <w:p w14:paraId="722492C7">
      <w:pPr>
        <w:spacing w:after="120"/>
        <w:ind w:right="-154"/>
        <w:rPr>
          <w:rFonts w:ascii="宋体" w:hAnsi="宋体" w:cs="宋体"/>
          <w:b/>
          <w:color w:val="auto"/>
          <w:sz w:val="24"/>
          <w:highlight w:val="none"/>
        </w:rPr>
      </w:pPr>
    </w:p>
    <w:p w14:paraId="3C2B3156">
      <w:pPr>
        <w:spacing w:after="120"/>
        <w:ind w:right="-154"/>
        <w:rPr>
          <w:rFonts w:ascii="宋体" w:hAnsi="宋体" w:cs="宋体"/>
          <w:b/>
          <w:color w:val="auto"/>
          <w:sz w:val="24"/>
          <w:highlight w:val="none"/>
        </w:rPr>
      </w:pPr>
    </w:p>
    <w:p w14:paraId="545D68C1">
      <w:pPr>
        <w:spacing w:after="120"/>
        <w:ind w:right="-154"/>
        <w:rPr>
          <w:rFonts w:ascii="宋体" w:hAnsi="宋体" w:cs="宋体"/>
          <w:b/>
          <w:color w:val="auto"/>
          <w:sz w:val="24"/>
          <w:highlight w:val="none"/>
        </w:rPr>
      </w:pPr>
    </w:p>
    <w:p w14:paraId="6CC5EF13">
      <w:pPr>
        <w:spacing w:after="120"/>
        <w:ind w:right="-154"/>
        <w:rPr>
          <w:rFonts w:ascii="宋体" w:hAnsi="宋体" w:cs="宋体"/>
          <w:b/>
          <w:color w:val="auto"/>
          <w:sz w:val="24"/>
          <w:highlight w:val="none"/>
        </w:rPr>
      </w:pPr>
    </w:p>
    <w:p w14:paraId="01AA8F9C">
      <w:pPr>
        <w:pageBreakBefore/>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信用反担保保证函</w:t>
      </w:r>
    </w:p>
    <w:p w14:paraId="78D9363E">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695C4876">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059E1A65">
      <w:pPr>
        <w:spacing w:line="520" w:lineRule="exact"/>
        <w:ind w:firstLine="482"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7351B8FE">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42EABDC1">
      <w:pPr>
        <w:spacing w:line="5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583B1894">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3D660C4A">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786305AC">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0C1E3C39">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748226AC">
      <w:pPr>
        <w:spacing w:line="520" w:lineRule="exact"/>
        <w:ind w:left="560"/>
        <w:rPr>
          <w:rFonts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05E8C12D">
      <w:pPr>
        <w:spacing w:line="520" w:lineRule="exact"/>
        <w:rPr>
          <w:rFonts w:ascii="宋体" w:hAnsi="宋体" w:cs="宋体"/>
          <w:color w:val="auto"/>
          <w:sz w:val="24"/>
          <w:highlight w:val="none"/>
        </w:rPr>
      </w:pPr>
    </w:p>
    <w:p w14:paraId="7C421F20">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E742195">
      <w:pPr>
        <w:spacing w:line="520" w:lineRule="exact"/>
        <w:ind w:left="4680" w:hanging="4680" w:hangingChars="1950"/>
        <w:rPr>
          <w:rFonts w:ascii="宋体" w:hAnsi="宋体" w:cs="宋体"/>
          <w:color w:val="auto"/>
          <w:sz w:val="24"/>
          <w:highlight w:val="none"/>
        </w:rPr>
      </w:pPr>
    </w:p>
    <w:p w14:paraId="2DB2C9D4">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019BC19E">
      <w:pPr>
        <w:spacing w:line="360" w:lineRule="auto"/>
        <w:rPr>
          <w:rFonts w:ascii="宋体" w:hAnsi="宋体" w:cs="宋体"/>
          <w:color w:val="auto"/>
          <w:sz w:val="24"/>
          <w:highlight w:val="none"/>
        </w:rPr>
      </w:pPr>
    </w:p>
    <w:p w14:paraId="2863B1BA">
      <w:pPr>
        <w:spacing w:line="480" w:lineRule="exact"/>
        <w:ind w:left="5460" w:leftChars="2600" w:firstLine="361" w:firstLineChars="150"/>
        <w:rPr>
          <w:rFonts w:ascii="宋体" w:hAnsi="宋体" w:cs="宋体"/>
          <w:b/>
          <w:color w:val="auto"/>
          <w:sz w:val="24"/>
          <w:highlight w:val="none"/>
        </w:rPr>
      </w:pPr>
    </w:p>
    <w:p w14:paraId="5A0A7057">
      <w:pPr>
        <w:spacing w:line="480" w:lineRule="exact"/>
        <w:rPr>
          <w:rFonts w:ascii="宋体" w:hAnsi="宋体" w:cs="宋体"/>
          <w:b/>
          <w:color w:val="auto"/>
          <w:sz w:val="24"/>
          <w:highlight w:val="none"/>
        </w:rPr>
      </w:pPr>
    </w:p>
    <w:p w14:paraId="04AFDB2D">
      <w:pPr>
        <w:pStyle w:val="5"/>
        <w:keepNext w:val="0"/>
        <w:keepLines w:val="0"/>
        <w:pageBreakBefore/>
        <w:rPr>
          <w:rFonts w:ascii="宋体" w:hAnsi="宋体" w:eastAsia="宋体" w:cs="宋体"/>
          <w:b w:val="0"/>
          <w:color w:val="auto"/>
          <w:sz w:val="24"/>
          <w:highlight w:val="none"/>
        </w:rPr>
      </w:pPr>
      <w:bookmarkStart w:id="102" w:name="_Toc2489"/>
      <w:bookmarkStart w:id="103" w:name="_Toc24160"/>
      <w:bookmarkStart w:id="104" w:name="_Toc5708"/>
      <w:r>
        <w:rPr>
          <w:rFonts w:hint="eastAsia" w:ascii="宋体" w:hAnsi="宋体" w:eastAsia="宋体" w:cs="宋体"/>
          <w:b w:val="0"/>
          <w:color w:val="auto"/>
          <w:sz w:val="24"/>
          <w:highlight w:val="none"/>
        </w:rPr>
        <w:t>附件二十</w:t>
      </w:r>
      <w:r>
        <w:rPr>
          <w:rFonts w:hint="eastAsia" w:ascii="宋体" w:hAnsi="宋体" w:eastAsia="宋体" w:cs="宋体"/>
          <w:b w:val="0"/>
          <w:color w:val="auto"/>
          <w:sz w:val="24"/>
          <w:highlight w:val="none"/>
          <w:lang w:val="en-US" w:eastAsia="zh-CN"/>
        </w:rPr>
        <w:t>二</w:t>
      </w:r>
      <w:r>
        <w:rPr>
          <w:rFonts w:hint="eastAsia" w:ascii="宋体" w:hAnsi="宋体" w:eastAsia="宋体" w:cs="宋体"/>
          <w:b w:val="0"/>
          <w:color w:val="auto"/>
          <w:sz w:val="24"/>
          <w:highlight w:val="none"/>
        </w:rPr>
        <w:t>：质疑函范本</w:t>
      </w:r>
      <w:bookmarkEnd w:id="102"/>
      <w:bookmarkEnd w:id="103"/>
      <w:bookmarkEnd w:id="104"/>
    </w:p>
    <w:p w14:paraId="076EF0D9">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质疑函范本</w:t>
      </w:r>
    </w:p>
    <w:p w14:paraId="3845D699">
      <w:pPr>
        <w:adjustRightInd w:val="0"/>
        <w:snapToGrid w:val="0"/>
        <w:spacing w:beforeLines="100" w:line="360" w:lineRule="auto"/>
        <w:rPr>
          <w:rFonts w:asciiTheme="minorEastAsia" w:hAnsiTheme="minorEastAsia" w:eastAsiaTheme="minorEastAsia" w:cstheme="minorEastAsia"/>
          <w:bCs/>
          <w:color w:val="auto"/>
          <w:sz w:val="28"/>
          <w:szCs w:val="28"/>
          <w:highlight w:val="none"/>
        </w:rPr>
      </w:pPr>
      <w:r>
        <w:rPr>
          <w:rFonts w:hint="eastAsia" w:ascii="黑体" w:hAnsi="黑体" w:eastAsia="黑体" w:cs="仿宋"/>
          <w:bCs/>
          <w:color w:val="auto"/>
          <w:sz w:val="32"/>
          <w:szCs w:val="32"/>
          <w:highlight w:val="none"/>
        </w:rPr>
        <w:t>一</w:t>
      </w:r>
      <w:r>
        <w:rPr>
          <w:rFonts w:hint="eastAsia" w:asciiTheme="minorEastAsia" w:hAnsiTheme="minorEastAsia" w:eastAsiaTheme="minorEastAsia" w:cstheme="minorEastAsia"/>
          <w:bCs/>
          <w:color w:val="auto"/>
          <w:sz w:val="28"/>
          <w:szCs w:val="28"/>
          <w:highlight w:val="none"/>
        </w:rPr>
        <w:t>、质疑供应商基本信息</w:t>
      </w:r>
    </w:p>
    <w:p w14:paraId="7F7153CD">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质疑供应商：</w:t>
      </w:r>
      <w:r>
        <w:rPr>
          <w:rFonts w:hint="eastAsia" w:asciiTheme="minorEastAsia" w:hAnsiTheme="minorEastAsia" w:eastAsiaTheme="minorEastAsia" w:cstheme="minorEastAsia"/>
          <w:color w:val="auto"/>
          <w:sz w:val="28"/>
          <w:szCs w:val="28"/>
          <w:highlight w:val="none"/>
          <w:u w:val="dotted"/>
        </w:rPr>
        <w:t xml:space="preserve">                                        </w:t>
      </w:r>
    </w:p>
    <w:p w14:paraId="35A85EA7">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p>
    <w:p w14:paraId="77DF7DF0">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p>
    <w:p w14:paraId="32E28996">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授权代表：</w:t>
      </w:r>
      <w:r>
        <w:rPr>
          <w:rFonts w:hint="eastAsia" w:asciiTheme="minorEastAsia" w:hAnsiTheme="minorEastAsia" w:eastAsiaTheme="minorEastAsia" w:cstheme="minorEastAsia"/>
          <w:color w:val="auto"/>
          <w:sz w:val="28"/>
          <w:szCs w:val="28"/>
          <w:highlight w:val="none"/>
          <w:u w:val="dotted"/>
        </w:rPr>
        <w:t xml:space="preserve">                                          </w:t>
      </w:r>
    </w:p>
    <w:p w14:paraId="083C964B">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 xml:space="preserve"> </w:t>
      </w:r>
    </w:p>
    <w:p w14:paraId="6338199C">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地址： </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p>
    <w:p w14:paraId="765016BF">
      <w:pPr>
        <w:adjustRightInd w:val="0"/>
        <w:snapToGrid w:val="0"/>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二、质疑项目基本情况</w:t>
      </w:r>
    </w:p>
    <w:p w14:paraId="407A43A1">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质疑项目的名称：</w:t>
      </w:r>
      <w:r>
        <w:rPr>
          <w:rFonts w:hint="eastAsia" w:asciiTheme="minorEastAsia" w:hAnsiTheme="minorEastAsia" w:eastAsiaTheme="minorEastAsia" w:cstheme="minorEastAsia"/>
          <w:color w:val="auto"/>
          <w:sz w:val="28"/>
          <w:szCs w:val="28"/>
          <w:highlight w:val="none"/>
          <w:u w:val="dotted"/>
        </w:rPr>
        <w:t xml:space="preserve">                                      </w:t>
      </w:r>
    </w:p>
    <w:p w14:paraId="3F18FB39">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质疑项目的编号：</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包号：</w:t>
      </w:r>
      <w:r>
        <w:rPr>
          <w:rFonts w:hint="eastAsia" w:asciiTheme="minorEastAsia" w:hAnsiTheme="minorEastAsia" w:eastAsiaTheme="minorEastAsia" w:cstheme="minorEastAsia"/>
          <w:color w:val="auto"/>
          <w:sz w:val="28"/>
          <w:szCs w:val="28"/>
          <w:highlight w:val="none"/>
          <w:u w:val="dotted"/>
        </w:rPr>
        <w:t xml:space="preserve">                 </w:t>
      </w:r>
    </w:p>
    <w:p w14:paraId="722CB217">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采购人名称：</w:t>
      </w:r>
      <w:r>
        <w:rPr>
          <w:rFonts w:hint="eastAsia" w:asciiTheme="minorEastAsia" w:hAnsiTheme="minorEastAsia" w:eastAsiaTheme="minorEastAsia" w:cstheme="minorEastAsia"/>
          <w:color w:val="auto"/>
          <w:sz w:val="28"/>
          <w:szCs w:val="28"/>
          <w:highlight w:val="none"/>
          <w:u w:val="dotted"/>
        </w:rPr>
        <w:t xml:space="preserve">                                         </w:t>
      </w:r>
    </w:p>
    <w:p w14:paraId="1365C475">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采购文件获取日期：</w:t>
      </w:r>
      <w:r>
        <w:rPr>
          <w:rFonts w:hint="eastAsia" w:asciiTheme="minorEastAsia" w:hAnsiTheme="minorEastAsia" w:eastAsiaTheme="minorEastAsia" w:cstheme="minorEastAsia"/>
          <w:color w:val="auto"/>
          <w:sz w:val="28"/>
          <w:szCs w:val="28"/>
          <w:highlight w:val="none"/>
          <w:u w:val="dotted"/>
        </w:rPr>
        <w:t xml:space="preserve">                                           </w:t>
      </w:r>
    </w:p>
    <w:p w14:paraId="331109D6">
      <w:pPr>
        <w:adjustRightInd w:val="0"/>
        <w:snapToGrid w:val="0"/>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三、质疑事项具体内容</w:t>
      </w:r>
    </w:p>
    <w:p w14:paraId="67C8809B">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质疑事项1：</w:t>
      </w:r>
      <w:r>
        <w:rPr>
          <w:rFonts w:hint="eastAsia" w:asciiTheme="minorEastAsia" w:hAnsiTheme="minorEastAsia" w:eastAsiaTheme="minorEastAsia" w:cstheme="minorEastAsia"/>
          <w:color w:val="auto"/>
          <w:sz w:val="28"/>
          <w:szCs w:val="28"/>
          <w:highlight w:val="none"/>
          <w:u w:val="dotted"/>
        </w:rPr>
        <w:t xml:space="preserve">                                         </w:t>
      </w:r>
    </w:p>
    <w:p w14:paraId="49871FC7">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事实依据：</w:t>
      </w:r>
      <w:r>
        <w:rPr>
          <w:rFonts w:hint="eastAsia" w:asciiTheme="minorEastAsia" w:hAnsiTheme="minorEastAsia" w:eastAsiaTheme="minorEastAsia" w:cstheme="minorEastAsia"/>
          <w:color w:val="auto"/>
          <w:sz w:val="28"/>
          <w:szCs w:val="28"/>
          <w:highlight w:val="none"/>
          <w:u w:val="dotted"/>
        </w:rPr>
        <w:t xml:space="preserve">                                          </w:t>
      </w:r>
    </w:p>
    <w:p w14:paraId="266E0C7E">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dotted"/>
        </w:rPr>
        <w:t xml:space="preserve">                                                       </w:t>
      </w:r>
    </w:p>
    <w:p w14:paraId="198114B9">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法律依据：</w:t>
      </w:r>
      <w:r>
        <w:rPr>
          <w:rFonts w:hint="eastAsia" w:asciiTheme="minorEastAsia" w:hAnsiTheme="minorEastAsia" w:eastAsiaTheme="minorEastAsia" w:cstheme="minorEastAsia"/>
          <w:color w:val="auto"/>
          <w:sz w:val="28"/>
          <w:szCs w:val="28"/>
          <w:highlight w:val="none"/>
          <w:u w:val="dotted"/>
        </w:rPr>
        <w:t xml:space="preserve">                                          </w:t>
      </w:r>
    </w:p>
    <w:p w14:paraId="4F9D4557">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u w:val="dotted"/>
        </w:rPr>
        <w:t xml:space="preserve">                                                     </w:t>
      </w:r>
    </w:p>
    <w:p w14:paraId="52BDAA0E">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质疑事项2</w:t>
      </w:r>
    </w:p>
    <w:p w14:paraId="0EBFC789">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p>
    <w:p w14:paraId="0EC5608F">
      <w:pPr>
        <w:adjustRightInd w:val="0"/>
        <w:snapToGrid w:val="0"/>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四、与质疑事项相关的质疑请求</w:t>
      </w:r>
    </w:p>
    <w:p w14:paraId="47A4A6CC">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请求：</w:t>
      </w:r>
      <w:r>
        <w:rPr>
          <w:rFonts w:hint="eastAsia" w:asciiTheme="minorEastAsia" w:hAnsiTheme="minorEastAsia" w:eastAsiaTheme="minorEastAsia" w:cstheme="minorEastAsia"/>
          <w:color w:val="auto"/>
          <w:sz w:val="28"/>
          <w:szCs w:val="28"/>
          <w:highlight w:val="none"/>
          <w:u w:val="dotted"/>
        </w:rPr>
        <w:t xml:space="preserve">                                               </w:t>
      </w:r>
    </w:p>
    <w:p w14:paraId="10C5E510">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签字(签章)：                   公章：                      </w:t>
      </w:r>
    </w:p>
    <w:p w14:paraId="5975F6A0">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日期：    </w:t>
      </w:r>
    </w:p>
    <w:p w14:paraId="12A5693D">
      <w:pPr>
        <w:adjustRightInd w:val="0"/>
        <w:snapToGrid w:val="0"/>
        <w:spacing w:line="360" w:lineRule="auto"/>
        <w:rPr>
          <w:rFonts w:asciiTheme="minorEastAsia" w:hAnsiTheme="minorEastAsia" w:eastAsiaTheme="minorEastAsia" w:cstheme="minorEastAsia"/>
          <w:color w:val="auto"/>
          <w:sz w:val="28"/>
          <w:szCs w:val="28"/>
          <w:highlight w:val="none"/>
        </w:rPr>
      </w:pPr>
    </w:p>
    <w:p w14:paraId="7AD36706">
      <w:pPr>
        <w:adjustRightInd w:val="0"/>
        <w:snapToGrid w:val="0"/>
        <w:spacing w:line="360" w:lineRule="auto"/>
        <w:rPr>
          <w:rFonts w:asciiTheme="minorEastAsia" w:hAnsiTheme="minorEastAsia" w:eastAsiaTheme="minorEastAsia" w:cstheme="minorEastAsia"/>
          <w:color w:val="auto"/>
          <w:sz w:val="28"/>
          <w:szCs w:val="28"/>
          <w:highlight w:val="none"/>
        </w:rPr>
      </w:pPr>
    </w:p>
    <w:p w14:paraId="71324578">
      <w:pPr>
        <w:rPr>
          <w:rFonts w:asciiTheme="minorEastAsia" w:hAnsiTheme="minorEastAsia" w:eastAsiaTheme="minorEastAsia" w:cstheme="minorEastAsia"/>
          <w:b/>
          <w:color w:val="auto"/>
          <w:sz w:val="28"/>
          <w:szCs w:val="28"/>
          <w:highlight w:val="none"/>
        </w:rPr>
      </w:pPr>
    </w:p>
    <w:p w14:paraId="6866E9C3">
      <w:pPr>
        <w:rPr>
          <w:rFonts w:asciiTheme="minorEastAsia" w:hAnsiTheme="minorEastAsia" w:eastAsiaTheme="minorEastAsia" w:cstheme="minorEastAsia"/>
          <w:b/>
          <w:color w:val="auto"/>
          <w:sz w:val="28"/>
          <w:szCs w:val="28"/>
          <w:highlight w:val="none"/>
        </w:rPr>
      </w:pPr>
    </w:p>
    <w:p w14:paraId="0A7C615E">
      <w:pPr>
        <w:rPr>
          <w:rFonts w:asciiTheme="minorEastAsia" w:hAnsiTheme="minorEastAsia" w:eastAsiaTheme="minorEastAsia" w:cstheme="minorEastAsia"/>
          <w:b/>
          <w:color w:val="auto"/>
          <w:sz w:val="28"/>
          <w:szCs w:val="28"/>
          <w:highlight w:val="none"/>
        </w:rPr>
      </w:pPr>
    </w:p>
    <w:p w14:paraId="0AA3B563">
      <w:pPr>
        <w:rPr>
          <w:rFonts w:asciiTheme="minorEastAsia" w:hAnsiTheme="minorEastAsia" w:eastAsiaTheme="minorEastAsia" w:cstheme="minorEastAsia"/>
          <w:b/>
          <w:color w:val="auto"/>
          <w:sz w:val="28"/>
          <w:szCs w:val="28"/>
          <w:highlight w:val="none"/>
        </w:rPr>
      </w:pPr>
    </w:p>
    <w:p w14:paraId="0F867A74">
      <w:pPr>
        <w:rPr>
          <w:rFonts w:asciiTheme="minorEastAsia" w:hAnsiTheme="minorEastAsia" w:eastAsiaTheme="minorEastAsia" w:cstheme="minorEastAsia"/>
          <w:b/>
          <w:color w:val="auto"/>
          <w:sz w:val="28"/>
          <w:szCs w:val="28"/>
          <w:highlight w:val="none"/>
        </w:rPr>
      </w:pPr>
    </w:p>
    <w:p w14:paraId="7904C5A9">
      <w:pP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411389B6">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6026B3CD">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7BBE4888">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48BF9DE3">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32DE643F">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7976FA4B">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54AE2CD">
      <w:pPr>
        <w:widowControl/>
        <w:ind w:firstLine="480" w:firstLineChars="200"/>
        <w:jc w:val="left"/>
        <w:rPr>
          <w:rFonts w:asciiTheme="minorEastAsia" w:hAnsiTheme="minorEastAsia" w:eastAsiaTheme="minorEastAsia" w:cstheme="minorEastAsia"/>
          <w:color w:val="auto"/>
          <w:sz w:val="24"/>
          <w:highlight w:val="none"/>
        </w:rPr>
      </w:pPr>
    </w:p>
    <w:p w14:paraId="4DF5B19B">
      <w:pPr>
        <w:outlineLvl w:val="9"/>
        <w:rPr>
          <w:rFonts w:asciiTheme="minorEastAsia" w:hAnsiTheme="minorEastAsia" w:eastAsiaTheme="minorEastAsia" w:cstheme="minorEastAsia"/>
          <w:color w:val="auto"/>
          <w:sz w:val="20"/>
          <w:szCs w:val="22"/>
          <w:highlight w:val="none"/>
        </w:rPr>
      </w:pPr>
    </w:p>
    <w:p w14:paraId="67A62DB7">
      <w:pPr>
        <w:outlineLvl w:val="9"/>
        <w:rPr>
          <w:rFonts w:asciiTheme="minorEastAsia" w:hAnsiTheme="minorEastAsia" w:eastAsiaTheme="minorEastAsia" w:cstheme="minorEastAsia"/>
          <w:color w:val="auto"/>
          <w:sz w:val="28"/>
          <w:szCs w:val="28"/>
          <w:highlight w:val="none"/>
        </w:rPr>
      </w:pPr>
    </w:p>
    <w:p w14:paraId="609C92B8">
      <w:pPr>
        <w:outlineLvl w:val="9"/>
        <w:rPr>
          <w:rFonts w:asciiTheme="minorEastAsia" w:hAnsiTheme="minorEastAsia" w:eastAsiaTheme="minorEastAsia" w:cstheme="minorEastAsia"/>
          <w:color w:val="auto"/>
          <w:sz w:val="20"/>
          <w:szCs w:val="22"/>
          <w:highlight w:val="none"/>
        </w:rPr>
      </w:pPr>
    </w:p>
    <w:p w14:paraId="7C2E4F51">
      <w:pPr>
        <w:outlineLvl w:val="9"/>
        <w:rPr>
          <w:rFonts w:asciiTheme="minorEastAsia" w:hAnsiTheme="minorEastAsia" w:eastAsiaTheme="minorEastAsia" w:cstheme="minorEastAsia"/>
          <w:color w:val="auto"/>
          <w:sz w:val="28"/>
          <w:szCs w:val="28"/>
          <w:highlight w:val="none"/>
        </w:rPr>
      </w:pPr>
    </w:p>
    <w:p w14:paraId="613ECA6C">
      <w:pPr>
        <w:outlineLvl w:val="9"/>
        <w:rPr>
          <w:rFonts w:asciiTheme="minorEastAsia" w:hAnsiTheme="minorEastAsia" w:eastAsiaTheme="minorEastAsia" w:cstheme="minorEastAsia"/>
          <w:color w:val="auto"/>
          <w:sz w:val="20"/>
          <w:szCs w:val="22"/>
          <w:highlight w:val="none"/>
        </w:rPr>
      </w:pPr>
    </w:p>
    <w:p w14:paraId="1CD953E1">
      <w:pPr>
        <w:pStyle w:val="3"/>
        <w:ind w:firstLine="560"/>
        <w:outlineLvl w:val="9"/>
        <w:rPr>
          <w:rFonts w:asciiTheme="minorEastAsia" w:hAnsiTheme="minorEastAsia" w:eastAsiaTheme="minorEastAsia" w:cstheme="minorEastAsia"/>
          <w:color w:val="auto"/>
          <w:sz w:val="28"/>
          <w:szCs w:val="22"/>
          <w:highlight w:val="none"/>
        </w:rPr>
      </w:pPr>
    </w:p>
    <w:p w14:paraId="2180FD44">
      <w:pPr>
        <w:pStyle w:val="32"/>
        <w:outlineLvl w:val="9"/>
        <w:rPr>
          <w:rFonts w:asciiTheme="minorEastAsia" w:hAnsiTheme="minorEastAsia" w:eastAsiaTheme="minorEastAsia" w:cstheme="minorEastAsia"/>
          <w:color w:val="auto"/>
          <w:sz w:val="20"/>
          <w:szCs w:val="22"/>
          <w:highlight w:val="none"/>
        </w:rPr>
      </w:pPr>
    </w:p>
    <w:p w14:paraId="4D28212B">
      <w:pPr>
        <w:outlineLvl w:val="9"/>
        <w:rPr>
          <w:rFonts w:asciiTheme="minorEastAsia" w:hAnsiTheme="minorEastAsia" w:eastAsiaTheme="minorEastAsia" w:cstheme="minorEastAsia"/>
          <w:color w:val="auto"/>
          <w:sz w:val="20"/>
          <w:szCs w:val="22"/>
          <w:highlight w:val="none"/>
        </w:rPr>
      </w:pPr>
    </w:p>
    <w:p w14:paraId="68361BCB">
      <w:pPr>
        <w:pStyle w:val="5"/>
        <w:keepNext w:val="0"/>
        <w:keepLines w:val="0"/>
        <w:pageBreakBefore/>
        <w:rPr>
          <w:rFonts w:asciiTheme="minorEastAsia" w:hAnsiTheme="minorEastAsia" w:eastAsiaTheme="minorEastAsia" w:cstheme="minorEastAsia"/>
          <w:b w:val="0"/>
          <w:color w:val="auto"/>
          <w:sz w:val="24"/>
          <w:highlight w:val="none"/>
        </w:rPr>
      </w:pPr>
      <w:bookmarkStart w:id="105" w:name="_Toc18797"/>
      <w:bookmarkStart w:id="106" w:name="_Toc32533"/>
      <w:bookmarkStart w:id="107" w:name="_Toc28792"/>
      <w:r>
        <w:rPr>
          <w:rFonts w:hint="eastAsia" w:asciiTheme="minorEastAsia" w:hAnsiTheme="minorEastAsia" w:eastAsiaTheme="minorEastAsia" w:cstheme="minorEastAsia"/>
          <w:b w:val="0"/>
          <w:color w:val="auto"/>
          <w:sz w:val="24"/>
          <w:highlight w:val="none"/>
        </w:rPr>
        <w:t>附件二十</w:t>
      </w:r>
      <w:r>
        <w:rPr>
          <w:rFonts w:hint="eastAsia" w:asciiTheme="minorEastAsia" w:hAnsiTheme="minorEastAsia" w:eastAsiaTheme="minorEastAsia" w:cstheme="minorEastAsia"/>
          <w:b w:val="0"/>
          <w:color w:val="auto"/>
          <w:sz w:val="24"/>
          <w:highlight w:val="none"/>
          <w:lang w:val="en-US" w:eastAsia="zh-CN"/>
        </w:rPr>
        <w:t>三</w:t>
      </w:r>
      <w:r>
        <w:rPr>
          <w:rFonts w:hint="eastAsia" w:asciiTheme="minorEastAsia" w:hAnsiTheme="minorEastAsia" w:eastAsiaTheme="minorEastAsia" w:cstheme="minorEastAsia"/>
          <w:b w:val="0"/>
          <w:color w:val="auto"/>
          <w:sz w:val="24"/>
          <w:highlight w:val="none"/>
        </w:rPr>
        <w:t>：投诉书范本</w:t>
      </w:r>
      <w:bookmarkEnd w:id="105"/>
      <w:bookmarkEnd w:id="106"/>
      <w:bookmarkEnd w:id="107"/>
    </w:p>
    <w:p w14:paraId="46889191">
      <w:pPr>
        <w:jc w:val="center"/>
        <w:rPr>
          <w:rFonts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投诉书范本</w:t>
      </w:r>
    </w:p>
    <w:p w14:paraId="33091B36">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一、投诉基本情况</w:t>
      </w:r>
    </w:p>
    <w:p w14:paraId="4D6D9CBD">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投诉人：</w:t>
      </w:r>
      <w:r>
        <w:rPr>
          <w:rFonts w:hint="eastAsia" w:asciiTheme="minorEastAsia" w:hAnsiTheme="minorEastAsia" w:eastAsiaTheme="minorEastAsia" w:cstheme="minorEastAsia"/>
          <w:color w:val="auto"/>
          <w:sz w:val="28"/>
          <w:szCs w:val="28"/>
          <w:highlight w:val="none"/>
          <w:u w:val="dotted"/>
        </w:rPr>
        <w:t xml:space="preserve">                                               </w:t>
      </w:r>
    </w:p>
    <w:p w14:paraId="385FF02E">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30CF2C70">
      <w:pPr>
        <w:tabs>
          <w:tab w:val="left" w:pos="6510"/>
        </w:tabs>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法定代表人/主要负责人：</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 xml:space="preserve">  </w:t>
      </w:r>
    </w:p>
    <w:p w14:paraId="1F5925CA">
      <w:pPr>
        <w:tabs>
          <w:tab w:val="left" w:pos="6510"/>
        </w:tabs>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p>
    <w:p w14:paraId="0D0F96B3">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授权代表：</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p>
    <w:p w14:paraId="2EC49AAC">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dotted"/>
        </w:rPr>
        <w:t xml:space="preserve">                   </w:t>
      </w:r>
    </w:p>
    <w:p w14:paraId="6A0D2F3F">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被投诉人1：</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66BD883E">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04936FD6">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63DF21B2">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被投诉人2</w:t>
      </w:r>
    </w:p>
    <w:p w14:paraId="3AA605EA">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w:t>
      </w:r>
    </w:p>
    <w:p w14:paraId="4137311F">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相关供应商：</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36205CC3">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3E97D6F3">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4383C2AC">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二、投诉项目基本情况</w:t>
      </w:r>
    </w:p>
    <w:p w14:paraId="3C29EBD4">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采购项目名称：</w:t>
      </w:r>
      <w:r>
        <w:rPr>
          <w:rFonts w:hint="eastAsia" w:asciiTheme="minorEastAsia" w:hAnsiTheme="minorEastAsia" w:eastAsiaTheme="minorEastAsia" w:cstheme="minorEastAsia"/>
          <w:color w:val="auto"/>
          <w:sz w:val="28"/>
          <w:szCs w:val="28"/>
          <w:highlight w:val="none"/>
          <w:u w:val="dotted"/>
        </w:rPr>
        <w:t xml:space="preserve">                                        </w:t>
      </w:r>
    </w:p>
    <w:p w14:paraId="7A2FD4BA">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采购项目编号：</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包号：</w:t>
      </w:r>
      <w:r>
        <w:rPr>
          <w:rFonts w:hint="eastAsia" w:asciiTheme="minorEastAsia" w:hAnsiTheme="minorEastAsia" w:eastAsiaTheme="minorEastAsia" w:cstheme="minorEastAsia"/>
          <w:color w:val="auto"/>
          <w:sz w:val="28"/>
          <w:szCs w:val="28"/>
          <w:highlight w:val="none"/>
          <w:u w:val="dotted"/>
        </w:rPr>
        <w:t xml:space="preserve">              </w:t>
      </w:r>
    </w:p>
    <w:p w14:paraId="38AAB1CB">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采购人名称：</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4378E59A">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代理机构名称：</w:t>
      </w:r>
      <w:r>
        <w:rPr>
          <w:rFonts w:hint="eastAsia" w:asciiTheme="minorEastAsia" w:hAnsiTheme="minorEastAsia" w:eastAsiaTheme="minorEastAsia" w:cstheme="minorEastAsia"/>
          <w:color w:val="auto"/>
          <w:sz w:val="28"/>
          <w:szCs w:val="28"/>
          <w:highlight w:val="none"/>
          <w:u w:val="dotted"/>
        </w:rPr>
        <w:t xml:space="preserve">                                         </w:t>
      </w:r>
    </w:p>
    <w:p w14:paraId="7CFF1B67">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采购文件公告:</w:t>
      </w:r>
      <w:r>
        <w:rPr>
          <w:rFonts w:hint="eastAsia" w:asciiTheme="minorEastAsia" w:hAnsiTheme="minorEastAsia" w:eastAsiaTheme="minorEastAsia" w:cstheme="minorEastAsia"/>
          <w:color w:val="auto"/>
          <w:sz w:val="28"/>
          <w:szCs w:val="28"/>
          <w:highlight w:val="none"/>
          <w:u w:val="dotted"/>
        </w:rPr>
        <w:t xml:space="preserve">是/否 </w:t>
      </w:r>
      <w:r>
        <w:rPr>
          <w:rFonts w:hint="eastAsia" w:asciiTheme="minorEastAsia" w:hAnsiTheme="minorEastAsia" w:eastAsiaTheme="minorEastAsia" w:cstheme="minorEastAsia"/>
          <w:color w:val="auto"/>
          <w:sz w:val="28"/>
          <w:szCs w:val="28"/>
          <w:highlight w:val="none"/>
        </w:rPr>
        <w:t>公告期限：</w:t>
      </w:r>
      <w:r>
        <w:rPr>
          <w:rFonts w:hint="eastAsia" w:asciiTheme="minorEastAsia" w:hAnsiTheme="minorEastAsia" w:eastAsiaTheme="minorEastAsia" w:cstheme="minorEastAsia"/>
          <w:color w:val="auto"/>
          <w:sz w:val="28"/>
          <w:szCs w:val="28"/>
          <w:highlight w:val="none"/>
          <w:u w:val="dotted"/>
        </w:rPr>
        <w:t xml:space="preserve">                                 </w:t>
      </w:r>
    </w:p>
    <w:p w14:paraId="772B3D49">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采购结果公告:</w:t>
      </w:r>
      <w:r>
        <w:rPr>
          <w:rFonts w:hint="eastAsia" w:asciiTheme="minorEastAsia" w:hAnsiTheme="minorEastAsia" w:eastAsiaTheme="minorEastAsia" w:cstheme="minorEastAsia"/>
          <w:color w:val="auto"/>
          <w:sz w:val="28"/>
          <w:szCs w:val="28"/>
          <w:highlight w:val="none"/>
          <w:u w:val="dotted"/>
        </w:rPr>
        <w:t xml:space="preserve">是/否 </w:t>
      </w:r>
      <w:r>
        <w:rPr>
          <w:rFonts w:hint="eastAsia" w:asciiTheme="minorEastAsia" w:hAnsiTheme="minorEastAsia" w:eastAsiaTheme="minorEastAsia" w:cstheme="minorEastAsia"/>
          <w:color w:val="auto"/>
          <w:sz w:val="28"/>
          <w:szCs w:val="28"/>
          <w:highlight w:val="none"/>
        </w:rPr>
        <w:t>公告期限：</w:t>
      </w:r>
      <w:r>
        <w:rPr>
          <w:rFonts w:hint="eastAsia" w:asciiTheme="minorEastAsia" w:hAnsiTheme="minorEastAsia" w:eastAsiaTheme="minorEastAsia" w:cstheme="minorEastAsia"/>
          <w:color w:val="auto"/>
          <w:sz w:val="28"/>
          <w:szCs w:val="28"/>
          <w:highlight w:val="none"/>
          <w:u w:val="dotted"/>
        </w:rPr>
        <w:t xml:space="preserve">                        </w:t>
      </w:r>
    </w:p>
    <w:p w14:paraId="09588E93">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三、质疑基本情况</w:t>
      </w:r>
    </w:p>
    <w:p w14:paraId="2874EEE4">
      <w:pPr>
        <w:ind w:firstLine="560" w:firstLineChars="200"/>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投诉人于</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日,向</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提出质疑，质疑事项为：</w:t>
      </w:r>
      <w:r>
        <w:rPr>
          <w:rFonts w:hint="eastAsia" w:asciiTheme="minorEastAsia" w:hAnsiTheme="minorEastAsia" w:eastAsiaTheme="minorEastAsia" w:cstheme="minorEastAsia"/>
          <w:color w:val="auto"/>
          <w:sz w:val="28"/>
          <w:szCs w:val="28"/>
          <w:highlight w:val="none"/>
          <w:u w:val="dotted"/>
        </w:rPr>
        <w:t xml:space="preserve">                                </w:t>
      </w:r>
    </w:p>
    <w:p w14:paraId="6FA9B135">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 xml:space="preserve">  </w:t>
      </w:r>
    </w:p>
    <w:p w14:paraId="444AF739">
      <w:pPr>
        <w:ind w:firstLine="420" w:firstLineChars="15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dotted"/>
        </w:rPr>
        <w:t>采购人/代理机构</w:t>
      </w:r>
      <w:r>
        <w:rPr>
          <w:rFonts w:hint="eastAsia" w:asciiTheme="minorEastAsia" w:hAnsiTheme="minorEastAsia" w:eastAsiaTheme="minorEastAsia" w:cstheme="minorEastAsia"/>
          <w:color w:val="auto"/>
          <w:sz w:val="28"/>
          <w:szCs w:val="28"/>
          <w:highlight w:val="none"/>
        </w:rPr>
        <w:t>于</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日,就质疑事项作出了答复/没有在法定期限内作出答复。</w:t>
      </w:r>
    </w:p>
    <w:p w14:paraId="3736B4B1">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四、投诉事项具体内容</w:t>
      </w:r>
    </w:p>
    <w:p w14:paraId="7E057CCC">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投诉事项 1：</w:t>
      </w:r>
      <w:r>
        <w:rPr>
          <w:rFonts w:hint="eastAsia" w:asciiTheme="minorEastAsia" w:hAnsiTheme="minorEastAsia" w:eastAsiaTheme="minorEastAsia" w:cstheme="minorEastAsia"/>
          <w:color w:val="auto"/>
          <w:sz w:val="28"/>
          <w:szCs w:val="28"/>
          <w:highlight w:val="none"/>
          <w:u w:val="dotted"/>
        </w:rPr>
        <w:t xml:space="preserve">                                       </w:t>
      </w:r>
    </w:p>
    <w:p w14:paraId="1AAED778">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事实依据：</w:t>
      </w:r>
      <w:r>
        <w:rPr>
          <w:rFonts w:hint="eastAsia" w:asciiTheme="minorEastAsia" w:hAnsiTheme="minorEastAsia" w:eastAsiaTheme="minorEastAsia" w:cstheme="minorEastAsia"/>
          <w:color w:val="auto"/>
          <w:sz w:val="28"/>
          <w:szCs w:val="28"/>
          <w:highlight w:val="none"/>
          <w:u w:val="dotted"/>
        </w:rPr>
        <w:t xml:space="preserve">                                         </w:t>
      </w:r>
    </w:p>
    <w:p w14:paraId="2CF3F00D">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u w:val="dotted"/>
        </w:rPr>
        <w:t xml:space="preserve">                                                      </w:t>
      </w:r>
    </w:p>
    <w:p w14:paraId="0EF43B22">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法律依据：</w:t>
      </w:r>
      <w:r>
        <w:rPr>
          <w:rFonts w:hint="eastAsia" w:asciiTheme="minorEastAsia" w:hAnsiTheme="minorEastAsia" w:eastAsiaTheme="minorEastAsia" w:cstheme="minorEastAsia"/>
          <w:color w:val="auto"/>
          <w:sz w:val="28"/>
          <w:szCs w:val="28"/>
          <w:highlight w:val="none"/>
          <w:u w:val="dotted"/>
        </w:rPr>
        <w:t xml:space="preserve">                                          </w:t>
      </w:r>
    </w:p>
    <w:p w14:paraId="776B9B5B">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u w:val="dotted"/>
        </w:rPr>
        <w:t xml:space="preserve">                                                      </w:t>
      </w:r>
    </w:p>
    <w:p w14:paraId="0FD62BA4">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投诉事项2</w:t>
      </w:r>
    </w:p>
    <w:p w14:paraId="5EABA44C">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w:t>
      </w:r>
    </w:p>
    <w:p w14:paraId="6CBFC4D3">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五、与投诉事项相关的投诉请求</w:t>
      </w:r>
    </w:p>
    <w:p w14:paraId="76B1CAFB">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请求：</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 xml:space="preserve"> </w:t>
      </w:r>
    </w:p>
    <w:p w14:paraId="1A7B5BCD">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 xml:space="preserve">                                                                                                    </w:t>
      </w:r>
    </w:p>
    <w:p w14:paraId="7D05F6C4">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签字(签章)：                   公章：                      </w:t>
      </w:r>
    </w:p>
    <w:p w14:paraId="7A4FB39E">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日期：    </w:t>
      </w:r>
    </w:p>
    <w:p w14:paraId="090CEBA6">
      <w:pPr>
        <w:rPr>
          <w:rFonts w:asciiTheme="minorEastAsia" w:hAnsiTheme="minorEastAsia" w:eastAsiaTheme="minorEastAsia" w:cstheme="minorEastAsia"/>
          <w:b/>
          <w:color w:val="auto"/>
          <w:sz w:val="28"/>
          <w:szCs w:val="28"/>
          <w:highlight w:val="none"/>
        </w:rPr>
      </w:pPr>
    </w:p>
    <w:p w14:paraId="0949B416">
      <w:pPr>
        <w:rPr>
          <w:rFonts w:asciiTheme="minorEastAsia" w:hAnsiTheme="minorEastAsia" w:eastAsiaTheme="minorEastAsia" w:cstheme="minorEastAsia"/>
          <w:b/>
          <w:color w:val="auto"/>
          <w:sz w:val="28"/>
          <w:szCs w:val="28"/>
          <w:highlight w:val="none"/>
        </w:rPr>
      </w:pPr>
    </w:p>
    <w:p w14:paraId="1AD32025">
      <w:pPr>
        <w:rPr>
          <w:rFonts w:asciiTheme="minorEastAsia" w:hAnsiTheme="minorEastAsia" w:eastAsiaTheme="minorEastAsia" w:cstheme="minorEastAsia"/>
          <w:b/>
          <w:color w:val="auto"/>
          <w:sz w:val="28"/>
          <w:szCs w:val="28"/>
          <w:highlight w:val="none"/>
        </w:rPr>
      </w:pPr>
    </w:p>
    <w:p w14:paraId="652B2889">
      <w:pPr>
        <w:rPr>
          <w:rFonts w:asciiTheme="minorEastAsia" w:hAnsiTheme="minorEastAsia" w:eastAsiaTheme="minorEastAsia" w:cstheme="minorEastAsia"/>
          <w:b/>
          <w:color w:val="auto"/>
          <w:sz w:val="28"/>
          <w:szCs w:val="28"/>
          <w:highlight w:val="none"/>
        </w:rPr>
      </w:pPr>
    </w:p>
    <w:p w14:paraId="233A0038">
      <w:pPr>
        <w:rPr>
          <w:rFonts w:asciiTheme="minorEastAsia" w:hAnsiTheme="minorEastAsia" w:eastAsiaTheme="minorEastAsia" w:cstheme="minorEastAsia"/>
          <w:b/>
          <w:color w:val="auto"/>
          <w:sz w:val="28"/>
          <w:szCs w:val="28"/>
          <w:highlight w:val="none"/>
        </w:rPr>
      </w:pPr>
    </w:p>
    <w:p w14:paraId="04EC14D3">
      <w:pP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3C801D3C">
      <w:pPr>
        <w:widowControl/>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0A188948">
      <w:pPr>
        <w:widowControl/>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35BC4F6E">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74987E4C">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031D8A63">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1F08C985">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35A63C18">
      <w:pPr>
        <w:widowControl/>
        <w:ind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r>
        <w:rPr>
          <w:rFonts w:hint="eastAsia" w:asciiTheme="minorEastAsia" w:hAnsiTheme="minorEastAsia" w:eastAsiaTheme="minorEastAsia" w:cstheme="minorEastAsia"/>
          <w:color w:val="auto"/>
          <w:sz w:val="24"/>
          <w:highlight w:val="none"/>
          <w:lang w:eastAsia="zh-CN"/>
        </w:rPr>
        <w:t>。</w:t>
      </w:r>
    </w:p>
    <w:p w14:paraId="40A56C03">
      <w:pPr>
        <w:bidi w:val="0"/>
        <w:rPr>
          <w:rFonts w:hint="eastAsia" w:ascii="Times New Roman" w:hAnsi="Times New Roman" w:eastAsia="宋体" w:cs="Times New Roman"/>
          <w:kern w:val="2"/>
          <w:sz w:val="21"/>
          <w:szCs w:val="24"/>
          <w:lang w:val="en-US" w:eastAsia="zh-CN" w:bidi="ar-SA"/>
        </w:rPr>
      </w:pPr>
    </w:p>
    <w:p w14:paraId="4A006866">
      <w:pPr>
        <w:bidi w:val="0"/>
        <w:rPr>
          <w:rFonts w:hint="eastAsia"/>
          <w:lang w:val="en-US" w:eastAsia="zh-CN"/>
        </w:rPr>
      </w:pPr>
    </w:p>
    <w:p w14:paraId="52C5D1C4">
      <w:pPr>
        <w:bidi w:val="0"/>
        <w:rPr>
          <w:rFonts w:hint="eastAsia"/>
          <w:lang w:val="en-US" w:eastAsia="zh-CN"/>
        </w:rPr>
      </w:pPr>
    </w:p>
    <w:p w14:paraId="0C72F647">
      <w:pPr>
        <w:bidi w:val="0"/>
        <w:rPr>
          <w:rFonts w:hint="eastAsia"/>
          <w:lang w:val="en-US" w:eastAsia="zh-CN"/>
        </w:rPr>
      </w:pPr>
    </w:p>
    <w:p w14:paraId="6CD44E0C">
      <w:pPr>
        <w:bidi w:val="0"/>
        <w:rPr>
          <w:rFonts w:hint="eastAsia"/>
          <w:lang w:val="en-US" w:eastAsia="zh-CN"/>
        </w:rPr>
      </w:pPr>
    </w:p>
    <w:p w14:paraId="7F28FA4D">
      <w:pPr>
        <w:bidi w:val="0"/>
        <w:rPr>
          <w:rFonts w:hint="eastAsia"/>
          <w:lang w:val="en-US" w:eastAsia="zh-CN"/>
        </w:rPr>
      </w:pPr>
    </w:p>
    <w:p w14:paraId="2804B47C">
      <w:pPr>
        <w:bidi w:val="0"/>
        <w:rPr>
          <w:rFonts w:hint="eastAsia"/>
          <w:lang w:val="en-US" w:eastAsia="zh-CN"/>
        </w:rPr>
      </w:pPr>
    </w:p>
    <w:p w14:paraId="7AB179C9">
      <w:pPr>
        <w:bidi w:val="0"/>
        <w:rPr>
          <w:rFonts w:hint="eastAsia"/>
          <w:lang w:val="en-US" w:eastAsia="zh-CN"/>
        </w:rPr>
      </w:pPr>
    </w:p>
    <w:p w14:paraId="0380799D">
      <w:pPr>
        <w:bidi w:val="0"/>
        <w:rPr>
          <w:rFonts w:hint="eastAsia"/>
          <w:lang w:val="en-US" w:eastAsia="zh-CN"/>
        </w:rPr>
      </w:pPr>
    </w:p>
    <w:p w14:paraId="72CC9AEE">
      <w:pPr>
        <w:bidi w:val="0"/>
        <w:rPr>
          <w:rFonts w:hint="eastAsia"/>
          <w:lang w:val="en-US" w:eastAsia="zh-CN"/>
        </w:rPr>
      </w:pPr>
    </w:p>
    <w:p w14:paraId="5FD7B033">
      <w:pPr>
        <w:bidi w:val="0"/>
        <w:rPr>
          <w:rFonts w:hint="eastAsia"/>
          <w:lang w:val="en-US" w:eastAsia="zh-CN"/>
        </w:rPr>
      </w:pPr>
    </w:p>
    <w:p w14:paraId="5F1845A6">
      <w:pPr>
        <w:bidi w:val="0"/>
        <w:rPr>
          <w:rFonts w:hint="eastAsia"/>
          <w:lang w:val="en-US" w:eastAsia="zh-CN"/>
        </w:rPr>
      </w:pPr>
    </w:p>
    <w:p w14:paraId="6E49C832">
      <w:pPr>
        <w:bidi w:val="0"/>
        <w:rPr>
          <w:rFonts w:hint="eastAsia"/>
          <w:lang w:val="en-US" w:eastAsia="zh-CN"/>
        </w:rPr>
      </w:pPr>
    </w:p>
    <w:p w14:paraId="195CFFF4">
      <w:pPr>
        <w:bidi w:val="0"/>
        <w:rPr>
          <w:rFonts w:hint="eastAsia"/>
          <w:lang w:val="en-US" w:eastAsia="zh-CN"/>
        </w:rPr>
      </w:pPr>
    </w:p>
    <w:p w14:paraId="0CB1BD90">
      <w:pPr>
        <w:tabs>
          <w:tab w:val="left" w:pos="502"/>
        </w:tabs>
        <w:bidi w:val="0"/>
        <w:jc w:val="left"/>
        <w:rPr>
          <w:rFonts w:hint="eastAsia"/>
          <w:lang w:val="en-US" w:eastAsia="zh-CN"/>
        </w:rPr>
        <w:sectPr>
          <w:headerReference r:id="rId8" w:type="first"/>
          <w:footerReference r:id="rId10" w:type="first"/>
          <w:headerReference r:id="rId7" w:type="default"/>
          <w:footerReference r:id="rId9" w:type="default"/>
          <w:pgSz w:w="11906" w:h="16838"/>
          <w:pgMar w:top="851" w:right="1247" w:bottom="1021" w:left="1247" w:header="851" w:footer="907" w:gutter="0"/>
          <w:pgNumType w:fmt="decimal"/>
          <w:cols w:space="720" w:num="1"/>
          <w:titlePg/>
          <w:docGrid w:linePitch="312" w:charSpace="0"/>
        </w:sectPr>
      </w:pPr>
    </w:p>
    <w:p w14:paraId="22C2C4A4">
      <w:pPr>
        <w:pStyle w:val="14"/>
        <w:ind w:left="0" w:leftChars="0" w:firstLine="0" w:firstLineChars="0"/>
        <w:rPr>
          <w:rFonts w:hint="default"/>
          <w:sz w:val="24"/>
          <w:szCs w:val="24"/>
          <w:lang w:val="en-US" w:eastAsia="zh-CN"/>
        </w:rPr>
      </w:pPr>
      <w:r>
        <w:rPr>
          <w:rFonts w:hint="default"/>
          <w:sz w:val="24"/>
          <w:szCs w:val="24"/>
          <w:lang w:val="en-US" w:eastAsia="zh-CN"/>
        </w:rPr>
        <w:t>附件二十</w:t>
      </w:r>
      <w:r>
        <w:rPr>
          <w:rFonts w:hint="eastAsia"/>
          <w:sz w:val="24"/>
          <w:szCs w:val="24"/>
          <w:lang w:val="en-US" w:eastAsia="zh-CN"/>
        </w:rPr>
        <w:t>四</w:t>
      </w:r>
      <w:r>
        <w:rPr>
          <w:rFonts w:hint="default"/>
          <w:sz w:val="24"/>
          <w:szCs w:val="24"/>
          <w:lang w:val="en-US" w:eastAsia="zh-CN"/>
        </w:rPr>
        <w:t>：图纸</w:t>
      </w:r>
    </w:p>
    <w:p w14:paraId="7F783E42">
      <w:pPr>
        <w:pStyle w:val="14"/>
        <w:ind w:left="0" w:leftChars="0" w:firstLine="0" w:firstLineChars="0"/>
        <w:rPr>
          <w:rFonts w:hint="default"/>
          <w:lang w:val="en-US" w:eastAsia="zh-CN"/>
        </w:rPr>
      </w:pPr>
    </w:p>
    <w:p w14:paraId="719E847D">
      <w:pPr>
        <w:pStyle w:val="14"/>
        <w:ind w:left="0" w:leftChars="0" w:firstLine="0" w:firstLineChars="0"/>
        <w:rPr>
          <w:rFonts w:hint="default"/>
          <w:sz w:val="30"/>
          <w:szCs w:val="30"/>
          <w:highlight w:val="none"/>
          <w:lang w:val="en-US" w:eastAsia="zh-CN"/>
        </w:rPr>
      </w:pPr>
      <w:r>
        <w:rPr>
          <w:rFonts w:hint="eastAsia"/>
          <w:lang w:val="en-US" w:eastAsia="zh-CN"/>
        </w:rPr>
        <w:t xml:space="preserve">                 </w:t>
      </w:r>
      <w:r>
        <w:rPr>
          <w:rFonts w:hint="eastAsia"/>
          <w:highlight w:val="none"/>
          <w:lang w:val="en-US" w:eastAsia="zh-CN"/>
        </w:rPr>
        <w:t xml:space="preserve">              </w:t>
      </w:r>
      <w:r>
        <w:rPr>
          <w:rFonts w:hint="eastAsia"/>
          <w:sz w:val="30"/>
          <w:szCs w:val="30"/>
          <w:highlight w:val="none"/>
          <w:lang w:val="en-US" w:eastAsia="zh-CN"/>
        </w:rPr>
        <w:t xml:space="preserve">    图纸目录</w:t>
      </w:r>
    </w:p>
    <w:p w14:paraId="098991A8">
      <w:pPr>
        <w:pStyle w:val="14"/>
        <w:ind w:left="0" w:leftChars="0" w:firstLine="0" w:firstLineChars="0"/>
        <w:rPr>
          <w:rFonts w:hint="default"/>
          <w:highlight w:val="none"/>
          <w:lang w:val="en-US"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860"/>
        <w:gridCol w:w="5566"/>
      </w:tblGrid>
      <w:tr w14:paraId="6FE5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6" w:type="dxa"/>
            <w:noWrap w:val="0"/>
            <w:vAlign w:val="top"/>
          </w:tcPr>
          <w:p w14:paraId="6065B17B">
            <w:pPr>
              <w:jc w:val="center"/>
              <w:rPr>
                <w:sz w:val="24"/>
                <w:highlight w:val="none"/>
              </w:rPr>
            </w:pPr>
            <w:r>
              <w:rPr>
                <w:rFonts w:hint="eastAsia"/>
                <w:sz w:val="24"/>
                <w:highlight w:val="none"/>
              </w:rPr>
              <w:t>序号</w:t>
            </w:r>
          </w:p>
        </w:tc>
        <w:tc>
          <w:tcPr>
            <w:tcW w:w="1860" w:type="dxa"/>
            <w:noWrap w:val="0"/>
            <w:vAlign w:val="top"/>
          </w:tcPr>
          <w:p w14:paraId="03283158">
            <w:pPr>
              <w:jc w:val="center"/>
              <w:rPr>
                <w:sz w:val="24"/>
                <w:highlight w:val="none"/>
              </w:rPr>
            </w:pPr>
            <w:r>
              <w:rPr>
                <w:rFonts w:hint="eastAsia"/>
                <w:sz w:val="24"/>
                <w:highlight w:val="none"/>
              </w:rPr>
              <w:t>图号</w:t>
            </w:r>
          </w:p>
        </w:tc>
        <w:tc>
          <w:tcPr>
            <w:tcW w:w="5566" w:type="dxa"/>
            <w:noWrap w:val="0"/>
            <w:vAlign w:val="top"/>
          </w:tcPr>
          <w:p w14:paraId="79636220">
            <w:pPr>
              <w:jc w:val="center"/>
              <w:rPr>
                <w:sz w:val="24"/>
                <w:highlight w:val="none"/>
              </w:rPr>
            </w:pPr>
            <w:r>
              <w:rPr>
                <w:rFonts w:hint="eastAsia"/>
                <w:sz w:val="24"/>
                <w:highlight w:val="none"/>
              </w:rPr>
              <w:t>图名</w:t>
            </w:r>
          </w:p>
        </w:tc>
      </w:tr>
      <w:tr w14:paraId="23F7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08199E45">
            <w:pPr>
              <w:jc w:val="left"/>
              <w:rPr>
                <w:rFonts w:hint="eastAsia"/>
                <w:b w:val="0"/>
                <w:bCs w:val="0"/>
                <w:sz w:val="24"/>
                <w:highlight w:val="none"/>
              </w:rPr>
            </w:pPr>
            <w:r>
              <w:rPr>
                <w:rFonts w:hint="eastAsia"/>
                <w:b w:val="0"/>
                <w:bCs w:val="0"/>
                <w:sz w:val="24"/>
                <w:highlight w:val="none"/>
              </w:rPr>
              <w:t>1</w:t>
            </w:r>
          </w:p>
        </w:tc>
        <w:tc>
          <w:tcPr>
            <w:tcW w:w="1860" w:type="dxa"/>
            <w:noWrap w:val="0"/>
            <w:vAlign w:val="center"/>
          </w:tcPr>
          <w:p w14:paraId="32373F68">
            <w:pPr>
              <w:jc w:val="left"/>
              <w:rPr>
                <w:rFonts w:hint="default" w:eastAsia="宋体"/>
                <w:b w:val="0"/>
                <w:bCs w:val="0"/>
                <w:sz w:val="24"/>
                <w:highlight w:val="none"/>
                <w:lang w:val="en-US" w:eastAsia="zh-CN"/>
              </w:rPr>
            </w:pPr>
            <w:r>
              <w:rPr>
                <w:rFonts w:hint="eastAsia"/>
                <w:b w:val="0"/>
                <w:bCs w:val="0"/>
                <w:sz w:val="24"/>
                <w:highlight w:val="none"/>
                <w:lang w:val="en-US" w:eastAsia="zh-CN"/>
              </w:rPr>
              <w:t>金塘-施-01</w:t>
            </w:r>
          </w:p>
        </w:tc>
        <w:tc>
          <w:tcPr>
            <w:tcW w:w="5566" w:type="dxa"/>
            <w:noWrap w:val="0"/>
            <w:vAlign w:val="top"/>
          </w:tcPr>
          <w:p w14:paraId="3C8E09E1">
            <w:pPr>
              <w:jc w:val="left"/>
              <w:rPr>
                <w:rFonts w:hint="default" w:eastAsia="宋体"/>
                <w:b w:val="0"/>
                <w:bCs w:val="0"/>
                <w:sz w:val="24"/>
                <w:highlight w:val="none"/>
                <w:lang w:val="en-US" w:eastAsia="zh-CN"/>
              </w:rPr>
            </w:pPr>
            <w:r>
              <w:rPr>
                <w:rFonts w:hint="eastAsia"/>
                <w:b w:val="0"/>
                <w:bCs w:val="0"/>
                <w:sz w:val="24"/>
                <w:highlight w:val="none"/>
                <w:lang w:val="en-US" w:eastAsia="zh-CN"/>
              </w:rPr>
              <w:t>施工图设计总说明</w:t>
            </w:r>
          </w:p>
        </w:tc>
      </w:tr>
      <w:tr w14:paraId="3292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96" w:type="dxa"/>
            <w:noWrap w:val="0"/>
            <w:vAlign w:val="center"/>
          </w:tcPr>
          <w:p w14:paraId="0C25001A">
            <w:pPr>
              <w:jc w:val="left"/>
              <w:rPr>
                <w:rFonts w:hint="eastAsia"/>
                <w:b w:val="0"/>
                <w:bCs w:val="0"/>
                <w:sz w:val="24"/>
                <w:highlight w:val="none"/>
              </w:rPr>
            </w:pPr>
            <w:r>
              <w:rPr>
                <w:rFonts w:hint="eastAsia"/>
                <w:b w:val="0"/>
                <w:bCs w:val="0"/>
                <w:sz w:val="24"/>
                <w:highlight w:val="none"/>
              </w:rPr>
              <w:t>2</w:t>
            </w:r>
          </w:p>
        </w:tc>
        <w:tc>
          <w:tcPr>
            <w:tcW w:w="1860" w:type="dxa"/>
            <w:noWrap w:val="0"/>
            <w:vAlign w:val="center"/>
          </w:tcPr>
          <w:p w14:paraId="67C12517">
            <w:pPr>
              <w:jc w:val="left"/>
              <w:rPr>
                <w:rFonts w:hint="default"/>
                <w:b w:val="0"/>
                <w:bCs w:val="0"/>
                <w:sz w:val="24"/>
                <w:highlight w:val="none"/>
                <w:lang w:val="en-US"/>
              </w:rPr>
            </w:pPr>
            <w:r>
              <w:rPr>
                <w:rFonts w:hint="eastAsia"/>
                <w:b w:val="0"/>
                <w:bCs w:val="0"/>
                <w:sz w:val="24"/>
                <w:highlight w:val="none"/>
                <w:lang w:val="en-US" w:eastAsia="zh-CN"/>
              </w:rPr>
              <w:t>金塘-施-02</w:t>
            </w:r>
          </w:p>
        </w:tc>
        <w:tc>
          <w:tcPr>
            <w:tcW w:w="5566" w:type="dxa"/>
            <w:noWrap w:val="0"/>
            <w:vAlign w:val="top"/>
          </w:tcPr>
          <w:p w14:paraId="7B8E6E13">
            <w:pPr>
              <w:jc w:val="left"/>
              <w:rPr>
                <w:rFonts w:hint="default" w:eastAsia="宋体"/>
                <w:b w:val="0"/>
                <w:bCs w:val="0"/>
                <w:sz w:val="24"/>
                <w:highlight w:val="none"/>
                <w:lang w:val="en-US" w:eastAsia="zh-CN"/>
              </w:rPr>
            </w:pPr>
            <w:r>
              <w:rPr>
                <w:rFonts w:hint="eastAsia"/>
                <w:b w:val="0"/>
                <w:bCs w:val="0"/>
                <w:sz w:val="24"/>
                <w:highlight w:val="none"/>
                <w:lang w:val="en-US" w:eastAsia="zh-CN"/>
              </w:rPr>
              <w:t>山塘现状平面图</w:t>
            </w:r>
          </w:p>
        </w:tc>
      </w:tr>
      <w:tr w14:paraId="16B2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166EB0F6">
            <w:pPr>
              <w:jc w:val="left"/>
              <w:rPr>
                <w:rFonts w:hint="eastAsia"/>
                <w:b w:val="0"/>
                <w:bCs w:val="0"/>
                <w:sz w:val="24"/>
                <w:highlight w:val="none"/>
              </w:rPr>
            </w:pPr>
            <w:r>
              <w:rPr>
                <w:rFonts w:hint="eastAsia"/>
                <w:b w:val="0"/>
                <w:bCs w:val="0"/>
                <w:sz w:val="24"/>
                <w:highlight w:val="none"/>
              </w:rPr>
              <w:t>3</w:t>
            </w:r>
          </w:p>
        </w:tc>
        <w:tc>
          <w:tcPr>
            <w:tcW w:w="1860" w:type="dxa"/>
            <w:noWrap w:val="0"/>
            <w:vAlign w:val="center"/>
          </w:tcPr>
          <w:p w14:paraId="4BF3D8D6">
            <w:pPr>
              <w:jc w:val="left"/>
              <w:rPr>
                <w:rFonts w:hint="eastAsia"/>
                <w:b w:val="0"/>
                <w:bCs w:val="0"/>
                <w:sz w:val="24"/>
                <w:highlight w:val="none"/>
              </w:rPr>
            </w:pPr>
            <w:r>
              <w:rPr>
                <w:rFonts w:hint="eastAsia"/>
                <w:b w:val="0"/>
                <w:bCs w:val="0"/>
                <w:sz w:val="24"/>
                <w:highlight w:val="none"/>
                <w:lang w:val="en-US" w:eastAsia="zh-CN"/>
              </w:rPr>
              <w:t>金塘-施-03</w:t>
            </w:r>
          </w:p>
        </w:tc>
        <w:tc>
          <w:tcPr>
            <w:tcW w:w="5566" w:type="dxa"/>
            <w:noWrap w:val="0"/>
            <w:vAlign w:val="top"/>
          </w:tcPr>
          <w:p w14:paraId="6981A620">
            <w:pPr>
              <w:jc w:val="left"/>
              <w:rPr>
                <w:rFonts w:hint="default" w:eastAsia="宋体"/>
                <w:b w:val="0"/>
                <w:bCs w:val="0"/>
                <w:sz w:val="24"/>
                <w:highlight w:val="none"/>
                <w:lang w:val="en-US" w:eastAsia="zh-CN"/>
              </w:rPr>
            </w:pPr>
            <w:r>
              <w:rPr>
                <w:rFonts w:hint="eastAsia"/>
                <w:b w:val="0"/>
                <w:bCs w:val="0"/>
                <w:sz w:val="24"/>
                <w:highlight w:val="none"/>
                <w:lang w:val="en-US" w:eastAsia="zh-CN"/>
              </w:rPr>
              <w:t>大坝平面布置图</w:t>
            </w:r>
          </w:p>
        </w:tc>
      </w:tr>
      <w:tr w14:paraId="345B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221E1ECF">
            <w:pPr>
              <w:jc w:val="left"/>
              <w:rPr>
                <w:rFonts w:hint="eastAsia"/>
                <w:b w:val="0"/>
                <w:bCs w:val="0"/>
                <w:sz w:val="24"/>
                <w:highlight w:val="none"/>
              </w:rPr>
            </w:pPr>
            <w:r>
              <w:rPr>
                <w:rFonts w:hint="eastAsia"/>
                <w:b w:val="0"/>
                <w:bCs w:val="0"/>
                <w:sz w:val="24"/>
                <w:highlight w:val="none"/>
              </w:rPr>
              <w:t>4</w:t>
            </w:r>
          </w:p>
        </w:tc>
        <w:tc>
          <w:tcPr>
            <w:tcW w:w="1860" w:type="dxa"/>
            <w:noWrap w:val="0"/>
            <w:vAlign w:val="center"/>
          </w:tcPr>
          <w:p w14:paraId="75C7478D">
            <w:pPr>
              <w:jc w:val="left"/>
              <w:rPr>
                <w:rFonts w:hint="default"/>
                <w:b w:val="0"/>
                <w:bCs w:val="0"/>
                <w:sz w:val="24"/>
                <w:highlight w:val="none"/>
                <w:lang w:val="en-US"/>
              </w:rPr>
            </w:pPr>
            <w:r>
              <w:rPr>
                <w:rFonts w:hint="eastAsia"/>
                <w:b w:val="0"/>
                <w:bCs w:val="0"/>
                <w:sz w:val="24"/>
                <w:highlight w:val="none"/>
                <w:lang w:val="en-US" w:eastAsia="zh-CN"/>
              </w:rPr>
              <w:t>金塘-施-04</w:t>
            </w:r>
          </w:p>
        </w:tc>
        <w:tc>
          <w:tcPr>
            <w:tcW w:w="5566" w:type="dxa"/>
            <w:noWrap w:val="0"/>
            <w:vAlign w:val="top"/>
          </w:tcPr>
          <w:p w14:paraId="0E8DE052">
            <w:pPr>
              <w:jc w:val="left"/>
              <w:rPr>
                <w:rFonts w:hint="default" w:eastAsia="宋体"/>
                <w:b w:val="0"/>
                <w:bCs w:val="0"/>
                <w:sz w:val="24"/>
                <w:highlight w:val="none"/>
                <w:lang w:val="en-US" w:eastAsia="zh-CN"/>
              </w:rPr>
            </w:pPr>
            <w:r>
              <w:rPr>
                <w:rFonts w:hint="eastAsia"/>
                <w:b w:val="0"/>
                <w:bCs w:val="0"/>
                <w:sz w:val="24"/>
                <w:highlight w:val="none"/>
                <w:lang w:val="en-US" w:eastAsia="zh-CN"/>
              </w:rPr>
              <w:t>大坝横剖面图（1/2)</w:t>
            </w:r>
          </w:p>
        </w:tc>
      </w:tr>
      <w:tr w14:paraId="1AE2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096" w:type="dxa"/>
            <w:noWrap w:val="0"/>
            <w:vAlign w:val="center"/>
          </w:tcPr>
          <w:p w14:paraId="50F721BB">
            <w:pPr>
              <w:jc w:val="left"/>
              <w:rPr>
                <w:rFonts w:hint="eastAsia"/>
                <w:b w:val="0"/>
                <w:bCs w:val="0"/>
                <w:sz w:val="24"/>
                <w:highlight w:val="none"/>
              </w:rPr>
            </w:pPr>
            <w:r>
              <w:rPr>
                <w:rFonts w:hint="eastAsia"/>
                <w:b w:val="0"/>
                <w:bCs w:val="0"/>
                <w:sz w:val="24"/>
                <w:highlight w:val="none"/>
              </w:rPr>
              <w:t>5</w:t>
            </w:r>
          </w:p>
        </w:tc>
        <w:tc>
          <w:tcPr>
            <w:tcW w:w="1860" w:type="dxa"/>
            <w:noWrap w:val="0"/>
            <w:vAlign w:val="center"/>
          </w:tcPr>
          <w:p w14:paraId="7DA5C683">
            <w:pPr>
              <w:jc w:val="left"/>
              <w:rPr>
                <w:rFonts w:hint="eastAsia"/>
                <w:b w:val="0"/>
                <w:bCs w:val="0"/>
                <w:sz w:val="24"/>
                <w:highlight w:val="none"/>
                <w:lang w:val="en-US" w:eastAsia="zh-CN"/>
              </w:rPr>
            </w:pPr>
            <w:r>
              <w:rPr>
                <w:rFonts w:hint="eastAsia"/>
                <w:b w:val="0"/>
                <w:bCs w:val="0"/>
                <w:sz w:val="24"/>
                <w:highlight w:val="none"/>
                <w:lang w:val="en-US" w:eastAsia="zh-CN"/>
              </w:rPr>
              <w:t>金塘-施-05</w:t>
            </w:r>
          </w:p>
        </w:tc>
        <w:tc>
          <w:tcPr>
            <w:tcW w:w="5566" w:type="dxa"/>
            <w:noWrap w:val="0"/>
            <w:vAlign w:val="top"/>
          </w:tcPr>
          <w:p w14:paraId="7E6D167E">
            <w:pPr>
              <w:jc w:val="left"/>
              <w:rPr>
                <w:rFonts w:hint="default" w:eastAsia="宋体"/>
                <w:b w:val="0"/>
                <w:bCs w:val="0"/>
                <w:sz w:val="24"/>
                <w:highlight w:val="none"/>
                <w:lang w:val="en-US" w:eastAsia="zh-CN"/>
              </w:rPr>
            </w:pPr>
            <w:r>
              <w:rPr>
                <w:rFonts w:hint="eastAsia"/>
                <w:b w:val="0"/>
                <w:bCs w:val="0"/>
                <w:sz w:val="24"/>
                <w:highlight w:val="none"/>
                <w:lang w:val="en-US" w:eastAsia="zh-CN"/>
              </w:rPr>
              <w:t>大坝横剖面图（2/2)</w:t>
            </w:r>
          </w:p>
        </w:tc>
      </w:tr>
      <w:tr w14:paraId="5A2D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5F3B2302">
            <w:pPr>
              <w:jc w:val="left"/>
              <w:rPr>
                <w:rFonts w:hint="eastAsia"/>
                <w:b w:val="0"/>
                <w:bCs w:val="0"/>
                <w:sz w:val="24"/>
                <w:highlight w:val="none"/>
              </w:rPr>
            </w:pPr>
            <w:r>
              <w:rPr>
                <w:rFonts w:hint="eastAsia"/>
                <w:b w:val="0"/>
                <w:bCs w:val="0"/>
                <w:sz w:val="24"/>
                <w:highlight w:val="none"/>
              </w:rPr>
              <w:t>6</w:t>
            </w:r>
          </w:p>
        </w:tc>
        <w:tc>
          <w:tcPr>
            <w:tcW w:w="1860" w:type="dxa"/>
            <w:noWrap w:val="0"/>
            <w:vAlign w:val="center"/>
          </w:tcPr>
          <w:p w14:paraId="3163ADD4">
            <w:pPr>
              <w:jc w:val="left"/>
              <w:rPr>
                <w:rFonts w:hint="default"/>
                <w:b w:val="0"/>
                <w:bCs w:val="0"/>
                <w:sz w:val="24"/>
                <w:highlight w:val="none"/>
                <w:lang w:val="en-US" w:eastAsia="zh-CN"/>
              </w:rPr>
            </w:pPr>
            <w:r>
              <w:rPr>
                <w:rFonts w:hint="eastAsia"/>
                <w:b w:val="0"/>
                <w:bCs w:val="0"/>
                <w:sz w:val="24"/>
                <w:highlight w:val="none"/>
                <w:lang w:val="en-US" w:eastAsia="zh-CN"/>
              </w:rPr>
              <w:t>金塘-施-06</w:t>
            </w:r>
          </w:p>
        </w:tc>
        <w:tc>
          <w:tcPr>
            <w:tcW w:w="5566" w:type="dxa"/>
            <w:noWrap w:val="0"/>
            <w:vAlign w:val="top"/>
          </w:tcPr>
          <w:p w14:paraId="02B1A4CA">
            <w:pPr>
              <w:jc w:val="left"/>
              <w:rPr>
                <w:rFonts w:hint="default" w:eastAsia="宋体"/>
                <w:b w:val="0"/>
                <w:bCs w:val="0"/>
                <w:sz w:val="24"/>
                <w:highlight w:val="none"/>
                <w:lang w:val="en-US" w:eastAsia="zh-CN"/>
              </w:rPr>
            </w:pPr>
            <w:r>
              <w:rPr>
                <w:rFonts w:hint="eastAsia"/>
                <w:b w:val="0"/>
                <w:bCs w:val="0"/>
                <w:sz w:val="24"/>
                <w:highlight w:val="none"/>
                <w:lang w:val="en-US" w:eastAsia="zh-CN"/>
              </w:rPr>
              <w:t>大坝库区护岸横剖面图</w:t>
            </w:r>
          </w:p>
        </w:tc>
      </w:tr>
      <w:tr w14:paraId="311D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3E3C6BE5">
            <w:pPr>
              <w:jc w:val="left"/>
              <w:rPr>
                <w:rFonts w:hint="eastAsia"/>
                <w:b w:val="0"/>
                <w:bCs w:val="0"/>
                <w:sz w:val="24"/>
                <w:highlight w:val="none"/>
              </w:rPr>
            </w:pPr>
            <w:r>
              <w:rPr>
                <w:rFonts w:hint="eastAsia"/>
                <w:b w:val="0"/>
                <w:bCs w:val="0"/>
                <w:sz w:val="24"/>
                <w:highlight w:val="none"/>
              </w:rPr>
              <w:t>7</w:t>
            </w:r>
          </w:p>
        </w:tc>
        <w:tc>
          <w:tcPr>
            <w:tcW w:w="1860" w:type="dxa"/>
            <w:noWrap w:val="0"/>
            <w:vAlign w:val="center"/>
          </w:tcPr>
          <w:p w14:paraId="2D826F63">
            <w:pPr>
              <w:jc w:val="left"/>
              <w:rPr>
                <w:rFonts w:hint="default"/>
                <w:b w:val="0"/>
                <w:bCs w:val="0"/>
                <w:sz w:val="24"/>
                <w:highlight w:val="none"/>
                <w:lang w:val="en-US" w:eastAsia="zh-CN"/>
              </w:rPr>
            </w:pPr>
            <w:r>
              <w:rPr>
                <w:rFonts w:hint="eastAsia"/>
                <w:b w:val="0"/>
                <w:bCs w:val="0"/>
                <w:sz w:val="24"/>
                <w:highlight w:val="none"/>
                <w:lang w:val="en-US" w:eastAsia="zh-CN"/>
              </w:rPr>
              <w:t>金塘-施-07</w:t>
            </w:r>
          </w:p>
        </w:tc>
        <w:tc>
          <w:tcPr>
            <w:tcW w:w="5566" w:type="dxa"/>
            <w:noWrap w:val="0"/>
            <w:vAlign w:val="top"/>
          </w:tcPr>
          <w:p w14:paraId="458BEAD6">
            <w:pPr>
              <w:jc w:val="left"/>
              <w:rPr>
                <w:rFonts w:hint="default" w:eastAsia="宋体"/>
                <w:b w:val="0"/>
                <w:bCs w:val="0"/>
                <w:sz w:val="24"/>
                <w:highlight w:val="none"/>
                <w:lang w:val="en-US" w:eastAsia="zh-CN"/>
              </w:rPr>
            </w:pPr>
            <w:r>
              <w:rPr>
                <w:rFonts w:hint="eastAsia"/>
                <w:b w:val="0"/>
                <w:bCs w:val="0"/>
                <w:sz w:val="24"/>
                <w:highlight w:val="none"/>
                <w:lang w:val="en-US" w:eastAsia="zh-CN"/>
              </w:rPr>
              <w:t>大坝纵剖面图</w:t>
            </w:r>
          </w:p>
        </w:tc>
      </w:tr>
      <w:tr w14:paraId="4B98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2A991417">
            <w:pPr>
              <w:jc w:val="left"/>
              <w:rPr>
                <w:rFonts w:hint="eastAsia"/>
                <w:b w:val="0"/>
                <w:bCs w:val="0"/>
                <w:sz w:val="24"/>
                <w:highlight w:val="none"/>
              </w:rPr>
            </w:pPr>
            <w:r>
              <w:rPr>
                <w:rFonts w:hint="eastAsia"/>
                <w:b w:val="0"/>
                <w:bCs w:val="0"/>
                <w:sz w:val="24"/>
                <w:highlight w:val="none"/>
              </w:rPr>
              <w:t>8</w:t>
            </w:r>
          </w:p>
        </w:tc>
        <w:tc>
          <w:tcPr>
            <w:tcW w:w="1860" w:type="dxa"/>
            <w:noWrap w:val="0"/>
            <w:vAlign w:val="center"/>
          </w:tcPr>
          <w:p w14:paraId="1460D3AD">
            <w:pPr>
              <w:jc w:val="left"/>
              <w:rPr>
                <w:rFonts w:hint="default"/>
                <w:b w:val="0"/>
                <w:bCs w:val="0"/>
                <w:sz w:val="24"/>
                <w:highlight w:val="none"/>
                <w:lang w:val="en-US" w:eastAsia="zh-CN"/>
              </w:rPr>
            </w:pPr>
            <w:r>
              <w:rPr>
                <w:rFonts w:hint="eastAsia"/>
                <w:b w:val="0"/>
                <w:bCs w:val="0"/>
                <w:sz w:val="24"/>
                <w:highlight w:val="none"/>
                <w:lang w:val="en-US" w:eastAsia="zh-CN"/>
              </w:rPr>
              <w:t>金塘-施-08</w:t>
            </w:r>
          </w:p>
        </w:tc>
        <w:tc>
          <w:tcPr>
            <w:tcW w:w="5566" w:type="dxa"/>
            <w:noWrap w:val="0"/>
            <w:vAlign w:val="top"/>
          </w:tcPr>
          <w:p w14:paraId="320454A0">
            <w:pPr>
              <w:jc w:val="left"/>
              <w:rPr>
                <w:rFonts w:hint="default" w:eastAsia="宋体"/>
                <w:b w:val="0"/>
                <w:bCs w:val="0"/>
                <w:sz w:val="24"/>
                <w:highlight w:val="none"/>
                <w:lang w:val="en-US" w:eastAsia="zh-CN"/>
              </w:rPr>
            </w:pPr>
            <w:r>
              <w:rPr>
                <w:rFonts w:hint="eastAsia"/>
                <w:b w:val="0"/>
                <w:bCs w:val="0"/>
                <w:sz w:val="24"/>
                <w:highlight w:val="none"/>
                <w:lang w:val="en-US" w:eastAsia="zh-CN"/>
              </w:rPr>
              <w:t>大坝细部结构图（1/2）</w:t>
            </w:r>
          </w:p>
        </w:tc>
      </w:tr>
      <w:tr w14:paraId="7B0C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0A464B49">
            <w:pPr>
              <w:jc w:val="left"/>
              <w:rPr>
                <w:rFonts w:hint="eastAsia"/>
                <w:b w:val="0"/>
                <w:bCs w:val="0"/>
                <w:sz w:val="24"/>
                <w:highlight w:val="none"/>
              </w:rPr>
            </w:pPr>
            <w:r>
              <w:rPr>
                <w:rFonts w:hint="eastAsia"/>
                <w:b w:val="0"/>
                <w:bCs w:val="0"/>
                <w:sz w:val="24"/>
                <w:highlight w:val="none"/>
              </w:rPr>
              <w:t>9</w:t>
            </w:r>
          </w:p>
        </w:tc>
        <w:tc>
          <w:tcPr>
            <w:tcW w:w="1860" w:type="dxa"/>
            <w:noWrap w:val="0"/>
            <w:vAlign w:val="center"/>
          </w:tcPr>
          <w:p w14:paraId="63281D1A">
            <w:pPr>
              <w:jc w:val="left"/>
              <w:rPr>
                <w:rFonts w:hint="default"/>
                <w:b/>
                <w:bCs/>
                <w:sz w:val="24"/>
                <w:highlight w:val="none"/>
                <w:lang w:val="en-US" w:eastAsia="zh-CN"/>
              </w:rPr>
            </w:pPr>
            <w:r>
              <w:rPr>
                <w:rFonts w:hint="eastAsia"/>
                <w:b w:val="0"/>
                <w:bCs w:val="0"/>
                <w:sz w:val="24"/>
                <w:highlight w:val="none"/>
                <w:lang w:val="en-US" w:eastAsia="zh-CN"/>
              </w:rPr>
              <w:t>金塘-施-09</w:t>
            </w:r>
          </w:p>
        </w:tc>
        <w:tc>
          <w:tcPr>
            <w:tcW w:w="5566" w:type="dxa"/>
            <w:noWrap w:val="0"/>
            <w:vAlign w:val="top"/>
          </w:tcPr>
          <w:p w14:paraId="3626938A">
            <w:pPr>
              <w:jc w:val="left"/>
              <w:rPr>
                <w:rFonts w:hint="default"/>
                <w:b w:val="0"/>
                <w:bCs w:val="0"/>
                <w:sz w:val="24"/>
                <w:highlight w:val="none"/>
                <w:lang w:val="en-US"/>
              </w:rPr>
            </w:pPr>
            <w:r>
              <w:rPr>
                <w:rFonts w:hint="eastAsia"/>
                <w:b w:val="0"/>
                <w:bCs w:val="0"/>
                <w:sz w:val="24"/>
                <w:highlight w:val="none"/>
                <w:lang w:val="en-US" w:eastAsia="zh-CN"/>
              </w:rPr>
              <w:t>大坝细部结构图（2/2）</w:t>
            </w:r>
          </w:p>
        </w:tc>
      </w:tr>
      <w:tr w14:paraId="1190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734CC14C">
            <w:pPr>
              <w:jc w:val="left"/>
              <w:rPr>
                <w:rFonts w:hint="eastAsia"/>
                <w:b w:val="0"/>
                <w:bCs w:val="0"/>
                <w:sz w:val="24"/>
                <w:highlight w:val="none"/>
              </w:rPr>
            </w:pPr>
            <w:r>
              <w:rPr>
                <w:rFonts w:hint="eastAsia"/>
                <w:b w:val="0"/>
                <w:bCs w:val="0"/>
                <w:sz w:val="24"/>
                <w:highlight w:val="none"/>
              </w:rPr>
              <w:t>10</w:t>
            </w:r>
          </w:p>
        </w:tc>
        <w:tc>
          <w:tcPr>
            <w:tcW w:w="1860" w:type="dxa"/>
            <w:noWrap w:val="0"/>
            <w:vAlign w:val="center"/>
          </w:tcPr>
          <w:p w14:paraId="0EC01E7B">
            <w:pPr>
              <w:jc w:val="left"/>
              <w:rPr>
                <w:rFonts w:hint="default"/>
                <w:b w:val="0"/>
                <w:bCs w:val="0"/>
                <w:sz w:val="24"/>
                <w:highlight w:val="none"/>
                <w:lang w:val="en-US"/>
              </w:rPr>
            </w:pPr>
            <w:r>
              <w:rPr>
                <w:rFonts w:hint="eastAsia"/>
                <w:b w:val="0"/>
                <w:bCs w:val="0"/>
                <w:sz w:val="24"/>
                <w:highlight w:val="none"/>
                <w:lang w:val="en-US" w:eastAsia="zh-CN"/>
              </w:rPr>
              <w:t>金塘-施-10</w:t>
            </w:r>
          </w:p>
        </w:tc>
        <w:tc>
          <w:tcPr>
            <w:tcW w:w="5566" w:type="dxa"/>
            <w:noWrap w:val="0"/>
            <w:vAlign w:val="top"/>
          </w:tcPr>
          <w:p w14:paraId="58FD014D">
            <w:pPr>
              <w:jc w:val="left"/>
              <w:rPr>
                <w:rFonts w:hint="default" w:eastAsia="宋体"/>
                <w:b w:val="0"/>
                <w:bCs w:val="0"/>
                <w:sz w:val="24"/>
                <w:highlight w:val="none"/>
                <w:lang w:val="en-US" w:eastAsia="zh-CN"/>
              </w:rPr>
            </w:pPr>
            <w:r>
              <w:rPr>
                <w:rFonts w:hint="eastAsia"/>
                <w:b w:val="0"/>
                <w:bCs w:val="0"/>
                <w:sz w:val="24"/>
                <w:highlight w:val="none"/>
                <w:lang w:val="en-US" w:eastAsia="zh-CN"/>
              </w:rPr>
              <w:t>溢洪道纵剖面图</w:t>
            </w:r>
          </w:p>
        </w:tc>
      </w:tr>
      <w:tr w14:paraId="271D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5221B549">
            <w:pPr>
              <w:jc w:val="left"/>
              <w:rPr>
                <w:rFonts w:hint="eastAsia"/>
                <w:b w:val="0"/>
                <w:bCs w:val="0"/>
                <w:sz w:val="24"/>
                <w:highlight w:val="none"/>
              </w:rPr>
            </w:pPr>
            <w:r>
              <w:rPr>
                <w:rFonts w:hint="eastAsia"/>
                <w:b w:val="0"/>
                <w:bCs w:val="0"/>
                <w:sz w:val="24"/>
                <w:highlight w:val="none"/>
              </w:rPr>
              <w:t>11</w:t>
            </w:r>
          </w:p>
        </w:tc>
        <w:tc>
          <w:tcPr>
            <w:tcW w:w="1860" w:type="dxa"/>
            <w:noWrap w:val="0"/>
            <w:vAlign w:val="center"/>
          </w:tcPr>
          <w:p w14:paraId="0171C42D">
            <w:pPr>
              <w:jc w:val="left"/>
              <w:rPr>
                <w:rFonts w:hint="default"/>
                <w:b w:val="0"/>
                <w:bCs w:val="0"/>
                <w:sz w:val="24"/>
                <w:highlight w:val="none"/>
                <w:lang w:val="en-US"/>
              </w:rPr>
            </w:pPr>
            <w:r>
              <w:rPr>
                <w:rFonts w:hint="eastAsia"/>
                <w:b w:val="0"/>
                <w:bCs w:val="0"/>
                <w:sz w:val="24"/>
                <w:highlight w:val="none"/>
                <w:lang w:val="en-US" w:eastAsia="zh-CN"/>
              </w:rPr>
              <w:t>金塘-施-11</w:t>
            </w:r>
          </w:p>
        </w:tc>
        <w:tc>
          <w:tcPr>
            <w:tcW w:w="5566" w:type="dxa"/>
            <w:noWrap w:val="0"/>
            <w:vAlign w:val="top"/>
          </w:tcPr>
          <w:p w14:paraId="14598443">
            <w:pPr>
              <w:jc w:val="left"/>
              <w:rPr>
                <w:rFonts w:hint="default" w:eastAsia="宋体"/>
                <w:b w:val="0"/>
                <w:bCs w:val="0"/>
                <w:sz w:val="24"/>
                <w:highlight w:val="none"/>
                <w:lang w:val="en-US" w:eastAsia="zh-CN"/>
              </w:rPr>
            </w:pPr>
            <w:r>
              <w:rPr>
                <w:rFonts w:hint="eastAsia"/>
                <w:b w:val="0"/>
                <w:bCs w:val="0"/>
                <w:sz w:val="24"/>
                <w:highlight w:val="none"/>
                <w:lang w:val="en-US" w:eastAsia="zh-CN"/>
              </w:rPr>
              <w:t>溢洪道纵剖面图</w:t>
            </w:r>
          </w:p>
        </w:tc>
      </w:tr>
      <w:tr w14:paraId="63F5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0FA23D4C">
            <w:pPr>
              <w:jc w:val="left"/>
              <w:rPr>
                <w:rFonts w:hint="eastAsia"/>
                <w:b w:val="0"/>
                <w:bCs w:val="0"/>
                <w:sz w:val="24"/>
                <w:highlight w:val="none"/>
              </w:rPr>
            </w:pPr>
            <w:r>
              <w:rPr>
                <w:rFonts w:hint="eastAsia"/>
                <w:b w:val="0"/>
                <w:bCs w:val="0"/>
                <w:sz w:val="24"/>
                <w:highlight w:val="none"/>
              </w:rPr>
              <w:t>12</w:t>
            </w:r>
          </w:p>
        </w:tc>
        <w:tc>
          <w:tcPr>
            <w:tcW w:w="1860" w:type="dxa"/>
            <w:noWrap w:val="0"/>
            <w:vAlign w:val="center"/>
          </w:tcPr>
          <w:p w14:paraId="4441BEB2">
            <w:pPr>
              <w:jc w:val="left"/>
              <w:rPr>
                <w:rFonts w:hint="default"/>
                <w:b w:val="0"/>
                <w:bCs w:val="0"/>
                <w:sz w:val="24"/>
                <w:highlight w:val="none"/>
                <w:lang w:val="en-US"/>
              </w:rPr>
            </w:pPr>
            <w:r>
              <w:rPr>
                <w:rFonts w:hint="eastAsia"/>
                <w:b w:val="0"/>
                <w:bCs w:val="0"/>
                <w:sz w:val="24"/>
                <w:highlight w:val="none"/>
                <w:lang w:val="en-US" w:eastAsia="zh-CN"/>
              </w:rPr>
              <w:t>金塘-施-12</w:t>
            </w:r>
          </w:p>
        </w:tc>
        <w:tc>
          <w:tcPr>
            <w:tcW w:w="5566" w:type="dxa"/>
            <w:noWrap w:val="0"/>
            <w:vAlign w:val="top"/>
          </w:tcPr>
          <w:p w14:paraId="045AA3CB">
            <w:pPr>
              <w:jc w:val="left"/>
              <w:rPr>
                <w:rFonts w:hint="default" w:eastAsia="宋体"/>
                <w:b w:val="0"/>
                <w:bCs w:val="0"/>
                <w:sz w:val="24"/>
                <w:highlight w:val="none"/>
                <w:lang w:val="en-US" w:eastAsia="zh-CN"/>
              </w:rPr>
            </w:pPr>
            <w:r>
              <w:rPr>
                <w:rFonts w:hint="eastAsia"/>
                <w:b w:val="0"/>
                <w:bCs w:val="0"/>
                <w:sz w:val="24"/>
                <w:highlight w:val="none"/>
                <w:lang w:val="en-US" w:eastAsia="zh-CN"/>
              </w:rPr>
              <w:t>1#便桥配筋图</w:t>
            </w:r>
          </w:p>
        </w:tc>
      </w:tr>
      <w:tr w14:paraId="3216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68D44AC1">
            <w:pPr>
              <w:jc w:val="left"/>
              <w:rPr>
                <w:rFonts w:hint="eastAsia"/>
                <w:b w:val="0"/>
                <w:bCs w:val="0"/>
                <w:sz w:val="24"/>
                <w:highlight w:val="none"/>
              </w:rPr>
            </w:pPr>
            <w:r>
              <w:rPr>
                <w:rFonts w:hint="eastAsia"/>
                <w:b w:val="0"/>
                <w:bCs w:val="0"/>
                <w:sz w:val="24"/>
                <w:highlight w:val="none"/>
              </w:rPr>
              <w:t>13</w:t>
            </w:r>
          </w:p>
        </w:tc>
        <w:tc>
          <w:tcPr>
            <w:tcW w:w="1860" w:type="dxa"/>
            <w:noWrap w:val="0"/>
            <w:vAlign w:val="center"/>
          </w:tcPr>
          <w:p w14:paraId="17B6A164">
            <w:pPr>
              <w:jc w:val="left"/>
              <w:rPr>
                <w:rFonts w:hint="default"/>
                <w:b w:val="0"/>
                <w:bCs w:val="0"/>
                <w:sz w:val="24"/>
                <w:highlight w:val="none"/>
                <w:lang w:val="en-US"/>
              </w:rPr>
            </w:pPr>
            <w:r>
              <w:rPr>
                <w:rFonts w:hint="eastAsia"/>
                <w:b w:val="0"/>
                <w:bCs w:val="0"/>
                <w:sz w:val="24"/>
                <w:highlight w:val="none"/>
                <w:lang w:val="en-US" w:eastAsia="zh-CN"/>
              </w:rPr>
              <w:t>金塘-施-13</w:t>
            </w:r>
          </w:p>
        </w:tc>
        <w:tc>
          <w:tcPr>
            <w:tcW w:w="5566" w:type="dxa"/>
            <w:noWrap w:val="0"/>
            <w:vAlign w:val="top"/>
          </w:tcPr>
          <w:p w14:paraId="637390C1">
            <w:pPr>
              <w:jc w:val="left"/>
              <w:rPr>
                <w:rFonts w:hint="eastAsia"/>
                <w:b w:val="0"/>
                <w:bCs w:val="0"/>
                <w:sz w:val="24"/>
                <w:highlight w:val="none"/>
              </w:rPr>
            </w:pPr>
            <w:r>
              <w:rPr>
                <w:rFonts w:hint="eastAsia"/>
                <w:b w:val="0"/>
                <w:bCs w:val="0"/>
                <w:sz w:val="24"/>
                <w:highlight w:val="none"/>
                <w:lang w:val="en-US" w:eastAsia="zh-CN"/>
              </w:rPr>
              <w:t>2#便桥配筋图</w:t>
            </w:r>
          </w:p>
        </w:tc>
      </w:tr>
      <w:tr w14:paraId="409A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3B4DDE40">
            <w:pPr>
              <w:jc w:val="left"/>
              <w:rPr>
                <w:rFonts w:hint="eastAsia"/>
                <w:b w:val="0"/>
                <w:bCs w:val="0"/>
                <w:sz w:val="24"/>
                <w:highlight w:val="none"/>
              </w:rPr>
            </w:pPr>
            <w:r>
              <w:rPr>
                <w:rFonts w:hint="eastAsia"/>
                <w:b w:val="0"/>
                <w:bCs w:val="0"/>
                <w:sz w:val="24"/>
                <w:highlight w:val="none"/>
              </w:rPr>
              <w:t>14</w:t>
            </w:r>
          </w:p>
        </w:tc>
        <w:tc>
          <w:tcPr>
            <w:tcW w:w="1860" w:type="dxa"/>
            <w:noWrap w:val="0"/>
            <w:vAlign w:val="center"/>
          </w:tcPr>
          <w:p w14:paraId="5A3D6378">
            <w:pPr>
              <w:jc w:val="left"/>
              <w:rPr>
                <w:rFonts w:hint="default"/>
                <w:b w:val="0"/>
                <w:bCs w:val="0"/>
                <w:sz w:val="24"/>
                <w:highlight w:val="none"/>
                <w:lang w:val="en-US"/>
              </w:rPr>
            </w:pPr>
            <w:r>
              <w:rPr>
                <w:rFonts w:hint="eastAsia"/>
                <w:b w:val="0"/>
                <w:bCs w:val="0"/>
                <w:sz w:val="24"/>
                <w:highlight w:val="none"/>
                <w:lang w:val="en-US" w:eastAsia="zh-CN"/>
              </w:rPr>
              <w:t>金塘-施-14</w:t>
            </w:r>
          </w:p>
        </w:tc>
        <w:tc>
          <w:tcPr>
            <w:tcW w:w="5566" w:type="dxa"/>
            <w:noWrap w:val="0"/>
            <w:vAlign w:val="top"/>
          </w:tcPr>
          <w:p w14:paraId="72D7D63D">
            <w:pPr>
              <w:jc w:val="left"/>
              <w:rPr>
                <w:rFonts w:hint="default" w:eastAsia="宋体"/>
                <w:b w:val="0"/>
                <w:bCs w:val="0"/>
                <w:sz w:val="24"/>
                <w:highlight w:val="none"/>
                <w:lang w:val="en-US" w:eastAsia="zh-CN"/>
              </w:rPr>
            </w:pPr>
            <w:r>
              <w:rPr>
                <w:rFonts w:hint="eastAsia"/>
                <w:b w:val="0"/>
                <w:bCs w:val="0"/>
                <w:sz w:val="24"/>
                <w:highlight w:val="none"/>
                <w:lang w:val="en-US" w:eastAsia="zh-CN"/>
              </w:rPr>
              <w:t>老涵管封堵图</w:t>
            </w:r>
          </w:p>
        </w:tc>
      </w:tr>
      <w:tr w14:paraId="13AE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58D8471B">
            <w:pPr>
              <w:jc w:val="left"/>
              <w:rPr>
                <w:rFonts w:hint="eastAsia"/>
                <w:b w:val="0"/>
                <w:bCs w:val="0"/>
                <w:sz w:val="24"/>
                <w:highlight w:val="none"/>
              </w:rPr>
            </w:pPr>
            <w:r>
              <w:rPr>
                <w:rFonts w:hint="eastAsia"/>
                <w:b w:val="0"/>
                <w:bCs w:val="0"/>
                <w:sz w:val="24"/>
                <w:highlight w:val="none"/>
              </w:rPr>
              <w:t>15</w:t>
            </w:r>
          </w:p>
        </w:tc>
        <w:tc>
          <w:tcPr>
            <w:tcW w:w="1860" w:type="dxa"/>
            <w:noWrap w:val="0"/>
            <w:vAlign w:val="center"/>
          </w:tcPr>
          <w:p w14:paraId="54B09000">
            <w:pPr>
              <w:jc w:val="left"/>
              <w:rPr>
                <w:rFonts w:hint="default"/>
                <w:b w:val="0"/>
                <w:bCs w:val="0"/>
                <w:sz w:val="24"/>
                <w:highlight w:val="none"/>
                <w:lang w:val="en-US" w:eastAsia="zh-CN"/>
              </w:rPr>
            </w:pPr>
            <w:r>
              <w:rPr>
                <w:rFonts w:hint="eastAsia"/>
                <w:b w:val="0"/>
                <w:bCs w:val="0"/>
                <w:sz w:val="24"/>
                <w:highlight w:val="none"/>
                <w:lang w:val="en-US" w:eastAsia="zh-CN"/>
              </w:rPr>
              <w:t>金塘-施-15</w:t>
            </w:r>
          </w:p>
        </w:tc>
        <w:tc>
          <w:tcPr>
            <w:tcW w:w="5566" w:type="dxa"/>
            <w:noWrap w:val="0"/>
            <w:vAlign w:val="top"/>
          </w:tcPr>
          <w:p w14:paraId="6A6E2FBB">
            <w:pPr>
              <w:jc w:val="left"/>
              <w:rPr>
                <w:rFonts w:hint="default" w:eastAsia="宋体"/>
                <w:b w:val="0"/>
                <w:bCs w:val="0"/>
                <w:sz w:val="24"/>
                <w:highlight w:val="none"/>
                <w:lang w:val="en-US" w:eastAsia="zh-CN"/>
              </w:rPr>
            </w:pPr>
            <w:r>
              <w:rPr>
                <w:rFonts w:hint="eastAsia"/>
                <w:b w:val="0"/>
                <w:bCs w:val="0"/>
                <w:sz w:val="24"/>
                <w:highlight w:val="none"/>
                <w:lang w:val="en-US" w:eastAsia="zh-CN"/>
              </w:rPr>
              <w:t>输水涵管纵断面图</w:t>
            </w:r>
          </w:p>
        </w:tc>
      </w:tr>
      <w:tr w14:paraId="3779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581411FA">
            <w:pPr>
              <w:jc w:val="left"/>
              <w:rPr>
                <w:rFonts w:hint="eastAsia"/>
                <w:b w:val="0"/>
                <w:bCs w:val="0"/>
                <w:sz w:val="24"/>
                <w:highlight w:val="none"/>
              </w:rPr>
            </w:pPr>
            <w:r>
              <w:rPr>
                <w:rFonts w:hint="eastAsia"/>
                <w:b w:val="0"/>
                <w:bCs w:val="0"/>
                <w:sz w:val="24"/>
                <w:highlight w:val="none"/>
              </w:rPr>
              <w:t>16</w:t>
            </w:r>
          </w:p>
        </w:tc>
        <w:tc>
          <w:tcPr>
            <w:tcW w:w="1860" w:type="dxa"/>
            <w:noWrap w:val="0"/>
            <w:vAlign w:val="center"/>
          </w:tcPr>
          <w:p w14:paraId="4EBF68EF">
            <w:pPr>
              <w:jc w:val="left"/>
              <w:rPr>
                <w:rFonts w:hint="default"/>
                <w:b w:val="0"/>
                <w:bCs w:val="0"/>
                <w:sz w:val="24"/>
                <w:highlight w:val="none"/>
                <w:lang w:val="en-US" w:eastAsia="zh-CN"/>
              </w:rPr>
            </w:pPr>
            <w:r>
              <w:rPr>
                <w:rFonts w:hint="eastAsia"/>
                <w:b w:val="0"/>
                <w:bCs w:val="0"/>
                <w:sz w:val="24"/>
                <w:highlight w:val="none"/>
                <w:lang w:val="en-US" w:eastAsia="zh-CN"/>
              </w:rPr>
              <w:t>金塘-施-16</w:t>
            </w:r>
          </w:p>
        </w:tc>
        <w:tc>
          <w:tcPr>
            <w:tcW w:w="5566" w:type="dxa"/>
            <w:noWrap w:val="0"/>
            <w:vAlign w:val="top"/>
          </w:tcPr>
          <w:p w14:paraId="1BF15DFB">
            <w:pPr>
              <w:jc w:val="left"/>
              <w:rPr>
                <w:rFonts w:hint="default" w:eastAsia="宋体"/>
                <w:b w:val="0"/>
                <w:bCs w:val="0"/>
                <w:sz w:val="24"/>
                <w:highlight w:val="none"/>
                <w:lang w:val="en-US" w:eastAsia="zh-CN"/>
              </w:rPr>
            </w:pPr>
            <w:r>
              <w:rPr>
                <w:rFonts w:hint="eastAsia"/>
                <w:b w:val="0"/>
                <w:bCs w:val="0"/>
                <w:sz w:val="24"/>
                <w:highlight w:val="none"/>
                <w:lang w:val="en-US" w:eastAsia="zh-CN"/>
              </w:rPr>
              <w:t>启闭机房及进水口结构</w:t>
            </w:r>
          </w:p>
        </w:tc>
      </w:tr>
      <w:tr w14:paraId="6FCD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14F44ED6">
            <w:pPr>
              <w:jc w:val="left"/>
              <w:rPr>
                <w:rFonts w:hint="eastAsia"/>
                <w:b w:val="0"/>
                <w:bCs w:val="0"/>
                <w:sz w:val="24"/>
                <w:highlight w:val="none"/>
              </w:rPr>
            </w:pPr>
            <w:r>
              <w:rPr>
                <w:rFonts w:hint="eastAsia"/>
                <w:b w:val="0"/>
                <w:bCs w:val="0"/>
                <w:sz w:val="24"/>
                <w:highlight w:val="none"/>
              </w:rPr>
              <w:t>17</w:t>
            </w:r>
          </w:p>
        </w:tc>
        <w:tc>
          <w:tcPr>
            <w:tcW w:w="1860" w:type="dxa"/>
            <w:noWrap w:val="0"/>
            <w:vAlign w:val="center"/>
          </w:tcPr>
          <w:p w14:paraId="17D04C47">
            <w:pPr>
              <w:jc w:val="left"/>
              <w:rPr>
                <w:rFonts w:hint="default"/>
                <w:b w:val="0"/>
                <w:bCs w:val="0"/>
                <w:sz w:val="24"/>
                <w:highlight w:val="none"/>
                <w:lang w:val="en-US" w:eastAsia="zh-CN"/>
              </w:rPr>
            </w:pPr>
            <w:r>
              <w:rPr>
                <w:rFonts w:hint="eastAsia"/>
                <w:b w:val="0"/>
                <w:bCs w:val="0"/>
                <w:sz w:val="24"/>
                <w:highlight w:val="none"/>
                <w:lang w:val="en-US" w:eastAsia="zh-CN"/>
              </w:rPr>
              <w:t>金塘-施-17</w:t>
            </w:r>
          </w:p>
        </w:tc>
        <w:tc>
          <w:tcPr>
            <w:tcW w:w="5566" w:type="dxa"/>
            <w:noWrap w:val="0"/>
            <w:vAlign w:val="top"/>
          </w:tcPr>
          <w:p w14:paraId="54D16481">
            <w:pPr>
              <w:jc w:val="left"/>
              <w:rPr>
                <w:rFonts w:hint="default" w:eastAsia="宋体"/>
                <w:b w:val="0"/>
                <w:bCs w:val="0"/>
                <w:sz w:val="24"/>
                <w:highlight w:val="none"/>
                <w:lang w:val="en-US" w:eastAsia="zh-CN"/>
              </w:rPr>
            </w:pPr>
            <w:r>
              <w:rPr>
                <w:rFonts w:hint="eastAsia"/>
                <w:b w:val="0"/>
                <w:bCs w:val="0"/>
                <w:sz w:val="24"/>
                <w:highlight w:val="none"/>
                <w:lang w:val="en-US" w:eastAsia="zh-CN"/>
              </w:rPr>
              <w:t>启闭机房平面图、立面图</w:t>
            </w:r>
          </w:p>
        </w:tc>
      </w:tr>
      <w:tr w14:paraId="25E5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6" w:type="dxa"/>
            <w:noWrap w:val="0"/>
            <w:vAlign w:val="center"/>
          </w:tcPr>
          <w:p w14:paraId="00B14B79">
            <w:pPr>
              <w:jc w:val="left"/>
              <w:rPr>
                <w:rFonts w:hint="eastAsia"/>
                <w:b w:val="0"/>
                <w:bCs w:val="0"/>
                <w:sz w:val="24"/>
                <w:highlight w:val="none"/>
              </w:rPr>
            </w:pPr>
            <w:r>
              <w:rPr>
                <w:rFonts w:hint="eastAsia"/>
                <w:b w:val="0"/>
                <w:bCs w:val="0"/>
                <w:sz w:val="24"/>
                <w:highlight w:val="none"/>
              </w:rPr>
              <w:t>18</w:t>
            </w:r>
          </w:p>
        </w:tc>
        <w:tc>
          <w:tcPr>
            <w:tcW w:w="1860" w:type="dxa"/>
            <w:noWrap w:val="0"/>
            <w:vAlign w:val="center"/>
          </w:tcPr>
          <w:p w14:paraId="08D42C15">
            <w:pPr>
              <w:jc w:val="left"/>
              <w:rPr>
                <w:rFonts w:hint="default"/>
                <w:b w:val="0"/>
                <w:bCs w:val="0"/>
                <w:sz w:val="24"/>
                <w:highlight w:val="none"/>
                <w:lang w:val="en-US" w:eastAsia="zh-CN"/>
              </w:rPr>
            </w:pPr>
            <w:r>
              <w:rPr>
                <w:rFonts w:hint="eastAsia"/>
                <w:b w:val="0"/>
                <w:bCs w:val="0"/>
                <w:sz w:val="24"/>
                <w:highlight w:val="none"/>
                <w:lang w:val="en-US" w:eastAsia="zh-CN"/>
              </w:rPr>
              <w:t>金塘-施-18</w:t>
            </w:r>
          </w:p>
        </w:tc>
        <w:tc>
          <w:tcPr>
            <w:tcW w:w="5566" w:type="dxa"/>
            <w:noWrap w:val="0"/>
            <w:vAlign w:val="top"/>
          </w:tcPr>
          <w:p w14:paraId="57E723C3">
            <w:pPr>
              <w:jc w:val="left"/>
              <w:rPr>
                <w:rFonts w:hint="default" w:eastAsia="宋体"/>
                <w:b w:val="0"/>
                <w:bCs w:val="0"/>
                <w:sz w:val="24"/>
                <w:highlight w:val="none"/>
                <w:lang w:val="en-US" w:eastAsia="zh-CN"/>
              </w:rPr>
            </w:pPr>
            <w:r>
              <w:rPr>
                <w:rFonts w:hint="eastAsia"/>
                <w:b w:val="0"/>
                <w:bCs w:val="0"/>
                <w:sz w:val="24"/>
                <w:highlight w:val="none"/>
                <w:lang w:val="en-US" w:eastAsia="zh-CN"/>
              </w:rPr>
              <w:t>启闭机房配筋图</w:t>
            </w:r>
          </w:p>
        </w:tc>
      </w:tr>
      <w:tr w14:paraId="55E5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2DCB1D51">
            <w:pPr>
              <w:jc w:val="left"/>
              <w:rPr>
                <w:rFonts w:hint="eastAsia"/>
                <w:b w:val="0"/>
                <w:bCs w:val="0"/>
                <w:sz w:val="24"/>
                <w:highlight w:val="none"/>
              </w:rPr>
            </w:pPr>
            <w:r>
              <w:rPr>
                <w:rFonts w:hint="eastAsia"/>
                <w:b w:val="0"/>
                <w:bCs w:val="0"/>
                <w:sz w:val="24"/>
                <w:highlight w:val="none"/>
              </w:rPr>
              <w:t>19</w:t>
            </w:r>
          </w:p>
        </w:tc>
        <w:tc>
          <w:tcPr>
            <w:tcW w:w="1860" w:type="dxa"/>
            <w:noWrap w:val="0"/>
            <w:vAlign w:val="center"/>
          </w:tcPr>
          <w:p w14:paraId="716585E0">
            <w:pPr>
              <w:jc w:val="left"/>
              <w:rPr>
                <w:rFonts w:hint="default"/>
                <w:b w:val="0"/>
                <w:bCs w:val="0"/>
                <w:sz w:val="24"/>
                <w:highlight w:val="none"/>
                <w:lang w:val="en-US" w:eastAsia="zh-CN"/>
              </w:rPr>
            </w:pPr>
            <w:r>
              <w:rPr>
                <w:rFonts w:hint="eastAsia"/>
                <w:b w:val="0"/>
                <w:bCs w:val="0"/>
                <w:sz w:val="24"/>
                <w:highlight w:val="none"/>
                <w:lang w:val="en-US" w:eastAsia="zh-CN"/>
              </w:rPr>
              <w:t>金塘-施-19</w:t>
            </w:r>
          </w:p>
        </w:tc>
        <w:tc>
          <w:tcPr>
            <w:tcW w:w="5566" w:type="dxa"/>
            <w:noWrap w:val="0"/>
            <w:vAlign w:val="top"/>
          </w:tcPr>
          <w:p w14:paraId="3C3DA6DD">
            <w:pPr>
              <w:jc w:val="left"/>
              <w:rPr>
                <w:rFonts w:hint="default" w:eastAsia="宋体"/>
                <w:b w:val="0"/>
                <w:bCs w:val="0"/>
                <w:sz w:val="24"/>
                <w:highlight w:val="none"/>
                <w:lang w:val="en-US" w:eastAsia="zh-CN"/>
              </w:rPr>
            </w:pPr>
            <w:r>
              <w:rPr>
                <w:rFonts w:hint="eastAsia"/>
                <w:b w:val="0"/>
                <w:bCs w:val="0"/>
                <w:sz w:val="24"/>
                <w:highlight w:val="none"/>
                <w:lang w:val="en-US" w:eastAsia="zh-CN"/>
              </w:rPr>
              <w:t>灌溉涵管断面图</w:t>
            </w:r>
          </w:p>
        </w:tc>
      </w:tr>
      <w:tr w14:paraId="55EA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05CE8C3E">
            <w:pPr>
              <w:jc w:val="left"/>
              <w:rPr>
                <w:rFonts w:hint="eastAsia"/>
                <w:b w:val="0"/>
                <w:bCs w:val="0"/>
                <w:sz w:val="24"/>
                <w:highlight w:val="none"/>
              </w:rPr>
            </w:pPr>
            <w:r>
              <w:rPr>
                <w:rFonts w:hint="eastAsia"/>
                <w:b w:val="0"/>
                <w:bCs w:val="0"/>
                <w:sz w:val="24"/>
                <w:highlight w:val="none"/>
              </w:rPr>
              <w:t>20</w:t>
            </w:r>
          </w:p>
        </w:tc>
        <w:tc>
          <w:tcPr>
            <w:tcW w:w="1860" w:type="dxa"/>
            <w:noWrap w:val="0"/>
            <w:vAlign w:val="center"/>
          </w:tcPr>
          <w:p w14:paraId="3A84F071">
            <w:pPr>
              <w:jc w:val="left"/>
              <w:rPr>
                <w:rFonts w:hint="default"/>
                <w:b w:val="0"/>
                <w:bCs w:val="0"/>
                <w:sz w:val="24"/>
                <w:highlight w:val="none"/>
                <w:lang w:val="en-US" w:eastAsia="zh-CN"/>
              </w:rPr>
            </w:pPr>
            <w:r>
              <w:rPr>
                <w:rFonts w:hint="eastAsia"/>
                <w:b w:val="0"/>
                <w:bCs w:val="0"/>
                <w:sz w:val="24"/>
                <w:highlight w:val="none"/>
                <w:lang w:val="en-US" w:eastAsia="zh-CN"/>
              </w:rPr>
              <w:t>金塘-施-20</w:t>
            </w:r>
          </w:p>
        </w:tc>
        <w:tc>
          <w:tcPr>
            <w:tcW w:w="5566" w:type="dxa"/>
            <w:noWrap w:val="0"/>
            <w:vAlign w:val="top"/>
          </w:tcPr>
          <w:p w14:paraId="604559C5">
            <w:pPr>
              <w:jc w:val="left"/>
              <w:rPr>
                <w:rFonts w:hint="default" w:eastAsia="宋体"/>
                <w:b w:val="0"/>
                <w:bCs w:val="0"/>
                <w:sz w:val="24"/>
                <w:highlight w:val="none"/>
                <w:lang w:val="en-US" w:eastAsia="zh-CN"/>
              </w:rPr>
            </w:pPr>
            <w:r>
              <w:rPr>
                <w:rFonts w:hint="eastAsia"/>
                <w:b w:val="0"/>
                <w:bCs w:val="0"/>
                <w:sz w:val="24"/>
                <w:highlight w:val="none"/>
                <w:lang w:val="en-US" w:eastAsia="zh-CN"/>
              </w:rPr>
              <w:t>闸阀井结构图</w:t>
            </w:r>
          </w:p>
        </w:tc>
      </w:tr>
      <w:tr w14:paraId="42CA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202D5007">
            <w:pPr>
              <w:jc w:val="left"/>
              <w:rPr>
                <w:rFonts w:hint="eastAsia"/>
                <w:b w:val="0"/>
                <w:bCs w:val="0"/>
                <w:sz w:val="24"/>
                <w:highlight w:val="none"/>
              </w:rPr>
            </w:pPr>
            <w:r>
              <w:rPr>
                <w:rFonts w:hint="eastAsia"/>
                <w:b w:val="0"/>
                <w:bCs w:val="0"/>
                <w:sz w:val="24"/>
                <w:highlight w:val="none"/>
              </w:rPr>
              <w:t>21</w:t>
            </w:r>
          </w:p>
        </w:tc>
        <w:tc>
          <w:tcPr>
            <w:tcW w:w="1860" w:type="dxa"/>
            <w:noWrap w:val="0"/>
            <w:vAlign w:val="center"/>
          </w:tcPr>
          <w:p w14:paraId="22ADF6BA">
            <w:pPr>
              <w:jc w:val="left"/>
              <w:rPr>
                <w:rFonts w:hint="default"/>
                <w:b w:val="0"/>
                <w:bCs w:val="0"/>
                <w:sz w:val="24"/>
                <w:highlight w:val="none"/>
                <w:lang w:val="en-US" w:eastAsia="zh-CN"/>
              </w:rPr>
            </w:pPr>
            <w:r>
              <w:rPr>
                <w:rFonts w:hint="eastAsia"/>
                <w:b w:val="0"/>
                <w:bCs w:val="0"/>
                <w:sz w:val="24"/>
                <w:highlight w:val="none"/>
                <w:lang w:val="en-US" w:eastAsia="zh-CN"/>
              </w:rPr>
              <w:t>金塘-施-21</w:t>
            </w:r>
          </w:p>
        </w:tc>
        <w:tc>
          <w:tcPr>
            <w:tcW w:w="5566" w:type="dxa"/>
            <w:noWrap w:val="0"/>
            <w:vAlign w:val="top"/>
          </w:tcPr>
          <w:p w14:paraId="59BEB75B">
            <w:pPr>
              <w:jc w:val="left"/>
              <w:rPr>
                <w:rFonts w:hint="default" w:eastAsia="宋体"/>
                <w:b w:val="0"/>
                <w:bCs w:val="0"/>
                <w:sz w:val="24"/>
                <w:highlight w:val="none"/>
                <w:lang w:val="en-US" w:eastAsia="zh-CN"/>
              </w:rPr>
            </w:pPr>
            <w:r>
              <w:rPr>
                <w:rFonts w:hint="eastAsia"/>
                <w:b w:val="0"/>
                <w:bCs w:val="0"/>
                <w:sz w:val="24"/>
                <w:highlight w:val="none"/>
                <w:lang w:val="en-US" w:eastAsia="zh-CN"/>
              </w:rPr>
              <w:t>水位尺及界桩详图</w:t>
            </w:r>
          </w:p>
        </w:tc>
      </w:tr>
      <w:tr w14:paraId="7D19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242A6B6C">
            <w:pPr>
              <w:jc w:val="left"/>
              <w:rPr>
                <w:rFonts w:hint="default" w:eastAsia="宋体"/>
                <w:b w:val="0"/>
                <w:bCs w:val="0"/>
                <w:sz w:val="24"/>
                <w:highlight w:val="none"/>
                <w:lang w:val="en-US" w:eastAsia="zh-CN"/>
              </w:rPr>
            </w:pPr>
            <w:r>
              <w:rPr>
                <w:rFonts w:hint="eastAsia"/>
                <w:b w:val="0"/>
                <w:bCs w:val="0"/>
                <w:sz w:val="24"/>
                <w:highlight w:val="none"/>
                <w:lang w:val="en-US" w:eastAsia="zh-CN"/>
              </w:rPr>
              <w:t>22</w:t>
            </w:r>
          </w:p>
        </w:tc>
        <w:tc>
          <w:tcPr>
            <w:tcW w:w="1860" w:type="dxa"/>
            <w:noWrap w:val="0"/>
            <w:vAlign w:val="center"/>
          </w:tcPr>
          <w:p w14:paraId="1B33CBBD">
            <w:pPr>
              <w:jc w:val="left"/>
              <w:rPr>
                <w:rFonts w:hint="default"/>
                <w:b w:val="0"/>
                <w:bCs w:val="0"/>
                <w:sz w:val="24"/>
                <w:highlight w:val="none"/>
                <w:lang w:val="en-US"/>
              </w:rPr>
            </w:pPr>
            <w:r>
              <w:rPr>
                <w:rFonts w:hint="eastAsia"/>
                <w:b w:val="0"/>
                <w:bCs w:val="0"/>
                <w:sz w:val="24"/>
                <w:highlight w:val="none"/>
                <w:lang w:val="en-US" w:eastAsia="zh-CN"/>
              </w:rPr>
              <w:t>金塘-施-22</w:t>
            </w:r>
          </w:p>
        </w:tc>
        <w:tc>
          <w:tcPr>
            <w:tcW w:w="5566" w:type="dxa"/>
            <w:noWrap w:val="0"/>
            <w:vAlign w:val="top"/>
          </w:tcPr>
          <w:p w14:paraId="032EF88C">
            <w:pPr>
              <w:jc w:val="left"/>
              <w:rPr>
                <w:rFonts w:hint="default" w:eastAsia="宋体"/>
                <w:b w:val="0"/>
                <w:bCs w:val="0"/>
                <w:sz w:val="24"/>
                <w:highlight w:val="none"/>
                <w:lang w:val="en-US" w:eastAsia="zh-CN"/>
              </w:rPr>
            </w:pPr>
            <w:r>
              <w:rPr>
                <w:rFonts w:hint="eastAsia"/>
                <w:b w:val="0"/>
                <w:bCs w:val="0"/>
                <w:sz w:val="24"/>
                <w:highlight w:val="none"/>
                <w:lang w:val="en-US" w:eastAsia="zh-CN"/>
              </w:rPr>
              <w:t>工程简介、公告牌</w:t>
            </w:r>
          </w:p>
        </w:tc>
      </w:tr>
      <w:tr w14:paraId="1E2F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4C47B4C9">
            <w:pPr>
              <w:jc w:val="left"/>
              <w:rPr>
                <w:rFonts w:hint="eastAsia" w:ascii="Times New Roman" w:hAnsi="Times New Roman" w:eastAsia="宋体" w:cs="Times New Roman"/>
                <w:b w:val="0"/>
                <w:bCs w:val="0"/>
                <w:kern w:val="2"/>
                <w:sz w:val="24"/>
                <w:szCs w:val="24"/>
                <w:highlight w:val="none"/>
                <w:lang w:val="en-US" w:eastAsia="zh-CN" w:bidi="ar-SA"/>
              </w:rPr>
            </w:pPr>
            <w:r>
              <w:rPr>
                <w:rFonts w:hint="eastAsia"/>
                <w:b w:val="0"/>
                <w:bCs w:val="0"/>
                <w:sz w:val="24"/>
                <w:highlight w:val="none"/>
              </w:rPr>
              <w:t>23</w:t>
            </w:r>
          </w:p>
        </w:tc>
        <w:tc>
          <w:tcPr>
            <w:tcW w:w="1860" w:type="dxa"/>
            <w:noWrap w:val="0"/>
            <w:vAlign w:val="center"/>
          </w:tcPr>
          <w:p w14:paraId="3B2C94AF">
            <w:pPr>
              <w:jc w:val="left"/>
              <w:rPr>
                <w:rFonts w:hint="default"/>
                <w:b w:val="0"/>
                <w:bCs w:val="0"/>
                <w:sz w:val="24"/>
                <w:highlight w:val="none"/>
                <w:lang w:val="en-US" w:eastAsia="zh-CN"/>
              </w:rPr>
            </w:pPr>
            <w:r>
              <w:rPr>
                <w:rFonts w:hint="eastAsia"/>
                <w:b w:val="0"/>
                <w:bCs w:val="0"/>
                <w:sz w:val="24"/>
                <w:highlight w:val="none"/>
                <w:lang w:val="en-US" w:eastAsia="zh-CN"/>
              </w:rPr>
              <w:t>金塘-施-23</w:t>
            </w:r>
          </w:p>
        </w:tc>
        <w:tc>
          <w:tcPr>
            <w:tcW w:w="5566" w:type="dxa"/>
            <w:noWrap w:val="0"/>
            <w:vAlign w:val="top"/>
          </w:tcPr>
          <w:p w14:paraId="351A6E25">
            <w:pPr>
              <w:jc w:val="left"/>
              <w:rPr>
                <w:rFonts w:hint="default"/>
                <w:b w:val="0"/>
                <w:bCs w:val="0"/>
                <w:sz w:val="24"/>
                <w:highlight w:val="none"/>
                <w:lang w:val="en-US" w:eastAsia="zh-CN"/>
              </w:rPr>
            </w:pPr>
            <w:r>
              <w:rPr>
                <w:rFonts w:hint="eastAsia"/>
                <w:b w:val="0"/>
                <w:bCs w:val="0"/>
                <w:sz w:val="24"/>
                <w:highlight w:val="none"/>
                <w:lang w:val="en-US" w:eastAsia="zh-CN"/>
              </w:rPr>
              <w:t>安全警示牌</w:t>
            </w:r>
          </w:p>
        </w:tc>
      </w:tr>
      <w:tr w14:paraId="08EA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0B173CC1">
            <w:pPr>
              <w:jc w:val="left"/>
              <w:rPr>
                <w:rFonts w:hint="default"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24</w:t>
            </w:r>
          </w:p>
        </w:tc>
        <w:tc>
          <w:tcPr>
            <w:tcW w:w="1860" w:type="dxa"/>
            <w:noWrap w:val="0"/>
            <w:vAlign w:val="center"/>
          </w:tcPr>
          <w:p w14:paraId="6E3C7454">
            <w:pPr>
              <w:jc w:val="left"/>
              <w:rPr>
                <w:rFonts w:hint="default"/>
                <w:b w:val="0"/>
                <w:bCs w:val="0"/>
                <w:sz w:val="24"/>
                <w:highlight w:val="none"/>
                <w:lang w:val="en-US" w:eastAsia="zh-CN"/>
              </w:rPr>
            </w:pPr>
            <w:r>
              <w:rPr>
                <w:rFonts w:hint="eastAsia"/>
                <w:b w:val="0"/>
                <w:bCs w:val="0"/>
                <w:sz w:val="24"/>
                <w:highlight w:val="none"/>
                <w:lang w:val="en-US" w:eastAsia="zh-CN"/>
              </w:rPr>
              <w:t>金塘-施-24</w:t>
            </w:r>
          </w:p>
        </w:tc>
        <w:tc>
          <w:tcPr>
            <w:tcW w:w="5566" w:type="dxa"/>
            <w:noWrap w:val="0"/>
            <w:vAlign w:val="top"/>
          </w:tcPr>
          <w:p w14:paraId="0A9C42F1">
            <w:pPr>
              <w:jc w:val="left"/>
              <w:rPr>
                <w:rFonts w:hint="default"/>
                <w:b w:val="0"/>
                <w:bCs w:val="0"/>
                <w:sz w:val="24"/>
                <w:highlight w:val="none"/>
                <w:lang w:val="en-US" w:eastAsia="zh-CN"/>
              </w:rPr>
            </w:pPr>
            <w:r>
              <w:rPr>
                <w:rFonts w:hint="eastAsia"/>
                <w:b w:val="0"/>
                <w:bCs w:val="0"/>
                <w:sz w:val="24"/>
                <w:highlight w:val="none"/>
                <w:lang w:val="en-US" w:eastAsia="zh-CN"/>
              </w:rPr>
              <w:t>工程建设责任牌</w:t>
            </w:r>
          </w:p>
        </w:tc>
      </w:tr>
    </w:tbl>
    <w:p w14:paraId="4EABCAB8">
      <w:pPr>
        <w:pStyle w:val="14"/>
        <w:ind w:left="0" w:leftChars="0" w:firstLine="0" w:firstLineChars="0"/>
        <w:rPr>
          <w:rFonts w:hint="default"/>
          <w:lang w:val="en-US" w:eastAsia="zh-CN"/>
        </w:rPr>
      </w:pPr>
    </w:p>
    <w:p w14:paraId="13BDF4D8">
      <w:pPr>
        <w:pStyle w:val="14"/>
        <w:ind w:left="0" w:leftChars="0" w:firstLine="0" w:firstLineChars="0"/>
        <w:rPr>
          <w:rFonts w:hint="default"/>
          <w:lang w:val="en-US" w:eastAsia="zh-CN"/>
        </w:rPr>
      </w:pPr>
    </w:p>
    <w:p w14:paraId="4C5471E4">
      <w:pPr>
        <w:rPr>
          <w:b/>
          <w:sz w:val="28"/>
        </w:rPr>
      </w:pPr>
      <w:r>
        <w:rPr>
          <w:b/>
          <w:sz w:val="28"/>
        </w:rPr>
        <w:t>（详见公告附件）</w:t>
      </w:r>
    </w:p>
    <w:p w14:paraId="601745E9">
      <w:pPr>
        <w:pStyle w:val="14"/>
        <w:ind w:left="0" w:leftChars="0" w:firstLine="0" w:firstLineChars="0"/>
        <w:rPr>
          <w:rFonts w:hint="default"/>
          <w:lang w:val="en-US" w:eastAsia="zh-CN"/>
        </w:rPr>
      </w:pPr>
    </w:p>
    <w:p w14:paraId="30AF585C">
      <w:pPr>
        <w:pStyle w:val="14"/>
        <w:ind w:left="0" w:leftChars="0" w:firstLine="0" w:firstLineChars="0"/>
        <w:rPr>
          <w:rFonts w:hint="default"/>
          <w:lang w:val="en-US" w:eastAsia="zh-CN"/>
        </w:rPr>
      </w:pPr>
    </w:p>
    <w:p w14:paraId="46D81F66">
      <w:pPr>
        <w:pStyle w:val="14"/>
        <w:ind w:left="0" w:leftChars="0" w:firstLine="0" w:firstLineChars="0"/>
        <w:rPr>
          <w:rFonts w:hint="default"/>
          <w:lang w:val="en-US" w:eastAsia="zh-CN"/>
        </w:rPr>
      </w:pPr>
    </w:p>
    <w:p w14:paraId="32185ECB">
      <w:pPr>
        <w:pStyle w:val="14"/>
        <w:ind w:left="0" w:leftChars="0" w:firstLine="0" w:firstLineChars="0"/>
        <w:rPr>
          <w:rFonts w:hint="default"/>
          <w:lang w:val="en-US" w:eastAsia="zh-CN"/>
        </w:rPr>
      </w:pPr>
    </w:p>
    <w:p w14:paraId="65CE8D0B">
      <w:pPr>
        <w:pStyle w:val="14"/>
        <w:ind w:left="0" w:leftChars="0" w:firstLine="0" w:firstLineChars="0"/>
        <w:rPr>
          <w:rFonts w:hint="default"/>
          <w:lang w:val="en-US" w:eastAsia="zh-CN"/>
        </w:rPr>
      </w:pPr>
    </w:p>
    <w:p w14:paraId="07708934">
      <w:pPr>
        <w:pStyle w:val="14"/>
        <w:ind w:left="0" w:leftChars="0" w:firstLine="0" w:firstLineChars="0"/>
        <w:rPr>
          <w:rFonts w:hint="default"/>
          <w:lang w:val="en-US" w:eastAsia="zh-CN"/>
        </w:rPr>
      </w:pPr>
    </w:p>
    <w:p w14:paraId="127E8D76">
      <w:pPr>
        <w:pStyle w:val="14"/>
        <w:ind w:left="0" w:leftChars="0" w:firstLine="0" w:firstLineChars="0"/>
        <w:rPr>
          <w:rFonts w:hint="default"/>
          <w:lang w:val="en-US" w:eastAsia="zh-CN"/>
        </w:rPr>
      </w:pPr>
    </w:p>
    <w:p w14:paraId="26E7A4A0">
      <w:pPr>
        <w:pStyle w:val="14"/>
        <w:ind w:left="0" w:leftChars="0" w:firstLine="0" w:firstLineChars="0"/>
        <w:rPr>
          <w:rFonts w:hint="default"/>
          <w:lang w:val="en-US" w:eastAsia="zh-CN"/>
        </w:rPr>
      </w:pPr>
    </w:p>
    <w:p w14:paraId="49459603">
      <w:pPr>
        <w:pStyle w:val="14"/>
        <w:ind w:left="0" w:leftChars="0" w:firstLine="0" w:firstLineChars="0"/>
        <w:rPr>
          <w:rFonts w:hint="default"/>
          <w:lang w:val="en-US" w:eastAsia="zh-CN"/>
        </w:rPr>
      </w:pPr>
    </w:p>
    <w:p w14:paraId="46EB42FE">
      <w:pPr>
        <w:pStyle w:val="14"/>
        <w:ind w:left="0" w:leftChars="0" w:firstLine="0" w:firstLineChars="0"/>
        <w:rPr>
          <w:rFonts w:hint="default"/>
          <w:lang w:val="en-US" w:eastAsia="zh-CN"/>
        </w:rPr>
      </w:pPr>
    </w:p>
    <w:p w14:paraId="6D7C1345">
      <w:pPr>
        <w:pStyle w:val="14"/>
        <w:ind w:left="0" w:leftChars="0" w:firstLine="0" w:firstLineChars="0"/>
        <w:rPr>
          <w:rFonts w:ascii="宋体" w:hAnsi="宋体" w:eastAsia="宋体" w:cs="宋体"/>
          <w:b w:val="0"/>
          <w:sz w:val="24"/>
          <w:szCs w:val="24"/>
          <w:highlight w:val="none"/>
        </w:rPr>
      </w:pPr>
      <w:r>
        <w:rPr>
          <w:rFonts w:hint="default"/>
          <w:sz w:val="24"/>
          <w:szCs w:val="24"/>
          <w:highlight w:val="none"/>
          <w:lang w:val="en-US" w:eastAsia="zh-CN"/>
        </w:rPr>
        <w:t>附件二十</w:t>
      </w:r>
      <w:r>
        <w:rPr>
          <w:rFonts w:hint="eastAsia"/>
          <w:sz w:val="24"/>
          <w:szCs w:val="24"/>
          <w:highlight w:val="none"/>
          <w:lang w:val="en-US" w:eastAsia="zh-CN"/>
        </w:rPr>
        <w:t>五：</w:t>
      </w:r>
      <w:r>
        <w:rPr>
          <w:rFonts w:hint="eastAsia" w:ascii="宋体" w:hAnsi="宋体" w:eastAsia="宋体" w:cs="宋体"/>
          <w:b w:val="0"/>
          <w:sz w:val="24"/>
          <w:szCs w:val="24"/>
          <w:highlight w:val="none"/>
        </w:rPr>
        <w:t>工程量清单及编制说明</w:t>
      </w:r>
    </w:p>
    <w:p w14:paraId="01D5EB55">
      <w:pPr>
        <w:numPr>
          <w:ilvl w:val="0"/>
          <w:numId w:val="11"/>
        </w:numPr>
        <w:spacing w:line="360" w:lineRule="auto"/>
        <w:rPr>
          <w:rFonts w:hint="eastAsia" w:ascii="宋体" w:hAnsi="宋体" w:eastAsia="宋体"/>
          <w:sz w:val="24"/>
          <w:highlight w:val="none"/>
        </w:rPr>
      </w:pPr>
      <w:r>
        <w:rPr>
          <w:rFonts w:hint="eastAsia" w:ascii="宋体" w:hAnsi="宋体" w:eastAsia="宋体"/>
          <w:sz w:val="24"/>
          <w:highlight w:val="none"/>
        </w:rPr>
        <w:t>编制说明</w:t>
      </w:r>
    </w:p>
    <w:p w14:paraId="7EA9B0B1">
      <w:pPr>
        <w:numPr>
          <w:ilvl w:val="0"/>
          <w:numId w:val="11"/>
        </w:num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工程量清单计价汇总表</w:t>
      </w:r>
    </w:p>
    <w:p w14:paraId="3B017AEF">
      <w:pPr>
        <w:numPr>
          <w:ilvl w:val="0"/>
          <w:numId w:val="11"/>
        </w:numPr>
        <w:spacing w:line="360" w:lineRule="auto"/>
        <w:rPr>
          <w:rFonts w:hint="eastAsia" w:ascii="宋体" w:hAnsi="宋体" w:eastAsia="宋体" w:cs="Times New Roman"/>
          <w:sz w:val="24"/>
          <w:highlight w:val="none"/>
          <w:lang w:eastAsia="zh-CN"/>
        </w:rPr>
      </w:pPr>
      <w:r>
        <w:rPr>
          <w:rFonts w:hint="eastAsia" w:ascii="宋体" w:hAnsi="宋体" w:eastAsia="宋体" w:cs="Times New Roman"/>
          <w:sz w:val="24"/>
          <w:highlight w:val="none"/>
        </w:rPr>
        <w:t>建筑工程分类分项工程量清单计价表</w:t>
      </w:r>
    </w:p>
    <w:p w14:paraId="6D44275D">
      <w:pPr>
        <w:numPr>
          <w:ilvl w:val="0"/>
          <w:numId w:val="11"/>
        </w:numPr>
        <w:spacing w:line="360" w:lineRule="auto"/>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金属结构设备及安装工程分类分项工程量清单计价表</w:t>
      </w:r>
    </w:p>
    <w:p w14:paraId="22149772">
      <w:pPr>
        <w:numPr>
          <w:ilvl w:val="0"/>
          <w:numId w:val="11"/>
        </w:numPr>
        <w:spacing w:line="360" w:lineRule="auto"/>
        <w:rPr>
          <w:highlight w:val="none"/>
        </w:rPr>
      </w:pPr>
      <w:r>
        <w:rPr>
          <w:rFonts w:hint="eastAsia" w:ascii="宋体" w:hAnsi="宋体" w:eastAsia="宋体" w:cs="Times New Roman"/>
          <w:sz w:val="24"/>
          <w:highlight w:val="none"/>
          <w:lang w:val="en-US" w:eastAsia="zh-CN"/>
        </w:rPr>
        <w:t>措施项目清单计价表</w:t>
      </w:r>
    </w:p>
    <w:p w14:paraId="7D8990A1">
      <w:pPr>
        <w:numPr>
          <w:ilvl w:val="0"/>
          <w:numId w:val="11"/>
        </w:numPr>
        <w:ind w:left="0" w:leftChars="0" w:firstLine="0" w:firstLineChars="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施工临时工程清单计价表</w:t>
      </w:r>
    </w:p>
    <w:p w14:paraId="344CF859">
      <w:pPr>
        <w:pStyle w:val="2"/>
        <w:numPr>
          <w:ilvl w:val="0"/>
          <w:numId w:val="11"/>
        </w:numPr>
        <w:ind w:left="0" w:leftChars="0" w:firstLine="0" w:firstLineChars="0"/>
        <w:rPr>
          <w:sz w:val="24"/>
          <w:szCs w:val="24"/>
          <w:highlight w:val="none"/>
        </w:rPr>
      </w:pPr>
      <w:r>
        <w:rPr>
          <w:rFonts w:hint="eastAsia"/>
          <w:sz w:val="24"/>
          <w:szCs w:val="24"/>
          <w:highlight w:val="none"/>
        </w:rPr>
        <w:t>主要材料价格表</w:t>
      </w:r>
    </w:p>
    <w:p w14:paraId="65544896">
      <w:pPr>
        <w:pStyle w:val="14"/>
        <w:ind w:left="0" w:leftChars="0" w:firstLine="0" w:firstLineChars="0"/>
        <w:rPr>
          <w:rFonts w:hint="default" w:ascii="宋体" w:hAnsi="宋体" w:eastAsia="宋体" w:cs="宋体"/>
          <w:b w:val="0"/>
          <w:sz w:val="24"/>
          <w:lang w:val="en-US" w:eastAsia="zh-CN"/>
        </w:rPr>
      </w:pPr>
      <w:r>
        <w:rPr>
          <w:b/>
          <w:sz w:val="28"/>
        </w:rPr>
        <w:t>（详见公告附件）</w:t>
      </w:r>
    </w:p>
    <w:sectPr>
      <w:footerReference r:id="rId13" w:type="first"/>
      <w:headerReference r:id="rId11" w:type="default"/>
      <w:footerReference r:id="rId12" w:type="default"/>
      <w:pgSz w:w="11906" w:h="16838"/>
      <w:pgMar w:top="851" w:right="1247" w:bottom="1021" w:left="1247" w:header="851" w:footer="90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auto"/>
    <w:pitch w:val="default"/>
    <w:sig w:usb0="00000000" w:usb1="00000000" w:usb2="00000000" w:usb3="00000000" w:csb0="2000009F" w:csb1="DFD70000"/>
  </w:font>
  <w:font w:name="幼圆">
    <w:altName w:val="宋体"/>
    <w:panose1 w:val="0201050906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2AC52">
    <w:pPr>
      <w:pStyle w:val="27"/>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0FC866">
                          <w:pPr>
                            <w:pStyle w:val="2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C0FC866">
                    <w:pPr>
                      <w:pStyle w:val="27"/>
                    </w:pPr>
                    <w:r>
                      <w:fldChar w:fldCharType="begin"/>
                    </w:r>
                    <w:r>
                      <w:instrText xml:space="preserve"> PAGE  \* MERGEFORMAT </w:instrText>
                    </w:r>
                    <w:r>
                      <w:fldChar w:fldCharType="separate"/>
                    </w:r>
                    <w:r>
                      <w:t>22</w:t>
                    </w:r>
                    <w:r>
                      <w:fldChar w:fldCharType="end"/>
                    </w:r>
                  </w:p>
                </w:txbxContent>
              </v:textbox>
            </v:shape>
          </w:pict>
        </mc:Fallback>
      </mc:AlternateContent>
    </w:r>
  </w:p>
  <w:p w14:paraId="110B954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0A55F">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3D460B">
                          <w:pPr>
                            <w:pStyle w:val="2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A3D460B">
                    <w:pPr>
                      <w:pStyle w:val="27"/>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ascii="仿宋_GB2312" w:eastAsia="仿宋_GB2312"/>
        <w:kern w:val="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88F7D">
    <w:pPr>
      <w:pStyle w:val="27"/>
      <w:ind w:firstLine="4320" w:firstLineChars="240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9F2EB4C">
                          <w:pPr>
                            <w:pStyle w:val="27"/>
                            <w:rPr>
                              <w:rStyle w:val="43"/>
                            </w:rPr>
                          </w:pPr>
                          <w:r>
                            <w:fldChar w:fldCharType="begin"/>
                          </w:r>
                          <w:r>
                            <w:rPr>
                              <w:rStyle w:val="43"/>
                            </w:rPr>
                            <w:instrText xml:space="preserve">PAGE  </w:instrText>
                          </w:r>
                          <w:r>
                            <w:fldChar w:fldCharType="separate"/>
                          </w:r>
                          <w:r>
                            <w:rPr>
                              <w:rStyle w:val="43"/>
                            </w:rPr>
                            <w:t>4</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zfcFQ5wEAAMgD&#10;AAAOAAAAAAAAAAEAIAAAAB4BAABkcnMvZTJvRG9jLnhtbFBLBQYAAAAABgAGAFkBAAB3BQAAAAA=&#10;">
              <v:fill on="f" focussize="0,0"/>
              <v:stroke on="f"/>
              <v:imagedata o:title=""/>
              <o:lock v:ext="edit" aspectratio="f"/>
              <v:textbox inset="0mm,0mm,0mm,0mm" style="mso-fit-shape-to-text:t;">
                <w:txbxContent>
                  <w:p w14:paraId="69F2EB4C">
                    <w:pPr>
                      <w:pStyle w:val="27"/>
                      <w:rPr>
                        <w:rStyle w:val="43"/>
                      </w:rPr>
                    </w:pPr>
                    <w:r>
                      <w:fldChar w:fldCharType="begin"/>
                    </w:r>
                    <w:r>
                      <w:rPr>
                        <w:rStyle w:val="43"/>
                      </w:rPr>
                      <w:instrText xml:space="preserve">PAGE  </w:instrText>
                    </w:r>
                    <w:r>
                      <w:fldChar w:fldCharType="separate"/>
                    </w:r>
                    <w:r>
                      <w:rPr>
                        <w:rStyle w:val="43"/>
                      </w:rPr>
                      <w:t>4</w:t>
                    </w:r>
                    <w:r>
                      <w:fldChar w:fldCharType="end"/>
                    </w:r>
                  </w:p>
                </w:txbxContent>
              </v:textbox>
            </v:shape>
          </w:pict>
        </mc:Fallback>
      </mc:AlternateContent>
    </w:r>
    <w:r>
      <w:rPr>
        <w:rFonts w:hint="eastAsia"/>
      </w:rPr>
      <w:t xml:space="preserve">  </w:t>
    </w:r>
    <w: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B9CB">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C7A3C5">
                          <w:pPr>
                            <w:pStyle w:val="2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ghS4x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IUuMQIAAGMEAAAOAAAAAAAAAAEAIAAAAB8BAABkcnMvZTJvRG9jLnhtbFBLBQYA&#10;AAAABgAGAFkBAADCBQAAAAA=&#10;">
              <v:fill on="f" focussize="0,0"/>
              <v:stroke on="f" weight="0.5pt"/>
              <v:imagedata o:title=""/>
              <o:lock v:ext="edit" aspectratio="f"/>
              <v:textbox inset="0mm,0mm,0mm,0mm" style="mso-fit-shape-to-text:t;">
                <w:txbxContent>
                  <w:p w14:paraId="38C7A3C5">
                    <w:pPr>
                      <w:pStyle w:val="27"/>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ascii="仿宋_GB2312" w:eastAsia="仿宋_GB2312"/>
        <w:kern w:val="0"/>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B6FF">
    <w:pPr>
      <w:pStyle w:val="27"/>
      <w:ind w:firstLine="4320" w:firstLineChars="2400"/>
    </w:pPr>
    <w:r>
      <w:rPr>
        <w:rFonts w:hint="eastAsia"/>
      </w:rPr>
      <w:t xml:space="preserve">  </w:t>
    </w:r>
    <w:r>
      <w:t xml:space="preserve">   </w: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B41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43736">
    <w:pPr>
      <w:pStyle w:val="29"/>
      <w:jc w:val="both"/>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东阳市巍山镇金塘山塘综合整治工程（第三次）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9B224">
    <w:pPr>
      <w:pStyle w:val="29"/>
      <w:jc w:val="both"/>
    </w:pPr>
    <w:r>
      <w:rPr>
        <w:rFonts w:hint="eastAsia"/>
      </w:rPr>
      <w:t>东阳市2022年度开发区节约集约利用评价项目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B51A3">
    <w:pPr>
      <w:pStyle w:val="29"/>
      <w:jc w:val="left"/>
      <w:rPr>
        <w:rFonts w:hint="eastAsia"/>
        <w:lang w:eastAsia="zh-CN"/>
      </w:rPr>
    </w:pPr>
    <w:r>
      <w:rPr>
        <w:rFonts w:hint="eastAsia"/>
        <w:lang w:eastAsia="zh-CN"/>
      </w:rPr>
      <w:t>东阳市巍山镇金塘山塘综合整治工程（第三次）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FC4A8">
    <w:pPr>
      <w:pStyle w:val="29"/>
      <w:pBdr>
        <w:bottom w:val="none" w:color="auto" w:sz="0" w:space="1"/>
      </w:pBdr>
      <w:jc w:val="both"/>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3E44">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5B089"/>
    <w:multiLevelType w:val="singleLevel"/>
    <w:tmpl w:val="A405B089"/>
    <w:lvl w:ilvl="0" w:tentative="0">
      <w:start w:val="1"/>
      <w:numFmt w:val="chineseCounting"/>
      <w:suff w:val="nothing"/>
      <w:lvlText w:val="%1、"/>
      <w:lvlJc w:val="left"/>
      <w:rPr>
        <w:rFonts w:hint="eastAsia"/>
      </w:rPr>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06188343"/>
    <w:multiLevelType w:val="singleLevel"/>
    <w:tmpl w:val="06188343"/>
    <w:lvl w:ilvl="0" w:tentative="0">
      <w:start w:val="1"/>
      <w:numFmt w:val="decimal"/>
      <w:suff w:val="nothing"/>
      <w:lvlText w:val="%1、"/>
      <w:lvlJc w:val="left"/>
    </w:lvl>
  </w:abstractNum>
  <w:abstractNum w:abstractNumId="3">
    <w:nsid w:val="23E1191B"/>
    <w:multiLevelType w:val="multilevel"/>
    <w:tmpl w:val="23E119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8"/>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524B3228"/>
    <w:multiLevelType w:val="singleLevel"/>
    <w:tmpl w:val="524B3228"/>
    <w:lvl w:ilvl="0" w:tentative="0">
      <w:start w:val="1"/>
      <w:numFmt w:val="decimal"/>
      <w:suff w:val="nothing"/>
      <w:lvlText w:val="（%1）"/>
      <w:lvlJc w:val="left"/>
    </w:lvl>
  </w:abstractNum>
  <w:abstractNum w:abstractNumId="6">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6"/>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5D410D0D"/>
    <w:multiLevelType w:val="singleLevel"/>
    <w:tmpl w:val="5D410D0D"/>
    <w:lvl w:ilvl="0" w:tentative="0">
      <w:start w:val="5"/>
      <w:numFmt w:val="chineseCounting"/>
      <w:suff w:val="space"/>
      <w:lvlText w:val="第%1章"/>
      <w:lvlJc w:val="left"/>
      <w:rPr>
        <w:rFonts w:hint="eastAsia"/>
      </w:rPr>
    </w:lvl>
  </w:abstractNum>
  <w:abstractNum w:abstractNumId="8">
    <w:nsid w:val="64DE61C4"/>
    <w:multiLevelType w:val="multilevel"/>
    <w:tmpl w:val="64DE61C4"/>
    <w:lvl w:ilvl="0" w:tentative="0">
      <w:start w:val="1"/>
      <w:numFmt w:val="decimal"/>
      <w:pStyle w:val="11"/>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6"/>
  </w:num>
  <w:num w:numId="4">
    <w:abstractNumId w:val="0"/>
  </w:num>
  <w:num w:numId="5">
    <w:abstractNumId w:val="3"/>
  </w:num>
  <w:num w:numId="6">
    <w:abstractNumId w:val="2"/>
  </w:num>
  <w:num w:numId="7">
    <w:abstractNumId w:val="10"/>
  </w:num>
  <w:num w:numId="8">
    <w:abstractNumId w:val="1"/>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mE1YjkyM2VkNWQwY2Q4ZjczN2Y5YWM4NjYwYWU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720"/>
    <w:rsid w:val="00073C15"/>
    <w:rsid w:val="00073DE6"/>
    <w:rsid w:val="0007498C"/>
    <w:rsid w:val="00074ED8"/>
    <w:rsid w:val="00075147"/>
    <w:rsid w:val="00075B60"/>
    <w:rsid w:val="00075D67"/>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933"/>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080"/>
    <w:rsid w:val="00102358"/>
    <w:rsid w:val="0010277E"/>
    <w:rsid w:val="001027EB"/>
    <w:rsid w:val="00102C71"/>
    <w:rsid w:val="00102F65"/>
    <w:rsid w:val="001030C6"/>
    <w:rsid w:val="00103374"/>
    <w:rsid w:val="001034A5"/>
    <w:rsid w:val="001035FB"/>
    <w:rsid w:val="00103A8F"/>
    <w:rsid w:val="001040BF"/>
    <w:rsid w:val="00104588"/>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3BDB"/>
    <w:rsid w:val="00154642"/>
    <w:rsid w:val="00154A42"/>
    <w:rsid w:val="00154A4E"/>
    <w:rsid w:val="00154BFD"/>
    <w:rsid w:val="00154D3A"/>
    <w:rsid w:val="0015574B"/>
    <w:rsid w:val="00155B0F"/>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45F"/>
    <w:rsid w:val="001D1598"/>
    <w:rsid w:val="001D1A30"/>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65"/>
    <w:rsid w:val="002971E8"/>
    <w:rsid w:val="00297D26"/>
    <w:rsid w:val="002A02EB"/>
    <w:rsid w:val="002A0507"/>
    <w:rsid w:val="002A06E4"/>
    <w:rsid w:val="002A112C"/>
    <w:rsid w:val="002A142A"/>
    <w:rsid w:val="002A1A2C"/>
    <w:rsid w:val="002A1D2B"/>
    <w:rsid w:val="002A21DD"/>
    <w:rsid w:val="002A2353"/>
    <w:rsid w:val="002A2E8F"/>
    <w:rsid w:val="002A325C"/>
    <w:rsid w:val="002A3552"/>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8E7"/>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4B23"/>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4F73FB"/>
    <w:rsid w:val="005000AD"/>
    <w:rsid w:val="0050079A"/>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28D"/>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5357"/>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427D"/>
    <w:rsid w:val="006E517D"/>
    <w:rsid w:val="006E5222"/>
    <w:rsid w:val="006E581C"/>
    <w:rsid w:val="006E5EC2"/>
    <w:rsid w:val="006E64BA"/>
    <w:rsid w:val="006E6D9A"/>
    <w:rsid w:val="006E7C92"/>
    <w:rsid w:val="006F028B"/>
    <w:rsid w:val="006F1934"/>
    <w:rsid w:val="006F2030"/>
    <w:rsid w:val="006F2D15"/>
    <w:rsid w:val="006F2D96"/>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030"/>
    <w:rsid w:val="007B127F"/>
    <w:rsid w:val="007B187A"/>
    <w:rsid w:val="007B228E"/>
    <w:rsid w:val="007B288D"/>
    <w:rsid w:val="007B2CBF"/>
    <w:rsid w:val="007B3B3B"/>
    <w:rsid w:val="007B4508"/>
    <w:rsid w:val="007B477D"/>
    <w:rsid w:val="007B4805"/>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6BE"/>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64E"/>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28B"/>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0A9"/>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017"/>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609"/>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4B9"/>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A3C"/>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60F"/>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AD3"/>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E74"/>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2C2F"/>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87D64"/>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5EA"/>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3B21"/>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8A"/>
    <w:rsid w:val="00D8607E"/>
    <w:rsid w:val="00D86419"/>
    <w:rsid w:val="00D86626"/>
    <w:rsid w:val="00D867F6"/>
    <w:rsid w:val="00D8689C"/>
    <w:rsid w:val="00D8764B"/>
    <w:rsid w:val="00D87E97"/>
    <w:rsid w:val="00D901D1"/>
    <w:rsid w:val="00D91424"/>
    <w:rsid w:val="00D9172E"/>
    <w:rsid w:val="00D91A58"/>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2C0"/>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2A4E21"/>
    <w:rsid w:val="013A690F"/>
    <w:rsid w:val="01593F92"/>
    <w:rsid w:val="015A1913"/>
    <w:rsid w:val="015A7948"/>
    <w:rsid w:val="015E2839"/>
    <w:rsid w:val="016B05BC"/>
    <w:rsid w:val="0175443A"/>
    <w:rsid w:val="01777E30"/>
    <w:rsid w:val="018C199F"/>
    <w:rsid w:val="01957768"/>
    <w:rsid w:val="019F0AF5"/>
    <w:rsid w:val="01A152B0"/>
    <w:rsid w:val="01C15437"/>
    <w:rsid w:val="01C67396"/>
    <w:rsid w:val="01C74AC8"/>
    <w:rsid w:val="01C80D59"/>
    <w:rsid w:val="01D11701"/>
    <w:rsid w:val="01E0373D"/>
    <w:rsid w:val="01E92329"/>
    <w:rsid w:val="01F125AA"/>
    <w:rsid w:val="01FA6612"/>
    <w:rsid w:val="01FE0052"/>
    <w:rsid w:val="020B325A"/>
    <w:rsid w:val="021235EC"/>
    <w:rsid w:val="02221DF9"/>
    <w:rsid w:val="0242118E"/>
    <w:rsid w:val="024C2B81"/>
    <w:rsid w:val="024F2D27"/>
    <w:rsid w:val="025C69AC"/>
    <w:rsid w:val="02790E31"/>
    <w:rsid w:val="027F2E0D"/>
    <w:rsid w:val="0295339B"/>
    <w:rsid w:val="029B3A6C"/>
    <w:rsid w:val="02AD79EA"/>
    <w:rsid w:val="02AF1E27"/>
    <w:rsid w:val="02BE3F94"/>
    <w:rsid w:val="02BE5535"/>
    <w:rsid w:val="02C357E3"/>
    <w:rsid w:val="02DF6410"/>
    <w:rsid w:val="02ED3385"/>
    <w:rsid w:val="02F016DD"/>
    <w:rsid w:val="02F43A2B"/>
    <w:rsid w:val="03056DC8"/>
    <w:rsid w:val="03145467"/>
    <w:rsid w:val="031B7166"/>
    <w:rsid w:val="031C07A5"/>
    <w:rsid w:val="031C76EC"/>
    <w:rsid w:val="0320478A"/>
    <w:rsid w:val="03355265"/>
    <w:rsid w:val="035C6DF3"/>
    <w:rsid w:val="035E787F"/>
    <w:rsid w:val="036A1685"/>
    <w:rsid w:val="03764359"/>
    <w:rsid w:val="037D3E51"/>
    <w:rsid w:val="0395476E"/>
    <w:rsid w:val="03E156A2"/>
    <w:rsid w:val="03F21F57"/>
    <w:rsid w:val="04003EB2"/>
    <w:rsid w:val="04020541"/>
    <w:rsid w:val="041F679F"/>
    <w:rsid w:val="04271AF0"/>
    <w:rsid w:val="045460E0"/>
    <w:rsid w:val="045A31A4"/>
    <w:rsid w:val="04643AB8"/>
    <w:rsid w:val="046A6998"/>
    <w:rsid w:val="047E396A"/>
    <w:rsid w:val="0480087C"/>
    <w:rsid w:val="04916503"/>
    <w:rsid w:val="04990B69"/>
    <w:rsid w:val="04AB1DE0"/>
    <w:rsid w:val="04AB2DF4"/>
    <w:rsid w:val="04CC08EB"/>
    <w:rsid w:val="04D043AD"/>
    <w:rsid w:val="04D30939"/>
    <w:rsid w:val="04FE4E8A"/>
    <w:rsid w:val="0511593E"/>
    <w:rsid w:val="05132475"/>
    <w:rsid w:val="05141DF0"/>
    <w:rsid w:val="051D5FC6"/>
    <w:rsid w:val="05285B11"/>
    <w:rsid w:val="0531620D"/>
    <w:rsid w:val="05415BBD"/>
    <w:rsid w:val="05481A3A"/>
    <w:rsid w:val="0549490C"/>
    <w:rsid w:val="055178E9"/>
    <w:rsid w:val="05603190"/>
    <w:rsid w:val="057000C1"/>
    <w:rsid w:val="058D12A0"/>
    <w:rsid w:val="0598798D"/>
    <w:rsid w:val="05990C7D"/>
    <w:rsid w:val="05A61FAC"/>
    <w:rsid w:val="05AE30F1"/>
    <w:rsid w:val="05B40ECA"/>
    <w:rsid w:val="05C100EB"/>
    <w:rsid w:val="05D73B61"/>
    <w:rsid w:val="05E570CC"/>
    <w:rsid w:val="05E60001"/>
    <w:rsid w:val="05EF03F3"/>
    <w:rsid w:val="05EF52C8"/>
    <w:rsid w:val="05F27668"/>
    <w:rsid w:val="0619721E"/>
    <w:rsid w:val="062A3D1C"/>
    <w:rsid w:val="062A44AF"/>
    <w:rsid w:val="062E3A1D"/>
    <w:rsid w:val="063925D1"/>
    <w:rsid w:val="063E7EA9"/>
    <w:rsid w:val="06612458"/>
    <w:rsid w:val="06633218"/>
    <w:rsid w:val="066D34B2"/>
    <w:rsid w:val="066D5F43"/>
    <w:rsid w:val="067A5870"/>
    <w:rsid w:val="067A6032"/>
    <w:rsid w:val="068805E7"/>
    <w:rsid w:val="06881577"/>
    <w:rsid w:val="06985820"/>
    <w:rsid w:val="06992382"/>
    <w:rsid w:val="06A170F3"/>
    <w:rsid w:val="06AB18BD"/>
    <w:rsid w:val="06C059C2"/>
    <w:rsid w:val="06C26FEB"/>
    <w:rsid w:val="06C620FA"/>
    <w:rsid w:val="06D56611"/>
    <w:rsid w:val="06D66EBD"/>
    <w:rsid w:val="06DA6F81"/>
    <w:rsid w:val="06DC3A32"/>
    <w:rsid w:val="06E45F93"/>
    <w:rsid w:val="06EB6750"/>
    <w:rsid w:val="06F07F7E"/>
    <w:rsid w:val="06F37001"/>
    <w:rsid w:val="07005B38"/>
    <w:rsid w:val="0705457D"/>
    <w:rsid w:val="07325BCD"/>
    <w:rsid w:val="07364A4C"/>
    <w:rsid w:val="075B095F"/>
    <w:rsid w:val="07687B73"/>
    <w:rsid w:val="076C4EC2"/>
    <w:rsid w:val="076D2C0D"/>
    <w:rsid w:val="077F065C"/>
    <w:rsid w:val="07893F2F"/>
    <w:rsid w:val="078C107C"/>
    <w:rsid w:val="078E4C5C"/>
    <w:rsid w:val="07933081"/>
    <w:rsid w:val="07B00F1D"/>
    <w:rsid w:val="07C8347D"/>
    <w:rsid w:val="07F51BAB"/>
    <w:rsid w:val="081A2A1A"/>
    <w:rsid w:val="08276797"/>
    <w:rsid w:val="082A5356"/>
    <w:rsid w:val="082D6F32"/>
    <w:rsid w:val="083A0D4F"/>
    <w:rsid w:val="08625011"/>
    <w:rsid w:val="08682F69"/>
    <w:rsid w:val="08767126"/>
    <w:rsid w:val="0884628E"/>
    <w:rsid w:val="088816B9"/>
    <w:rsid w:val="089E1642"/>
    <w:rsid w:val="08B17BE1"/>
    <w:rsid w:val="08BA426F"/>
    <w:rsid w:val="08E522B1"/>
    <w:rsid w:val="08EB7112"/>
    <w:rsid w:val="08F07C2D"/>
    <w:rsid w:val="08F4703A"/>
    <w:rsid w:val="08F66B32"/>
    <w:rsid w:val="08FA146D"/>
    <w:rsid w:val="090030B6"/>
    <w:rsid w:val="090620B8"/>
    <w:rsid w:val="09127C2A"/>
    <w:rsid w:val="091A2C9A"/>
    <w:rsid w:val="091A7D77"/>
    <w:rsid w:val="09216662"/>
    <w:rsid w:val="09281FD6"/>
    <w:rsid w:val="09292548"/>
    <w:rsid w:val="093951B3"/>
    <w:rsid w:val="093F51ED"/>
    <w:rsid w:val="094314F2"/>
    <w:rsid w:val="09465B74"/>
    <w:rsid w:val="094846AB"/>
    <w:rsid w:val="09497E1A"/>
    <w:rsid w:val="095073FA"/>
    <w:rsid w:val="09551119"/>
    <w:rsid w:val="09577B8B"/>
    <w:rsid w:val="09671F72"/>
    <w:rsid w:val="09675EB5"/>
    <w:rsid w:val="0992244E"/>
    <w:rsid w:val="09A9515D"/>
    <w:rsid w:val="09AC384F"/>
    <w:rsid w:val="09B16020"/>
    <w:rsid w:val="09B23C11"/>
    <w:rsid w:val="09B47A1D"/>
    <w:rsid w:val="09B76C6A"/>
    <w:rsid w:val="09BB62F2"/>
    <w:rsid w:val="09D26AB5"/>
    <w:rsid w:val="09D75580"/>
    <w:rsid w:val="09EA7679"/>
    <w:rsid w:val="0A097FBA"/>
    <w:rsid w:val="0A1C2502"/>
    <w:rsid w:val="0A2B4270"/>
    <w:rsid w:val="0A452777"/>
    <w:rsid w:val="0A4632D9"/>
    <w:rsid w:val="0A4E36C6"/>
    <w:rsid w:val="0A517CAA"/>
    <w:rsid w:val="0A52729D"/>
    <w:rsid w:val="0A874528"/>
    <w:rsid w:val="0A8B7316"/>
    <w:rsid w:val="0A8C110E"/>
    <w:rsid w:val="0AA16F7A"/>
    <w:rsid w:val="0AAD4EDD"/>
    <w:rsid w:val="0AB55D02"/>
    <w:rsid w:val="0ABF0BD3"/>
    <w:rsid w:val="0ACC08EE"/>
    <w:rsid w:val="0AD05264"/>
    <w:rsid w:val="0ADB3B99"/>
    <w:rsid w:val="0ADE619B"/>
    <w:rsid w:val="0AE5691F"/>
    <w:rsid w:val="0AE8742C"/>
    <w:rsid w:val="0AF639B0"/>
    <w:rsid w:val="0AF65375"/>
    <w:rsid w:val="0AFA5870"/>
    <w:rsid w:val="0AFB19E5"/>
    <w:rsid w:val="0B022976"/>
    <w:rsid w:val="0B081D3B"/>
    <w:rsid w:val="0B0C32F3"/>
    <w:rsid w:val="0B0C4720"/>
    <w:rsid w:val="0B197E66"/>
    <w:rsid w:val="0B204BAA"/>
    <w:rsid w:val="0B2D2AD7"/>
    <w:rsid w:val="0B2E01DA"/>
    <w:rsid w:val="0B320337"/>
    <w:rsid w:val="0B346A82"/>
    <w:rsid w:val="0B38067D"/>
    <w:rsid w:val="0B3C6044"/>
    <w:rsid w:val="0B560E92"/>
    <w:rsid w:val="0B561CDB"/>
    <w:rsid w:val="0B673601"/>
    <w:rsid w:val="0B704E99"/>
    <w:rsid w:val="0B7371A6"/>
    <w:rsid w:val="0B7609EE"/>
    <w:rsid w:val="0B760C93"/>
    <w:rsid w:val="0B7A075E"/>
    <w:rsid w:val="0B8A79AF"/>
    <w:rsid w:val="0BA55BDE"/>
    <w:rsid w:val="0BB7E64E"/>
    <w:rsid w:val="0BBE65A8"/>
    <w:rsid w:val="0BDC277F"/>
    <w:rsid w:val="0BEF6659"/>
    <w:rsid w:val="0BF56D6B"/>
    <w:rsid w:val="0BF81BBC"/>
    <w:rsid w:val="0BFC7976"/>
    <w:rsid w:val="0C015150"/>
    <w:rsid w:val="0C121E0B"/>
    <w:rsid w:val="0C195DBC"/>
    <w:rsid w:val="0C1C402C"/>
    <w:rsid w:val="0C27651D"/>
    <w:rsid w:val="0C342351"/>
    <w:rsid w:val="0C52058D"/>
    <w:rsid w:val="0C5313A4"/>
    <w:rsid w:val="0C580538"/>
    <w:rsid w:val="0C590374"/>
    <w:rsid w:val="0C5A588C"/>
    <w:rsid w:val="0C635FA4"/>
    <w:rsid w:val="0C682019"/>
    <w:rsid w:val="0C6B0C28"/>
    <w:rsid w:val="0C8F6630"/>
    <w:rsid w:val="0C954B1D"/>
    <w:rsid w:val="0C9A510C"/>
    <w:rsid w:val="0C9D168E"/>
    <w:rsid w:val="0CA75583"/>
    <w:rsid w:val="0CA93832"/>
    <w:rsid w:val="0CAC493E"/>
    <w:rsid w:val="0CC266AF"/>
    <w:rsid w:val="0CC47EE3"/>
    <w:rsid w:val="0CCD6EC3"/>
    <w:rsid w:val="0CD10C70"/>
    <w:rsid w:val="0CD50F98"/>
    <w:rsid w:val="0CDC30BC"/>
    <w:rsid w:val="0CEF32BC"/>
    <w:rsid w:val="0CF5147B"/>
    <w:rsid w:val="0D022AF7"/>
    <w:rsid w:val="0D0B0957"/>
    <w:rsid w:val="0D1225E1"/>
    <w:rsid w:val="0D142F14"/>
    <w:rsid w:val="0D2C0E94"/>
    <w:rsid w:val="0D2D3C5F"/>
    <w:rsid w:val="0D66545C"/>
    <w:rsid w:val="0D6B717A"/>
    <w:rsid w:val="0D6F45C7"/>
    <w:rsid w:val="0DA25357"/>
    <w:rsid w:val="0DA5377E"/>
    <w:rsid w:val="0DB1705C"/>
    <w:rsid w:val="0DB37D75"/>
    <w:rsid w:val="0DB811DB"/>
    <w:rsid w:val="0DBA2787"/>
    <w:rsid w:val="0DBB182E"/>
    <w:rsid w:val="0DC12134"/>
    <w:rsid w:val="0DC31923"/>
    <w:rsid w:val="0DCA7B13"/>
    <w:rsid w:val="0DD62FEF"/>
    <w:rsid w:val="0DEF149A"/>
    <w:rsid w:val="0DF504D7"/>
    <w:rsid w:val="0E036A28"/>
    <w:rsid w:val="0E0552CC"/>
    <w:rsid w:val="0E2E0EBE"/>
    <w:rsid w:val="0E47447A"/>
    <w:rsid w:val="0E4C14FB"/>
    <w:rsid w:val="0E6401D1"/>
    <w:rsid w:val="0E651521"/>
    <w:rsid w:val="0E663744"/>
    <w:rsid w:val="0E6A4ABA"/>
    <w:rsid w:val="0E6F23C7"/>
    <w:rsid w:val="0E7476E7"/>
    <w:rsid w:val="0E836419"/>
    <w:rsid w:val="0E855450"/>
    <w:rsid w:val="0E8854FB"/>
    <w:rsid w:val="0E947A66"/>
    <w:rsid w:val="0E9833E6"/>
    <w:rsid w:val="0EA77ADD"/>
    <w:rsid w:val="0EC37076"/>
    <w:rsid w:val="0EC37A24"/>
    <w:rsid w:val="0ECC12D1"/>
    <w:rsid w:val="0ED41EEF"/>
    <w:rsid w:val="0ED51137"/>
    <w:rsid w:val="0ED7095E"/>
    <w:rsid w:val="0EDF39F1"/>
    <w:rsid w:val="0EEF3211"/>
    <w:rsid w:val="0EF034AB"/>
    <w:rsid w:val="0EF453C6"/>
    <w:rsid w:val="0EF937ED"/>
    <w:rsid w:val="0F1E70E7"/>
    <w:rsid w:val="0F293DB0"/>
    <w:rsid w:val="0F392121"/>
    <w:rsid w:val="0F4F55DC"/>
    <w:rsid w:val="0F500AAD"/>
    <w:rsid w:val="0F5838F2"/>
    <w:rsid w:val="0F760726"/>
    <w:rsid w:val="0F7A7366"/>
    <w:rsid w:val="0FA1184A"/>
    <w:rsid w:val="0FA96591"/>
    <w:rsid w:val="0FAA1800"/>
    <w:rsid w:val="0FAD455E"/>
    <w:rsid w:val="0FB94A66"/>
    <w:rsid w:val="0FCE2E27"/>
    <w:rsid w:val="0FCF6175"/>
    <w:rsid w:val="0FDE179C"/>
    <w:rsid w:val="0FE81C1D"/>
    <w:rsid w:val="0FEA0C5A"/>
    <w:rsid w:val="0FF87DD2"/>
    <w:rsid w:val="10077BBA"/>
    <w:rsid w:val="101629EB"/>
    <w:rsid w:val="101F3682"/>
    <w:rsid w:val="10263253"/>
    <w:rsid w:val="102736D0"/>
    <w:rsid w:val="102C7D44"/>
    <w:rsid w:val="10350AA9"/>
    <w:rsid w:val="106344F9"/>
    <w:rsid w:val="106E7C51"/>
    <w:rsid w:val="10700194"/>
    <w:rsid w:val="107B3173"/>
    <w:rsid w:val="10964624"/>
    <w:rsid w:val="10A73812"/>
    <w:rsid w:val="10AF05A0"/>
    <w:rsid w:val="10B21301"/>
    <w:rsid w:val="10B75631"/>
    <w:rsid w:val="110B2FB0"/>
    <w:rsid w:val="11315402"/>
    <w:rsid w:val="114749A4"/>
    <w:rsid w:val="116537E5"/>
    <w:rsid w:val="1169450A"/>
    <w:rsid w:val="11786B55"/>
    <w:rsid w:val="118F3035"/>
    <w:rsid w:val="11902D52"/>
    <w:rsid w:val="11A113D2"/>
    <w:rsid w:val="11A337C2"/>
    <w:rsid w:val="11B12A00"/>
    <w:rsid w:val="11B524F0"/>
    <w:rsid w:val="11B76268"/>
    <w:rsid w:val="11C01717"/>
    <w:rsid w:val="11D53A3D"/>
    <w:rsid w:val="11DE26F6"/>
    <w:rsid w:val="11F50B3F"/>
    <w:rsid w:val="12080C76"/>
    <w:rsid w:val="120F0E58"/>
    <w:rsid w:val="122A006C"/>
    <w:rsid w:val="12307B5E"/>
    <w:rsid w:val="1238707D"/>
    <w:rsid w:val="123F43B0"/>
    <w:rsid w:val="123F7018"/>
    <w:rsid w:val="125D54CB"/>
    <w:rsid w:val="126A535E"/>
    <w:rsid w:val="12761A96"/>
    <w:rsid w:val="12822265"/>
    <w:rsid w:val="129B148F"/>
    <w:rsid w:val="129F0AAB"/>
    <w:rsid w:val="12A24799"/>
    <w:rsid w:val="12AB56A1"/>
    <w:rsid w:val="12AF73DE"/>
    <w:rsid w:val="12B76B0D"/>
    <w:rsid w:val="12C27C02"/>
    <w:rsid w:val="12D562FA"/>
    <w:rsid w:val="12D82A7F"/>
    <w:rsid w:val="12DA7F5C"/>
    <w:rsid w:val="12E332FA"/>
    <w:rsid w:val="12F12F9E"/>
    <w:rsid w:val="12F75FF5"/>
    <w:rsid w:val="132D7A2F"/>
    <w:rsid w:val="13433B2C"/>
    <w:rsid w:val="13492B62"/>
    <w:rsid w:val="13684C7A"/>
    <w:rsid w:val="136E7CAF"/>
    <w:rsid w:val="139522A0"/>
    <w:rsid w:val="13B72832"/>
    <w:rsid w:val="13BA0BEB"/>
    <w:rsid w:val="13C63A51"/>
    <w:rsid w:val="13CD08B6"/>
    <w:rsid w:val="13D56B53"/>
    <w:rsid w:val="13E30590"/>
    <w:rsid w:val="13E843A1"/>
    <w:rsid w:val="13F225AE"/>
    <w:rsid w:val="13FB3D98"/>
    <w:rsid w:val="1403644B"/>
    <w:rsid w:val="141731A4"/>
    <w:rsid w:val="14342245"/>
    <w:rsid w:val="143A501D"/>
    <w:rsid w:val="143A694A"/>
    <w:rsid w:val="143C398A"/>
    <w:rsid w:val="14540FBC"/>
    <w:rsid w:val="147036BF"/>
    <w:rsid w:val="14776FC2"/>
    <w:rsid w:val="14A27F30"/>
    <w:rsid w:val="14A763BF"/>
    <w:rsid w:val="14AA7EAE"/>
    <w:rsid w:val="14C4150D"/>
    <w:rsid w:val="14D83D18"/>
    <w:rsid w:val="14E94451"/>
    <w:rsid w:val="14FD703B"/>
    <w:rsid w:val="14FD7E50"/>
    <w:rsid w:val="152557F8"/>
    <w:rsid w:val="15283F85"/>
    <w:rsid w:val="152E4435"/>
    <w:rsid w:val="15421D14"/>
    <w:rsid w:val="154C1133"/>
    <w:rsid w:val="1550122B"/>
    <w:rsid w:val="15697744"/>
    <w:rsid w:val="159D64B9"/>
    <w:rsid w:val="159F4AC2"/>
    <w:rsid w:val="15B2020C"/>
    <w:rsid w:val="15B27B74"/>
    <w:rsid w:val="15C1538F"/>
    <w:rsid w:val="15D905AC"/>
    <w:rsid w:val="15DD5FFB"/>
    <w:rsid w:val="15EF268F"/>
    <w:rsid w:val="15F020C0"/>
    <w:rsid w:val="15F250DF"/>
    <w:rsid w:val="15F77F8C"/>
    <w:rsid w:val="16053AF1"/>
    <w:rsid w:val="160D7966"/>
    <w:rsid w:val="16335803"/>
    <w:rsid w:val="1633604B"/>
    <w:rsid w:val="16365169"/>
    <w:rsid w:val="163F67DF"/>
    <w:rsid w:val="164A4609"/>
    <w:rsid w:val="164B037A"/>
    <w:rsid w:val="164F1BD6"/>
    <w:rsid w:val="165916AA"/>
    <w:rsid w:val="1659625E"/>
    <w:rsid w:val="16596D58"/>
    <w:rsid w:val="166B0AFE"/>
    <w:rsid w:val="166F0E0C"/>
    <w:rsid w:val="16755FAF"/>
    <w:rsid w:val="16867800"/>
    <w:rsid w:val="16893C88"/>
    <w:rsid w:val="168B753F"/>
    <w:rsid w:val="169556B0"/>
    <w:rsid w:val="16A22220"/>
    <w:rsid w:val="16AB4A01"/>
    <w:rsid w:val="16C96D7D"/>
    <w:rsid w:val="16D62CF8"/>
    <w:rsid w:val="16DC62F6"/>
    <w:rsid w:val="16F7709F"/>
    <w:rsid w:val="17032F48"/>
    <w:rsid w:val="170B670F"/>
    <w:rsid w:val="170C5D38"/>
    <w:rsid w:val="170E19D2"/>
    <w:rsid w:val="1723380C"/>
    <w:rsid w:val="1733456F"/>
    <w:rsid w:val="17412155"/>
    <w:rsid w:val="17560404"/>
    <w:rsid w:val="17574A29"/>
    <w:rsid w:val="177C3F5A"/>
    <w:rsid w:val="17884203"/>
    <w:rsid w:val="17B2462D"/>
    <w:rsid w:val="17B374D2"/>
    <w:rsid w:val="17C07725"/>
    <w:rsid w:val="17CD000B"/>
    <w:rsid w:val="17D2179B"/>
    <w:rsid w:val="17D81ED7"/>
    <w:rsid w:val="17E70A1A"/>
    <w:rsid w:val="17F5409B"/>
    <w:rsid w:val="17F730B7"/>
    <w:rsid w:val="18026C7F"/>
    <w:rsid w:val="18046E47"/>
    <w:rsid w:val="180828EA"/>
    <w:rsid w:val="18095209"/>
    <w:rsid w:val="1823219C"/>
    <w:rsid w:val="18283386"/>
    <w:rsid w:val="183C6202"/>
    <w:rsid w:val="185C0435"/>
    <w:rsid w:val="18647317"/>
    <w:rsid w:val="186F6AE2"/>
    <w:rsid w:val="18763CB0"/>
    <w:rsid w:val="188432FC"/>
    <w:rsid w:val="188C54E8"/>
    <w:rsid w:val="189B4117"/>
    <w:rsid w:val="18A312F5"/>
    <w:rsid w:val="18A46D85"/>
    <w:rsid w:val="18AC32DE"/>
    <w:rsid w:val="18B01839"/>
    <w:rsid w:val="18B12E63"/>
    <w:rsid w:val="18B57E8E"/>
    <w:rsid w:val="18C30476"/>
    <w:rsid w:val="18CB084B"/>
    <w:rsid w:val="18DF39A8"/>
    <w:rsid w:val="18E20D53"/>
    <w:rsid w:val="18E6739D"/>
    <w:rsid w:val="18E73DF2"/>
    <w:rsid w:val="18F32BB1"/>
    <w:rsid w:val="18F80BD4"/>
    <w:rsid w:val="18F84666"/>
    <w:rsid w:val="19060EC1"/>
    <w:rsid w:val="19213107"/>
    <w:rsid w:val="192E43BC"/>
    <w:rsid w:val="19326E77"/>
    <w:rsid w:val="194145A5"/>
    <w:rsid w:val="19425C10"/>
    <w:rsid w:val="195327C0"/>
    <w:rsid w:val="196C749E"/>
    <w:rsid w:val="19831126"/>
    <w:rsid w:val="19957A1E"/>
    <w:rsid w:val="1996146A"/>
    <w:rsid w:val="19AC5BAE"/>
    <w:rsid w:val="19C91205"/>
    <w:rsid w:val="19F54655"/>
    <w:rsid w:val="19FA7004"/>
    <w:rsid w:val="1A0C0B39"/>
    <w:rsid w:val="1A1D0BAD"/>
    <w:rsid w:val="1A20002B"/>
    <w:rsid w:val="1A202464"/>
    <w:rsid w:val="1A211D5E"/>
    <w:rsid w:val="1A281080"/>
    <w:rsid w:val="1A2A49D5"/>
    <w:rsid w:val="1A3167A7"/>
    <w:rsid w:val="1A3E7639"/>
    <w:rsid w:val="1A4268EB"/>
    <w:rsid w:val="1A4C59BC"/>
    <w:rsid w:val="1A72470C"/>
    <w:rsid w:val="1A7E3697"/>
    <w:rsid w:val="1A83598B"/>
    <w:rsid w:val="1A8B0436"/>
    <w:rsid w:val="1A9433BA"/>
    <w:rsid w:val="1AA2738A"/>
    <w:rsid w:val="1AA822FA"/>
    <w:rsid w:val="1AB5371D"/>
    <w:rsid w:val="1AB556B6"/>
    <w:rsid w:val="1ABB4B98"/>
    <w:rsid w:val="1AD01DA7"/>
    <w:rsid w:val="1AD70E60"/>
    <w:rsid w:val="1AD75236"/>
    <w:rsid w:val="1ADC4DC3"/>
    <w:rsid w:val="1AF30AA9"/>
    <w:rsid w:val="1B0874E2"/>
    <w:rsid w:val="1B2D779D"/>
    <w:rsid w:val="1B39458C"/>
    <w:rsid w:val="1B396A1A"/>
    <w:rsid w:val="1B490950"/>
    <w:rsid w:val="1B5D0D89"/>
    <w:rsid w:val="1B6A35DB"/>
    <w:rsid w:val="1B724FAE"/>
    <w:rsid w:val="1B782C3F"/>
    <w:rsid w:val="1B7D7C38"/>
    <w:rsid w:val="1B8A7FBC"/>
    <w:rsid w:val="1B9423A4"/>
    <w:rsid w:val="1BA50FCC"/>
    <w:rsid w:val="1BA9250B"/>
    <w:rsid w:val="1BAF77A5"/>
    <w:rsid w:val="1BB719B2"/>
    <w:rsid w:val="1BBB2CBB"/>
    <w:rsid w:val="1BBC7041"/>
    <w:rsid w:val="1BC06BF9"/>
    <w:rsid w:val="1BC449CF"/>
    <w:rsid w:val="1BCA5234"/>
    <w:rsid w:val="1BDA7F06"/>
    <w:rsid w:val="1BEA1165"/>
    <w:rsid w:val="1BED0AD9"/>
    <w:rsid w:val="1BF520EC"/>
    <w:rsid w:val="1C167B0B"/>
    <w:rsid w:val="1C1A20C8"/>
    <w:rsid w:val="1C2771EF"/>
    <w:rsid w:val="1C401C28"/>
    <w:rsid w:val="1C4667B9"/>
    <w:rsid w:val="1C6243A3"/>
    <w:rsid w:val="1C7865F4"/>
    <w:rsid w:val="1C797C46"/>
    <w:rsid w:val="1C7E350E"/>
    <w:rsid w:val="1C7E734D"/>
    <w:rsid w:val="1C8454F9"/>
    <w:rsid w:val="1C954279"/>
    <w:rsid w:val="1CA51B07"/>
    <w:rsid w:val="1CB415D1"/>
    <w:rsid w:val="1CBC6385"/>
    <w:rsid w:val="1CBD2332"/>
    <w:rsid w:val="1CC7091E"/>
    <w:rsid w:val="1CCB392B"/>
    <w:rsid w:val="1CE14E51"/>
    <w:rsid w:val="1CE32E87"/>
    <w:rsid w:val="1CF56275"/>
    <w:rsid w:val="1CF86CEC"/>
    <w:rsid w:val="1CFB5568"/>
    <w:rsid w:val="1D202CCC"/>
    <w:rsid w:val="1D226B51"/>
    <w:rsid w:val="1D253B83"/>
    <w:rsid w:val="1D2B7B0B"/>
    <w:rsid w:val="1D33733A"/>
    <w:rsid w:val="1D370DB7"/>
    <w:rsid w:val="1D387DEA"/>
    <w:rsid w:val="1D3A6321"/>
    <w:rsid w:val="1D4E2A7B"/>
    <w:rsid w:val="1D5A5F8D"/>
    <w:rsid w:val="1D753D60"/>
    <w:rsid w:val="1D917AB3"/>
    <w:rsid w:val="1DA52FDB"/>
    <w:rsid w:val="1DB064E6"/>
    <w:rsid w:val="1DB827E5"/>
    <w:rsid w:val="1DE351BB"/>
    <w:rsid w:val="1DF84BBF"/>
    <w:rsid w:val="1DF87C16"/>
    <w:rsid w:val="1DFE7449"/>
    <w:rsid w:val="1E0C08E5"/>
    <w:rsid w:val="1E2F362A"/>
    <w:rsid w:val="1E351288"/>
    <w:rsid w:val="1E377E8A"/>
    <w:rsid w:val="1E4A36CA"/>
    <w:rsid w:val="1E682698"/>
    <w:rsid w:val="1E725C5C"/>
    <w:rsid w:val="1E7E4039"/>
    <w:rsid w:val="1E85149C"/>
    <w:rsid w:val="1E8E345A"/>
    <w:rsid w:val="1E901FEE"/>
    <w:rsid w:val="1E9442E7"/>
    <w:rsid w:val="1E994219"/>
    <w:rsid w:val="1EA078AE"/>
    <w:rsid w:val="1EA45EC1"/>
    <w:rsid w:val="1EB40283"/>
    <w:rsid w:val="1ED02528"/>
    <w:rsid w:val="1ED45CAE"/>
    <w:rsid w:val="1EF80AC2"/>
    <w:rsid w:val="1F424DC2"/>
    <w:rsid w:val="1F4A49DF"/>
    <w:rsid w:val="1F59199D"/>
    <w:rsid w:val="1F6669AD"/>
    <w:rsid w:val="1F684DF5"/>
    <w:rsid w:val="1F9C0838"/>
    <w:rsid w:val="1FAD03A2"/>
    <w:rsid w:val="1FB05B86"/>
    <w:rsid w:val="1FB63256"/>
    <w:rsid w:val="1FC55FFD"/>
    <w:rsid w:val="1FC619C3"/>
    <w:rsid w:val="1FCF29CF"/>
    <w:rsid w:val="1FF0410F"/>
    <w:rsid w:val="1FF34102"/>
    <w:rsid w:val="200E2178"/>
    <w:rsid w:val="20102412"/>
    <w:rsid w:val="20210770"/>
    <w:rsid w:val="20332076"/>
    <w:rsid w:val="20360CA0"/>
    <w:rsid w:val="204228BF"/>
    <w:rsid w:val="20614265"/>
    <w:rsid w:val="209C0EB3"/>
    <w:rsid w:val="20A07A3E"/>
    <w:rsid w:val="20A6660B"/>
    <w:rsid w:val="20A7119D"/>
    <w:rsid w:val="20AA51EA"/>
    <w:rsid w:val="20B77808"/>
    <w:rsid w:val="20C26B79"/>
    <w:rsid w:val="20C90C8F"/>
    <w:rsid w:val="20CC3B78"/>
    <w:rsid w:val="20E52835"/>
    <w:rsid w:val="21013D59"/>
    <w:rsid w:val="21175089"/>
    <w:rsid w:val="211B1C44"/>
    <w:rsid w:val="211B39F2"/>
    <w:rsid w:val="211E5403"/>
    <w:rsid w:val="2130504F"/>
    <w:rsid w:val="21382F0C"/>
    <w:rsid w:val="214106E3"/>
    <w:rsid w:val="214A05AE"/>
    <w:rsid w:val="214B28B3"/>
    <w:rsid w:val="215E2C87"/>
    <w:rsid w:val="216800C8"/>
    <w:rsid w:val="216B68D1"/>
    <w:rsid w:val="21776EE9"/>
    <w:rsid w:val="217B3E84"/>
    <w:rsid w:val="217B6C76"/>
    <w:rsid w:val="218108F4"/>
    <w:rsid w:val="218D4CC7"/>
    <w:rsid w:val="21934972"/>
    <w:rsid w:val="21CE76F6"/>
    <w:rsid w:val="21DB4941"/>
    <w:rsid w:val="21DE7C36"/>
    <w:rsid w:val="21DF3A01"/>
    <w:rsid w:val="21E257BE"/>
    <w:rsid w:val="21F25BFC"/>
    <w:rsid w:val="220A5EF5"/>
    <w:rsid w:val="220F3C1A"/>
    <w:rsid w:val="22197D89"/>
    <w:rsid w:val="221E6F53"/>
    <w:rsid w:val="22313D2D"/>
    <w:rsid w:val="22333947"/>
    <w:rsid w:val="224D398A"/>
    <w:rsid w:val="224E2203"/>
    <w:rsid w:val="22585F0F"/>
    <w:rsid w:val="225F0503"/>
    <w:rsid w:val="226B5CC4"/>
    <w:rsid w:val="226D7641"/>
    <w:rsid w:val="22717890"/>
    <w:rsid w:val="2288155B"/>
    <w:rsid w:val="228B0CE6"/>
    <w:rsid w:val="22941CAE"/>
    <w:rsid w:val="22965A26"/>
    <w:rsid w:val="229C5EDB"/>
    <w:rsid w:val="229E2B2D"/>
    <w:rsid w:val="229F2CD5"/>
    <w:rsid w:val="22AB3A42"/>
    <w:rsid w:val="22AF2482"/>
    <w:rsid w:val="22B44D35"/>
    <w:rsid w:val="22B8500B"/>
    <w:rsid w:val="22CB52CD"/>
    <w:rsid w:val="22D52DCF"/>
    <w:rsid w:val="230F3C1C"/>
    <w:rsid w:val="23173330"/>
    <w:rsid w:val="23241284"/>
    <w:rsid w:val="23287AA7"/>
    <w:rsid w:val="23305F0F"/>
    <w:rsid w:val="23357659"/>
    <w:rsid w:val="233905CD"/>
    <w:rsid w:val="235718E1"/>
    <w:rsid w:val="23616034"/>
    <w:rsid w:val="23694959"/>
    <w:rsid w:val="236C4F12"/>
    <w:rsid w:val="237D269C"/>
    <w:rsid w:val="237E4C0E"/>
    <w:rsid w:val="23925F3C"/>
    <w:rsid w:val="239B7E76"/>
    <w:rsid w:val="23A4229C"/>
    <w:rsid w:val="23A80914"/>
    <w:rsid w:val="23AE55A9"/>
    <w:rsid w:val="23B118CE"/>
    <w:rsid w:val="23B6003B"/>
    <w:rsid w:val="23B80D83"/>
    <w:rsid w:val="23D507D0"/>
    <w:rsid w:val="23E44106"/>
    <w:rsid w:val="23E6337C"/>
    <w:rsid w:val="23F21506"/>
    <w:rsid w:val="23F36F4D"/>
    <w:rsid w:val="23F46D82"/>
    <w:rsid w:val="24034D8D"/>
    <w:rsid w:val="24296431"/>
    <w:rsid w:val="24316E6F"/>
    <w:rsid w:val="24340869"/>
    <w:rsid w:val="24425E0D"/>
    <w:rsid w:val="244826E5"/>
    <w:rsid w:val="24577437"/>
    <w:rsid w:val="246117FE"/>
    <w:rsid w:val="24631FE8"/>
    <w:rsid w:val="24680378"/>
    <w:rsid w:val="246F2E99"/>
    <w:rsid w:val="246F652F"/>
    <w:rsid w:val="24885273"/>
    <w:rsid w:val="24913210"/>
    <w:rsid w:val="249B7324"/>
    <w:rsid w:val="24C8071E"/>
    <w:rsid w:val="24C91FF8"/>
    <w:rsid w:val="24D01D21"/>
    <w:rsid w:val="24D22D5D"/>
    <w:rsid w:val="24EA59AA"/>
    <w:rsid w:val="24FE13C2"/>
    <w:rsid w:val="25070E5D"/>
    <w:rsid w:val="251B6945"/>
    <w:rsid w:val="251F5695"/>
    <w:rsid w:val="252140E8"/>
    <w:rsid w:val="25230953"/>
    <w:rsid w:val="252C0FEC"/>
    <w:rsid w:val="254870C0"/>
    <w:rsid w:val="254A4A2E"/>
    <w:rsid w:val="25551B8C"/>
    <w:rsid w:val="2555250E"/>
    <w:rsid w:val="25595001"/>
    <w:rsid w:val="25657932"/>
    <w:rsid w:val="25661A5A"/>
    <w:rsid w:val="25690ABE"/>
    <w:rsid w:val="25996888"/>
    <w:rsid w:val="259B6168"/>
    <w:rsid w:val="259F79AE"/>
    <w:rsid w:val="25A01A43"/>
    <w:rsid w:val="25BF42A8"/>
    <w:rsid w:val="25C962B2"/>
    <w:rsid w:val="25CB4857"/>
    <w:rsid w:val="25CC59DE"/>
    <w:rsid w:val="25D83187"/>
    <w:rsid w:val="25D907CC"/>
    <w:rsid w:val="25E655C8"/>
    <w:rsid w:val="26045771"/>
    <w:rsid w:val="26196CB2"/>
    <w:rsid w:val="263C3E80"/>
    <w:rsid w:val="265A6D6B"/>
    <w:rsid w:val="26753D2C"/>
    <w:rsid w:val="267611D3"/>
    <w:rsid w:val="26835127"/>
    <w:rsid w:val="268E4BBA"/>
    <w:rsid w:val="26A257DB"/>
    <w:rsid w:val="26B90F8E"/>
    <w:rsid w:val="26C05A32"/>
    <w:rsid w:val="26C54E27"/>
    <w:rsid w:val="26CC3C07"/>
    <w:rsid w:val="26DE7854"/>
    <w:rsid w:val="26E70BC5"/>
    <w:rsid w:val="27062C4A"/>
    <w:rsid w:val="27074D3E"/>
    <w:rsid w:val="271116DB"/>
    <w:rsid w:val="27113F6C"/>
    <w:rsid w:val="271251B0"/>
    <w:rsid w:val="271A51DA"/>
    <w:rsid w:val="27254946"/>
    <w:rsid w:val="273870AC"/>
    <w:rsid w:val="274A08FC"/>
    <w:rsid w:val="274C0DA9"/>
    <w:rsid w:val="274C764E"/>
    <w:rsid w:val="2756302F"/>
    <w:rsid w:val="276026EB"/>
    <w:rsid w:val="276250D7"/>
    <w:rsid w:val="27632DDC"/>
    <w:rsid w:val="27680188"/>
    <w:rsid w:val="2772471C"/>
    <w:rsid w:val="27772FAB"/>
    <w:rsid w:val="277D6CDB"/>
    <w:rsid w:val="278664F1"/>
    <w:rsid w:val="2789575F"/>
    <w:rsid w:val="27A74434"/>
    <w:rsid w:val="27AE734E"/>
    <w:rsid w:val="27B23F45"/>
    <w:rsid w:val="27B85561"/>
    <w:rsid w:val="27BC3987"/>
    <w:rsid w:val="27BD611A"/>
    <w:rsid w:val="27C63211"/>
    <w:rsid w:val="27C71330"/>
    <w:rsid w:val="27E269CB"/>
    <w:rsid w:val="27E91A8C"/>
    <w:rsid w:val="27EC7DE5"/>
    <w:rsid w:val="28013A27"/>
    <w:rsid w:val="280D0EB8"/>
    <w:rsid w:val="28126C32"/>
    <w:rsid w:val="2829733C"/>
    <w:rsid w:val="282D1E68"/>
    <w:rsid w:val="283137EF"/>
    <w:rsid w:val="28574C9E"/>
    <w:rsid w:val="287439A8"/>
    <w:rsid w:val="287823EF"/>
    <w:rsid w:val="287A594C"/>
    <w:rsid w:val="28864F06"/>
    <w:rsid w:val="288E24C6"/>
    <w:rsid w:val="289567A3"/>
    <w:rsid w:val="28A120BA"/>
    <w:rsid w:val="28A526C6"/>
    <w:rsid w:val="28A74DCB"/>
    <w:rsid w:val="28B77749"/>
    <w:rsid w:val="28C73484"/>
    <w:rsid w:val="28D53B72"/>
    <w:rsid w:val="28EF1B17"/>
    <w:rsid w:val="29010E8F"/>
    <w:rsid w:val="29030E83"/>
    <w:rsid w:val="29175D2F"/>
    <w:rsid w:val="29226060"/>
    <w:rsid w:val="29363BDB"/>
    <w:rsid w:val="294A3E5A"/>
    <w:rsid w:val="29583A9F"/>
    <w:rsid w:val="29690D03"/>
    <w:rsid w:val="29702606"/>
    <w:rsid w:val="298B3C64"/>
    <w:rsid w:val="29956E43"/>
    <w:rsid w:val="29982EDF"/>
    <w:rsid w:val="29982FE8"/>
    <w:rsid w:val="299B61C1"/>
    <w:rsid w:val="29A43C12"/>
    <w:rsid w:val="29AA7CF7"/>
    <w:rsid w:val="29B5574C"/>
    <w:rsid w:val="29B8457E"/>
    <w:rsid w:val="29BD744E"/>
    <w:rsid w:val="29C954AC"/>
    <w:rsid w:val="29D43999"/>
    <w:rsid w:val="29D65CF5"/>
    <w:rsid w:val="29E03A2B"/>
    <w:rsid w:val="2A19034C"/>
    <w:rsid w:val="2A336250"/>
    <w:rsid w:val="2A386EBD"/>
    <w:rsid w:val="2A4C1250"/>
    <w:rsid w:val="2A58670E"/>
    <w:rsid w:val="2A59450E"/>
    <w:rsid w:val="2A5B4E7F"/>
    <w:rsid w:val="2A5D212B"/>
    <w:rsid w:val="2A6E0E4E"/>
    <w:rsid w:val="2A7108CA"/>
    <w:rsid w:val="2A7A6E34"/>
    <w:rsid w:val="2A832D34"/>
    <w:rsid w:val="2A846AAC"/>
    <w:rsid w:val="2A904695"/>
    <w:rsid w:val="2AA147F9"/>
    <w:rsid w:val="2AA50BDA"/>
    <w:rsid w:val="2ABA0D7B"/>
    <w:rsid w:val="2AC0397D"/>
    <w:rsid w:val="2AC564FC"/>
    <w:rsid w:val="2ADA4DFF"/>
    <w:rsid w:val="2AE150F8"/>
    <w:rsid w:val="2AF46D91"/>
    <w:rsid w:val="2AF86B85"/>
    <w:rsid w:val="2AFC41F1"/>
    <w:rsid w:val="2B011FE4"/>
    <w:rsid w:val="2B0702E2"/>
    <w:rsid w:val="2B5D39BA"/>
    <w:rsid w:val="2B635D2B"/>
    <w:rsid w:val="2B6D1A08"/>
    <w:rsid w:val="2B753C76"/>
    <w:rsid w:val="2B785630"/>
    <w:rsid w:val="2B793974"/>
    <w:rsid w:val="2B86355C"/>
    <w:rsid w:val="2BA90B57"/>
    <w:rsid w:val="2BB7608B"/>
    <w:rsid w:val="2BC41B44"/>
    <w:rsid w:val="2BCC4805"/>
    <w:rsid w:val="2BDE14EC"/>
    <w:rsid w:val="2BEA5A56"/>
    <w:rsid w:val="2BF84D8E"/>
    <w:rsid w:val="2BFD08C4"/>
    <w:rsid w:val="2C033ABC"/>
    <w:rsid w:val="2C034AC1"/>
    <w:rsid w:val="2C047B3A"/>
    <w:rsid w:val="2C1305B1"/>
    <w:rsid w:val="2C1758CF"/>
    <w:rsid w:val="2C1A354E"/>
    <w:rsid w:val="2C1F3B79"/>
    <w:rsid w:val="2C271951"/>
    <w:rsid w:val="2C452B2D"/>
    <w:rsid w:val="2C492C36"/>
    <w:rsid w:val="2C557053"/>
    <w:rsid w:val="2C60237D"/>
    <w:rsid w:val="2C6A57CD"/>
    <w:rsid w:val="2C6D71F8"/>
    <w:rsid w:val="2C6E6FCD"/>
    <w:rsid w:val="2C72135B"/>
    <w:rsid w:val="2C83572D"/>
    <w:rsid w:val="2C8B5E21"/>
    <w:rsid w:val="2C8B6CA4"/>
    <w:rsid w:val="2C8C5A7E"/>
    <w:rsid w:val="2C8D55AD"/>
    <w:rsid w:val="2C9248BA"/>
    <w:rsid w:val="2CB47549"/>
    <w:rsid w:val="2CBE3246"/>
    <w:rsid w:val="2CBF3DCB"/>
    <w:rsid w:val="2CC802D9"/>
    <w:rsid w:val="2CDF4F09"/>
    <w:rsid w:val="2CE27524"/>
    <w:rsid w:val="2CEB0142"/>
    <w:rsid w:val="2CF320D2"/>
    <w:rsid w:val="2CF83F53"/>
    <w:rsid w:val="2D0460BD"/>
    <w:rsid w:val="2D1E33D5"/>
    <w:rsid w:val="2D271B8F"/>
    <w:rsid w:val="2D336006"/>
    <w:rsid w:val="2D4935AD"/>
    <w:rsid w:val="2D5A1981"/>
    <w:rsid w:val="2DA26D95"/>
    <w:rsid w:val="2DA413CA"/>
    <w:rsid w:val="2DA56EB7"/>
    <w:rsid w:val="2DC05192"/>
    <w:rsid w:val="2DE668D4"/>
    <w:rsid w:val="2DE805FC"/>
    <w:rsid w:val="2DF53BEC"/>
    <w:rsid w:val="2DF964A0"/>
    <w:rsid w:val="2E095D5C"/>
    <w:rsid w:val="2E0C6F3E"/>
    <w:rsid w:val="2E0F2B6F"/>
    <w:rsid w:val="2E1977B8"/>
    <w:rsid w:val="2E2200F6"/>
    <w:rsid w:val="2E3C0D78"/>
    <w:rsid w:val="2E411BEF"/>
    <w:rsid w:val="2E516CA5"/>
    <w:rsid w:val="2E570AA3"/>
    <w:rsid w:val="2E594CED"/>
    <w:rsid w:val="2E7B61FD"/>
    <w:rsid w:val="2E7F48C7"/>
    <w:rsid w:val="2E883F4F"/>
    <w:rsid w:val="2E8E7EF9"/>
    <w:rsid w:val="2E9818BC"/>
    <w:rsid w:val="2E995B75"/>
    <w:rsid w:val="2E9A38AB"/>
    <w:rsid w:val="2E9F7ACE"/>
    <w:rsid w:val="2EA035D3"/>
    <w:rsid w:val="2EB00084"/>
    <w:rsid w:val="2EBC0113"/>
    <w:rsid w:val="2EBC74B9"/>
    <w:rsid w:val="2EC15360"/>
    <w:rsid w:val="2EC974E3"/>
    <w:rsid w:val="2ED7075B"/>
    <w:rsid w:val="2EE6562B"/>
    <w:rsid w:val="2EFE397A"/>
    <w:rsid w:val="2F000491"/>
    <w:rsid w:val="2F0050ED"/>
    <w:rsid w:val="2F015234"/>
    <w:rsid w:val="2F0322BF"/>
    <w:rsid w:val="2F1D4987"/>
    <w:rsid w:val="2F397E65"/>
    <w:rsid w:val="2F485232"/>
    <w:rsid w:val="2F5000A2"/>
    <w:rsid w:val="2F540C31"/>
    <w:rsid w:val="2F574071"/>
    <w:rsid w:val="2F5E2555"/>
    <w:rsid w:val="2F5E3090"/>
    <w:rsid w:val="2F6B2E0E"/>
    <w:rsid w:val="2F6E14A3"/>
    <w:rsid w:val="2F7C3CDF"/>
    <w:rsid w:val="2F9835CF"/>
    <w:rsid w:val="2FA06751"/>
    <w:rsid w:val="2FB151D3"/>
    <w:rsid w:val="2FB944E5"/>
    <w:rsid w:val="2FC871E6"/>
    <w:rsid w:val="2FDC472D"/>
    <w:rsid w:val="2FDE5F50"/>
    <w:rsid w:val="2FEC4EBA"/>
    <w:rsid w:val="2FEE3B1C"/>
    <w:rsid w:val="2FF57EDC"/>
    <w:rsid w:val="300D33B1"/>
    <w:rsid w:val="300E7796"/>
    <w:rsid w:val="301E5143"/>
    <w:rsid w:val="302C3DCE"/>
    <w:rsid w:val="303E1D0E"/>
    <w:rsid w:val="30424964"/>
    <w:rsid w:val="30576568"/>
    <w:rsid w:val="30695D27"/>
    <w:rsid w:val="309A44F4"/>
    <w:rsid w:val="309C57CB"/>
    <w:rsid w:val="30A309C3"/>
    <w:rsid w:val="30B059A2"/>
    <w:rsid w:val="30B67543"/>
    <w:rsid w:val="30B77036"/>
    <w:rsid w:val="30BA3015"/>
    <w:rsid w:val="310137B1"/>
    <w:rsid w:val="3106476B"/>
    <w:rsid w:val="31102DE7"/>
    <w:rsid w:val="31295F61"/>
    <w:rsid w:val="31323F94"/>
    <w:rsid w:val="313E524F"/>
    <w:rsid w:val="3154270A"/>
    <w:rsid w:val="315A64D4"/>
    <w:rsid w:val="31607574"/>
    <w:rsid w:val="31671616"/>
    <w:rsid w:val="3189428A"/>
    <w:rsid w:val="318D37BB"/>
    <w:rsid w:val="31973A57"/>
    <w:rsid w:val="31983637"/>
    <w:rsid w:val="319B556B"/>
    <w:rsid w:val="31A04336"/>
    <w:rsid w:val="31AE341C"/>
    <w:rsid w:val="31B22405"/>
    <w:rsid w:val="31B30043"/>
    <w:rsid w:val="31B64C69"/>
    <w:rsid w:val="31B82294"/>
    <w:rsid w:val="31BA1F94"/>
    <w:rsid w:val="31BF264E"/>
    <w:rsid w:val="31C262F6"/>
    <w:rsid w:val="31C75D39"/>
    <w:rsid w:val="31D9148B"/>
    <w:rsid w:val="31DA0183"/>
    <w:rsid w:val="31E10BE3"/>
    <w:rsid w:val="31EA1749"/>
    <w:rsid w:val="31FD1227"/>
    <w:rsid w:val="32004457"/>
    <w:rsid w:val="320A243D"/>
    <w:rsid w:val="32191252"/>
    <w:rsid w:val="322D5F57"/>
    <w:rsid w:val="32495110"/>
    <w:rsid w:val="325D07E4"/>
    <w:rsid w:val="32682E98"/>
    <w:rsid w:val="327556FE"/>
    <w:rsid w:val="32884F63"/>
    <w:rsid w:val="328A49FA"/>
    <w:rsid w:val="32A0085F"/>
    <w:rsid w:val="32A12652"/>
    <w:rsid w:val="32B73DE5"/>
    <w:rsid w:val="32BE200C"/>
    <w:rsid w:val="32C56718"/>
    <w:rsid w:val="32E419E9"/>
    <w:rsid w:val="32E905BA"/>
    <w:rsid w:val="32EA5881"/>
    <w:rsid w:val="32ED0BAC"/>
    <w:rsid w:val="32F73699"/>
    <w:rsid w:val="32F75A72"/>
    <w:rsid w:val="33010417"/>
    <w:rsid w:val="330B57AE"/>
    <w:rsid w:val="33160B51"/>
    <w:rsid w:val="33174961"/>
    <w:rsid w:val="33260492"/>
    <w:rsid w:val="332A12B8"/>
    <w:rsid w:val="33304E4D"/>
    <w:rsid w:val="333155AA"/>
    <w:rsid w:val="33444067"/>
    <w:rsid w:val="334D06E6"/>
    <w:rsid w:val="33560AA5"/>
    <w:rsid w:val="336456CD"/>
    <w:rsid w:val="339E1398"/>
    <w:rsid w:val="33A2330C"/>
    <w:rsid w:val="33AA3D46"/>
    <w:rsid w:val="33AA7294"/>
    <w:rsid w:val="33AB4C42"/>
    <w:rsid w:val="33B57D19"/>
    <w:rsid w:val="33C55A7A"/>
    <w:rsid w:val="33EA7F6D"/>
    <w:rsid w:val="33EF0E80"/>
    <w:rsid w:val="33F2465D"/>
    <w:rsid w:val="33F455F9"/>
    <w:rsid w:val="33F92E29"/>
    <w:rsid w:val="34056924"/>
    <w:rsid w:val="340665FE"/>
    <w:rsid w:val="341A5E32"/>
    <w:rsid w:val="34385041"/>
    <w:rsid w:val="34442C19"/>
    <w:rsid w:val="344472CD"/>
    <w:rsid w:val="345327B1"/>
    <w:rsid w:val="346511A8"/>
    <w:rsid w:val="347A77AC"/>
    <w:rsid w:val="34825E5D"/>
    <w:rsid w:val="34877CE8"/>
    <w:rsid w:val="34A769E4"/>
    <w:rsid w:val="34A94D04"/>
    <w:rsid w:val="34B0402D"/>
    <w:rsid w:val="34B9357A"/>
    <w:rsid w:val="34CA38A2"/>
    <w:rsid w:val="34CD29A6"/>
    <w:rsid w:val="34CD7521"/>
    <w:rsid w:val="34CF19A5"/>
    <w:rsid w:val="34EB1C02"/>
    <w:rsid w:val="34EC124D"/>
    <w:rsid w:val="34F55E2F"/>
    <w:rsid w:val="34F713E3"/>
    <w:rsid w:val="3502519D"/>
    <w:rsid w:val="35105594"/>
    <w:rsid w:val="35292FF1"/>
    <w:rsid w:val="35327B80"/>
    <w:rsid w:val="35394C91"/>
    <w:rsid w:val="35515F95"/>
    <w:rsid w:val="35543640"/>
    <w:rsid w:val="3561044A"/>
    <w:rsid w:val="35623B07"/>
    <w:rsid w:val="359F2ED6"/>
    <w:rsid w:val="35A235B9"/>
    <w:rsid w:val="35A564CA"/>
    <w:rsid w:val="35A61997"/>
    <w:rsid w:val="35A86BDE"/>
    <w:rsid w:val="35B00899"/>
    <w:rsid w:val="35B56676"/>
    <w:rsid w:val="35BF4704"/>
    <w:rsid w:val="35C215F3"/>
    <w:rsid w:val="35D43977"/>
    <w:rsid w:val="35DA4E73"/>
    <w:rsid w:val="35E13599"/>
    <w:rsid w:val="360416D1"/>
    <w:rsid w:val="36043EF2"/>
    <w:rsid w:val="360945C3"/>
    <w:rsid w:val="361F1924"/>
    <w:rsid w:val="36280C33"/>
    <w:rsid w:val="363D550A"/>
    <w:rsid w:val="363F5B8C"/>
    <w:rsid w:val="36411A34"/>
    <w:rsid w:val="36420F4B"/>
    <w:rsid w:val="364C34D5"/>
    <w:rsid w:val="3650452F"/>
    <w:rsid w:val="36543066"/>
    <w:rsid w:val="36552BC1"/>
    <w:rsid w:val="36565AF9"/>
    <w:rsid w:val="365D7E36"/>
    <w:rsid w:val="36743964"/>
    <w:rsid w:val="36760927"/>
    <w:rsid w:val="368C04FF"/>
    <w:rsid w:val="3692120B"/>
    <w:rsid w:val="36935DFC"/>
    <w:rsid w:val="36A619B0"/>
    <w:rsid w:val="36A6785C"/>
    <w:rsid w:val="36B349A1"/>
    <w:rsid w:val="36C16F69"/>
    <w:rsid w:val="36E8025C"/>
    <w:rsid w:val="36EB13E7"/>
    <w:rsid w:val="36ED061B"/>
    <w:rsid w:val="371D7C59"/>
    <w:rsid w:val="371F2C21"/>
    <w:rsid w:val="37386315"/>
    <w:rsid w:val="373966BF"/>
    <w:rsid w:val="37550392"/>
    <w:rsid w:val="376B6698"/>
    <w:rsid w:val="37791338"/>
    <w:rsid w:val="3784033C"/>
    <w:rsid w:val="37873001"/>
    <w:rsid w:val="37881941"/>
    <w:rsid w:val="37893954"/>
    <w:rsid w:val="37AD19A5"/>
    <w:rsid w:val="37AD4051"/>
    <w:rsid w:val="37AE2C70"/>
    <w:rsid w:val="37AE3D4F"/>
    <w:rsid w:val="37D77088"/>
    <w:rsid w:val="37DC7264"/>
    <w:rsid w:val="37DE75A6"/>
    <w:rsid w:val="37E45736"/>
    <w:rsid w:val="37EF21FA"/>
    <w:rsid w:val="380D1DF8"/>
    <w:rsid w:val="38177104"/>
    <w:rsid w:val="38343CF8"/>
    <w:rsid w:val="383C1156"/>
    <w:rsid w:val="38511657"/>
    <w:rsid w:val="38573E77"/>
    <w:rsid w:val="38851852"/>
    <w:rsid w:val="38855EC9"/>
    <w:rsid w:val="388B6152"/>
    <w:rsid w:val="38B251EF"/>
    <w:rsid w:val="38B94B3B"/>
    <w:rsid w:val="38C4306E"/>
    <w:rsid w:val="38CD6301"/>
    <w:rsid w:val="38D52C5C"/>
    <w:rsid w:val="38DF0452"/>
    <w:rsid w:val="38E716F9"/>
    <w:rsid w:val="38EF420E"/>
    <w:rsid w:val="38FB1D5E"/>
    <w:rsid w:val="38FB582C"/>
    <w:rsid w:val="38FF2E1A"/>
    <w:rsid w:val="390013A5"/>
    <w:rsid w:val="390C5C90"/>
    <w:rsid w:val="3915321F"/>
    <w:rsid w:val="3922354B"/>
    <w:rsid w:val="39261DF9"/>
    <w:rsid w:val="39380364"/>
    <w:rsid w:val="394C6803"/>
    <w:rsid w:val="39614166"/>
    <w:rsid w:val="398D796F"/>
    <w:rsid w:val="399145CA"/>
    <w:rsid w:val="39970FB4"/>
    <w:rsid w:val="399A3A79"/>
    <w:rsid w:val="39A51CE0"/>
    <w:rsid w:val="39A65D00"/>
    <w:rsid w:val="39B027BA"/>
    <w:rsid w:val="39B723E4"/>
    <w:rsid w:val="39C50DE6"/>
    <w:rsid w:val="39CB7A87"/>
    <w:rsid w:val="39F8091D"/>
    <w:rsid w:val="39FC7488"/>
    <w:rsid w:val="39FF472A"/>
    <w:rsid w:val="3A011023"/>
    <w:rsid w:val="3A0B3E07"/>
    <w:rsid w:val="3A14138F"/>
    <w:rsid w:val="3A3877A1"/>
    <w:rsid w:val="3A4701AF"/>
    <w:rsid w:val="3A527966"/>
    <w:rsid w:val="3A581FA4"/>
    <w:rsid w:val="3A5C08D3"/>
    <w:rsid w:val="3A616393"/>
    <w:rsid w:val="3A6C67A5"/>
    <w:rsid w:val="3AD3124F"/>
    <w:rsid w:val="3ADB199C"/>
    <w:rsid w:val="3ADF6BB1"/>
    <w:rsid w:val="3AF05A2B"/>
    <w:rsid w:val="3AFA227D"/>
    <w:rsid w:val="3B074C1B"/>
    <w:rsid w:val="3B10564F"/>
    <w:rsid w:val="3B173BFD"/>
    <w:rsid w:val="3B1D03BA"/>
    <w:rsid w:val="3B36176B"/>
    <w:rsid w:val="3B387052"/>
    <w:rsid w:val="3B3E4F61"/>
    <w:rsid w:val="3B457FCA"/>
    <w:rsid w:val="3B5A188F"/>
    <w:rsid w:val="3B662BC0"/>
    <w:rsid w:val="3B664C36"/>
    <w:rsid w:val="3B6A75F8"/>
    <w:rsid w:val="3B7D6F6A"/>
    <w:rsid w:val="3B7F30A4"/>
    <w:rsid w:val="3B8D5A02"/>
    <w:rsid w:val="3B9725CA"/>
    <w:rsid w:val="3BA672A9"/>
    <w:rsid w:val="3BB3668C"/>
    <w:rsid w:val="3BC51E5E"/>
    <w:rsid w:val="3BC81B99"/>
    <w:rsid w:val="3BD176FB"/>
    <w:rsid w:val="3BDA4E48"/>
    <w:rsid w:val="3BE24B60"/>
    <w:rsid w:val="3C005505"/>
    <w:rsid w:val="3C0F3747"/>
    <w:rsid w:val="3C0F6E42"/>
    <w:rsid w:val="3C13580F"/>
    <w:rsid w:val="3C177613"/>
    <w:rsid w:val="3C2900DB"/>
    <w:rsid w:val="3C2F42C7"/>
    <w:rsid w:val="3C385639"/>
    <w:rsid w:val="3C3A59BA"/>
    <w:rsid w:val="3C434BD1"/>
    <w:rsid w:val="3C4A49AD"/>
    <w:rsid w:val="3C511290"/>
    <w:rsid w:val="3C672C14"/>
    <w:rsid w:val="3C734CC5"/>
    <w:rsid w:val="3C7700E4"/>
    <w:rsid w:val="3C8A61A4"/>
    <w:rsid w:val="3C8D47B1"/>
    <w:rsid w:val="3CA7096C"/>
    <w:rsid w:val="3CAE0A5F"/>
    <w:rsid w:val="3CB61674"/>
    <w:rsid w:val="3CBA14E0"/>
    <w:rsid w:val="3CBA4266"/>
    <w:rsid w:val="3CCC056A"/>
    <w:rsid w:val="3CD2281C"/>
    <w:rsid w:val="3CEE1FB3"/>
    <w:rsid w:val="3CF82959"/>
    <w:rsid w:val="3CF8576A"/>
    <w:rsid w:val="3CFF4D03"/>
    <w:rsid w:val="3D011A22"/>
    <w:rsid w:val="3D08650E"/>
    <w:rsid w:val="3D1D679D"/>
    <w:rsid w:val="3D353732"/>
    <w:rsid w:val="3D482113"/>
    <w:rsid w:val="3D5237A1"/>
    <w:rsid w:val="3D695658"/>
    <w:rsid w:val="3D6C1CB7"/>
    <w:rsid w:val="3D7048F2"/>
    <w:rsid w:val="3D74592B"/>
    <w:rsid w:val="3D760D32"/>
    <w:rsid w:val="3D8262BA"/>
    <w:rsid w:val="3D897263"/>
    <w:rsid w:val="3DC2371B"/>
    <w:rsid w:val="3DD17084"/>
    <w:rsid w:val="3DD45235"/>
    <w:rsid w:val="3DE95026"/>
    <w:rsid w:val="3DEA5B44"/>
    <w:rsid w:val="3DF81119"/>
    <w:rsid w:val="3DFE00AC"/>
    <w:rsid w:val="3E0006CE"/>
    <w:rsid w:val="3E0223A7"/>
    <w:rsid w:val="3E117CD5"/>
    <w:rsid w:val="3E162874"/>
    <w:rsid w:val="3E2823FC"/>
    <w:rsid w:val="3E3667C6"/>
    <w:rsid w:val="3E4501C0"/>
    <w:rsid w:val="3E4E515B"/>
    <w:rsid w:val="3E6BB673"/>
    <w:rsid w:val="3E750542"/>
    <w:rsid w:val="3E8566C7"/>
    <w:rsid w:val="3E8F0CD4"/>
    <w:rsid w:val="3EA411C3"/>
    <w:rsid w:val="3EB97976"/>
    <w:rsid w:val="3EC06511"/>
    <w:rsid w:val="3EC86A2B"/>
    <w:rsid w:val="3ECA3DB3"/>
    <w:rsid w:val="3ECC5C19"/>
    <w:rsid w:val="3ECD49ED"/>
    <w:rsid w:val="3ED02D59"/>
    <w:rsid w:val="3ED16010"/>
    <w:rsid w:val="3ED94336"/>
    <w:rsid w:val="3EDE6AE7"/>
    <w:rsid w:val="3EE43DF4"/>
    <w:rsid w:val="3EF142B8"/>
    <w:rsid w:val="3EF577E2"/>
    <w:rsid w:val="3EFD5398"/>
    <w:rsid w:val="3F1039ED"/>
    <w:rsid w:val="3F1228ED"/>
    <w:rsid w:val="3F1E1AF6"/>
    <w:rsid w:val="3F333A22"/>
    <w:rsid w:val="3F417614"/>
    <w:rsid w:val="3F59568A"/>
    <w:rsid w:val="3F6842F2"/>
    <w:rsid w:val="3F6844BE"/>
    <w:rsid w:val="3F6B4F2C"/>
    <w:rsid w:val="3F77070A"/>
    <w:rsid w:val="3F797999"/>
    <w:rsid w:val="3F846153"/>
    <w:rsid w:val="3F877B3E"/>
    <w:rsid w:val="3F8E351D"/>
    <w:rsid w:val="3FB97A7C"/>
    <w:rsid w:val="3FBE4111"/>
    <w:rsid w:val="3FC7C282"/>
    <w:rsid w:val="3FDD5EE3"/>
    <w:rsid w:val="3FE54875"/>
    <w:rsid w:val="3FEA4EC1"/>
    <w:rsid w:val="3FF913F8"/>
    <w:rsid w:val="3FF951A1"/>
    <w:rsid w:val="402079EC"/>
    <w:rsid w:val="40380746"/>
    <w:rsid w:val="403A3A3D"/>
    <w:rsid w:val="40403FAF"/>
    <w:rsid w:val="40465640"/>
    <w:rsid w:val="4061642F"/>
    <w:rsid w:val="406C0EDE"/>
    <w:rsid w:val="406C5052"/>
    <w:rsid w:val="4071077E"/>
    <w:rsid w:val="4075728F"/>
    <w:rsid w:val="40857C93"/>
    <w:rsid w:val="409022B4"/>
    <w:rsid w:val="40986D02"/>
    <w:rsid w:val="40A23CC4"/>
    <w:rsid w:val="40B87223"/>
    <w:rsid w:val="40CA3AF7"/>
    <w:rsid w:val="40D64733"/>
    <w:rsid w:val="40D77348"/>
    <w:rsid w:val="40E0015D"/>
    <w:rsid w:val="40E045E4"/>
    <w:rsid w:val="40E859D9"/>
    <w:rsid w:val="40EA717A"/>
    <w:rsid w:val="40ED7524"/>
    <w:rsid w:val="40F305CF"/>
    <w:rsid w:val="41063807"/>
    <w:rsid w:val="410D5848"/>
    <w:rsid w:val="4121689F"/>
    <w:rsid w:val="41302438"/>
    <w:rsid w:val="41313092"/>
    <w:rsid w:val="4132477C"/>
    <w:rsid w:val="41347F62"/>
    <w:rsid w:val="41373AA9"/>
    <w:rsid w:val="414D3DC4"/>
    <w:rsid w:val="415D4EF9"/>
    <w:rsid w:val="415E01D3"/>
    <w:rsid w:val="416A48C8"/>
    <w:rsid w:val="41765BEF"/>
    <w:rsid w:val="417D7544"/>
    <w:rsid w:val="41836E09"/>
    <w:rsid w:val="418732F8"/>
    <w:rsid w:val="41915C07"/>
    <w:rsid w:val="419D25D7"/>
    <w:rsid w:val="419E0E65"/>
    <w:rsid w:val="41BD7E87"/>
    <w:rsid w:val="41CF16CA"/>
    <w:rsid w:val="41DF5A9C"/>
    <w:rsid w:val="41E415CD"/>
    <w:rsid w:val="41F07F56"/>
    <w:rsid w:val="41FA6B62"/>
    <w:rsid w:val="41FC26E4"/>
    <w:rsid w:val="4206132D"/>
    <w:rsid w:val="421A053C"/>
    <w:rsid w:val="421E2360"/>
    <w:rsid w:val="422159F0"/>
    <w:rsid w:val="422E2E99"/>
    <w:rsid w:val="422E73E6"/>
    <w:rsid w:val="42313CAB"/>
    <w:rsid w:val="425E5134"/>
    <w:rsid w:val="427916F6"/>
    <w:rsid w:val="42842DCA"/>
    <w:rsid w:val="428C3511"/>
    <w:rsid w:val="42947140"/>
    <w:rsid w:val="429E6289"/>
    <w:rsid w:val="42BB04D5"/>
    <w:rsid w:val="42BF1F59"/>
    <w:rsid w:val="42C137D3"/>
    <w:rsid w:val="42D431E7"/>
    <w:rsid w:val="42DD3C7C"/>
    <w:rsid w:val="42E06D3F"/>
    <w:rsid w:val="42E47497"/>
    <w:rsid w:val="42EB703C"/>
    <w:rsid w:val="42EC78E6"/>
    <w:rsid w:val="42F13D50"/>
    <w:rsid w:val="42F44809"/>
    <w:rsid w:val="42F6791F"/>
    <w:rsid w:val="43105D77"/>
    <w:rsid w:val="4311783D"/>
    <w:rsid w:val="431A0A7B"/>
    <w:rsid w:val="432604B9"/>
    <w:rsid w:val="434F5A51"/>
    <w:rsid w:val="436F4138"/>
    <w:rsid w:val="4376192C"/>
    <w:rsid w:val="43825D5B"/>
    <w:rsid w:val="43826334"/>
    <w:rsid w:val="438274D6"/>
    <w:rsid w:val="43A63197"/>
    <w:rsid w:val="43AE09CA"/>
    <w:rsid w:val="43CA7F97"/>
    <w:rsid w:val="43D527A2"/>
    <w:rsid w:val="43E443EC"/>
    <w:rsid w:val="43E5117C"/>
    <w:rsid w:val="43E75C8A"/>
    <w:rsid w:val="43EF46DE"/>
    <w:rsid w:val="441F0428"/>
    <w:rsid w:val="44297643"/>
    <w:rsid w:val="44316DCA"/>
    <w:rsid w:val="443609BF"/>
    <w:rsid w:val="4451500F"/>
    <w:rsid w:val="44567BE7"/>
    <w:rsid w:val="445A043F"/>
    <w:rsid w:val="445A645C"/>
    <w:rsid w:val="445D1C18"/>
    <w:rsid w:val="44686728"/>
    <w:rsid w:val="448630B3"/>
    <w:rsid w:val="448B156B"/>
    <w:rsid w:val="448D21B3"/>
    <w:rsid w:val="448E7C71"/>
    <w:rsid w:val="44AD3C60"/>
    <w:rsid w:val="44B46CE9"/>
    <w:rsid w:val="44B622C6"/>
    <w:rsid w:val="44C1122D"/>
    <w:rsid w:val="44CB1108"/>
    <w:rsid w:val="44DB3BAD"/>
    <w:rsid w:val="44EF7556"/>
    <w:rsid w:val="44FE772F"/>
    <w:rsid w:val="45062140"/>
    <w:rsid w:val="45073435"/>
    <w:rsid w:val="45161D33"/>
    <w:rsid w:val="452269D1"/>
    <w:rsid w:val="452913B3"/>
    <w:rsid w:val="454C27BA"/>
    <w:rsid w:val="454E4D92"/>
    <w:rsid w:val="45521D98"/>
    <w:rsid w:val="455519C6"/>
    <w:rsid w:val="459021C4"/>
    <w:rsid w:val="45982CA1"/>
    <w:rsid w:val="45A603D9"/>
    <w:rsid w:val="45A86A88"/>
    <w:rsid w:val="45B1654F"/>
    <w:rsid w:val="45C81AEB"/>
    <w:rsid w:val="45D33AEA"/>
    <w:rsid w:val="45D945AF"/>
    <w:rsid w:val="45D9497A"/>
    <w:rsid w:val="45DC6E49"/>
    <w:rsid w:val="45E3750C"/>
    <w:rsid w:val="45E44109"/>
    <w:rsid w:val="45E72D80"/>
    <w:rsid w:val="45E73807"/>
    <w:rsid w:val="45F22D41"/>
    <w:rsid w:val="460923E7"/>
    <w:rsid w:val="46267B8D"/>
    <w:rsid w:val="46296CFD"/>
    <w:rsid w:val="462C075E"/>
    <w:rsid w:val="464E3D9E"/>
    <w:rsid w:val="4672561E"/>
    <w:rsid w:val="46813229"/>
    <w:rsid w:val="46832CE2"/>
    <w:rsid w:val="46886B3E"/>
    <w:rsid w:val="469F5BC1"/>
    <w:rsid w:val="46A86972"/>
    <w:rsid w:val="46B12A0C"/>
    <w:rsid w:val="46B22AFA"/>
    <w:rsid w:val="46B31897"/>
    <w:rsid w:val="46BF4928"/>
    <w:rsid w:val="46C430AB"/>
    <w:rsid w:val="46E75FA1"/>
    <w:rsid w:val="46EB5A91"/>
    <w:rsid w:val="46EE50CD"/>
    <w:rsid w:val="47095803"/>
    <w:rsid w:val="47141B39"/>
    <w:rsid w:val="47200D37"/>
    <w:rsid w:val="47215D02"/>
    <w:rsid w:val="472D14AC"/>
    <w:rsid w:val="47370ABA"/>
    <w:rsid w:val="473805E5"/>
    <w:rsid w:val="474F47DA"/>
    <w:rsid w:val="475C05A1"/>
    <w:rsid w:val="47621DD1"/>
    <w:rsid w:val="47672A3E"/>
    <w:rsid w:val="47711B0E"/>
    <w:rsid w:val="477B1305"/>
    <w:rsid w:val="4790353E"/>
    <w:rsid w:val="4794500D"/>
    <w:rsid w:val="4797719D"/>
    <w:rsid w:val="47A002F6"/>
    <w:rsid w:val="47B90B7F"/>
    <w:rsid w:val="47C57F01"/>
    <w:rsid w:val="47CB6D80"/>
    <w:rsid w:val="47DE22C3"/>
    <w:rsid w:val="47E45A99"/>
    <w:rsid w:val="47F907C5"/>
    <w:rsid w:val="480C0168"/>
    <w:rsid w:val="480D0453"/>
    <w:rsid w:val="48274B6C"/>
    <w:rsid w:val="48310949"/>
    <w:rsid w:val="483551AB"/>
    <w:rsid w:val="483D22CC"/>
    <w:rsid w:val="486B00BB"/>
    <w:rsid w:val="488127A7"/>
    <w:rsid w:val="488C59FE"/>
    <w:rsid w:val="48991076"/>
    <w:rsid w:val="489B0AD4"/>
    <w:rsid w:val="489C0E7C"/>
    <w:rsid w:val="48AD1119"/>
    <w:rsid w:val="48C22C2E"/>
    <w:rsid w:val="48C5646E"/>
    <w:rsid w:val="48D13C68"/>
    <w:rsid w:val="48D662CD"/>
    <w:rsid w:val="48E15FB7"/>
    <w:rsid w:val="490A36DF"/>
    <w:rsid w:val="490F06E0"/>
    <w:rsid w:val="49112F05"/>
    <w:rsid w:val="49255DFC"/>
    <w:rsid w:val="492C2F96"/>
    <w:rsid w:val="493F20C4"/>
    <w:rsid w:val="49447356"/>
    <w:rsid w:val="494476DB"/>
    <w:rsid w:val="494576F1"/>
    <w:rsid w:val="494C493D"/>
    <w:rsid w:val="494E2350"/>
    <w:rsid w:val="49570857"/>
    <w:rsid w:val="495C287A"/>
    <w:rsid w:val="496B42DA"/>
    <w:rsid w:val="49777D4C"/>
    <w:rsid w:val="49831760"/>
    <w:rsid w:val="498755F1"/>
    <w:rsid w:val="49881965"/>
    <w:rsid w:val="498979C8"/>
    <w:rsid w:val="498F3A3D"/>
    <w:rsid w:val="49A21823"/>
    <w:rsid w:val="49A27191"/>
    <w:rsid w:val="49A642F4"/>
    <w:rsid w:val="49A935D9"/>
    <w:rsid w:val="49C97224"/>
    <w:rsid w:val="49E26DC6"/>
    <w:rsid w:val="49ED0C94"/>
    <w:rsid w:val="49FC1D3A"/>
    <w:rsid w:val="49FC288D"/>
    <w:rsid w:val="4A11777F"/>
    <w:rsid w:val="4A161077"/>
    <w:rsid w:val="4A282B58"/>
    <w:rsid w:val="4A317D5F"/>
    <w:rsid w:val="4A4B730C"/>
    <w:rsid w:val="4A4F5B0A"/>
    <w:rsid w:val="4A50523D"/>
    <w:rsid w:val="4A5E0308"/>
    <w:rsid w:val="4A637E0D"/>
    <w:rsid w:val="4A6B6A74"/>
    <w:rsid w:val="4A776CD1"/>
    <w:rsid w:val="4A7E3750"/>
    <w:rsid w:val="4A806DBF"/>
    <w:rsid w:val="4A9E3731"/>
    <w:rsid w:val="4AA002B4"/>
    <w:rsid w:val="4AA065F5"/>
    <w:rsid w:val="4AA246B9"/>
    <w:rsid w:val="4AB23C03"/>
    <w:rsid w:val="4ABD4294"/>
    <w:rsid w:val="4ACA3C0F"/>
    <w:rsid w:val="4ACD23D6"/>
    <w:rsid w:val="4AD15731"/>
    <w:rsid w:val="4AD16930"/>
    <w:rsid w:val="4AD62DA1"/>
    <w:rsid w:val="4AE276BC"/>
    <w:rsid w:val="4AF6508E"/>
    <w:rsid w:val="4B00283F"/>
    <w:rsid w:val="4B0870AC"/>
    <w:rsid w:val="4B0E4511"/>
    <w:rsid w:val="4B127154"/>
    <w:rsid w:val="4B1371CB"/>
    <w:rsid w:val="4B197687"/>
    <w:rsid w:val="4B1C0B28"/>
    <w:rsid w:val="4B242613"/>
    <w:rsid w:val="4B465A2F"/>
    <w:rsid w:val="4B5144C4"/>
    <w:rsid w:val="4B5538D6"/>
    <w:rsid w:val="4B581620"/>
    <w:rsid w:val="4B5A3F7D"/>
    <w:rsid w:val="4B5E121D"/>
    <w:rsid w:val="4B88462C"/>
    <w:rsid w:val="4B897671"/>
    <w:rsid w:val="4B982CC0"/>
    <w:rsid w:val="4B9B0EA7"/>
    <w:rsid w:val="4B9C58D4"/>
    <w:rsid w:val="4B9D7435"/>
    <w:rsid w:val="4B9E042B"/>
    <w:rsid w:val="4BB15DD7"/>
    <w:rsid w:val="4BB673BE"/>
    <w:rsid w:val="4BD72A7F"/>
    <w:rsid w:val="4BE84AD9"/>
    <w:rsid w:val="4BEB3A83"/>
    <w:rsid w:val="4BF43354"/>
    <w:rsid w:val="4BFE4852"/>
    <w:rsid w:val="4BFF4460"/>
    <w:rsid w:val="4C070F38"/>
    <w:rsid w:val="4C1106C3"/>
    <w:rsid w:val="4C19280C"/>
    <w:rsid w:val="4C217FD6"/>
    <w:rsid w:val="4C2E7741"/>
    <w:rsid w:val="4C3E2CC4"/>
    <w:rsid w:val="4C4307E7"/>
    <w:rsid w:val="4C471FD7"/>
    <w:rsid w:val="4C4D5E54"/>
    <w:rsid w:val="4C4E6B2B"/>
    <w:rsid w:val="4C5D6314"/>
    <w:rsid w:val="4C6B25BB"/>
    <w:rsid w:val="4C8F52A1"/>
    <w:rsid w:val="4C99297E"/>
    <w:rsid w:val="4C9F4318"/>
    <w:rsid w:val="4CA472A7"/>
    <w:rsid w:val="4CA62864"/>
    <w:rsid w:val="4CAA0BC2"/>
    <w:rsid w:val="4CAC32BC"/>
    <w:rsid w:val="4CB437F6"/>
    <w:rsid w:val="4CB52377"/>
    <w:rsid w:val="4CC46FA7"/>
    <w:rsid w:val="4CCF0B8F"/>
    <w:rsid w:val="4CD1167C"/>
    <w:rsid w:val="4CDE3827"/>
    <w:rsid w:val="4CF91D35"/>
    <w:rsid w:val="4CFD2BF9"/>
    <w:rsid w:val="4D034783"/>
    <w:rsid w:val="4D0A751E"/>
    <w:rsid w:val="4D114845"/>
    <w:rsid w:val="4D191AD4"/>
    <w:rsid w:val="4D1A0E7E"/>
    <w:rsid w:val="4D2668B3"/>
    <w:rsid w:val="4D473501"/>
    <w:rsid w:val="4D570277"/>
    <w:rsid w:val="4D595B24"/>
    <w:rsid w:val="4D641BDB"/>
    <w:rsid w:val="4D6D5452"/>
    <w:rsid w:val="4D7D5612"/>
    <w:rsid w:val="4D812938"/>
    <w:rsid w:val="4D852885"/>
    <w:rsid w:val="4DA24D1C"/>
    <w:rsid w:val="4DB3703C"/>
    <w:rsid w:val="4DBA0D0F"/>
    <w:rsid w:val="4DBB3186"/>
    <w:rsid w:val="4DC746DC"/>
    <w:rsid w:val="4DD13B44"/>
    <w:rsid w:val="4DD27265"/>
    <w:rsid w:val="4DD752A2"/>
    <w:rsid w:val="4DE624DA"/>
    <w:rsid w:val="4DE86678"/>
    <w:rsid w:val="4DF2276D"/>
    <w:rsid w:val="4DFC67D6"/>
    <w:rsid w:val="4E0975E7"/>
    <w:rsid w:val="4E0C1A56"/>
    <w:rsid w:val="4E191EAF"/>
    <w:rsid w:val="4E1E674C"/>
    <w:rsid w:val="4E4241EE"/>
    <w:rsid w:val="4E4F1AF9"/>
    <w:rsid w:val="4E524648"/>
    <w:rsid w:val="4E5E2FEC"/>
    <w:rsid w:val="4E664701"/>
    <w:rsid w:val="4E6A4CF1"/>
    <w:rsid w:val="4E6E0343"/>
    <w:rsid w:val="4E6F6FA8"/>
    <w:rsid w:val="4E771F3E"/>
    <w:rsid w:val="4E803FA8"/>
    <w:rsid w:val="4E814E30"/>
    <w:rsid w:val="4E8B2588"/>
    <w:rsid w:val="4E9E3C23"/>
    <w:rsid w:val="4EAA2BA6"/>
    <w:rsid w:val="4EEF578A"/>
    <w:rsid w:val="4EF0515A"/>
    <w:rsid w:val="4EFA6DC1"/>
    <w:rsid w:val="4F026AD9"/>
    <w:rsid w:val="4F0B2582"/>
    <w:rsid w:val="4F0F2B70"/>
    <w:rsid w:val="4F212A01"/>
    <w:rsid w:val="4F241B17"/>
    <w:rsid w:val="4F257073"/>
    <w:rsid w:val="4F493C9D"/>
    <w:rsid w:val="4F61663F"/>
    <w:rsid w:val="4F617220"/>
    <w:rsid w:val="4F6B6C90"/>
    <w:rsid w:val="4F7A1E4D"/>
    <w:rsid w:val="4F844786"/>
    <w:rsid w:val="4F8B3E56"/>
    <w:rsid w:val="4F8B78F2"/>
    <w:rsid w:val="4F910446"/>
    <w:rsid w:val="4F9A7AF4"/>
    <w:rsid w:val="4FA87C71"/>
    <w:rsid w:val="4FAD6B06"/>
    <w:rsid w:val="4FD572DE"/>
    <w:rsid w:val="4FF26A8A"/>
    <w:rsid w:val="500E2189"/>
    <w:rsid w:val="501C5F4C"/>
    <w:rsid w:val="50242873"/>
    <w:rsid w:val="503B680E"/>
    <w:rsid w:val="50594100"/>
    <w:rsid w:val="50666784"/>
    <w:rsid w:val="5067531C"/>
    <w:rsid w:val="50794F72"/>
    <w:rsid w:val="507C21F5"/>
    <w:rsid w:val="507D0CA9"/>
    <w:rsid w:val="50852AB2"/>
    <w:rsid w:val="509141B6"/>
    <w:rsid w:val="50914D06"/>
    <w:rsid w:val="50AC6F1B"/>
    <w:rsid w:val="50BF076D"/>
    <w:rsid w:val="50C11560"/>
    <w:rsid w:val="50C7364E"/>
    <w:rsid w:val="50EB753F"/>
    <w:rsid w:val="50F3057B"/>
    <w:rsid w:val="51033E28"/>
    <w:rsid w:val="51094825"/>
    <w:rsid w:val="51194A6B"/>
    <w:rsid w:val="512460B3"/>
    <w:rsid w:val="512D7670"/>
    <w:rsid w:val="512E7C5E"/>
    <w:rsid w:val="5130772D"/>
    <w:rsid w:val="513D5554"/>
    <w:rsid w:val="51433A26"/>
    <w:rsid w:val="51435AD8"/>
    <w:rsid w:val="514E026B"/>
    <w:rsid w:val="515E027B"/>
    <w:rsid w:val="51644FC7"/>
    <w:rsid w:val="518746DA"/>
    <w:rsid w:val="51A14AB5"/>
    <w:rsid w:val="51B72D2A"/>
    <w:rsid w:val="51BA29E1"/>
    <w:rsid w:val="51BF35FD"/>
    <w:rsid w:val="51C8796C"/>
    <w:rsid w:val="51CA1D55"/>
    <w:rsid w:val="51D3518D"/>
    <w:rsid w:val="51D51773"/>
    <w:rsid w:val="51EC7E84"/>
    <w:rsid w:val="51F02ACF"/>
    <w:rsid w:val="51FA7F99"/>
    <w:rsid w:val="52036385"/>
    <w:rsid w:val="520720D4"/>
    <w:rsid w:val="520D307D"/>
    <w:rsid w:val="520E4894"/>
    <w:rsid w:val="52106F7E"/>
    <w:rsid w:val="52124AA4"/>
    <w:rsid w:val="522A551E"/>
    <w:rsid w:val="522F264F"/>
    <w:rsid w:val="523909B7"/>
    <w:rsid w:val="524C35A0"/>
    <w:rsid w:val="525A6760"/>
    <w:rsid w:val="52644A8E"/>
    <w:rsid w:val="52693783"/>
    <w:rsid w:val="526D567F"/>
    <w:rsid w:val="52765DE3"/>
    <w:rsid w:val="52860304"/>
    <w:rsid w:val="528909E8"/>
    <w:rsid w:val="528F0266"/>
    <w:rsid w:val="529C2335"/>
    <w:rsid w:val="52A42843"/>
    <w:rsid w:val="52A44B1D"/>
    <w:rsid w:val="52A606BB"/>
    <w:rsid w:val="52BE70DE"/>
    <w:rsid w:val="52BF2AF6"/>
    <w:rsid w:val="52C67421"/>
    <w:rsid w:val="52D72187"/>
    <w:rsid w:val="52DF6103"/>
    <w:rsid w:val="52EE408A"/>
    <w:rsid w:val="52F43DE1"/>
    <w:rsid w:val="52FC482C"/>
    <w:rsid w:val="530410BC"/>
    <w:rsid w:val="530D4BDD"/>
    <w:rsid w:val="53106487"/>
    <w:rsid w:val="532A36C6"/>
    <w:rsid w:val="53395347"/>
    <w:rsid w:val="535B00EA"/>
    <w:rsid w:val="535D7F64"/>
    <w:rsid w:val="535F78C5"/>
    <w:rsid w:val="536D0B73"/>
    <w:rsid w:val="536E77DF"/>
    <w:rsid w:val="538413C3"/>
    <w:rsid w:val="538542B6"/>
    <w:rsid w:val="53A7310B"/>
    <w:rsid w:val="53AD61E2"/>
    <w:rsid w:val="53AE6E89"/>
    <w:rsid w:val="53BD55C2"/>
    <w:rsid w:val="53BE4E00"/>
    <w:rsid w:val="53D73D1F"/>
    <w:rsid w:val="53EA12F8"/>
    <w:rsid w:val="53F046E7"/>
    <w:rsid w:val="53FD3203"/>
    <w:rsid w:val="540F471F"/>
    <w:rsid w:val="5416113B"/>
    <w:rsid w:val="541B565F"/>
    <w:rsid w:val="541F2266"/>
    <w:rsid w:val="542B571F"/>
    <w:rsid w:val="54375424"/>
    <w:rsid w:val="54383F56"/>
    <w:rsid w:val="54511490"/>
    <w:rsid w:val="54567CF8"/>
    <w:rsid w:val="54660A34"/>
    <w:rsid w:val="54705FA3"/>
    <w:rsid w:val="54871C34"/>
    <w:rsid w:val="54A569C8"/>
    <w:rsid w:val="54A9350D"/>
    <w:rsid w:val="54AE3555"/>
    <w:rsid w:val="54B44F3E"/>
    <w:rsid w:val="54C6239B"/>
    <w:rsid w:val="54CD2C7A"/>
    <w:rsid w:val="54D21FF4"/>
    <w:rsid w:val="54D22C63"/>
    <w:rsid w:val="54D51D92"/>
    <w:rsid w:val="54E33E07"/>
    <w:rsid w:val="54EB509D"/>
    <w:rsid w:val="550020CC"/>
    <w:rsid w:val="55053FB1"/>
    <w:rsid w:val="550F738D"/>
    <w:rsid w:val="55105D67"/>
    <w:rsid w:val="551F2EF6"/>
    <w:rsid w:val="552E42B1"/>
    <w:rsid w:val="552F2073"/>
    <w:rsid w:val="55320D2F"/>
    <w:rsid w:val="5533296C"/>
    <w:rsid w:val="553C0B0B"/>
    <w:rsid w:val="555A34AB"/>
    <w:rsid w:val="555B3708"/>
    <w:rsid w:val="555C1021"/>
    <w:rsid w:val="55650DD4"/>
    <w:rsid w:val="559544A1"/>
    <w:rsid w:val="559D1B18"/>
    <w:rsid w:val="55A73683"/>
    <w:rsid w:val="55A86518"/>
    <w:rsid w:val="55B45E9B"/>
    <w:rsid w:val="55B5218C"/>
    <w:rsid w:val="55BA16AD"/>
    <w:rsid w:val="55BB2305"/>
    <w:rsid w:val="55C84E61"/>
    <w:rsid w:val="55CD530D"/>
    <w:rsid w:val="55CF199A"/>
    <w:rsid w:val="55CF2C93"/>
    <w:rsid w:val="55D2103B"/>
    <w:rsid w:val="55E768E8"/>
    <w:rsid w:val="55EE2853"/>
    <w:rsid w:val="55FA0B6B"/>
    <w:rsid w:val="55FF0040"/>
    <w:rsid w:val="560E1DBD"/>
    <w:rsid w:val="563E5808"/>
    <w:rsid w:val="56487C06"/>
    <w:rsid w:val="564F2FD6"/>
    <w:rsid w:val="564F4A1A"/>
    <w:rsid w:val="56520BF9"/>
    <w:rsid w:val="56574EF1"/>
    <w:rsid w:val="565D364A"/>
    <w:rsid w:val="566400FB"/>
    <w:rsid w:val="566E51D6"/>
    <w:rsid w:val="56775267"/>
    <w:rsid w:val="568B1C5B"/>
    <w:rsid w:val="56931F37"/>
    <w:rsid w:val="56932322"/>
    <w:rsid w:val="569C5EA6"/>
    <w:rsid w:val="569E3EE6"/>
    <w:rsid w:val="56B5513D"/>
    <w:rsid w:val="56CB403F"/>
    <w:rsid w:val="56D11496"/>
    <w:rsid w:val="56E270E9"/>
    <w:rsid w:val="57071F4E"/>
    <w:rsid w:val="570D730A"/>
    <w:rsid w:val="571B01F2"/>
    <w:rsid w:val="572D0C7B"/>
    <w:rsid w:val="57342B3C"/>
    <w:rsid w:val="57435475"/>
    <w:rsid w:val="574A4E12"/>
    <w:rsid w:val="574E4E5E"/>
    <w:rsid w:val="57572CCF"/>
    <w:rsid w:val="57710B44"/>
    <w:rsid w:val="57797801"/>
    <w:rsid w:val="577A1F44"/>
    <w:rsid w:val="57823EDB"/>
    <w:rsid w:val="57971AFC"/>
    <w:rsid w:val="57996E2C"/>
    <w:rsid w:val="57B1418D"/>
    <w:rsid w:val="57B3566A"/>
    <w:rsid w:val="57B83882"/>
    <w:rsid w:val="57B93563"/>
    <w:rsid w:val="57C72719"/>
    <w:rsid w:val="57CE1ADE"/>
    <w:rsid w:val="57D11333"/>
    <w:rsid w:val="57E87254"/>
    <w:rsid w:val="57EC2FBD"/>
    <w:rsid w:val="57F24692"/>
    <w:rsid w:val="57F51934"/>
    <w:rsid w:val="57F9109C"/>
    <w:rsid w:val="57FD0454"/>
    <w:rsid w:val="580526F5"/>
    <w:rsid w:val="580B1B5D"/>
    <w:rsid w:val="580F52DD"/>
    <w:rsid w:val="583D28C6"/>
    <w:rsid w:val="58446D2E"/>
    <w:rsid w:val="58447EEA"/>
    <w:rsid w:val="58560FBA"/>
    <w:rsid w:val="585710E6"/>
    <w:rsid w:val="585B630B"/>
    <w:rsid w:val="58621F05"/>
    <w:rsid w:val="58707502"/>
    <w:rsid w:val="58723FE4"/>
    <w:rsid w:val="5888199F"/>
    <w:rsid w:val="5889510A"/>
    <w:rsid w:val="58A9755A"/>
    <w:rsid w:val="58AB7AD4"/>
    <w:rsid w:val="58B85631"/>
    <w:rsid w:val="58BD7BC2"/>
    <w:rsid w:val="58C12364"/>
    <w:rsid w:val="58CC3FD5"/>
    <w:rsid w:val="58E312F5"/>
    <w:rsid w:val="58EB0BCA"/>
    <w:rsid w:val="58F51F77"/>
    <w:rsid w:val="58FC29EF"/>
    <w:rsid w:val="59025B0D"/>
    <w:rsid w:val="59055CCE"/>
    <w:rsid w:val="590E638E"/>
    <w:rsid w:val="59170A87"/>
    <w:rsid w:val="59184160"/>
    <w:rsid w:val="59254E33"/>
    <w:rsid w:val="59335C0C"/>
    <w:rsid w:val="593C6EC8"/>
    <w:rsid w:val="593F4B78"/>
    <w:rsid w:val="59442859"/>
    <w:rsid w:val="59542347"/>
    <w:rsid w:val="5956265F"/>
    <w:rsid w:val="595A36C1"/>
    <w:rsid w:val="595B3C40"/>
    <w:rsid w:val="596C7A31"/>
    <w:rsid w:val="5970339B"/>
    <w:rsid w:val="597C4916"/>
    <w:rsid w:val="598F4F95"/>
    <w:rsid w:val="59904470"/>
    <w:rsid w:val="5999739E"/>
    <w:rsid w:val="59A1284D"/>
    <w:rsid w:val="59A41164"/>
    <w:rsid w:val="59B12B6A"/>
    <w:rsid w:val="59B569AB"/>
    <w:rsid w:val="59C254A5"/>
    <w:rsid w:val="59E06376"/>
    <w:rsid w:val="59E142DC"/>
    <w:rsid w:val="59FE20D1"/>
    <w:rsid w:val="59FF75BE"/>
    <w:rsid w:val="5A0111E2"/>
    <w:rsid w:val="5A0176D1"/>
    <w:rsid w:val="5A1D4EFE"/>
    <w:rsid w:val="5A1F1046"/>
    <w:rsid w:val="5A394566"/>
    <w:rsid w:val="5A3A2204"/>
    <w:rsid w:val="5A427F8C"/>
    <w:rsid w:val="5A472CEC"/>
    <w:rsid w:val="5A666518"/>
    <w:rsid w:val="5A6A6B33"/>
    <w:rsid w:val="5A782AA3"/>
    <w:rsid w:val="5A7F24C0"/>
    <w:rsid w:val="5A891532"/>
    <w:rsid w:val="5A97782C"/>
    <w:rsid w:val="5A982B0C"/>
    <w:rsid w:val="5A9B1124"/>
    <w:rsid w:val="5A9E5948"/>
    <w:rsid w:val="5AA669DF"/>
    <w:rsid w:val="5ABB7EBA"/>
    <w:rsid w:val="5ABD5EDB"/>
    <w:rsid w:val="5ACD4C19"/>
    <w:rsid w:val="5AD32AD3"/>
    <w:rsid w:val="5AD61301"/>
    <w:rsid w:val="5ADA0571"/>
    <w:rsid w:val="5AEF6BF7"/>
    <w:rsid w:val="5AFF59AA"/>
    <w:rsid w:val="5B0C1D95"/>
    <w:rsid w:val="5B0D1838"/>
    <w:rsid w:val="5B224E28"/>
    <w:rsid w:val="5B28184F"/>
    <w:rsid w:val="5B4C6EFE"/>
    <w:rsid w:val="5B7222F3"/>
    <w:rsid w:val="5B725324"/>
    <w:rsid w:val="5B751975"/>
    <w:rsid w:val="5B755477"/>
    <w:rsid w:val="5B7A74E3"/>
    <w:rsid w:val="5B7F07D5"/>
    <w:rsid w:val="5B826FBC"/>
    <w:rsid w:val="5B8526E3"/>
    <w:rsid w:val="5BB3092C"/>
    <w:rsid w:val="5BB93F58"/>
    <w:rsid w:val="5BBD57F6"/>
    <w:rsid w:val="5BC540D1"/>
    <w:rsid w:val="5BCF7A15"/>
    <w:rsid w:val="5BD74746"/>
    <w:rsid w:val="5BDE576D"/>
    <w:rsid w:val="5BE077E3"/>
    <w:rsid w:val="5BF758DA"/>
    <w:rsid w:val="5BFA5443"/>
    <w:rsid w:val="5C0033F1"/>
    <w:rsid w:val="5C022EEB"/>
    <w:rsid w:val="5C3E030B"/>
    <w:rsid w:val="5C451D6A"/>
    <w:rsid w:val="5C515F3F"/>
    <w:rsid w:val="5C647285"/>
    <w:rsid w:val="5C7A19BD"/>
    <w:rsid w:val="5C7F214A"/>
    <w:rsid w:val="5C89057D"/>
    <w:rsid w:val="5C9A394F"/>
    <w:rsid w:val="5CA249EC"/>
    <w:rsid w:val="5CAC6FC5"/>
    <w:rsid w:val="5CB53A34"/>
    <w:rsid w:val="5CB77667"/>
    <w:rsid w:val="5CB96D6F"/>
    <w:rsid w:val="5CC16D8D"/>
    <w:rsid w:val="5CC95D32"/>
    <w:rsid w:val="5CD03307"/>
    <w:rsid w:val="5CDC179B"/>
    <w:rsid w:val="5CF05758"/>
    <w:rsid w:val="5CF073E9"/>
    <w:rsid w:val="5CFA0384"/>
    <w:rsid w:val="5CFE6E2C"/>
    <w:rsid w:val="5CFF6E54"/>
    <w:rsid w:val="5D0120B0"/>
    <w:rsid w:val="5D0F2892"/>
    <w:rsid w:val="5D1F047E"/>
    <w:rsid w:val="5D26311B"/>
    <w:rsid w:val="5D2B2C34"/>
    <w:rsid w:val="5D3E26E8"/>
    <w:rsid w:val="5D577A94"/>
    <w:rsid w:val="5D697D79"/>
    <w:rsid w:val="5D7520B0"/>
    <w:rsid w:val="5D7D2CD6"/>
    <w:rsid w:val="5D8C2F31"/>
    <w:rsid w:val="5D94650F"/>
    <w:rsid w:val="5D96561B"/>
    <w:rsid w:val="5DA05548"/>
    <w:rsid w:val="5DA4679E"/>
    <w:rsid w:val="5DB76275"/>
    <w:rsid w:val="5DC2282B"/>
    <w:rsid w:val="5DD3264E"/>
    <w:rsid w:val="5E041265"/>
    <w:rsid w:val="5E2B7697"/>
    <w:rsid w:val="5E330A47"/>
    <w:rsid w:val="5E3B36FA"/>
    <w:rsid w:val="5E4C0F3D"/>
    <w:rsid w:val="5E4D2A9C"/>
    <w:rsid w:val="5E521E1C"/>
    <w:rsid w:val="5E5571A4"/>
    <w:rsid w:val="5E5576F3"/>
    <w:rsid w:val="5E723EB4"/>
    <w:rsid w:val="5E7923D5"/>
    <w:rsid w:val="5E8720EC"/>
    <w:rsid w:val="5E912F6A"/>
    <w:rsid w:val="5EA23921"/>
    <w:rsid w:val="5EBD58FA"/>
    <w:rsid w:val="5EC46CBD"/>
    <w:rsid w:val="5EC9488F"/>
    <w:rsid w:val="5ECE5F2E"/>
    <w:rsid w:val="5ED12060"/>
    <w:rsid w:val="5EDE5C89"/>
    <w:rsid w:val="5EE64AAF"/>
    <w:rsid w:val="5EEB267A"/>
    <w:rsid w:val="5EEF1885"/>
    <w:rsid w:val="5EF47E31"/>
    <w:rsid w:val="5EFB4BF2"/>
    <w:rsid w:val="5F1E58A2"/>
    <w:rsid w:val="5F1F2B83"/>
    <w:rsid w:val="5F215050"/>
    <w:rsid w:val="5F2931A3"/>
    <w:rsid w:val="5F2D4A41"/>
    <w:rsid w:val="5F2E659A"/>
    <w:rsid w:val="5F3E073F"/>
    <w:rsid w:val="5F474BFF"/>
    <w:rsid w:val="5F526781"/>
    <w:rsid w:val="5F623276"/>
    <w:rsid w:val="5F6A0409"/>
    <w:rsid w:val="5F6C2068"/>
    <w:rsid w:val="5F6C31C7"/>
    <w:rsid w:val="5F733EF1"/>
    <w:rsid w:val="5F743B13"/>
    <w:rsid w:val="5F786A3F"/>
    <w:rsid w:val="5F7F46FC"/>
    <w:rsid w:val="5F7FE304"/>
    <w:rsid w:val="5F874FBF"/>
    <w:rsid w:val="5F9B0D23"/>
    <w:rsid w:val="5F9D4C85"/>
    <w:rsid w:val="5F9F8873"/>
    <w:rsid w:val="5FB51FCB"/>
    <w:rsid w:val="5FC2688A"/>
    <w:rsid w:val="5FDC7CD6"/>
    <w:rsid w:val="5FE04BD5"/>
    <w:rsid w:val="5FE1547F"/>
    <w:rsid w:val="5FEE3BCE"/>
    <w:rsid w:val="600153BE"/>
    <w:rsid w:val="6005151A"/>
    <w:rsid w:val="60094F35"/>
    <w:rsid w:val="600D4CEE"/>
    <w:rsid w:val="60113E2C"/>
    <w:rsid w:val="60116111"/>
    <w:rsid w:val="601609A8"/>
    <w:rsid w:val="602C7C48"/>
    <w:rsid w:val="6035284E"/>
    <w:rsid w:val="604343F0"/>
    <w:rsid w:val="60437DE9"/>
    <w:rsid w:val="6046318F"/>
    <w:rsid w:val="60463EC6"/>
    <w:rsid w:val="604B6CCB"/>
    <w:rsid w:val="6070442A"/>
    <w:rsid w:val="60750165"/>
    <w:rsid w:val="60A3109B"/>
    <w:rsid w:val="60B9239F"/>
    <w:rsid w:val="60BF5B6D"/>
    <w:rsid w:val="60C645AB"/>
    <w:rsid w:val="60E20DAE"/>
    <w:rsid w:val="60E27E53"/>
    <w:rsid w:val="60F4180C"/>
    <w:rsid w:val="61206F49"/>
    <w:rsid w:val="613D6BAA"/>
    <w:rsid w:val="61410D80"/>
    <w:rsid w:val="61611A0B"/>
    <w:rsid w:val="61621D97"/>
    <w:rsid w:val="6167427F"/>
    <w:rsid w:val="616A3192"/>
    <w:rsid w:val="61812597"/>
    <w:rsid w:val="618755C4"/>
    <w:rsid w:val="61953350"/>
    <w:rsid w:val="619E139C"/>
    <w:rsid w:val="61B62B7A"/>
    <w:rsid w:val="61BE5377"/>
    <w:rsid w:val="61D0398A"/>
    <w:rsid w:val="61DE71DE"/>
    <w:rsid w:val="61EA4E6B"/>
    <w:rsid w:val="61EE7897"/>
    <w:rsid w:val="61F050AA"/>
    <w:rsid w:val="61F05A3D"/>
    <w:rsid w:val="620D33E1"/>
    <w:rsid w:val="621259F7"/>
    <w:rsid w:val="62127C3C"/>
    <w:rsid w:val="622214DA"/>
    <w:rsid w:val="6224730C"/>
    <w:rsid w:val="622567A5"/>
    <w:rsid w:val="622977EA"/>
    <w:rsid w:val="622B010A"/>
    <w:rsid w:val="622C73DE"/>
    <w:rsid w:val="624645AC"/>
    <w:rsid w:val="62577D9F"/>
    <w:rsid w:val="625937AE"/>
    <w:rsid w:val="626C7A15"/>
    <w:rsid w:val="626F3F92"/>
    <w:rsid w:val="6287216F"/>
    <w:rsid w:val="62892A53"/>
    <w:rsid w:val="62935DB1"/>
    <w:rsid w:val="629831F9"/>
    <w:rsid w:val="62BC5DE9"/>
    <w:rsid w:val="62BD2580"/>
    <w:rsid w:val="62C10FD0"/>
    <w:rsid w:val="62C76F5B"/>
    <w:rsid w:val="62E41E7C"/>
    <w:rsid w:val="62E8190E"/>
    <w:rsid w:val="62EC74FF"/>
    <w:rsid w:val="62EE30D2"/>
    <w:rsid w:val="62F06650"/>
    <w:rsid w:val="62FA10DE"/>
    <w:rsid w:val="62FC541B"/>
    <w:rsid w:val="630006BE"/>
    <w:rsid w:val="6300634C"/>
    <w:rsid w:val="630E03BD"/>
    <w:rsid w:val="63114765"/>
    <w:rsid w:val="631550FC"/>
    <w:rsid w:val="63382085"/>
    <w:rsid w:val="63422B24"/>
    <w:rsid w:val="63471E94"/>
    <w:rsid w:val="636607F7"/>
    <w:rsid w:val="636965D4"/>
    <w:rsid w:val="637029F7"/>
    <w:rsid w:val="63726B6C"/>
    <w:rsid w:val="637B7A06"/>
    <w:rsid w:val="63835232"/>
    <w:rsid w:val="63965A29"/>
    <w:rsid w:val="63A044C9"/>
    <w:rsid w:val="63A50EBA"/>
    <w:rsid w:val="63AE2B07"/>
    <w:rsid w:val="63AE435F"/>
    <w:rsid w:val="63B14BC4"/>
    <w:rsid w:val="63BB7AF9"/>
    <w:rsid w:val="63BD1501"/>
    <w:rsid w:val="63F041DC"/>
    <w:rsid w:val="63F86267"/>
    <w:rsid w:val="640E3B92"/>
    <w:rsid w:val="643D2511"/>
    <w:rsid w:val="644A5D7B"/>
    <w:rsid w:val="64561C64"/>
    <w:rsid w:val="647905D1"/>
    <w:rsid w:val="647A3430"/>
    <w:rsid w:val="647B624F"/>
    <w:rsid w:val="648B159F"/>
    <w:rsid w:val="649D4EF3"/>
    <w:rsid w:val="64A13515"/>
    <w:rsid w:val="64A137DB"/>
    <w:rsid w:val="64BA302E"/>
    <w:rsid w:val="64BB2F3B"/>
    <w:rsid w:val="64BF61CB"/>
    <w:rsid w:val="64C93DE9"/>
    <w:rsid w:val="64DA6181"/>
    <w:rsid w:val="64DF2A44"/>
    <w:rsid w:val="64FA5B55"/>
    <w:rsid w:val="650C50F9"/>
    <w:rsid w:val="651C0482"/>
    <w:rsid w:val="653D1756"/>
    <w:rsid w:val="656B7BBE"/>
    <w:rsid w:val="657E46FF"/>
    <w:rsid w:val="658E1E84"/>
    <w:rsid w:val="65972077"/>
    <w:rsid w:val="659768EE"/>
    <w:rsid w:val="65BF551B"/>
    <w:rsid w:val="65C437BF"/>
    <w:rsid w:val="65C601F6"/>
    <w:rsid w:val="65C72292"/>
    <w:rsid w:val="65D117B7"/>
    <w:rsid w:val="65D200F0"/>
    <w:rsid w:val="65DC5DBF"/>
    <w:rsid w:val="65F1617E"/>
    <w:rsid w:val="65F5223C"/>
    <w:rsid w:val="660245B8"/>
    <w:rsid w:val="661829F8"/>
    <w:rsid w:val="661B4BCF"/>
    <w:rsid w:val="665C4E79"/>
    <w:rsid w:val="66717E3F"/>
    <w:rsid w:val="66802ADE"/>
    <w:rsid w:val="66821FD7"/>
    <w:rsid w:val="66975803"/>
    <w:rsid w:val="66B132A5"/>
    <w:rsid w:val="66C306A0"/>
    <w:rsid w:val="66D52CAC"/>
    <w:rsid w:val="66E717C1"/>
    <w:rsid w:val="66E757AC"/>
    <w:rsid w:val="66F276B6"/>
    <w:rsid w:val="66FB2125"/>
    <w:rsid w:val="672A5A8A"/>
    <w:rsid w:val="672B6BEF"/>
    <w:rsid w:val="672F287A"/>
    <w:rsid w:val="67340A23"/>
    <w:rsid w:val="674D79C1"/>
    <w:rsid w:val="67574DE2"/>
    <w:rsid w:val="675F6FD0"/>
    <w:rsid w:val="67684F26"/>
    <w:rsid w:val="67717EA6"/>
    <w:rsid w:val="67753D45"/>
    <w:rsid w:val="677E7AB0"/>
    <w:rsid w:val="678C66BD"/>
    <w:rsid w:val="67A55390"/>
    <w:rsid w:val="67BF6452"/>
    <w:rsid w:val="67CB0668"/>
    <w:rsid w:val="67D03E67"/>
    <w:rsid w:val="67D33548"/>
    <w:rsid w:val="67D7565F"/>
    <w:rsid w:val="67E633C8"/>
    <w:rsid w:val="67E86292"/>
    <w:rsid w:val="67F72C98"/>
    <w:rsid w:val="68174EC4"/>
    <w:rsid w:val="681B3A82"/>
    <w:rsid w:val="683706DE"/>
    <w:rsid w:val="68450B54"/>
    <w:rsid w:val="68475BAD"/>
    <w:rsid w:val="6853226F"/>
    <w:rsid w:val="68534AC8"/>
    <w:rsid w:val="68557724"/>
    <w:rsid w:val="685D0462"/>
    <w:rsid w:val="686B0388"/>
    <w:rsid w:val="687B613E"/>
    <w:rsid w:val="68830BF5"/>
    <w:rsid w:val="689D7887"/>
    <w:rsid w:val="689F7918"/>
    <w:rsid w:val="68B411EB"/>
    <w:rsid w:val="68B42E9C"/>
    <w:rsid w:val="68BF7171"/>
    <w:rsid w:val="68C53CF8"/>
    <w:rsid w:val="68CE059F"/>
    <w:rsid w:val="68DE3B49"/>
    <w:rsid w:val="68DF04D4"/>
    <w:rsid w:val="68E02C65"/>
    <w:rsid w:val="68F7727E"/>
    <w:rsid w:val="68FF3B24"/>
    <w:rsid w:val="69025553"/>
    <w:rsid w:val="69032A8F"/>
    <w:rsid w:val="690E397F"/>
    <w:rsid w:val="691471F2"/>
    <w:rsid w:val="69161412"/>
    <w:rsid w:val="691B0000"/>
    <w:rsid w:val="691B0859"/>
    <w:rsid w:val="69462667"/>
    <w:rsid w:val="69694AED"/>
    <w:rsid w:val="69884761"/>
    <w:rsid w:val="699613C0"/>
    <w:rsid w:val="699F0AC7"/>
    <w:rsid w:val="69AC3CF3"/>
    <w:rsid w:val="69B25257"/>
    <w:rsid w:val="69C1601A"/>
    <w:rsid w:val="69DE523F"/>
    <w:rsid w:val="69E45415"/>
    <w:rsid w:val="69EF0BEC"/>
    <w:rsid w:val="69F467C3"/>
    <w:rsid w:val="69F56FAC"/>
    <w:rsid w:val="69F878CA"/>
    <w:rsid w:val="69FD21F7"/>
    <w:rsid w:val="6A01114C"/>
    <w:rsid w:val="6A03117B"/>
    <w:rsid w:val="6A075AAD"/>
    <w:rsid w:val="6A18692A"/>
    <w:rsid w:val="6A1B663F"/>
    <w:rsid w:val="6A2B11BD"/>
    <w:rsid w:val="6A322097"/>
    <w:rsid w:val="6A354F27"/>
    <w:rsid w:val="6A382D69"/>
    <w:rsid w:val="6A5748C3"/>
    <w:rsid w:val="6A5A4712"/>
    <w:rsid w:val="6A5D229E"/>
    <w:rsid w:val="6A6661F0"/>
    <w:rsid w:val="6A6A2073"/>
    <w:rsid w:val="6A7933E7"/>
    <w:rsid w:val="6A9B4E64"/>
    <w:rsid w:val="6A9B7C73"/>
    <w:rsid w:val="6A9D2F92"/>
    <w:rsid w:val="6AB0509A"/>
    <w:rsid w:val="6AB74287"/>
    <w:rsid w:val="6ABB571C"/>
    <w:rsid w:val="6ACC4257"/>
    <w:rsid w:val="6ACE1E05"/>
    <w:rsid w:val="6ACE6EC4"/>
    <w:rsid w:val="6AD54ECE"/>
    <w:rsid w:val="6AE32434"/>
    <w:rsid w:val="6AEB6A75"/>
    <w:rsid w:val="6AF4202E"/>
    <w:rsid w:val="6AF81E4E"/>
    <w:rsid w:val="6B0E0FF6"/>
    <w:rsid w:val="6B185226"/>
    <w:rsid w:val="6B1A13F6"/>
    <w:rsid w:val="6B1A1DDB"/>
    <w:rsid w:val="6B2B5C9F"/>
    <w:rsid w:val="6B33535D"/>
    <w:rsid w:val="6B337530"/>
    <w:rsid w:val="6B341A7A"/>
    <w:rsid w:val="6B3A377F"/>
    <w:rsid w:val="6B3D63CA"/>
    <w:rsid w:val="6B3E3544"/>
    <w:rsid w:val="6B425B21"/>
    <w:rsid w:val="6B4B3AC8"/>
    <w:rsid w:val="6B5D26B4"/>
    <w:rsid w:val="6B620BB9"/>
    <w:rsid w:val="6B6F17F0"/>
    <w:rsid w:val="6B712827"/>
    <w:rsid w:val="6B8C5E66"/>
    <w:rsid w:val="6B972271"/>
    <w:rsid w:val="6B974310"/>
    <w:rsid w:val="6BA12924"/>
    <w:rsid w:val="6BA31786"/>
    <w:rsid w:val="6BE2471A"/>
    <w:rsid w:val="6BEA6A8E"/>
    <w:rsid w:val="6C0A106D"/>
    <w:rsid w:val="6C0E5F6E"/>
    <w:rsid w:val="6C127E8F"/>
    <w:rsid w:val="6C152258"/>
    <w:rsid w:val="6C1949C8"/>
    <w:rsid w:val="6C2643D1"/>
    <w:rsid w:val="6C3239D1"/>
    <w:rsid w:val="6C367D5D"/>
    <w:rsid w:val="6C371E8E"/>
    <w:rsid w:val="6C4707FB"/>
    <w:rsid w:val="6C507FC1"/>
    <w:rsid w:val="6C5F0204"/>
    <w:rsid w:val="6C626635"/>
    <w:rsid w:val="6C6D191B"/>
    <w:rsid w:val="6C6D3F0B"/>
    <w:rsid w:val="6C8F5271"/>
    <w:rsid w:val="6CA43E69"/>
    <w:rsid w:val="6CAA75A0"/>
    <w:rsid w:val="6CAD2B5D"/>
    <w:rsid w:val="6CB2557D"/>
    <w:rsid w:val="6CB565B0"/>
    <w:rsid w:val="6CB7686A"/>
    <w:rsid w:val="6CC57732"/>
    <w:rsid w:val="6CC60283"/>
    <w:rsid w:val="6CDF5053"/>
    <w:rsid w:val="6CEB4287"/>
    <w:rsid w:val="6CFB0FDE"/>
    <w:rsid w:val="6D0B3E55"/>
    <w:rsid w:val="6D0E128B"/>
    <w:rsid w:val="6D1E1EB0"/>
    <w:rsid w:val="6D231B03"/>
    <w:rsid w:val="6D245DF6"/>
    <w:rsid w:val="6D2C0992"/>
    <w:rsid w:val="6D3276C6"/>
    <w:rsid w:val="6D3C4065"/>
    <w:rsid w:val="6D4D6E7A"/>
    <w:rsid w:val="6D5A180E"/>
    <w:rsid w:val="6D63551C"/>
    <w:rsid w:val="6D695CED"/>
    <w:rsid w:val="6D6A50B2"/>
    <w:rsid w:val="6D733879"/>
    <w:rsid w:val="6D857D9D"/>
    <w:rsid w:val="6D8F032A"/>
    <w:rsid w:val="6D910891"/>
    <w:rsid w:val="6D93510E"/>
    <w:rsid w:val="6DAA6069"/>
    <w:rsid w:val="6DB5289F"/>
    <w:rsid w:val="6DBA4C07"/>
    <w:rsid w:val="6DCF3167"/>
    <w:rsid w:val="6DD975D8"/>
    <w:rsid w:val="6DDF631C"/>
    <w:rsid w:val="6DF73529"/>
    <w:rsid w:val="6E032FC2"/>
    <w:rsid w:val="6E090563"/>
    <w:rsid w:val="6E1F6A55"/>
    <w:rsid w:val="6E285408"/>
    <w:rsid w:val="6E317E32"/>
    <w:rsid w:val="6E3877ED"/>
    <w:rsid w:val="6E433EAF"/>
    <w:rsid w:val="6E5117C6"/>
    <w:rsid w:val="6E5340CB"/>
    <w:rsid w:val="6E56640B"/>
    <w:rsid w:val="6E711527"/>
    <w:rsid w:val="6E8346BC"/>
    <w:rsid w:val="6E851BF4"/>
    <w:rsid w:val="6E943958"/>
    <w:rsid w:val="6E953AA3"/>
    <w:rsid w:val="6EAF3A57"/>
    <w:rsid w:val="6ED011FC"/>
    <w:rsid w:val="6ED770CD"/>
    <w:rsid w:val="6EDF77F5"/>
    <w:rsid w:val="6F076F7D"/>
    <w:rsid w:val="6F1144A4"/>
    <w:rsid w:val="6F14532D"/>
    <w:rsid w:val="6F2968A7"/>
    <w:rsid w:val="6F323167"/>
    <w:rsid w:val="6F3444B6"/>
    <w:rsid w:val="6F364A08"/>
    <w:rsid w:val="6F5E1BD4"/>
    <w:rsid w:val="6F60051B"/>
    <w:rsid w:val="6F754641"/>
    <w:rsid w:val="6F814C70"/>
    <w:rsid w:val="6F85563F"/>
    <w:rsid w:val="6F9E13CF"/>
    <w:rsid w:val="6FA32C33"/>
    <w:rsid w:val="6FAF4FFE"/>
    <w:rsid w:val="6FB73240"/>
    <w:rsid w:val="6FB93B4D"/>
    <w:rsid w:val="6FBF0D34"/>
    <w:rsid w:val="6FC162FA"/>
    <w:rsid w:val="6FC8175F"/>
    <w:rsid w:val="6FC92DA9"/>
    <w:rsid w:val="6FD93B73"/>
    <w:rsid w:val="6FDB2329"/>
    <w:rsid w:val="6FDFDB66"/>
    <w:rsid w:val="6FE90101"/>
    <w:rsid w:val="6FEA6E69"/>
    <w:rsid w:val="6FF31452"/>
    <w:rsid w:val="70027159"/>
    <w:rsid w:val="70185CDC"/>
    <w:rsid w:val="703A551C"/>
    <w:rsid w:val="703C2781"/>
    <w:rsid w:val="70402F23"/>
    <w:rsid w:val="70563559"/>
    <w:rsid w:val="7060279C"/>
    <w:rsid w:val="706436BB"/>
    <w:rsid w:val="706C2EEF"/>
    <w:rsid w:val="708345E6"/>
    <w:rsid w:val="70993EC9"/>
    <w:rsid w:val="70A0604E"/>
    <w:rsid w:val="70A30D27"/>
    <w:rsid w:val="70AC3D7A"/>
    <w:rsid w:val="70AE7F6F"/>
    <w:rsid w:val="70C2536F"/>
    <w:rsid w:val="70C76C10"/>
    <w:rsid w:val="70CC526B"/>
    <w:rsid w:val="70DD189A"/>
    <w:rsid w:val="70E22FAB"/>
    <w:rsid w:val="70FE0A22"/>
    <w:rsid w:val="70FE78F0"/>
    <w:rsid w:val="710F4243"/>
    <w:rsid w:val="71184E25"/>
    <w:rsid w:val="712269D3"/>
    <w:rsid w:val="713573F8"/>
    <w:rsid w:val="71550DEF"/>
    <w:rsid w:val="715B625B"/>
    <w:rsid w:val="71607246"/>
    <w:rsid w:val="71667BAE"/>
    <w:rsid w:val="71743D65"/>
    <w:rsid w:val="718E2962"/>
    <w:rsid w:val="719152B5"/>
    <w:rsid w:val="719438CB"/>
    <w:rsid w:val="71997EB8"/>
    <w:rsid w:val="71A20DB3"/>
    <w:rsid w:val="71A42F48"/>
    <w:rsid w:val="71A517D9"/>
    <w:rsid w:val="71A61A92"/>
    <w:rsid w:val="71AB0D1E"/>
    <w:rsid w:val="71BD1FA1"/>
    <w:rsid w:val="71C21F5C"/>
    <w:rsid w:val="71CC32AB"/>
    <w:rsid w:val="71EE5087"/>
    <w:rsid w:val="72057567"/>
    <w:rsid w:val="72104CF8"/>
    <w:rsid w:val="721C106B"/>
    <w:rsid w:val="721D12AF"/>
    <w:rsid w:val="721D3A01"/>
    <w:rsid w:val="7226152F"/>
    <w:rsid w:val="722C6962"/>
    <w:rsid w:val="722E2629"/>
    <w:rsid w:val="722E3D50"/>
    <w:rsid w:val="723830FF"/>
    <w:rsid w:val="723F518D"/>
    <w:rsid w:val="72581DED"/>
    <w:rsid w:val="725A4ECA"/>
    <w:rsid w:val="725D58A8"/>
    <w:rsid w:val="72924221"/>
    <w:rsid w:val="72931016"/>
    <w:rsid w:val="72AF7364"/>
    <w:rsid w:val="72B50674"/>
    <w:rsid w:val="72C216C0"/>
    <w:rsid w:val="72C7190D"/>
    <w:rsid w:val="72E07EB3"/>
    <w:rsid w:val="72EC7E3D"/>
    <w:rsid w:val="72F04094"/>
    <w:rsid w:val="72F21EB4"/>
    <w:rsid w:val="72F95204"/>
    <w:rsid w:val="730E3420"/>
    <w:rsid w:val="73165D05"/>
    <w:rsid w:val="731960AC"/>
    <w:rsid w:val="731A52E5"/>
    <w:rsid w:val="731D71E7"/>
    <w:rsid w:val="731F249B"/>
    <w:rsid w:val="73203209"/>
    <w:rsid w:val="73205210"/>
    <w:rsid w:val="73217FC1"/>
    <w:rsid w:val="732A6D4F"/>
    <w:rsid w:val="73361B37"/>
    <w:rsid w:val="733621AF"/>
    <w:rsid w:val="733A1A9C"/>
    <w:rsid w:val="733E66FD"/>
    <w:rsid w:val="734165F8"/>
    <w:rsid w:val="73464E3A"/>
    <w:rsid w:val="734F3909"/>
    <w:rsid w:val="734F6B4A"/>
    <w:rsid w:val="735341A2"/>
    <w:rsid w:val="735D24A3"/>
    <w:rsid w:val="73664BC7"/>
    <w:rsid w:val="736C1B8C"/>
    <w:rsid w:val="73734EE4"/>
    <w:rsid w:val="737E1D9A"/>
    <w:rsid w:val="738B0393"/>
    <w:rsid w:val="739978C7"/>
    <w:rsid w:val="73A56453"/>
    <w:rsid w:val="73AB798B"/>
    <w:rsid w:val="73B93EE5"/>
    <w:rsid w:val="73C1186E"/>
    <w:rsid w:val="73CD3AF9"/>
    <w:rsid w:val="73CF05A7"/>
    <w:rsid w:val="73CF470B"/>
    <w:rsid w:val="74082529"/>
    <w:rsid w:val="741D2018"/>
    <w:rsid w:val="741F35DB"/>
    <w:rsid w:val="74235FBB"/>
    <w:rsid w:val="742A7931"/>
    <w:rsid w:val="742F4960"/>
    <w:rsid w:val="74330594"/>
    <w:rsid w:val="74374747"/>
    <w:rsid w:val="7439521B"/>
    <w:rsid w:val="743B15E2"/>
    <w:rsid w:val="743C03B7"/>
    <w:rsid w:val="744864FF"/>
    <w:rsid w:val="74487C11"/>
    <w:rsid w:val="74512B28"/>
    <w:rsid w:val="745C1CA8"/>
    <w:rsid w:val="746304B0"/>
    <w:rsid w:val="746C7962"/>
    <w:rsid w:val="747B5226"/>
    <w:rsid w:val="74836A59"/>
    <w:rsid w:val="748816E2"/>
    <w:rsid w:val="748C3F4B"/>
    <w:rsid w:val="74A470FC"/>
    <w:rsid w:val="74D114D6"/>
    <w:rsid w:val="74D12E4B"/>
    <w:rsid w:val="74D25EEE"/>
    <w:rsid w:val="74F93B59"/>
    <w:rsid w:val="750937B8"/>
    <w:rsid w:val="750B48FC"/>
    <w:rsid w:val="750D3415"/>
    <w:rsid w:val="754760B8"/>
    <w:rsid w:val="754A13BD"/>
    <w:rsid w:val="754C091C"/>
    <w:rsid w:val="754C13F7"/>
    <w:rsid w:val="755802BF"/>
    <w:rsid w:val="756A3A0F"/>
    <w:rsid w:val="756C070F"/>
    <w:rsid w:val="757E66CB"/>
    <w:rsid w:val="758950A4"/>
    <w:rsid w:val="758F6AE1"/>
    <w:rsid w:val="75923DAC"/>
    <w:rsid w:val="75945B8C"/>
    <w:rsid w:val="75986915"/>
    <w:rsid w:val="759D2392"/>
    <w:rsid w:val="75A7573B"/>
    <w:rsid w:val="75AD4F0B"/>
    <w:rsid w:val="75BA5D24"/>
    <w:rsid w:val="75BD268A"/>
    <w:rsid w:val="75D30E1D"/>
    <w:rsid w:val="75D31876"/>
    <w:rsid w:val="75ED2EA7"/>
    <w:rsid w:val="75F638C4"/>
    <w:rsid w:val="7603234A"/>
    <w:rsid w:val="760A5CDB"/>
    <w:rsid w:val="761207E9"/>
    <w:rsid w:val="76202E19"/>
    <w:rsid w:val="7634632A"/>
    <w:rsid w:val="763738F1"/>
    <w:rsid w:val="76375D4D"/>
    <w:rsid w:val="76385E60"/>
    <w:rsid w:val="766065AD"/>
    <w:rsid w:val="76790F36"/>
    <w:rsid w:val="767A6BDE"/>
    <w:rsid w:val="767B0CC7"/>
    <w:rsid w:val="7694751B"/>
    <w:rsid w:val="769D5DA7"/>
    <w:rsid w:val="76AE4EC8"/>
    <w:rsid w:val="76B714B3"/>
    <w:rsid w:val="76B850E0"/>
    <w:rsid w:val="76C73C9A"/>
    <w:rsid w:val="76CC293A"/>
    <w:rsid w:val="76D70271"/>
    <w:rsid w:val="76FB0B73"/>
    <w:rsid w:val="77017347"/>
    <w:rsid w:val="771468CF"/>
    <w:rsid w:val="771522A2"/>
    <w:rsid w:val="77377037"/>
    <w:rsid w:val="773B615A"/>
    <w:rsid w:val="77534D32"/>
    <w:rsid w:val="775929E7"/>
    <w:rsid w:val="775C4878"/>
    <w:rsid w:val="775F6F8F"/>
    <w:rsid w:val="77764D81"/>
    <w:rsid w:val="77793034"/>
    <w:rsid w:val="777E75EC"/>
    <w:rsid w:val="77983F25"/>
    <w:rsid w:val="77A36F11"/>
    <w:rsid w:val="77AE3DED"/>
    <w:rsid w:val="77B5746C"/>
    <w:rsid w:val="77BA3B1C"/>
    <w:rsid w:val="77BF57C7"/>
    <w:rsid w:val="77CA7A19"/>
    <w:rsid w:val="77D870BC"/>
    <w:rsid w:val="77DF3E51"/>
    <w:rsid w:val="77DF47F4"/>
    <w:rsid w:val="77E83F2A"/>
    <w:rsid w:val="77EA5752"/>
    <w:rsid w:val="7803223D"/>
    <w:rsid w:val="780A45ED"/>
    <w:rsid w:val="78157CF7"/>
    <w:rsid w:val="78301DAE"/>
    <w:rsid w:val="784F56DF"/>
    <w:rsid w:val="78520D00"/>
    <w:rsid w:val="78526FC2"/>
    <w:rsid w:val="7857629B"/>
    <w:rsid w:val="78650950"/>
    <w:rsid w:val="786E0F9C"/>
    <w:rsid w:val="787B0635"/>
    <w:rsid w:val="787C3EEC"/>
    <w:rsid w:val="788437FF"/>
    <w:rsid w:val="78857C89"/>
    <w:rsid w:val="788D5D18"/>
    <w:rsid w:val="78A97A27"/>
    <w:rsid w:val="78B060AD"/>
    <w:rsid w:val="78BB2564"/>
    <w:rsid w:val="78CC0DC3"/>
    <w:rsid w:val="78D07FF5"/>
    <w:rsid w:val="78D37FAF"/>
    <w:rsid w:val="78D4689D"/>
    <w:rsid w:val="78DF4BA6"/>
    <w:rsid w:val="78E440AD"/>
    <w:rsid w:val="78E44E4A"/>
    <w:rsid w:val="78E56CA1"/>
    <w:rsid w:val="78F149EE"/>
    <w:rsid w:val="791902A3"/>
    <w:rsid w:val="79190FA2"/>
    <w:rsid w:val="79273F03"/>
    <w:rsid w:val="79446284"/>
    <w:rsid w:val="79482F61"/>
    <w:rsid w:val="79653DE6"/>
    <w:rsid w:val="79654FCF"/>
    <w:rsid w:val="79782A0A"/>
    <w:rsid w:val="7994314C"/>
    <w:rsid w:val="79952599"/>
    <w:rsid w:val="79D85272"/>
    <w:rsid w:val="79E06189"/>
    <w:rsid w:val="79E06CEF"/>
    <w:rsid w:val="79E2471A"/>
    <w:rsid w:val="79EA62EB"/>
    <w:rsid w:val="79EB45A1"/>
    <w:rsid w:val="79ED12C9"/>
    <w:rsid w:val="79F5466D"/>
    <w:rsid w:val="79FD76E9"/>
    <w:rsid w:val="7A163118"/>
    <w:rsid w:val="7A215C00"/>
    <w:rsid w:val="7A290DC0"/>
    <w:rsid w:val="7A296EFF"/>
    <w:rsid w:val="7A3053BF"/>
    <w:rsid w:val="7A41719B"/>
    <w:rsid w:val="7A4B51FA"/>
    <w:rsid w:val="7A5252C7"/>
    <w:rsid w:val="7A531C9F"/>
    <w:rsid w:val="7A5F6682"/>
    <w:rsid w:val="7A680BCB"/>
    <w:rsid w:val="7A8A2F3D"/>
    <w:rsid w:val="7A921AE4"/>
    <w:rsid w:val="7A940832"/>
    <w:rsid w:val="7AA03EC1"/>
    <w:rsid w:val="7AA9530D"/>
    <w:rsid w:val="7AB20E79"/>
    <w:rsid w:val="7AB32860"/>
    <w:rsid w:val="7AD85D51"/>
    <w:rsid w:val="7AE70572"/>
    <w:rsid w:val="7AE815FC"/>
    <w:rsid w:val="7AF05A27"/>
    <w:rsid w:val="7AF37A02"/>
    <w:rsid w:val="7AF406B1"/>
    <w:rsid w:val="7AF44D2F"/>
    <w:rsid w:val="7B045647"/>
    <w:rsid w:val="7B0B455A"/>
    <w:rsid w:val="7B0D3738"/>
    <w:rsid w:val="7B347486"/>
    <w:rsid w:val="7B5C2D8B"/>
    <w:rsid w:val="7B5F5CEE"/>
    <w:rsid w:val="7B6C7089"/>
    <w:rsid w:val="7B864728"/>
    <w:rsid w:val="7BB70782"/>
    <w:rsid w:val="7BBA5E68"/>
    <w:rsid w:val="7BC7163F"/>
    <w:rsid w:val="7BC96C5E"/>
    <w:rsid w:val="7BCA02B2"/>
    <w:rsid w:val="7BCF19A0"/>
    <w:rsid w:val="7BD01566"/>
    <w:rsid w:val="7BE307E7"/>
    <w:rsid w:val="7C0C39B6"/>
    <w:rsid w:val="7C0D37D8"/>
    <w:rsid w:val="7C1928FC"/>
    <w:rsid w:val="7C2C6E3A"/>
    <w:rsid w:val="7C30326B"/>
    <w:rsid w:val="7C33006F"/>
    <w:rsid w:val="7C411BDF"/>
    <w:rsid w:val="7C56302C"/>
    <w:rsid w:val="7C5E5C42"/>
    <w:rsid w:val="7C6F071E"/>
    <w:rsid w:val="7C714B7A"/>
    <w:rsid w:val="7C7C6A3F"/>
    <w:rsid w:val="7C8D0E31"/>
    <w:rsid w:val="7C9567F4"/>
    <w:rsid w:val="7C961F7D"/>
    <w:rsid w:val="7C9E14D5"/>
    <w:rsid w:val="7CA13E1C"/>
    <w:rsid w:val="7CB56D7D"/>
    <w:rsid w:val="7CBB76D8"/>
    <w:rsid w:val="7CC916E8"/>
    <w:rsid w:val="7CC92BE4"/>
    <w:rsid w:val="7CDD0BF8"/>
    <w:rsid w:val="7CEA7FE5"/>
    <w:rsid w:val="7CEE536B"/>
    <w:rsid w:val="7CFFEFA1"/>
    <w:rsid w:val="7D00284C"/>
    <w:rsid w:val="7D035950"/>
    <w:rsid w:val="7D0A7401"/>
    <w:rsid w:val="7D0E042B"/>
    <w:rsid w:val="7D1E3FBC"/>
    <w:rsid w:val="7D2021D2"/>
    <w:rsid w:val="7D342C2D"/>
    <w:rsid w:val="7D346302"/>
    <w:rsid w:val="7D3A2130"/>
    <w:rsid w:val="7D3A7495"/>
    <w:rsid w:val="7D4338A3"/>
    <w:rsid w:val="7D5C2AB9"/>
    <w:rsid w:val="7D5E1AB7"/>
    <w:rsid w:val="7D647FD3"/>
    <w:rsid w:val="7D65430E"/>
    <w:rsid w:val="7D7F7019"/>
    <w:rsid w:val="7D80622C"/>
    <w:rsid w:val="7D8852F8"/>
    <w:rsid w:val="7D94398B"/>
    <w:rsid w:val="7D9865FF"/>
    <w:rsid w:val="7DA036B4"/>
    <w:rsid w:val="7DA053F4"/>
    <w:rsid w:val="7DA77C5D"/>
    <w:rsid w:val="7DB614BB"/>
    <w:rsid w:val="7DB61D01"/>
    <w:rsid w:val="7DC720AD"/>
    <w:rsid w:val="7DD85480"/>
    <w:rsid w:val="7DDDCE29"/>
    <w:rsid w:val="7DF616D0"/>
    <w:rsid w:val="7DF804B8"/>
    <w:rsid w:val="7E0607C0"/>
    <w:rsid w:val="7E097B7D"/>
    <w:rsid w:val="7E0A3645"/>
    <w:rsid w:val="7E0B1F99"/>
    <w:rsid w:val="7E261F2C"/>
    <w:rsid w:val="7E3056E0"/>
    <w:rsid w:val="7E305AC4"/>
    <w:rsid w:val="7E327D9E"/>
    <w:rsid w:val="7E6063D6"/>
    <w:rsid w:val="7E64706F"/>
    <w:rsid w:val="7E72694E"/>
    <w:rsid w:val="7E7C1973"/>
    <w:rsid w:val="7E7D317B"/>
    <w:rsid w:val="7E8D3214"/>
    <w:rsid w:val="7E915650"/>
    <w:rsid w:val="7E952976"/>
    <w:rsid w:val="7E9674C8"/>
    <w:rsid w:val="7EB73BF1"/>
    <w:rsid w:val="7EB75F10"/>
    <w:rsid w:val="7EB80529"/>
    <w:rsid w:val="7EB92E8B"/>
    <w:rsid w:val="7ECA4256"/>
    <w:rsid w:val="7ECF5F7A"/>
    <w:rsid w:val="7ED04D1C"/>
    <w:rsid w:val="7ED752CD"/>
    <w:rsid w:val="7EE0213B"/>
    <w:rsid w:val="7EE54599"/>
    <w:rsid w:val="7EEC1096"/>
    <w:rsid w:val="7EFC0461"/>
    <w:rsid w:val="7EFD0070"/>
    <w:rsid w:val="7F063030"/>
    <w:rsid w:val="7F09779F"/>
    <w:rsid w:val="7F1B05FD"/>
    <w:rsid w:val="7F1D0A11"/>
    <w:rsid w:val="7F337199"/>
    <w:rsid w:val="7F3B4439"/>
    <w:rsid w:val="7F40213C"/>
    <w:rsid w:val="7F4C0ED5"/>
    <w:rsid w:val="7F5C3BF7"/>
    <w:rsid w:val="7F76D771"/>
    <w:rsid w:val="7F8440CB"/>
    <w:rsid w:val="7F943F09"/>
    <w:rsid w:val="7F9A1937"/>
    <w:rsid w:val="7F9B005B"/>
    <w:rsid w:val="7F9B559F"/>
    <w:rsid w:val="7FA00957"/>
    <w:rsid w:val="7FA072B5"/>
    <w:rsid w:val="7FA62219"/>
    <w:rsid w:val="7FAE0F58"/>
    <w:rsid w:val="7FB76872"/>
    <w:rsid w:val="7FBF9542"/>
    <w:rsid w:val="7FE93226"/>
    <w:rsid w:val="7FF10123"/>
    <w:rsid w:val="7FF35F6F"/>
    <w:rsid w:val="7FF739AB"/>
    <w:rsid w:val="7FF847B0"/>
    <w:rsid w:val="7FFF55D0"/>
    <w:rsid w:val="9ECF4E12"/>
    <w:rsid w:val="A3FD840D"/>
    <w:rsid w:val="B6F56A9A"/>
    <w:rsid w:val="B7FDAA39"/>
    <w:rsid w:val="BBEF4418"/>
    <w:rsid w:val="BFCF897A"/>
    <w:rsid w:val="BFE6DD2C"/>
    <w:rsid w:val="C0F64476"/>
    <w:rsid w:val="CBEF6EF8"/>
    <w:rsid w:val="DE7D76AF"/>
    <w:rsid w:val="DFEFA6F6"/>
    <w:rsid w:val="E9D6DDAA"/>
    <w:rsid w:val="EEAF5766"/>
    <w:rsid w:val="EFAEFBD7"/>
    <w:rsid w:val="EFFEADF8"/>
    <w:rsid w:val="F1F3E90F"/>
    <w:rsid w:val="F8FAD7A1"/>
    <w:rsid w:val="FAEFD0B4"/>
    <w:rsid w:val="FC7D4D40"/>
    <w:rsid w:val="FC7F8352"/>
    <w:rsid w:val="FDD34B8F"/>
    <w:rsid w:val="FE7DFF5C"/>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0"/>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3"/>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8">
    <w:name w:val="heading 6"/>
    <w:basedOn w:val="1"/>
    <w:next w:val="1"/>
    <w:link w:val="64"/>
    <w:qFormat/>
    <w:uiPriority w:val="0"/>
    <w:pPr>
      <w:keepNext/>
      <w:keepLines/>
      <w:spacing w:before="240" w:after="64" w:line="320" w:lineRule="auto"/>
      <w:outlineLvl w:val="5"/>
    </w:pPr>
    <w:rPr>
      <w:rFonts w:ascii="Cambria" w:hAnsi="Cambria"/>
      <w:b/>
      <w:bCs/>
      <w:sz w:val="24"/>
    </w:rPr>
  </w:style>
  <w:style w:type="paragraph" w:styleId="9">
    <w:name w:val="heading 8"/>
    <w:basedOn w:val="1"/>
    <w:next w:val="1"/>
    <w:qFormat/>
    <w:uiPriority w:val="1"/>
    <w:pPr>
      <w:ind w:left="220" w:hanging="223"/>
      <w:outlineLvl w:val="7"/>
    </w:pPr>
    <w:rPr>
      <w:rFonts w:ascii="宋体" w:hAnsi="宋体" w:cs="宋体"/>
      <w:sz w:val="22"/>
      <w:szCs w:val="22"/>
      <w:lang w:val="zh-CN" w:bidi="zh-CN"/>
    </w:rPr>
  </w:style>
  <w:style w:type="paragraph" w:styleId="10">
    <w:name w:val="heading 9"/>
    <w:basedOn w:val="1"/>
    <w:next w:val="1"/>
    <w:qFormat/>
    <w:uiPriority w:val="1"/>
    <w:pPr>
      <w:ind w:left="640"/>
      <w:outlineLvl w:val="8"/>
    </w:pPr>
    <w:rPr>
      <w:rFonts w:ascii="宋体" w:hAnsi="宋体" w:cs="宋体"/>
      <w:b/>
      <w:bCs/>
      <w:szCs w:val="21"/>
      <w:lang w:val="zh-CN" w:bidi="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1"/>
    <w:qFormat/>
    <w:uiPriority w:val="0"/>
    <w:pPr>
      <w:spacing w:after="120"/>
    </w:pPr>
  </w:style>
  <w:style w:type="paragraph" w:styleId="3">
    <w:name w:val="Body Text First Indent"/>
    <w:basedOn w:val="2"/>
    <w:unhideWhenUsed/>
    <w:qFormat/>
    <w:uiPriority w:val="99"/>
    <w:pPr>
      <w:spacing w:line="360" w:lineRule="auto"/>
      <w:ind w:firstLine="200" w:firstLineChars="200"/>
    </w:pPr>
    <w:rPr>
      <w:rFonts w:ascii="仿宋_GB2312" w:eastAsia="仿宋_GB2312"/>
      <w:bCs/>
      <w:sz w:val="30"/>
    </w:rPr>
  </w:style>
  <w:style w:type="paragraph" w:styleId="11">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2">
    <w:name w:val="Normal Indent"/>
    <w:basedOn w:val="1"/>
    <w:next w:val="13"/>
    <w:link w:val="89"/>
    <w:qFormat/>
    <w:uiPriority w:val="0"/>
    <w:pPr>
      <w:ind w:firstLine="420"/>
    </w:pPr>
    <w:rPr>
      <w:szCs w:val="20"/>
    </w:rPr>
  </w:style>
  <w:style w:type="paragraph" w:styleId="13">
    <w:name w:val="Body Text Indent"/>
    <w:basedOn w:val="1"/>
    <w:next w:val="14"/>
    <w:qFormat/>
    <w:uiPriority w:val="0"/>
    <w:pPr>
      <w:spacing w:after="120"/>
      <w:ind w:left="420" w:leftChars="200"/>
    </w:pPr>
  </w:style>
  <w:style w:type="paragraph" w:styleId="14">
    <w:name w:val="Body Text First Indent 2"/>
    <w:basedOn w:val="13"/>
    <w:next w:val="1"/>
    <w:qFormat/>
    <w:uiPriority w:val="0"/>
    <w:pPr>
      <w:autoSpaceDE w:val="0"/>
      <w:autoSpaceDN w:val="0"/>
      <w:adjustRightInd w:val="0"/>
      <w:ind w:firstLine="420" w:firstLineChars="200"/>
      <w:jc w:val="left"/>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72"/>
    <w:qFormat/>
    <w:uiPriority w:val="0"/>
    <w:rPr>
      <w:rFonts w:ascii="Helvetica" w:hAnsi="Helvetica"/>
      <w:sz w:val="24"/>
    </w:rPr>
  </w:style>
  <w:style w:type="paragraph" w:styleId="17">
    <w:name w:val="annotation text"/>
    <w:basedOn w:val="1"/>
    <w:link w:val="74"/>
    <w:qFormat/>
    <w:uiPriority w:val="0"/>
    <w:pPr>
      <w:jc w:val="left"/>
    </w:pPr>
  </w:style>
  <w:style w:type="paragraph" w:styleId="18">
    <w:name w:val="Body Text 3"/>
    <w:basedOn w:val="1"/>
    <w:link w:val="59"/>
    <w:qFormat/>
    <w:uiPriority w:val="0"/>
    <w:pPr>
      <w:spacing w:after="120"/>
    </w:pPr>
    <w:rPr>
      <w:sz w:val="16"/>
      <w:szCs w:val="16"/>
    </w:rPr>
  </w:style>
  <w:style w:type="paragraph" w:styleId="19">
    <w:name w:val="List 2"/>
    <w:basedOn w:val="1"/>
    <w:qFormat/>
    <w:uiPriority w:val="0"/>
    <w:pPr>
      <w:ind w:left="100" w:leftChars="200" w:hanging="200" w:hangingChars="200"/>
    </w:pPr>
  </w:style>
  <w:style w:type="paragraph" w:styleId="20">
    <w:name w:val="Block Text"/>
    <w:basedOn w:val="1"/>
    <w:qFormat/>
    <w:uiPriority w:val="99"/>
    <w:pPr>
      <w:spacing w:line="440" w:lineRule="exact"/>
      <w:ind w:left="223" w:leftChars="106" w:right="3036" w:firstLine="525"/>
    </w:pPr>
    <w:rPr>
      <w:rFonts w:ascii="楷体_GB2312" w:eastAsia="楷体_GB2312"/>
      <w:sz w:val="24"/>
    </w:rPr>
  </w:style>
  <w:style w:type="paragraph" w:styleId="21">
    <w:name w:val="toc 3"/>
    <w:basedOn w:val="1"/>
    <w:next w:val="1"/>
    <w:qFormat/>
    <w:uiPriority w:val="0"/>
    <w:pPr>
      <w:ind w:left="840" w:leftChars="400"/>
    </w:pPr>
  </w:style>
  <w:style w:type="paragraph" w:styleId="22">
    <w:name w:val="Plain Text"/>
    <w:basedOn w:val="1"/>
    <w:next w:val="1"/>
    <w:link w:val="67"/>
    <w:qFormat/>
    <w:uiPriority w:val="0"/>
    <w:rPr>
      <w:sz w:val="24"/>
      <w:szCs w:val="20"/>
    </w:rPr>
  </w:style>
  <w:style w:type="paragraph" w:styleId="23">
    <w:name w:val="Date"/>
    <w:basedOn w:val="1"/>
    <w:next w:val="1"/>
    <w:link w:val="77"/>
    <w:qFormat/>
    <w:uiPriority w:val="0"/>
    <w:pPr>
      <w:ind w:left="2500" w:leftChars="2500"/>
    </w:pPr>
    <w:rPr>
      <w:rFonts w:eastAsia="楷体_GB2312"/>
      <w:sz w:val="32"/>
      <w:szCs w:val="20"/>
    </w:rPr>
  </w:style>
  <w:style w:type="paragraph" w:styleId="24">
    <w:name w:val="Body Text Indent 2"/>
    <w:basedOn w:val="1"/>
    <w:link w:val="71"/>
    <w:qFormat/>
    <w:uiPriority w:val="0"/>
    <w:pPr>
      <w:spacing w:after="120" w:line="480" w:lineRule="auto"/>
      <w:ind w:left="420" w:leftChars="200"/>
    </w:pPr>
  </w:style>
  <w:style w:type="paragraph" w:styleId="25">
    <w:name w:val="endnote text"/>
    <w:basedOn w:val="1"/>
    <w:link w:val="60"/>
    <w:qFormat/>
    <w:uiPriority w:val="0"/>
    <w:pPr>
      <w:snapToGrid w:val="0"/>
      <w:jc w:val="left"/>
    </w:pPr>
  </w:style>
  <w:style w:type="paragraph" w:styleId="26">
    <w:name w:val="Balloon Text"/>
    <w:basedOn w:val="1"/>
    <w:link w:val="80"/>
    <w:qFormat/>
    <w:uiPriority w:val="0"/>
    <w:rPr>
      <w:sz w:val="18"/>
      <w:szCs w:val="18"/>
    </w:rPr>
  </w:style>
  <w:style w:type="paragraph" w:styleId="27">
    <w:name w:val="footer"/>
    <w:basedOn w:val="1"/>
    <w:next w:val="28"/>
    <w:link w:val="75"/>
    <w:qFormat/>
    <w:uiPriority w:val="99"/>
    <w:pPr>
      <w:tabs>
        <w:tab w:val="center" w:pos="4153"/>
        <w:tab w:val="right" w:pos="8306"/>
      </w:tabs>
      <w:snapToGrid w:val="0"/>
      <w:jc w:val="left"/>
    </w:pPr>
    <w:rPr>
      <w:sz w:val="18"/>
      <w:szCs w:val="18"/>
    </w:rPr>
  </w:style>
  <w:style w:type="paragraph" w:styleId="28">
    <w:name w:val="toc 2"/>
    <w:basedOn w:val="1"/>
    <w:next w:val="1"/>
    <w:qFormat/>
    <w:uiPriority w:val="39"/>
    <w:pPr>
      <w:ind w:left="420" w:leftChars="200"/>
    </w:pPr>
  </w:style>
  <w:style w:type="paragraph" w:styleId="29">
    <w:name w:val="header"/>
    <w:basedOn w:val="1"/>
    <w:link w:val="86"/>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List"/>
    <w:basedOn w:val="1"/>
    <w:qFormat/>
    <w:uiPriority w:val="0"/>
    <w:pPr>
      <w:ind w:left="200" w:hanging="200" w:hangingChars="200"/>
    </w:pPr>
  </w:style>
  <w:style w:type="paragraph" w:styleId="32">
    <w:name w:val="toc 6"/>
    <w:basedOn w:val="1"/>
    <w:next w:val="1"/>
    <w:unhideWhenUsed/>
    <w:qFormat/>
    <w:uiPriority w:val="39"/>
    <w:pPr>
      <w:ind w:left="2100" w:leftChars="1000"/>
    </w:pPr>
  </w:style>
  <w:style w:type="paragraph" w:styleId="33">
    <w:name w:val="Body Text Indent 3"/>
    <w:basedOn w:val="1"/>
    <w:link w:val="65"/>
    <w:qFormat/>
    <w:uiPriority w:val="0"/>
    <w:pPr>
      <w:ind w:firstLine="435"/>
    </w:pPr>
  </w:style>
  <w:style w:type="paragraph" w:styleId="34">
    <w:name w:val="Body Text 2"/>
    <w:basedOn w:val="1"/>
    <w:link w:val="66"/>
    <w:qFormat/>
    <w:uiPriority w:val="0"/>
    <w:pPr>
      <w:spacing w:after="120" w:line="480" w:lineRule="auto"/>
    </w:pPr>
  </w:style>
  <w:style w:type="paragraph" w:styleId="35">
    <w:name w:val="Normal (Web)"/>
    <w:basedOn w:val="1"/>
    <w:unhideWhenUsed/>
    <w:qFormat/>
    <w:uiPriority w:val="0"/>
    <w:pPr>
      <w:widowControl/>
      <w:spacing w:before="240" w:after="240"/>
      <w:jc w:val="left"/>
    </w:pPr>
    <w:rPr>
      <w:rFonts w:ascii="宋体" w:hAnsi="宋体" w:cs="宋体"/>
      <w:kern w:val="0"/>
      <w:sz w:val="24"/>
    </w:rPr>
  </w:style>
  <w:style w:type="paragraph" w:styleId="36">
    <w:name w:val="Title"/>
    <w:basedOn w:val="1"/>
    <w:next w:val="1"/>
    <w:link w:val="88"/>
    <w:qFormat/>
    <w:uiPriority w:val="10"/>
    <w:pPr>
      <w:spacing w:before="240" w:after="60"/>
      <w:jc w:val="center"/>
      <w:outlineLvl w:val="0"/>
    </w:pPr>
    <w:rPr>
      <w:rFonts w:ascii="Cambria" w:hAnsi="Cambria"/>
      <w:b/>
      <w:bCs/>
      <w:sz w:val="32"/>
      <w:szCs w:val="32"/>
    </w:rPr>
  </w:style>
  <w:style w:type="paragraph" w:styleId="37">
    <w:name w:val="annotation subject"/>
    <w:basedOn w:val="17"/>
    <w:next w:val="17"/>
    <w:link w:val="79"/>
    <w:qFormat/>
    <w:uiPriority w:val="0"/>
    <w:rPr>
      <w:b/>
      <w:bCs/>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2"/>
    <w:rPr>
      <w:b/>
    </w:rPr>
  </w:style>
  <w:style w:type="character" w:styleId="42">
    <w:name w:val="endnote reference"/>
    <w:qFormat/>
    <w:uiPriority w:val="0"/>
    <w:rPr>
      <w:vertAlign w:val="superscript"/>
    </w:rPr>
  </w:style>
  <w:style w:type="character" w:styleId="43">
    <w:name w:val="page number"/>
    <w:basedOn w:val="40"/>
    <w:qFormat/>
    <w:uiPriority w:val="0"/>
  </w:style>
  <w:style w:type="character" w:styleId="44">
    <w:name w:val="FollowedHyperlink"/>
    <w:qFormat/>
    <w:uiPriority w:val="0"/>
    <w:rPr>
      <w:color w:val="800080"/>
      <w:u w:val="single"/>
    </w:rPr>
  </w:style>
  <w:style w:type="character" w:styleId="45">
    <w:name w:val="Hyperlink"/>
    <w:basedOn w:val="40"/>
    <w:qFormat/>
    <w:uiPriority w:val="99"/>
    <w:rPr>
      <w:color w:val="0000FF"/>
      <w:u w:val="single"/>
    </w:rPr>
  </w:style>
  <w:style w:type="character" w:styleId="46">
    <w:name w:val="annotation reference"/>
    <w:qFormat/>
    <w:uiPriority w:val="0"/>
    <w:rPr>
      <w:sz w:val="21"/>
      <w:szCs w:val="21"/>
    </w:rPr>
  </w:style>
  <w:style w:type="paragraph" w:customStyle="1" w:styleId="47">
    <w:name w:val="标书正文"/>
    <w:basedOn w:val="1"/>
    <w:qFormat/>
    <w:uiPriority w:val="0"/>
    <w:pPr>
      <w:suppressAutoHyphens/>
      <w:autoSpaceDE w:val="0"/>
      <w:autoSpaceDN w:val="0"/>
      <w:adjustRightInd w:val="0"/>
      <w:snapToGrid w:val="0"/>
    </w:pPr>
    <w:rPr>
      <w:rFonts w:ascii="Times New Roman" w:hAnsi="Times New Roman" w:eastAsia="仿宋_GB2312"/>
      <w:sz w:val="32"/>
      <w:szCs w:val="24"/>
    </w:rPr>
  </w:style>
  <w:style w:type="paragraph" w:customStyle="1" w:styleId="48">
    <w:name w:val="Default"/>
    <w:next w:val="4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0">
    <w:name w:val="BodyText1I"/>
    <w:basedOn w:val="51"/>
    <w:next w:val="1"/>
    <w:qFormat/>
    <w:uiPriority w:val="0"/>
    <w:pPr>
      <w:ind w:firstLine="420" w:firstLineChars="100"/>
    </w:pPr>
  </w:style>
  <w:style w:type="paragraph" w:customStyle="1" w:styleId="51">
    <w:name w:val="BodyText"/>
    <w:basedOn w:val="1"/>
    <w:next w:val="52"/>
    <w:qFormat/>
    <w:uiPriority w:val="0"/>
    <w:pPr>
      <w:textAlignment w:val="baseline"/>
    </w:pPr>
    <w:rPr>
      <w:rFonts w:ascii="宋体" w:hAnsi="宋体"/>
      <w:szCs w:val="21"/>
      <w:lang w:val="zh-CN" w:bidi="zh-CN"/>
    </w:rPr>
  </w:style>
  <w:style w:type="paragraph" w:customStyle="1" w:styleId="52">
    <w:name w:val="TOC2"/>
    <w:basedOn w:val="1"/>
    <w:next w:val="1"/>
    <w:qFormat/>
    <w:uiPriority w:val="0"/>
    <w:pPr>
      <w:ind w:left="420" w:leftChars="200"/>
      <w:textAlignment w:val="baseline"/>
    </w:pPr>
  </w:style>
  <w:style w:type="paragraph" w:customStyle="1" w:styleId="53">
    <w:name w:val="正文首行缩进1"/>
    <w:basedOn w:val="2"/>
    <w:qFormat/>
    <w:uiPriority w:val="0"/>
    <w:pPr>
      <w:ind w:firstLine="420" w:firstLineChars="100"/>
    </w:pPr>
    <w:rPr>
      <w:rFonts w:ascii="Calibri" w:hAnsi="Calibri"/>
      <w:szCs w:val="22"/>
    </w:rPr>
  </w:style>
  <w:style w:type="paragraph" w:customStyle="1" w:styleId="54">
    <w:name w:val="正文1"/>
    <w:basedOn w:val="1"/>
    <w:qFormat/>
    <w:uiPriority w:val="0"/>
    <w:pPr>
      <w:adjustRightInd w:val="0"/>
      <w:spacing w:line="318" w:lineRule="atLeast"/>
      <w:ind w:left="369" w:firstLine="369"/>
      <w:textAlignment w:val="baseline"/>
    </w:pPr>
    <w:rPr>
      <w:rFonts w:ascii="宋体"/>
      <w:szCs w:val="20"/>
    </w:rPr>
  </w:style>
  <w:style w:type="paragraph" w:customStyle="1" w:styleId="55">
    <w:name w:val="表格文字"/>
    <w:next w:val="2"/>
    <w:link w:val="84"/>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6">
    <w:name w:val="NormalCharacter"/>
    <w:qFormat/>
    <w:uiPriority w:val="0"/>
    <w:rPr>
      <w:rFonts w:ascii="Times New Roman" w:hAnsi="Times New Roman" w:eastAsia="宋体" w:cs="Times New Roman"/>
    </w:rPr>
  </w:style>
  <w:style w:type="character" w:customStyle="1" w:styleId="57">
    <w:name w:val="标3 Char"/>
    <w:link w:val="58"/>
    <w:qFormat/>
    <w:uiPriority w:val="0"/>
    <w:rPr>
      <w:rFonts w:ascii="Arial Narrow" w:hAnsi="Arial Narrow" w:eastAsia="仿宋_GB2312"/>
      <w:sz w:val="32"/>
      <w:szCs w:val="32"/>
    </w:rPr>
  </w:style>
  <w:style w:type="paragraph" w:customStyle="1" w:styleId="58">
    <w:name w:val="标3"/>
    <w:basedOn w:val="1"/>
    <w:link w:val="57"/>
    <w:qFormat/>
    <w:uiPriority w:val="0"/>
    <w:pPr>
      <w:numPr>
        <w:ilvl w:val="2"/>
        <w:numId w:val="2"/>
      </w:numPr>
      <w:adjustRightInd w:val="0"/>
      <w:snapToGrid w:val="0"/>
      <w:spacing w:beforeLines="50"/>
      <w:outlineLvl w:val="2"/>
    </w:pPr>
    <w:rPr>
      <w:rFonts w:ascii="Arial Narrow" w:hAnsi="Arial Narrow" w:eastAsia="仿宋_GB2312"/>
      <w:kern w:val="0"/>
      <w:sz w:val="32"/>
      <w:szCs w:val="32"/>
    </w:rPr>
  </w:style>
  <w:style w:type="character" w:customStyle="1" w:styleId="59">
    <w:name w:val="正文文本 3 Char"/>
    <w:link w:val="18"/>
    <w:qFormat/>
    <w:uiPriority w:val="0"/>
    <w:rPr>
      <w:kern w:val="2"/>
      <w:sz w:val="16"/>
      <w:szCs w:val="16"/>
    </w:rPr>
  </w:style>
  <w:style w:type="character" w:customStyle="1" w:styleId="60">
    <w:name w:val="尾注文本 Char"/>
    <w:link w:val="25"/>
    <w:qFormat/>
    <w:uiPriority w:val="0"/>
    <w:rPr>
      <w:kern w:val="2"/>
      <w:sz w:val="21"/>
      <w:szCs w:val="24"/>
    </w:rPr>
  </w:style>
  <w:style w:type="character" w:customStyle="1" w:styleId="61">
    <w:name w:val="正文文本 Char"/>
    <w:link w:val="2"/>
    <w:qFormat/>
    <w:uiPriority w:val="0"/>
    <w:rPr>
      <w:kern w:val="2"/>
      <w:sz w:val="21"/>
      <w:szCs w:val="24"/>
    </w:rPr>
  </w:style>
  <w:style w:type="character" w:customStyle="1" w:styleId="62">
    <w:name w:val="font31"/>
    <w:qFormat/>
    <w:uiPriority w:val="0"/>
    <w:rPr>
      <w:rFonts w:hint="eastAsia" w:ascii="宋体" w:hAnsi="宋体" w:eastAsia="宋体" w:cs="宋体"/>
      <w:color w:val="000000"/>
      <w:sz w:val="24"/>
      <w:szCs w:val="24"/>
      <w:u w:val="none"/>
    </w:rPr>
  </w:style>
  <w:style w:type="character" w:customStyle="1" w:styleId="63">
    <w:name w:val="标题 3 Char"/>
    <w:link w:val="6"/>
    <w:qFormat/>
    <w:uiPriority w:val="0"/>
    <w:rPr>
      <w:b/>
      <w:bCs/>
      <w:kern w:val="2"/>
      <w:sz w:val="32"/>
      <w:szCs w:val="32"/>
    </w:rPr>
  </w:style>
  <w:style w:type="character" w:customStyle="1" w:styleId="64">
    <w:name w:val="标题 6 Char"/>
    <w:link w:val="8"/>
    <w:semiHidden/>
    <w:qFormat/>
    <w:uiPriority w:val="0"/>
    <w:rPr>
      <w:rFonts w:ascii="Cambria" w:hAnsi="Cambria" w:eastAsia="宋体" w:cs="Times New Roman"/>
      <w:b/>
      <w:bCs/>
      <w:kern w:val="2"/>
      <w:sz w:val="24"/>
      <w:szCs w:val="24"/>
    </w:rPr>
  </w:style>
  <w:style w:type="character" w:customStyle="1" w:styleId="65">
    <w:name w:val="正文文本缩进 3 Char"/>
    <w:link w:val="33"/>
    <w:qFormat/>
    <w:uiPriority w:val="0"/>
    <w:rPr>
      <w:kern w:val="2"/>
      <w:sz w:val="21"/>
      <w:szCs w:val="24"/>
    </w:rPr>
  </w:style>
  <w:style w:type="character" w:customStyle="1" w:styleId="66">
    <w:name w:val="正文文本 2 Char"/>
    <w:link w:val="34"/>
    <w:qFormat/>
    <w:uiPriority w:val="0"/>
    <w:rPr>
      <w:kern w:val="2"/>
      <w:sz w:val="21"/>
      <w:szCs w:val="24"/>
    </w:rPr>
  </w:style>
  <w:style w:type="character" w:customStyle="1" w:styleId="67">
    <w:name w:val="纯文本 Char"/>
    <w:link w:val="22"/>
    <w:qFormat/>
    <w:uiPriority w:val="0"/>
    <w:rPr>
      <w:rFonts w:eastAsia="宋体"/>
      <w:kern w:val="2"/>
      <w:sz w:val="24"/>
      <w:lang w:val="en-US" w:eastAsia="zh-CN" w:bidi="ar-SA"/>
    </w:rPr>
  </w:style>
  <w:style w:type="character" w:customStyle="1" w:styleId="68">
    <w:name w:val="标题 1字符"/>
    <w:qFormat/>
    <w:uiPriority w:val="0"/>
    <w:rPr>
      <w:b/>
      <w:bCs/>
      <w:kern w:val="44"/>
      <w:sz w:val="44"/>
      <w:szCs w:val="44"/>
    </w:rPr>
  </w:style>
  <w:style w:type="character" w:customStyle="1" w:styleId="69">
    <w:name w:val="无"/>
    <w:qFormat/>
    <w:uiPriority w:val="99"/>
  </w:style>
  <w:style w:type="character" w:customStyle="1" w:styleId="70">
    <w:name w:val="标题 2 Char"/>
    <w:link w:val="5"/>
    <w:qFormat/>
    <w:uiPriority w:val="9"/>
    <w:rPr>
      <w:rFonts w:ascii="Arial" w:hAnsi="Arial" w:eastAsia="黑体"/>
      <w:b/>
      <w:bCs/>
      <w:kern w:val="2"/>
      <w:sz w:val="32"/>
      <w:szCs w:val="32"/>
    </w:rPr>
  </w:style>
  <w:style w:type="character" w:customStyle="1" w:styleId="71">
    <w:name w:val="正文文本缩进 2 Char"/>
    <w:link w:val="24"/>
    <w:qFormat/>
    <w:uiPriority w:val="0"/>
    <w:rPr>
      <w:kern w:val="2"/>
      <w:sz w:val="21"/>
      <w:szCs w:val="24"/>
    </w:rPr>
  </w:style>
  <w:style w:type="character" w:customStyle="1" w:styleId="72">
    <w:name w:val="文档结构图 Char"/>
    <w:link w:val="16"/>
    <w:qFormat/>
    <w:uiPriority w:val="0"/>
    <w:rPr>
      <w:rFonts w:ascii="Helvetica" w:hAnsi="Helvetica"/>
      <w:kern w:val="2"/>
      <w:sz w:val="24"/>
      <w:szCs w:val="24"/>
    </w:rPr>
  </w:style>
  <w:style w:type="character" w:customStyle="1" w:styleId="73">
    <w:name w:val="Char Char Char"/>
    <w:qFormat/>
    <w:uiPriority w:val="0"/>
    <w:rPr>
      <w:rFonts w:ascii="宋体" w:hAnsi="Courier New" w:eastAsia="宋体"/>
      <w:kern w:val="2"/>
      <w:sz w:val="24"/>
      <w:szCs w:val="24"/>
      <w:lang w:val="en-US" w:eastAsia="zh-CN" w:bidi="ar-SA"/>
    </w:rPr>
  </w:style>
  <w:style w:type="character" w:customStyle="1" w:styleId="74">
    <w:name w:val="批注文字 Char"/>
    <w:link w:val="17"/>
    <w:qFormat/>
    <w:uiPriority w:val="0"/>
    <w:rPr>
      <w:kern w:val="2"/>
      <w:sz w:val="21"/>
      <w:szCs w:val="24"/>
    </w:rPr>
  </w:style>
  <w:style w:type="character" w:customStyle="1" w:styleId="75">
    <w:name w:val="页脚 Char"/>
    <w:link w:val="27"/>
    <w:qFormat/>
    <w:uiPriority w:val="99"/>
    <w:rPr>
      <w:kern w:val="2"/>
      <w:sz w:val="18"/>
      <w:szCs w:val="18"/>
    </w:rPr>
  </w:style>
  <w:style w:type="character" w:customStyle="1" w:styleId="76">
    <w:name w:val="纯文本 Char1"/>
    <w:qFormat/>
    <w:locked/>
    <w:uiPriority w:val="0"/>
    <w:rPr>
      <w:rFonts w:ascii="宋体" w:hAnsi="Courier New" w:eastAsia="宋体" w:cs="Times New Roman"/>
      <w:szCs w:val="21"/>
    </w:rPr>
  </w:style>
  <w:style w:type="character" w:customStyle="1" w:styleId="77">
    <w:name w:val="日期 Char"/>
    <w:link w:val="23"/>
    <w:qFormat/>
    <w:uiPriority w:val="0"/>
    <w:rPr>
      <w:rFonts w:eastAsia="楷体_GB2312"/>
      <w:kern w:val="2"/>
      <w:sz w:val="32"/>
    </w:rPr>
  </w:style>
  <w:style w:type="character" w:customStyle="1" w:styleId="78">
    <w:name w:val="Char Char"/>
    <w:qFormat/>
    <w:uiPriority w:val="0"/>
    <w:rPr>
      <w:rFonts w:ascii="宋体" w:hAnsi="Courier New" w:eastAsia="宋体"/>
      <w:kern w:val="2"/>
      <w:sz w:val="24"/>
      <w:szCs w:val="24"/>
      <w:lang w:val="en-US" w:eastAsia="zh-CN" w:bidi="ar-SA"/>
    </w:rPr>
  </w:style>
  <w:style w:type="character" w:customStyle="1" w:styleId="79">
    <w:name w:val="批注主题 Char"/>
    <w:link w:val="37"/>
    <w:qFormat/>
    <w:uiPriority w:val="0"/>
    <w:rPr>
      <w:b/>
      <w:bCs/>
      <w:kern w:val="2"/>
      <w:sz w:val="21"/>
      <w:szCs w:val="24"/>
    </w:rPr>
  </w:style>
  <w:style w:type="character" w:customStyle="1" w:styleId="80">
    <w:name w:val="批注框文本 Char"/>
    <w:link w:val="26"/>
    <w:qFormat/>
    <w:uiPriority w:val="0"/>
    <w:rPr>
      <w:kern w:val="2"/>
      <w:sz w:val="18"/>
      <w:szCs w:val="18"/>
    </w:rPr>
  </w:style>
  <w:style w:type="character" w:customStyle="1" w:styleId="81">
    <w:name w:val="font01"/>
    <w:qFormat/>
    <w:uiPriority w:val="0"/>
    <w:rPr>
      <w:rFonts w:hint="default" w:ascii="Arial" w:hAnsi="Arial" w:cs="Arial"/>
      <w:color w:val="000000"/>
      <w:sz w:val="24"/>
      <w:szCs w:val="24"/>
      <w:u w:val="none"/>
    </w:rPr>
  </w:style>
  <w:style w:type="character" w:customStyle="1" w:styleId="82">
    <w:name w:val="font11"/>
    <w:qFormat/>
    <w:uiPriority w:val="0"/>
    <w:rPr>
      <w:rFonts w:hint="eastAsia" w:ascii="宋体" w:hAnsi="宋体" w:eastAsia="宋体" w:cs="宋体"/>
      <w:b/>
      <w:color w:val="000000"/>
      <w:sz w:val="24"/>
      <w:szCs w:val="24"/>
      <w:u w:val="none"/>
    </w:rPr>
  </w:style>
  <w:style w:type="character" w:customStyle="1" w:styleId="83">
    <w:name w:val="apple-converted-space"/>
    <w:qFormat/>
    <w:uiPriority w:val="0"/>
  </w:style>
  <w:style w:type="character" w:customStyle="1" w:styleId="84">
    <w:name w:val="表格文字 Char Char"/>
    <w:link w:val="55"/>
    <w:qFormat/>
    <w:locked/>
    <w:uiPriority w:val="0"/>
    <w:rPr>
      <w:kern w:val="2"/>
      <w:sz w:val="24"/>
      <w:szCs w:val="28"/>
      <w:lang w:val="en-US" w:eastAsia="zh-CN" w:bidi="ar-SA"/>
    </w:rPr>
  </w:style>
  <w:style w:type="character" w:customStyle="1" w:styleId="85">
    <w:name w:val="标题 1 Char"/>
    <w:link w:val="4"/>
    <w:qFormat/>
    <w:uiPriority w:val="0"/>
    <w:rPr>
      <w:rFonts w:ascii="Times New Roman" w:hAnsi="Times New Roman" w:eastAsia="宋体"/>
      <w:b/>
      <w:bCs/>
      <w:kern w:val="44"/>
      <w:sz w:val="44"/>
      <w:szCs w:val="44"/>
      <w:lang w:val="en-US" w:eastAsia="zh-CN" w:bidi="ar-SA"/>
    </w:rPr>
  </w:style>
  <w:style w:type="character" w:customStyle="1" w:styleId="86">
    <w:name w:val="页眉 Char"/>
    <w:link w:val="29"/>
    <w:qFormat/>
    <w:uiPriority w:val="99"/>
    <w:rPr>
      <w:kern w:val="2"/>
      <w:sz w:val="18"/>
      <w:szCs w:val="18"/>
    </w:rPr>
  </w:style>
  <w:style w:type="character" w:customStyle="1" w:styleId="87">
    <w:name w:val="标题 1 Char1"/>
    <w:qFormat/>
    <w:uiPriority w:val="0"/>
    <w:rPr>
      <w:rFonts w:ascii="Times New Roman" w:hAnsi="Times New Roman" w:eastAsia="宋体"/>
      <w:b/>
      <w:bCs/>
      <w:kern w:val="44"/>
      <w:sz w:val="44"/>
      <w:szCs w:val="44"/>
      <w:lang w:val="en-US" w:eastAsia="zh-CN" w:bidi="ar-SA"/>
    </w:rPr>
  </w:style>
  <w:style w:type="character" w:customStyle="1" w:styleId="88">
    <w:name w:val="标题 Char"/>
    <w:link w:val="36"/>
    <w:qFormat/>
    <w:uiPriority w:val="10"/>
    <w:rPr>
      <w:rFonts w:ascii="Cambria" w:hAnsi="Cambria"/>
      <w:b/>
      <w:bCs/>
      <w:kern w:val="2"/>
      <w:sz w:val="32"/>
      <w:szCs w:val="32"/>
    </w:rPr>
  </w:style>
  <w:style w:type="character" w:customStyle="1" w:styleId="89">
    <w:name w:val="正文缩进 Char"/>
    <w:link w:val="12"/>
    <w:qFormat/>
    <w:uiPriority w:val="0"/>
    <w:rPr>
      <w:kern w:val="2"/>
      <w:sz w:val="21"/>
    </w:rPr>
  </w:style>
  <w:style w:type="character" w:customStyle="1" w:styleId="90">
    <w:name w:val="font21"/>
    <w:qFormat/>
    <w:uiPriority w:val="0"/>
    <w:rPr>
      <w:rFonts w:ascii="幼圆" w:hAnsi="幼圆" w:eastAsia="幼圆" w:cs="幼圆"/>
      <w:color w:val="000000"/>
      <w:sz w:val="20"/>
      <w:szCs w:val="20"/>
      <w:u w:val="none"/>
    </w:rPr>
  </w:style>
  <w:style w:type="paragraph" w:customStyle="1" w:styleId="91">
    <w:name w:val="章正文"/>
    <w:basedOn w:val="1"/>
    <w:qFormat/>
    <w:uiPriority w:val="99"/>
    <w:pPr>
      <w:spacing w:beforeLines="50" w:after="120" w:line="300" w:lineRule="auto"/>
      <w:ind w:firstLine="480"/>
    </w:pPr>
    <w:rPr>
      <w:rFonts w:ascii="Helvetica" w:hAnsi="Helvetica"/>
      <w:kern w:val="0"/>
      <w:sz w:val="24"/>
    </w:rPr>
  </w:style>
  <w:style w:type="paragraph" w:customStyle="1" w:styleId="92">
    <w:name w:val="Char Char3"/>
    <w:basedOn w:val="1"/>
    <w:qFormat/>
    <w:uiPriority w:val="0"/>
  </w:style>
  <w:style w:type="paragraph" w:customStyle="1" w:styleId="93">
    <w:name w:val="样式 表格正文 + 两端对齐"/>
    <w:basedOn w:val="1"/>
    <w:next w:val="94"/>
    <w:qFormat/>
    <w:uiPriority w:val="0"/>
    <w:pPr>
      <w:spacing w:line="300" w:lineRule="auto"/>
    </w:pPr>
  </w:style>
  <w:style w:type="paragraph" w:customStyle="1" w:styleId="94">
    <w:name w:val="正文11"/>
    <w:basedOn w:val="16"/>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95">
    <w:name w:val="彩色列表1"/>
    <w:basedOn w:val="1"/>
    <w:qFormat/>
    <w:uiPriority w:val="34"/>
    <w:pPr>
      <w:ind w:firstLine="420" w:firstLineChars="200"/>
    </w:pPr>
    <w:rPr>
      <w:rFonts w:ascii="Verdana" w:hAnsi="Verdana" w:eastAsia="微软雅黑"/>
      <w:szCs w:val="22"/>
    </w:rPr>
  </w:style>
  <w:style w:type="paragraph" w:customStyle="1" w:styleId="96">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7">
    <w:name w:val="p0"/>
    <w:basedOn w:val="1"/>
    <w:qFormat/>
    <w:uiPriority w:val="0"/>
    <w:pPr>
      <w:widowControl/>
    </w:pPr>
    <w:rPr>
      <w:rFonts w:ascii="Calibri" w:hAnsi="Calibri"/>
      <w:kern w:val="0"/>
      <w:szCs w:val="21"/>
    </w:rPr>
  </w:style>
  <w:style w:type="paragraph" w:customStyle="1" w:styleId="98">
    <w:name w:val="正文样式"/>
    <w:basedOn w:val="1"/>
    <w:unhideWhenUsed/>
    <w:qFormat/>
    <w:uiPriority w:val="7"/>
    <w:pPr>
      <w:spacing w:line="360" w:lineRule="auto"/>
      <w:ind w:firstLine="480" w:firstLineChars="200"/>
    </w:pPr>
    <w:rPr>
      <w:rFonts w:hAnsi="Calibri"/>
      <w:sz w:val="24"/>
      <w:szCs w:val="20"/>
    </w:rPr>
  </w:style>
  <w:style w:type="paragraph" w:customStyle="1" w:styleId="99">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100">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_Style 1"/>
    <w:qFormat/>
    <w:uiPriority w:val="0"/>
    <w:rPr>
      <w:rFonts w:ascii="Times New Roman" w:hAnsi="Times New Roman" w:eastAsia="宋体" w:cs="Times New Roman"/>
      <w:kern w:val="2"/>
      <w:sz w:val="28"/>
      <w:szCs w:val="22"/>
      <w:lang w:val="en-US" w:eastAsia="zh-CN" w:bidi="ar-SA"/>
    </w:rPr>
  </w:style>
  <w:style w:type="paragraph" w:customStyle="1" w:styleId="102">
    <w:name w:val="_Style 40"/>
    <w:basedOn w:val="1"/>
    <w:qFormat/>
    <w:uiPriority w:val="0"/>
  </w:style>
  <w:style w:type="paragraph" w:customStyle="1" w:styleId="103">
    <w:name w:val="Char Char5"/>
    <w:basedOn w:val="1"/>
    <w:qFormat/>
    <w:uiPriority w:val="0"/>
  </w:style>
  <w:style w:type="paragraph" w:customStyle="1" w:styleId="104">
    <w:name w:val="Table Paragraph"/>
    <w:basedOn w:val="1"/>
    <w:qFormat/>
    <w:uiPriority w:val="1"/>
  </w:style>
  <w:style w:type="paragraph" w:customStyle="1" w:styleId="105">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6">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7">
    <w:name w:val="彩色列表 - 强调文字颜色 11"/>
    <w:basedOn w:val="1"/>
    <w:qFormat/>
    <w:uiPriority w:val="34"/>
    <w:pPr>
      <w:ind w:firstLine="420" w:firstLineChars="200"/>
    </w:pPr>
    <w:rPr>
      <w:rFonts w:ascii="Calibri" w:hAnsi="Calibri"/>
      <w:szCs w:val="22"/>
    </w:rPr>
  </w:style>
  <w:style w:type="paragraph" w:customStyle="1" w:styleId="108">
    <w:name w:val="_Style 23"/>
    <w:basedOn w:val="1"/>
    <w:qFormat/>
    <w:uiPriority w:val="0"/>
  </w:style>
  <w:style w:type="paragraph" w:customStyle="1" w:styleId="109">
    <w:name w:val="_Style 10"/>
    <w:basedOn w:val="1"/>
    <w:qFormat/>
    <w:uiPriority w:val="0"/>
    <w:rPr>
      <w:rFonts w:ascii="仿宋_GB2312" w:eastAsia="仿宋_GB2312"/>
      <w:b/>
      <w:sz w:val="32"/>
      <w:szCs w:val="32"/>
    </w:rPr>
  </w:style>
  <w:style w:type="paragraph" w:customStyle="1" w:styleId="110">
    <w:name w:val="列出段落1"/>
    <w:basedOn w:val="1"/>
    <w:qFormat/>
    <w:uiPriority w:val="0"/>
    <w:pPr>
      <w:ind w:firstLine="420" w:firstLineChars="200"/>
    </w:pPr>
    <w:rPr>
      <w:rFonts w:ascii="Calibri" w:hAnsi="Calibri"/>
      <w:szCs w:val="22"/>
    </w:rPr>
  </w:style>
  <w:style w:type="paragraph" w:customStyle="1" w:styleId="111">
    <w:name w:val="Char Char Char Char Char Char Char"/>
    <w:basedOn w:val="1"/>
    <w:qFormat/>
    <w:uiPriority w:val="0"/>
  </w:style>
  <w:style w:type="paragraph" w:customStyle="1" w:styleId="11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3">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4">
    <w:name w:val="正文2"/>
    <w:basedOn w:val="1"/>
    <w:qFormat/>
    <w:uiPriority w:val="0"/>
    <w:pPr>
      <w:spacing w:before="156" w:line="360" w:lineRule="auto"/>
      <w:ind w:firstLine="510" w:firstLineChars="200"/>
    </w:pPr>
    <w:rPr>
      <w:sz w:val="24"/>
      <w:szCs w:val="20"/>
    </w:rPr>
  </w:style>
  <w:style w:type="paragraph" w:customStyle="1" w:styleId="115">
    <w:name w:val="彩色列表2"/>
    <w:basedOn w:val="1"/>
    <w:qFormat/>
    <w:uiPriority w:val="34"/>
    <w:pPr>
      <w:ind w:firstLine="420" w:firstLineChars="200"/>
    </w:pPr>
  </w:style>
  <w:style w:type="paragraph" w:customStyle="1" w:styleId="116">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8">
    <w:name w:val="首行缩进"/>
    <w:basedOn w:val="1"/>
    <w:qFormat/>
    <w:uiPriority w:val="0"/>
    <w:pPr>
      <w:spacing w:line="360" w:lineRule="auto"/>
      <w:ind w:firstLine="480" w:firstLineChars="200"/>
    </w:pPr>
    <w:rPr>
      <w:sz w:val="24"/>
      <w:szCs w:val="22"/>
      <w:lang w:val="zh-CN"/>
    </w:rPr>
  </w:style>
  <w:style w:type="paragraph" w:customStyle="1" w:styleId="119">
    <w:name w:val="默认段落字体 Para Char Char Char Char Char Char Char Char Char1 Char Char Char Char"/>
    <w:basedOn w:val="1"/>
    <w:qFormat/>
    <w:uiPriority w:val="0"/>
    <w:rPr>
      <w:rFonts w:ascii="Tahoma" w:hAnsi="Tahoma"/>
      <w:sz w:val="24"/>
      <w:szCs w:val="20"/>
    </w:rPr>
  </w:style>
  <w:style w:type="paragraph" w:customStyle="1" w:styleId="120">
    <w:name w:val="彩色列表11"/>
    <w:basedOn w:val="1"/>
    <w:qFormat/>
    <w:uiPriority w:val="34"/>
    <w:pPr>
      <w:ind w:firstLine="420" w:firstLineChars="200"/>
    </w:pPr>
  </w:style>
  <w:style w:type="character" w:customStyle="1" w:styleId="121">
    <w:name w:val="bjh-p"/>
    <w:basedOn w:val="40"/>
    <w:qFormat/>
    <w:uiPriority w:val="0"/>
  </w:style>
  <w:style w:type="character" w:customStyle="1" w:styleId="122">
    <w:name w:val="font12"/>
    <w:basedOn w:val="40"/>
    <w:qFormat/>
    <w:uiPriority w:val="0"/>
    <w:rPr>
      <w:rFonts w:hint="eastAsia" w:ascii="宋体" w:hAnsi="宋体" w:eastAsia="宋体" w:cs="宋体"/>
      <w:color w:val="000000"/>
      <w:sz w:val="20"/>
      <w:szCs w:val="20"/>
      <w:u w:val="none"/>
    </w:rPr>
  </w:style>
  <w:style w:type="character" w:customStyle="1" w:styleId="123">
    <w:name w:val="font41"/>
    <w:basedOn w:val="40"/>
    <w:qFormat/>
    <w:uiPriority w:val="0"/>
    <w:rPr>
      <w:rFonts w:hint="eastAsia" w:ascii="宋体" w:hAnsi="宋体" w:eastAsia="宋体" w:cs="宋体"/>
      <w:b/>
      <w:bCs/>
      <w:color w:val="000000"/>
      <w:sz w:val="22"/>
      <w:szCs w:val="22"/>
      <w:u w:val="none"/>
    </w:rPr>
  </w:style>
  <w:style w:type="character" w:customStyle="1" w:styleId="124">
    <w:name w:val="font81"/>
    <w:basedOn w:val="40"/>
    <w:qFormat/>
    <w:uiPriority w:val="0"/>
    <w:rPr>
      <w:rFonts w:ascii="Calibri" w:hAnsi="Calibri" w:cs="Calibri"/>
      <w:b/>
      <w:bCs/>
      <w:color w:val="000000"/>
      <w:sz w:val="22"/>
      <w:szCs w:val="22"/>
      <w:u w:val="none"/>
    </w:rPr>
  </w:style>
  <w:style w:type="character" w:customStyle="1" w:styleId="125">
    <w:name w:val="font71"/>
    <w:basedOn w:val="40"/>
    <w:qFormat/>
    <w:uiPriority w:val="0"/>
    <w:rPr>
      <w:rFonts w:hint="eastAsia" w:ascii="宋体" w:hAnsi="宋体" w:eastAsia="宋体" w:cs="宋体"/>
      <w:b/>
      <w:bCs/>
      <w:color w:val="000000"/>
      <w:sz w:val="30"/>
      <w:szCs w:val="30"/>
      <w:u w:val="none"/>
      <w:vertAlign w:val="superscript"/>
    </w:rPr>
  </w:style>
  <w:style w:type="character" w:customStyle="1" w:styleId="126">
    <w:name w:val="font112"/>
    <w:basedOn w:val="40"/>
    <w:qFormat/>
    <w:uiPriority w:val="0"/>
    <w:rPr>
      <w:rFonts w:hint="eastAsia" w:ascii="宋体" w:hAnsi="宋体" w:eastAsia="宋体" w:cs="宋体"/>
      <w:color w:val="000000"/>
      <w:sz w:val="20"/>
      <w:szCs w:val="20"/>
      <w:u w:val="none"/>
    </w:rPr>
  </w:style>
  <w:style w:type="paragraph" w:styleId="127">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28">
    <w:name w:val="TOC 标题1"/>
    <w:basedOn w:val="4"/>
    <w:next w:val="1"/>
    <w:unhideWhenUsed/>
    <w:qFormat/>
    <w:uiPriority w:val="39"/>
    <w:pPr>
      <w:keepNext w:val="0"/>
      <w:keepLines w:val="0"/>
      <w:widowControl/>
      <w:spacing w:before="480" w:after="0" w:line="276" w:lineRule="auto"/>
      <w:jc w:val="left"/>
      <w:outlineLvl w:val="9"/>
    </w:pPr>
    <w:rPr>
      <w:rFonts w:asciiTheme="majorHAnsi" w:hAnsiTheme="majorHAnsi" w:eastAsiaTheme="majorEastAsia" w:cstheme="majorBidi"/>
      <w:bCs w:val="0"/>
      <w:color w:val="2E75B6" w:themeColor="accent1" w:themeShade="BF"/>
      <w:kern w:val="0"/>
      <w:sz w:val="28"/>
      <w:szCs w:val="28"/>
    </w:rPr>
  </w:style>
  <w:style w:type="character" w:customStyle="1" w:styleId="129">
    <w:name w:val="font131"/>
    <w:basedOn w:val="40"/>
    <w:qFormat/>
    <w:uiPriority w:val="0"/>
    <w:rPr>
      <w:rFonts w:hint="eastAsia" w:ascii="宋体" w:hAnsi="宋体" w:eastAsia="宋体" w:cs="宋体"/>
      <w:strike/>
      <w:color w:val="FF0000"/>
      <w:sz w:val="22"/>
      <w:szCs w:val="22"/>
    </w:rPr>
  </w:style>
  <w:style w:type="character" w:customStyle="1" w:styleId="130">
    <w:name w:val="font91"/>
    <w:basedOn w:val="40"/>
    <w:qFormat/>
    <w:uiPriority w:val="0"/>
    <w:rPr>
      <w:rFonts w:hint="eastAsia" w:ascii="宋体" w:hAnsi="宋体" w:eastAsia="宋体" w:cs="宋体"/>
      <w:color w:val="000000"/>
      <w:sz w:val="22"/>
      <w:szCs w:val="22"/>
      <w:u w:val="none"/>
    </w:rPr>
  </w:style>
  <w:style w:type="character" w:customStyle="1" w:styleId="131">
    <w:name w:val="font151"/>
    <w:basedOn w:val="40"/>
    <w:qFormat/>
    <w:uiPriority w:val="0"/>
    <w:rPr>
      <w:rFonts w:hint="eastAsia" w:ascii="宋体" w:hAnsi="宋体" w:eastAsia="宋体" w:cs="宋体"/>
      <w:color w:val="FF0000"/>
      <w:sz w:val="22"/>
      <w:szCs w:val="22"/>
      <w:u w:val="none"/>
    </w:rPr>
  </w:style>
  <w:style w:type="character" w:customStyle="1" w:styleId="132">
    <w:name w:val="font191"/>
    <w:basedOn w:val="40"/>
    <w:qFormat/>
    <w:uiPriority w:val="0"/>
    <w:rPr>
      <w:rFonts w:hint="eastAsia" w:ascii="宋体" w:hAnsi="宋体" w:eastAsia="宋体" w:cs="宋体"/>
      <w:strike/>
      <w:color w:val="000000"/>
      <w:sz w:val="22"/>
      <w:szCs w:val="22"/>
    </w:rPr>
  </w:style>
  <w:style w:type="character" w:customStyle="1" w:styleId="133">
    <w:name w:val="font171"/>
    <w:basedOn w:val="40"/>
    <w:qFormat/>
    <w:uiPriority w:val="0"/>
    <w:rPr>
      <w:rFonts w:hint="eastAsia" w:ascii="宋体" w:hAnsi="宋体" w:eastAsia="宋体" w:cs="宋体"/>
      <w:color w:val="FF0000"/>
      <w:sz w:val="22"/>
      <w:szCs w:val="22"/>
      <w:u w:val="none"/>
    </w:rPr>
  </w:style>
  <w:style w:type="character" w:customStyle="1" w:styleId="134">
    <w:name w:val="font141"/>
    <w:basedOn w:val="40"/>
    <w:qFormat/>
    <w:uiPriority w:val="0"/>
    <w:rPr>
      <w:rFonts w:hint="default" w:ascii="Arial" w:hAnsi="Arial" w:cs="Arial"/>
      <w:color w:val="000000"/>
      <w:sz w:val="22"/>
      <w:szCs w:val="22"/>
      <w:u w:val="none"/>
    </w:rPr>
  </w:style>
  <w:style w:type="character" w:customStyle="1" w:styleId="135">
    <w:name w:val="font61"/>
    <w:basedOn w:val="40"/>
    <w:qFormat/>
    <w:uiPriority w:val="0"/>
    <w:rPr>
      <w:rFonts w:hint="eastAsia" w:ascii="宋体" w:hAnsi="宋体" w:eastAsia="宋体" w:cs="宋体"/>
      <w:color w:val="000000"/>
      <w:sz w:val="22"/>
      <w:szCs w:val="22"/>
      <w:u w:val="none"/>
    </w:rPr>
  </w:style>
  <w:style w:type="character" w:customStyle="1" w:styleId="136">
    <w:name w:val="font201"/>
    <w:basedOn w:val="40"/>
    <w:qFormat/>
    <w:uiPriority w:val="0"/>
    <w:rPr>
      <w:rFonts w:hint="eastAsia" w:ascii="宋体" w:hAnsi="宋体" w:eastAsia="宋体" w:cs="宋体"/>
      <w:b/>
      <w:bCs/>
      <w:color w:val="000000"/>
      <w:sz w:val="40"/>
      <w:szCs w:val="40"/>
      <w:u w:val="none"/>
    </w:rPr>
  </w:style>
  <w:style w:type="character" w:customStyle="1" w:styleId="137">
    <w:name w:val="font121"/>
    <w:basedOn w:val="40"/>
    <w:qFormat/>
    <w:uiPriority w:val="0"/>
    <w:rPr>
      <w:rFonts w:ascii="Arial" w:hAnsi="Arial" w:cs="Arial"/>
      <w:color w:val="000000"/>
      <w:sz w:val="18"/>
      <w:szCs w:val="18"/>
      <w:u w:val="none"/>
    </w:rPr>
  </w:style>
  <w:style w:type="paragraph" w:customStyle="1" w:styleId="138">
    <w:name w:val="WPSOffice手动目录 1"/>
    <w:qFormat/>
    <w:uiPriority w:val="0"/>
    <w:rPr>
      <w:rFonts w:ascii="Times New Roman" w:hAnsi="Times New Roman" w:eastAsia="宋体" w:cs="Times New Roman"/>
      <w:lang w:val="en-US" w:eastAsia="zh-CN" w:bidi="ar-SA"/>
    </w:rPr>
  </w:style>
  <w:style w:type="paragraph" w:customStyle="1" w:styleId="139">
    <w:name w:val="正文段"/>
    <w:basedOn w:val="1"/>
    <w:qFormat/>
    <w:uiPriority w:val="0"/>
    <w:pPr>
      <w:widowControl/>
      <w:snapToGrid w:val="0"/>
      <w:spacing w:afterLines="50"/>
      <w:ind w:firstLine="200" w:firstLineChars="200"/>
    </w:pPr>
    <w:rPr>
      <w:kern w:val="0"/>
      <w:sz w:val="24"/>
      <w:szCs w:val="20"/>
    </w:rPr>
  </w:style>
  <w:style w:type="paragraph" w:customStyle="1" w:styleId="140">
    <w:name w:val="Normal Indent1"/>
    <w:basedOn w:val="1"/>
    <w:qFormat/>
    <w:uiPriority w:val="0"/>
    <w:pPr>
      <w:ind w:firstLine="420" w:firstLineChars="200"/>
    </w:pPr>
  </w:style>
  <w:style w:type="paragraph" w:customStyle="1" w:styleId="141">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37566</Words>
  <Characters>39958</Characters>
  <Lines>578</Lines>
  <Paragraphs>162</Paragraphs>
  <TotalTime>1</TotalTime>
  <ScaleCrop>false</ScaleCrop>
  <LinksUpToDate>false</LinksUpToDate>
  <CharactersWithSpaces>45723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2021-03-01T07:14:00Z</dcterms:created>
  <dc:creator>Administrator</dc:creator>
  <cp:lastModifiedBy>Administrator</cp:lastModifiedBy>
  <cp:lastPrinted>2025-06-23T07:54:00Z</cp:lastPrinted>
  <dcterms:modified xsi:type="dcterms:W3CDTF">2025-06-27T00:25:56Z</dcterms:modified>
  <dc:title>东阳市鑫盛工程咨询有限公司关于东阳市广福路以南、望江路以西地块-上王公寓</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37D6E32F1DA04E578CAE0B6FFEAF7F8B_13</vt:lpwstr>
  </property>
  <property fmtid="{D5CDD505-2E9C-101B-9397-08002B2CF9AE}" pid="4" name="KSOTemplateDocerSaveRecord">
    <vt:lpwstr>eyJoZGlkIjoiOTRhN2Q1MjBiMzZkZmVmOWMyN2FhZTZkOGNiZTY3ZTQifQ==</vt:lpwstr>
  </property>
</Properties>
</file>