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rPr>
          <w:rFonts w:ascii="Times New Roman" w:hAnsi="Times New Roman"/>
          <w:b/>
          <w:sz w:val="48"/>
          <w:szCs w:val="48"/>
          <w:highlight w:val="yellow"/>
        </w:rPr>
      </w:pPr>
    </w:p>
    <w:p>
      <w:pPr>
        <w:spacing w:line="360" w:lineRule="auto"/>
        <w:jc w:val="center"/>
        <w:rPr>
          <w:rFonts w:hint="eastAsia" w:ascii="Arial Unicode MS" w:hAnsi="宋体" w:eastAsia="Arial Unicode MS"/>
          <w:color w:val="000000"/>
          <w:sz w:val="52"/>
          <w:szCs w:val="52"/>
          <w:highlight w:val="yellow"/>
        </w:rPr>
      </w:pPr>
    </w:p>
    <w:p>
      <w:pPr>
        <w:spacing w:line="360" w:lineRule="auto"/>
        <w:jc w:val="center"/>
        <w:rPr>
          <w:rFonts w:hint="eastAsia" w:ascii="Arial Unicode MS" w:hAnsi="宋体" w:eastAsia="Arial Unicode MS" w:cs="Times New Roman"/>
          <w:color w:val="000000"/>
          <w:sz w:val="52"/>
          <w:szCs w:val="52"/>
          <w:highlight w:val="none"/>
        </w:rPr>
      </w:pPr>
      <w:r>
        <w:rPr>
          <w:rFonts w:hint="eastAsia" w:ascii="Arial Unicode MS" w:hAnsi="宋体" w:eastAsia="Arial Unicode MS" w:cs="Times New Roman"/>
          <w:color w:val="000000"/>
          <w:sz w:val="52"/>
          <w:szCs w:val="52"/>
          <w:highlight w:val="none"/>
        </w:rPr>
        <w:t>云之龙咨询集团有限公司</w:t>
      </w:r>
    </w:p>
    <w:p>
      <w:pPr>
        <w:spacing w:line="480" w:lineRule="auto"/>
        <w:ind w:left="3243" w:leftChars="684" w:hanging="1807" w:hangingChars="500"/>
        <w:jc w:val="left"/>
        <w:rPr>
          <w:rFonts w:ascii="宋体" w:hAnsi="宋体" w:cs="宋体"/>
          <w:b/>
          <w:bCs/>
          <w:sz w:val="36"/>
          <w:szCs w:val="36"/>
          <w:highlight w:val="none"/>
        </w:rPr>
      </w:pPr>
    </w:p>
    <w:p>
      <w:pPr>
        <w:spacing w:line="480" w:lineRule="auto"/>
        <w:jc w:val="center"/>
        <w:rPr>
          <w:rFonts w:ascii="Calibri" w:hAnsi="Calibri"/>
          <w:b/>
          <w:sz w:val="48"/>
          <w:szCs w:val="48"/>
          <w:highlight w:val="none"/>
        </w:rPr>
      </w:pPr>
    </w:p>
    <w:p>
      <w:pPr>
        <w:snapToGrid w:val="0"/>
        <w:spacing w:before="120" w:beforeLines="50" w:line="360" w:lineRule="auto"/>
        <w:jc w:val="center"/>
        <w:rPr>
          <w:rFonts w:hint="eastAsia" w:ascii="华文新魏" w:hAnsi="宋体" w:eastAsia="华文新魏"/>
          <w:color w:val="000000"/>
          <w:sz w:val="72"/>
          <w:szCs w:val="72"/>
          <w:highlight w:val="none"/>
        </w:rPr>
      </w:pPr>
      <w:r>
        <w:rPr>
          <w:rFonts w:hint="eastAsia" w:ascii="华文新魏" w:hAnsi="宋体" w:eastAsia="华文新魏"/>
          <w:color w:val="000000"/>
          <w:sz w:val="120"/>
          <w:szCs w:val="120"/>
          <w:highlight w:val="none"/>
        </w:rPr>
        <w:t>招 标 文 件</w:t>
      </w:r>
    </w:p>
    <w:p>
      <w:pPr>
        <w:snapToGrid w:val="0"/>
        <w:spacing w:before="120" w:beforeLines="50" w:line="360" w:lineRule="auto"/>
        <w:jc w:val="center"/>
        <w:rPr>
          <w:rFonts w:hint="eastAsia"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（全流程电子化采购）</w:t>
      </w:r>
    </w:p>
    <w:p>
      <w:pPr>
        <w:pStyle w:val="27"/>
        <w:rPr>
          <w:highlight w:val="none"/>
        </w:rPr>
      </w:pPr>
    </w:p>
    <w:p>
      <w:pPr>
        <w:spacing w:line="480" w:lineRule="auto"/>
        <w:ind w:left="3042" w:leftChars="684" w:hanging="1606" w:hangingChars="500"/>
        <w:jc w:val="left"/>
        <w:rPr>
          <w:rFonts w:hint="eastAsia" w:ascii="宋体" w:hAnsi="宋体" w:cs="宋体"/>
          <w:b/>
          <w:bCs/>
          <w:sz w:val="32"/>
          <w:szCs w:val="32"/>
          <w:highlight w:val="none"/>
        </w:rPr>
      </w:pPr>
      <w:r>
        <w:rPr>
          <w:rFonts w:hint="eastAsia" w:ascii="宋体" w:hAnsi="宋体" w:cs="宋体"/>
          <w:b/>
          <w:bCs/>
          <w:sz w:val="32"/>
          <w:szCs w:val="32"/>
          <w:highlight w:val="none"/>
        </w:rPr>
        <w:t>项目名称：贺州市城东体育综合体及周边基础配套设施</w:t>
      </w:r>
    </w:p>
    <w:p>
      <w:pPr>
        <w:spacing w:line="480" w:lineRule="auto"/>
        <w:ind w:left="3032" w:leftChars="1444" w:firstLine="0" w:firstLineChars="0"/>
        <w:jc w:val="left"/>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rPr>
        <w:t>（一期）PPP项目</w:t>
      </w:r>
    </w:p>
    <w:p>
      <w:pPr>
        <w:spacing w:line="480" w:lineRule="auto"/>
        <w:ind w:left="3042" w:leftChars="684" w:hanging="1606" w:hangingChars="500"/>
        <w:jc w:val="both"/>
        <w:rPr>
          <w:rFonts w:hint="eastAsia" w:ascii="宋体" w:hAnsi="宋体" w:eastAsia="宋体" w:cs="宋体"/>
          <w:b/>
          <w:bCs/>
          <w:sz w:val="32"/>
          <w:szCs w:val="32"/>
          <w:highlight w:val="none"/>
          <w:lang w:eastAsia="zh-CN"/>
        </w:rPr>
      </w:pPr>
      <w:r>
        <w:rPr>
          <w:rFonts w:hint="eastAsia" w:ascii="宋体" w:hAnsi="宋体" w:cs="宋体"/>
          <w:b/>
          <w:bCs/>
          <w:sz w:val="32"/>
          <w:szCs w:val="32"/>
          <w:highlight w:val="none"/>
        </w:rPr>
        <w:t>项目编号：</w:t>
      </w:r>
      <w:r>
        <w:rPr>
          <w:rFonts w:hint="eastAsia" w:ascii="宋体" w:hAnsi="宋体" w:cs="宋体"/>
          <w:b/>
          <w:bCs/>
          <w:sz w:val="32"/>
          <w:szCs w:val="32"/>
          <w:highlight w:val="none"/>
          <w:lang w:eastAsia="zh-CN"/>
        </w:rPr>
        <w:t>HZZC2022-G3-020158-YZLZ</w:t>
      </w:r>
    </w:p>
    <w:p>
      <w:pPr>
        <w:adjustRightInd w:val="0"/>
        <w:snapToGrid w:val="0"/>
        <w:spacing w:line="480" w:lineRule="auto"/>
        <w:ind w:firstLine="1513" w:firstLineChars="471"/>
        <w:rPr>
          <w:rFonts w:ascii="Calibri" w:hAnsi="Calibri"/>
          <w:b/>
          <w:sz w:val="32"/>
          <w:szCs w:val="32"/>
          <w:highlight w:val="yellow"/>
        </w:rPr>
      </w:pPr>
    </w:p>
    <w:p>
      <w:pPr>
        <w:adjustRightInd w:val="0"/>
        <w:snapToGrid w:val="0"/>
        <w:spacing w:line="480" w:lineRule="auto"/>
        <w:ind w:firstLine="1513" w:firstLineChars="471"/>
        <w:jc w:val="both"/>
        <w:rPr>
          <w:rFonts w:hint="eastAsia" w:ascii="Calibri" w:hAnsi="Calibri"/>
          <w:b/>
          <w:sz w:val="32"/>
          <w:szCs w:val="32"/>
          <w:highlight w:val="none"/>
          <w:lang w:eastAsia="zh-CN"/>
        </w:rPr>
      </w:pPr>
      <w:r>
        <w:rPr>
          <w:rFonts w:hint="eastAsia" w:ascii="Calibri" w:hAnsi="Calibri"/>
          <w:b/>
          <w:sz w:val="32"/>
          <w:szCs w:val="32"/>
          <w:highlight w:val="none"/>
          <w:lang w:eastAsia="zh-CN"/>
        </w:rPr>
        <w:t>项目实施机构</w:t>
      </w:r>
      <w:r>
        <w:rPr>
          <w:rFonts w:hint="eastAsia" w:ascii="Calibri" w:hAnsi="Calibri"/>
          <w:b/>
          <w:sz w:val="32"/>
          <w:szCs w:val="32"/>
          <w:highlight w:val="none"/>
        </w:rPr>
        <w:t>：</w:t>
      </w:r>
      <w:r>
        <w:rPr>
          <w:rFonts w:hint="eastAsia" w:ascii="Calibri" w:hAnsi="Calibri"/>
          <w:b/>
          <w:sz w:val="32"/>
          <w:szCs w:val="32"/>
          <w:highlight w:val="none"/>
          <w:lang w:eastAsia="zh-CN"/>
        </w:rPr>
        <w:t>贺州市八步区文化广电和旅游局</w:t>
      </w:r>
    </w:p>
    <w:p>
      <w:pPr>
        <w:adjustRightInd w:val="0"/>
        <w:snapToGrid w:val="0"/>
        <w:spacing w:line="480" w:lineRule="auto"/>
        <w:ind w:firstLine="1513" w:firstLineChars="471"/>
        <w:jc w:val="both"/>
        <w:rPr>
          <w:rFonts w:hint="eastAsia" w:ascii="Calibri" w:hAnsi="Calibri" w:eastAsia="宋体"/>
          <w:b/>
          <w:sz w:val="32"/>
          <w:szCs w:val="32"/>
          <w:highlight w:val="none"/>
          <w:lang w:eastAsia="zh-CN"/>
        </w:rPr>
      </w:pPr>
      <w:r>
        <w:rPr>
          <w:rFonts w:hint="eastAsia" w:ascii="Calibri" w:hAnsi="Calibri"/>
          <w:b/>
          <w:sz w:val="32"/>
          <w:szCs w:val="32"/>
          <w:highlight w:val="none"/>
        </w:rPr>
        <w:t>采购代理机构：</w:t>
      </w:r>
      <w:r>
        <w:rPr>
          <w:rFonts w:hint="eastAsia" w:ascii="Calibri" w:hAnsi="Calibri"/>
          <w:b/>
          <w:sz w:val="32"/>
          <w:szCs w:val="32"/>
          <w:highlight w:val="none"/>
          <w:lang w:eastAsia="zh-CN"/>
        </w:rPr>
        <w:t xml:space="preserve">云之龙咨询集团有限公司 </w:t>
      </w:r>
    </w:p>
    <w:p>
      <w:pPr>
        <w:adjustRightInd w:val="0"/>
        <w:snapToGrid w:val="0"/>
        <w:spacing w:line="480" w:lineRule="auto"/>
        <w:jc w:val="center"/>
        <w:rPr>
          <w:rFonts w:ascii="Calibri" w:hAnsi="Calibri"/>
          <w:b/>
          <w:bCs/>
          <w:kern w:val="0"/>
          <w:sz w:val="32"/>
          <w:szCs w:val="32"/>
          <w:highlight w:val="none"/>
          <w:lang w:val="zh-CN"/>
        </w:rPr>
      </w:pPr>
      <w:r>
        <w:rPr>
          <w:rFonts w:ascii="Calibri" w:hAnsi="Calibri"/>
          <w:b/>
          <w:sz w:val="32"/>
          <w:szCs w:val="32"/>
          <w:highlight w:val="none"/>
        </w:rPr>
        <w:t>202</w:t>
      </w:r>
      <w:r>
        <w:rPr>
          <w:rFonts w:hint="eastAsia" w:ascii="Calibri" w:hAnsi="Calibri"/>
          <w:b/>
          <w:sz w:val="32"/>
          <w:szCs w:val="32"/>
          <w:highlight w:val="none"/>
          <w:lang w:val="en-US" w:eastAsia="zh-CN"/>
        </w:rPr>
        <w:t>3</w:t>
      </w:r>
      <w:r>
        <w:rPr>
          <w:rFonts w:hint="eastAsia" w:ascii="Calibri" w:hAnsi="Calibri"/>
          <w:b/>
          <w:sz w:val="32"/>
          <w:szCs w:val="32"/>
          <w:highlight w:val="none"/>
        </w:rPr>
        <w:t>年</w:t>
      </w:r>
      <w:r>
        <w:rPr>
          <w:rFonts w:hint="eastAsia" w:ascii="Calibri" w:hAnsi="Calibri"/>
          <w:b/>
          <w:sz w:val="32"/>
          <w:szCs w:val="32"/>
          <w:highlight w:val="none"/>
          <w:lang w:val="en-US" w:eastAsia="zh-CN"/>
        </w:rPr>
        <w:t>1</w:t>
      </w:r>
      <w:r>
        <w:rPr>
          <w:rFonts w:hint="eastAsia" w:ascii="Calibri" w:hAnsi="Calibri"/>
          <w:b/>
          <w:sz w:val="32"/>
          <w:szCs w:val="32"/>
          <w:highlight w:val="none"/>
        </w:rPr>
        <w:t>月</w:t>
      </w:r>
    </w:p>
    <w:p>
      <w:pPr>
        <w:rPr>
          <w:highlight w:val="yellow"/>
        </w:rPr>
      </w:pPr>
    </w:p>
    <w:p>
      <w:pPr>
        <w:pStyle w:val="41"/>
        <w:rPr>
          <w:highlight w:val="yellow"/>
        </w:rPr>
      </w:pPr>
    </w:p>
    <w:p>
      <w:pPr>
        <w:pStyle w:val="15"/>
        <w:jc w:val="center"/>
        <w:rPr>
          <w:rFonts w:hint="eastAsia" w:ascii="Times New Roman" w:hAnsi="Times New Roman"/>
          <w:b/>
          <w:sz w:val="48"/>
          <w:szCs w:val="48"/>
          <w:highlight w:val="yellow"/>
        </w:rPr>
      </w:pPr>
    </w:p>
    <w:p>
      <w:pPr>
        <w:pStyle w:val="15"/>
        <w:jc w:val="center"/>
        <w:rPr>
          <w:rFonts w:hint="eastAsia" w:ascii="Times New Roman" w:hAnsi="Times New Roman"/>
          <w:b/>
          <w:sz w:val="48"/>
          <w:szCs w:val="48"/>
          <w:highlight w:val="yellow"/>
        </w:rPr>
      </w:pPr>
    </w:p>
    <w:p>
      <w:pPr>
        <w:pStyle w:val="15"/>
        <w:jc w:val="center"/>
        <w:rPr>
          <w:rFonts w:hint="eastAsia" w:ascii="Times New Roman" w:hAnsi="Times New Roman"/>
          <w:b/>
          <w:sz w:val="48"/>
          <w:szCs w:val="48"/>
          <w:highlight w:val="yellow"/>
        </w:rPr>
      </w:pPr>
    </w:p>
    <w:p>
      <w:pPr>
        <w:pStyle w:val="15"/>
        <w:jc w:val="center"/>
        <w:rPr>
          <w:rFonts w:hint="eastAsia" w:ascii="Times New Roman" w:hAnsi="Times New Roman"/>
          <w:b/>
          <w:sz w:val="48"/>
          <w:szCs w:val="48"/>
          <w:highlight w:val="yellow"/>
        </w:rPr>
      </w:pPr>
    </w:p>
    <w:p>
      <w:pPr>
        <w:pStyle w:val="15"/>
        <w:jc w:val="center"/>
        <w:rPr>
          <w:rFonts w:hint="eastAsia" w:ascii="Times New Roman" w:hAnsi="Times New Roman"/>
          <w:b/>
          <w:sz w:val="48"/>
          <w:szCs w:val="48"/>
          <w:highlight w:val="yellow"/>
        </w:rPr>
      </w:pPr>
    </w:p>
    <w:p>
      <w:pPr>
        <w:pStyle w:val="15"/>
        <w:jc w:val="center"/>
        <w:rPr>
          <w:rFonts w:hint="eastAsia" w:ascii="Times New Roman" w:hAnsi="Times New Roman"/>
          <w:b/>
          <w:sz w:val="48"/>
          <w:szCs w:val="48"/>
          <w:highlight w:val="none"/>
        </w:rPr>
      </w:pPr>
    </w:p>
    <w:p>
      <w:pPr>
        <w:pStyle w:val="15"/>
        <w:jc w:val="center"/>
        <w:rPr>
          <w:rFonts w:ascii="Times New Roman" w:hAnsi="Times New Roman"/>
          <w:b/>
          <w:sz w:val="48"/>
          <w:szCs w:val="48"/>
          <w:highlight w:val="none"/>
        </w:rPr>
      </w:pPr>
      <w:r>
        <w:rPr>
          <w:rFonts w:hint="eastAsia" w:ascii="Times New Roman" w:hAnsi="Times New Roman"/>
          <w:b/>
          <w:sz w:val="48"/>
          <w:szCs w:val="48"/>
          <w:highlight w:val="none"/>
        </w:rPr>
        <w:t>目</w:t>
      </w:r>
      <w:r>
        <w:rPr>
          <w:rFonts w:ascii="Times New Roman" w:hAnsi="Times New Roman"/>
          <w:b/>
          <w:sz w:val="48"/>
          <w:szCs w:val="48"/>
          <w:highlight w:val="none"/>
        </w:rPr>
        <w:t xml:space="preserve">     </w:t>
      </w:r>
      <w:r>
        <w:rPr>
          <w:rFonts w:hint="eastAsia" w:ascii="Times New Roman" w:hAnsi="Times New Roman"/>
          <w:b/>
          <w:sz w:val="48"/>
          <w:szCs w:val="48"/>
          <w:highlight w:val="none"/>
        </w:rPr>
        <w:t>录</w:t>
      </w:r>
    </w:p>
    <w:p>
      <w:pPr>
        <w:pStyle w:val="21"/>
        <w:tabs>
          <w:tab w:val="right" w:leader="dot" w:pos="9638"/>
        </w:tabs>
      </w:pPr>
      <w:r>
        <w:rPr>
          <w:rFonts w:hint="eastAsia" w:ascii="宋体" w:hAnsi="宋体" w:eastAsia="宋体" w:cs="宋体"/>
          <w:b w:val="0"/>
          <w:bCs w:val="0"/>
          <w:caps w:val="0"/>
          <w:sz w:val="22"/>
          <w:szCs w:val="22"/>
          <w:highlight w:val="yellow"/>
        </w:rPr>
        <w:fldChar w:fldCharType="begin"/>
      </w:r>
      <w:r>
        <w:rPr>
          <w:rFonts w:hint="eastAsia" w:ascii="宋体" w:hAnsi="宋体" w:eastAsia="宋体" w:cs="宋体"/>
          <w:b w:val="0"/>
          <w:bCs w:val="0"/>
          <w:caps w:val="0"/>
          <w:sz w:val="22"/>
          <w:szCs w:val="22"/>
          <w:highlight w:val="yellow"/>
        </w:rPr>
        <w:instrText xml:space="preserve"> TOC \o "1-3" \h \z \u </w:instrText>
      </w:r>
      <w:r>
        <w:rPr>
          <w:rFonts w:hint="eastAsia" w:ascii="宋体" w:hAnsi="宋体" w:eastAsia="宋体" w:cs="宋体"/>
          <w:b w:val="0"/>
          <w:bCs w:val="0"/>
          <w:caps w:val="0"/>
          <w:sz w:val="22"/>
          <w:szCs w:val="22"/>
          <w:highlight w:val="yellow"/>
        </w:rPr>
        <w:fldChar w:fldCharType="separate"/>
      </w:r>
      <w:r>
        <w:rPr>
          <w:rFonts w:hint="eastAsia" w:ascii="宋体" w:hAnsi="宋体" w:eastAsia="宋体" w:cs="宋体"/>
          <w:bCs w:val="0"/>
          <w:caps w:val="0"/>
          <w:szCs w:val="22"/>
          <w:highlight w:val="yellow"/>
        </w:rPr>
        <w:fldChar w:fldCharType="begin"/>
      </w:r>
      <w:r>
        <w:rPr>
          <w:rFonts w:hint="eastAsia" w:ascii="宋体" w:hAnsi="宋体" w:eastAsia="宋体" w:cs="宋体"/>
          <w:bCs w:val="0"/>
          <w:caps w:val="0"/>
          <w:szCs w:val="22"/>
          <w:highlight w:val="yellow"/>
        </w:rPr>
        <w:instrText xml:space="preserve"> HYPERLINK \l _Toc4391 </w:instrText>
      </w:r>
      <w:r>
        <w:rPr>
          <w:rFonts w:hint="eastAsia" w:ascii="宋体" w:hAnsi="宋体" w:eastAsia="宋体" w:cs="宋体"/>
          <w:bCs w:val="0"/>
          <w:caps w:val="0"/>
          <w:szCs w:val="22"/>
          <w:highlight w:val="yellow"/>
        </w:rPr>
        <w:fldChar w:fldCharType="separate"/>
      </w:r>
      <w:r>
        <w:rPr>
          <w:rFonts w:hint="eastAsia"/>
        </w:rPr>
        <w:t>第一章</w:t>
      </w:r>
      <w:r>
        <w:t xml:space="preserve">  </w:t>
      </w:r>
      <w:r>
        <w:rPr>
          <w:rFonts w:hint="eastAsia"/>
        </w:rPr>
        <w:t>招标公告</w:t>
      </w:r>
      <w:r>
        <w:tab/>
      </w:r>
      <w:r>
        <w:fldChar w:fldCharType="begin"/>
      </w:r>
      <w:r>
        <w:instrText xml:space="preserve"> PAGEREF _Toc4391 \h </w:instrText>
      </w:r>
      <w:r>
        <w:fldChar w:fldCharType="separate"/>
      </w:r>
      <w:r>
        <w:t>3</w:t>
      </w:r>
      <w:r>
        <w:fldChar w:fldCharType="end"/>
      </w:r>
      <w:r>
        <w:rPr>
          <w:rFonts w:hint="eastAsia" w:ascii="宋体" w:hAnsi="宋体" w:eastAsia="宋体" w:cs="宋体"/>
          <w:bCs w:val="0"/>
          <w:caps w:val="0"/>
          <w:szCs w:val="22"/>
          <w:highlight w:val="yellow"/>
        </w:rPr>
        <w:fldChar w:fldCharType="end"/>
      </w:r>
    </w:p>
    <w:p>
      <w:pPr>
        <w:pStyle w:val="21"/>
        <w:tabs>
          <w:tab w:val="right" w:leader="dot" w:pos="9638"/>
        </w:tabs>
      </w:pPr>
      <w:r>
        <w:rPr>
          <w:rFonts w:hint="eastAsia" w:ascii="宋体" w:hAnsi="宋体" w:eastAsia="宋体" w:cs="宋体"/>
          <w:bCs/>
          <w:caps/>
          <w:szCs w:val="22"/>
          <w:highlight w:val="yellow"/>
          <w:u w:val="single"/>
        </w:rPr>
        <w:fldChar w:fldCharType="begin"/>
      </w:r>
      <w:r>
        <w:rPr>
          <w:rFonts w:hint="eastAsia" w:ascii="宋体" w:hAnsi="宋体" w:eastAsia="宋体" w:cs="宋体"/>
          <w:bCs/>
          <w:caps/>
          <w:szCs w:val="22"/>
          <w:highlight w:val="yellow"/>
        </w:rPr>
        <w:instrText xml:space="preserve"> HYPERLINK \l _Toc8467 </w:instrText>
      </w:r>
      <w:r>
        <w:rPr>
          <w:rFonts w:hint="eastAsia" w:ascii="宋体" w:hAnsi="宋体" w:eastAsia="宋体" w:cs="宋体"/>
          <w:bCs/>
          <w:caps/>
          <w:szCs w:val="22"/>
          <w:highlight w:val="yellow"/>
        </w:rPr>
        <w:fldChar w:fldCharType="separate"/>
      </w:r>
      <w:r>
        <w:rPr>
          <w:rFonts w:hint="eastAsia"/>
        </w:rPr>
        <w:t>第二章</w:t>
      </w:r>
      <w:r>
        <w:t xml:space="preserve">  </w:t>
      </w:r>
      <w:r>
        <w:rPr>
          <w:rFonts w:hint="eastAsia"/>
        </w:rPr>
        <w:t>采购需求</w:t>
      </w:r>
      <w:r>
        <w:tab/>
      </w:r>
      <w:r>
        <w:fldChar w:fldCharType="begin"/>
      </w:r>
      <w:r>
        <w:instrText xml:space="preserve"> PAGEREF _Toc8467 \h </w:instrText>
      </w:r>
      <w:r>
        <w:fldChar w:fldCharType="separate"/>
      </w:r>
      <w:r>
        <w:t>7</w:t>
      </w:r>
      <w:r>
        <w:fldChar w:fldCharType="end"/>
      </w:r>
      <w:r>
        <w:rPr>
          <w:rFonts w:hint="eastAsia" w:ascii="宋体" w:hAnsi="宋体" w:eastAsia="宋体" w:cs="宋体"/>
          <w:bCs/>
          <w:caps/>
          <w:szCs w:val="22"/>
          <w:highlight w:val="yellow"/>
          <w:u w:val="single"/>
        </w:rPr>
        <w:fldChar w:fldCharType="end"/>
      </w:r>
    </w:p>
    <w:p>
      <w:pPr>
        <w:pStyle w:val="21"/>
        <w:tabs>
          <w:tab w:val="right" w:leader="dot" w:pos="9638"/>
        </w:tabs>
      </w:pPr>
      <w:r>
        <w:rPr>
          <w:rFonts w:hint="eastAsia" w:ascii="宋体" w:hAnsi="宋体" w:eastAsia="宋体" w:cs="宋体"/>
          <w:bCs/>
          <w:caps/>
          <w:szCs w:val="22"/>
          <w:highlight w:val="yellow"/>
          <w:u w:val="single"/>
        </w:rPr>
        <w:fldChar w:fldCharType="begin"/>
      </w:r>
      <w:r>
        <w:rPr>
          <w:rFonts w:hint="eastAsia" w:ascii="宋体" w:hAnsi="宋体" w:eastAsia="宋体" w:cs="宋体"/>
          <w:bCs/>
          <w:caps/>
          <w:szCs w:val="22"/>
          <w:highlight w:val="yellow"/>
        </w:rPr>
        <w:instrText xml:space="preserve"> HYPERLINK \l _Toc26710 </w:instrText>
      </w:r>
      <w:r>
        <w:rPr>
          <w:rFonts w:hint="eastAsia" w:ascii="宋体" w:hAnsi="宋体" w:eastAsia="宋体" w:cs="宋体"/>
          <w:bCs/>
          <w:caps/>
          <w:szCs w:val="22"/>
          <w:highlight w:val="yellow"/>
        </w:rPr>
        <w:fldChar w:fldCharType="separate"/>
      </w:r>
      <w:r>
        <w:rPr>
          <w:rFonts w:hint="eastAsia"/>
        </w:rPr>
        <w:t>第三章</w:t>
      </w:r>
      <w:r>
        <w:t xml:space="preserve">  </w:t>
      </w:r>
      <w:r>
        <w:rPr>
          <w:rFonts w:hint="eastAsia"/>
        </w:rPr>
        <w:t>投标人须知</w:t>
      </w:r>
      <w:r>
        <w:tab/>
      </w:r>
      <w:r>
        <w:fldChar w:fldCharType="begin"/>
      </w:r>
      <w:r>
        <w:instrText xml:space="preserve"> PAGEREF _Toc26710 \h </w:instrText>
      </w:r>
      <w:r>
        <w:fldChar w:fldCharType="separate"/>
      </w:r>
      <w:r>
        <w:t>27</w:t>
      </w:r>
      <w:r>
        <w:fldChar w:fldCharType="end"/>
      </w:r>
      <w:r>
        <w:rPr>
          <w:rFonts w:hint="eastAsia" w:ascii="宋体" w:hAnsi="宋体" w:eastAsia="宋体" w:cs="宋体"/>
          <w:bCs/>
          <w:caps/>
          <w:szCs w:val="22"/>
          <w:highlight w:val="yellow"/>
          <w:u w:val="single"/>
        </w:rPr>
        <w:fldChar w:fldCharType="end"/>
      </w:r>
    </w:p>
    <w:p>
      <w:pPr>
        <w:pStyle w:val="21"/>
        <w:tabs>
          <w:tab w:val="right" w:leader="dot" w:pos="9638"/>
        </w:tabs>
      </w:pPr>
      <w:r>
        <w:rPr>
          <w:rFonts w:hint="eastAsia" w:ascii="宋体" w:hAnsi="宋体" w:eastAsia="宋体" w:cs="宋体"/>
          <w:bCs/>
          <w:caps/>
          <w:szCs w:val="22"/>
          <w:highlight w:val="yellow"/>
          <w:u w:val="single"/>
        </w:rPr>
        <w:fldChar w:fldCharType="begin"/>
      </w:r>
      <w:r>
        <w:rPr>
          <w:rFonts w:hint="eastAsia" w:ascii="宋体" w:hAnsi="宋体" w:eastAsia="宋体" w:cs="宋体"/>
          <w:bCs/>
          <w:caps/>
          <w:szCs w:val="22"/>
          <w:highlight w:val="yellow"/>
        </w:rPr>
        <w:instrText xml:space="preserve"> HYPERLINK \l _Toc15173 </w:instrText>
      </w:r>
      <w:r>
        <w:rPr>
          <w:rFonts w:hint="eastAsia" w:ascii="宋体" w:hAnsi="宋体" w:eastAsia="宋体" w:cs="宋体"/>
          <w:bCs/>
          <w:caps/>
          <w:szCs w:val="22"/>
          <w:highlight w:val="yellow"/>
        </w:rPr>
        <w:fldChar w:fldCharType="separate"/>
      </w:r>
      <w:r>
        <w:rPr>
          <w:rFonts w:hint="eastAsia" w:ascii="Times New Roman" w:hAnsi="Times New Roman"/>
          <w:highlight w:val="none"/>
        </w:rPr>
        <w:t>第四章  评标方法及评分标准</w:t>
      </w:r>
      <w:r>
        <w:tab/>
      </w:r>
      <w:r>
        <w:fldChar w:fldCharType="begin"/>
      </w:r>
      <w:r>
        <w:instrText xml:space="preserve"> PAGEREF _Toc15173 \h </w:instrText>
      </w:r>
      <w:r>
        <w:fldChar w:fldCharType="separate"/>
      </w:r>
      <w:r>
        <w:t>47</w:t>
      </w:r>
      <w:r>
        <w:fldChar w:fldCharType="end"/>
      </w:r>
      <w:r>
        <w:rPr>
          <w:rFonts w:hint="eastAsia" w:ascii="宋体" w:hAnsi="宋体" w:eastAsia="宋体" w:cs="宋体"/>
          <w:bCs/>
          <w:caps/>
          <w:szCs w:val="22"/>
          <w:highlight w:val="yellow"/>
          <w:u w:val="single"/>
        </w:rPr>
        <w:fldChar w:fldCharType="end"/>
      </w:r>
    </w:p>
    <w:p>
      <w:pPr>
        <w:pStyle w:val="21"/>
        <w:tabs>
          <w:tab w:val="right" w:leader="dot" w:pos="9638"/>
        </w:tabs>
      </w:pPr>
      <w:r>
        <w:rPr>
          <w:rFonts w:hint="eastAsia" w:ascii="宋体" w:hAnsi="宋体" w:eastAsia="宋体" w:cs="宋体"/>
          <w:bCs/>
          <w:caps/>
          <w:szCs w:val="22"/>
          <w:highlight w:val="yellow"/>
          <w:u w:val="single"/>
        </w:rPr>
        <w:fldChar w:fldCharType="begin"/>
      </w:r>
      <w:r>
        <w:rPr>
          <w:rFonts w:hint="eastAsia" w:ascii="宋体" w:hAnsi="宋体" w:eastAsia="宋体" w:cs="宋体"/>
          <w:bCs/>
          <w:caps/>
          <w:szCs w:val="22"/>
          <w:highlight w:val="yellow"/>
        </w:rPr>
        <w:instrText xml:space="preserve"> HYPERLINK \l _Toc5600 </w:instrText>
      </w:r>
      <w:r>
        <w:rPr>
          <w:rFonts w:hint="eastAsia" w:ascii="宋体" w:hAnsi="宋体" w:eastAsia="宋体" w:cs="宋体"/>
          <w:bCs/>
          <w:caps/>
          <w:szCs w:val="22"/>
          <w:highlight w:val="yellow"/>
        </w:rPr>
        <w:fldChar w:fldCharType="separate"/>
      </w:r>
      <w:r>
        <w:rPr>
          <w:rFonts w:hint="eastAsia"/>
          <w:highlight w:val="none"/>
        </w:rPr>
        <w:t>第五章</w:t>
      </w:r>
      <w:r>
        <w:rPr>
          <w:highlight w:val="none"/>
        </w:rPr>
        <w:t xml:space="preserve"> </w:t>
      </w:r>
      <w:r>
        <w:rPr>
          <w:rFonts w:hint="eastAsia"/>
          <w:highlight w:val="none"/>
        </w:rPr>
        <w:t>拟签订的合同文本</w:t>
      </w:r>
      <w:r>
        <w:tab/>
      </w:r>
      <w:r>
        <w:fldChar w:fldCharType="begin"/>
      </w:r>
      <w:r>
        <w:instrText xml:space="preserve"> PAGEREF _Toc5600 \h </w:instrText>
      </w:r>
      <w:r>
        <w:fldChar w:fldCharType="separate"/>
      </w:r>
      <w:r>
        <w:t>58</w:t>
      </w:r>
      <w:r>
        <w:fldChar w:fldCharType="end"/>
      </w:r>
      <w:r>
        <w:rPr>
          <w:rFonts w:hint="eastAsia" w:ascii="宋体" w:hAnsi="宋体" w:eastAsia="宋体" w:cs="宋体"/>
          <w:bCs/>
          <w:caps/>
          <w:szCs w:val="22"/>
          <w:highlight w:val="yellow"/>
          <w:u w:val="single"/>
        </w:rPr>
        <w:fldChar w:fldCharType="end"/>
      </w:r>
    </w:p>
    <w:p>
      <w:pPr>
        <w:pStyle w:val="21"/>
        <w:tabs>
          <w:tab w:val="right" w:leader="dot" w:pos="9638"/>
        </w:tabs>
      </w:pPr>
      <w:r>
        <w:rPr>
          <w:rFonts w:hint="eastAsia" w:ascii="宋体" w:hAnsi="宋体" w:eastAsia="宋体" w:cs="宋体"/>
          <w:bCs/>
          <w:caps/>
          <w:szCs w:val="22"/>
          <w:highlight w:val="yellow"/>
          <w:u w:val="single"/>
        </w:rPr>
        <w:fldChar w:fldCharType="begin"/>
      </w:r>
      <w:r>
        <w:rPr>
          <w:rFonts w:hint="eastAsia" w:ascii="宋体" w:hAnsi="宋体" w:eastAsia="宋体" w:cs="宋体"/>
          <w:bCs/>
          <w:caps/>
          <w:szCs w:val="22"/>
          <w:highlight w:val="yellow"/>
        </w:rPr>
        <w:instrText xml:space="preserve"> HYPERLINK \l _Toc20933 </w:instrText>
      </w:r>
      <w:r>
        <w:rPr>
          <w:rFonts w:hint="eastAsia" w:ascii="宋体" w:hAnsi="宋体" w:eastAsia="宋体" w:cs="宋体"/>
          <w:bCs/>
          <w:caps/>
          <w:szCs w:val="22"/>
          <w:highlight w:val="yellow"/>
        </w:rPr>
        <w:fldChar w:fldCharType="separate"/>
      </w:r>
      <w:r>
        <w:rPr>
          <w:rFonts w:hint="eastAsia"/>
        </w:rPr>
        <w:t>第六章</w:t>
      </w:r>
      <w:r>
        <w:t xml:space="preserve"> </w:t>
      </w:r>
      <w:r>
        <w:rPr>
          <w:rFonts w:hint="eastAsia"/>
        </w:rPr>
        <w:t>投标文件格式</w:t>
      </w:r>
      <w:r>
        <w:tab/>
      </w:r>
      <w:r>
        <w:fldChar w:fldCharType="begin"/>
      </w:r>
      <w:r>
        <w:instrText xml:space="preserve"> PAGEREF _Toc20933 \h </w:instrText>
      </w:r>
      <w:r>
        <w:fldChar w:fldCharType="separate"/>
      </w:r>
      <w:r>
        <w:t>60</w:t>
      </w:r>
      <w:r>
        <w:fldChar w:fldCharType="end"/>
      </w:r>
      <w:r>
        <w:rPr>
          <w:rFonts w:hint="eastAsia" w:ascii="宋体" w:hAnsi="宋体" w:eastAsia="宋体" w:cs="宋体"/>
          <w:bCs/>
          <w:caps/>
          <w:szCs w:val="22"/>
          <w:highlight w:val="yellow"/>
          <w:u w:val="single"/>
        </w:rPr>
        <w:fldChar w:fldCharType="end"/>
      </w:r>
    </w:p>
    <w:p>
      <w:pPr>
        <w:pStyle w:val="21"/>
        <w:tabs>
          <w:tab w:val="right" w:leader="dot" w:pos="9638"/>
        </w:tabs>
      </w:pPr>
      <w:r>
        <w:rPr>
          <w:rFonts w:hint="eastAsia" w:ascii="宋体" w:hAnsi="宋体" w:eastAsia="宋体" w:cs="宋体"/>
          <w:bCs/>
          <w:caps/>
          <w:szCs w:val="22"/>
          <w:highlight w:val="yellow"/>
          <w:u w:val="single"/>
        </w:rPr>
        <w:fldChar w:fldCharType="begin"/>
      </w:r>
      <w:r>
        <w:rPr>
          <w:rFonts w:hint="eastAsia" w:ascii="宋体" w:hAnsi="宋体" w:eastAsia="宋体" w:cs="宋体"/>
          <w:bCs/>
          <w:caps/>
          <w:szCs w:val="22"/>
          <w:highlight w:val="yellow"/>
        </w:rPr>
        <w:instrText xml:space="preserve"> HYPERLINK \l _Toc18932 </w:instrText>
      </w:r>
      <w:r>
        <w:rPr>
          <w:rFonts w:hint="eastAsia" w:ascii="宋体" w:hAnsi="宋体" w:eastAsia="宋体" w:cs="宋体"/>
          <w:bCs/>
          <w:caps/>
          <w:szCs w:val="22"/>
          <w:highlight w:val="yellow"/>
        </w:rPr>
        <w:fldChar w:fldCharType="separate"/>
      </w:r>
      <w:r>
        <w:rPr>
          <w:rFonts w:hint="eastAsia" w:ascii="Times New Roman" w:hAnsi="Times New Roman"/>
          <w:highlight w:val="none"/>
        </w:rPr>
        <w:t>第七章</w:t>
      </w:r>
      <w:r>
        <w:rPr>
          <w:rFonts w:ascii="Times New Roman" w:hAnsi="Times New Roman"/>
          <w:highlight w:val="none"/>
        </w:rPr>
        <w:t xml:space="preserve"> </w:t>
      </w:r>
      <w:r>
        <w:rPr>
          <w:rFonts w:hint="eastAsia" w:ascii="Times New Roman" w:hAnsi="Times New Roman"/>
          <w:highlight w:val="none"/>
        </w:rPr>
        <w:t>质疑、投诉证明</w:t>
      </w:r>
      <w:r>
        <w:rPr>
          <w:rFonts w:hint="eastAsia" w:ascii="Times New Roman" w:hAnsi="Times New Roman"/>
          <w:highlight w:val="none"/>
          <w:lang w:eastAsia="zh-CN"/>
        </w:rPr>
        <w:t>等其他</w:t>
      </w:r>
      <w:r>
        <w:rPr>
          <w:rFonts w:hint="eastAsia" w:ascii="Times New Roman" w:hAnsi="Times New Roman"/>
          <w:highlight w:val="none"/>
        </w:rPr>
        <w:t>材料格式</w:t>
      </w:r>
      <w:r>
        <w:tab/>
      </w:r>
      <w:r>
        <w:fldChar w:fldCharType="begin"/>
      </w:r>
      <w:r>
        <w:instrText xml:space="preserve"> PAGEREF _Toc18932 \h </w:instrText>
      </w:r>
      <w:r>
        <w:fldChar w:fldCharType="separate"/>
      </w:r>
      <w:r>
        <w:t>81</w:t>
      </w:r>
      <w:r>
        <w:fldChar w:fldCharType="end"/>
      </w:r>
      <w:r>
        <w:rPr>
          <w:rFonts w:hint="eastAsia" w:ascii="宋体" w:hAnsi="宋体" w:eastAsia="宋体" w:cs="宋体"/>
          <w:bCs/>
          <w:caps/>
          <w:szCs w:val="22"/>
          <w:highlight w:val="yellow"/>
          <w:u w:val="single"/>
        </w:rPr>
        <w:fldChar w:fldCharType="end"/>
      </w:r>
    </w:p>
    <w:p>
      <w:pPr>
        <w:pStyle w:val="25"/>
        <w:tabs>
          <w:tab w:val="right" w:leader="dot" w:pos="9638"/>
        </w:tabs>
      </w:pPr>
    </w:p>
    <w:p>
      <w:pPr>
        <w:pStyle w:val="15"/>
        <w:jc w:val="center"/>
        <w:rPr>
          <w:rFonts w:hint="eastAsia" w:ascii="宋体" w:hAnsi="宋体" w:eastAsia="宋体" w:cs="宋体"/>
          <w:b/>
          <w:sz w:val="22"/>
          <w:szCs w:val="22"/>
          <w:highlight w:val="yellow"/>
        </w:rPr>
      </w:pPr>
      <w:r>
        <w:rPr>
          <w:rFonts w:hint="eastAsia" w:ascii="宋体" w:hAnsi="宋体" w:eastAsia="宋体" w:cs="宋体"/>
          <w:bCs/>
          <w:caps/>
          <w:szCs w:val="22"/>
          <w:highlight w:val="yellow"/>
          <w:u w:val="single"/>
        </w:rPr>
        <w:fldChar w:fldCharType="end"/>
      </w:r>
      <w:bookmarkStart w:id="0" w:name="_Toc532545041"/>
    </w:p>
    <w:p>
      <w:pPr>
        <w:rPr>
          <w:rFonts w:hint="eastAsia" w:ascii="Times New Roman" w:hAnsi="Times New Roman"/>
          <w:b/>
          <w:sz w:val="36"/>
          <w:highlight w:val="yellow"/>
        </w:rPr>
      </w:pPr>
      <w:r>
        <w:rPr>
          <w:rFonts w:hint="eastAsia" w:ascii="Times New Roman" w:hAnsi="Times New Roman"/>
          <w:b/>
          <w:sz w:val="36"/>
          <w:highlight w:val="yellow"/>
        </w:rPr>
        <w:br w:type="page"/>
      </w:r>
    </w:p>
    <w:p>
      <w:pPr>
        <w:pStyle w:val="4"/>
        <w:bidi w:val="0"/>
        <w:jc w:val="center"/>
      </w:pPr>
      <w:bookmarkStart w:id="1" w:name="_Toc4391"/>
      <w:r>
        <w:rPr>
          <w:rFonts w:hint="eastAsia"/>
        </w:rPr>
        <w:t>第一章</w:t>
      </w:r>
      <w:r>
        <w:t xml:space="preserve">  </w:t>
      </w:r>
      <w:r>
        <w:rPr>
          <w:rFonts w:hint="eastAsia"/>
        </w:rPr>
        <w:t>招标公告</w:t>
      </w:r>
      <w:bookmarkEnd w:id="0"/>
      <w:bookmarkEnd w:id="1"/>
    </w:p>
    <w:p>
      <w:pPr>
        <w:pStyle w:val="15"/>
        <w:jc w:val="center"/>
        <w:rPr>
          <w:rFonts w:hint="eastAsia" w:ascii="Times New Roman" w:hAnsi="Times New Roman"/>
          <w:b/>
          <w:sz w:val="30"/>
          <w:szCs w:val="30"/>
          <w:highlight w:val="yellow"/>
        </w:rPr>
      </w:pP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bookmarkStart w:id="2" w:name="_Toc28359079"/>
      <w:bookmarkStart w:id="3" w:name="_Toc35393621"/>
      <w:bookmarkStart w:id="4" w:name="_Toc35393790"/>
      <w:bookmarkStart w:id="5" w:name="_Toc28359002"/>
      <w:bookmarkStart w:id="6" w:name="_Hlk24379207"/>
      <w:r>
        <w:rPr>
          <w:rFonts w:hint="eastAsia" w:ascii="宋体" w:hAnsi="宋体"/>
          <w:szCs w:val="21"/>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Style w:val="46"/>
          <w:rFonts w:hint="eastAsia"/>
          <w:color w:val="000000" w:themeColor="text1"/>
          <w:sz w:val="21"/>
          <w:szCs w:val="21"/>
          <w:highlight w:val="none"/>
          <w:u w:val="single"/>
          <w14:textFill>
            <w14:solidFill>
              <w14:schemeClr w14:val="tx1"/>
            </w14:solidFill>
          </w14:textFill>
        </w:rPr>
        <w:t>贺州市城东体育综合体及周边基础配套设施（一期）PPP项目</w:t>
      </w:r>
      <w:r>
        <w:rPr>
          <w:rFonts w:hint="eastAsia" w:ascii="宋体" w:hAnsi="宋体"/>
          <w:color w:val="000000" w:themeColor="text1"/>
          <w:szCs w:val="21"/>
          <w:highlight w:val="none"/>
          <w14:textFill>
            <w14:solidFill>
              <w14:schemeClr w14:val="tx1"/>
            </w14:solidFill>
          </w14:textFill>
        </w:rPr>
        <w:t>的潜在投标人应在“政采云”平台（https://www.zcygov.cn）获取（下载）招标文件，并于</w:t>
      </w:r>
      <w:r>
        <w:rPr>
          <w:rFonts w:hint="eastAsia" w:ascii="宋体" w:hAnsi="宋体"/>
          <w:color w:val="000000" w:themeColor="text1"/>
          <w:szCs w:val="21"/>
          <w:highlight w:val="none"/>
          <w:u w:val="single"/>
          <w:lang w:val="en-US" w:eastAsia="zh-CN"/>
          <w14:textFill>
            <w14:solidFill>
              <w14:schemeClr w14:val="tx1"/>
            </w14:solidFill>
          </w14:textFill>
        </w:rPr>
        <w:t>2023</w:t>
      </w:r>
      <w:r>
        <w:rPr>
          <w:rFonts w:hint="eastAsia" w:ascii="宋体" w:hAnsi="宋体"/>
          <w:bCs/>
          <w:color w:val="000000" w:themeColor="text1"/>
          <w:szCs w:val="21"/>
          <w:highlight w:val="none"/>
          <w:u w:val="single"/>
          <w14:textFill>
            <w14:solidFill>
              <w14:schemeClr w14:val="tx1"/>
            </w14:solidFill>
          </w14:textFill>
        </w:rPr>
        <w:t>年</w:t>
      </w:r>
      <w:r>
        <w:rPr>
          <w:rFonts w:hint="eastAsia" w:ascii="宋体" w:hAnsi="宋体"/>
          <w:bCs/>
          <w:color w:val="000000" w:themeColor="text1"/>
          <w:szCs w:val="21"/>
          <w:highlight w:val="none"/>
          <w:u w:val="single"/>
          <w:lang w:val="en-US" w:eastAsia="zh-CN"/>
          <w14:textFill>
            <w14:solidFill>
              <w14:schemeClr w14:val="tx1"/>
            </w14:solidFill>
          </w14:textFill>
        </w:rPr>
        <w:t>2</w:t>
      </w:r>
      <w:r>
        <w:rPr>
          <w:rFonts w:hint="eastAsia" w:ascii="宋体" w:hAnsi="宋体"/>
          <w:bCs/>
          <w:color w:val="000000" w:themeColor="text1"/>
          <w:szCs w:val="21"/>
          <w:highlight w:val="none"/>
          <w:u w:val="single"/>
          <w14:textFill>
            <w14:solidFill>
              <w14:schemeClr w14:val="tx1"/>
            </w14:solidFill>
          </w14:textFill>
        </w:rPr>
        <w:t>月</w:t>
      </w:r>
      <w:r>
        <w:rPr>
          <w:rFonts w:hint="eastAsia" w:ascii="宋体" w:hAnsi="宋体"/>
          <w:bCs/>
          <w:color w:val="000000" w:themeColor="text1"/>
          <w:szCs w:val="21"/>
          <w:highlight w:val="none"/>
          <w:u w:val="single"/>
          <w:lang w:val="en-US" w:eastAsia="zh-CN"/>
          <w14:textFill>
            <w14:solidFill>
              <w14:schemeClr w14:val="tx1"/>
            </w14:solidFill>
          </w14:textFill>
        </w:rPr>
        <w:t>9</w:t>
      </w:r>
      <w:r>
        <w:rPr>
          <w:rFonts w:hint="eastAsia" w:ascii="宋体" w:hAnsi="宋体"/>
          <w:bCs/>
          <w:color w:val="000000" w:themeColor="text1"/>
          <w:szCs w:val="21"/>
          <w:highlight w:val="none"/>
          <w:u w:val="single"/>
          <w14:textFill>
            <w14:solidFill>
              <w14:schemeClr w14:val="tx1"/>
            </w14:solidFill>
          </w14:textFill>
        </w:rPr>
        <w:t>日</w:t>
      </w:r>
      <w:r>
        <w:rPr>
          <w:rFonts w:hint="eastAsia" w:ascii="宋体" w:hAnsi="宋体"/>
          <w:bCs/>
          <w:color w:val="000000" w:themeColor="text1"/>
          <w:szCs w:val="21"/>
          <w:highlight w:val="none"/>
          <w:u w:val="single"/>
          <w:lang w:val="en-US" w:eastAsia="zh-CN"/>
          <w14:textFill>
            <w14:solidFill>
              <w14:schemeClr w14:val="tx1"/>
            </w14:solidFill>
          </w14:textFill>
        </w:rPr>
        <w:t>9</w:t>
      </w:r>
      <w:r>
        <w:rPr>
          <w:rFonts w:hint="eastAsia" w:ascii="宋体" w:hAnsi="宋体"/>
          <w:bCs/>
          <w:color w:val="000000" w:themeColor="text1"/>
          <w:szCs w:val="21"/>
          <w:highlight w:val="none"/>
          <w:u w:val="single"/>
          <w14:textFill>
            <w14:solidFill>
              <w14:schemeClr w14:val="tx1"/>
            </w14:solidFill>
          </w14:textFill>
        </w:rPr>
        <w:t>时</w:t>
      </w:r>
      <w:r>
        <w:rPr>
          <w:rFonts w:hint="eastAsia" w:ascii="宋体" w:hAnsi="宋体"/>
          <w:bCs/>
          <w:color w:val="000000" w:themeColor="text1"/>
          <w:szCs w:val="21"/>
          <w:highlight w:val="none"/>
          <w:u w:val="single"/>
          <w:lang w:val="en-US" w:eastAsia="zh-CN"/>
          <w14:textFill>
            <w14:solidFill>
              <w14:schemeClr w14:val="tx1"/>
            </w14:solidFill>
          </w14:textFill>
        </w:rPr>
        <w:t>00</w:t>
      </w:r>
      <w:r>
        <w:rPr>
          <w:rFonts w:hint="eastAsia" w:ascii="宋体" w:hAnsi="宋体"/>
          <w:bCs/>
          <w:color w:val="000000" w:themeColor="text1"/>
          <w:szCs w:val="21"/>
          <w:highlight w:val="none"/>
          <w:u w:val="single"/>
          <w14:textFill>
            <w14:solidFill>
              <w14:schemeClr w14:val="tx1"/>
            </w14:solidFill>
          </w14:textFill>
        </w:rPr>
        <w:t>分（</w:t>
      </w:r>
      <w:r>
        <w:rPr>
          <w:rFonts w:hint="eastAsia" w:ascii="宋体" w:hAnsi="宋体"/>
          <w:bCs/>
          <w:color w:val="000000" w:themeColor="text1"/>
          <w:szCs w:val="21"/>
          <w:highlight w:val="none"/>
          <w14:textFill>
            <w14:solidFill>
              <w14:schemeClr w14:val="tx1"/>
            </w14:solidFill>
          </w14:textFill>
        </w:rPr>
        <w:t>北京时间）前按要求递交（上传）投标</w:t>
      </w:r>
      <w:r>
        <w:rPr>
          <w:rFonts w:ascii="宋体" w:hAnsi="宋体"/>
          <w:bCs/>
          <w:color w:val="000000" w:themeColor="text1"/>
          <w:szCs w:val="21"/>
          <w:highlight w:val="none"/>
          <w14:textFill>
            <w14:solidFill>
              <w14:schemeClr w14:val="tx1"/>
            </w14:solidFill>
          </w14:textFill>
        </w:rPr>
        <w:t>文件</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pacing w:line="460" w:lineRule="exact"/>
        <w:textAlignment w:val="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一、项目基本情况</w:t>
      </w:r>
      <w:bookmarkEnd w:id="2"/>
      <w:bookmarkEnd w:id="3"/>
      <w:bookmarkEnd w:id="4"/>
      <w:bookmarkEnd w:id="5"/>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HZZC2022-G3-020158-YZLZ</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val="zh-CN"/>
          <w14:textFill>
            <w14:solidFill>
              <w14:schemeClr w14:val="tx1"/>
            </w14:solidFill>
          </w14:textFill>
        </w:rPr>
        <w:t>贺州市城东体育综合体及周边基础配套设施（一期）PPP项目</w:t>
      </w:r>
    </w:p>
    <w:bookmarkEnd w:id="6"/>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Style w:val="46"/>
          <w:color w:val="000000" w:themeColor="text1"/>
          <w:sz w:val="21"/>
          <w:szCs w:val="21"/>
          <w:highlight w:val="none"/>
          <w14:textFill>
            <w14:solidFill>
              <w14:schemeClr w14:val="tx1"/>
            </w14:solidFill>
          </w14:textFill>
        </w:rPr>
        <w:t>预算金额</w:t>
      </w:r>
      <w:r>
        <w:rPr>
          <w:rStyle w:val="46"/>
          <w:rFonts w:hint="eastAsia"/>
          <w:color w:val="000000" w:themeColor="text1"/>
          <w:sz w:val="21"/>
          <w:szCs w:val="21"/>
          <w:highlight w:val="none"/>
          <w:lang w:eastAsia="zh-CN"/>
          <w14:textFill>
            <w14:solidFill>
              <w14:schemeClr w14:val="tx1"/>
            </w14:solidFill>
          </w14:textFill>
        </w:rPr>
        <w:t>（项目总投资）</w:t>
      </w:r>
      <w:r>
        <w:rPr>
          <w:rFonts w:hint="eastAsia" w:ascii="宋体" w:hAnsi="宋体"/>
          <w:color w:val="000000" w:themeColor="text1"/>
          <w:szCs w:val="21"/>
          <w:highlight w:val="none"/>
          <w:lang w:val="zh-CN"/>
          <w14:textFill>
            <w14:solidFill>
              <w14:schemeClr w14:val="tx1"/>
            </w14:solidFill>
          </w14:textFill>
        </w:rPr>
        <w:t>：139942.37万元   </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最高限价:139942.37万元</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建安工程费下浮率</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0</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年投资收益率</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7</w:t>
      </w:r>
      <w:r>
        <w:rPr>
          <w:rFonts w:hint="eastAsia" w:ascii="宋体" w:hAnsi="宋体" w:cs="Times New Roman"/>
          <w:color w:val="000000" w:themeColor="text1"/>
          <w:szCs w:val="2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采购需求：</w:t>
      </w:r>
    </w:p>
    <w:tbl>
      <w:tblPr>
        <w:tblStyle w:val="32"/>
        <w:tblW w:w="983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8"/>
        <w:gridCol w:w="2426"/>
        <w:gridCol w:w="971"/>
        <w:gridCol w:w="5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835"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46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分标；预算金额：</w:t>
            </w:r>
            <w:r>
              <w:rPr>
                <w:rStyle w:val="46"/>
                <w:rFonts w:hint="eastAsia"/>
                <w:color w:val="000000" w:themeColor="text1"/>
                <w:sz w:val="21"/>
                <w:szCs w:val="21"/>
                <w:highlight w:val="none"/>
                <w14:textFill>
                  <w14:solidFill>
                    <w14:schemeClr w14:val="tx1"/>
                  </w14:solidFill>
                </w14:textFill>
              </w:rPr>
              <w:t>139942.37万元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24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标的的名称</w:t>
            </w:r>
          </w:p>
        </w:tc>
        <w:tc>
          <w:tcPr>
            <w:tcW w:w="9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数量及</w:t>
            </w:r>
          </w:p>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5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简要技术需求或者服务要求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01</w:t>
            </w:r>
          </w:p>
        </w:tc>
        <w:tc>
          <w:tcPr>
            <w:tcW w:w="242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zh-CN"/>
                <w14:textFill>
                  <w14:solidFill>
                    <w14:schemeClr w14:val="tx1"/>
                  </w14:solidFill>
                </w14:textFill>
              </w:rPr>
              <w:t>贺州市城东体育综合体及周边基础配套设施（一期）PPP项目</w:t>
            </w:r>
          </w:p>
        </w:tc>
        <w:tc>
          <w:tcPr>
            <w:tcW w:w="9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jc w:val="center"/>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1项</w:t>
            </w:r>
          </w:p>
        </w:tc>
        <w:tc>
          <w:tcPr>
            <w:tcW w:w="5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60" w:lineRule="exact"/>
              <w:textAlignment w:val="auto"/>
              <w:rPr>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贺州市城东体育综合体及周边基础配套设施（一期）PPP项目</w:t>
            </w:r>
            <w:r>
              <w:rPr>
                <w:rFonts w:hint="eastAsia" w:ascii="宋体" w:hAnsi="宋体" w:eastAsia="宋体" w:cs="宋体"/>
                <w:color w:val="000000" w:themeColor="text1"/>
                <w:sz w:val="21"/>
                <w:szCs w:val="21"/>
                <w:highlight w:val="none"/>
                <w:lang w:eastAsia="zh-CN"/>
                <w14:textFill>
                  <w14:solidFill>
                    <w14:schemeClr w14:val="tx1"/>
                  </w14:solidFill>
                </w14:textFill>
              </w:rPr>
              <w:t>拟采购</w:t>
            </w:r>
            <w:r>
              <w:rPr>
                <w:rFonts w:hint="eastAsia" w:ascii="宋体" w:hAnsi="宋体" w:eastAsia="宋体" w:cs="宋体"/>
                <w:color w:val="000000" w:themeColor="text1"/>
                <w:sz w:val="21"/>
                <w:szCs w:val="21"/>
                <w:highlight w:val="none"/>
                <w14:textFill>
                  <w14:solidFill>
                    <w14:schemeClr w14:val="tx1"/>
                  </w14:solidFill>
                </w14:textFill>
              </w:rPr>
              <w:t>社会资本方。</w:t>
            </w:r>
          </w:p>
          <w:p>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cs="宋体"/>
                <w:color w:val="000000" w:themeColor="text1"/>
                <w:sz w:val="21"/>
                <w:szCs w:val="21"/>
                <w:highlight w:val="none"/>
                <w:lang w:val="en-US" w:eastAsia="zh-CN" w:bidi="ar-SA"/>
                <w14:textFill>
                  <w14:solidFill>
                    <w14:schemeClr w14:val="tx1"/>
                  </w14:solidFill>
                </w14:textFill>
              </w:rPr>
            </w:pPr>
            <w:r>
              <w:rPr>
                <w:rFonts w:hint="eastAsia" w:ascii="宋体" w:hAnsi="宋体" w:cs="宋体"/>
                <w:b/>
                <w:bCs/>
                <w:color w:val="000000" w:themeColor="text1"/>
                <w:sz w:val="21"/>
                <w:szCs w:val="21"/>
                <w:highlight w:val="none"/>
                <w:lang w:val="en-US" w:eastAsia="zh-CN" w:bidi="ar-SA"/>
                <w14:textFill>
                  <w14:solidFill>
                    <w14:schemeClr w14:val="tx1"/>
                  </w14:solidFill>
                </w14:textFill>
              </w:rPr>
              <w:t>合作范围：</w:t>
            </w:r>
            <w:r>
              <w:rPr>
                <w:rFonts w:hint="eastAsia" w:ascii="宋体" w:hAnsi="宋体" w:cs="宋体"/>
                <w:color w:val="000000" w:themeColor="text1"/>
                <w:sz w:val="21"/>
                <w:szCs w:val="21"/>
                <w:highlight w:val="none"/>
                <w:lang w:val="en-US" w:eastAsia="zh-CN" w:bidi="ar-SA"/>
                <w14:textFill>
                  <w14:solidFill>
                    <w14:schemeClr w14:val="tx1"/>
                  </w14:solidFill>
                </w14:textFill>
              </w:rPr>
              <w:t>本项目合作范围包括贺州市城东体育综合体项目及周边配套基础设施达美中路及东环路、江北东路、达美北路、临贺大道道路提升改造工程等 5 个子项组成，由社会资本方负责投融资、建设和运营维护及期满移交。</w:t>
            </w:r>
          </w:p>
          <w:p>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cs="宋体"/>
                <w:color w:val="000000" w:themeColor="text1"/>
                <w:sz w:val="21"/>
                <w:szCs w:val="21"/>
                <w:highlight w:val="none"/>
                <w:lang w:val="en-US" w:eastAsia="zh-CN" w:bidi="ar-SA"/>
                <w14:textFill>
                  <w14:solidFill>
                    <w14:schemeClr w14:val="tx1"/>
                  </w14:solidFill>
                </w14:textFill>
              </w:rPr>
            </w:pPr>
            <w:r>
              <w:rPr>
                <w:rFonts w:hint="eastAsia" w:ascii="宋体" w:hAnsi="宋体" w:cs="宋体"/>
                <w:b/>
                <w:bCs/>
                <w:color w:val="000000" w:themeColor="text1"/>
                <w:sz w:val="21"/>
                <w:szCs w:val="21"/>
                <w:highlight w:val="none"/>
                <w:lang w:val="en-US" w:eastAsia="zh-CN" w:bidi="ar-SA"/>
                <w14:textFill>
                  <w14:solidFill>
                    <w14:schemeClr w14:val="tx1"/>
                  </w14:solidFill>
                </w14:textFill>
              </w:rPr>
              <w:t>投融资范围：</w:t>
            </w:r>
            <w:r>
              <w:rPr>
                <w:rFonts w:hint="eastAsia" w:ascii="宋体" w:hAnsi="宋体" w:cs="宋体"/>
                <w:color w:val="000000" w:themeColor="text1"/>
                <w:sz w:val="21"/>
                <w:szCs w:val="21"/>
                <w:highlight w:val="none"/>
                <w:lang w:val="en-US" w:eastAsia="zh-CN" w:bidi="ar-SA"/>
                <w14:textFill>
                  <w14:solidFill>
                    <w14:schemeClr w14:val="tx1"/>
                  </w14:solidFill>
                </w14:textFill>
              </w:rPr>
              <w:t xml:space="preserve">项目总投资为 139,942.37 万元，其中：工程费 </w:t>
            </w:r>
          </w:p>
          <w:p>
            <w:pPr>
              <w:keepNext w:val="0"/>
              <w:keepLines w:val="0"/>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cs="宋体"/>
                <w:color w:val="000000" w:themeColor="text1"/>
                <w:sz w:val="21"/>
                <w:szCs w:val="21"/>
                <w:highlight w:val="none"/>
                <w:lang w:val="en-US" w:eastAsia="zh-CN" w:bidi="ar-SA"/>
                <w14:textFill>
                  <w14:solidFill>
                    <w14:schemeClr w14:val="tx1"/>
                  </w14:solidFill>
                </w14:textFill>
              </w:rPr>
            </w:pPr>
            <w:r>
              <w:rPr>
                <w:rFonts w:hint="eastAsia" w:ascii="宋体" w:hAnsi="宋体" w:cs="宋体"/>
                <w:color w:val="000000" w:themeColor="text1"/>
                <w:sz w:val="21"/>
                <w:szCs w:val="21"/>
                <w:highlight w:val="none"/>
                <w:lang w:val="en-US" w:eastAsia="zh-CN" w:bidi="ar-SA"/>
                <w14:textFill>
                  <w14:solidFill>
                    <w14:schemeClr w14:val="tx1"/>
                  </w14:solidFill>
                </w14:textFill>
              </w:rPr>
              <w:t xml:space="preserve">89,744.02 万元，工程建设其他费 35,031.43 万元（含征地拆迁费 22,773.82），预备费 9,809.40 万元、建设期利息 5,357.52 万元。 </w:t>
            </w:r>
          </w:p>
          <w:p>
            <w:pPr>
              <w:pStyle w:val="2"/>
              <w:keepNext w:val="0"/>
              <w:keepLines w:val="0"/>
              <w:pageBreakBefore w:val="0"/>
              <w:widowControl w:val="0"/>
              <w:kinsoku/>
              <w:wordWrap/>
              <w:overflowPunct/>
              <w:topLinePunct w:val="0"/>
              <w:autoSpaceDE/>
              <w:autoSpaceDN/>
              <w:bidi w:val="0"/>
              <w:adjustRightInd/>
              <w:snapToGrid/>
              <w:spacing w:after="0" w:line="460" w:lineRule="exact"/>
              <w:textAlignment w:val="auto"/>
              <w:rPr>
                <w:rFonts w:hint="eastAsia"/>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投融资结构：</w:t>
            </w:r>
            <w:r>
              <w:rPr>
                <w:rFonts w:hint="eastAsia"/>
                <w:color w:val="000000" w:themeColor="text1"/>
                <w:highlight w:val="none"/>
                <w:lang w:val="en-US" w:eastAsia="zh-CN"/>
                <w14:textFill>
                  <w14:solidFill>
                    <w14:schemeClr w14:val="tx1"/>
                  </w14:solidFill>
                </w14:textFill>
              </w:rPr>
              <w:t>（1）股权比例：政府出资代表与中标社会资本方股权比例为 35%：65%。 （2）项目资本金：总投资的 20%。由政府出资代表与社会资本方按 35%：65%的股权比例以自有资金或等价物的方式出资；资本金在建设期两年内按持股比例出资到位，第一年出资60%、第二年出资40%；首期须在项目公司成立后 30 天内注入金额 3000 万元,甲方根据《国务院关于固定资产投资项目试行资本金制度的通知》（国发〔1996〕35 号）等政策法规规定，可采用货币、实物、工业产权、非专利技术、土地使用权作价等方式出资。（3）融资资金：项目总投资的 80%，111,954 万元，由项目公司通过银行贷款等方式解决。政府对项目公司的融资，不提供担保函、承诺函等任何形式的举债担保，也不承诺为项目公司的融资承担偿还责任。</w:t>
            </w:r>
          </w:p>
          <w:p>
            <w:pPr>
              <w:pStyle w:val="2"/>
              <w:keepNext w:val="0"/>
              <w:keepLines w:val="0"/>
              <w:pageBreakBefore w:val="0"/>
              <w:widowControl w:val="0"/>
              <w:kinsoku/>
              <w:wordWrap/>
              <w:overflowPunct/>
              <w:topLinePunct w:val="0"/>
              <w:autoSpaceDE/>
              <w:autoSpaceDN/>
              <w:bidi w:val="0"/>
              <w:adjustRightInd/>
              <w:snapToGrid/>
              <w:spacing w:after="0" w:line="460" w:lineRule="exact"/>
              <w:textAlignment w:val="auto"/>
              <w:rPr>
                <w:rFonts w:ascii="宋体" w:hAnsi="宋体"/>
                <w:color w:val="000000" w:themeColor="text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合作期满，项目设施(含为项目设施正常运营所必须的各类项目设施、设备、各信息系统、维护手册等)应按照约定无偿移交给实施机构或其指定机构。且项目公司需确保移交的项目设施不存在任何抵押、质押等权益或产权约束，亦不得存在任何种类和性质的索赔权。</w:t>
            </w:r>
          </w:p>
        </w:tc>
      </w:tr>
    </w:tbl>
    <w:p>
      <w:pPr>
        <w:keepNext w:val="0"/>
        <w:keepLines w:val="0"/>
        <w:pageBreakBefore w:val="0"/>
        <w:kinsoku/>
        <w:wordWrap/>
        <w:overflowPunct/>
        <w:topLinePunct w:val="0"/>
        <w:autoSpaceDE/>
        <w:autoSpaceDN/>
        <w:bidi w:val="0"/>
        <w:adjustRightInd/>
        <w:spacing w:line="460" w:lineRule="exact"/>
        <w:ind w:firstLine="420" w:firstLineChars="200"/>
        <w:textAlignment w:val="auto"/>
        <w:rPr>
          <w:rStyle w:val="46"/>
          <w:color w:val="000000" w:themeColor="text1"/>
          <w:sz w:val="2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Style w:val="46"/>
          <w:rFonts w:hint="eastAsia"/>
          <w:color w:val="000000" w:themeColor="text1"/>
          <w:sz w:val="21"/>
          <w:highlight w:val="none"/>
          <w14:textFill>
            <w14:solidFill>
              <w14:schemeClr w14:val="tx1"/>
            </w14:solidFill>
          </w14:textFill>
        </w:rPr>
        <w:t>整体合作期 17年，其中，建设期 2 年，运营期15年。</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本项目（是）接受联合体投标。</w:t>
      </w:r>
    </w:p>
    <w:p>
      <w:pPr>
        <w:keepNext w:val="0"/>
        <w:keepLines w:val="0"/>
        <w:pageBreakBefore w:val="0"/>
        <w:kinsoku/>
        <w:wordWrap/>
        <w:overflowPunct/>
        <w:topLinePunct w:val="0"/>
        <w:autoSpaceDE/>
        <w:autoSpaceDN/>
        <w:bidi w:val="0"/>
        <w:adjustRightInd/>
        <w:spacing w:line="460" w:lineRule="exact"/>
        <w:textAlignment w:val="auto"/>
        <w:rPr>
          <w:rFonts w:ascii="黑体" w:hAnsi="黑体" w:eastAsia="黑体"/>
          <w:b/>
          <w:bCs/>
          <w:color w:val="000000" w:themeColor="text1"/>
          <w:sz w:val="24"/>
          <w:highlight w:val="none"/>
          <w14:textFill>
            <w14:solidFill>
              <w14:schemeClr w14:val="tx1"/>
            </w14:solidFill>
          </w14:textFill>
        </w:rPr>
      </w:pPr>
      <w:bookmarkStart w:id="7" w:name="_Toc28359080"/>
      <w:bookmarkStart w:id="8" w:name="_Toc35393791"/>
      <w:bookmarkStart w:id="9" w:name="_Toc28359003"/>
      <w:bookmarkStart w:id="10" w:name="_Toc35393622"/>
      <w:r>
        <w:rPr>
          <w:rFonts w:hint="eastAsia" w:ascii="黑体" w:hAnsi="黑体" w:eastAsia="黑体"/>
          <w:b/>
          <w:bCs/>
          <w:color w:val="000000" w:themeColor="text1"/>
          <w:sz w:val="24"/>
          <w:highlight w:val="none"/>
          <w14:textFill>
            <w14:solidFill>
              <w14:schemeClr w14:val="tx1"/>
            </w14:solidFill>
          </w14:textFill>
        </w:rPr>
        <w:t>二、投标人的资格要求：</w:t>
      </w:r>
      <w:bookmarkEnd w:id="7"/>
      <w:bookmarkEnd w:id="8"/>
      <w:bookmarkEnd w:id="9"/>
      <w:bookmarkEnd w:id="10"/>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1.满足《中华人民共和国政府采购法》第二十二条规定；</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olor w:val="000000" w:themeColor="text1"/>
          <w:szCs w:val="21"/>
          <w:highlight w:val="none"/>
          <w14:textFill>
            <w14:solidFill>
              <w14:schemeClr w14:val="tx1"/>
            </w14:solidFill>
          </w14:textFill>
        </w:rPr>
      </w:pPr>
      <w:bookmarkStart w:id="11" w:name="_Toc28359081"/>
      <w:bookmarkStart w:id="12" w:name="_Toc28359004"/>
      <w:r>
        <w:rPr>
          <w:rFonts w:ascii="宋体" w:hAnsi="宋体"/>
          <w:color w:val="000000" w:themeColor="text1"/>
          <w:szCs w:val="21"/>
          <w:highlight w:val="none"/>
          <w14:textFill>
            <w14:solidFill>
              <w14:schemeClr w14:val="tx1"/>
            </w14:solidFill>
          </w14:textFill>
        </w:rPr>
        <w:t>2.落实政府采购政策需满足的资格要求：</w:t>
      </w:r>
      <w:r>
        <w:rPr>
          <w:rFonts w:hint="eastAsia" w:ascii="宋体" w:hAnsi="宋体"/>
          <w:color w:val="000000" w:themeColor="text1"/>
          <w:szCs w:val="21"/>
          <w:highlight w:val="none"/>
          <w14:textFill>
            <w14:solidFill>
              <w14:schemeClr w14:val="tx1"/>
            </w14:solidFill>
          </w14:textFill>
        </w:rPr>
        <w:t>无</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3.本项目的特定资格要求：</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邀请全部通过</w:t>
      </w:r>
      <w:r>
        <w:rPr>
          <w:rFonts w:hint="eastAsia" w:ascii="宋体" w:hAnsi="宋体"/>
          <w:color w:val="000000" w:themeColor="text1"/>
          <w:szCs w:val="21"/>
          <w:highlight w:val="none"/>
          <w:lang w:val="zh-CN" w:eastAsia="zh-CN"/>
          <w14:textFill>
            <w14:solidFill>
              <w14:schemeClr w14:val="tx1"/>
            </w14:solidFill>
          </w14:textFill>
        </w:rPr>
        <w:t>贺州市城东体育综合体及周边基础配套设施（一期）PPP项目</w:t>
      </w:r>
      <w:r>
        <w:rPr>
          <w:rFonts w:hint="eastAsia" w:ascii="宋体" w:hAnsi="宋体"/>
          <w:color w:val="000000" w:themeColor="text1"/>
          <w:szCs w:val="21"/>
          <w:highlight w:val="none"/>
          <w14:textFill>
            <w14:solidFill>
              <w14:schemeClr w14:val="tx1"/>
            </w14:solidFill>
          </w14:textFill>
        </w:rPr>
        <w:t>资格预审的供应商参加投标</w:t>
      </w:r>
      <w:r>
        <w:rPr>
          <w:rFonts w:hint="eastAsia" w:ascii="宋体" w:hAnsi="宋体"/>
          <w:color w:val="000000" w:themeColor="text1"/>
          <w:szCs w:val="21"/>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val="en-US" w:eastAsia="zh-CN"/>
          <w14:textFill>
            <w14:solidFill>
              <w14:schemeClr w14:val="tx1"/>
            </w14:solidFill>
          </w14:textFill>
        </w:rPr>
        <w:t>确定中标社会资本前，通过资格预审的申请人组织机构、财务能力、信誉情况等资格条件发生变化的，应当通知项目实施机构；该变化使其不再实质上满足资格预审文件中资格要求的，其投标不被接受。</w:t>
      </w:r>
    </w:p>
    <w:p>
      <w:pPr>
        <w:keepNext w:val="0"/>
        <w:keepLines w:val="0"/>
        <w:pageBreakBefore w:val="0"/>
        <w:kinsoku/>
        <w:wordWrap/>
        <w:overflowPunct/>
        <w:topLinePunct w:val="0"/>
        <w:autoSpaceDE/>
        <w:autoSpaceDN/>
        <w:bidi w:val="0"/>
        <w:adjustRightInd/>
        <w:spacing w:line="460" w:lineRule="exact"/>
        <w:textAlignment w:val="auto"/>
        <w:rPr>
          <w:rFonts w:ascii="黑体" w:hAnsi="黑体" w:eastAsia="黑体"/>
          <w:b/>
          <w:bCs/>
          <w:color w:val="000000" w:themeColor="text1"/>
          <w:sz w:val="24"/>
          <w:highlight w:val="none"/>
          <w14:textFill>
            <w14:solidFill>
              <w14:schemeClr w14:val="tx1"/>
            </w14:solidFill>
          </w14:textFill>
        </w:rPr>
      </w:pPr>
      <w:bookmarkStart w:id="13" w:name="_Toc35393792"/>
      <w:bookmarkStart w:id="14" w:name="_Toc35393623"/>
      <w:r>
        <w:rPr>
          <w:rFonts w:hint="eastAsia" w:ascii="黑体" w:hAnsi="黑体" w:eastAsia="黑体"/>
          <w:b/>
          <w:bCs/>
          <w:color w:val="000000" w:themeColor="text1"/>
          <w:sz w:val="24"/>
          <w:highlight w:val="none"/>
          <w14:textFill>
            <w14:solidFill>
              <w14:schemeClr w14:val="tx1"/>
            </w14:solidFill>
          </w14:textFill>
        </w:rPr>
        <w:t>三、获取招标文件</w:t>
      </w:r>
      <w:bookmarkEnd w:id="11"/>
      <w:bookmarkEnd w:id="12"/>
      <w:bookmarkEnd w:id="13"/>
      <w:bookmarkEnd w:id="14"/>
    </w:p>
    <w:p>
      <w:pPr>
        <w:keepNext w:val="0"/>
        <w:keepLines w:val="0"/>
        <w:pageBreakBefore w:val="0"/>
        <w:kinsoku/>
        <w:wordWrap/>
        <w:overflowPunct/>
        <w:topLinePunct w:val="0"/>
        <w:autoSpaceDE/>
        <w:autoSpaceDN/>
        <w:bidi w:val="0"/>
        <w:adjustRightInd/>
        <w:spacing w:line="460" w:lineRule="exact"/>
        <w:ind w:firstLine="540"/>
        <w:textAlignment w:val="auto"/>
        <w:rPr>
          <w:rFonts w:hint="eastAsia" w:ascii="宋体" w:hAnsi="宋体" w:cs="宋体"/>
          <w:bCs/>
          <w:color w:val="000000" w:themeColor="text1"/>
          <w:kern w:val="0"/>
          <w:szCs w:val="21"/>
          <w:highlight w:val="none"/>
          <w14:textFill>
            <w14:solidFill>
              <w14:schemeClr w14:val="tx1"/>
            </w14:solidFill>
          </w14:textFill>
        </w:rPr>
      </w:pPr>
      <w:bookmarkStart w:id="15" w:name="_Toc28359005"/>
      <w:bookmarkStart w:id="16" w:name="_Toc28359082"/>
      <w:bookmarkStart w:id="17" w:name="_Toc35393624"/>
      <w:bookmarkStart w:id="18" w:name="_Toc35393793"/>
      <w:r>
        <w:rPr>
          <w:rFonts w:hint="eastAsia" w:ascii="宋体" w:hAnsi="宋体" w:cs="宋体"/>
          <w:bCs/>
          <w:color w:val="000000" w:themeColor="text1"/>
          <w:kern w:val="0"/>
          <w:szCs w:val="21"/>
          <w:highlight w:val="none"/>
          <w14:textFill>
            <w14:solidFill>
              <w14:schemeClr w14:val="tx1"/>
            </w14:solidFill>
          </w14:textFill>
        </w:rPr>
        <w:t>时间：</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2023</w:t>
      </w:r>
      <w:r>
        <w:rPr>
          <w:rFonts w:hint="eastAsia" w:ascii="宋体" w:hAnsi="宋体" w:cs="宋体"/>
          <w:bCs/>
          <w:color w:val="000000" w:themeColor="text1"/>
          <w:kern w:val="0"/>
          <w:szCs w:val="21"/>
          <w:highlight w:val="none"/>
          <w:u w:val="single"/>
          <w14:textFill>
            <w14:solidFill>
              <w14:schemeClr w14:val="tx1"/>
            </w14:solidFill>
          </w14:textFill>
        </w:rPr>
        <w:t>年</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1</w:t>
      </w:r>
      <w:r>
        <w:rPr>
          <w:rFonts w:hint="eastAsia" w:ascii="宋体" w:hAnsi="宋体" w:cs="宋体"/>
          <w:bCs/>
          <w:color w:val="000000" w:themeColor="text1"/>
          <w:kern w:val="0"/>
          <w:szCs w:val="21"/>
          <w:highlight w:val="none"/>
          <w:u w:val="single"/>
          <w14:textFill>
            <w14:solidFill>
              <w14:schemeClr w14:val="tx1"/>
            </w14:solidFill>
          </w14:textFill>
        </w:rPr>
        <w:t>月</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18</w:t>
      </w:r>
      <w:r>
        <w:rPr>
          <w:rFonts w:hint="eastAsia" w:ascii="宋体" w:hAnsi="宋体" w:cs="宋体"/>
          <w:bCs/>
          <w:color w:val="000000" w:themeColor="text1"/>
          <w:kern w:val="0"/>
          <w:szCs w:val="21"/>
          <w:highlight w:val="none"/>
          <w:u w:val="single"/>
          <w14:textFill>
            <w14:solidFill>
              <w14:schemeClr w14:val="tx1"/>
            </w14:solidFill>
          </w14:textFill>
        </w:rPr>
        <w:t>日</w:t>
      </w:r>
      <w:r>
        <w:rPr>
          <w:rFonts w:hint="eastAsia" w:ascii="宋体" w:hAnsi="宋体" w:cs="宋体"/>
          <w:bCs/>
          <w:color w:val="000000" w:themeColor="text1"/>
          <w:kern w:val="0"/>
          <w:szCs w:val="21"/>
          <w:highlight w:val="none"/>
          <w14:textFill>
            <w14:solidFill>
              <w14:schemeClr w14:val="tx1"/>
            </w14:solidFill>
          </w14:textFill>
        </w:rPr>
        <w:t>至</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2023</w:t>
      </w:r>
      <w:r>
        <w:rPr>
          <w:rFonts w:hint="eastAsia" w:ascii="宋体" w:hAnsi="宋体" w:cs="宋体"/>
          <w:bCs/>
          <w:color w:val="000000" w:themeColor="text1"/>
          <w:kern w:val="0"/>
          <w:szCs w:val="21"/>
          <w:highlight w:val="none"/>
          <w:u w:val="single"/>
          <w14:textFill>
            <w14:solidFill>
              <w14:schemeClr w14:val="tx1"/>
            </w14:solidFill>
          </w14:textFill>
        </w:rPr>
        <w:t>年</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2</w:t>
      </w:r>
      <w:r>
        <w:rPr>
          <w:rFonts w:hint="eastAsia" w:ascii="宋体" w:hAnsi="宋体" w:cs="宋体"/>
          <w:bCs/>
          <w:color w:val="000000" w:themeColor="text1"/>
          <w:kern w:val="0"/>
          <w:szCs w:val="21"/>
          <w:highlight w:val="none"/>
          <w:u w:val="single"/>
          <w14:textFill>
            <w14:solidFill>
              <w14:schemeClr w14:val="tx1"/>
            </w14:solidFill>
          </w14:textFill>
        </w:rPr>
        <w:t>月</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8</w:t>
      </w:r>
      <w:r>
        <w:rPr>
          <w:rFonts w:hint="eastAsia" w:ascii="宋体" w:hAnsi="宋体" w:cs="宋体"/>
          <w:bCs/>
          <w:color w:val="000000" w:themeColor="text1"/>
          <w:kern w:val="0"/>
          <w:szCs w:val="21"/>
          <w:highlight w:val="none"/>
          <w:u w:val="single"/>
          <w14:textFill>
            <w14:solidFill>
              <w14:schemeClr w14:val="tx1"/>
            </w14:solidFill>
          </w14:textFill>
        </w:rPr>
        <w:t>日</w:t>
      </w:r>
      <w:r>
        <w:rPr>
          <w:rFonts w:hint="eastAsia" w:ascii="宋体" w:hAnsi="宋体" w:cs="宋体"/>
          <w:bCs/>
          <w:color w:val="000000" w:themeColor="text1"/>
          <w:kern w:val="0"/>
          <w:szCs w:val="21"/>
          <w:highlight w:val="none"/>
          <w14:textFill>
            <w14:solidFill>
              <w14:schemeClr w14:val="tx1"/>
            </w14:solidFill>
          </w14:textFill>
        </w:rPr>
        <w:t>，每天上午</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8:00</w:t>
      </w:r>
      <w:r>
        <w:rPr>
          <w:rFonts w:hint="eastAsia" w:ascii="宋体" w:hAnsi="宋体" w:cs="宋体"/>
          <w:bCs/>
          <w:color w:val="000000" w:themeColor="text1"/>
          <w:kern w:val="0"/>
          <w:szCs w:val="21"/>
          <w:highlight w:val="none"/>
          <w:u w:val="single"/>
          <w14:textFill>
            <w14:solidFill>
              <w14:schemeClr w14:val="tx1"/>
            </w14:solidFill>
          </w14:textFill>
        </w:rPr>
        <w:t>至</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12:00</w:t>
      </w:r>
      <w:r>
        <w:rPr>
          <w:rFonts w:hint="eastAsia" w:ascii="宋体" w:hAnsi="宋体" w:cs="宋体"/>
          <w:bCs/>
          <w:color w:val="000000" w:themeColor="text1"/>
          <w:kern w:val="0"/>
          <w:szCs w:val="21"/>
          <w:highlight w:val="none"/>
          <w:u w:val="single"/>
          <w14:textFill>
            <w14:solidFill>
              <w14:schemeClr w14:val="tx1"/>
            </w14:solidFill>
          </w14:textFill>
        </w:rPr>
        <w:t>，下午</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15:00</w:t>
      </w:r>
      <w:r>
        <w:rPr>
          <w:rFonts w:hint="eastAsia" w:ascii="宋体" w:hAnsi="宋体" w:cs="宋体"/>
          <w:bCs/>
          <w:color w:val="000000" w:themeColor="text1"/>
          <w:kern w:val="0"/>
          <w:szCs w:val="21"/>
          <w:highlight w:val="none"/>
          <w:u w:val="single"/>
          <w14:textFill>
            <w14:solidFill>
              <w14:schemeClr w14:val="tx1"/>
            </w14:solidFill>
          </w14:textFill>
        </w:rPr>
        <w:t>至</w:t>
      </w:r>
      <w:r>
        <w:rPr>
          <w:rFonts w:hint="eastAsia" w:ascii="宋体" w:hAnsi="宋体" w:cs="宋体"/>
          <w:bCs/>
          <w:color w:val="000000" w:themeColor="text1"/>
          <w:kern w:val="0"/>
          <w:szCs w:val="21"/>
          <w:highlight w:val="none"/>
          <w:u w:val="single"/>
          <w:lang w:val="en-US" w:eastAsia="zh-CN"/>
          <w14:textFill>
            <w14:solidFill>
              <w14:schemeClr w14:val="tx1"/>
            </w14:solidFill>
          </w14:textFill>
        </w:rPr>
        <w:t>18:00</w:t>
      </w:r>
      <w:r>
        <w:rPr>
          <w:rFonts w:hint="eastAsia" w:ascii="宋体" w:hAnsi="宋体" w:cs="宋体"/>
          <w:bCs/>
          <w:color w:val="000000" w:themeColor="text1"/>
          <w:kern w:val="0"/>
          <w:szCs w:val="21"/>
          <w:highlight w:val="none"/>
          <w14:textFill>
            <w14:solidFill>
              <w14:schemeClr w14:val="tx1"/>
            </w14:solidFill>
          </w14:textFill>
        </w:rPr>
        <w:t>（北京时间，</w:t>
      </w:r>
      <w:r>
        <w:rPr>
          <w:rFonts w:ascii="宋体" w:hAnsi="宋体" w:cs="宋体"/>
          <w:bCs/>
          <w:color w:val="000000" w:themeColor="text1"/>
          <w:kern w:val="0"/>
          <w:szCs w:val="21"/>
          <w:highlight w:val="none"/>
          <w14:textFill>
            <w14:solidFill>
              <w14:schemeClr w14:val="tx1"/>
            </w14:solidFill>
          </w14:textFill>
        </w:rPr>
        <w:t>法定节假日</w:t>
      </w:r>
      <w:r>
        <w:rPr>
          <w:rFonts w:hint="eastAsia" w:ascii="宋体" w:hAnsi="宋体" w:cs="宋体"/>
          <w:bCs/>
          <w:color w:val="000000" w:themeColor="text1"/>
          <w:kern w:val="0"/>
          <w:szCs w:val="21"/>
          <w:highlight w:val="none"/>
          <w14:textFill>
            <w14:solidFill>
              <w14:schemeClr w14:val="tx1"/>
            </w14:solidFill>
          </w14:textFill>
        </w:rPr>
        <w:t>除外）</w:t>
      </w:r>
    </w:p>
    <w:p>
      <w:pPr>
        <w:keepNext w:val="0"/>
        <w:keepLines w:val="0"/>
        <w:pageBreakBefore w:val="0"/>
        <w:kinsoku/>
        <w:wordWrap/>
        <w:overflowPunct/>
        <w:topLinePunct w:val="0"/>
        <w:autoSpaceDE/>
        <w:autoSpaceDN/>
        <w:bidi w:val="0"/>
        <w:adjustRightInd/>
        <w:spacing w:line="460" w:lineRule="exact"/>
        <w:ind w:firstLine="540"/>
        <w:textAlignment w:val="auto"/>
        <w:rPr>
          <w:rFonts w:hint="eastAsia"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地点：“政采云”平台（https://www.zcygov.cn）</w:t>
      </w:r>
    </w:p>
    <w:p>
      <w:pPr>
        <w:keepNext w:val="0"/>
        <w:keepLines w:val="0"/>
        <w:pageBreakBefore w:val="0"/>
        <w:kinsoku/>
        <w:wordWrap/>
        <w:overflowPunct/>
        <w:topLinePunct w:val="0"/>
        <w:autoSpaceDE/>
        <w:autoSpaceDN/>
        <w:bidi w:val="0"/>
        <w:adjustRightInd/>
        <w:spacing w:line="460" w:lineRule="exact"/>
        <w:ind w:firstLine="540"/>
        <w:textAlignment w:val="auto"/>
        <w:rPr>
          <w:rFonts w:hint="eastAsia" w:ascii="宋体" w:hAnsi="宋体" w:eastAsia="宋体" w:cs="宋体"/>
          <w:b/>
          <w:bCs w:val="0"/>
          <w:color w:val="000000" w:themeColor="text1"/>
          <w:kern w:val="0"/>
          <w:sz w:val="22"/>
          <w:szCs w:val="22"/>
          <w:highlight w:val="none"/>
          <w:lang w:eastAsia="zh-CN"/>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方式：网上下载。本项目不提供纸质文件，潜在供应商需使用账号登录或者使用CA登录“政采云”平台（https：/</w:t>
      </w:r>
      <w:r>
        <w:rPr>
          <w:rFonts w:ascii="宋体" w:hAnsi="宋体" w:cs="宋体"/>
          <w:bCs/>
          <w:color w:val="000000" w:themeColor="text1"/>
          <w:kern w:val="0"/>
          <w:szCs w:val="21"/>
          <w:highlight w:val="none"/>
          <w14:textFill>
            <w14:solidFill>
              <w14:schemeClr w14:val="tx1"/>
            </w14:solidFill>
          </w14:textFill>
        </w:rPr>
        <w:t>/www.zcygov.cn</w:t>
      </w:r>
      <w:r>
        <w:rPr>
          <w:rFonts w:hint="eastAsia" w:ascii="宋体" w:hAnsi="宋体" w:cs="宋体"/>
          <w:bCs/>
          <w:color w:val="000000" w:themeColor="text1"/>
          <w:kern w:val="0"/>
          <w:szCs w:val="21"/>
          <w:highlight w:val="none"/>
          <w14:textFill>
            <w14:solidFill>
              <w14:schemeClr w14:val="tx1"/>
            </w14:solidFill>
          </w14:textFill>
        </w:rPr>
        <w:t>）-进入“项目采购”应用，在获取采购文件菜单中选择项目，获取招标文件（或在“政采云电子投标客户端-获取采购文件”跳转到政采云系统获取）。</w:t>
      </w:r>
      <w:r>
        <w:rPr>
          <w:rFonts w:hint="eastAsia" w:ascii="宋体" w:hAnsi="宋体"/>
          <w:color w:val="000000" w:themeColor="text1"/>
          <w:szCs w:val="21"/>
          <w:highlight w:val="none"/>
          <w14:textFill>
            <w14:solidFill>
              <w14:schemeClr w14:val="tx1"/>
            </w14:solidFill>
          </w14:textFill>
        </w:rPr>
        <w:t>电子投标文件制作需要基于“政采云”平台获取的招标文件编制，</w:t>
      </w:r>
      <w:r>
        <w:rPr>
          <w:rFonts w:hint="eastAsia" w:ascii="宋体" w:hAnsi="宋体" w:cs="宋体"/>
          <w:bCs/>
          <w:color w:val="000000" w:themeColor="text1"/>
          <w:kern w:val="0"/>
          <w:szCs w:val="21"/>
          <w:highlight w:val="none"/>
          <w14:textFill>
            <w14:solidFill>
              <w14:schemeClr w14:val="tx1"/>
            </w14:solidFill>
          </w14:textFill>
        </w:rPr>
        <w:t>通过其他方式获取招标文件的，将有可能导致供应商无法在</w:t>
      </w:r>
      <w:r>
        <w:rPr>
          <w:rFonts w:hint="eastAsia" w:ascii="宋体" w:hAnsi="宋体"/>
          <w:color w:val="000000" w:themeColor="text1"/>
          <w:szCs w:val="21"/>
          <w:highlight w:val="none"/>
          <w14:textFill>
            <w14:solidFill>
              <w14:schemeClr w14:val="tx1"/>
            </w14:solidFill>
          </w14:textFill>
        </w:rPr>
        <w:t>“政采云”</w:t>
      </w:r>
      <w:r>
        <w:rPr>
          <w:rFonts w:hint="eastAsia" w:ascii="宋体" w:hAnsi="宋体" w:cs="宋体"/>
          <w:bCs/>
          <w:color w:val="000000" w:themeColor="text1"/>
          <w:kern w:val="0"/>
          <w:szCs w:val="21"/>
          <w:highlight w:val="none"/>
          <w14:textFill>
            <w14:solidFill>
              <w14:schemeClr w14:val="tx1"/>
            </w14:solidFill>
          </w14:textFill>
        </w:rPr>
        <w:t>平台编制及上传投标文件。</w:t>
      </w:r>
      <w:r>
        <w:rPr>
          <w:rFonts w:hint="eastAsia" w:ascii="宋体" w:hAnsi="宋体" w:cs="宋体"/>
          <w:b/>
          <w:bCs w:val="0"/>
          <w:color w:val="000000" w:themeColor="text1"/>
          <w:kern w:val="0"/>
          <w:sz w:val="22"/>
          <w:szCs w:val="22"/>
          <w:highlight w:val="none"/>
          <w:lang w:eastAsia="zh-CN"/>
          <w14:textFill>
            <w14:solidFill>
              <w14:schemeClr w14:val="tx1"/>
            </w14:solidFill>
          </w14:textFill>
        </w:rPr>
        <w:t>如投标人为联合体投标的，须由联合体牵头人登录</w:t>
      </w:r>
      <w:r>
        <w:rPr>
          <w:rFonts w:hint="eastAsia" w:ascii="宋体" w:hAnsi="宋体" w:cs="宋体"/>
          <w:b/>
          <w:bCs w:val="0"/>
          <w:color w:val="000000" w:themeColor="text1"/>
          <w:kern w:val="0"/>
          <w:sz w:val="22"/>
          <w:szCs w:val="22"/>
          <w:highlight w:val="none"/>
          <w14:textFill>
            <w14:solidFill>
              <w14:schemeClr w14:val="tx1"/>
            </w14:solidFill>
          </w14:textFill>
        </w:rPr>
        <w:t>“政采云”平台</w:t>
      </w:r>
      <w:r>
        <w:rPr>
          <w:rFonts w:hint="eastAsia" w:ascii="宋体" w:hAnsi="宋体" w:cs="宋体"/>
          <w:b/>
          <w:bCs w:val="0"/>
          <w:color w:val="000000" w:themeColor="text1"/>
          <w:kern w:val="0"/>
          <w:sz w:val="22"/>
          <w:szCs w:val="22"/>
          <w:highlight w:val="none"/>
          <w:lang w:eastAsia="zh-CN"/>
          <w14:textFill>
            <w14:solidFill>
              <w14:schemeClr w14:val="tx1"/>
            </w14:solidFill>
          </w14:textFill>
        </w:rPr>
        <w:t>获取招标文件。</w:t>
      </w:r>
    </w:p>
    <w:p>
      <w:pPr>
        <w:keepNext w:val="0"/>
        <w:keepLines w:val="0"/>
        <w:pageBreakBefore w:val="0"/>
        <w:kinsoku/>
        <w:wordWrap/>
        <w:overflowPunct/>
        <w:topLinePunct w:val="0"/>
        <w:autoSpaceDE/>
        <w:autoSpaceDN/>
        <w:bidi w:val="0"/>
        <w:adjustRightInd/>
        <w:spacing w:line="460" w:lineRule="exact"/>
        <w:ind w:firstLine="54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bCs/>
          <w:color w:val="000000" w:themeColor="text1"/>
          <w:kern w:val="0"/>
          <w:szCs w:val="21"/>
          <w:highlight w:val="none"/>
          <w14:textFill>
            <w14:solidFill>
              <w14:schemeClr w14:val="tx1"/>
            </w14:solidFill>
          </w14:textFill>
        </w:rPr>
        <w:t>售价：</w:t>
      </w:r>
      <w:r>
        <w:rPr>
          <w:rFonts w:hint="eastAsia" w:ascii="宋体" w:hAnsi="宋体" w:cs="宋体"/>
          <w:i w:val="0"/>
          <w:iCs/>
          <w:color w:val="000000" w:themeColor="text1"/>
          <w:szCs w:val="21"/>
          <w:highlight w:val="none"/>
          <w:u w:val="single"/>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元</w:t>
      </w:r>
    </w:p>
    <w:p>
      <w:pPr>
        <w:keepNext w:val="0"/>
        <w:keepLines w:val="0"/>
        <w:pageBreakBefore w:val="0"/>
        <w:kinsoku/>
        <w:wordWrap/>
        <w:overflowPunct/>
        <w:topLinePunct w:val="0"/>
        <w:autoSpaceDE/>
        <w:autoSpaceDN/>
        <w:bidi w:val="0"/>
        <w:adjustRightInd/>
        <w:spacing w:line="460" w:lineRule="exact"/>
        <w:textAlignment w:val="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5"/>
      <w:bookmarkEnd w:id="16"/>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17"/>
      <w:bookmarkEnd w:id="18"/>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s="宋体"/>
          <w:color w:val="000000" w:themeColor="text1"/>
          <w:szCs w:val="21"/>
          <w:highlight w:val="none"/>
          <w:u w:val="single"/>
          <w14:textFill>
            <w14:solidFill>
              <w14:schemeClr w14:val="tx1"/>
            </w14:solidFill>
          </w14:textFill>
        </w:rPr>
      </w:pPr>
      <w:bookmarkStart w:id="19" w:name="_Toc28359007"/>
      <w:bookmarkStart w:id="20" w:name="_Toc35393625"/>
      <w:bookmarkStart w:id="21" w:name="_Toc35393794"/>
      <w:bookmarkStart w:id="22" w:name="_Toc28359084"/>
      <w:r>
        <w:rPr>
          <w:rFonts w:hint="eastAsia" w:ascii="宋体" w:hAnsi="宋体"/>
          <w:bCs/>
          <w:color w:val="000000" w:themeColor="text1"/>
          <w:szCs w:val="21"/>
          <w:highlight w:val="none"/>
          <w:u w:val="single"/>
          <w:lang w:val="en-US" w:eastAsia="zh-CN"/>
          <w14:textFill>
            <w14:solidFill>
              <w14:schemeClr w14:val="tx1"/>
            </w14:solidFill>
          </w14:textFill>
        </w:rPr>
        <w:t>2023</w:t>
      </w:r>
      <w:r>
        <w:rPr>
          <w:rFonts w:hint="eastAsia" w:ascii="宋体" w:hAnsi="宋体"/>
          <w:bCs/>
          <w:color w:val="000000" w:themeColor="text1"/>
          <w:szCs w:val="21"/>
          <w:highlight w:val="none"/>
          <w:u w:val="single"/>
          <w14:textFill>
            <w14:solidFill>
              <w14:schemeClr w14:val="tx1"/>
            </w14:solidFill>
          </w14:textFill>
        </w:rPr>
        <w:t>年</w:t>
      </w:r>
      <w:r>
        <w:rPr>
          <w:rFonts w:hint="eastAsia" w:ascii="宋体" w:hAnsi="宋体"/>
          <w:bCs/>
          <w:color w:val="000000" w:themeColor="text1"/>
          <w:szCs w:val="21"/>
          <w:highlight w:val="none"/>
          <w:u w:val="single"/>
          <w:lang w:val="en-US" w:eastAsia="zh-CN"/>
          <w14:textFill>
            <w14:solidFill>
              <w14:schemeClr w14:val="tx1"/>
            </w14:solidFill>
          </w14:textFill>
        </w:rPr>
        <w:t>2</w:t>
      </w:r>
      <w:r>
        <w:rPr>
          <w:rFonts w:hint="eastAsia" w:ascii="宋体" w:hAnsi="宋体"/>
          <w:bCs/>
          <w:color w:val="000000" w:themeColor="text1"/>
          <w:szCs w:val="21"/>
          <w:highlight w:val="none"/>
          <w:u w:val="single"/>
          <w14:textFill>
            <w14:solidFill>
              <w14:schemeClr w14:val="tx1"/>
            </w14:solidFill>
          </w14:textFill>
        </w:rPr>
        <w:t>月</w:t>
      </w:r>
      <w:r>
        <w:rPr>
          <w:rFonts w:hint="eastAsia" w:ascii="宋体" w:hAnsi="宋体"/>
          <w:bCs/>
          <w:color w:val="000000" w:themeColor="text1"/>
          <w:szCs w:val="21"/>
          <w:highlight w:val="none"/>
          <w:u w:val="single"/>
          <w:lang w:val="en-US" w:eastAsia="zh-CN"/>
          <w14:textFill>
            <w14:solidFill>
              <w14:schemeClr w14:val="tx1"/>
            </w14:solidFill>
          </w14:textFill>
        </w:rPr>
        <w:t>9</w:t>
      </w:r>
      <w:r>
        <w:rPr>
          <w:rFonts w:hint="eastAsia" w:ascii="宋体" w:hAnsi="宋体"/>
          <w:bCs/>
          <w:color w:val="000000" w:themeColor="text1"/>
          <w:szCs w:val="21"/>
          <w:highlight w:val="none"/>
          <w:u w:val="single"/>
          <w14:textFill>
            <w14:solidFill>
              <w14:schemeClr w14:val="tx1"/>
            </w14:solidFill>
          </w14:textFill>
        </w:rPr>
        <w:t>日</w:t>
      </w:r>
      <w:r>
        <w:rPr>
          <w:rFonts w:hint="eastAsia" w:ascii="宋体" w:hAnsi="宋体"/>
          <w:bCs/>
          <w:color w:val="000000" w:themeColor="text1"/>
          <w:szCs w:val="21"/>
          <w:highlight w:val="none"/>
          <w:u w:val="single"/>
          <w:lang w:val="en-US" w:eastAsia="zh-CN"/>
          <w14:textFill>
            <w14:solidFill>
              <w14:schemeClr w14:val="tx1"/>
            </w14:solidFill>
          </w14:textFill>
        </w:rPr>
        <w:t>9</w:t>
      </w:r>
      <w:r>
        <w:rPr>
          <w:rFonts w:hint="eastAsia" w:ascii="宋体" w:hAnsi="宋体"/>
          <w:bCs/>
          <w:color w:val="000000" w:themeColor="text1"/>
          <w:szCs w:val="21"/>
          <w:highlight w:val="none"/>
          <w:u w:val="single"/>
          <w14:textFill>
            <w14:solidFill>
              <w14:schemeClr w14:val="tx1"/>
            </w14:solidFill>
          </w14:textFill>
        </w:rPr>
        <w:t>时</w:t>
      </w:r>
      <w:r>
        <w:rPr>
          <w:rFonts w:hint="eastAsia" w:ascii="宋体" w:hAnsi="宋体"/>
          <w:bCs/>
          <w:color w:val="000000" w:themeColor="text1"/>
          <w:szCs w:val="21"/>
          <w:highlight w:val="none"/>
          <w:u w:val="single"/>
          <w:lang w:val="en-US" w:eastAsia="zh-CN"/>
          <w14:textFill>
            <w14:solidFill>
              <w14:schemeClr w14:val="tx1"/>
            </w14:solidFill>
          </w14:textFill>
        </w:rPr>
        <w:t>00</w:t>
      </w:r>
      <w:r>
        <w:rPr>
          <w:rFonts w:hint="eastAsia" w:ascii="宋体" w:hAnsi="宋体"/>
          <w:bCs/>
          <w:color w:val="000000" w:themeColor="text1"/>
          <w:szCs w:val="21"/>
          <w:highlight w:val="none"/>
          <w:u w:val="single"/>
          <w14:textFill>
            <w14:solidFill>
              <w14:schemeClr w14:val="tx1"/>
            </w14:solidFill>
          </w14:textFill>
        </w:rPr>
        <w:t>分（北京时间）</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地点：“政采云”平台</w:t>
      </w:r>
      <w:r>
        <w:rPr>
          <w:rFonts w:hint="eastAsia" w:ascii="宋体" w:hAnsi="宋体" w:cs="宋体"/>
          <w:bCs/>
          <w:color w:val="000000" w:themeColor="text1"/>
          <w:kern w:val="0"/>
          <w:szCs w:val="21"/>
          <w:highlight w:val="none"/>
          <w14:textFill>
            <w14:solidFill>
              <w14:schemeClr w14:val="tx1"/>
            </w14:solidFill>
          </w14:textFill>
        </w:rPr>
        <w:t>（https://www.zcygov.cn）</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投标地点：“政采云”平台</w:t>
      </w:r>
      <w:r>
        <w:rPr>
          <w:rFonts w:hint="eastAsia" w:ascii="宋体" w:hAnsi="宋体" w:cs="宋体"/>
          <w:bCs/>
          <w:color w:val="000000" w:themeColor="text1"/>
          <w:kern w:val="0"/>
          <w:szCs w:val="21"/>
          <w:highlight w:val="none"/>
          <w14:textFill>
            <w14:solidFill>
              <w14:schemeClr w14:val="tx1"/>
            </w14:solidFill>
          </w14:textFill>
        </w:rPr>
        <w:t>（https://www.zcygov.cn）</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开标地点：“政采云”平台电子开标大厅</w:t>
      </w:r>
    </w:p>
    <w:p>
      <w:pPr>
        <w:keepNext w:val="0"/>
        <w:keepLines w:val="0"/>
        <w:pageBreakBefore w:val="0"/>
        <w:kinsoku/>
        <w:wordWrap/>
        <w:overflowPunct/>
        <w:topLinePunct w:val="0"/>
        <w:autoSpaceDE/>
        <w:autoSpaceDN/>
        <w:bidi w:val="0"/>
        <w:adjustRightInd/>
        <w:spacing w:line="460" w:lineRule="exact"/>
        <w:textAlignment w:val="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五、公告期限</w:t>
      </w:r>
      <w:bookmarkEnd w:id="19"/>
      <w:bookmarkEnd w:id="20"/>
      <w:bookmarkEnd w:id="21"/>
      <w:bookmarkEnd w:id="22"/>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w:t>
      </w:r>
      <w:r>
        <w:rPr>
          <w:rFonts w:ascii="宋体" w:hAnsi="宋体" w:cs="宋体"/>
          <w:color w:val="000000" w:themeColor="text1"/>
          <w:kern w:val="0"/>
          <w:szCs w:val="21"/>
          <w:highlight w:val="none"/>
          <w14:textFill>
            <w14:solidFill>
              <w14:schemeClr w14:val="tx1"/>
            </w14:solidFill>
          </w14:textFill>
        </w:rPr>
        <w:t>5个工作日。</w:t>
      </w:r>
    </w:p>
    <w:p>
      <w:pPr>
        <w:keepNext w:val="0"/>
        <w:keepLines w:val="0"/>
        <w:pageBreakBefore w:val="0"/>
        <w:kinsoku/>
        <w:wordWrap/>
        <w:overflowPunct/>
        <w:topLinePunct w:val="0"/>
        <w:autoSpaceDE/>
        <w:autoSpaceDN/>
        <w:bidi w:val="0"/>
        <w:adjustRightInd/>
        <w:spacing w:line="460" w:lineRule="exact"/>
        <w:textAlignment w:val="auto"/>
        <w:rPr>
          <w:rFonts w:ascii="黑体" w:hAnsi="黑体" w:eastAsia="黑体"/>
          <w:b/>
          <w:bCs/>
          <w:color w:val="000000" w:themeColor="text1"/>
          <w:sz w:val="24"/>
          <w:highlight w:val="none"/>
          <w14:textFill>
            <w14:solidFill>
              <w14:schemeClr w14:val="tx1"/>
            </w14:solidFill>
          </w14:textFill>
        </w:rPr>
      </w:pPr>
      <w:bookmarkStart w:id="23" w:name="_Toc35393626"/>
      <w:bookmarkStart w:id="24" w:name="_Toc35393795"/>
      <w:r>
        <w:rPr>
          <w:rFonts w:hint="eastAsia" w:ascii="黑体" w:hAnsi="黑体" w:eastAsia="黑体"/>
          <w:b/>
          <w:bCs/>
          <w:color w:val="000000" w:themeColor="text1"/>
          <w:sz w:val="24"/>
          <w:highlight w:val="none"/>
          <w14:textFill>
            <w14:solidFill>
              <w14:schemeClr w14:val="tx1"/>
            </w14:solidFill>
          </w14:textFill>
        </w:rPr>
        <w:t>六、其他补充事宜</w:t>
      </w:r>
      <w:bookmarkEnd w:id="23"/>
      <w:bookmarkEnd w:id="24"/>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hint="eastAsia" w:ascii="宋体" w:hAnsi="宋体" w:cs="宋体"/>
          <w:color w:val="000000" w:themeColor="text1"/>
          <w:kern w:val="0"/>
          <w:szCs w:val="21"/>
          <w:highlight w:val="none"/>
          <w14:textFill>
            <w14:solidFill>
              <w14:schemeClr w14:val="tx1"/>
            </w14:solidFill>
          </w14:textFill>
        </w:rPr>
      </w:pPr>
      <w:bookmarkStart w:id="25" w:name="_Hlk37429585"/>
      <w:bookmarkStart w:id="26" w:name="_Hlk37429595"/>
      <w:bookmarkStart w:id="27" w:name="_Toc28359008"/>
      <w:bookmarkStart w:id="28" w:name="_Toc35393796"/>
      <w:bookmarkStart w:id="29" w:name="_Toc35393627"/>
      <w:bookmarkStart w:id="30" w:name="_Toc28359085"/>
      <w:r>
        <w:rPr>
          <w:rFonts w:hint="eastAsia" w:ascii="宋体" w:hAnsi="宋体" w:cs="宋体"/>
          <w:color w:val="000000" w:themeColor="text1"/>
          <w:kern w:val="0"/>
          <w:szCs w:val="21"/>
          <w:highlight w:val="none"/>
          <w14:textFill>
            <w14:solidFill>
              <w14:schemeClr w14:val="tx1"/>
            </w14:solidFill>
          </w14:textFill>
        </w:rPr>
        <w:t>1.网上查询地址</w:t>
      </w:r>
    </w:p>
    <w:bookmarkEnd w:id="25"/>
    <w:bookmarkEnd w:id="26"/>
    <w:p>
      <w:pPr>
        <w:keepNext w:val="0"/>
        <w:keepLines w:val="0"/>
        <w:pageBreakBefore w:val="0"/>
        <w:kinsoku/>
        <w:wordWrap/>
        <w:overflowPunct/>
        <w:topLinePunct w:val="0"/>
        <w:autoSpaceDE/>
        <w:autoSpaceDN/>
        <w:bidi w:val="0"/>
        <w:adjustRightInd/>
        <w:spacing w:line="460" w:lineRule="exact"/>
        <w:ind w:firstLine="424" w:firstLineChars="202"/>
        <w:textAlignment w:val="auto"/>
        <w:rPr>
          <w:rStyle w:val="46"/>
          <w:color w:val="000000" w:themeColor="text1"/>
          <w:kern w:val="2"/>
          <w:sz w:val="21"/>
          <w:szCs w:val="21"/>
          <w:highlight w:val="none"/>
          <w14:textFill>
            <w14:solidFill>
              <w14:schemeClr w14:val="tx1"/>
            </w14:solidFill>
          </w14:textFill>
        </w:rPr>
      </w:pPr>
      <w:bookmarkStart w:id="31" w:name="_Hlk37429674"/>
      <w:r>
        <w:rPr>
          <w:rStyle w:val="46"/>
          <w:color w:val="000000" w:themeColor="text1"/>
          <w:kern w:val="2"/>
          <w:sz w:val="21"/>
          <w:szCs w:val="21"/>
          <w:highlight w:val="none"/>
          <w14:textFill>
            <w14:solidFill>
              <w14:schemeClr w14:val="tx1"/>
            </w14:solidFill>
          </w14:textFill>
        </w:rPr>
        <w:t>中国政府采购网（www.ccgp.gov.cn）、广西壮族自治区政府采购网（zfcg.gxzf.gov.cn）、</w:t>
      </w:r>
      <w:bookmarkStart w:id="32" w:name="_Hlk106720754"/>
      <w:r>
        <w:rPr>
          <w:rStyle w:val="46"/>
          <w:rFonts w:hint="eastAsia"/>
          <w:color w:val="000000" w:themeColor="text1"/>
          <w:kern w:val="2"/>
          <w:sz w:val="21"/>
          <w:szCs w:val="21"/>
          <w:highlight w:val="none"/>
          <w14:textFill>
            <w14:solidFill>
              <w14:schemeClr w14:val="tx1"/>
            </w14:solidFill>
          </w14:textFill>
        </w:rPr>
        <w:t>全国公共资源交易平台（广西•贺州）</w:t>
      </w:r>
      <w:bookmarkEnd w:id="32"/>
      <w:r>
        <w:rPr>
          <w:rStyle w:val="46"/>
          <w:rFonts w:hint="eastAsia"/>
          <w:color w:val="000000" w:themeColor="text1"/>
          <w:kern w:val="2"/>
          <w:sz w:val="21"/>
          <w:szCs w:val="21"/>
          <w:highlight w:val="none"/>
          <w14:textFill>
            <w14:solidFill>
              <w14:schemeClr w14:val="tx1"/>
            </w14:solidFill>
          </w14:textFill>
        </w:rPr>
        <w:t>（http://ggzy.jgswj.gxzf.gov.cn/hzggzy/）</w:t>
      </w:r>
    </w:p>
    <w:p>
      <w:pPr>
        <w:keepNext w:val="0"/>
        <w:keepLines w:val="0"/>
        <w:pageBreakBefore w:val="0"/>
        <w:kinsoku/>
        <w:wordWrap/>
        <w:overflowPunct/>
        <w:topLinePunct w:val="0"/>
        <w:autoSpaceDE/>
        <w:autoSpaceDN/>
        <w:bidi w:val="0"/>
        <w:adjustRightInd/>
        <w:spacing w:line="460" w:lineRule="exact"/>
        <w:ind w:firstLine="424" w:firstLineChars="202"/>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本项目需要落实的政府采购政策</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s="宋体"/>
          <w:i w:val="0"/>
          <w:iCs w:val="0"/>
          <w:color w:val="000000" w:themeColor="text1"/>
          <w:kern w:val="0"/>
          <w:szCs w:val="21"/>
          <w:highlight w:val="none"/>
          <w14:textFill>
            <w14:solidFill>
              <w14:schemeClr w14:val="tx1"/>
            </w14:solidFill>
          </w14:textFill>
        </w:rPr>
      </w:pPr>
      <w:r>
        <w:rPr>
          <w:rFonts w:hint="eastAsia" w:ascii="宋体" w:hAnsi="宋体" w:cs="宋体"/>
          <w:i w:val="0"/>
          <w:iCs w:val="0"/>
          <w:color w:val="000000" w:themeColor="text1"/>
          <w:kern w:val="0"/>
          <w:szCs w:val="21"/>
          <w:highlight w:val="none"/>
          <w14:textFill>
            <w14:solidFill>
              <w14:schemeClr w14:val="tx1"/>
            </w14:solidFill>
          </w14:textFill>
        </w:rPr>
        <w:t>（1）政府采购促进中小企业发展。</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s="宋体"/>
          <w:i w:val="0"/>
          <w:iCs w:val="0"/>
          <w:color w:val="000000" w:themeColor="text1"/>
          <w:kern w:val="0"/>
          <w:szCs w:val="21"/>
          <w:highlight w:val="none"/>
          <w14:textFill>
            <w14:solidFill>
              <w14:schemeClr w14:val="tx1"/>
            </w14:solidFill>
          </w14:textFill>
        </w:rPr>
      </w:pPr>
      <w:r>
        <w:rPr>
          <w:rFonts w:hint="eastAsia" w:ascii="宋体" w:hAnsi="宋体" w:cs="宋体"/>
          <w:i w:val="0"/>
          <w:iCs w:val="0"/>
          <w:color w:val="000000" w:themeColor="text1"/>
          <w:kern w:val="0"/>
          <w:szCs w:val="21"/>
          <w:highlight w:val="none"/>
          <w14:textFill>
            <w14:solidFill>
              <w14:schemeClr w14:val="tx1"/>
            </w14:solidFill>
          </w14:textFill>
        </w:rPr>
        <w:t>（2）政府采购支持采用本国产品的政策。</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s="宋体"/>
          <w:i w:val="0"/>
          <w:iCs w:val="0"/>
          <w:color w:val="000000" w:themeColor="text1"/>
          <w:kern w:val="0"/>
          <w:szCs w:val="21"/>
          <w:highlight w:val="none"/>
          <w14:textFill>
            <w14:solidFill>
              <w14:schemeClr w14:val="tx1"/>
            </w14:solidFill>
          </w14:textFill>
        </w:rPr>
      </w:pPr>
      <w:r>
        <w:rPr>
          <w:rFonts w:hint="eastAsia" w:ascii="宋体" w:hAnsi="宋体" w:cs="宋体"/>
          <w:i w:val="0"/>
          <w:iCs w:val="0"/>
          <w:color w:val="000000" w:themeColor="text1"/>
          <w:kern w:val="0"/>
          <w:szCs w:val="21"/>
          <w:highlight w:val="none"/>
          <w14:textFill>
            <w14:solidFill>
              <w14:schemeClr w14:val="tx1"/>
            </w14:solidFill>
          </w14:textFill>
        </w:rPr>
        <w:t>（3）强制采购节能产品；优先采购节能产品、环境标志产品。</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ascii="宋体" w:hAnsi="宋体" w:cs="宋体"/>
          <w:i w:val="0"/>
          <w:iCs w:val="0"/>
          <w:color w:val="000000" w:themeColor="text1"/>
          <w:kern w:val="0"/>
          <w:szCs w:val="21"/>
          <w:highlight w:val="none"/>
          <w14:textFill>
            <w14:solidFill>
              <w14:schemeClr w14:val="tx1"/>
            </w14:solidFill>
          </w14:textFill>
        </w:rPr>
      </w:pPr>
      <w:r>
        <w:rPr>
          <w:rFonts w:hint="eastAsia" w:ascii="宋体" w:hAnsi="宋体" w:cs="宋体"/>
          <w:i w:val="0"/>
          <w:iCs w:val="0"/>
          <w:color w:val="000000" w:themeColor="text1"/>
          <w:kern w:val="0"/>
          <w:szCs w:val="21"/>
          <w:highlight w:val="none"/>
          <w14:textFill>
            <w14:solidFill>
              <w14:schemeClr w14:val="tx1"/>
            </w14:solidFill>
          </w14:textFill>
        </w:rPr>
        <w:t>（4）政府采购促进残疾人就业政策。</w:t>
      </w:r>
    </w:p>
    <w:p>
      <w:pPr>
        <w:keepNext w:val="0"/>
        <w:keepLines w:val="0"/>
        <w:pageBreakBefore w:val="0"/>
        <w:kinsoku/>
        <w:wordWrap/>
        <w:overflowPunct/>
        <w:topLinePunct w:val="0"/>
        <w:autoSpaceDE/>
        <w:autoSpaceDN/>
        <w:bidi w:val="0"/>
        <w:adjustRightInd/>
        <w:spacing w:line="460" w:lineRule="exact"/>
        <w:ind w:firstLine="420" w:firstLineChars="200"/>
        <w:textAlignment w:val="auto"/>
        <w:rPr>
          <w:rFonts w:hint="eastAsia" w:ascii="宋体" w:hAnsi="宋体" w:cs="宋体"/>
          <w:i w:val="0"/>
          <w:iCs w:val="0"/>
          <w:color w:val="000000" w:themeColor="text1"/>
          <w:kern w:val="0"/>
          <w:szCs w:val="21"/>
          <w:highlight w:val="none"/>
          <w14:textFill>
            <w14:solidFill>
              <w14:schemeClr w14:val="tx1"/>
            </w14:solidFill>
          </w14:textFill>
        </w:rPr>
      </w:pPr>
      <w:r>
        <w:rPr>
          <w:rFonts w:hint="eastAsia" w:ascii="宋体" w:hAnsi="宋体" w:cs="宋体"/>
          <w:i w:val="0"/>
          <w:iCs w:val="0"/>
          <w:color w:val="000000" w:themeColor="text1"/>
          <w:kern w:val="0"/>
          <w:szCs w:val="21"/>
          <w:highlight w:val="none"/>
          <w14:textFill>
            <w14:solidFill>
              <w14:schemeClr w14:val="tx1"/>
            </w14:solidFill>
          </w14:textFill>
        </w:rPr>
        <w:t>（5）政府采购支持监狱企业发展。</w:t>
      </w:r>
    </w:p>
    <w:bookmarkEnd w:id="31"/>
    <w:p>
      <w:pPr>
        <w:keepNext w:val="0"/>
        <w:keepLines w:val="0"/>
        <w:pageBreakBefore w:val="0"/>
        <w:widowControl/>
        <w:kinsoku/>
        <w:wordWrap/>
        <w:overflowPunct/>
        <w:topLinePunct w:val="0"/>
        <w:autoSpaceDE/>
        <w:autoSpaceDN/>
        <w:bidi w:val="0"/>
        <w:adjustRightInd/>
        <w:spacing w:line="460" w:lineRule="exact"/>
        <w:ind w:firstLine="420" w:firstLineChars="20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3.投标人</w:t>
      </w:r>
      <w:r>
        <w:rPr>
          <w:rFonts w:hint="eastAsia" w:ascii="宋体" w:hAnsi="宋体"/>
          <w:color w:val="000000" w:themeColor="text1"/>
          <w:szCs w:val="21"/>
          <w:highlight w:val="none"/>
          <w14:textFill>
            <w14:solidFill>
              <w14:schemeClr w14:val="tx1"/>
            </w14:solidFill>
          </w14:textFill>
        </w:rPr>
        <w:t>投标注意事项</w:t>
      </w:r>
    </w:p>
    <w:p>
      <w:pPr>
        <w:keepNext w:val="0"/>
        <w:keepLines w:val="0"/>
        <w:pageBreakBefore w:val="0"/>
        <w:widowControl/>
        <w:kinsoku/>
        <w:wordWrap/>
        <w:overflowPunct/>
        <w:topLinePunct w:val="0"/>
        <w:autoSpaceDE/>
        <w:autoSpaceDN/>
        <w:bidi w:val="0"/>
        <w:adjustRightInd/>
        <w:spacing w:line="460" w:lineRule="exact"/>
        <w:ind w:firstLine="420" w:firstLineChars="200"/>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（1）本项目为全流程电子化采购项目，通过“政采云”平台（https：/</w:t>
      </w:r>
      <w:r>
        <w:rPr>
          <w:rFonts w:ascii="宋体" w:hAnsi="宋体"/>
          <w:color w:val="000000" w:themeColor="text1"/>
          <w:szCs w:val="21"/>
          <w:highlight w:val="none"/>
          <w14:textFill>
            <w14:solidFill>
              <w14:schemeClr w14:val="tx1"/>
            </w14:solidFill>
          </w14:textFill>
        </w:rPr>
        <w:t>/www.zcygov.cn</w:t>
      </w:r>
      <w:r>
        <w:rPr>
          <w:rFonts w:hint="eastAsia" w:ascii="宋体" w:hAnsi="宋体"/>
          <w:color w:val="000000" w:themeColor="text1"/>
          <w:szCs w:val="21"/>
          <w:highlight w:val="none"/>
          <w14:textFill>
            <w14:solidFill>
              <w14:schemeClr w14:val="tx1"/>
            </w14:solidFill>
          </w14:textFill>
        </w:rPr>
        <w:t>）实行在线电子投标，投标人应先安装“政采云电子投标客户端”（请自行前往“政采云”平台进行下载），并按照本项目招标文件和“政采云”平台的要求编制、加密后在投标截止时间前通过网络上传至 “政采云”平台（加密的电子投标文件是指</w:t>
      </w:r>
      <w:r>
        <w:rPr>
          <w:rFonts w:hint="eastAsia"/>
          <w:color w:val="000000" w:themeColor="text1"/>
          <w:highlight w:val="none"/>
          <w14:textFill>
            <w14:solidFill>
              <w14:schemeClr w14:val="tx1"/>
            </w14:solidFill>
          </w14:textFill>
        </w:rPr>
        <w:t>后缀名为“jm</w:t>
      </w:r>
      <w:r>
        <w:rPr>
          <w:color w:val="000000" w:themeColor="text1"/>
          <w:highlight w:val="none"/>
          <w14:textFill>
            <w14:solidFill>
              <w14:schemeClr w14:val="tx1"/>
            </w14:solidFill>
          </w14:textFill>
        </w:rPr>
        <w:t>bs</w:t>
      </w:r>
      <w:r>
        <w:rPr>
          <w:rFonts w:hint="eastAsia"/>
          <w:color w:val="000000" w:themeColor="text1"/>
          <w:highlight w:val="none"/>
          <w14:textFill>
            <w14:solidFill>
              <w14:schemeClr w14:val="tx1"/>
            </w14:solidFill>
          </w14:textFill>
        </w:rPr>
        <w:t>”的文件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投标人在“政采云”平台提交电子投标文件时，请填写参加远程开标活动经办人联系方式。</w:t>
      </w:r>
      <w:r>
        <w:rPr>
          <w:rFonts w:hint="eastAsia" w:ascii="宋体" w:hAnsi="宋体"/>
          <w:color w:val="000000" w:themeColor="text1"/>
          <w:szCs w:val="21"/>
          <w:highlight w:val="none"/>
          <w14:textFill>
            <w14:solidFill>
              <w14:schemeClr w14:val="tx1"/>
            </w14:solidFill>
          </w14:textFill>
        </w:rPr>
        <w:t>投标人登录“政采云”平台，依次进入“服务中心-项目采购-操作流程-电子招投标-</w:t>
      </w:r>
      <w:r>
        <w:rPr>
          <w:color w:val="000000" w:themeColor="text1"/>
          <w:highlight w:val="none"/>
          <w14:textFill>
            <w14:solidFill>
              <w14:schemeClr w14:val="tx1"/>
            </w14:solidFill>
          </w14:textFill>
        </w:rPr>
        <w:t>政府采购项目电子交易管理操作指南-供应商</w:t>
      </w:r>
      <w:r>
        <w:rPr>
          <w:rFonts w:hint="eastAsia" w:ascii="宋体" w:hAnsi="宋体"/>
          <w:color w:val="000000" w:themeColor="text1"/>
          <w:szCs w:val="21"/>
          <w:highlight w:val="none"/>
          <w14:textFill>
            <w14:solidFill>
              <w14:schemeClr w14:val="tx1"/>
            </w14:solidFill>
          </w14:textFill>
        </w:rPr>
        <w:t>”查看电子投标具体操作流程。</w:t>
      </w:r>
    </w:p>
    <w:p>
      <w:pPr>
        <w:keepNext w:val="0"/>
        <w:keepLines w:val="0"/>
        <w:pageBreakBefore w:val="0"/>
        <w:widowControl/>
        <w:kinsoku/>
        <w:wordWrap/>
        <w:overflowPunct/>
        <w:topLinePunct w:val="0"/>
        <w:autoSpaceDE/>
        <w:autoSpaceDN/>
        <w:bidi w:val="0"/>
        <w:adjustRightInd/>
        <w:spacing w:line="460" w:lineRule="exact"/>
        <w:ind w:firstLine="420" w:firstLineChars="200"/>
        <w:jc w:val="left"/>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w:t>
      </w:r>
      <w:r>
        <w:rPr>
          <w:rFonts w:hint="eastAsia" w:ascii="宋体" w:hAnsi="宋体"/>
          <w:color w:val="000000" w:themeColor="text1"/>
          <w:szCs w:val="21"/>
          <w:highlight w:val="none"/>
          <w:lang w:eastAsia="zh-CN"/>
          <w14:textFill>
            <w14:solidFill>
              <w14:schemeClr w14:val="tx1"/>
            </w14:solidFill>
          </w14:textFill>
        </w:rPr>
        <w:t>登录</w:t>
      </w:r>
      <w:r>
        <w:rPr>
          <w:rFonts w:hint="eastAsia" w:ascii="宋体" w:hAnsi="宋体" w:cs="宋体"/>
          <w:color w:val="000000" w:themeColor="text1"/>
          <w:kern w:val="0"/>
          <w:szCs w:val="21"/>
          <w:highlight w:val="none"/>
          <w14:textFill>
            <w14:solidFill>
              <w14:schemeClr w14:val="tx1"/>
            </w14:solidFill>
          </w14:textFill>
        </w:rPr>
        <w:t>“政采云”平台，</w:t>
      </w:r>
      <w:r>
        <w:rPr>
          <w:rFonts w:hint="eastAsia" w:ascii="宋体" w:hAnsi="宋体"/>
          <w:color w:val="000000" w:themeColor="text1"/>
          <w:szCs w:val="21"/>
          <w:highlight w:val="none"/>
          <w14:textFill>
            <w14:solidFill>
              <w14:schemeClr w14:val="tx1"/>
            </w14:solidFill>
          </w14:textFill>
        </w:rPr>
        <w:t>依次进入“服务中心-入驻与配置”中查看CA数字证书办理操作流程。</w:t>
      </w:r>
      <w:r>
        <w:rPr>
          <w:rFonts w:hint="eastAsia" w:ascii="宋体" w:hAnsi="宋体" w:cs="宋体"/>
          <w:bCs/>
          <w:color w:val="000000" w:themeColor="text1"/>
          <w:kern w:val="0"/>
          <w:szCs w:val="21"/>
          <w:highlight w:val="none"/>
          <w14:textFill>
            <w14:solidFill>
              <w14:schemeClr w14:val="tx1"/>
            </w14:solidFill>
          </w14:textFill>
        </w:rPr>
        <w:t>如在操作过程中遇到问题或者需要技术支持，请致电政采云客服热线：400-881-7190</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val="0"/>
        <w:spacing w:line="460" w:lineRule="exact"/>
        <w:ind w:firstLine="420" w:firstLineChars="200"/>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（3）CA证书在线解密：投标人投标时，需凭制作投标文件时用来加密的有效数字证书（CA认证）登录“政采云”平台电子开标大厅现场按规定时间对加密的投标文件进行解密，否则后果自负。</w:t>
      </w:r>
    </w:p>
    <w:p>
      <w:pPr>
        <w:keepNext w:val="0"/>
        <w:keepLines w:val="0"/>
        <w:pageBreakBefore w:val="0"/>
        <w:kinsoku/>
        <w:wordWrap/>
        <w:overflowPunct/>
        <w:topLinePunct w:val="0"/>
        <w:autoSpaceDE/>
        <w:autoSpaceDN/>
        <w:bidi w:val="0"/>
        <w:adjustRightInd/>
        <w:spacing w:line="460" w:lineRule="exact"/>
        <w:ind w:firstLine="424" w:firstLineChars="202"/>
        <w:textAlignment w:val="auto"/>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注：1）为确保网上操作合法、有效和安全，请投标人确保在电子投标过程中能够对相关数据电文进行加密和使用电子签章，妥善保管C</w:t>
      </w:r>
      <w:r>
        <w:rPr>
          <w:rFonts w:ascii="宋体" w:hAnsi="宋体"/>
          <w:color w:val="000000" w:themeColor="text1"/>
          <w:szCs w:val="21"/>
          <w:highlight w:val="none"/>
          <w14:textFill>
            <w14:solidFill>
              <w14:schemeClr w14:val="tx1"/>
            </w14:solidFill>
          </w14:textFill>
        </w:rPr>
        <w:t>A</w:t>
      </w:r>
      <w:r>
        <w:rPr>
          <w:rFonts w:hint="eastAsia" w:ascii="宋体" w:hAnsi="宋体"/>
          <w:color w:val="000000" w:themeColor="text1"/>
          <w:szCs w:val="21"/>
          <w:highlight w:val="none"/>
          <w14:textFill>
            <w14:solidFill>
              <w14:schemeClr w14:val="tx1"/>
            </w14:solidFill>
          </w14:textFill>
        </w:rPr>
        <w:t>数字证书并使用有效的CA数字证书参与整个招标活动。2）</w:t>
      </w:r>
      <w:r>
        <w:rPr>
          <w:rFonts w:hint="eastAsia" w:ascii="宋体" w:hAnsi="宋体"/>
          <w:bCs/>
          <w:color w:val="000000" w:themeColor="text1"/>
          <w:szCs w:val="21"/>
          <w:highlight w:val="none"/>
          <w14:textFill>
            <w14:solidFill>
              <w14:schemeClr w14:val="tx1"/>
            </w14:solidFill>
          </w14:textFill>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w:t>
      </w:r>
    </w:p>
    <w:p>
      <w:pPr>
        <w:keepNext w:val="0"/>
        <w:keepLines w:val="0"/>
        <w:pageBreakBefore w:val="0"/>
        <w:kinsoku/>
        <w:wordWrap/>
        <w:overflowPunct/>
        <w:topLinePunct w:val="0"/>
        <w:autoSpaceDE/>
        <w:autoSpaceDN/>
        <w:bidi w:val="0"/>
        <w:adjustRightInd/>
        <w:spacing w:line="460" w:lineRule="exact"/>
        <w:textAlignment w:val="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七、对本次招标提出询问，请按</w:t>
      </w:r>
      <w:r>
        <w:rPr>
          <w:rFonts w:ascii="黑体" w:hAnsi="黑体" w:eastAsia="黑体"/>
          <w:b/>
          <w:bCs/>
          <w:color w:val="000000" w:themeColor="text1"/>
          <w:sz w:val="24"/>
          <w:highlight w:val="none"/>
          <w14:textFill>
            <w14:solidFill>
              <w14:schemeClr w14:val="tx1"/>
            </w14:solidFill>
          </w14:textFill>
        </w:rPr>
        <w:t>以下方式</w:t>
      </w:r>
      <w:r>
        <w:rPr>
          <w:rFonts w:hint="eastAsia" w:ascii="黑体" w:hAnsi="黑体" w:eastAsia="黑体"/>
          <w:b/>
          <w:bCs/>
          <w:color w:val="000000" w:themeColor="text1"/>
          <w:sz w:val="24"/>
          <w:highlight w:val="none"/>
          <w14:textFill>
            <w14:solidFill>
              <w14:schemeClr w14:val="tx1"/>
            </w14:solidFill>
          </w14:textFill>
        </w:rPr>
        <w:t>联系。</w:t>
      </w:r>
      <w:bookmarkEnd w:id="27"/>
      <w:bookmarkEnd w:id="28"/>
      <w:bookmarkEnd w:id="29"/>
      <w:bookmarkEnd w:id="30"/>
    </w:p>
    <w:p>
      <w:pPr>
        <w:keepNext w:val="0"/>
        <w:keepLines w:val="0"/>
        <w:pageBreakBefore w:val="0"/>
        <w:kinsoku/>
        <w:wordWrap/>
        <w:overflowPunct/>
        <w:topLinePunct w:val="0"/>
        <w:autoSpaceDE/>
        <w:autoSpaceDN/>
        <w:bidi w:val="0"/>
        <w:adjustRightInd/>
        <w:spacing w:line="460" w:lineRule="exact"/>
        <w:textAlignment w:val="auto"/>
        <w:rPr>
          <w:rStyle w:val="46"/>
          <w:color w:val="000000" w:themeColor="text1"/>
          <w:kern w:val="2"/>
          <w:sz w:val="21"/>
          <w:szCs w:val="21"/>
          <w:highlight w:val="none"/>
          <w14:textFill>
            <w14:solidFill>
              <w14:schemeClr w14:val="tx1"/>
            </w14:solidFill>
          </w14:textFill>
        </w:rPr>
      </w:pPr>
      <w:r>
        <w:rPr>
          <w:rStyle w:val="46"/>
          <w:rFonts w:hint="eastAsia"/>
          <w:color w:val="000000" w:themeColor="text1"/>
          <w:kern w:val="2"/>
          <w:sz w:val="21"/>
          <w:szCs w:val="21"/>
          <w:highlight w:val="none"/>
          <w:lang w:val="en-US" w:eastAsia="zh-CN"/>
          <w14:textFill>
            <w14:solidFill>
              <w14:schemeClr w14:val="tx1"/>
            </w14:solidFill>
          </w14:textFill>
        </w:rPr>
        <w:t>1.</w:t>
      </w:r>
      <w:r>
        <w:rPr>
          <w:rStyle w:val="46"/>
          <w:color w:val="000000" w:themeColor="text1"/>
          <w:kern w:val="2"/>
          <w:sz w:val="21"/>
          <w:szCs w:val="21"/>
          <w:highlight w:val="none"/>
          <w14:textFill>
            <w14:solidFill>
              <w14:schemeClr w14:val="tx1"/>
            </w14:solidFill>
          </w14:textFill>
        </w:rPr>
        <w:t>名 称：</w:t>
      </w:r>
      <w:r>
        <w:rPr>
          <w:rStyle w:val="46"/>
          <w:rFonts w:hint="eastAsia"/>
          <w:color w:val="000000" w:themeColor="text1"/>
          <w:kern w:val="2"/>
          <w:sz w:val="21"/>
          <w:szCs w:val="21"/>
          <w:highlight w:val="none"/>
          <w14:textFill>
            <w14:solidFill>
              <w14:schemeClr w14:val="tx1"/>
            </w14:solidFill>
          </w14:textFill>
        </w:rPr>
        <w:t>贺州市八步区文化广电和旅游局</w:t>
      </w:r>
    </w:p>
    <w:p>
      <w:pPr>
        <w:keepNext w:val="0"/>
        <w:keepLines w:val="0"/>
        <w:pageBreakBefore w:val="0"/>
        <w:kinsoku/>
        <w:wordWrap/>
        <w:overflowPunct/>
        <w:topLinePunct w:val="0"/>
        <w:autoSpaceDE/>
        <w:autoSpaceDN/>
        <w:bidi w:val="0"/>
        <w:adjustRightInd/>
        <w:spacing w:line="460" w:lineRule="exact"/>
        <w:textAlignment w:val="auto"/>
        <w:rPr>
          <w:rStyle w:val="46"/>
          <w:color w:val="000000" w:themeColor="text1"/>
          <w:kern w:val="2"/>
          <w:sz w:val="21"/>
          <w:szCs w:val="21"/>
          <w:highlight w:val="none"/>
          <w14:textFill>
            <w14:solidFill>
              <w14:schemeClr w14:val="tx1"/>
            </w14:solidFill>
          </w14:textFill>
        </w:rPr>
      </w:pPr>
      <w:r>
        <w:rPr>
          <w:rStyle w:val="46"/>
          <w:color w:val="000000" w:themeColor="text1"/>
          <w:kern w:val="2"/>
          <w:sz w:val="21"/>
          <w:szCs w:val="21"/>
          <w:highlight w:val="none"/>
          <w14:textFill>
            <w14:solidFill>
              <w14:schemeClr w14:val="tx1"/>
            </w14:solidFill>
          </w14:textFill>
        </w:rPr>
        <w:t>地 址：</w:t>
      </w:r>
      <w:r>
        <w:rPr>
          <w:rStyle w:val="46"/>
          <w:rFonts w:hint="eastAsia"/>
          <w:color w:val="000000" w:themeColor="text1"/>
          <w:kern w:val="2"/>
          <w:sz w:val="21"/>
          <w:szCs w:val="21"/>
          <w:highlight w:val="none"/>
          <w14:textFill>
            <w14:solidFill>
              <w14:schemeClr w14:val="tx1"/>
            </w14:solidFill>
          </w14:textFill>
        </w:rPr>
        <w:t>贺州市八步区</w:t>
      </w:r>
      <w:r>
        <w:rPr>
          <w:rStyle w:val="46"/>
          <w:rFonts w:hint="eastAsia"/>
          <w:color w:val="000000" w:themeColor="text1"/>
          <w:kern w:val="2"/>
          <w:sz w:val="21"/>
          <w:szCs w:val="21"/>
          <w:highlight w:val="none"/>
          <w:lang w:eastAsia="zh-CN"/>
          <w14:textFill>
            <w14:solidFill>
              <w14:schemeClr w14:val="tx1"/>
            </w14:solidFill>
          </w14:textFill>
        </w:rPr>
        <w:t>人民路</w:t>
      </w:r>
      <w:r>
        <w:rPr>
          <w:rStyle w:val="46"/>
          <w:rFonts w:hint="eastAsia"/>
          <w:color w:val="000000" w:themeColor="text1"/>
          <w:kern w:val="2"/>
          <w:sz w:val="21"/>
          <w:szCs w:val="21"/>
          <w:highlight w:val="none"/>
          <w:lang w:val="en-US" w:eastAsia="zh-CN"/>
          <w14:textFill>
            <w14:solidFill>
              <w14:schemeClr w14:val="tx1"/>
            </w14:solidFill>
          </w14:textFill>
        </w:rPr>
        <w:t>15号</w:t>
      </w:r>
    </w:p>
    <w:p>
      <w:pPr>
        <w:keepNext w:val="0"/>
        <w:keepLines w:val="0"/>
        <w:pageBreakBefore w:val="0"/>
        <w:kinsoku/>
        <w:wordWrap/>
        <w:overflowPunct/>
        <w:topLinePunct w:val="0"/>
        <w:autoSpaceDE/>
        <w:autoSpaceDN/>
        <w:bidi w:val="0"/>
        <w:adjustRightInd/>
        <w:spacing w:line="460" w:lineRule="exact"/>
        <w:textAlignment w:val="auto"/>
        <w:rPr>
          <w:rStyle w:val="46"/>
          <w:color w:val="000000" w:themeColor="text1"/>
          <w:kern w:val="2"/>
          <w:sz w:val="21"/>
          <w:szCs w:val="21"/>
          <w:highlight w:val="none"/>
          <w14:textFill>
            <w14:solidFill>
              <w14:schemeClr w14:val="tx1"/>
            </w14:solidFill>
          </w14:textFill>
        </w:rPr>
      </w:pPr>
      <w:r>
        <w:rPr>
          <w:rStyle w:val="46"/>
          <w:color w:val="000000" w:themeColor="text1"/>
          <w:kern w:val="2"/>
          <w:sz w:val="21"/>
          <w:szCs w:val="21"/>
          <w:highlight w:val="none"/>
          <w14:textFill>
            <w14:solidFill>
              <w14:schemeClr w14:val="tx1"/>
            </w14:solidFill>
          </w14:textFill>
        </w:rPr>
        <w:t>联系人：</w:t>
      </w:r>
      <w:r>
        <w:rPr>
          <w:rStyle w:val="46"/>
          <w:rFonts w:hint="eastAsia"/>
          <w:color w:val="000000" w:themeColor="text1"/>
          <w:kern w:val="2"/>
          <w:sz w:val="21"/>
          <w:szCs w:val="21"/>
          <w:highlight w:val="none"/>
          <w14:textFill>
            <w14:solidFill>
              <w14:schemeClr w14:val="tx1"/>
            </w14:solidFill>
          </w14:textFill>
        </w:rPr>
        <w:t>韦冬</w:t>
      </w:r>
      <w:r>
        <w:rPr>
          <w:rStyle w:val="46"/>
          <w:color w:val="000000" w:themeColor="text1"/>
          <w:kern w:val="2"/>
          <w:sz w:val="21"/>
          <w:szCs w:val="21"/>
          <w:highlight w:val="none"/>
          <w14:textFill>
            <w14:solidFill>
              <w14:schemeClr w14:val="tx1"/>
            </w14:solidFill>
          </w14:textFill>
        </w:rPr>
        <w:t xml:space="preserve">  联系电话：</w:t>
      </w:r>
      <w:r>
        <w:rPr>
          <w:rStyle w:val="46"/>
          <w:rFonts w:hint="eastAsia"/>
          <w:color w:val="000000" w:themeColor="text1"/>
          <w:kern w:val="2"/>
          <w:sz w:val="21"/>
          <w:szCs w:val="21"/>
          <w:highlight w:val="none"/>
          <w14:textFill>
            <w14:solidFill>
              <w14:schemeClr w14:val="tx1"/>
            </w14:solidFill>
          </w14:textFill>
        </w:rPr>
        <w:t>0774-5286085</w:t>
      </w:r>
    </w:p>
    <w:p>
      <w:pPr>
        <w:keepNext w:val="0"/>
        <w:keepLines w:val="0"/>
        <w:pageBreakBefore w:val="0"/>
        <w:kinsoku/>
        <w:wordWrap/>
        <w:overflowPunct/>
        <w:topLinePunct w:val="0"/>
        <w:autoSpaceDE/>
        <w:autoSpaceDN/>
        <w:bidi w:val="0"/>
        <w:adjustRightInd/>
        <w:spacing w:line="460" w:lineRule="exact"/>
        <w:textAlignment w:val="auto"/>
        <w:rPr>
          <w:rStyle w:val="46"/>
          <w:color w:val="000000" w:themeColor="text1"/>
          <w:kern w:val="2"/>
          <w:sz w:val="21"/>
          <w:szCs w:val="21"/>
          <w:highlight w:val="none"/>
          <w14:textFill>
            <w14:solidFill>
              <w14:schemeClr w14:val="tx1"/>
            </w14:solidFill>
          </w14:textFill>
        </w:rPr>
      </w:pPr>
      <w:r>
        <w:rPr>
          <w:rStyle w:val="46"/>
          <w:color w:val="000000" w:themeColor="text1"/>
          <w:kern w:val="2"/>
          <w:sz w:val="21"/>
          <w:szCs w:val="21"/>
          <w:highlight w:val="none"/>
          <w14:textFill>
            <w14:solidFill>
              <w14:schemeClr w14:val="tx1"/>
            </w14:solidFill>
          </w14:textFill>
        </w:rPr>
        <w:t>2.采购代理机构信息</w:t>
      </w:r>
    </w:p>
    <w:p>
      <w:pPr>
        <w:keepNext w:val="0"/>
        <w:keepLines w:val="0"/>
        <w:pageBreakBefore w:val="0"/>
        <w:kinsoku/>
        <w:wordWrap/>
        <w:overflowPunct/>
        <w:topLinePunct w:val="0"/>
        <w:autoSpaceDE/>
        <w:autoSpaceDN/>
        <w:bidi w:val="0"/>
        <w:adjustRightInd/>
        <w:spacing w:line="460" w:lineRule="exact"/>
        <w:jc w:val="both"/>
        <w:textAlignment w:val="auto"/>
        <w:rPr>
          <w:rStyle w:val="46"/>
          <w:rFonts w:hint="eastAsia" w:eastAsia="宋体"/>
          <w:color w:val="000000" w:themeColor="text1"/>
          <w:kern w:val="2"/>
          <w:sz w:val="21"/>
          <w:szCs w:val="21"/>
          <w:highlight w:val="none"/>
          <w:lang w:eastAsia="zh-CN"/>
          <w14:textFill>
            <w14:solidFill>
              <w14:schemeClr w14:val="tx1"/>
            </w14:solidFill>
          </w14:textFill>
        </w:rPr>
      </w:pPr>
      <w:r>
        <w:rPr>
          <w:rStyle w:val="46"/>
          <w:color w:val="000000" w:themeColor="text1"/>
          <w:kern w:val="2"/>
          <w:sz w:val="21"/>
          <w:szCs w:val="21"/>
          <w:highlight w:val="none"/>
          <w14:textFill>
            <w14:solidFill>
              <w14:schemeClr w14:val="tx1"/>
            </w14:solidFill>
          </w14:textFill>
        </w:rPr>
        <w:t xml:space="preserve">名  称： </w:t>
      </w:r>
      <w:r>
        <w:rPr>
          <w:rStyle w:val="46"/>
          <w:rFonts w:hint="eastAsia"/>
          <w:color w:val="000000" w:themeColor="text1"/>
          <w:kern w:val="2"/>
          <w:sz w:val="21"/>
          <w:szCs w:val="21"/>
          <w:highlight w:val="none"/>
          <w:lang w:eastAsia="zh-CN"/>
          <w14:textFill>
            <w14:solidFill>
              <w14:schemeClr w14:val="tx1"/>
            </w14:solidFill>
          </w14:textFill>
        </w:rPr>
        <w:t>云之龙咨询集团有限公司</w:t>
      </w:r>
    </w:p>
    <w:p>
      <w:pPr>
        <w:keepNext w:val="0"/>
        <w:keepLines w:val="0"/>
        <w:pageBreakBefore w:val="0"/>
        <w:kinsoku/>
        <w:wordWrap/>
        <w:overflowPunct/>
        <w:topLinePunct w:val="0"/>
        <w:autoSpaceDE/>
        <w:autoSpaceDN/>
        <w:bidi w:val="0"/>
        <w:adjustRightInd/>
        <w:spacing w:line="460" w:lineRule="exact"/>
        <w:jc w:val="both"/>
        <w:textAlignment w:val="auto"/>
        <w:rPr>
          <w:rStyle w:val="46"/>
          <w:color w:val="000000" w:themeColor="text1"/>
          <w:kern w:val="2"/>
          <w:sz w:val="21"/>
          <w:szCs w:val="21"/>
          <w:highlight w:val="none"/>
          <w14:textFill>
            <w14:solidFill>
              <w14:schemeClr w14:val="tx1"/>
            </w14:solidFill>
          </w14:textFill>
        </w:rPr>
      </w:pPr>
      <w:r>
        <w:rPr>
          <w:rStyle w:val="46"/>
          <w:color w:val="000000" w:themeColor="text1"/>
          <w:kern w:val="2"/>
          <w:sz w:val="21"/>
          <w:szCs w:val="21"/>
          <w:highlight w:val="none"/>
          <w14:textFill>
            <w14:solidFill>
              <w14:schemeClr w14:val="tx1"/>
            </w14:solidFill>
          </w14:textFill>
        </w:rPr>
        <w:t>地　址：</w:t>
      </w:r>
      <w:r>
        <w:rPr>
          <w:rStyle w:val="46"/>
          <w:rFonts w:hint="eastAsia"/>
          <w:color w:val="000000" w:themeColor="text1"/>
          <w:kern w:val="2"/>
          <w:sz w:val="21"/>
          <w:szCs w:val="21"/>
          <w:highlight w:val="none"/>
          <w:lang w:eastAsia="zh-CN"/>
          <w14:textFill>
            <w14:solidFill>
              <w14:schemeClr w14:val="tx1"/>
            </w14:solidFill>
          </w14:textFill>
        </w:rPr>
        <w:t>云之龙咨询集团有限公司（贺州市八步区翔云街87号金丰大厦5层）</w:t>
      </w:r>
    </w:p>
    <w:p>
      <w:pPr>
        <w:keepNext w:val="0"/>
        <w:keepLines w:val="0"/>
        <w:pageBreakBefore w:val="0"/>
        <w:kinsoku/>
        <w:wordWrap/>
        <w:overflowPunct/>
        <w:topLinePunct w:val="0"/>
        <w:autoSpaceDE/>
        <w:autoSpaceDN/>
        <w:bidi w:val="0"/>
        <w:adjustRightInd/>
        <w:spacing w:line="460" w:lineRule="exact"/>
        <w:jc w:val="both"/>
        <w:textAlignment w:val="auto"/>
        <w:rPr>
          <w:rStyle w:val="46"/>
          <w:color w:val="000000" w:themeColor="text1"/>
          <w:kern w:val="2"/>
          <w:sz w:val="21"/>
          <w:szCs w:val="21"/>
          <w:highlight w:val="none"/>
          <w14:textFill>
            <w14:solidFill>
              <w14:schemeClr w14:val="tx1"/>
            </w14:solidFill>
          </w14:textFill>
        </w:rPr>
      </w:pPr>
      <w:r>
        <w:rPr>
          <w:rStyle w:val="46"/>
          <w:color w:val="000000" w:themeColor="text1"/>
          <w:kern w:val="2"/>
          <w:sz w:val="21"/>
          <w:szCs w:val="21"/>
          <w:highlight w:val="none"/>
          <w14:textFill>
            <w14:solidFill>
              <w14:schemeClr w14:val="tx1"/>
            </w14:solidFill>
          </w14:textFill>
        </w:rPr>
        <w:t>联系方式：</w:t>
      </w:r>
      <w:r>
        <w:rPr>
          <w:rStyle w:val="46"/>
          <w:rFonts w:hint="eastAsia"/>
          <w:color w:val="000000" w:themeColor="text1"/>
          <w:kern w:val="2"/>
          <w:sz w:val="21"/>
          <w:szCs w:val="21"/>
          <w:highlight w:val="none"/>
          <w14:textFill>
            <w14:solidFill>
              <w14:schemeClr w14:val="tx1"/>
            </w14:solidFill>
          </w14:textFill>
        </w:rPr>
        <w:t>梁洁华、</w:t>
      </w:r>
      <w:r>
        <w:rPr>
          <w:rStyle w:val="46"/>
          <w:rFonts w:hint="eastAsia"/>
          <w:color w:val="000000" w:themeColor="text1"/>
          <w:kern w:val="2"/>
          <w:sz w:val="21"/>
          <w:szCs w:val="21"/>
          <w:highlight w:val="none"/>
          <w:lang w:eastAsia="zh-CN"/>
          <w14:textFill>
            <w14:solidFill>
              <w14:schemeClr w14:val="tx1"/>
            </w14:solidFill>
          </w14:textFill>
        </w:rPr>
        <w:t>韦明剑、</w:t>
      </w:r>
      <w:r>
        <w:rPr>
          <w:rStyle w:val="46"/>
          <w:rFonts w:hint="eastAsia"/>
          <w:color w:val="000000" w:themeColor="text1"/>
          <w:kern w:val="2"/>
          <w:sz w:val="21"/>
          <w:szCs w:val="21"/>
          <w:highlight w:val="none"/>
          <w14:textFill>
            <w14:solidFill>
              <w14:schemeClr w14:val="tx1"/>
            </w14:solidFill>
          </w14:textFill>
        </w:rPr>
        <w:t>罗云骏</w:t>
      </w:r>
      <w:r>
        <w:rPr>
          <w:rStyle w:val="46"/>
          <w:rFonts w:hint="eastAsia"/>
          <w:color w:val="000000" w:themeColor="text1"/>
          <w:kern w:val="2"/>
          <w:sz w:val="21"/>
          <w:szCs w:val="21"/>
          <w:highlight w:val="none"/>
          <w:lang w:eastAsia="zh-CN"/>
          <w14:textFill>
            <w14:solidFill>
              <w14:schemeClr w14:val="tx1"/>
            </w14:solidFill>
          </w14:textFill>
        </w:rPr>
        <w:t>、康瀞予</w:t>
      </w:r>
      <w:r>
        <w:rPr>
          <w:rStyle w:val="46"/>
          <w:color w:val="000000" w:themeColor="text1"/>
          <w:kern w:val="2"/>
          <w:sz w:val="21"/>
          <w:szCs w:val="21"/>
          <w:highlight w:val="none"/>
          <w14:textFill>
            <w14:solidFill>
              <w14:schemeClr w14:val="tx1"/>
            </w14:solidFill>
          </w14:textFill>
        </w:rPr>
        <w:t>，联系电话：</w:t>
      </w:r>
      <w:r>
        <w:rPr>
          <w:rStyle w:val="46"/>
          <w:rFonts w:hint="eastAsia"/>
          <w:color w:val="000000" w:themeColor="text1"/>
          <w:kern w:val="2"/>
          <w:sz w:val="21"/>
          <w:szCs w:val="21"/>
          <w:highlight w:val="none"/>
          <w14:textFill>
            <w14:solidFill>
              <w14:schemeClr w14:val="tx1"/>
            </w14:solidFill>
          </w14:textFill>
        </w:rPr>
        <w:t>0774-5285056</w:t>
      </w:r>
      <w:r>
        <w:rPr>
          <w:rStyle w:val="46"/>
          <w:color w:val="000000" w:themeColor="text1"/>
          <w:kern w:val="2"/>
          <w:sz w:val="21"/>
          <w:szCs w:val="21"/>
          <w:highlight w:val="none"/>
          <w14:textFill>
            <w14:solidFill>
              <w14:schemeClr w14:val="tx1"/>
            </w14:solidFill>
          </w14:textFill>
        </w:rPr>
        <w:t>，传真：</w:t>
      </w:r>
      <w:r>
        <w:rPr>
          <w:rStyle w:val="46"/>
          <w:rFonts w:hint="eastAsia"/>
          <w:color w:val="000000" w:themeColor="text1"/>
          <w:kern w:val="2"/>
          <w:sz w:val="21"/>
          <w:szCs w:val="21"/>
          <w:highlight w:val="none"/>
          <w14:textFill>
            <w14:solidFill>
              <w14:schemeClr w14:val="tx1"/>
            </w14:solidFill>
          </w14:textFill>
        </w:rPr>
        <w:t>0774-5285091</w:t>
      </w:r>
    </w:p>
    <w:p>
      <w:pPr>
        <w:keepNext w:val="0"/>
        <w:keepLines w:val="0"/>
        <w:pageBreakBefore w:val="0"/>
        <w:kinsoku/>
        <w:wordWrap/>
        <w:overflowPunct/>
        <w:topLinePunct w:val="0"/>
        <w:autoSpaceDE/>
        <w:autoSpaceDN/>
        <w:bidi w:val="0"/>
        <w:adjustRightInd/>
        <w:spacing w:line="460" w:lineRule="exact"/>
        <w:jc w:val="both"/>
        <w:textAlignment w:val="auto"/>
        <w:rPr>
          <w:rStyle w:val="46"/>
          <w:color w:val="000000" w:themeColor="text1"/>
          <w:kern w:val="2"/>
          <w:sz w:val="21"/>
          <w:szCs w:val="21"/>
          <w:highlight w:val="none"/>
          <w:u w:val="single"/>
          <w14:textFill>
            <w14:solidFill>
              <w14:schemeClr w14:val="tx1"/>
            </w14:solidFill>
          </w14:textFill>
        </w:rPr>
      </w:pPr>
      <w:r>
        <w:rPr>
          <w:rStyle w:val="46"/>
          <w:color w:val="000000" w:themeColor="text1"/>
          <w:kern w:val="2"/>
          <w:sz w:val="21"/>
          <w:szCs w:val="21"/>
          <w:highlight w:val="none"/>
          <w14:textFill>
            <w14:solidFill>
              <w14:schemeClr w14:val="tx1"/>
            </w14:solidFill>
          </w14:textFill>
        </w:rPr>
        <w:t>3.项目联系方式</w:t>
      </w:r>
    </w:p>
    <w:p>
      <w:pPr>
        <w:keepNext w:val="0"/>
        <w:keepLines w:val="0"/>
        <w:pageBreakBefore w:val="0"/>
        <w:kinsoku/>
        <w:wordWrap/>
        <w:overflowPunct/>
        <w:topLinePunct w:val="0"/>
        <w:autoSpaceDE/>
        <w:autoSpaceDN/>
        <w:bidi w:val="0"/>
        <w:adjustRightInd/>
        <w:spacing w:line="460" w:lineRule="exact"/>
        <w:jc w:val="both"/>
        <w:textAlignment w:val="auto"/>
        <w:rPr>
          <w:rStyle w:val="46"/>
          <w:color w:val="000000" w:themeColor="text1"/>
          <w:kern w:val="2"/>
          <w:sz w:val="21"/>
          <w:szCs w:val="21"/>
          <w:highlight w:val="none"/>
          <w14:textFill>
            <w14:solidFill>
              <w14:schemeClr w14:val="tx1"/>
            </w14:solidFill>
          </w14:textFill>
        </w:rPr>
      </w:pPr>
      <w:r>
        <w:rPr>
          <w:rStyle w:val="46"/>
          <w:color w:val="000000" w:themeColor="text1"/>
          <w:kern w:val="2"/>
          <w:sz w:val="21"/>
          <w:szCs w:val="21"/>
          <w:highlight w:val="none"/>
          <w14:textFill>
            <w14:solidFill>
              <w14:schemeClr w14:val="tx1"/>
            </w14:solidFill>
          </w14:textFill>
        </w:rPr>
        <w:t>项目联系人：</w:t>
      </w:r>
      <w:r>
        <w:rPr>
          <w:rStyle w:val="46"/>
          <w:rFonts w:hint="eastAsia"/>
          <w:color w:val="000000" w:themeColor="text1"/>
          <w:kern w:val="2"/>
          <w:sz w:val="21"/>
          <w:szCs w:val="21"/>
          <w:highlight w:val="none"/>
          <w:lang w:eastAsia="zh-CN"/>
          <w14:textFill>
            <w14:solidFill>
              <w14:schemeClr w14:val="tx1"/>
            </w14:solidFill>
          </w14:textFill>
        </w:rPr>
        <w:t>梁洁华、韦明剑、罗云骏、康瀞予</w:t>
      </w:r>
      <w:r>
        <w:rPr>
          <w:rStyle w:val="46"/>
          <w:rFonts w:hint="eastAsia"/>
          <w:color w:val="000000" w:themeColor="text1"/>
          <w:kern w:val="2"/>
          <w:sz w:val="21"/>
          <w:szCs w:val="21"/>
          <w:highlight w:val="none"/>
          <w14:textFill>
            <w14:solidFill>
              <w14:schemeClr w14:val="tx1"/>
            </w14:solidFill>
          </w14:textFill>
        </w:rPr>
        <w:t>，</w:t>
      </w:r>
      <w:r>
        <w:rPr>
          <w:rStyle w:val="46"/>
          <w:color w:val="000000" w:themeColor="text1"/>
          <w:kern w:val="2"/>
          <w:sz w:val="21"/>
          <w:szCs w:val="21"/>
          <w:highlight w:val="none"/>
          <w14:textFill>
            <w14:solidFill>
              <w14:schemeClr w14:val="tx1"/>
            </w14:solidFill>
          </w14:textFill>
        </w:rPr>
        <w:t>电　话：</w:t>
      </w:r>
      <w:r>
        <w:rPr>
          <w:rStyle w:val="46"/>
          <w:rFonts w:hint="eastAsia"/>
          <w:color w:val="000000" w:themeColor="text1"/>
          <w:kern w:val="2"/>
          <w:sz w:val="21"/>
          <w:szCs w:val="21"/>
          <w:highlight w:val="none"/>
          <w14:textFill>
            <w14:solidFill>
              <w14:schemeClr w14:val="tx1"/>
            </w14:solidFill>
          </w14:textFill>
        </w:rPr>
        <w:t>0774-5285056</w:t>
      </w:r>
    </w:p>
    <w:p>
      <w:pPr>
        <w:keepNext w:val="0"/>
        <w:keepLines w:val="0"/>
        <w:pageBreakBefore w:val="0"/>
        <w:kinsoku/>
        <w:wordWrap/>
        <w:overflowPunct/>
        <w:topLinePunct w:val="0"/>
        <w:autoSpaceDE/>
        <w:autoSpaceDN/>
        <w:bidi w:val="0"/>
        <w:adjustRightInd/>
        <w:spacing w:line="460" w:lineRule="exact"/>
        <w:jc w:val="both"/>
        <w:textAlignment w:val="auto"/>
        <w:rPr>
          <w:rStyle w:val="46"/>
          <w:rFonts w:hint="eastAsia" w:ascii="宋体" w:hAnsi="宋体" w:eastAsia="宋体" w:cs="宋体"/>
          <w:color w:val="000000" w:themeColor="text1"/>
          <w:kern w:val="2"/>
          <w:sz w:val="21"/>
          <w:szCs w:val="21"/>
          <w:highlight w:val="none"/>
          <w:lang w:eastAsia="zh-CN"/>
          <w14:textFill>
            <w14:solidFill>
              <w14:schemeClr w14:val="tx1"/>
            </w14:solidFill>
          </w14:textFill>
        </w:rPr>
      </w:pPr>
      <w:r>
        <w:rPr>
          <w:rStyle w:val="46"/>
          <w:rFonts w:hint="eastAsia" w:ascii="宋体" w:hAnsi="宋体" w:eastAsia="宋体" w:cs="宋体"/>
          <w:color w:val="000000" w:themeColor="text1"/>
          <w:kern w:val="2"/>
          <w:sz w:val="21"/>
          <w:szCs w:val="21"/>
          <w:highlight w:val="none"/>
          <w:lang w:eastAsia="zh-CN"/>
          <w14:textFill>
            <w14:solidFill>
              <w14:schemeClr w14:val="tx1"/>
            </w14:solidFill>
          </w14:textFill>
        </w:rPr>
        <w:t>4.监督管理部门：贺州市八步区政府采购管理办公室，联系电话：0774-5281873</w:t>
      </w:r>
    </w:p>
    <w:p>
      <w:pPr>
        <w:keepNext w:val="0"/>
        <w:keepLines w:val="0"/>
        <w:pageBreakBefore w:val="0"/>
        <w:kinsoku/>
        <w:overflowPunct/>
        <w:topLinePunct w:val="0"/>
        <w:autoSpaceDE/>
        <w:autoSpaceDN/>
        <w:bidi w:val="0"/>
        <w:adjustRightInd/>
        <w:spacing w:line="440" w:lineRule="exact"/>
        <w:ind w:firstLine="735" w:firstLineChars="350"/>
        <w:textAlignment w:val="auto"/>
        <w:rPr>
          <w:rFonts w:ascii="宋体" w:hAnsi="宋体"/>
          <w:color w:val="000000" w:themeColor="text1"/>
          <w:szCs w:val="21"/>
          <w:highlight w:val="none"/>
          <w14:textFill>
            <w14:solidFill>
              <w14:schemeClr w14:val="tx1"/>
            </w14:solidFill>
          </w14:textFill>
        </w:rPr>
      </w:pPr>
    </w:p>
    <w:p>
      <w:pPr>
        <w:keepNext w:val="0"/>
        <w:keepLines w:val="0"/>
        <w:pageBreakBefore w:val="0"/>
        <w:kinsoku/>
        <w:overflowPunct/>
        <w:topLinePunct w:val="0"/>
        <w:autoSpaceDE/>
        <w:autoSpaceDN/>
        <w:bidi w:val="0"/>
        <w:adjustRightInd/>
        <w:spacing w:line="440" w:lineRule="exact"/>
        <w:textAlignment w:val="auto"/>
        <w:rPr>
          <w:rFonts w:ascii="宋体" w:hAnsi="宋体"/>
          <w:color w:val="000000" w:themeColor="text1"/>
          <w:szCs w:val="21"/>
          <w:highlight w:val="none"/>
          <w14:textFill>
            <w14:solidFill>
              <w14:schemeClr w14:val="tx1"/>
            </w14:solidFill>
          </w14:textFill>
        </w:rPr>
      </w:pPr>
    </w:p>
    <w:p>
      <w:pPr>
        <w:keepNext w:val="0"/>
        <w:keepLines w:val="0"/>
        <w:pageBreakBefore w:val="0"/>
        <w:kinsoku/>
        <w:overflowPunct/>
        <w:topLinePunct w:val="0"/>
        <w:autoSpaceDE/>
        <w:autoSpaceDN/>
        <w:bidi w:val="0"/>
        <w:adjustRightInd/>
        <w:spacing w:line="440" w:lineRule="exact"/>
        <w:jc w:val="right"/>
        <w:textAlignment w:val="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u w:val="single"/>
          <w:lang w:eastAsia="zh-CN"/>
          <w14:textFill>
            <w14:solidFill>
              <w14:schemeClr w14:val="tx1"/>
            </w14:solidFill>
          </w14:textFill>
        </w:rPr>
        <w:t>云之龙咨询集团有限公司</w:t>
      </w:r>
    </w:p>
    <w:p>
      <w:pPr>
        <w:keepNext w:val="0"/>
        <w:keepLines w:val="0"/>
        <w:pageBreakBefore w:val="0"/>
        <w:kinsoku/>
        <w:wordWrap w:val="0"/>
        <w:overflowPunct/>
        <w:topLinePunct w:val="0"/>
        <w:autoSpaceDE/>
        <w:autoSpaceDN/>
        <w:bidi w:val="0"/>
        <w:adjustRightInd/>
        <w:spacing w:line="440" w:lineRule="exact"/>
        <w:ind w:firstLine="210" w:firstLineChars="100"/>
        <w:jc w:val="right"/>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u w:val="single"/>
          <w:lang w:val="en-US" w:eastAsia="zh-CN"/>
          <w14:textFill>
            <w14:solidFill>
              <w14:schemeClr w14:val="tx1"/>
            </w14:solidFill>
          </w14:textFill>
        </w:rPr>
        <w:t>2023</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lang w:val="en-US" w:eastAsia="zh-CN"/>
          <w14:textFill>
            <w14:solidFill>
              <w14:schemeClr w14:val="tx1"/>
            </w14:solidFill>
          </w14:textFill>
        </w:rPr>
        <w:t>18</w:t>
      </w:r>
      <w:r>
        <w:rPr>
          <w:rFonts w:hint="eastAsia" w:ascii="宋体" w:hAnsi="宋体"/>
          <w:color w:val="000000" w:themeColor="text1"/>
          <w:szCs w:val="21"/>
          <w:highlight w:val="none"/>
          <w14:textFill>
            <w14:solidFill>
              <w14:schemeClr w14:val="tx1"/>
            </w14:solidFill>
          </w14:textFill>
        </w:rPr>
        <w:t>日</w:t>
      </w:r>
    </w:p>
    <w:p>
      <w:pPr>
        <w:snapToGrid w:val="0"/>
        <w:spacing w:line="360" w:lineRule="auto"/>
        <w:ind w:firstLine="420"/>
        <w:rPr>
          <w:rFonts w:ascii="宋体" w:hAnsi="宋体" w:cs="宋体"/>
          <w:color w:val="000000" w:themeColor="text1"/>
          <w:sz w:val="24"/>
          <w:highlight w:val="none"/>
          <w:lang w:val="zh-CN"/>
          <w14:textFill>
            <w14:solidFill>
              <w14:schemeClr w14:val="tx1"/>
            </w14:solidFill>
          </w14:textFill>
        </w:rPr>
        <w:sectPr>
          <w:headerReference r:id="rId3" w:type="default"/>
          <w:footerReference r:id="rId4" w:type="default"/>
          <w:pgSz w:w="11906" w:h="16838"/>
          <w:pgMar w:top="1134" w:right="1134" w:bottom="1134" w:left="1134" w:header="720" w:footer="720" w:gutter="0"/>
          <w:pgNumType w:start="1"/>
          <w:cols w:space="720" w:num="1"/>
          <w:docGrid w:type="lines" w:linePitch="331" w:charSpace="0"/>
        </w:sectPr>
      </w:pPr>
    </w:p>
    <w:p>
      <w:pPr>
        <w:pStyle w:val="4"/>
        <w:bidi w:val="0"/>
        <w:jc w:val="center"/>
        <w:rPr>
          <w:color w:val="000000" w:themeColor="text1"/>
          <w:highlight w:val="none"/>
          <w14:textFill>
            <w14:solidFill>
              <w14:schemeClr w14:val="tx1"/>
            </w14:solidFill>
          </w14:textFill>
        </w:rPr>
      </w:pPr>
      <w:bookmarkStart w:id="33" w:name="_Toc532545042"/>
      <w:bookmarkStart w:id="34" w:name="_Toc8467"/>
      <w:r>
        <w:rPr>
          <w:rFonts w:hint="eastAsia"/>
          <w:color w:val="000000" w:themeColor="text1"/>
          <w:highlight w:val="none"/>
          <w14:textFill>
            <w14:solidFill>
              <w14:schemeClr w14:val="tx1"/>
            </w14:solidFill>
          </w14:textFill>
        </w:rPr>
        <w:t>第二章</w:t>
      </w:r>
      <w:r>
        <w:rPr>
          <w:color w:val="000000" w:themeColor="text1"/>
          <w:highlight w:val="none"/>
          <w14:textFill>
            <w14:solidFill>
              <w14:schemeClr w14:val="tx1"/>
            </w14:solidFill>
          </w14:textFill>
        </w:rPr>
        <w:t xml:space="preserve">  </w:t>
      </w:r>
      <w:bookmarkEnd w:id="33"/>
      <w:r>
        <w:rPr>
          <w:rFonts w:hint="eastAsia"/>
          <w:color w:val="000000" w:themeColor="text1"/>
          <w:highlight w:val="none"/>
          <w14:textFill>
            <w14:solidFill>
              <w14:schemeClr w14:val="tx1"/>
            </w14:solidFill>
          </w14:textFill>
        </w:rPr>
        <w:t>采购需求</w:t>
      </w:r>
      <w:bookmarkEnd w:id="34"/>
    </w:p>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bookmarkStart w:id="35" w:name="_Toc532545044"/>
      <w:r>
        <w:rPr>
          <w:rFonts w:hint="eastAsia" w:ascii="宋体" w:hAnsi="宋体" w:eastAsia="宋体" w:cs="宋体"/>
          <w:color w:val="000000" w:themeColor="text1"/>
          <w:szCs w:val="21"/>
          <w:highlight w:val="none"/>
          <w14:textFill>
            <w14:solidFill>
              <w14:schemeClr w14:val="tx1"/>
            </w14:solidFill>
          </w14:textFill>
        </w:rPr>
        <w:t>说明：</w:t>
      </w:r>
    </w:p>
    <w:p>
      <w:pPr>
        <w:spacing w:line="360" w:lineRule="auto"/>
        <w:ind w:firstLine="420" w:firstLineChars="200"/>
        <w:jc w:val="lef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为</w:t>
      </w:r>
      <w:r>
        <w:rPr>
          <w:rFonts w:hint="eastAsia" w:ascii="Times New Roman" w:hAnsi="Times New Roman" w:eastAsia="宋体" w:cs="Times New Roman"/>
          <w:color w:val="000000" w:themeColor="text1"/>
          <w:highlight w:val="none"/>
          <w14:textFill>
            <w14:solidFill>
              <w14:schemeClr w14:val="tx1"/>
            </w14:solidFill>
          </w14:textFill>
        </w:rPr>
        <w:t>落实政府采购政策需满足的要求</w:t>
      </w:r>
    </w:p>
    <w:p>
      <w:pPr>
        <w:spacing w:line="360" w:lineRule="auto"/>
        <w:ind w:firstLine="424" w:firstLineChars="202"/>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本招标文件所称中小企业必须符合《政府采购促进中小企业发展管理办法》（财库〔2020〕46号）的规定。</w:t>
      </w:r>
    </w:p>
    <w:p>
      <w:pPr>
        <w:spacing w:line="360" w:lineRule="auto"/>
        <w:ind w:firstLine="424" w:firstLineChars="202"/>
        <w:jc w:val="left"/>
        <w:rPr>
          <w:rStyle w:val="40"/>
          <w:rFonts w:ascii="Times New Roman" w:hAnsi="Times New Roman" w:eastAsia="宋体" w:cs="Times New Roman"/>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.投标人应根据自身实际情况如实响应招标文件</w:t>
      </w:r>
      <w:r>
        <w:rPr>
          <w:rFonts w:hint="eastAsia" w:ascii="宋体" w:hAnsi="宋体" w:eastAsia="宋体" w:cs="Times New Roman"/>
          <w:color w:val="000000" w:themeColor="text1"/>
          <w:szCs w:val="21"/>
          <w:highlight w:val="none"/>
          <w14:textFill>
            <w14:solidFill>
              <w14:schemeClr w14:val="tx1"/>
            </w14:solidFill>
          </w14:textFill>
        </w:rPr>
        <w:t>，</w:t>
      </w:r>
      <w:r>
        <w:rPr>
          <w:rFonts w:hint="eastAsia" w:ascii="宋体" w:hAnsi="宋体" w:eastAsia="宋体" w:cs="Times New Roman"/>
          <w:b/>
          <w:bCs/>
          <w:color w:val="000000" w:themeColor="text1"/>
          <w:szCs w:val="21"/>
          <w:highlight w:val="none"/>
          <w14:textFill>
            <w14:solidFill>
              <w14:schemeClr w14:val="tx1"/>
            </w14:solidFill>
          </w14:textFill>
        </w:rPr>
        <w:t>否则将作无效响应处理</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对于重要技术条款或技术参数应当在投标文件中提供技术支持资料，技术支持资料以招标文件中规定的形式为准，</w:t>
      </w:r>
      <w:r>
        <w:rPr>
          <w:rFonts w:hint="eastAsia" w:ascii="Times New Roman" w:hAnsi="Times New Roman" w:eastAsia="宋体" w:cs="Times New Roman"/>
          <w:b/>
          <w:bCs/>
          <w:color w:val="000000" w:themeColor="text1"/>
          <w:highlight w:val="none"/>
          <w14:textFill>
            <w14:solidFill>
              <w14:schemeClr w14:val="tx1"/>
            </w14:solidFill>
          </w14:textFill>
        </w:rPr>
        <w:t>否则将视为</w:t>
      </w:r>
      <w:r>
        <w:rPr>
          <w:rFonts w:hint="eastAsia" w:ascii="Times New Roman" w:hAnsi="Times New Roman" w:eastAsia="宋体" w:cs="Times New Roman"/>
          <w:b/>
          <w:bCs/>
          <w:color w:val="000000" w:themeColor="text1"/>
          <w:highlight w:val="none"/>
          <w:lang w:eastAsia="zh-CN"/>
          <w14:textFill>
            <w14:solidFill>
              <w14:schemeClr w14:val="tx1"/>
            </w14:solidFill>
          </w14:textFill>
        </w:rPr>
        <w:t>负偏离响应</w:t>
      </w:r>
      <w:r>
        <w:rPr>
          <w:rFonts w:hint="eastAsia" w:ascii="Times New Roman" w:hAnsi="Times New Roman" w:eastAsia="宋体" w:cs="Times New Roman"/>
          <w:color w:val="000000" w:themeColor="text1"/>
          <w:highlight w:val="none"/>
          <w14:textFill>
            <w14:solidFill>
              <w14:schemeClr w14:val="tx1"/>
            </w14:solidFill>
          </w14:textFill>
        </w:rPr>
        <w:t>。</w:t>
      </w:r>
    </w:p>
    <w:p>
      <w:pPr>
        <w:spacing w:line="360" w:lineRule="auto"/>
        <w:ind w:firstLine="308" w:firstLineChars="147"/>
        <w:jc w:val="left"/>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14:textFill>
            <w14:solidFill>
              <w14:schemeClr w14:val="tx1"/>
            </w14:solidFill>
          </w14:textFill>
        </w:rPr>
        <w:t>投标人</w:t>
      </w:r>
      <w:r>
        <w:rPr>
          <w:rFonts w:ascii="Times New Roman" w:hAnsi="Times New Roman" w:eastAsia="宋体" w:cs="Times New Roman"/>
          <w:color w:val="000000" w:themeColor="text1"/>
          <w:highlight w:val="none"/>
          <w14:textFill>
            <w14:solidFill>
              <w14:schemeClr w14:val="tx1"/>
            </w14:solidFill>
          </w14:textFill>
        </w:rPr>
        <w:t>必须自行为其</w:t>
      </w:r>
      <w:r>
        <w:rPr>
          <w:rFonts w:hint="eastAsia" w:ascii="Times New Roman" w:hAnsi="Times New Roman" w:eastAsia="宋体" w:cs="Times New Roman"/>
          <w:color w:val="000000" w:themeColor="text1"/>
          <w:highlight w:val="none"/>
          <w14:textFill>
            <w14:solidFill>
              <w14:schemeClr w14:val="tx1"/>
            </w14:solidFill>
          </w14:textFill>
        </w:rPr>
        <w:t>投标</w:t>
      </w:r>
      <w:r>
        <w:rPr>
          <w:rFonts w:ascii="Times New Roman" w:hAnsi="Times New Roman" w:eastAsia="宋体" w:cs="Times New Roman"/>
          <w:color w:val="000000" w:themeColor="text1"/>
          <w:highlight w:val="none"/>
          <w14:textFill>
            <w14:solidFill>
              <w14:schemeClr w14:val="tx1"/>
            </w14:solidFill>
          </w14:textFill>
        </w:rPr>
        <w:t>产品侵犯</w:t>
      </w:r>
      <w:r>
        <w:rPr>
          <w:rFonts w:hint="eastAsia" w:ascii="Times New Roman" w:hAnsi="Times New Roman" w:eastAsia="宋体" w:cs="Times New Roman"/>
          <w:color w:val="000000" w:themeColor="text1"/>
          <w:highlight w:val="none"/>
          <w14:textFill>
            <w14:solidFill>
              <w14:schemeClr w14:val="tx1"/>
            </w14:solidFill>
          </w14:textFill>
        </w:rPr>
        <w:t>他人的知识产权或者专利成果的行为</w:t>
      </w:r>
      <w:r>
        <w:rPr>
          <w:rFonts w:ascii="Times New Roman" w:hAnsi="Times New Roman" w:eastAsia="宋体" w:cs="Times New Roman"/>
          <w:color w:val="000000" w:themeColor="text1"/>
          <w:highlight w:val="none"/>
          <w14:textFill>
            <w14:solidFill>
              <w14:schemeClr w14:val="tx1"/>
            </w14:solidFill>
          </w14:textFill>
        </w:rPr>
        <w:t>承担相应法律责任</w:t>
      </w:r>
      <w:r>
        <w:rPr>
          <w:rFonts w:hint="eastAsia" w:ascii="Times New Roman" w:hAnsi="Times New Roman" w:eastAsia="宋体" w:cs="Times New Roman"/>
          <w:color w:val="000000" w:themeColor="text1"/>
          <w:highlight w:val="none"/>
          <w14:textFill>
            <w14:solidFill>
              <w14:schemeClr w14:val="tx1"/>
            </w14:solidFill>
          </w14:textFill>
        </w:rPr>
        <w:t>。</w:t>
      </w:r>
    </w:p>
    <w:p>
      <w:pPr>
        <w:spacing w:line="360" w:lineRule="auto"/>
        <w:jc w:val="left"/>
        <w:rPr>
          <w:rFonts w:hint="eastAsia" w:ascii="宋体" w:hAnsi="宋体" w:eastAsia="宋体" w:cs="宋体"/>
          <w:b/>
          <w:bCs/>
          <w:color w:val="000000" w:themeColor="text1"/>
          <w:kern w:val="0"/>
          <w:sz w:val="21"/>
          <w:szCs w:val="21"/>
          <w:highlight w:val="none"/>
          <w14:textFill>
            <w14:solidFill>
              <w14:schemeClr w14:val="tx1"/>
            </w14:solidFill>
          </w14:textFill>
        </w:rPr>
      </w:pP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一、采购条件</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采购项目项目建议书及可行性研究报告已经贺州市八步区发展和改革局批复，并获得批复文件：《贺州市八步区发展和改革局关于贺州市城东体育综合体重新立项的批复》（贺八发改社会投〔2022〕52号）、《贺州市八步区发展和改革局关于贺州市达美中路(鞍山东路至东环路段)及东环路(达美中路至江北东路段) 建设项目建议书的批复》（贺八发改社会投〔2019〕83号）、《贺州市八步区发展和改革局关于贺州市八步区达美北路（鞍山东路至八达东路段）项目建议书的批复》（贺八发改社会投〔2022〕18号）、《贺州市八步区发展和改革局关于临贺大道道路提升改造工程项目项目建议书的批复》（贺八发改社会投〔2022〕19号）、《贺州市八步区发展和改革局关于重新审批贺州市城东体育综合体可行性研究报告的批复》（贺八发改社会投〔2022〕74号）、《贺州市八步区发展和改革局关于贺州市达美中路(鞍山东路至东环路段)及东环路(达美中路至江北东路段) 建设项目可行性研究报告的批复 》（贺八发改社会投〔2020〕8号）、《贺州市八步区发展和改革局关于贺州市八步区文化旅游新城江北东路（凤湖路至东环路段）工程项目可行性研究报告的批复 》（贺八发改社会投〔2021〕17号）。</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物有所值评价报告经贺州市八步区财政局和贺州市八步区文化广电和旅游局审核同意（贺八财函〔2022〕128号）及财政承受能力论证报告经贺州市八步区财政局（贺八财函〔2022〕129号）；项目实施方案取得贺州市八步区人民政府批复（贺八政函〔2022〕90号）。</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u w:val="single"/>
          <w14:textFill>
            <w14:solidFill>
              <w14:schemeClr w14:val="tx1"/>
            </w14:solidFill>
          </w14:textFill>
        </w:rPr>
        <w:t>贺州市八步区人民政府</w:t>
      </w:r>
      <w:r>
        <w:rPr>
          <w:rFonts w:hint="eastAsia" w:ascii="宋体" w:hAnsi="宋体" w:eastAsia="宋体" w:cs="宋体"/>
          <w:color w:val="000000" w:themeColor="text1"/>
          <w:kern w:val="0"/>
          <w:sz w:val="21"/>
          <w:szCs w:val="21"/>
          <w:highlight w:val="none"/>
          <w14:textFill>
            <w14:solidFill>
              <w14:schemeClr w14:val="tx1"/>
            </w14:solidFill>
          </w14:textFill>
        </w:rPr>
        <w:t>授权的项目实施机构为</w:t>
      </w:r>
      <w:r>
        <w:rPr>
          <w:rFonts w:hint="eastAsia" w:ascii="宋体" w:hAnsi="宋体" w:eastAsia="宋体" w:cs="宋体"/>
          <w:color w:val="000000" w:themeColor="text1"/>
          <w:kern w:val="0"/>
          <w:sz w:val="21"/>
          <w:szCs w:val="21"/>
          <w:highlight w:val="none"/>
          <w:u w:val="single"/>
          <w14:textFill>
            <w14:solidFill>
              <w14:schemeClr w14:val="tx1"/>
            </w14:solidFill>
          </w14:textFill>
        </w:rPr>
        <w:t>贺州市八步区文化广电和旅游局，</w:t>
      </w:r>
      <w:r>
        <w:rPr>
          <w:rFonts w:hint="eastAsia" w:ascii="宋体" w:hAnsi="宋体" w:eastAsia="宋体" w:cs="宋体"/>
          <w:color w:val="000000" w:themeColor="text1"/>
          <w:kern w:val="0"/>
          <w:sz w:val="21"/>
          <w:szCs w:val="21"/>
          <w:highlight w:val="none"/>
          <w14:textFill>
            <w14:solidFill>
              <w14:schemeClr w14:val="tx1"/>
            </w14:solidFill>
          </w14:textFill>
        </w:rPr>
        <w:t>批复文件：《关于贺州市城东体育综合体及周边基础配套设施（一期）项目实施模式及实施机构等有关事项的批复》（贺八政办函〔2022〕65号）。</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本公告所称社会资本是指：按国家法律、法规、规章和规范性文件要求，可以参与政府和社会资本合作（PPP）项目的市场主体。 </w:t>
      </w: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二、项目概况</w:t>
      </w: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1.项目范围、规模及内容</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根据贺州市八步区总体规划、功能布局及区位划分，本项目包含贺州市城东体育综合体及周边配套基础设施的贺州市达美中路(鞍山东路至东环路段)及东环路(达美中路至江北东路段)建设项目（以下简称“达美中路及东环路”）、贺州市八步区江北东路（凤湖路至东环路段）工程项目（以下简称“江北东路”）、贺州市八步区达美北路（鞍山东路至八达东路段）建设项目（以下简称“达美北路”）、 临贺大道道路提升改造工程（原贺富路路面修复工程，下同）共 5 个子项目，各子项目的建设规模及内容如下： </w:t>
      </w:r>
    </w:p>
    <w:p>
      <w:pPr>
        <w:pageBreakBefore w:val="0"/>
        <w:widowControl/>
        <w:numPr>
          <w:ilvl w:val="0"/>
          <w:numId w:val="2"/>
        </w:numPr>
        <w:kinsoku/>
        <w:wordWrap/>
        <w:overflowPunct/>
        <w:topLinePunct w:val="0"/>
        <w:autoSpaceDN/>
        <w:bidi w:val="0"/>
        <w:adjustRightInd/>
        <w:spacing w:line="460" w:lineRule="exact"/>
        <w:ind w:firstLine="422" w:firstLineChars="200"/>
        <w:jc w:val="both"/>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贺州市城东体育综合体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贺州市城东体育综合体规划用地面积为 86822.87m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（约 130.23亩），建设贺州市城东体育综合体一座，建设总建筑面积为 72452.19m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 其中，计容建筑面积为 46922.74m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，主要包括体育场 1 座，建筑面积 19043.01m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；综合体育馆 1 座，建筑面积 12486.08m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；游泳馆 1 座，建筑面积为 15393.65m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；不计容建筑面积为 25529.45m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，主要为架空层 6126.72m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，地下停车场建筑面积 19402.73m</w:t>
      </w:r>
      <w:r>
        <w:rPr>
          <w:rFonts w:hint="eastAsia" w:ascii="宋体" w:hAnsi="宋体" w:eastAsia="宋体" w:cs="宋体"/>
          <w:color w:val="000000" w:themeColor="text1"/>
          <w:kern w:val="0"/>
          <w:sz w:val="21"/>
          <w:szCs w:val="21"/>
          <w:highlight w:val="none"/>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14:textFill>
            <w14:solidFill>
              <w14:schemeClr w14:val="tx1"/>
            </w14:solidFill>
          </w14:textFill>
        </w:rPr>
        <w:t>。 项目主要建设内容为土建工程、装饰装修工程、供电工程、给排水工程、消防工程、通风工程、道路硬化、绿化工程及相关配套基础设施工程等。建设场址位于贺州市八步区文化旅游新城内，根据已批复的《贺州市城市总体规划》（2016-2035）和《贺州市中心城区城东 04 编制单元控制性详细规划及城市设计》，本项目用地规划用途为体育用地，本项目主要建设贺州市城东体育综合体，符合上位规划要求。</w:t>
      </w:r>
    </w:p>
    <w:p>
      <w:pPr>
        <w:keepNext w:val="0"/>
        <w:keepLines w:val="0"/>
        <w:pageBreakBefore w:val="0"/>
        <w:widowControl/>
        <w:kinsoku/>
        <w:wordWrap/>
        <w:overflowPunct/>
        <w:topLinePunct w:val="0"/>
        <w:autoSpaceDE/>
        <w:autoSpaceDN/>
        <w:bidi w:val="0"/>
        <w:adjustRightInd/>
        <w:snapToGrid/>
        <w:spacing w:line="480" w:lineRule="auto"/>
        <w:ind w:firstLine="411" w:firstLineChars="196"/>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114300" distR="114300">
            <wp:extent cx="5295900" cy="36385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tretch>
                      <a:fillRect/>
                    </a:stretch>
                  </pic:blipFill>
                  <pic:spPr>
                    <a:xfrm>
                      <a:off x="0" y="0"/>
                      <a:ext cx="5295900" cy="3638550"/>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jc w:val="center"/>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项目建设位置图</w:t>
      </w: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（2）达美中路及东环路项目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本工程含达美中路、东环路2条市政道路，总设计长度为 2567.805m。其中，</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达美中路呈西北-东南走向，起于鞍山东路交叉口，向东南延伸，止于东环路交叉口，道路等级为城市主干路，设计范围长度 1469.268米，红线宽度 40m，设计速度 50km/h。</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东环路呈南北走向，主线起于东鹿大桥（上跨江北东路），路线往东北延伸，止于达美中路，设计长度 802.818 米，红线宽度为 60m， 近期按 40m 实施，道路等级近期为城市主干路，远期规划为城市快速路，设计速度 60km/h。起点上跨江北东路，东西两侧各设计一个匝道，匝道路幅宽度均为 20 米，其中东侧匝道长度 176.083 米，西侧匝道设计长度 119.636 米，设计速度 30km/h。</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项目建设内容包括：道路工程、排水工程、给水工程、交通工程、 照明工程、绿化工程。</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选址符合《贺州市城市总体规划》（2016-2035）和《贺州市中心城区城东04编制单元控制性详细规划及城市设计》的要求和道路选址要求，符合上位规划，项目建设地点位于贺州市八步区文化旅游新城，其中达美中路呈西北-东南走向，起于鞍山东路交叉口，向东南延伸，止于东环路交叉口；东环路呈南北走向，起点接东鹿大桥北岸桥头，向北延伸，止于达美中路交叉口。具体建设位置如下图所示。</w:t>
      </w:r>
    </w:p>
    <w:p>
      <w:pPr>
        <w:keepNext w:val="0"/>
        <w:keepLines w:val="0"/>
        <w:pageBreakBefore w:val="0"/>
        <w:widowControl/>
        <w:kinsoku/>
        <w:wordWrap/>
        <w:overflowPunct/>
        <w:topLinePunct w:val="0"/>
        <w:autoSpaceDE/>
        <w:autoSpaceDN/>
        <w:bidi w:val="0"/>
        <w:adjustRightInd/>
        <w:snapToGrid/>
        <w:spacing w:line="480" w:lineRule="auto"/>
        <w:ind w:firstLine="411" w:firstLineChars="196"/>
        <w:jc w:val="left"/>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114300" distR="114300">
            <wp:extent cx="5200650" cy="3512820"/>
            <wp:effectExtent l="0" t="0" r="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5200650" cy="3512820"/>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ind w:firstLine="413" w:firstLineChars="196"/>
        <w:jc w:val="center"/>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项目建设位置图</w:t>
      </w: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（3）江北东路项目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新建江北东路（凤湖路～东环路段）道路等级为城市次干路，设计速度 30km/h，单幅路双向四车道，道路设计长度约 2996.00m，道路红线宽度 30m（局部为 24m）。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项目主要建设内容：道路工程、给排水工程、交通工程、照明工程、管线工程、绿化工程等。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项目选址符合《贺州市城市总体规划》（2016-2035）和《贺州市中心城区城东 04 编制单元控制性详细规划及城市设计》的要求和道路选址要求，符合上位规划，拟建道路建设地点位于贺州市八步区文化旅游新城内，起于凤湖路，向南延伸，南止于东环路。具体建设位置如下图所示：</w:t>
      </w:r>
    </w:p>
    <w:p>
      <w:pPr>
        <w:pageBreakBefore w:val="0"/>
        <w:widowControl/>
        <w:kinsoku/>
        <w:wordWrap/>
        <w:overflowPunct/>
        <w:topLinePunct w:val="0"/>
        <w:autoSpaceDN/>
        <w:bidi w:val="0"/>
        <w:adjustRightInd/>
        <w:spacing w:line="460" w:lineRule="exact"/>
        <w:ind w:firstLine="413" w:firstLineChars="196"/>
        <w:jc w:val="left"/>
        <w:textAlignment w:val="auto"/>
        <w:rPr>
          <w:rFonts w:ascii="宋体" w:hAnsi="宋体" w:eastAsia="宋体" w:cs="宋体"/>
          <w:b/>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80" w:lineRule="auto"/>
        <w:ind w:firstLine="411" w:firstLineChars="196"/>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114300" distR="114300">
            <wp:extent cx="5276850" cy="3078480"/>
            <wp:effectExtent l="0" t="0" r="0" b="762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6"/>
                    <a:stretch>
                      <a:fillRect/>
                    </a:stretch>
                  </pic:blipFill>
                  <pic:spPr>
                    <a:xfrm>
                      <a:off x="0" y="0"/>
                      <a:ext cx="5276850" cy="3078480"/>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ind w:firstLine="413" w:firstLineChars="196"/>
        <w:jc w:val="center"/>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项目建设位置图</w:t>
      </w: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（4）达美北路项目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根据达美北路项目可研报告及批复文件，达美北路道路等级为城市主干路，设计范围长度 1322.513 米，红线宽度40m，设计速度 50km/h。</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项目主要建设内容为道路工程、桥涵工程、给排水工程、照明工程、管线工程、交通工程、绿化工程等。</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项目选址符合《贺州市城市总体规划》（2016-2035）和《贺州市中心城区城东 04 编制单元控制性详细规划及城市设计》的要求和道路选址要求，符合上位规划，拟新建的达美北路位于贺州市八步区文化旅游新城内，东临洛湛铁路，南接达美中路，路线起于鞍山东路，沿线与美仪西路、太白中路、新仪西路、爱莲东路相交，终于八达东路，南北走向。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114300" distR="114300">
            <wp:extent cx="5776595" cy="1661160"/>
            <wp:effectExtent l="0" t="0" r="14605" b="152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7"/>
                    <a:stretch>
                      <a:fillRect/>
                    </a:stretch>
                  </pic:blipFill>
                  <pic:spPr>
                    <a:xfrm>
                      <a:off x="0" y="0"/>
                      <a:ext cx="5776595" cy="1661160"/>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ind w:firstLine="413" w:firstLineChars="196"/>
        <w:jc w:val="center"/>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 xml:space="preserve">项目建设位置图 </w:t>
      </w: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（5）临贺大道道路提升改造工程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临贺大道道路提升改造工程位于贺州市八步区文化旅游新城，起点位于广贺高速公路(G78 线)贺街互通出口与国道 G207 相交处(即往凌峰方向 125 米处)，路线由南往北沿国道 G207 改建，途经西南村、贺州中学、五协村，终点位于莲塘镇东鹿小学处,本路段里程桩号范围 K0+125.003～K10+904.158（含平交），全线建设里程长约 11.03公里，现状标准路段路基宽度为 24.5m。临贺大道与东环路相交，距江北东路 900 米，距离城东体育综合体项目直线距离 1.8 公里，是作为联通城东体育综合体项目南部交通重要通道重要道路。主要改造内容为路基路面病害处理、人行道新建、绿化带整治、路灯维修更换等市政化改造及其它附属设施提升改造。</w:t>
      </w:r>
    </w:p>
    <w:p>
      <w:pPr>
        <w:pageBreakBefore w:val="0"/>
        <w:kinsoku/>
        <w:wordWrap/>
        <w:overflowPunct/>
        <w:topLinePunct w:val="0"/>
        <w:autoSpaceDN/>
        <w:bidi w:val="0"/>
        <w:adjustRightInd/>
        <w:spacing w:after="120" w:line="460" w:lineRule="exact"/>
        <w:textAlignment w:val="auto"/>
        <w:rPr>
          <w:rFonts w:ascii="宋体" w:hAnsi="宋体" w:eastAsia="宋体" w:cs="宋体"/>
          <w:color w:val="000000" w:themeColor="text1"/>
          <w:sz w:val="21"/>
          <w:szCs w:val="21"/>
          <w:highlight w:val="none"/>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120" w:line="480" w:lineRule="auto"/>
        <w:textAlignment w:val="auto"/>
        <w:rPr>
          <w:rFonts w:ascii="宋体" w:hAnsi="宋体" w:eastAsia="宋体" w:cs="宋体"/>
          <w:color w:val="000000" w:themeColor="text1"/>
          <w:sz w:val="21"/>
          <w:szCs w:val="21"/>
          <w:highlight w:val="none"/>
          <w:lang w:val="en-US" w:eastAsia="zh-CN" w:bidi="ar-SA"/>
          <w14:textFill>
            <w14:solidFill>
              <w14:schemeClr w14:val="tx1"/>
            </w14:solidFill>
          </w14:textFill>
        </w:rPr>
      </w:pPr>
      <w:r>
        <w:rPr>
          <w:rFonts w:ascii="Times New Roman" w:hAnsi="Times New Roman" w:eastAsia="宋体" w:cs="Times New Roman"/>
          <w:color w:val="000000" w:themeColor="text1"/>
          <w:sz w:val="24"/>
          <w:szCs w:val="24"/>
          <w:highlight w:val="none"/>
          <w:lang w:val="en-US" w:eastAsia="zh-CN" w:bidi="ar-SA"/>
          <w14:textFill>
            <w14:solidFill>
              <w14:schemeClr w14:val="tx1"/>
            </w14:solidFill>
          </w14:textFill>
        </w:rPr>
        <w:drawing>
          <wp:inline distT="0" distB="0" distL="114300" distR="114300">
            <wp:extent cx="5813425" cy="3407410"/>
            <wp:effectExtent l="0" t="0" r="15875"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8"/>
                    <a:stretch>
                      <a:fillRect/>
                    </a:stretch>
                  </pic:blipFill>
                  <pic:spPr>
                    <a:xfrm>
                      <a:off x="0" y="0"/>
                      <a:ext cx="5813425" cy="3407410"/>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ind w:firstLine="422" w:firstLineChars="200"/>
        <w:jc w:val="center"/>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 xml:space="preserve">项目建设位置图 </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本项目建设规模及内容最终以经审核的设计文件为准。</w:t>
      </w:r>
    </w:p>
    <w:p>
      <w:pPr>
        <w:pageBreakBefore w:val="0"/>
        <w:widowControl/>
        <w:numPr>
          <w:ilvl w:val="0"/>
          <w:numId w:val="3"/>
        </w:numPr>
        <w:kinsoku/>
        <w:wordWrap/>
        <w:overflowPunct/>
        <w:topLinePunct w:val="0"/>
        <w:autoSpaceDN/>
        <w:bidi w:val="0"/>
        <w:adjustRightInd/>
        <w:spacing w:line="460" w:lineRule="exact"/>
        <w:ind w:left="105" w:leftChars="50" w:firstLine="422" w:firstLineChars="200"/>
        <w:jc w:val="left"/>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项目所在地</w:t>
      </w:r>
    </w:p>
    <w:p>
      <w:pPr>
        <w:pageBreakBefore w:val="0"/>
        <w:widowControl/>
        <w:kinsoku/>
        <w:wordWrap/>
        <w:overflowPunct/>
        <w:topLinePunct w:val="0"/>
        <w:autoSpaceDN/>
        <w:bidi w:val="0"/>
        <w:adjustRightInd/>
        <w:spacing w:line="460" w:lineRule="exact"/>
        <w:ind w:left="105" w:leftChars="50" w:firstLine="420" w:firstLineChars="200"/>
        <w:jc w:val="left"/>
        <w:textAlignment w:val="auto"/>
        <w:rPr>
          <w:rFonts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广西壮族自治区贺州市八步区。</w:t>
      </w:r>
    </w:p>
    <w:p>
      <w:pPr>
        <w:pageBreakBefore w:val="0"/>
        <w:widowControl/>
        <w:kinsoku/>
        <w:wordWrap/>
        <w:overflowPunct/>
        <w:topLinePunct w:val="0"/>
        <w:autoSpaceDN/>
        <w:bidi w:val="0"/>
        <w:adjustRightInd/>
        <w:spacing w:line="460" w:lineRule="exact"/>
        <w:ind w:firstLine="422" w:firstLineChars="200"/>
        <w:jc w:val="both"/>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三、采购范围</w:t>
      </w:r>
    </w:p>
    <w:p>
      <w:pPr>
        <w:pageBreakBefore w:val="0"/>
        <w:widowControl/>
        <w:kinsoku/>
        <w:wordWrap/>
        <w:overflowPunct/>
        <w:topLinePunct w:val="0"/>
        <w:autoSpaceDN/>
        <w:bidi w:val="0"/>
        <w:adjustRightInd/>
        <w:spacing w:line="460" w:lineRule="exact"/>
        <w:ind w:firstLine="420" w:firstLineChars="200"/>
        <w:jc w:val="both"/>
        <w:textAlignment w:val="auto"/>
        <w:rPr>
          <w:rFonts w:hint="eastAsia" w:ascii="宋体" w:hAnsi="宋体" w:eastAsia="宋体" w:cs="宋体"/>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 xml:space="preserve">1. 本次采购范围为 </w:t>
      </w:r>
      <w:r>
        <w:rPr>
          <w:rFonts w:hint="eastAsia" w:ascii="宋体" w:hAnsi="宋体" w:eastAsia="宋体" w:cs="宋体"/>
          <w:color w:val="000000" w:themeColor="text1"/>
          <w:kern w:val="2"/>
          <w:sz w:val="21"/>
          <w:szCs w:val="21"/>
          <w:highlight w:val="none"/>
          <w:u w:val="single"/>
          <w14:textFill>
            <w14:solidFill>
              <w14:schemeClr w14:val="tx1"/>
            </w14:solidFill>
          </w14:textFill>
        </w:rPr>
        <w:t>贺州市城东体育综合体及周边基础配套设施（一期）PPP项目</w:t>
      </w:r>
      <w:r>
        <w:rPr>
          <w:rFonts w:hint="eastAsia" w:ascii="宋体" w:hAnsi="宋体" w:eastAsia="宋体" w:cs="宋体"/>
          <w:color w:val="000000" w:themeColor="text1"/>
          <w:kern w:val="2"/>
          <w:sz w:val="21"/>
          <w:szCs w:val="21"/>
          <w:highlight w:val="none"/>
          <w14:textFill>
            <w14:solidFill>
              <w14:schemeClr w14:val="tx1"/>
            </w14:solidFill>
          </w14:textFill>
        </w:rPr>
        <w:t>的社会资本</w:t>
      </w:r>
      <w:r>
        <w:rPr>
          <w:rFonts w:hint="eastAsia" w:ascii="宋体" w:hAnsi="宋体" w:cs="宋体"/>
          <w:color w:val="000000" w:themeColor="text1"/>
          <w:kern w:val="2"/>
          <w:sz w:val="21"/>
          <w:szCs w:val="21"/>
          <w:highlight w:val="none"/>
          <w:lang w:eastAsia="zh-CN"/>
          <w14:textFill>
            <w14:solidFill>
              <w14:schemeClr w14:val="tx1"/>
            </w14:solidFill>
          </w14:textFill>
        </w:rPr>
        <w:t>。</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本项目采用“BOT”（建设、运营、移交）具体运作方式，即：政府通过招标方式选择社会资本后，由中标社会资本与政府出资代表共同组建的项目公司负责项目的投融资、建设和一定期限内的运营维护服务，在运营维护期满后，项目公司将项目无偿移交政府或其指定单位。政府根据项目建设及运营维护情况，按绩效考核结果支付可行性缺口补助，该费用纳入政府年度财政预算和中期财政规划作为支付保障。</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3.投融资范围：项目总投资为 139,942.37 万元，其中：工程费89,744.02 万元，工程建设其他费 35,031.43 万元（含征地拆迁费 22,773.82），预备费 9,809.40 万元、建设期利息 5,357.52 万元。最终以经贺州市八步区财政或审计部门审核的价格为准。</w:t>
      </w: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4.项目建设管理：PPP 项目公司负责全面施工管理，对项目建设负全责。根据《关于在公共服务领域深入推进政府和社会资本合作工作的通知》（财金〔2016〕90 号）第九条规定，“……，已经依据政府采购法选定社会资本合作方的，合作方依法能够自行建设、生产或者提供服务的，按照《招标投标法实施条例》第九条规定，合作方可以不再进行招标。”</w:t>
      </w:r>
    </w:p>
    <w:p>
      <w:pPr>
        <w:pageBreakBefore w:val="0"/>
        <w:kinsoku/>
        <w:wordWrap/>
        <w:overflowPunct/>
        <w:topLinePunct w:val="0"/>
        <w:autoSpaceDN/>
        <w:bidi w:val="0"/>
        <w:adjustRightInd/>
        <w:spacing w:line="460" w:lineRule="exact"/>
        <w:ind w:firstLine="422" w:firstLineChars="200"/>
        <w:jc w:val="both"/>
        <w:textAlignment w:val="auto"/>
        <w:rPr>
          <w:rFonts w:ascii="宋体" w:hAnsi="宋体" w:eastAsia="宋体" w:cs="宋体"/>
          <w:b/>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宋体"/>
          <w:b/>
          <w:color w:val="000000" w:themeColor="text1"/>
          <w:kern w:val="2"/>
          <w:sz w:val="21"/>
          <w:szCs w:val="21"/>
          <w:highlight w:val="none"/>
          <w:lang w:val="en-US" w:eastAsia="zh-CN" w:bidi="ar-SA"/>
          <w14:textFill>
            <w14:solidFill>
              <w14:schemeClr w14:val="tx1"/>
            </w14:solidFill>
          </w14:textFill>
        </w:rPr>
        <w:t>四、项目合作内容</w:t>
      </w:r>
    </w:p>
    <w:p>
      <w:pPr>
        <w:pageBreakBefore w:val="0"/>
        <w:widowControl/>
        <w:kinsoku/>
        <w:wordWrap/>
        <w:overflowPunct/>
        <w:topLinePunct w:val="0"/>
        <w:autoSpaceDN/>
        <w:bidi w:val="0"/>
        <w:adjustRightInd/>
        <w:spacing w:line="460" w:lineRule="exact"/>
        <w:ind w:firstLine="422" w:firstLineChars="200"/>
        <w:jc w:val="left"/>
        <w:textAlignment w:val="auto"/>
        <w:rPr>
          <w:rFonts w:hint="eastAsia" w:ascii="Times New Roman" w:hAnsi="Times New Roman" w:eastAsia="宋体" w:cs="宋体"/>
          <w:b/>
          <w:color w:val="000000" w:themeColor="text1"/>
          <w:kern w:val="0"/>
          <w:sz w:val="21"/>
          <w:highlight w:val="none"/>
          <w:lang w:eastAsia="zh-CN"/>
          <w14:textFill>
            <w14:solidFill>
              <w14:schemeClr w14:val="tx1"/>
            </w14:solidFill>
          </w14:textFill>
        </w:rPr>
      </w:pPr>
      <w:r>
        <w:rPr>
          <w:rFonts w:hint="eastAsia" w:ascii="Times New Roman" w:hAnsi="Times New Roman" w:eastAsia="宋体" w:cs="宋体"/>
          <w:b/>
          <w:color w:val="000000" w:themeColor="text1"/>
          <w:kern w:val="0"/>
          <w:sz w:val="21"/>
          <w:highlight w:val="none"/>
          <w14:textFill>
            <w14:solidFill>
              <w14:schemeClr w14:val="tx1"/>
            </w14:solidFill>
          </w14:textFill>
        </w:rPr>
        <w:t>1.建设产出</w:t>
      </w:r>
      <w:r>
        <w:rPr>
          <w:rFonts w:hint="eastAsia" w:ascii="Times New Roman" w:hAnsi="Times New Roman" w:eastAsia="宋体" w:cs="宋体"/>
          <w:b/>
          <w:color w:val="000000" w:themeColor="text1"/>
          <w:kern w:val="0"/>
          <w:sz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最终项目建设内容标准及规模等主要技术指标以政府批准的设计文件为准。</w:t>
      </w:r>
      <w:r>
        <w:rPr>
          <w:rFonts w:hint="eastAsia" w:ascii="Times New Roman" w:hAnsi="Times New Roman" w:eastAsia="宋体" w:cs="宋体"/>
          <w:b/>
          <w:color w:val="000000" w:themeColor="text1"/>
          <w:kern w:val="0"/>
          <w:sz w:val="21"/>
          <w:highlight w:val="none"/>
          <w:lang w:eastAsia="zh-CN"/>
          <w14:textFill>
            <w14:solidFill>
              <w14:schemeClr w14:val="tx1"/>
            </w14:solidFill>
          </w14:textFill>
        </w:rPr>
        <w:t>）</w:t>
      </w:r>
    </w:p>
    <w:p>
      <w:pPr>
        <w:pageBreakBefore w:val="0"/>
        <w:kinsoku/>
        <w:wordWrap/>
        <w:overflowPunct/>
        <w:topLinePunct w:val="0"/>
        <w:autoSpaceDN/>
        <w:bidi w:val="0"/>
        <w:adjustRightInd/>
        <w:spacing w:before="25" w:after="25" w:line="460" w:lineRule="exact"/>
        <w:ind w:firstLine="422" w:firstLineChars="200"/>
        <w:textAlignment w:val="auto"/>
        <w:rPr>
          <w:rFonts w:ascii="宋体" w:hAnsi="宋体" w:eastAsia="宋体" w:cs="宋体"/>
          <w:b/>
          <w:color w:val="000000" w:themeColor="text1"/>
          <w:spacing w:val="0"/>
          <w:sz w:val="21"/>
          <w:szCs w:val="21"/>
          <w:highlight w:val="none"/>
          <w:lang w:val="en-US" w:eastAsia="zh-CN" w:bidi="ar-SA"/>
          <w14:textFill>
            <w14:solidFill>
              <w14:schemeClr w14:val="tx1"/>
            </w14:solidFill>
          </w14:textFill>
        </w:rPr>
      </w:pPr>
      <w:r>
        <w:rPr>
          <w:rFonts w:hint="eastAsia" w:ascii="宋体" w:hAnsi="宋体" w:eastAsia="宋体" w:cs="宋体"/>
          <w:b/>
          <w:color w:val="000000" w:themeColor="text1"/>
          <w:spacing w:val="0"/>
          <w:sz w:val="21"/>
          <w:szCs w:val="21"/>
          <w:highlight w:val="none"/>
          <w:lang w:val="en-US" w:eastAsia="zh-CN" w:bidi="ar-SA"/>
          <w14:textFill>
            <w14:solidFill>
              <w14:schemeClr w14:val="tx1"/>
            </w14:solidFill>
          </w14:textFill>
        </w:rPr>
        <w:t xml:space="preserve">（1）贺州市城东体育综合体 </w:t>
      </w:r>
    </w:p>
    <w:p>
      <w:pPr>
        <w:pageBreakBefore w:val="0"/>
        <w:kinsoku/>
        <w:wordWrap/>
        <w:overflowPunct/>
        <w:topLinePunct w:val="0"/>
        <w:autoSpaceDN/>
        <w:bidi w:val="0"/>
        <w:adjustRightInd/>
        <w:spacing w:before="25" w:after="25" w:line="460" w:lineRule="exact"/>
        <w:ind w:firstLine="420" w:firstLineChars="200"/>
        <w:textAlignment w:val="auto"/>
        <w:rPr>
          <w:rFonts w:ascii="宋体" w:hAnsi="宋体" w:eastAsia="宋体" w:cs="宋体"/>
          <w:color w:val="000000" w:themeColor="text1"/>
          <w:spacing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highlight w:val="none"/>
          <w:lang w:val="en-US" w:eastAsia="zh-CN" w:bidi="ar-SA"/>
          <w14:textFill>
            <w14:solidFill>
              <w14:schemeClr w14:val="tx1"/>
            </w14:solidFill>
          </w14:textFill>
        </w:rPr>
        <w:t xml:space="preserve">1）建设产出内容 </w:t>
      </w:r>
    </w:p>
    <w:p>
      <w:pPr>
        <w:pageBreakBefore w:val="0"/>
        <w:kinsoku/>
        <w:wordWrap/>
        <w:overflowPunct/>
        <w:topLinePunct w:val="0"/>
        <w:autoSpaceDN/>
        <w:bidi w:val="0"/>
        <w:adjustRightInd/>
        <w:spacing w:before="25" w:after="25" w:line="460" w:lineRule="exact"/>
        <w:ind w:firstLine="420" w:firstLineChars="200"/>
        <w:textAlignment w:val="auto"/>
        <w:rPr>
          <w:rFonts w:ascii="宋体" w:hAnsi="宋体" w:eastAsia="宋体" w:cs="宋体"/>
          <w:color w:val="000000" w:themeColor="text1"/>
          <w:spacing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highlight w:val="none"/>
          <w:lang w:val="en-US" w:eastAsia="zh-CN" w:bidi="ar-SA"/>
          <w14:textFill>
            <w14:solidFill>
              <w14:schemeClr w14:val="tx1"/>
            </w14:solidFill>
          </w14:textFill>
        </w:rPr>
        <w:t>建设体育综合体一座，主要包括“一场两馆”及架空层、地下停车场、道路广场、地上绿地、停车位等，主要技术指标见下表：</w:t>
      </w:r>
    </w:p>
    <w:p>
      <w:pPr>
        <w:pageBreakBefore w:val="0"/>
        <w:kinsoku/>
        <w:wordWrap/>
        <w:overflowPunct/>
        <w:topLinePunct w:val="0"/>
        <w:autoSpaceDN/>
        <w:bidi w:val="0"/>
        <w:adjustRightInd/>
        <w:spacing w:before="25" w:after="25" w:line="460" w:lineRule="exact"/>
        <w:ind w:firstLine="520"/>
        <w:jc w:val="center"/>
        <w:textAlignment w:val="auto"/>
        <w:rPr>
          <w:rFonts w:ascii="宋体" w:hAnsi="宋体" w:eastAsia="宋体" w:cs="宋体"/>
          <w:b/>
          <w:bCs/>
          <w:color w:val="000000" w:themeColor="text1"/>
          <w:spacing w:val="0"/>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pacing w:val="0"/>
          <w:sz w:val="21"/>
          <w:szCs w:val="21"/>
          <w:highlight w:val="none"/>
          <w:lang w:val="en-US" w:eastAsia="zh-CN" w:bidi="ar-SA"/>
          <w14:textFill>
            <w14:solidFill>
              <w14:schemeClr w14:val="tx1"/>
            </w14:solidFill>
          </w14:textFill>
        </w:rPr>
        <w:t>主要技术指标表</w:t>
      </w:r>
    </w:p>
    <w:p>
      <w:pPr>
        <w:keepNext w:val="0"/>
        <w:keepLines w:val="0"/>
        <w:pageBreakBefore w:val="0"/>
        <w:widowControl/>
        <w:kinsoku/>
        <w:wordWrap/>
        <w:overflowPunct/>
        <w:topLinePunct w:val="0"/>
        <w:autoSpaceDE/>
        <w:autoSpaceDN/>
        <w:bidi w:val="0"/>
        <w:adjustRightInd/>
        <w:snapToGrid/>
        <w:spacing w:before="25" w:after="25" w:line="480" w:lineRule="auto"/>
        <w:ind w:firstLine="522"/>
        <w:textAlignment w:val="auto"/>
        <w:rPr>
          <w:rFonts w:ascii="宋体" w:hAnsi="宋体" w:eastAsia="宋体" w:cs="宋体"/>
          <w:color w:val="000000" w:themeColor="text1"/>
          <w:spacing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pacing w:val="10"/>
          <w:sz w:val="21"/>
          <w:szCs w:val="21"/>
          <w:highlight w:val="none"/>
          <w:lang w:val="en-US" w:eastAsia="zh-CN" w:bidi="ar-SA"/>
          <w14:textFill>
            <w14:solidFill>
              <w14:schemeClr w14:val="tx1"/>
            </w14:solidFill>
          </w14:textFill>
        </w:rPr>
        <w:drawing>
          <wp:inline distT="0" distB="0" distL="114300" distR="114300">
            <wp:extent cx="5363210" cy="3121660"/>
            <wp:effectExtent l="0" t="0" r="8890" b="254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9"/>
                    <a:stretch>
                      <a:fillRect/>
                    </a:stretch>
                  </pic:blipFill>
                  <pic:spPr>
                    <a:xfrm>
                      <a:off x="0" y="0"/>
                      <a:ext cx="5363210" cy="3121660"/>
                    </a:xfrm>
                    <a:prstGeom prst="rect">
                      <a:avLst/>
                    </a:prstGeom>
                    <a:noFill/>
                    <a:ln>
                      <a:noFill/>
                    </a:ln>
                  </pic:spPr>
                </pic:pic>
              </a:graphicData>
            </a:graphic>
          </wp:inline>
        </w:drawing>
      </w:r>
    </w:p>
    <w:p>
      <w:pPr>
        <w:pageBreakBefore w:val="0"/>
        <w:kinsoku/>
        <w:wordWrap/>
        <w:overflowPunct/>
        <w:topLinePunct w:val="0"/>
        <w:autoSpaceDN/>
        <w:bidi w:val="0"/>
        <w:adjustRightInd/>
        <w:spacing w:before="25" w:after="25" w:line="460" w:lineRule="exact"/>
        <w:ind w:firstLine="520"/>
        <w:textAlignment w:val="auto"/>
        <w:rPr>
          <w:rFonts w:ascii="宋体" w:hAnsi="宋体" w:eastAsia="宋体" w:cs="宋体"/>
          <w:bCs/>
          <w:color w:val="000000" w:themeColor="text1"/>
          <w:spacing w:val="10"/>
          <w:sz w:val="21"/>
          <w:szCs w:val="21"/>
          <w:highlight w:val="none"/>
          <w:lang w:val="en-US" w:eastAsia="zh-CN" w:bidi="ar-SA"/>
          <w14:textFill>
            <w14:solidFill>
              <w14:schemeClr w14:val="tx1"/>
            </w14:solidFill>
          </w14:textFill>
        </w:rPr>
      </w:pPr>
    </w:p>
    <w:p>
      <w:pPr>
        <w:pageBreakBefore w:val="0"/>
        <w:widowControl/>
        <w:tabs>
          <w:tab w:val="bar" w:pos="1276"/>
        </w:tabs>
        <w:kinsoku/>
        <w:wordWrap/>
        <w:overflowPunct/>
        <w:topLinePunct w:val="0"/>
        <w:autoSpaceDN/>
        <w:bidi w:val="0"/>
        <w:adjustRightInd/>
        <w:snapToGrid w:val="0"/>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p>
    <w:p>
      <w:pPr>
        <w:pageBreakBefore w:val="0"/>
        <w:widowControl/>
        <w:kinsoku/>
        <w:wordWrap/>
        <w:overflowPunct/>
        <w:topLinePunct w:val="0"/>
        <w:autoSpaceDN/>
        <w:bidi w:val="0"/>
        <w:adjustRightInd/>
        <w:spacing w:line="460" w:lineRule="exact"/>
        <w:ind w:firstLine="420" w:firstLineChars="200"/>
        <w:jc w:val="both"/>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整体规划功能：贺州市城东体育综合体定位于能满足举办地区级和全国单项比赛的要求，满足全民健身活动的要求、成为对外交流的重要窗口和城市建设的标志性建筑，具有先进水平和现代化气息的综合体育场。面向贺州市全体市民，打造城市活力综合体概念，构建适应全天候、全季节、全人群的经济、休闲、娱乐的活力中心，打造贺州体育产业聚集区。</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①体育场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a.功能：体育场为大型功能性设施用以满足群众日常文化体育活动需求，项目建成后将满足贺州市举办体育运动比赛、企业体育比赛，并能承办国内部分单项赛事。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b.标准：新建 1 座体育场地上 4 层，建筑高度 30 米，体育场定位为乙级体育建筑，建筑结构安全等级为一级，结构设计使用年限100 年。平面为圆形，直径 222m，共有座席 15000 座，其中 14750座观众席，排距为 0.85m，座席宽度为 0.5m；设有 150 座贵宾席，每席排距 1.1m，宽 0.55m。文字记者席 80 座，摄影记者席 20 座（坐席均采用塑胶材质）。设置有 1 个标准足球场、10 道 100 米标准直道、8 道 400 米标准环形跑道及其他田径比赛场地。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②综合体育馆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a.功能：具备室内比赛项目的功能，同时也具备文艺演出、集会、展览、训练等多种功能。设计定位为大型体育比赛的运动场馆，能满足举办体育运动比赛、企业体育比赛以及群众日常体育活动的需求,并能承办国内部分单项比赛。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b.标准：新建 1 座综合体育馆地上 2 层，地下 1 层，建筑高度24.7 米，综合体育馆定位为乙级，建筑结构安全等级为一级，结构设计使用年限 100 年；体育馆平面为矩形，平面尺寸为 81.6m×58.8m。具备包括举行羽毛球、排球等各种室内比赛项目的功能。综合体育馆占地面积 4886.61 ㎡，总建筑面积 12486.08 ㎡，净高 21m 观众席采用双层看台，固定观众席位 849 座，排距 85cm 座位宽度按 50cm 设计。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③游泳馆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 xml:space="preserve">a.功能：游泳馆具备游泳、水球、花样游泳等多项功能，规模为381 座。设计定位为乙级，为大型游泳比赛的运动场馆，能满足贺州市举办体育运动比赛、企业体育比赛以及群众日常体育活动的需求，并能承办国内部分单项比赛。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b.标准：新建 1 座游泳馆地上 2 层，地下 1 层，建筑高度 24.7米，建筑结构安全等级为一级，结构设计使用年限 100 年；游泳馆平面为矩形，平面尺寸为 85.9m×60.8m。游泳馆占地面积 5011.64 ㎡，总建筑面积为 15393.65 ㎡。</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2）建设产出标准</w:t>
      </w:r>
    </w:p>
    <w:p>
      <w:pPr>
        <w:pageBreakBefore w:val="0"/>
        <w:widowControl/>
        <w:tabs>
          <w:tab w:val="bar" w:pos="1276"/>
        </w:tabs>
        <w:kinsoku/>
        <w:wordWrap/>
        <w:overflowPunct/>
        <w:topLinePunct w:val="0"/>
        <w:autoSpaceDN/>
        <w:bidi w:val="0"/>
        <w:adjustRightInd/>
        <w:snapToGrid w:val="0"/>
        <w:spacing w:line="460" w:lineRule="exact"/>
        <w:ind w:firstLine="420" w:firstLineChars="200"/>
        <w:jc w:val="both"/>
        <w:textAlignment w:val="auto"/>
        <w:rPr>
          <w:rFonts w:ascii="宋体" w:hAnsi="宋体" w:eastAsia="宋体" w:cs="宋体"/>
          <w:color w:val="000000" w:themeColor="text1"/>
          <w:kern w:val="0"/>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bidi="ar"/>
          <w14:textFill>
            <w14:solidFill>
              <w14:schemeClr w14:val="tx1"/>
            </w14:solidFill>
          </w14:textFill>
        </w:rPr>
        <w:t>建设标准主要根据《体育建筑设计规范》（JGJ31-2017）、《体育训练基地通用配套用房建设标准》（建标 159-2011）、《民用建筑设计统一标准》（GB50352-2019）、《建筑装饰装修工程质量验收规范》（GB50210—2018）等建筑及体育场馆行业标准。</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 xml:space="preserve">（2）达美中路及东环路项目 </w:t>
      </w:r>
    </w:p>
    <w:p>
      <w:pPr>
        <w:pageBreakBefore w:val="0"/>
        <w:widowControl/>
        <w:kinsoku/>
        <w:wordWrap/>
        <w:overflowPunct/>
        <w:topLinePunct w:val="0"/>
        <w:autoSpaceDN/>
        <w:bidi w:val="0"/>
        <w:adjustRightInd/>
        <w:spacing w:line="460" w:lineRule="exact"/>
        <w:ind w:firstLine="420" w:firstLineChars="200"/>
        <w:jc w:val="left"/>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1）建设产出内容 a.新建两条道路等级为主干道的市政道路，总设计长度为2567.805m，主要技术指标表如下：</w:t>
      </w:r>
    </w:p>
    <w:p>
      <w:pPr>
        <w:pageBreakBefore w:val="0"/>
        <w:widowControl/>
        <w:kinsoku/>
        <w:wordWrap/>
        <w:overflowPunct/>
        <w:topLinePunct w:val="0"/>
        <w:autoSpaceDN/>
        <w:bidi w:val="0"/>
        <w:adjustRightInd/>
        <w:spacing w:line="460" w:lineRule="exact"/>
        <w:jc w:val="center"/>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达美中路及东环路项目技术指标表</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114300" distR="114300">
            <wp:extent cx="5553075" cy="4208780"/>
            <wp:effectExtent l="0" t="0" r="952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0"/>
                    <a:stretch>
                      <a:fillRect/>
                    </a:stretch>
                  </pic:blipFill>
                  <pic:spPr>
                    <a:xfrm>
                      <a:off x="0" y="0"/>
                      <a:ext cx="5553075" cy="4208780"/>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b.设计荷载：道路：BZZ-100KN 桥涵：城-A 级。</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c.道路净空：≥4.5 米</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d.路面结构类型：沥青砼路面</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e.抗震设防：根据《中国地震动参数区划图》（GB18306-2015）,贺州市鹅塘镇基本地震加速度值为 0.05g，设计特征周期值为 0.35s，地震烈度属 VI 度区，按 VI 级设防。</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2）建设产出标准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《城镇道路工程施工与质量验收规范》（CJJ1-2008）、《城市道路照明工程施工及验收规程》（CJJ89-2012）、《给水排水管道工程施工及验收规范》（GB50268-2008）等道路建设技术规范、标准。</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（3）江北东路项目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1）建设产出内容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a.新建 1 条道路等级为城市次干路，设计速度 30km/h，单幅路双向四车道，道路设计长度约 2996.00m，道路红线宽度 30m（局部为24m）的市政道路，主要技术指标见下表：</w:t>
      </w:r>
    </w:p>
    <w:p>
      <w:pPr>
        <w:pageBreakBefore w:val="0"/>
        <w:widowControl/>
        <w:kinsoku/>
        <w:wordWrap/>
        <w:overflowPunct/>
        <w:topLinePunct w:val="0"/>
        <w:autoSpaceDN/>
        <w:bidi w:val="0"/>
        <w:adjustRightInd/>
        <w:spacing w:line="460" w:lineRule="exact"/>
        <w:ind w:firstLine="422" w:firstLineChars="200"/>
        <w:jc w:val="center"/>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江北东路项目技术指标表</w:t>
      </w:r>
    </w:p>
    <w:p>
      <w:pPr>
        <w:pageBreakBefore w:val="0"/>
        <w:widowControl/>
        <w:kinsoku/>
        <w:wordWrap/>
        <w:overflowPunct/>
        <w:topLinePunct w:val="0"/>
        <w:autoSpaceDN/>
        <w:bidi w:val="0"/>
        <w:adjustRightInd/>
        <w:spacing w:line="460" w:lineRule="exact"/>
        <w:ind w:firstLine="422" w:firstLineChars="200"/>
        <w:jc w:val="center"/>
        <w:textAlignment w:val="auto"/>
        <w:rPr>
          <w:rFonts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center"/>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114300" distR="114300">
            <wp:extent cx="5581650" cy="4500880"/>
            <wp:effectExtent l="0" t="0" r="0" b="1397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1"/>
                    <a:stretch>
                      <a:fillRect/>
                    </a:stretch>
                  </pic:blipFill>
                  <pic:spPr>
                    <a:xfrm>
                      <a:off x="0" y="0"/>
                      <a:ext cx="5581650" cy="4500880"/>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b.设计荷载：道路：BZZ-100KN。</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c.道路净空：≥4m。</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d.路面结构类型：沥青砼路面。</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e.抗震设防：根据《中国地震动参数区划图》（GB18306-2015）,基本地震加速度值为 0.05g，设计特征周期值为 0.35s，地震烈度属 VI度区，按 VI 级设防。</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2）建设产出标准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《城镇道路工程施工与质量验收规范》（CJJ1-2008）、《城市道路照明工程施工及验收规程》（CJJ89-2012）、《给水排水管道工程施工及验收规范》（GB50268-2008）等道路建设技术规范、标准。 </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（4）达美北路项目 </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1）建设产出内容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a.新建1 条道路等级为城市主干路，设计范围长度 1322.513 米，红线宽度 40m，设计速度 50km/h 的市政道路,主要技术指标见下表：</w:t>
      </w:r>
    </w:p>
    <w:p>
      <w:pPr>
        <w:pageBreakBefore w:val="0"/>
        <w:widowControl/>
        <w:kinsoku/>
        <w:wordWrap/>
        <w:overflowPunct/>
        <w:topLinePunct w:val="0"/>
        <w:autoSpaceDN/>
        <w:bidi w:val="0"/>
        <w:adjustRightInd/>
        <w:spacing w:line="460" w:lineRule="exact"/>
        <w:ind w:firstLine="422" w:firstLineChars="200"/>
        <w:jc w:val="center"/>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达美北路项目技术指标表</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center"/>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114300" distR="114300">
            <wp:extent cx="5534025" cy="2061845"/>
            <wp:effectExtent l="0" t="0" r="9525" b="1460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2"/>
                    <a:stretch>
                      <a:fillRect/>
                    </a:stretch>
                  </pic:blipFill>
                  <pic:spPr>
                    <a:xfrm>
                      <a:off x="0" y="0"/>
                      <a:ext cx="5534025" cy="2061845"/>
                    </a:xfrm>
                    <a:prstGeom prst="rect">
                      <a:avLst/>
                    </a:prstGeom>
                    <a:noFill/>
                    <a:ln>
                      <a:noFill/>
                    </a:ln>
                  </pic:spPr>
                </pic:pic>
              </a:graphicData>
            </a:graphic>
          </wp:inline>
        </w:drawing>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b.路面设计标准轴载：BZZ-100。</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c.路面结构：沥青混凝土路面。</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d.抗震设防：根据《中国地震动参数区划图》（GB18306-2015）,贺州市区基本地震加速度值为 0.05g，设计特征周期值为 0.35s，地震烈度属 VI 度区，按 VI 级设防。</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2）建设产出标准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《城镇道路工程施工与质量验收规范》（CJJ1-2008）、《城市道路照明工程施工及验收规程》（CJJ89-2012）、《给水排水管道工程施工及验收规范》（GB50268-2008）等道路建设技术规范、标准。</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（5）临贺大道道路提升改造工程 </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1）建设产出内容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路基路面病害处理、人行道新建、绿化带整治、路灯维修更换等市政化改造及其它附属设施提升，长约 11.03km，基宽度为 24.5m。</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2）建设产出标准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《城镇道路工程施工与质量验收规范》（CJJ1-2008）、《城市道路照明工程施工及验收规程》（CJJ89-2012）等道路建设技术规范、标准。</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 运营产出 </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（1）运营产出内容 </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1）体育综合体项目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①维修和维护：体育场馆的维修维护工作主要是指项目公司在运营期内对项目范围内相关基础设施和设施设备的维修维护工作，确保项目相关建设内容正常运行。包括体育场馆等主体建构筑物，田径场、篮球场、排球场、羽毛球场等体育活动场所，道路、停车场、景观绿化、设备等相关配套设施的维修维护。</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②体育场馆经营：举办赛事、培训、球类项目经营、游泳、场地出租、商业配套经营、文化活动及经营等经营活动。项目公司应当坚持公益属性和体育文化服务功能，在保障体育赛事活动、全民健身、公益展览等体育文化事业任务的前提下，按照市场化和规范化运营原则，充分挖掘体育场馆资源，开展多种形式的经营和服务，发展体育文化及相关产业，提高综合利用水平，促进社会效益和经济效益相统一。</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③场馆开放：项目公司应根据相关政策要求，对本项目所属场馆和附属体育设施应按照下列要求开放：</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a.体育场馆和区域内的公共体育场地和设施应免费、低收费向社会开放。每周开放时间不少于 35 小时，全年开放时间不少于 330 天。公休日、法定节假日、学校寒暑假期间等，每天开放时间不少于 8 小时。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b.体育场馆所属户外公共区域及户外健身器材应全年免费开放，每天开放时间不少于 12 小时。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c.体育场馆对学生、老年人、残疾人等应免费、低收费开放。</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d.体育场馆在全民健身日应全面免费向社会开放。</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e.体育场馆因维修、保养、安全、训练、赛事、天气等原因，不能向社会开放或需调整开放时间，应提前 7 天（特殊天气原因除外）向社会公告。</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④安保：安保范围包括项目范围内的公共区域、进出口、传达室、</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停车场等，安保人员需负责室内外巡逻、安保等。</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⑤绿化养护：绿化人员负责全部绿化植物的修剪、除草、淋水、</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施肥、植物病虫防治。</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⑥环卫保洁：保洁人员负责场馆、绿地、道路广场等公共区域的</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清扫、保洁，并将垃圾转运至规定地点存放。</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2）市政道路项目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周边基础配套的 4 条市政道路的路面及人行道日常维护、中大修等，保障道路基础设施的正常使用。具体运营产出指标及绩效考核内容详见本方案绩效考核要求。</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 xml:space="preserve">（2）运营维护服务标准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《中华人民共和国体育法》、《公共文化体育设施条例》、《体育场馆运营管理办法》（体经〔2015〕36 号）、《大型体育场馆基本公共服务规范》《大型体育场馆运营管理综合评价体系》（体经字〔2014〕411 号）、《关于推进大型体育场馆免费低收费开发的通知》（体经字〔2014〕34 号）、《城市道路管理条例》（国务院令第 198号）、《城镇道路养护技术规范》（CJJ36-2016）、《建筑与市政工程无障碍通用规范》（GB 55019-2021）等体育场馆、道路运营维护政策法规标准。</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五、交易结构和股东回报机制</w:t>
      </w:r>
    </w:p>
    <w:p>
      <w:pPr>
        <w:keepNext/>
        <w:pageBreakBefore w:val="0"/>
        <w:kinsoku/>
        <w:wordWrap/>
        <w:overflowPunct/>
        <w:topLinePunct w:val="0"/>
        <w:autoSpaceDN/>
        <w:bidi w:val="0"/>
        <w:adjustRightInd/>
        <w:spacing w:before="0" w:after="0" w:line="460" w:lineRule="exact"/>
        <w:ind w:firstLine="422" w:firstLineChars="200"/>
        <w:jc w:val="both"/>
        <w:textAlignment w:val="auto"/>
        <w:outlineLvl w:val="1"/>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36" w:name="_Toc110817782"/>
      <w:bookmarkStart w:id="37" w:name="_Toc29198"/>
      <w:bookmarkStart w:id="38" w:name="_Toc26050"/>
      <w:bookmarkStart w:id="39" w:name="_Toc116503127"/>
      <w:bookmarkStart w:id="40" w:name="_Toc527995737"/>
      <w:bookmarkStart w:id="41" w:name="_Toc24681"/>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1.1交易结构图</w:t>
      </w:r>
      <w:bookmarkEnd w:id="36"/>
      <w:bookmarkEnd w:id="37"/>
      <w:bookmarkEnd w:id="38"/>
      <w:bookmarkEnd w:id="39"/>
      <w:bookmarkEnd w:id="40"/>
      <w:bookmarkEnd w:id="41"/>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本项目交易结构图如下：</w:t>
      </w:r>
    </w:p>
    <w:p>
      <w:pPr>
        <w:keepNext w:val="0"/>
        <w:pageBreakBefore w:val="0"/>
        <w:widowControl w:val="0"/>
        <w:kinsoku/>
        <w:wordWrap/>
        <w:overflowPunct/>
        <w:topLinePunct w:val="0"/>
        <w:autoSpaceDN/>
        <w:bidi w:val="0"/>
        <w:adjustRightInd/>
        <w:spacing w:line="460" w:lineRule="exact"/>
        <w:ind w:firstLine="420" w:firstLineChars="200"/>
        <w:jc w:val="center"/>
        <w:textAlignment w:val="auto"/>
        <w:rPr>
          <w:rFonts w:ascii="宋体" w:hAnsi="宋体" w:eastAsia="宋体" w:cs="宋体"/>
          <w:b/>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-75565</wp:posOffset>
            </wp:positionH>
            <wp:positionV relativeFrom="paragraph">
              <wp:posOffset>67310</wp:posOffset>
            </wp:positionV>
            <wp:extent cx="6096000" cy="3285490"/>
            <wp:effectExtent l="0" t="0" r="0" b="10160"/>
            <wp:wrapSquare wrapText="bothSides"/>
            <wp:docPr id="1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096000" cy="3285490"/>
                    </a:xfrm>
                    <a:prstGeom prst="rect">
                      <a:avLst/>
                    </a:prstGeom>
                    <a:noFill/>
                  </pic:spPr>
                </pic:pic>
              </a:graphicData>
            </a:graphic>
          </wp:anchor>
        </w:drawing>
      </w:r>
    </w:p>
    <w:p>
      <w:pPr>
        <w:keepNext w:val="0"/>
        <w:pageBreakBefore w:val="0"/>
        <w:widowControl w:val="0"/>
        <w:kinsoku/>
        <w:wordWrap/>
        <w:overflowPunct/>
        <w:topLinePunct w:val="0"/>
        <w:autoSpaceDN/>
        <w:bidi w:val="0"/>
        <w:adjustRightInd/>
        <w:spacing w:line="460" w:lineRule="exact"/>
        <w:ind w:firstLine="422" w:firstLineChars="200"/>
        <w:jc w:val="center"/>
        <w:textAlignment w:val="auto"/>
        <w:rPr>
          <w:rFonts w:ascii="宋体" w:hAnsi="宋体" w:eastAsia="宋体" w:cs="宋体"/>
          <w:b/>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color w:val="000000" w:themeColor="text1"/>
          <w:sz w:val="21"/>
          <w:szCs w:val="21"/>
          <w:highlight w:val="none"/>
          <w:lang w:val="en-US" w:eastAsia="zh-CN" w:bidi="ar-SA"/>
          <w14:textFill>
            <w14:solidFill>
              <w14:schemeClr w14:val="tx1"/>
            </w14:solidFill>
          </w14:textFill>
        </w:rPr>
        <w:t>项目交易结构图</w:t>
      </w:r>
    </w:p>
    <w:p>
      <w:pPr>
        <w:keepNext/>
        <w:pageBreakBefore w:val="0"/>
        <w:kinsoku/>
        <w:wordWrap/>
        <w:overflowPunct/>
        <w:topLinePunct w:val="0"/>
        <w:autoSpaceDN/>
        <w:bidi w:val="0"/>
        <w:adjustRightInd/>
        <w:spacing w:before="0" w:after="0" w:line="460" w:lineRule="exact"/>
        <w:ind w:firstLine="422" w:firstLineChars="200"/>
        <w:jc w:val="both"/>
        <w:textAlignment w:val="auto"/>
        <w:outlineLvl w:val="1"/>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42" w:name="_Toc5330"/>
      <w:bookmarkStart w:id="43" w:name="_Toc17998"/>
      <w:bookmarkStart w:id="44" w:name="_Toc21921"/>
      <w:bookmarkStart w:id="45" w:name="_Toc449023564"/>
      <w:bookmarkStart w:id="46" w:name="_Toc110817783"/>
      <w:bookmarkStart w:id="47" w:name="_Toc504569905"/>
      <w:bookmarkStart w:id="48" w:name="_Ref109741303"/>
      <w:bookmarkStart w:id="49" w:name="_Toc116503128"/>
      <w:bookmarkStart w:id="50" w:name="_Toc534497448"/>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1.2项目回报机制</w:t>
      </w:r>
      <w:bookmarkEnd w:id="42"/>
      <w:bookmarkEnd w:id="43"/>
      <w:bookmarkEnd w:id="44"/>
      <w:bookmarkEnd w:id="45"/>
      <w:bookmarkEnd w:id="46"/>
      <w:bookmarkEnd w:id="47"/>
      <w:bookmarkEnd w:id="48"/>
      <w:bookmarkEnd w:id="49"/>
      <w:bookmarkEnd w:id="50"/>
    </w:p>
    <w:p>
      <w:pPr>
        <w:keepNext/>
        <w:keepLines/>
        <w:pageBreakBefore w:val="0"/>
        <w:numPr>
          <w:ilvl w:val="2"/>
          <w:numId w:val="0"/>
        </w:numPr>
        <w:kinsoku/>
        <w:wordWrap/>
        <w:overflowPunct/>
        <w:topLinePunct w:val="0"/>
        <w:autoSpaceDN/>
        <w:bidi w:val="0"/>
        <w:adjustRightInd/>
        <w:spacing w:line="460" w:lineRule="exact"/>
        <w:ind w:firstLine="422" w:firstLineChars="200"/>
        <w:textAlignment w:val="auto"/>
        <w:outlineLvl w:val="2"/>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51" w:name="_Toc440359933"/>
      <w:bookmarkStart w:id="52" w:name="_Toc116503129"/>
      <w:bookmarkStart w:id="53" w:name="_Toc25262"/>
      <w:bookmarkStart w:id="54" w:name="_Toc23292"/>
      <w:bookmarkStart w:id="55" w:name="_Toc13584"/>
      <w:bookmarkStart w:id="56" w:name="_Toc482297799"/>
      <w:bookmarkStart w:id="57" w:name="_Toc69470030"/>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1.2.1项目回报机制</w:t>
      </w:r>
      <w:bookmarkEnd w:id="51"/>
      <w:bookmarkEnd w:id="52"/>
      <w:bookmarkEnd w:id="53"/>
      <w:bookmarkEnd w:id="54"/>
      <w:bookmarkEnd w:id="55"/>
      <w:bookmarkEnd w:id="56"/>
      <w:bookmarkEnd w:id="57"/>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根据国家发展改革委《关于开展政府和社会资本合作的指导意见》（发改投资〔2014〕2724号）等规定，PPP项目常用的回报机制及适用条件，主要包括以下三类：</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（1）使用者付费。是指由最终消费用户直接付费购买公共产品和服务，主要针对效益比较好的经营性项目，例如效益较好的收费公路、供热、供水项目等。</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（2）政府付费。是指政府直接付费购买公共产品和服务，主要包括可用性付费（Availability Payment）、使用量付费（Usage Payment）和绩效付费（Performance Payment），主要针对本身不具备向使用者收费基础的非经营性项目（纯公益性项目），例如市政道路、市政绿化项目等。</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可行性缺口补助。是指使用者付费不足以满足社会资本或项目公司成本回收和合理回报，而由政府以财政补贴、股本投入、优惠贷款和其他优惠政策的形式，给予社会资本方的经济补助。主要针对准经营性项目，例如城市综合管廊、轨道交通等项目。</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项目具备一定的经营收入，但其经营收入不足以平衡本项目的全部建设投资及运营费用，属于准经营性的公共服务及基础设施项目，因此，本项目采用“可行性缺口补助”的回报机制，运营期内，实施机构根据绩效考核结果向项目公司支付可行性缺口补助。具体定价机制如下：</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可行性缺口补助＝可用性服务费+运营维护费－使用者付费（经营收入）-专项补助资金（如有）</w:t>
      </w:r>
    </w:p>
    <w:p>
      <w:pPr>
        <w:keepNext/>
        <w:keepLines/>
        <w:pageBreakBefore w:val="0"/>
        <w:numPr>
          <w:ilvl w:val="2"/>
          <w:numId w:val="0"/>
        </w:numPr>
        <w:kinsoku/>
        <w:wordWrap/>
        <w:overflowPunct/>
        <w:topLinePunct w:val="0"/>
        <w:autoSpaceDN/>
        <w:bidi w:val="0"/>
        <w:adjustRightInd/>
        <w:spacing w:line="460" w:lineRule="exact"/>
        <w:ind w:firstLine="422" w:firstLineChars="200"/>
        <w:textAlignment w:val="auto"/>
        <w:outlineLvl w:val="2"/>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58" w:name="_Toc531355880"/>
      <w:bookmarkStart w:id="59" w:name="_Toc8972"/>
      <w:bookmarkStart w:id="60" w:name="_Toc2260856"/>
      <w:bookmarkStart w:id="61" w:name="_Toc31176"/>
      <w:bookmarkStart w:id="62" w:name="_Toc2010598"/>
      <w:bookmarkStart w:id="63" w:name="_Toc536439710"/>
      <w:bookmarkStart w:id="64" w:name="_Toc531341861"/>
      <w:bookmarkStart w:id="65" w:name="_Toc116503130"/>
      <w:bookmarkStart w:id="66" w:name="_Ref109745518"/>
      <w:bookmarkStart w:id="67" w:name="_Toc3475723"/>
      <w:bookmarkStart w:id="68" w:name="_Toc8732"/>
      <w:bookmarkStart w:id="69" w:name="_Toc535914496"/>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1.2.2可用性服务费</w:t>
      </w:r>
      <w:bookmarkEnd w:id="58"/>
      <w:bookmarkEnd w:id="59"/>
      <w:bookmarkEnd w:id="60"/>
      <w:bookmarkEnd w:id="61"/>
      <w:bookmarkEnd w:id="62"/>
      <w:bookmarkEnd w:id="63"/>
      <w:bookmarkEnd w:id="64"/>
      <w:bookmarkEnd w:id="65"/>
      <w:bookmarkEnd w:id="66"/>
      <w:bookmarkEnd w:id="67"/>
      <w:bookmarkEnd w:id="68"/>
      <w:bookmarkEnd w:id="69"/>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可用性服务费：是指项目公司在建设期内投入的资本性总支出而需要获得的服务收入，主要包括项目建设投资及必要的合理回报。</w:t>
      </w:r>
    </w:p>
    <w:p>
      <w:pPr>
        <w:keepNext/>
        <w:keepLines/>
        <w:pageBreakBefore w:val="0"/>
        <w:kinsoku/>
        <w:wordWrap/>
        <w:overflowPunct/>
        <w:topLinePunct w:val="0"/>
        <w:autoSpaceDN/>
        <w:bidi w:val="0"/>
        <w:adjustRightInd/>
        <w:spacing w:before="0" w:after="0" w:line="460" w:lineRule="exact"/>
        <w:ind w:firstLine="422" w:firstLineChars="200"/>
        <w:textAlignment w:val="auto"/>
        <w:outlineLvl w:val="3"/>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70" w:name="_Ref109745527"/>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1.2.2.1定价机制</w:t>
      </w:r>
      <w:bookmarkEnd w:id="70"/>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根据财政部《关于规范政府和社会资本合作（PPP）综合信息平台项目库管理的通知》（财办金〔2017〕92号）关于可行性缺口补助在项目合作期内平滑支付的要求，本项目的可用性服务费采用“等额本息”（运营期年度平均）的方式按以下公式测算：</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m:oMathPara>
        <m:oMath>
          <m:r>
            <m:rPr/>
            <w:rPr>
              <w:rFonts w:hint="eastAsia" w:ascii="Cambria Math" w:hAnsi="Cambria Math" w:cs="宋体"/>
              <w:color w:val="000000" w:themeColor="text1"/>
              <w:sz w:val="21"/>
              <w:szCs w:val="21"/>
              <w:highlight w:val="none"/>
              <w14:textFill>
                <w14:solidFill>
                  <w14:schemeClr w14:val="tx1"/>
                </w14:solidFill>
              </w14:textFill>
            </w:rPr>
            <m:t>A</m:t>
          </m:r>
          <m:r>
            <m:rPr>
              <m:sty m:val="p"/>
            </m:rPr>
            <w:rPr>
              <w:rFonts w:hint="eastAsia" w:ascii="Cambria Math" w:hAnsi="Cambria Math" w:cs="宋体"/>
              <w:color w:val="000000" w:themeColor="text1"/>
              <w:sz w:val="21"/>
              <w:szCs w:val="21"/>
              <w:highlight w:val="none"/>
              <w14:textFill>
                <w14:solidFill>
                  <w14:schemeClr w14:val="tx1"/>
                </w14:solidFill>
              </w14:textFill>
            </w:rPr>
            <m:t>=P</m:t>
          </m:r>
          <m:f>
            <m:fPr>
              <m:ctrlPr>
                <w:rPr>
                  <w:rFonts w:hint="eastAsia" w:ascii="Cambria Math" w:hAnsi="Cambria Math" w:cs="宋体"/>
                  <w:color w:val="000000" w:themeColor="text1"/>
                  <w:sz w:val="21"/>
                  <w:szCs w:val="21"/>
                  <w:highlight w:val="none"/>
                  <w14:textFill>
                    <w14:solidFill>
                      <w14:schemeClr w14:val="tx1"/>
                    </w14:solidFill>
                  </w14:textFill>
                </w:rPr>
              </m:ctrlPr>
            </m:fPr>
            <m:num>
              <m:r>
                <m:rPr>
                  <m:sty m:val="p"/>
                </m:rPr>
                <w:rPr>
                  <w:rFonts w:hint="eastAsia" w:ascii="Cambria Math" w:hAnsi="Cambria Math" w:cs="宋体"/>
                  <w:color w:val="000000" w:themeColor="text1"/>
                  <w:sz w:val="21"/>
                  <w:szCs w:val="21"/>
                  <w:highlight w:val="none"/>
                  <w14:textFill>
                    <w14:solidFill>
                      <w14:schemeClr w14:val="tx1"/>
                    </w14:solidFill>
                  </w14:textFill>
                </w:rPr>
                <m:t>i×</m:t>
              </m:r>
              <m:sSup>
                <m:sSupPr>
                  <m:ctrlPr>
                    <w:rPr>
                      <w:rFonts w:hint="eastAsia" w:ascii="Cambria Math" w:hAnsi="Cambria Math" w:cs="宋体"/>
                      <w:color w:val="000000" w:themeColor="text1"/>
                      <w:sz w:val="21"/>
                      <w:szCs w:val="21"/>
                      <w:highlight w:val="none"/>
                      <w14:textFill>
                        <w14:solidFill>
                          <w14:schemeClr w14:val="tx1"/>
                        </w14:solidFill>
                      </w14:textFill>
                    </w:rPr>
                  </m:ctrlPr>
                </m:sSupPr>
                <m:e>
                  <m:d>
                    <m:dPr>
                      <m:ctrlPr>
                        <w:rPr>
                          <w:rFonts w:hint="eastAsia" w:ascii="Cambria Math" w:hAnsi="Cambria Math" w:cs="宋体"/>
                          <w:color w:val="000000" w:themeColor="text1"/>
                          <w:sz w:val="21"/>
                          <w:szCs w:val="21"/>
                          <w:highlight w:val="none"/>
                          <w14:textFill>
                            <w14:solidFill>
                              <w14:schemeClr w14:val="tx1"/>
                            </w14:solidFill>
                          </w14:textFill>
                        </w:rPr>
                      </m:ctrlPr>
                    </m:dPr>
                    <m:e>
                      <m:r>
                        <m:rPr>
                          <m:sty m:val="p"/>
                        </m:rPr>
                        <w:rPr>
                          <w:rFonts w:hint="eastAsia" w:ascii="Cambria Math" w:hAnsi="Cambria Math" w:cs="宋体"/>
                          <w:color w:val="000000" w:themeColor="text1"/>
                          <w:sz w:val="21"/>
                          <w:szCs w:val="21"/>
                          <w:highlight w:val="none"/>
                          <w14:textFill>
                            <w14:solidFill>
                              <w14:schemeClr w14:val="tx1"/>
                            </w14:solidFill>
                          </w14:textFill>
                        </w:rPr>
                        <m:t>1+i</m:t>
                      </m:r>
                      <m:ctrlPr>
                        <w:rPr>
                          <w:rFonts w:hint="eastAsia" w:ascii="Cambria Math" w:hAnsi="Cambria Math" w:cs="宋体"/>
                          <w:color w:val="000000" w:themeColor="text1"/>
                          <w:sz w:val="21"/>
                          <w:szCs w:val="21"/>
                          <w:highlight w:val="none"/>
                          <w14:textFill>
                            <w14:solidFill>
                              <w14:schemeClr w14:val="tx1"/>
                            </w14:solidFill>
                          </w14:textFill>
                        </w:rPr>
                      </m:ctrlPr>
                    </m:e>
                  </m:d>
                  <m:ctrlPr>
                    <w:rPr>
                      <w:rFonts w:hint="eastAsia" w:ascii="Cambria Math" w:hAnsi="Cambria Math" w:cs="宋体"/>
                      <w:color w:val="000000" w:themeColor="text1"/>
                      <w:sz w:val="21"/>
                      <w:szCs w:val="21"/>
                      <w:highlight w:val="none"/>
                      <w14:textFill>
                        <w14:solidFill>
                          <w14:schemeClr w14:val="tx1"/>
                        </w14:solidFill>
                      </w14:textFill>
                    </w:rPr>
                  </m:ctrlPr>
                </m:e>
                <m:sup>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p>
              </m:sSup>
              <m:ctrlPr>
                <w:rPr>
                  <w:rFonts w:hint="eastAsia" w:ascii="Cambria Math" w:hAnsi="Cambria Math" w:cs="宋体"/>
                  <w:color w:val="000000" w:themeColor="text1"/>
                  <w:sz w:val="21"/>
                  <w:szCs w:val="21"/>
                  <w:highlight w:val="none"/>
                  <w14:textFill>
                    <w14:solidFill>
                      <w14:schemeClr w14:val="tx1"/>
                    </w14:solidFill>
                  </w14:textFill>
                </w:rPr>
              </m:ctrlPr>
            </m:num>
            <m:den>
              <m:sSup>
                <m:sSupPr>
                  <m:ctrlPr>
                    <w:rPr>
                      <w:rFonts w:hint="eastAsia" w:ascii="Cambria Math" w:hAnsi="Cambria Math" w:cs="宋体"/>
                      <w:color w:val="000000" w:themeColor="text1"/>
                      <w:sz w:val="21"/>
                      <w:szCs w:val="21"/>
                      <w:highlight w:val="none"/>
                      <w14:textFill>
                        <w14:solidFill>
                          <w14:schemeClr w14:val="tx1"/>
                        </w14:solidFill>
                      </w14:textFill>
                    </w:rPr>
                  </m:ctrlPr>
                </m:sSupPr>
                <m:e>
                  <m:d>
                    <m:dPr>
                      <m:ctrlPr>
                        <w:rPr>
                          <w:rFonts w:hint="eastAsia" w:ascii="Cambria Math" w:hAnsi="Cambria Math" w:cs="宋体"/>
                          <w:color w:val="000000" w:themeColor="text1"/>
                          <w:sz w:val="21"/>
                          <w:szCs w:val="21"/>
                          <w:highlight w:val="none"/>
                          <w14:textFill>
                            <w14:solidFill>
                              <w14:schemeClr w14:val="tx1"/>
                            </w14:solidFill>
                          </w14:textFill>
                        </w:rPr>
                      </m:ctrlPr>
                    </m:dPr>
                    <m:e>
                      <m:r>
                        <m:rPr>
                          <m:sty m:val="p"/>
                        </m:rPr>
                        <w:rPr>
                          <w:rFonts w:hint="eastAsia" w:ascii="Cambria Math" w:hAnsi="Cambria Math" w:cs="宋体"/>
                          <w:color w:val="000000" w:themeColor="text1"/>
                          <w:sz w:val="21"/>
                          <w:szCs w:val="21"/>
                          <w:highlight w:val="none"/>
                          <w14:textFill>
                            <w14:solidFill>
                              <w14:schemeClr w14:val="tx1"/>
                            </w14:solidFill>
                          </w14:textFill>
                        </w:rPr>
                        <m:t>1+i</m:t>
                      </m:r>
                      <m:ctrlPr>
                        <w:rPr>
                          <w:rFonts w:hint="eastAsia" w:ascii="Cambria Math" w:hAnsi="Cambria Math" w:cs="宋体"/>
                          <w:color w:val="000000" w:themeColor="text1"/>
                          <w:sz w:val="21"/>
                          <w:szCs w:val="21"/>
                          <w:highlight w:val="none"/>
                          <w14:textFill>
                            <w14:solidFill>
                              <w14:schemeClr w14:val="tx1"/>
                            </w14:solidFill>
                          </w14:textFill>
                        </w:rPr>
                      </m:ctrlPr>
                    </m:e>
                  </m:d>
                  <m:ctrlPr>
                    <w:rPr>
                      <w:rFonts w:hint="eastAsia" w:ascii="Cambria Math" w:hAnsi="Cambria Math" w:cs="宋体"/>
                      <w:color w:val="000000" w:themeColor="text1"/>
                      <w:sz w:val="21"/>
                      <w:szCs w:val="21"/>
                      <w:highlight w:val="none"/>
                      <w14:textFill>
                        <w14:solidFill>
                          <w14:schemeClr w14:val="tx1"/>
                        </w14:solidFill>
                      </w14:textFill>
                    </w:rPr>
                  </m:ctrlPr>
                </m:e>
                <m:sup>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p>
              </m:sSup>
              <m:r>
                <m:rPr>
                  <m:sty m:val="p"/>
                </m:rPr>
                <w:rPr>
                  <w:rFonts w:hint="eastAsia" w:ascii="Cambria Math" w:hAnsi="Cambria Math" w:cs="宋体"/>
                  <w:color w:val="000000" w:themeColor="text1"/>
                  <w:sz w:val="21"/>
                  <w:szCs w:val="21"/>
                  <w:highlight w:val="none"/>
                  <w14:textFill>
                    <w14:solidFill>
                      <w14:schemeClr w14:val="tx1"/>
                    </w14:solidFill>
                  </w14:textFill>
                </w:rPr>
                <m:t>−1</m:t>
              </m:r>
              <m:ctrlPr>
                <w:rPr>
                  <w:rFonts w:hint="eastAsia" w:ascii="Cambria Math" w:hAnsi="Cambria Math" w:cs="宋体"/>
                  <w:color w:val="000000" w:themeColor="text1"/>
                  <w:sz w:val="21"/>
                  <w:szCs w:val="21"/>
                  <w:highlight w:val="none"/>
                  <w14:textFill>
                    <w14:solidFill>
                      <w14:schemeClr w14:val="tx1"/>
                    </w14:solidFill>
                  </w14:textFill>
                </w:rPr>
              </m:ctrlPr>
            </m:den>
          </m:f>
        </m:oMath>
      </m:oMathPara>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（1）A：当年应计可用性服务费。</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（2）P：可用性服务费计算基数。</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可用性服务费计算基数=财政部门批复的项目竣工财务决算金额±调整额。</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可用性服务费计算基数最终以贺州市八步区财政部门批复的项目竣工财务决算金额结合调整额（如上级补助等）进行计算。</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（3）i：年投资收益率，年投资收益率。通过调研财政部PPP项目库同类体育类项目及市政工程类项目、广西壮族自治区项目收益率指标，收益率区间在 6.5%-10.65%之间，部分项目收益率统计情况见表 4-1。调研结果中位水平收益率为 7.4%，为降低政府支出责任，本项目年投资收益率不高于 7.0%，按年化收益率 7.0%测算，具体经过竞标确定。</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（4）n：运营期限15年。</w:t>
      </w:r>
    </w:p>
    <w:p>
      <w:pPr>
        <w:keepNext/>
        <w:keepLines/>
        <w:pageBreakBefore w:val="0"/>
        <w:kinsoku/>
        <w:wordWrap/>
        <w:overflowPunct/>
        <w:topLinePunct w:val="0"/>
        <w:autoSpaceDN/>
        <w:bidi w:val="0"/>
        <w:adjustRightInd/>
        <w:spacing w:before="0" w:after="0" w:line="460" w:lineRule="exact"/>
        <w:ind w:left="420" w:leftChars="200"/>
        <w:textAlignment w:val="auto"/>
        <w:outlineLvl w:val="3"/>
        <w:rPr>
          <w:rFonts w:ascii="宋体" w:hAnsi="宋体" w:eastAsia="宋体" w:cs="宋体"/>
          <w:b/>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1.2.2.2调价机制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根据财政部关于政府不对社会资本方收益兜底，不承诺固定回报的政策要求，结合上述“可用性服务费”的定价机制，影响“年可用性服务费”且政府方和社会资本方控制能力较弱的主要因素是“可用性服务费计算基数”变化、“央行授权发布的LPR贷款利率”大幅度波动，通过设定合理调价办法，将双方的风险控制在合理范围内。</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（1）基于可用性服务费计算基数变化的调价办法</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方案以批复的估算总投资作为可用性服务费计算基数计算可用性服务费，项目竣工验收后，可用性服务费计算基数最终以贺州市八步区财政部门审核项目竣工财务决算金额及调整额（如上级补助资金等）带入实施方案定价机制的公式，调整年度可用性服务费。</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（2）基于“五年期以上LPR利率”大幅波动的调价办法</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方案将央行授权发布的五年期以上LPR利率波动风险在社会资本方和政府方进行合理分担，风险范围为±20基点，即：在项目运营期内，以当前（2022年10月）执行的五年期以上LPR（4.30%）为基期利率，若运营期内当年1月1日执行的五年期以上LPR在基期利率（4.30%）的±20基点（含±20基点）范围内，不予调价，超出（或低于）20基点范围内时，调整当年的年投资收益（i）的取值，具体公式如下:</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若：当年执行5年期以上贷款市场报价利率（LPR）上调超过20基点时，调整后的年投资收益为：</w:t>
      </w:r>
      <w:r>
        <w:rPr>
          <w:rFonts w:hint="eastAsia" w:ascii="宋体" w:hAnsi="宋体" w:eastAsia="宋体" w:cs="宋体"/>
          <w:bCs/>
          <w:color w:val="000000" w:themeColor="text1"/>
          <w:kern w:val="0"/>
          <w:sz w:val="21"/>
          <w:szCs w:val="21"/>
          <w:highlight w:val="none"/>
          <w14:textFill>
            <w14:solidFill>
              <w14:schemeClr w14:val="tx1"/>
            </w14:solidFill>
          </w14:textFill>
        </w:rPr>
        <w:t>i</w:t>
      </w:r>
      <w:r>
        <w:rPr>
          <w:rFonts w:hint="eastAsia" w:ascii="宋体" w:hAnsi="宋体" w:eastAsia="宋体" w:cs="宋体"/>
          <w:bCs/>
          <w:color w:val="000000" w:themeColor="text1"/>
          <w:kern w:val="0"/>
          <w:sz w:val="21"/>
          <w:szCs w:val="21"/>
          <w:highlight w:val="none"/>
          <w:vertAlign w:val="subscript"/>
          <w14:textFill>
            <w14:solidFill>
              <w14:schemeClr w14:val="tx1"/>
            </w14:solidFill>
          </w14:textFill>
        </w:rPr>
        <w:t>1</w:t>
      </w:r>
      <w:r>
        <w:rPr>
          <w:rFonts w:hint="eastAsia" w:ascii="宋体" w:hAnsi="宋体" w:eastAsia="宋体" w:cs="宋体"/>
          <w:bCs/>
          <w:color w:val="000000" w:themeColor="text1"/>
          <w:kern w:val="0"/>
          <w:sz w:val="21"/>
          <w:szCs w:val="21"/>
          <w:highlight w:val="none"/>
          <w14:textFill>
            <w14:solidFill>
              <w14:schemeClr w14:val="tx1"/>
            </w14:solidFill>
          </w14:textFill>
        </w:rPr>
        <w:t>=i+</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0"/>
          <w:sz w:val="21"/>
          <w:szCs w:val="21"/>
          <w:highlight w:val="none"/>
          <w14:textFill>
            <w14:solidFill>
              <w14:schemeClr w14:val="tx1"/>
            </w14:solidFill>
          </w14:textFill>
        </w:rPr>
        <w:t>R</w:t>
      </w:r>
      <w:r>
        <w:rPr>
          <w:rFonts w:hint="eastAsia" w:ascii="宋体" w:hAnsi="宋体" w:eastAsia="宋体" w:cs="宋体"/>
          <w:bCs/>
          <w:color w:val="000000" w:themeColor="text1"/>
          <w:kern w:val="0"/>
          <w:sz w:val="21"/>
          <w:szCs w:val="21"/>
          <w:highlight w:val="none"/>
          <w:vertAlign w:val="subscript"/>
          <w14:textFill>
            <w14:solidFill>
              <w14:schemeClr w14:val="tx1"/>
            </w14:solidFill>
          </w14:textFill>
        </w:rPr>
        <w:t>n</w:t>
      </w:r>
      <w:r>
        <w:rPr>
          <w:rFonts w:hint="eastAsia" w:ascii="宋体" w:hAnsi="宋体" w:eastAsia="宋体" w:cs="宋体"/>
          <w:bCs/>
          <w:color w:val="000000" w:themeColor="text1"/>
          <w:kern w:val="0"/>
          <w:sz w:val="21"/>
          <w:szCs w:val="21"/>
          <w:highlight w:val="none"/>
          <w14:textFill>
            <w14:solidFill>
              <w14:schemeClr w14:val="tx1"/>
            </w14:solidFill>
          </w14:textFill>
        </w:rPr>
        <w:t>−4.30%-</w:t>
      </w:r>
      <w:r>
        <w:rPr>
          <w:rFonts w:hint="eastAsia" w:ascii="宋体" w:hAnsi="宋体" w:eastAsia="宋体" w:cs="宋体"/>
          <w:color w:val="000000" w:themeColor="text1"/>
          <w:kern w:val="0"/>
          <w:sz w:val="21"/>
          <w:szCs w:val="21"/>
          <w:highlight w:val="none"/>
          <w14:textFill>
            <w14:solidFill>
              <w14:schemeClr w14:val="tx1"/>
            </w14:solidFill>
          </w14:textFill>
        </w:rPr>
        <w:t>20基点）；</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若：当年执行5年期以上贷款市场报价利率（LPR）下调超过20基点时，调整后的年投资收益为：</w:t>
      </w:r>
      <w:r>
        <w:rPr>
          <w:rFonts w:hint="eastAsia" w:ascii="宋体" w:hAnsi="宋体" w:eastAsia="宋体" w:cs="宋体"/>
          <w:bCs/>
          <w:color w:val="000000" w:themeColor="text1"/>
          <w:kern w:val="0"/>
          <w:sz w:val="21"/>
          <w:szCs w:val="21"/>
          <w:highlight w:val="none"/>
          <w14:textFill>
            <w14:solidFill>
              <w14:schemeClr w14:val="tx1"/>
            </w14:solidFill>
          </w14:textFill>
        </w:rPr>
        <w:t>i</w:t>
      </w:r>
      <w:r>
        <w:rPr>
          <w:rFonts w:hint="eastAsia" w:ascii="宋体" w:hAnsi="宋体" w:eastAsia="宋体" w:cs="宋体"/>
          <w:bCs/>
          <w:color w:val="000000" w:themeColor="text1"/>
          <w:kern w:val="0"/>
          <w:sz w:val="21"/>
          <w:szCs w:val="21"/>
          <w:highlight w:val="none"/>
          <w:vertAlign w:val="subscript"/>
          <w14:textFill>
            <w14:solidFill>
              <w14:schemeClr w14:val="tx1"/>
            </w14:solidFill>
          </w14:textFill>
        </w:rPr>
        <w:t>1</w:t>
      </w:r>
      <w:r>
        <w:rPr>
          <w:rFonts w:hint="eastAsia" w:ascii="宋体" w:hAnsi="宋体" w:eastAsia="宋体" w:cs="宋体"/>
          <w:bCs/>
          <w:color w:val="000000" w:themeColor="text1"/>
          <w:kern w:val="0"/>
          <w:sz w:val="21"/>
          <w:szCs w:val="21"/>
          <w:highlight w:val="none"/>
          <w14:textFill>
            <w14:solidFill>
              <w14:schemeClr w14:val="tx1"/>
            </w14:solidFill>
          </w14:textFill>
        </w:rPr>
        <w:t>=i-</w:t>
      </w:r>
      <w:r>
        <w:rPr>
          <w:rFonts w:hint="eastAsia" w:ascii="宋体" w:hAnsi="宋体" w:eastAsia="宋体" w:cs="宋体"/>
          <w:color w:val="000000" w:themeColor="text1"/>
          <w:kern w:val="0"/>
          <w:sz w:val="21"/>
          <w:szCs w:val="21"/>
          <w:highlight w:val="none"/>
          <w14:textFill>
            <w14:solidFill>
              <w14:schemeClr w14:val="tx1"/>
            </w14:solidFill>
          </w14:textFill>
        </w:rPr>
        <w:t>（</w:t>
      </w:r>
      <w:r>
        <w:rPr>
          <w:rFonts w:hint="eastAsia" w:ascii="宋体" w:hAnsi="宋体" w:eastAsia="宋体" w:cs="宋体"/>
          <w:bCs/>
          <w:color w:val="000000" w:themeColor="text1"/>
          <w:kern w:val="0"/>
          <w:sz w:val="21"/>
          <w:szCs w:val="21"/>
          <w:highlight w:val="none"/>
          <w14:textFill>
            <w14:solidFill>
              <w14:schemeClr w14:val="tx1"/>
            </w14:solidFill>
          </w14:textFill>
        </w:rPr>
        <w:t>4.30%-</w:t>
      </w:r>
      <w:r>
        <w:rPr>
          <w:rFonts w:hint="eastAsia" w:ascii="宋体" w:hAnsi="宋体" w:eastAsia="宋体" w:cs="宋体"/>
          <w:color w:val="000000" w:themeColor="text1"/>
          <w:kern w:val="0"/>
          <w:sz w:val="21"/>
          <w:szCs w:val="21"/>
          <w:highlight w:val="none"/>
          <w14:textFill>
            <w14:solidFill>
              <w14:schemeClr w14:val="tx1"/>
            </w14:solidFill>
          </w14:textFill>
        </w:rPr>
        <w:t>20基点</w:t>
      </w:r>
      <w:r>
        <w:rPr>
          <w:rFonts w:hint="eastAsia" w:ascii="宋体" w:hAnsi="宋体" w:eastAsia="宋体" w:cs="宋体"/>
          <w:bCs/>
          <w:color w:val="000000" w:themeColor="text1"/>
          <w:kern w:val="0"/>
          <w:sz w:val="21"/>
          <w:szCs w:val="21"/>
          <w:highlight w:val="none"/>
          <w14:textFill>
            <w14:solidFill>
              <w14:schemeClr w14:val="tx1"/>
            </w14:solidFill>
          </w14:textFill>
        </w:rPr>
        <w:t>- R</w:t>
      </w:r>
      <w:r>
        <w:rPr>
          <w:rFonts w:hint="eastAsia" w:ascii="宋体" w:hAnsi="宋体" w:eastAsia="宋体" w:cs="宋体"/>
          <w:bCs/>
          <w:color w:val="000000" w:themeColor="text1"/>
          <w:kern w:val="0"/>
          <w:sz w:val="21"/>
          <w:szCs w:val="21"/>
          <w:highlight w:val="none"/>
          <w:vertAlign w:val="subscript"/>
          <w14:textFill>
            <w14:solidFill>
              <w14:schemeClr w14:val="tx1"/>
            </w14:solidFill>
          </w14:textFill>
        </w:rPr>
        <w:t>n</w:t>
      </w:r>
      <w:r>
        <w:rPr>
          <w:rFonts w:hint="eastAsia" w:ascii="宋体" w:hAnsi="宋体" w:eastAsia="宋体" w:cs="宋体"/>
          <w:color w:val="000000" w:themeColor="text1"/>
          <w:kern w:val="0"/>
          <w:sz w:val="21"/>
          <w:szCs w:val="21"/>
          <w:highlight w:val="none"/>
          <w14:textFill>
            <w14:solidFill>
              <w14:schemeClr w14:val="tx1"/>
            </w14:solidFill>
          </w14:textFill>
        </w:rPr>
        <w:t>）；</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若：当年执行5年期以上贷款市场报价利率（LPR）变化幅度在4.30%±20基点以内，不调整年投资收益。</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其中：</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i</w:t>
      </w:r>
      <w:r>
        <w:rPr>
          <w:rFonts w:hint="eastAsia" w:ascii="宋体" w:hAnsi="宋体" w:eastAsia="宋体" w:cs="宋体"/>
          <w:bCs/>
          <w:color w:val="000000" w:themeColor="text1"/>
          <w:kern w:val="0"/>
          <w:sz w:val="21"/>
          <w:szCs w:val="21"/>
          <w:highlight w:val="none"/>
          <w:vertAlign w:val="subscript"/>
          <w14:textFill>
            <w14:solidFill>
              <w14:schemeClr w14:val="tx1"/>
            </w14:solidFill>
          </w14:textFill>
        </w:rPr>
        <w:t>1</w:t>
      </w:r>
      <w:r>
        <w:rPr>
          <w:rFonts w:hint="eastAsia" w:ascii="宋体" w:hAnsi="宋体" w:eastAsia="宋体" w:cs="宋体"/>
          <w:color w:val="000000" w:themeColor="text1"/>
          <w:kern w:val="0"/>
          <w:sz w:val="21"/>
          <w:szCs w:val="21"/>
          <w:highlight w:val="none"/>
          <w14:textFill>
            <w14:solidFill>
              <w14:schemeClr w14:val="tx1"/>
            </w14:solidFill>
          </w14:textFill>
        </w:rPr>
        <w:t>为当年计取可用性服务费的年投资收益率；</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i</w:t>
      </w:r>
      <w:r>
        <w:rPr>
          <w:rFonts w:hint="eastAsia" w:ascii="宋体" w:hAnsi="宋体" w:eastAsia="宋体" w:cs="宋体"/>
          <w:color w:val="000000" w:themeColor="text1"/>
          <w:kern w:val="0"/>
          <w:sz w:val="21"/>
          <w:szCs w:val="21"/>
          <w:highlight w:val="none"/>
          <w14:textFill>
            <w14:solidFill>
              <w14:schemeClr w14:val="tx1"/>
            </w14:solidFill>
          </w14:textFill>
        </w:rPr>
        <w:t>为中标的年投资收益率；</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R</w:t>
      </w:r>
      <w:r>
        <w:rPr>
          <w:rFonts w:hint="eastAsia" w:ascii="宋体" w:hAnsi="宋体" w:eastAsia="宋体" w:cs="宋体"/>
          <w:bCs/>
          <w:color w:val="000000" w:themeColor="text1"/>
          <w:kern w:val="0"/>
          <w:sz w:val="21"/>
          <w:szCs w:val="21"/>
          <w:highlight w:val="none"/>
          <w:vertAlign w:val="subscript"/>
          <w14:textFill>
            <w14:solidFill>
              <w14:schemeClr w14:val="tx1"/>
            </w14:solidFill>
          </w14:textFill>
        </w:rPr>
        <w:t>n</w:t>
      </w:r>
      <w:r>
        <w:rPr>
          <w:rFonts w:hint="eastAsia" w:ascii="宋体" w:hAnsi="宋体" w:eastAsia="宋体" w:cs="宋体"/>
          <w:color w:val="000000" w:themeColor="text1"/>
          <w:kern w:val="0"/>
          <w:sz w:val="21"/>
          <w:szCs w:val="21"/>
          <w:highlight w:val="none"/>
          <w14:textFill>
            <w14:solidFill>
              <w14:schemeClr w14:val="tx1"/>
            </w14:solidFill>
          </w14:textFill>
        </w:rPr>
        <w:t>为当年执行5年期以上贷款市场报价利率（LPR）。</w:t>
      </w:r>
    </w:p>
    <w:p>
      <w:pPr>
        <w:keepNext/>
        <w:keepLines/>
        <w:pageBreakBefore w:val="0"/>
        <w:kinsoku/>
        <w:wordWrap/>
        <w:overflowPunct/>
        <w:topLinePunct w:val="0"/>
        <w:autoSpaceDN/>
        <w:bidi w:val="0"/>
        <w:adjustRightInd/>
        <w:spacing w:before="0" w:after="0" w:line="460" w:lineRule="exact"/>
        <w:ind w:left="420" w:leftChars="200"/>
        <w:textAlignment w:val="auto"/>
        <w:outlineLvl w:val="3"/>
        <w:rPr>
          <w:rFonts w:ascii="宋体" w:hAnsi="宋体" w:eastAsia="宋体" w:cs="宋体"/>
          <w:b/>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1.2.2.3支付机制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计取各年应计可用性服务费时，原则应完整竣工验收及相应的竣工财务决算。如个别子项目在整体进入运营期前未能完成竣工验收手续，可在项目工程交工验收合格的基础上，以经财政部门批复的项目结算金额作为可用性服务费的计算基数。待实际完成竣工财务决算后，根据实际金额具实调整。因此产生可用性服务费差额的，差额部分金额不计取相应的资金成本。</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整体进入运营期后，实施机构根据运营绩效评价结果，应计可用性服务费原则上每个自然年（1月1日至12月30日）计取支付一次，次年2个月内根据绩效考核情况支付上年度应付可用性服务费，若首期第一次支付时不足一个完整自然年的，按实际计算并根据绩效考核情况于次年2个月内支付。</w:t>
      </w:r>
    </w:p>
    <w:p>
      <w:pPr>
        <w:keepNext/>
        <w:keepLines/>
        <w:pageBreakBefore w:val="0"/>
        <w:numPr>
          <w:ilvl w:val="2"/>
          <w:numId w:val="0"/>
        </w:numPr>
        <w:kinsoku/>
        <w:wordWrap/>
        <w:overflowPunct/>
        <w:topLinePunct w:val="0"/>
        <w:autoSpaceDN/>
        <w:bidi w:val="0"/>
        <w:adjustRightInd/>
        <w:spacing w:line="460" w:lineRule="exact"/>
        <w:ind w:left="420" w:leftChars="200"/>
        <w:textAlignment w:val="auto"/>
        <w:outlineLvl w:val="2"/>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71" w:name="_Toc535914497"/>
      <w:bookmarkStart w:id="72" w:name="_Toc531355881"/>
      <w:bookmarkStart w:id="73" w:name="_Toc2010599"/>
      <w:bookmarkStart w:id="74" w:name="_Toc4983"/>
      <w:bookmarkStart w:id="75" w:name="_Toc531341862"/>
      <w:bookmarkStart w:id="76" w:name="_Toc3475724"/>
      <w:bookmarkStart w:id="77" w:name="_Toc10237"/>
      <w:bookmarkStart w:id="78" w:name="_Toc536439711"/>
      <w:bookmarkStart w:id="79" w:name="_Toc2260857"/>
      <w:bookmarkStart w:id="80" w:name="_Toc3958"/>
      <w:bookmarkStart w:id="81" w:name="_Toc116503131"/>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1.2.3运营维护费</w:t>
      </w:r>
      <w:bookmarkEnd w:id="71"/>
      <w:bookmarkEnd w:id="72"/>
      <w:bookmarkEnd w:id="73"/>
      <w:bookmarkEnd w:id="74"/>
      <w:bookmarkEnd w:id="75"/>
      <w:bookmarkEnd w:id="76"/>
      <w:bookmarkEnd w:id="77"/>
      <w:bookmarkEnd w:id="78"/>
      <w:bookmarkEnd w:id="79"/>
      <w:bookmarkEnd w:id="80"/>
      <w:bookmarkEnd w:id="81"/>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运营维护费：是指项目公司在运营期内为维持本项目可用性而提供的符合协议规定的绩效标准的运维服务而需要获得的服务收入，包括市政道路项目的路面及人行道的日常养护及道路大中修费用及体育综合体项目运营维护费等。</w:t>
      </w:r>
    </w:p>
    <w:p>
      <w:pPr>
        <w:keepNext/>
        <w:keepLines/>
        <w:pageBreakBefore w:val="0"/>
        <w:kinsoku/>
        <w:wordWrap/>
        <w:overflowPunct/>
        <w:topLinePunct w:val="0"/>
        <w:autoSpaceDN/>
        <w:bidi w:val="0"/>
        <w:adjustRightInd/>
        <w:spacing w:before="0" w:after="0" w:line="460" w:lineRule="exact"/>
        <w:ind w:left="420" w:leftChars="200"/>
        <w:textAlignment w:val="auto"/>
        <w:outlineLvl w:val="3"/>
        <w:rPr>
          <w:rFonts w:ascii="宋体" w:hAnsi="宋体" w:eastAsia="宋体" w:cs="宋体"/>
          <w:b/>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1.2.3.1定价机制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根据实施方案运营维护范围的约定，项目运营维护内容包括体育综合体经营及市政道路运营维护，其中市政道路项目运营维护是指路面及人行道的日常养护及中大修。</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（1）路面及人行道日常维护费用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根据各子项目批复的工可报告成果文件，结合贺州市八步区城市综合管理局调研情况，本项目周边配套基础设施项目（即“达美中路及东环路”、“江北东路”、“达美北路”、“临贺大道道路提升改造工程”四个子项目）的路面及人行道日常养护费用为 15 万元/公里，将此值作为路面及人行道日常维护费用的控制单价，工程量按照项目最终竣工验收后的周边配套基础设施项目的市政道路长度规模计算，本次测算工程量按项目可研报告的长度规模估算。</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（2）大中修费用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在项目保修期内针对工程施工质量，进行修理的费用不纳入运营维护费范围，由施工单位承担维修费用；因项目公司自身运营维护不当产生的额外运营维护费用，不纳入运营维护费范围，同时还应按绩效考核机制扣除相应付费。</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在运营期内遇有项目设施需要大中修的，项目公司应按相关规范、法规规定，提前编制大中修实施方案（含工作预算），报政府方审核后方可实施，大中修的费用由项目公司向政府方申请列入财政预算，政府方根据审计确定的大中修成本金额，向项目公司支付相关费用，大中修费用原则上不得高于中标标准。经第三方机构对项目质量等级和受损程度、损坏原因等进行分析评估后，若因建设质量、未达到资产设计使用年限而破损等问题导致中、大修的，产生的费用由项目公司承担。</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 xml:space="preserve">（3）体育综合体经营维护费用 </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体育综合体项目经营维护费用主要包括公共区域的外购燃料及动力费、工资及福利费、修理费、物业管理费、绿化养护费等维护费用以及场馆经营费用，为合理控制成本，贺州市城东体育综合体项目运营维护方案由项目公司报实施机构审核同意后实施。</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综上分析，运营维护费=路面及人行道日常运营维护费+大中修费用+体育综合体经营维护费用。</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项目将路面及人行道日常维护费用作为运营维护费用的竞价指标，控制单价为 15 万元/km•年，工程量按照项目最终竣工验收后的基础设施配套市政道路长度规模计算；大中修费用及体育综合体经营维护费用按照实施方案的计价标准结合实际的运营维护工程量进行计算，如运营期国家、自治区、贺州市及八步区发布或更新计价标准的，按最新标准及要求执行。</w:t>
      </w:r>
    </w:p>
    <w:p>
      <w:pPr>
        <w:pageBreakBefore w:val="0"/>
        <w:widowControl/>
        <w:kinsoku/>
        <w:wordWrap/>
        <w:overflowPunct/>
        <w:topLinePunct w:val="0"/>
        <w:autoSpaceDN/>
        <w:bidi w:val="0"/>
        <w:adjustRightInd/>
        <w:spacing w:line="460" w:lineRule="exact"/>
        <w:ind w:firstLine="422" w:firstLineChars="200"/>
        <w:jc w:val="left"/>
        <w:textAlignment w:val="auto"/>
        <w:rPr>
          <w:rFonts w:ascii="宋体" w:hAnsi="宋体" w:eastAsia="宋体" w:cs="宋体"/>
          <w:b/>
          <w:bCs/>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1.2.3.2调价机制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运营维护费经确认后，在运营期根据CPI变化情况设定相应的调价周期及触发机制，具体安排如下：</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（1）运营期开始后，经政府方确定的运营维护费用前三年不进行调整。</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（2）申请调价的触发条件须同时满足以下情况：</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①自运营期开始每三年为一个调整周期，在每周期的第三年末才能提出下一周期运营维护费的调价申请。</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②以贺州市公布的CPI指数为基础，运营期第一年至允许调价申请当年内年的CPI累计复合变动幅度超过8%时，才启动调价机制，变动幅度超过8%的部分予以调整，否则不予调整。具体调价办法如下：</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公式1：</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0" distR="0">
            <wp:extent cx="1531620" cy="864235"/>
            <wp:effectExtent l="0" t="0" r="1143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2640" cy="864235"/>
                    </a:xfrm>
                    <a:prstGeom prst="rect">
                      <a:avLst/>
                    </a:prstGeom>
                  </pic:spPr>
                </pic:pic>
              </a:graphicData>
            </a:graphic>
          </wp:inline>
        </w:drawing>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其中：</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n-m≥3；</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m为上一次运营维护费定价的年份，m=0是社会资本方进行运营维护费投标报价的各子项目运营期第一年的年份；</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n为项目公司提出调价申请的年份；</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CPI</w:t>
      </w:r>
      <w:r>
        <w:rPr>
          <w:rFonts w:hint="eastAsia" w:ascii="宋体" w:hAnsi="宋体" w:eastAsia="宋体" w:cs="宋体"/>
          <w:color w:val="000000" w:themeColor="text1"/>
          <w:kern w:val="0"/>
          <w:sz w:val="21"/>
          <w:szCs w:val="21"/>
          <w:highlight w:val="none"/>
          <w:vertAlign w:val="subscript"/>
          <w14:textFill>
            <w14:solidFill>
              <w14:schemeClr w14:val="tx1"/>
            </w14:solidFill>
          </w14:textFill>
        </w:rPr>
        <w:t>k</w:t>
      </w:r>
      <w:r>
        <w:rPr>
          <w:rFonts w:hint="eastAsia" w:ascii="宋体" w:hAnsi="宋体" w:eastAsia="宋体" w:cs="宋体"/>
          <w:color w:val="000000" w:themeColor="text1"/>
          <w:kern w:val="0"/>
          <w:sz w:val="21"/>
          <w:szCs w:val="21"/>
          <w:highlight w:val="none"/>
          <w14:textFill>
            <w14:solidFill>
              <w14:schemeClr w14:val="tx1"/>
            </w14:solidFill>
          </w14:textFill>
        </w:rPr>
        <w:t>为第k+1个财务年度由国家统计局贺州市调查队公布的第k个财务年度贺州市居民消费物价指数；</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0" distR="0">
            <wp:extent cx="843280" cy="356235"/>
            <wp:effectExtent l="0" t="0" r="13970" b="5715"/>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noChangeArrowheads="1"/>
                    </pic:cNvPicPr>
                  </pic:nvPicPr>
                  <pic:blipFill>
                    <a:blip r:embed="rId35" cstate="print"/>
                    <a:srcRect/>
                    <a:stretch>
                      <a:fillRect/>
                    </a:stretch>
                  </pic:blipFill>
                  <pic:spPr>
                    <a:xfrm>
                      <a:off x="0" y="0"/>
                      <a:ext cx="843280" cy="356235"/>
                    </a:xfrm>
                    <a:prstGeom prst="rect">
                      <a:avLst/>
                    </a:prstGeom>
                    <a:noFill/>
                    <a:ln w="9525">
                      <a:noFill/>
                      <a:miter lim="800000"/>
                      <a:headEnd/>
                      <a:tailEnd/>
                    </a:ln>
                  </pic:spPr>
                </pic:pic>
              </a:graphicData>
            </a:graphic>
          </wp:inline>
        </w:drawing>
      </w:r>
      <w:r>
        <w:rPr>
          <w:rFonts w:hint="eastAsia" w:ascii="宋体" w:hAnsi="宋体" w:eastAsia="宋体" w:cs="宋体"/>
          <w:color w:val="000000" w:themeColor="text1"/>
          <w:kern w:val="0"/>
          <w:sz w:val="21"/>
          <w:szCs w:val="21"/>
          <w:highlight w:val="none"/>
          <w14:textFill>
            <w14:solidFill>
              <w14:schemeClr w14:val="tx1"/>
            </w14:solidFill>
          </w14:textFill>
        </w:rPr>
        <w:t>表示自k=m至k=n-1，对取连乘；</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通过计算，公式1中的调整系数Sn＞1.08或Sn＜0.92时启动调价机制。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满足调价条件后的运营维护费计算公式如下：</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公式2：</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fldChar w:fldCharType="begin"/>
      </w:r>
      <w:r>
        <w:rPr>
          <w:rFonts w:hint="eastAsia" w:ascii="宋体" w:hAnsi="宋体" w:eastAsia="宋体" w:cs="宋体"/>
          <w:color w:val="000000" w:themeColor="text1"/>
          <w:kern w:val="0"/>
          <w:sz w:val="21"/>
          <w:szCs w:val="21"/>
          <w:highlight w:val="none"/>
          <w14:textFill>
            <w14:solidFill>
              <w14:schemeClr w14:val="tx1"/>
            </w14:solidFill>
          </w14:textFill>
        </w:rPr>
        <w:instrText xml:space="preserve"> QUOTE </w:instrText>
      </w:r>
      <w:r>
        <w:rPr>
          <w:rFonts w:hint="eastAsia" w:ascii="宋体" w:hAnsi="宋体" w:eastAsia="宋体" w:cs="宋体"/>
          <w:color w:val="000000" w:themeColor="text1"/>
          <w:kern w:val="0"/>
          <w:sz w:val="21"/>
          <w:szCs w:val="21"/>
          <w:highlight w:val="none"/>
          <w14:textFill>
            <w14:solidFill>
              <w14:schemeClr w14:val="tx1"/>
            </w14:solidFill>
          </w14:textFill>
        </w:rPr>
        <w:drawing>
          <wp:inline distT="0" distB="0" distL="0" distR="0">
            <wp:extent cx="3134995" cy="84328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a:xfrm>
                      <a:off x="0" y="0"/>
                      <a:ext cx="3134995" cy="843280"/>
                    </a:xfrm>
                    <a:prstGeom prst="rect">
                      <a:avLst/>
                    </a:prstGeom>
                    <a:noFill/>
                    <a:ln w="9525">
                      <a:noFill/>
                      <a:miter lim="800000"/>
                      <a:headEnd/>
                      <a:tailEnd/>
                    </a:ln>
                  </pic:spPr>
                </pic:pic>
              </a:graphicData>
            </a:graphic>
          </wp:inline>
        </w:drawing>
      </w:r>
      <w:r>
        <w:rPr>
          <w:rFonts w:hint="eastAsia" w:ascii="宋体" w:hAnsi="宋体" w:eastAsia="宋体" w:cs="宋体"/>
          <w:color w:val="000000" w:themeColor="text1"/>
          <w:kern w:val="0"/>
          <w:sz w:val="21"/>
          <w:szCs w:val="21"/>
          <w:highlight w:val="none"/>
          <w14:textFill>
            <w14:solidFill>
              <w14:schemeClr w14:val="tx1"/>
            </w14:solidFill>
          </w14:textFill>
        </w:rPr>
        <w:fldChar w:fldCharType="separate"/>
      </w:r>
      <m:oMath>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B</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n+1</m:t>
            </m:r>
            <m:ctrlPr>
              <w:rPr>
                <w:rFonts w:hint="eastAsia" w:ascii="Cambria Math" w:hAnsi="Cambria Math" w:cs="宋体"/>
                <w:color w:val="000000" w:themeColor="text1"/>
                <w:sz w:val="21"/>
                <w:szCs w:val="21"/>
                <w:highlight w:val="none"/>
                <w14:textFill>
                  <w14:solidFill>
                    <w14:schemeClr w14:val="tx1"/>
                  </w14:solidFill>
                </w14:textFill>
              </w:rPr>
            </m:ctrlPr>
          </m:sub>
        </m:sSub>
        <m:r>
          <m:rPr>
            <m:sty m:val="p"/>
          </m:rPr>
          <w:rPr>
            <w:rFonts w:hint="eastAsia" w:ascii="Cambria Math" w:hAnsi="Cambria Math" w:cs="宋体"/>
            <w:color w:val="000000" w:themeColor="text1"/>
            <w:sz w:val="21"/>
            <w:szCs w:val="21"/>
            <w:highlight w:val="none"/>
            <w14:textFill>
              <w14:solidFill>
                <w14:schemeClr w14:val="tx1"/>
              </w14:solidFill>
            </w14:textFill>
          </w:rPr>
          <m:t>=</m:t>
        </m:r>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B</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b>
        </m:sSub>
        <m:r>
          <m:rPr>
            <m:sty m:val="p"/>
          </m:rPr>
          <w:rPr>
            <w:rFonts w:hint="eastAsia" w:ascii="Cambria Math" w:hAnsi="Cambria Math" w:cs="宋体"/>
            <w:color w:val="000000" w:themeColor="text1"/>
            <w:sz w:val="21"/>
            <w:szCs w:val="21"/>
            <w:highlight w:val="none"/>
            <w14:textFill>
              <w14:solidFill>
                <w14:schemeClr w14:val="tx1"/>
              </w14:solidFill>
            </w14:textFill>
          </w:rPr>
          <m:t>+</m:t>
        </m:r>
        <m:d>
          <m:dPr>
            <m:begChr m:val="（"/>
            <m:endChr m:val="）"/>
            <m:ctrlPr>
              <w:rPr>
                <w:rFonts w:hint="eastAsia" w:ascii="Cambria Math" w:hAnsi="Cambria Math" w:cs="宋体"/>
                <w:color w:val="000000" w:themeColor="text1"/>
                <w:sz w:val="21"/>
                <w:szCs w:val="21"/>
                <w:highlight w:val="none"/>
                <w14:textFill>
                  <w14:solidFill>
                    <w14:schemeClr w14:val="tx1"/>
                  </w14:solidFill>
                </w14:textFill>
              </w:rPr>
            </m:ctrlPr>
          </m:dPr>
          <m:e>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S</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b>
            </m:sSub>
            <m:r>
              <m:rPr>
                <m:sty m:val="p"/>
              </m:rPr>
              <w:rPr>
                <w:rFonts w:hint="eastAsia" w:ascii="Cambria Math" w:hAnsi="Cambria Math" w:cs="宋体"/>
                <w:color w:val="000000" w:themeColor="text1"/>
                <w:sz w:val="21"/>
                <w:szCs w:val="21"/>
                <w:highlight w:val="none"/>
                <w14:textFill>
                  <w14:solidFill>
                    <w14:schemeClr w14:val="tx1"/>
                  </w14:solidFill>
                </w14:textFill>
              </w:rPr>
              <m:t>−1.08</m:t>
            </m:r>
            <m:ctrlPr>
              <w:rPr>
                <w:rFonts w:hint="eastAsia" w:ascii="Cambria Math" w:hAnsi="Cambria Math" w:cs="宋体"/>
                <w:color w:val="000000" w:themeColor="text1"/>
                <w:sz w:val="21"/>
                <w:szCs w:val="21"/>
                <w:highlight w:val="none"/>
                <w14:textFill>
                  <w14:solidFill>
                    <w14:schemeClr w14:val="tx1"/>
                  </w14:solidFill>
                </w14:textFill>
              </w:rPr>
            </m:ctrlPr>
          </m:e>
        </m:d>
        <m:r>
          <m:rPr>
            <m:sty m:val="p"/>
          </m:rPr>
          <w:rPr>
            <w:rFonts w:hint="eastAsia" w:ascii="Cambria Math" w:hAnsi="Cambria Math" w:cs="宋体"/>
            <w:color w:val="000000" w:themeColor="text1"/>
            <w:sz w:val="21"/>
            <w:szCs w:val="21"/>
            <w:highlight w:val="none"/>
            <w14:textFill>
              <w14:solidFill>
                <w14:schemeClr w14:val="tx1"/>
              </w14:solidFill>
            </w14:textFill>
          </w:rPr>
          <m:t>∗</m:t>
        </m:r>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B</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b>
        </m:sSub>
        <m:r>
          <m:rPr>
            <m:sty m:val="p"/>
          </m:rPr>
          <w:rPr>
            <w:rFonts w:hint="eastAsia" w:ascii="Cambria Math" w:hAnsi="Cambria Math" w:cs="宋体"/>
            <w:color w:val="000000" w:themeColor="text1"/>
            <w:sz w:val="21"/>
            <w:szCs w:val="21"/>
            <w:highlight w:val="none"/>
            <w14:textFill>
              <w14:solidFill>
                <w14:schemeClr w14:val="tx1"/>
              </w14:solidFill>
            </w14:textFill>
          </w:rPr>
          <m:t>，Sn&gt;1.08时</m:t>
        </m:r>
      </m:oMath>
      <w:r>
        <w:rPr>
          <w:rFonts w:hint="eastAsia" w:ascii="宋体" w:hAnsi="宋体" w:eastAsia="宋体" w:cs="宋体"/>
          <w:color w:val="000000" w:themeColor="text1"/>
          <w:kern w:val="0"/>
          <w:sz w:val="21"/>
          <w:szCs w:val="21"/>
          <w:highlight w:val="none"/>
          <w14:textFill>
            <w14:solidFill>
              <w14:schemeClr w14:val="tx1"/>
            </w14:solidFill>
          </w14:textFill>
        </w:rPr>
        <w:t>；</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m:oMathPara>
        <m:oMath>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B</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n+1</m:t>
              </m:r>
              <m:ctrlPr>
                <w:rPr>
                  <w:rFonts w:hint="eastAsia" w:ascii="Cambria Math" w:hAnsi="Cambria Math" w:cs="宋体"/>
                  <w:color w:val="000000" w:themeColor="text1"/>
                  <w:sz w:val="21"/>
                  <w:szCs w:val="21"/>
                  <w:highlight w:val="none"/>
                  <w14:textFill>
                    <w14:solidFill>
                      <w14:schemeClr w14:val="tx1"/>
                    </w14:solidFill>
                  </w14:textFill>
                </w:rPr>
              </m:ctrlPr>
            </m:sub>
          </m:sSub>
          <m:r>
            <m:rPr>
              <m:sty m:val="p"/>
            </m:rPr>
            <w:rPr>
              <w:rFonts w:hint="eastAsia" w:ascii="Cambria Math" w:hAnsi="Cambria Math" w:cs="宋体"/>
              <w:color w:val="000000" w:themeColor="text1"/>
              <w:sz w:val="21"/>
              <w:szCs w:val="21"/>
              <w:highlight w:val="none"/>
              <w14:textFill>
                <w14:solidFill>
                  <w14:schemeClr w14:val="tx1"/>
                </w14:solidFill>
              </w14:textFill>
            </w:rPr>
            <m:t>=</m:t>
          </m:r>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B</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b>
          </m:sSub>
          <m:r>
            <m:rPr>
              <m:sty m:val="p"/>
            </m:rPr>
            <w:rPr>
              <w:rFonts w:hint="eastAsia" w:ascii="Cambria Math" w:hAnsi="Cambria Math" w:cs="宋体"/>
              <w:color w:val="000000" w:themeColor="text1"/>
              <w:sz w:val="21"/>
              <w:szCs w:val="21"/>
              <w:highlight w:val="none"/>
              <w14:textFill>
                <w14:solidFill>
                  <w14:schemeClr w14:val="tx1"/>
                </w14:solidFill>
              </w14:textFill>
            </w:rPr>
            <m:t>−</m:t>
          </m:r>
          <m:d>
            <m:dPr>
              <m:begChr m:val="（"/>
              <m:endChr m:val="）"/>
              <m:ctrlPr>
                <w:rPr>
                  <w:rFonts w:hint="eastAsia" w:ascii="Cambria Math" w:hAnsi="Cambria Math" w:cs="宋体"/>
                  <w:color w:val="000000" w:themeColor="text1"/>
                  <w:sz w:val="21"/>
                  <w:szCs w:val="21"/>
                  <w:highlight w:val="none"/>
                  <w14:textFill>
                    <w14:solidFill>
                      <w14:schemeClr w14:val="tx1"/>
                    </w14:solidFill>
                  </w14:textFill>
                </w:rPr>
              </m:ctrlPr>
            </m:dPr>
            <m:e>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0.92−S</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b>
              </m:sSub>
              <m:ctrlPr>
                <w:rPr>
                  <w:rFonts w:hint="eastAsia" w:ascii="Cambria Math" w:hAnsi="Cambria Math" w:cs="宋体"/>
                  <w:color w:val="000000" w:themeColor="text1"/>
                  <w:sz w:val="21"/>
                  <w:szCs w:val="21"/>
                  <w:highlight w:val="none"/>
                  <w14:textFill>
                    <w14:solidFill>
                      <w14:schemeClr w14:val="tx1"/>
                    </w14:solidFill>
                  </w14:textFill>
                </w:rPr>
              </m:ctrlPr>
            </m:e>
          </m:d>
          <m:r>
            <m:rPr>
              <m:sty m:val="p"/>
            </m:rPr>
            <w:rPr>
              <w:rFonts w:hint="eastAsia" w:ascii="Cambria Math" w:hAnsi="Cambria Math" w:cs="宋体"/>
              <w:color w:val="000000" w:themeColor="text1"/>
              <w:sz w:val="21"/>
              <w:szCs w:val="21"/>
              <w:highlight w:val="none"/>
              <w14:textFill>
                <w14:solidFill>
                  <w14:schemeClr w14:val="tx1"/>
                </w14:solidFill>
              </w14:textFill>
            </w:rPr>
            <m:t>∗</m:t>
          </m:r>
          <m:sSub>
            <m:sSubPr>
              <m:ctrlPr>
                <w:rPr>
                  <w:rFonts w:hint="eastAsia" w:ascii="Cambria Math" w:hAnsi="Cambria Math" w:cs="宋体"/>
                  <w:color w:val="000000" w:themeColor="text1"/>
                  <w:sz w:val="21"/>
                  <w:szCs w:val="21"/>
                  <w:highlight w:val="none"/>
                  <w14:textFill>
                    <w14:solidFill>
                      <w14:schemeClr w14:val="tx1"/>
                    </w14:solidFill>
                  </w14:textFill>
                </w:rPr>
              </m:ctrlPr>
            </m:sSubPr>
            <m:e>
              <m:r>
                <m:rPr>
                  <m:sty m:val="p"/>
                </m:rPr>
                <w:rPr>
                  <w:rFonts w:hint="eastAsia" w:ascii="Cambria Math" w:hAnsi="Cambria Math" w:cs="宋体"/>
                  <w:color w:val="000000" w:themeColor="text1"/>
                  <w:sz w:val="21"/>
                  <w:szCs w:val="21"/>
                  <w:highlight w:val="none"/>
                  <w14:textFill>
                    <w14:solidFill>
                      <w14:schemeClr w14:val="tx1"/>
                    </w14:solidFill>
                  </w14:textFill>
                </w:rPr>
                <m:t>B</m:t>
              </m:r>
              <m:ctrlPr>
                <w:rPr>
                  <w:rFonts w:hint="eastAsia" w:ascii="Cambria Math" w:hAnsi="Cambria Math" w:cs="宋体"/>
                  <w:color w:val="000000" w:themeColor="text1"/>
                  <w:sz w:val="21"/>
                  <w:szCs w:val="21"/>
                  <w:highlight w:val="none"/>
                  <w14:textFill>
                    <w14:solidFill>
                      <w14:schemeClr w14:val="tx1"/>
                    </w14:solidFill>
                  </w14:textFill>
                </w:rPr>
              </m:ctrlPr>
            </m:e>
            <m:sub>
              <m:r>
                <m:rPr>
                  <m:sty m:val="p"/>
                </m:rPr>
                <w:rPr>
                  <w:rFonts w:hint="eastAsia" w:ascii="Cambria Math" w:hAnsi="Cambria Math" w:cs="宋体"/>
                  <w:color w:val="000000" w:themeColor="text1"/>
                  <w:sz w:val="21"/>
                  <w:szCs w:val="21"/>
                  <w:highlight w:val="none"/>
                  <w14:textFill>
                    <w14:solidFill>
                      <w14:schemeClr w14:val="tx1"/>
                    </w14:solidFill>
                  </w14:textFill>
                </w:rPr>
                <m:t>n</m:t>
              </m:r>
              <m:ctrlPr>
                <w:rPr>
                  <w:rFonts w:hint="eastAsia" w:ascii="Cambria Math" w:hAnsi="Cambria Math" w:cs="宋体"/>
                  <w:color w:val="000000" w:themeColor="text1"/>
                  <w:sz w:val="21"/>
                  <w:szCs w:val="21"/>
                  <w:highlight w:val="none"/>
                  <w14:textFill>
                    <w14:solidFill>
                      <w14:schemeClr w14:val="tx1"/>
                    </w14:solidFill>
                  </w14:textFill>
                </w:rPr>
              </m:ctrlPr>
            </m:sub>
          </m:sSub>
          <m:r>
            <m:rPr>
              <m:sty m:val="p"/>
            </m:rPr>
            <w:rPr>
              <w:rFonts w:hint="eastAsia" w:ascii="Cambria Math" w:hAnsi="Cambria Math" w:cs="宋体"/>
              <w:color w:val="000000" w:themeColor="text1"/>
              <w:sz w:val="21"/>
              <w:szCs w:val="21"/>
              <w:highlight w:val="none"/>
              <w14:textFill>
                <w14:solidFill>
                  <w14:schemeClr w14:val="tx1"/>
                </w14:solidFill>
              </w14:textFill>
            </w:rPr>
            <m:t>，Sn&lt;0.92时。</m:t>
          </m:r>
        </m:oMath>
      </m:oMathPara>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fldChar w:fldCharType="end"/>
      </w:r>
      <w:r>
        <w:rPr>
          <w:rFonts w:hint="eastAsia" w:ascii="宋体" w:hAnsi="宋体" w:eastAsia="宋体" w:cs="宋体"/>
          <w:color w:val="000000" w:themeColor="text1"/>
          <w:kern w:val="0"/>
          <w:sz w:val="21"/>
          <w:szCs w:val="21"/>
          <w:highlight w:val="none"/>
          <w14:textFill>
            <w14:solidFill>
              <w14:schemeClr w14:val="tx1"/>
            </w14:solidFill>
          </w14:textFill>
        </w:rPr>
        <w:t>B(n+1)是在第n年启动调价机制后，经实施机构认可的第n+1年执行的运营维护费，在执行下一次调价前始终适用；</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B</w:t>
      </w:r>
      <w:r>
        <w:rPr>
          <w:rFonts w:hint="eastAsia" w:ascii="宋体" w:hAnsi="宋体" w:eastAsia="宋体" w:cs="宋体"/>
          <w:color w:val="000000" w:themeColor="text1"/>
          <w:kern w:val="0"/>
          <w:sz w:val="21"/>
          <w:szCs w:val="21"/>
          <w:highlight w:val="none"/>
          <w:vertAlign w:val="subscript"/>
          <w14:textFill>
            <w14:solidFill>
              <w14:schemeClr w14:val="tx1"/>
            </w14:solidFill>
          </w14:textFill>
        </w:rPr>
        <w:t>n</w:t>
      </w:r>
      <w:r>
        <w:rPr>
          <w:rFonts w:hint="eastAsia" w:ascii="宋体" w:hAnsi="宋体" w:eastAsia="宋体" w:cs="宋体"/>
          <w:color w:val="000000" w:themeColor="text1"/>
          <w:kern w:val="0"/>
          <w:sz w:val="21"/>
          <w:szCs w:val="21"/>
          <w:highlight w:val="none"/>
          <w14:textFill>
            <w14:solidFill>
              <w14:schemeClr w14:val="tx1"/>
            </w14:solidFill>
          </w14:textFill>
        </w:rPr>
        <w:t>是在第n年启动调整机制时当年执行运营维护费。</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3）若该周期不满足调价触发条件，则下一周期运营维护费不进行调价，下一周的三年内均沿用上一周期的运营维护费。若该周期满足调价触发条件，项目公司可向项目实施机构申请启动运营维护费调价程序，由实施机构组织相关政府部门审核通过后调整下一周期的运营维护费，下一周期的运营维护费“一价定三年”。</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（4）政府方以该周期确定的运营维护费为基础，根据当年运营期绩效评价考核结果得出当年度应付运营维护费。</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另外，在运营期内，若发生以下情况，运营维护费应调整：</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①政府方改变约定的运营维护范围的；</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②政府方要求提高运营维护标准或要求的；</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③PPP合同约定的其他调整事项。</w:t>
      </w:r>
    </w:p>
    <w:p>
      <w:pPr>
        <w:keepNext/>
        <w:keepLines/>
        <w:pageBreakBefore w:val="0"/>
        <w:kinsoku/>
        <w:wordWrap/>
        <w:overflowPunct/>
        <w:topLinePunct w:val="0"/>
        <w:autoSpaceDN/>
        <w:bidi w:val="0"/>
        <w:adjustRightInd/>
        <w:spacing w:before="0" w:after="0" w:line="460" w:lineRule="exact"/>
        <w:ind w:left="420" w:leftChars="200"/>
        <w:textAlignment w:val="auto"/>
        <w:outlineLvl w:val="3"/>
        <w:rPr>
          <w:rFonts w:ascii="宋体" w:hAnsi="宋体" w:eastAsia="宋体" w:cs="宋体"/>
          <w:b/>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1.2.3.3支付机制</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整体进入运营期后，按各子项目运营维护费原则上每个自然年（1月1日至12月30日）计取支付一次，次年2个月内根据绩效考核情况支付上年度各子项目应付运营维护费，若首期第一次支付时不足一个完整自然年的，按实际计算并根据绩效考核情况于次年2个月内支付运营维护费。</w:t>
      </w:r>
    </w:p>
    <w:p>
      <w:pPr>
        <w:keepNext/>
        <w:keepLines/>
        <w:pageBreakBefore w:val="0"/>
        <w:kinsoku/>
        <w:wordWrap/>
        <w:overflowPunct/>
        <w:topLinePunct w:val="0"/>
        <w:autoSpaceDN/>
        <w:bidi w:val="0"/>
        <w:adjustRightInd/>
        <w:spacing w:before="0" w:after="0" w:line="460" w:lineRule="exact"/>
        <w:ind w:left="420" w:leftChars="200"/>
        <w:textAlignment w:val="auto"/>
        <w:outlineLvl w:val="3"/>
        <w:rPr>
          <w:rFonts w:ascii="宋体" w:hAnsi="宋体" w:eastAsia="宋体" w:cs="宋体"/>
          <w:b/>
          <w:bCs/>
          <w:color w:val="000000" w:themeColor="text1"/>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1.2.3.4其它约定</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运营期间，如政府方向项目公司提出超出项目合同约定的工作要求，而导致增加项目公司运营成本或资本性投入，或造成项目公司利益损失，则政府方应向项目公司支付额外补偿。额外补偿额按全年中项目公司承担的额外补偿项目进行累计计算。由项目公司提出申请、经政府方审核同意后纳入专项补贴调整额。</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额外补偿项目范围按以下方法确认：</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①由政府方根据公共利益或特殊需求而要求项目公司安排实施的项目；</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②因紧急情况（包括重大自然灾害或环保污染或者其他重大情形）而由项目公司先行实施，并在事后报告政府方并取得政府方认可同意提供补偿的项目；</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③其他政府方和项目公司一致认可的额外项目。</w:t>
      </w:r>
    </w:p>
    <w:p>
      <w:pPr>
        <w:keepNext/>
        <w:keepLines/>
        <w:pageBreakBefore w:val="0"/>
        <w:numPr>
          <w:ilvl w:val="2"/>
          <w:numId w:val="0"/>
        </w:numPr>
        <w:kinsoku/>
        <w:wordWrap/>
        <w:overflowPunct/>
        <w:topLinePunct w:val="0"/>
        <w:autoSpaceDN/>
        <w:bidi w:val="0"/>
        <w:adjustRightInd/>
        <w:spacing w:line="460" w:lineRule="exact"/>
        <w:ind w:left="420" w:leftChars="200"/>
        <w:textAlignment w:val="auto"/>
        <w:outlineLvl w:val="2"/>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82" w:name="_Toc29548"/>
      <w:bookmarkStart w:id="83" w:name="_Toc535914498"/>
      <w:bookmarkStart w:id="84" w:name="_Toc18018"/>
      <w:bookmarkStart w:id="85" w:name="_Toc536439712"/>
      <w:bookmarkStart w:id="86" w:name="_Toc531341863"/>
      <w:bookmarkStart w:id="87" w:name="_Toc3475725"/>
      <w:bookmarkStart w:id="88" w:name="_Toc2260858"/>
      <w:bookmarkStart w:id="89" w:name="_Toc18084"/>
      <w:bookmarkStart w:id="90" w:name="_Toc531355882"/>
      <w:bookmarkStart w:id="91" w:name="_Toc116503132"/>
      <w:bookmarkStart w:id="92" w:name="_Toc2010600"/>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1.2.4使用者付费</w:t>
      </w:r>
      <w:bookmarkEnd w:id="82"/>
      <w:bookmarkEnd w:id="83"/>
      <w:bookmarkEnd w:id="84"/>
      <w:bookmarkEnd w:id="85"/>
      <w:bookmarkEnd w:id="86"/>
      <w:bookmarkEnd w:id="87"/>
      <w:bookmarkEnd w:id="88"/>
      <w:bookmarkEnd w:id="89"/>
      <w:bookmarkEnd w:id="90"/>
      <w:bookmarkEnd w:id="91"/>
      <w:bookmarkEnd w:id="92"/>
    </w:p>
    <w:p>
      <w:pPr>
        <w:pageBreakBefore w:val="0"/>
        <w:widowControl/>
        <w:kinsoku/>
        <w:wordWrap/>
        <w:overflowPunct/>
        <w:topLinePunct w:val="0"/>
        <w:autoSpaceDE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根据本项目各子项的前期规划及可研报告成果文件，结合调研同类项目情况，本项目使用者付费收入（经营收入）主要来源于贺州市城东体育综合体项目，包括体育场、综合体育馆及游泳馆的经营收入、商业配套租赁收入、广告收入、停车费收入和充电桩收入以及体育场馆低开免收补助收入，合作期内，经政府同意将本项目红线范围内更多公共资源依法纳入本项目经营范围，所产生的未来经营收益，由政府方确定，统筹纳入缺口补助的核算范围。</w:t>
      </w:r>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项目开始进入经营收费前，项目公司应编制贺州市城东体育综合体项目运营方案，报政府方或实施机构同意后开始运营。由项目公司和政府方根据绩效考核办法对项目经营成果、成本控制等进行考核，纳入缺口补助的核算范围。</w:t>
      </w:r>
    </w:p>
    <w:p>
      <w:pPr>
        <w:keepNext/>
        <w:keepLines/>
        <w:pageBreakBefore w:val="0"/>
        <w:numPr>
          <w:ilvl w:val="2"/>
          <w:numId w:val="0"/>
        </w:numPr>
        <w:kinsoku/>
        <w:wordWrap/>
        <w:overflowPunct/>
        <w:topLinePunct w:val="0"/>
        <w:autoSpaceDN/>
        <w:bidi w:val="0"/>
        <w:adjustRightInd/>
        <w:spacing w:line="460" w:lineRule="exact"/>
        <w:ind w:left="420" w:leftChars="200"/>
        <w:textAlignment w:val="auto"/>
        <w:outlineLvl w:val="2"/>
        <w:rPr>
          <w:rFonts w:ascii="宋体" w:hAnsi="宋体" w:eastAsia="宋体" w:cs="宋体"/>
          <w:b/>
          <w:bCs/>
          <w:color w:val="000000" w:themeColor="text1"/>
          <w:sz w:val="21"/>
          <w:szCs w:val="21"/>
          <w:highlight w:val="none"/>
          <w:lang w:val="en-US" w:eastAsia="zh-CN" w:bidi="ar-SA"/>
          <w14:textFill>
            <w14:solidFill>
              <w14:schemeClr w14:val="tx1"/>
            </w14:solidFill>
          </w14:textFill>
        </w:rPr>
      </w:pPr>
      <w:bookmarkStart w:id="93" w:name="_Toc69470020"/>
      <w:bookmarkStart w:id="94" w:name="_Toc18219"/>
      <w:bookmarkStart w:id="95" w:name="_Toc482297790"/>
      <w:bookmarkStart w:id="96" w:name="_Toc12312"/>
      <w:bookmarkStart w:id="97" w:name="_Toc28044"/>
      <w:bookmarkStart w:id="98" w:name="_Toc116503133"/>
      <w:r>
        <w:rPr>
          <w:rFonts w:hint="eastAsia" w:ascii="宋体" w:hAnsi="宋体" w:eastAsia="宋体" w:cs="宋体"/>
          <w:b/>
          <w:bCs/>
          <w:color w:val="000000" w:themeColor="text1"/>
          <w:sz w:val="21"/>
          <w:szCs w:val="21"/>
          <w:highlight w:val="none"/>
          <w:lang w:val="en-US" w:eastAsia="zh-CN" w:bidi="ar-SA"/>
          <w14:textFill>
            <w14:solidFill>
              <w14:schemeClr w14:val="tx1"/>
            </w14:solidFill>
          </w14:textFill>
        </w:rPr>
        <w:t>1.2.5财政资金保障</w:t>
      </w:r>
      <w:bookmarkEnd w:id="93"/>
      <w:bookmarkEnd w:id="94"/>
      <w:bookmarkEnd w:id="95"/>
      <w:bookmarkEnd w:id="96"/>
      <w:bookmarkEnd w:id="97"/>
      <w:bookmarkEnd w:id="98"/>
    </w:p>
    <w:p>
      <w:pPr>
        <w:pageBreakBefore w:val="0"/>
        <w:widowControl/>
        <w:kinsoku/>
        <w:wordWrap/>
        <w:overflowPunct/>
        <w:topLinePunct w:val="0"/>
        <w:autoSpaceDN/>
        <w:bidi w:val="0"/>
        <w:adjustRightInd/>
        <w:spacing w:line="460" w:lineRule="exact"/>
        <w:ind w:firstLine="420" w:firstLineChars="200"/>
        <w:jc w:val="lef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国务院办公厅转发财政部发展改革委人民银行关于在公共服务领域推广政府和社会资本合作模式指导意见的通知》（国办发〔2015〕42号）规定：将政府付费、使用者付费、可行性缺口补助等不同支付机制，涉及的运营补贴等，按照国家统一的会计制度进行核算，纳入年度预算及中期财政规划，在政府财务报告中进行反映和管理，并向本级人大或其常委会报告，本项目可行性缺口补助应纳入贺州市八步区年度财政预算和中期财政规划。</w:t>
      </w:r>
    </w:p>
    <w:p>
      <w:pPr>
        <w:pageBreakBefore w:val="0"/>
        <w:widowControl/>
        <w:kinsoku/>
        <w:wordWrap/>
        <w:overflowPunct/>
        <w:topLinePunct w:val="0"/>
        <w:autoSpaceDN/>
        <w:bidi w:val="0"/>
        <w:adjustRightInd/>
        <w:spacing w:line="460" w:lineRule="exact"/>
        <w:ind w:firstLine="480" w:firstLineChars="200"/>
        <w:jc w:val="left"/>
        <w:textAlignment w:val="auto"/>
        <w:rPr>
          <w:rFonts w:ascii="Times New Roman" w:hAnsi="Times New Roman" w:eastAsia="宋体" w:cs="Times New Roman"/>
          <w:color w:val="000000" w:themeColor="text1"/>
          <w:kern w:val="0"/>
          <w:sz w:val="24"/>
          <w:highlight w:val="none"/>
          <w14:textFill>
            <w14:solidFill>
              <w14:schemeClr w14:val="tx1"/>
            </w14:solidFill>
          </w14:textFill>
        </w:rPr>
      </w:pPr>
    </w:p>
    <w:p>
      <w:pPr>
        <w:pageBreakBefore w:val="0"/>
        <w:widowControl/>
        <w:kinsoku/>
        <w:wordWrap/>
        <w:overflowPunct/>
        <w:topLinePunct w:val="0"/>
        <w:autoSpaceDN/>
        <w:bidi w:val="0"/>
        <w:adjustRightInd/>
        <w:snapToGrid w:val="0"/>
        <w:spacing w:line="460" w:lineRule="exact"/>
        <w:ind w:firstLine="396" w:firstLineChars="200"/>
        <w:jc w:val="left"/>
        <w:textAlignment w:val="auto"/>
        <w:rPr>
          <w:rFonts w:ascii="宋体" w:hAnsi="宋体" w:eastAsia="宋体" w:cs="宋体"/>
          <w:color w:val="000000" w:themeColor="text1"/>
          <w:spacing w:val="-6"/>
          <w:kern w:val="0"/>
          <w:sz w:val="21"/>
          <w:szCs w:val="21"/>
          <w:highlight w:val="none"/>
          <w14:textFill>
            <w14:solidFill>
              <w14:schemeClr w14:val="tx1"/>
            </w14:solidFill>
          </w14:textFill>
        </w:rPr>
      </w:pPr>
      <w:r>
        <w:rPr>
          <w:rFonts w:hint="eastAsia" w:ascii="宋体" w:hAnsi="宋体" w:eastAsia="宋体" w:cs="宋体"/>
          <w:color w:val="000000" w:themeColor="text1"/>
          <w:spacing w:val="-6"/>
          <w:kern w:val="0"/>
          <w:sz w:val="21"/>
          <w:szCs w:val="21"/>
          <w:highlight w:val="none"/>
          <w14:textFill>
            <w14:solidFill>
              <w14:schemeClr w14:val="tx1"/>
            </w14:solidFill>
          </w14:textFill>
        </w:rPr>
        <w:t xml:space="preserve"> </w:t>
      </w:r>
    </w:p>
    <w:p>
      <w:pPr>
        <w:pageBreakBefore w:val="0"/>
        <w:widowControl/>
        <w:kinsoku/>
        <w:wordWrap/>
        <w:overflowPunct/>
        <w:topLinePunct w:val="0"/>
        <w:autoSpaceDN/>
        <w:bidi w:val="0"/>
        <w:adjustRightInd/>
        <w:snapToGrid w:val="0"/>
        <w:spacing w:line="460" w:lineRule="exact"/>
        <w:ind w:firstLine="398" w:firstLineChars="200"/>
        <w:jc w:val="left"/>
        <w:textAlignment w:val="auto"/>
        <w:rPr>
          <w:rFonts w:hint="eastAsia" w:ascii="宋体" w:hAnsi="宋体" w:eastAsia="宋体" w:cs="宋体"/>
          <w:b/>
          <w:bCs/>
          <w:color w:val="000000" w:themeColor="text1"/>
          <w:spacing w:val="-6"/>
          <w:kern w:val="0"/>
          <w:sz w:val="21"/>
          <w:szCs w:val="21"/>
          <w:highlight w:val="none"/>
          <w14:textFill>
            <w14:solidFill>
              <w14:schemeClr w14:val="tx1"/>
            </w14:solidFill>
          </w14:textFill>
        </w:rPr>
      </w:pPr>
      <w:r>
        <w:rPr>
          <w:rFonts w:hint="eastAsia" w:ascii="宋体" w:hAnsi="宋体" w:eastAsia="宋体" w:cs="宋体"/>
          <w:b/>
          <w:bCs/>
          <w:color w:val="000000" w:themeColor="text1"/>
          <w:spacing w:val="-6"/>
          <w:kern w:val="0"/>
          <w:sz w:val="21"/>
          <w:szCs w:val="21"/>
          <w:highlight w:val="none"/>
          <w14:textFill>
            <w14:solidFill>
              <w14:schemeClr w14:val="tx1"/>
            </w14:solidFill>
          </w14:textFill>
        </w:rPr>
        <w:t>以上内容最终以签订的PPP项目合同为准。</w:t>
      </w:r>
    </w:p>
    <w:p>
      <w:pPr>
        <w:rPr>
          <w:rFonts w:hint="eastAsia" w:ascii="宋体" w:hAnsi="宋体" w:eastAsia="宋体" w:cs="宋体"/>
          <w:b/>
          <w:bCs/>
          <w:color w:val="000000" w:themeColor="text1"/>
          <w:spacing w:val="-6"/>
          <w:kern w:val="0"/>
          <w:sz w:val="21"/>
          <w:szCs w:val="21"/>
          <w:highlight w:val="none"/>
          <w14:textFill>
            <w14:solidFill>
              <w14:schemeClr w14:val="tx1"/>
            </w14:solidFill>
          </w14:textFill>
        </w:rPr>
      </w:pPr>
      <w:r>
        <w:rPr>
          <w:rFonts w:hint="eastAsia" w:ascii="宋体" w:hAnsi="宋体" w:eastAsia="宋体" w:cs="宋体"/>
          <w:b/>
          <w:bCs/>
          <w:color w:val="000000" w:themeColor="text1"/>
          <w:spacing w:val="-6"/>
          <w:kern w:val="0"/>
          <w:sz w:val="21"/>
          <w:szCs w:val="21"/>
          <w:highlight w:val="none"/>
          <w14:textFill>
            <w14:solidFill>
              <w14:schemeClr w14:val="tx1"/>
            </w14:solidFill>
          </w14:textFill>
        </w:rPr>
        <w:br w:type="page"/>
      </w:r>
    </w:p>
    <w:p>
      <w:pPr>
        <w:pStyle w:val="2"/>
        <w:rPr>
          <w:rFonts w:hint="eastAsia" w:eastAsia="宋体"/>
          <w:b/>
          <w:bCs/>
          <w:color w:val="000000" w:themeColor="text1"/>
          <w:sz w:val="28"/>
          <w:szCs w:val="36"/>
          <w:highlight w:val="none"/>
          <w:lang w:eastAsia="zh-CN"/>
          <w14:textFill>
            <w14:solidFill>
              <w14:schemeClr w14:val="tx1"/>
            </w14:solidFill>
          </w14:textFill>
        </w:rPr>
      </w:pPr>
      <w:r>
        <w:rPr>
          <w:rFonts w:hint="eastAsia"/>
          <w:b/>
          <w:bCs/>
          <w:color w:val="000000" w:themeColor="text1"/>
          <w:sz w:val="28"/>
          <w:szCs w:val="36"/>
          <w:highlight w:val="none"/>
          <w:lang w:eastAsia="zh-CN"/>
          <w14:textFill>
            <w14:solidFill>
              <w14:schemeClr w14:val="tx1"/>
            </w14:solidFill>
          </w14:textFill>
        </w:rPr>
        <w:t>本项目所属行业为：其他未列明行业。</w:t>
      </w:r>
    </w:p>
    <w:p>
      <w:pPr>
        <w:pStyle w:val="3"/>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p>
    <w:p>
      <w:pPr>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中小微企业划型标准</w:t>
      </w:r>
    </w:p>
    <w:tbl>
      <w:tblPr>
        <w:tblStyle w:val="32"/>
        <w:tblW w:w="9561" w:type="dxa"/>
        <w:tblInd w:w="7" w:type="dxa"/>
        <w:tblLayout w:type="fixed"/>
        <w:tblCellMar>
          <w:top w:w="0" w:type="dxa"/>
          <w:left w:w="108" w:type="dxa"/>
          <w:bottom w:w="0" w:type="dxa"/>
          <w:right w:w="108" w:type="dxa"/>
        </w:tblCellMar>
      </w:tblPr>
      <w:tblGrid>
        <w:gridCol w:w="1944"/>
        <w:gridCol w:w="1383"/>
        <w:gridCol w:w="913"/>
        <w:gridCol w:w="2021"/>
        <w:gridCol w:w="1710"/>
        <w:gridCol w:w="1590"/>
      </w:tblGrid>
      <w:tr>
        <w:tblPrEx>
          <w:tblCellMar>
            <w:top w:w="0" w:type="dxa"/>
            <w:left w:w="108" w:type="dxa"/>
            <w:bottom w:w="0" w:type="dxa"/>
            <w:right w:w="108" w:type="dxa"/>
          </w:tblCellMar>
        </w:tblPrEx>
        <w:trPr>
          <w:trHeight w:val="285" w:hRule="atLeast"/>
        </w:trPr>
        <w:tc>
          <w:tcPr>
            <w:tcW w:w="1944" w:type="dxa"/>
            <w:tcBorders>
              <w:top w:val="single" w:color="auto" w:sz="4" w:space="0"/>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highlight w:val="none"/>
                <w14:textFill>
                  <w14:solidFill>
                    <w14:schemeClr w14:val="tx1"/>
                  </w14:solidFill>
                </w14:textFill>
              </w:rPr>
            </w:pPr>
            <w:r>
              <w:rPr>
                <w:rFonts w:hint="eastAsia" w:ascii="宋体" w:hAnsi="宋体" w:eastAsia="宋体" w:cs="宋体"/>
                <w:b/>
                <w:bCs/>
                <w:color w:val="000000" w:themeColor="text1"/>
                <w:w w:val="99"/>
                <w:highlight w:val="none"/>
                <w14:textFill>
                  <w14:solidFill>
                    <w14:schemeClr w14:val="tx1"/>
                  </w14:solidFill>
                </w14:textFill>
              </w:rPr>
              <w:t>行业名称</w:t>
            </w:r>
          </w:p>
        </w:tc>
        <w:tc>
          <w:tcPr>
            <w:tcW w:w="1383" w:type="dxa"/>
            <w:tcBorders>
              <w:top w:val="single" w:color="auto" w:sz="4" w:space="0"/>
              <w:left w:val="nil"/>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highlight w:val="none"/>
                <w14:textFill>
                  <w14:solidFill>
                    <w14:schemeClr w14:val="tx1"/>
                  </w14:solidFill>
                </w14:textFill>
              </w:rPr>
            </w:pPr>
            <w:r>
              <w:rPr>
                <w:rFonts w:hint="eastAsia" w:ascii="宋体" w:hAnsi="宋体" w:eastAsia="宋体" w:cs="宋体"/>
                <w:b/>
                <w:bCs/>
                <w:color w:val="000000" w:themeColor="text1"/>
                <w:w w:val="99"/>
                <w:highlight w:val="none"/>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highlight w:val="none"/>
                <w14:textFill>
                  <w14:solidFill>
                    <w14:schemeClr w14:val="tx1"/>
                  </w14:solidFill>
                </w14:textFill>
              </w:rPr>
            </w:pPr>
            <w:r>
              <w:rPr>
                <w:rFonts w:hint="eastAsia" w:ascii="宋体" w:hAnsi="宋体" w:eastAsia="宋体" w:cs="宋体"/>
                <w:b/>
                <w:bCs/>
                <w:color w:val="000000" w:themeColor="text1"/>
                <w:w w:val="99"/>
                <w:highlight w:val="none"/>
                <w14:textFill>
                  <w14:solidFill>
                    <w14:schemeClr w14:val="tx1"/>
                  </w14:solidFill>
                </w14:textFill>
              </w:rPr>
              <w:t>计量单位</w:t>
            </w:r>
          </w:p>
        </w:tc>
        <w:tc>
          <w:tcPr>
            <w:tcW w:w="2021" w:type="dxa"/>
            <w:tcBorders>
              <w:top w:val="single" w:color="auto" w:sz="4" w:space="0"/>
              <w:left w:val="nil"/>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highlight w:val="none"/>
                <w14:textFill>
                  <w14:solidFill>
                    <w14:schemeClr w14:val="tx1"/>
                  </w14:solidFill>
                </w14:textFill>
              </w:rPr>
            </w:pPr>
            <w:r>
              <w:rPr>
                <w:rFonts w:hint="eastAsia" w:ascii="宋体" w:hAnsi="宋体" w:eastAsia="宋体" w:cs="宋体"/>
                <w:b/>
                <w:bCs/>
                <w:color w:val="000000" w:themeColor="text1"/>
                <w:w w:val="99"/>
                <w:highlight w:val="none"/>
                <w14:textFill>
                  <w14:solidFill>
                    <w14:schemeClr w14:val="tx1"/>
                  </w14:solidFill>
                </w14:textFill>
              </w:rPr>
              <w:t>中型</w:t>
            </w:r>
          </w:p>
        </w:tc>
        <w:tc>
          <w:tcPr>
            <w:tcW w:w="1710" w:type="dxa"/>
            <w:tcBorders>
              <w:top w:val="single" w:color="auto" w:sz="4" w:space="0"/>
              <w:left w:val="nil"/>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highlight w:val="none"/>
                <w14:textFill>
                  <w14:solidFill>
                    <w14:schemeClr w14:val="tx1"/>
                  </w14:solidFill>
                </w14:textFill>
              </w:rPr>
            </w:pPr>
            <w:r>
              <w:rPr>
                <w:rFonts w:hint="eastAsia" w:ascii="宋体" w:hAnsi="宋体" w:eastAsia="宋体" w:cs="宋体"/>
                <w:b/>
                <w:bCs/>
                <w:color w:val="000000" w:themeColor="text1"/>
                <w:w w:val="99"/>
                <w:highlight w:val="none"/>
                <w14:textFill>
                  <w14:solidFill>
                    <w14:schemeClr w14:val="tx1"/>
                  </w14:solidFill>
                </w14:textFill>
              </w:rPr>
              <w:t>小型</w:t>
            </w:r>
          </w:p>
        </w:tc>
        <w:tc>
          <w:tcPr>
            <w:tcW w:w="1590" w:type="dxa"/>
            <w:tcBorders>
              <w:top w:val="single" w:color="auto" w:sz="4" w:space="0"/>
              <w:left w:val="nil"/>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highlight w:val="none"/>
                <w14:textFill>
                  <w14:solidFill>
                    <w14:schemeClr w14:val="tx1"/>
                  </w14:solidFill>
                </w14:textFill>
              </w:rPr>
            </w:pPr>
            <w:r>
              <w:rPr>
                <w:rFonts w:hint="eastAsia" w:ascii="宋体" w:hAnsi="宋体" w:eastAsia="宋体" w:cs="宋体"/>
                <w:b/>
                <w:bCs/>
                <w:color w:val="000000" w:themeColor="text1"/>
                <w:w w:val="99"/>
                <w:highlight w:val="none"/>
                <w14:textFill>
                  <w14:solidFill>
                    <w14:schemeClr w14:val="tx1"/>
                  </w14:solidFill>
                </w14:textFill>
              </w:rPr>
              <w:t>微型</w:t>
            </w:r>
          </w:p>
        </w:tc>
      </w:tr>
      <w:tr>
        <w:tblPrEx>
          <w:tblCellMar>
            <w:top w:w="0" w:type="dxa"/>
            <w:left w:w="108" w:type="dxa"/>
            <w:bottom w:w="0" w:type="dxa"/>
            <w:right w:w="108" w:type="dxa"/>
          </w:tblCellMar>
        </w:tblPrEx>
        <w:trPr>
          <w:trHeight w:val="23" w:hRule="atLeast"/>
        </w:trPr>
        <w:tc>
          <w:tcPr>
            <w:tcW w:w="1944" w:type="dxa"/>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农、林、牧、渔</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500≤Y＜20000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50≤Y＜500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Y＜50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工业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300≤X＜1000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20≤X＜300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X＜20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2000≤Y＜40000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300≤Y＜2000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Y＜300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建筑业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6000≤Y＜80000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300≤Y＜6000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Y＜300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5000≤Z＜80000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300≤Z＜5000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Z＜300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批发业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20≤X＜200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5≤X＜20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X＜5</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5000≤Y＜40000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1000≤Y＜5000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零售业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50≤X＜300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10≤X＜50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500≤Y＜20000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100≤Y＜500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交通运输业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300≤X＜1000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20≤X＜300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X＜20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3000≤Y＜30000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200≤Y＜3000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Y＜200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仓储业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100≤X＜200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20≤X＜100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X＜20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1000≤Y＜30000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100≤Y＜1000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邮政业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300≤X＜1000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20≤X＜300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X＜20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2000≤Y＜30000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100≤Y＜2000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住宿业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100≤X＜300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10≤X＜100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2000≤Y＜10000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100≤Y＜2000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餐饮业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100≤X＜300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10≤X＜100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2000≤Y＜10000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100≤Y＜2000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信息传输业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100≤X＜2000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10≤X＜100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1000≤Y＜100000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100≤Y＜1000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软件和信息技术服务业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100≤X＜300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10≤X＜100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1000≤Y＜10000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50≤Y＜1000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Y＜50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房地产开发经营</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1000≤Y＜200000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100≤X＜1000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5000≤Z＜10000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2000≤Y＜5000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Y＜2000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物业管理</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300≤X＜1000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100≤X＜300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营业收入（Y）</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1000≤Y＜5000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500≤Y＜1000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Y＜500</w:t>
            </w:r>
          </w:p>
        </w:tc>
      </w:tr>
      <w:tr>
        <w:tblPrEx>
          <w:tblCellMar>
            <w:top w:w="0" w:type="dxa"/>
            <w:left w:w="108" w:type="dxa"/>
            <w:bottom w:w="0" w:type="dxa"/>
            <w:right w:w="108" w:type="dxa"/>
          </w:tblCellMar>
        </w:tblPrEx>
        <w:trPr>
          <w:trHeight w:val="23" w:hRule="atLeast"/>
        </w:trPr>
        <w:tc>
          <w:tcPr>
            <w:tcW w:w="1944" w:type="dxa"/>
            <w:vMerge w:val="restart"/>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租赁和商务服务业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100≤X＜300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10≤X＜100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w:t>
            </w:r>
          </w:p>
        </w:tc>
      </w:tr>
      <w:tr>
        <w:tblPrEx>
          <w:tblCellMar>
            <w:top w:w="0" w:type="dxa"/>
            <w:left w:w="108" w:type="dxa"/>
            <w:bottom w:w="0" w:type="dxa"/>
            <w:right w:w="108" w:type="dxa"/>
          </w:tblCellMar>
        </w:tblPrEx>
        <w:trPr>
          <w:trHeight w:val="23" w:hRule="atLeast"/>
        </w:trPr>
        <w:tc>
          <w:tcPr>
            <w:tcW w:w="1944" w:type="dxa"/>
            <w:vMerge w:val="continue"/>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资产总额（Z）</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万元</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8000≤Z＜120000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100≤Z＜8000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Y＜100</w:t>
            </w:r>
          </w:p>
        </w:tc>
      </w:tr>
      <w:tr>
        <w:tblPrEx>
          <w:tblCellMar>
            <w:top w:w="0" w:type="dxa"/>
            <w:left w:w="108" w:type="dxa"/>
            <w:bottom w:w="0" w:type="dxa"/>
            <w:right w:w="108" w:type="dxa"/>
          </w:tblCellMar>
        </w:tblPrEx>
        <w:trPr>
          <w:trHeight w:val="23" w:hRule="atLeast"/>
        </w:trPr>
        <w:tc>
          <w:tcPr>
            <w:tcW w:w="1944" w:type="dxa"/>
            <w:tcBorders>
              <w:top w:val="nil"/>
              <w:left w:val="single" w:color="auto" w:sz="4" w:space="0"/>
              <w:bottom w:val="single" w:color="auto" w:sz="4" w:space="0"/>
              <w:right w:val="single" w:color="auto" w:sz="4" w:space="0"/>
            </w:tcBorders>
            <w:noWrap/>
            <w:vAlign w:val="center"/>
          </w:tcPr>
          <w:p>
            <w:pPr>
              <w:pStyle w:val="108"/>
              <w:spacing w:before="57" w:line="254" w:lineRule="auto"/>
              <w:ind w:left="59" w:right="60"/>
              <w:jc w:val="center"/>
              <w:rPr>
                <w:rFonts w:hint="eastAsia" w:ascii="宋体" w:hAnsi="宋体" w:eastAsia="宋体" w:cs="宋体"/>
                <w:b/>
                <w:bCs/>
                <w:color w:val="000000" w:themeColor="text1"/>
                <w:w w:val="99"/>
                <w:sz w:val="18"/>
                <w:szCs w:val="18"/>
                <w:highlight w:val="none"/>
                <w14:textFill>
                  <w14:solidFill>
                    <w14:schemeClr w14:val="tx1"/>
                  </w14:solidFill>
                </w14:textFill>
              </w:rPr>
            </w:pPr>
            <w:r>
              <w:rPr>
                <w:rFonts w:hint="eastAsia" w:ascii="宋体" w:hAnsi="宋体" w:eastAsia="宋体" w:cs="宋体"/>
                <w:b/>
                <w:bCs/>
                <w:color w:val="000000" w:themeColor="text1"/>
                <w:w w:val="99"/>
                <w:sz w:val="18"/>
                <w:szCs w:val="18"/>
                <w:highlight w:val="none"/>
                <w14:textFill>
                  <w14:solidFill>
                    <w14:schemeClr w14:val="tx1"/>
                  </w14:solidFill>
                </w14:textFill>
              </w:rPr>
              <w:t>其他未列明行业</w:t>
            </w:r>
          </w:p>
        </w:tc>
        <w:tc>
          <w:tcPr>
            <w:tcW w:w="138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从业人员（X）</w:t>
            </w:r>
          </w:p>
        </w:tc>
        <w:tc>
          <w:tcPr>
            <w:tcW w:w="913"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人</w:t>
            </w:r>
          </w:p>
        </w:tc>
        <w:tc>
          <w:tcPr>
            <w:tcW w:w="2021"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100≤X＜300</w:t>
            </w:r>
          </w:p>
        </w:tc>
        <w:tc>
          <w:tcPr>
            <w:tcW w:w="171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10≤X＜100</w:t>
            </w:r>
          </w:p>
        </w:tc>
        <w:tc>
          <w:tcPr>
            <w:tcW w:w="1590" w:type="dxa"/>
            <w:tcBorders>
              <w:top w:val="nil"/>
              <w:left w:val="nil"/>
              <w:bottom w:val="single" w:color="auto" w:sz="4" w:space="0"/>
              <w:right w:val="single" w:color="auto" w:sz="4" w:space="0"/>
            </w:tcBorders>
            <w:noWrap/>
            <w:vAlign w:val="center"/>
          </w:tcPr>
          <w:p>
            <w:pPr>
              <w:pStyle w:val="108"/>
              <w:spacing w:before="112" w:line="280" w:lineRule="auto"/>
              <w:ind w:left="7" w:right="4"/>
              <w:jc w:val="center"/>
              <w:rPr>
                <w:rFonts w:hint="eastAsia" w:ascii="宋体" w:hAnsi="宋体" w:eastAsia="宋体" w:cs="宋体"/>
                <w:color w:val="000000" w:themeColor="text1"/>
                <w:spacing w:val="10"/>
                <w:sz w:val="18"/>
                <w:szCs w:val="18"/>
                <w:highlight w:val="none"/>
                <w:lang w:eastAsia="zh-CN"/>
                <w14:textFill>
                  <w14:solidFill>
                    <w14:schemeClr w14:val="tx1"/>
                  </w14:solidFill>
                </w14:textFill>
              </w:rPr>
            </w:pPr>
            <w:r>
              <w:rPr>
                <w:rFonts w:hint="eastAsia" w:ascii="宋体" w:hAnsi="宋体" w:eastAsia="宋体" w:cs="宋体"/>
                <w:color w:val="000000" w:themeColor="text1"/>
                <w:spacing w:val="10"/>
                <w:sz w:val="18"/>
                <w:szCs w:val="18"/>
                <w:highlight w:val="none"/>
                <w:lang w:eastAsia="zh-CN"/>
                <w14:textFill>
                  <w14:solidFill>
                    <w14:schemeClr w14:val="tx1"/>
                  </w14:solidFill>
                </w14:textFill>
              </w:rPr>
              <w:t>X＜10</w:t>
            </w:r>
          </w:p>
        </w:tc>
      </w:tr>
    </w:tbl>
    <w:p>
      <w:pPr>
        <w:spacing w:line="360" w:lineRule="auto"/>
        <w:ind w:firstLine="525" w:firstLineChars="250"/>
        <w:rPr>
          <w:rFonts w:ascii="仿宋_GB2312" w:hAnsi="仿宋" w:eastAsia="仿宋_GB2312" w:cs="Times New Roman"/>
          <w:color w:val="000000" w:themeColor="text1"/>
          <w:szCs w:val="21"/>
          <w:highlight w:val="none"/>
          <w14:textFill>
            <w14:solidFill>
              <w14:schemeClr w14:val="tx1"/>
            </w14:solidFill>
          </w14:textFill>
        </w:rPr>
      </w:pPr>
      <w:r>
        <w:rPr>
          <w:rFonts w:hint="eastAsia" w:ascii="仿宋_GB2312" w:hAnsi="仿宋" w:eastAsia="仿宋_GB2312" w:cs="Times New Roman"/>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pPr>
        <w:rPr>
          <w:rFonts w:ascii="Times New Roman" w:hAnsi="Times New Roman" w:cs="Times New Roman"/>
          <w:color w:val="000000" w:themeColor="text1"/>
          <w:highlight w:val="none"/>
          <w14:textFill>
            <w14:solidFill>
              <w14:schemeClr w14:val="tx1"/>
            </w14:solidFill>
          </w14:textFill>
        </w:rPr>
      </w:pPr>
    </w:p>
    <w:p>
      <w:pPr>
        <w:widowControl/>
        <w:jc w:val="left"/>
        <w:rPr>
          <w:rFonts w:ascii="宋体" w:hAnsi="宋体" w:cs="宋体"/>
          <w:color w:val="000000" w:themeColor="text1"/>
          <w:sz w:val="20"/>
          <w:szCs w:val="20"/>
          <w:highlight w:val="none"/>
          <w14:textFill>
            <w14:solidFill>
              <w14:schemeClr w14:val="tx1"/>
            </w14:solidFill>
          </w14:textFill>
        </w:rPr>
      </w:pPr>
    </w:p>
    <w:p>
      <w:pPr>
        <w:rPr>
          <w:rFonts w:hint="eastAsia" w:ascii="Times New Roman" w:hAnsi="Times New Roman"/>
          <w:b/>
          <w:color w:val="000000" w:themeColor="text1"/>
          <w:sz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br w:type="page"/>
      </w:r>
    </w:p>
    <w:p>
      <w:pPr>
        <w:pStyle w:val="4"/>
        <w:bidi w:val="0"/>
        <w:jc w:val="center"/>
        <w:rPr>
          <w:color w:val="000000" w:themeColor="text1"/>
          <w:highlight w:val="none"/>
          <w14:textFill>
            <w14:solidFill>
              <w14:schemeClr w14:val="tx1"/>
            </w14:solidFill>
          </w14:textFill>
        </w:rPr>
      </w:pPr>
      <w:bookmarkStart w:id="99" w:name="_Toc26710"/>
      <w:r>
        <w:rPr>
          <w:rFonts w:hint="eastAsia"/>
          <w:color w:val="000000" w:themeColor="text1"/>
          <w:highlight w:val="none"/>
          <w14:textFill>
            <w14:solidFill>
              <w14:schemeClr w14:val="tx1"/>
            </w14:solidFill>
          </w14:textFill>
        </w:rPr>
        <w:t>第三章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w:t>
      </w:r>
      <w:bookmarkEnd w:id="35"/>
      <w:bookmarkEnd w:id="99"/>
    </w:p>
    <w:p>
      <w:pPr>
        <w:pStyle w:val="15"/>
        <w:spacing w:line="720" w:lineRule="auto"/>
        <w:jc w:val="center"/>
        <w:outlineLvl w:val="1"/>
        <w:rPr>
          <w:rFonts w:ascii="Times New Roman" w:hAnsi="Times New Roman"/>
          <w:b/>
          <w:color w:val="000000" w:themeColor="text1"/>
          <w:sz w:val="30"/>
          <w:szCs w:val="30"/>
          <w:highlight w:val="none"/>
          <w14:textFill>
            <w14:solidFill>
              <w14:schemeClr w14:val="tx1"/>
            </w14:solidFill>
          </w14:textFill>
        </w:rPr>
      </w:pPr>
      <w:r>
        <w:rPr>
          <w:rFonts w:ascii="Times New Roman" w:hAnsi="Times New Roman"/>
          <w:b/>
          <w:color w:val="000000" w:themeColor="text1"/>
          <w:sz w:val="30"/>
          <w:szCs w:val="30"/>
          <w:highlight w:val="none"/>
          <w14:textFill>
            <w14:solidFill>
              <w14:schemeClr w14:val="tx1"/>
            </w14:solidFill>
          </w14:textFill>
        </w:rPr>
        <w:t xml:space="preserve"> </w:t>
      </w:r>
      <w:bookmarkStart w:id="100" w:name="_Toc1266"/>
      <w:bookmarkStart w:id="101" w:name="_Toc297"/>
      <w:bookmarkStart w:id="102" w:name="_Toc21065"/>
      <w:bookmarkStart w:id="103" w:name="_Toc9183"/>
      <w:bookmarkStart w:id="104" w:name="_Toc28013"/>
      <w:bookmarkStart w:id="105" w:name="_Toc31280"/>
      <w:r>
        <w:rPr>
          <w:rFonts w:hint="eastAsia" w:ascii="Times New Roman" w:hAnsi="Times New Roman"/>
          <w:b/>
          <w:color w:val="000000" w:themeColor="text1"/>
          <w:sz w:val="30"/>
          <w:szCs w:val="30"/>
          <w:highlight w:val="none"/>
          <w14:textFill>
            <w14:solidFill>
              <w14:schemeClr w14:val="tx1"/>
            </w14:solidFill>
          </w14:textFill>
        </w:rPr>
        <w:t>投标人须知前附表</w:t>
      </w:r>
      <w:bookmarkEnd w:id="100"/>
      <w:bookmarkEnd w:id="101"/>
      <w:bookmarkEnd w:id="102"/>
      <w:bookmarkEnd w:id="103"/>
      <w:bookmarkEnd w:id="104"/>
      <w:bookmarkEnd w:id="105"/>
    </w:p>
    <w:tbl>
      <w:tblPr>
        <w:tblStyle w:val="32"/>
        <w:tblW w:w="974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
        <w:gridCol w:w="2169"/>
        <w:gridCol w:w="67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项目内容</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06" w:name="_8.1"/>
            <w:bookmarkEnd w:id="106"/>
            <w:bookmarkStart w:id="107" w:name="_9.2"/>
            <w:bookmarkEnd w:id="107"/>
            <w:bookmarkStart w:id="108" w:name="_5"/>
            <w:bookmarkEnd w:id="108"/>
            <w:r>
              <w:rPr>
                <w:rFonts w:hint="eastAsia" w:ascii="宋体" w:hAnsi="宋体"/>
                <w:color w:val="000000" w:themeColor="text1"/>
                <w:szCs w:val="21"/>
                <w:highlight w:val="none"/>
                <w14:textFill>
                  <w14:solidFill>
                    <w14:schemeClr w14:val="tx1"/>
                  </w14:solidFill>
                </w14:textFill>
              </w:rPr>
              <w:t>是否接受联合体投标</w:t>
            </w:r>
          </w:p>
        </w:tc>
        <w:tc>
          <w:tcPr>
            <w:tcW w:w="671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pageBreakBefore w:val="0"/>
              <w:widowControl w:val="0"/>
              <w:kinsoku/>
              <w:wordWrap/>
              <w:overflowPunct/>
              <w:topLinePunct w:val="0"/>
              <w:bidi w:val="0"/>
              <w:adjustRightInd/>
              <w:spacing w:line="440" w:lineRule="exact"/>
              <w:ind w:firstLine="0" w:firstLineChars="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671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pageBreakBefore w:val="0"/>
              <w:widowControl w:val="0"/>
              <w:kinsoku/>
              <w:wordWrap/>
              <w:overflowPunct/>
              <w:topLinePunct w:val="0"/>
              <w:bidi w:val="0"/>
              <w:adjustRightInd/>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通过资格预审的联合体投标人即可参与投标。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w:t>
            </w:r>
            <w:r>
              <w:rPr>
                <w:rFonts w:ascii="宋体" w:hAnsi="宋体"/>
                <w:color w:val="000000" w:themeColor="text1"/>
                <w:szCs w:val="21"/>
                <w:highlight w:val="none"/>
                <w14:textFill>
                  <w14:solidFill>
                    <w14:schemeClr w14:val="tx1"/>
                  </w14:solidFill>
                </w14:textFill>
              </w:rPr>
              <w:t>/分包</w:t>
            </w:r>
          </w:p>
        </w:tc>
        <w:tc>
          <w:tcPr>
            <w:tcW w:w="6719" w:type="dxa"/>
            <w:tcBorders>
              <w:top w:val="single" w:color="auto" w:sz="4" w:space="0"/>
              <w:left w:val="single" w:color="auto" w:sz="4" w:space="0"/>
              <w:bottom w:val="single" w:color="auto" w:sz="4" w:space="0"/>
              <w:right w:val="single" w:color="auto" w:sz="4" w:space="0"/>
            </w:tcBorders>
            <w:vAlign w:val="center"/>
          </w:tcPr>
          <w:p>
            <w:pPr>
              <w:pStyle w:val="11"/>
              <w:keepNext w:val="0"/>
              <w:keepLines w:val="0"/>
              <w:pageBreakBefore w:val="0"/>
              <w:widowControl w:val="0"/>
              <w:kinsoku/>
              <w:wordWrap/>
              <w:overflowPunct/>
              <w:topLinePunct w:val="0"/>
              <w:bidi w:val="0"/>
              <w:adjustRightInd/>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不允许转包/分包</w:t>
            </w:r>
          </w:p>
          <w:p>
            <w:pPr>
              <w:pStyle w:val="11"/>
              <w:keepNext w:val="0"/>
              <w:keepLines w:val="0"/>
              <w:pageBreakBefore w:val="0"/>
              <w:widowControl w:val="0"/>
              <w:kinsoku/>
              <w:wordWrap/>
              <w:overflowPunct/>
              <w:topLinePunct w:val="0"/>
              <w:bidi w:val="0"/>
              <w:adjustRightInd/>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允许</w:t>
            </w:r>
            <w:r>
              <w:rPr>
                <w:rFonts w:hint="eastAsia" w:ascii="宋体" w:hAnsi="宋体"/>
                <w:color w:val="000000" w:themeColor="text1"/>
                <w:szCs w:val="21"/>
                <w:highlight w:val="none"/>
                <w:lang w:eastAsia="zh-CN"/>
                <w14:textFill>
                  <w14:solidFill>
                    <w14:schemeClr w14:val="tx1"/>
                  </w14:solidFill>
                </w14:textFill>
              </w:rPr>
              <w:t>依法</w:t>
            </w:r>
            <w:r>
              <w:rPr>
                <w:rFonts w:ascii="宋体" w:hAnsi="宋体"/>
                <w:color w:val="000000" w:themeColor="text1"/>
                <w:szCs w:val="21"/>
                <w:highlight w:val="none"/>
                <w14:textFill>
                  <w14:solidFill>
                    <w14:schemeClr w14:val="tx1"/>
                  </w14:solidFill>
                </w14:textFill>
              </w:rPr>
              <w:t>分包</w:t>
            </w:r>
          </w:p>
          <w:p>
            <w:pPr>
              <w:pStyle w:val="11"/>
              <w:keepNext w:val="0"/>
              <w:keepLines w:val="0"/>
              <w:pageBreakBefore w:val="0"/>
              <w:widowControl w:val="0"/>
              <w:kinsoku/>
              <w:wordWrap/>
              <w:overflowPunct/>
              <w:topLinePunct w:val="0"/>
              <w:bidi w:val="0"/>
              <w:adjustRightInd/>
              <w:spacing w:line="440" w:lineRule="exact"/>
              <w:ind w:firstLine="0" w:firstLineChars="0"/>
              <w:rPr>
                <w:rFonts w:hint="eastAsia" w:ascii="宋体" w:hAnsi="宋体"/>
                <w:color w:val="000000" w:themeColor="text1"/>
                <w:szCs w:val="21"/>
                <w:highlight w:val="none"/>
                <w:u w:val="singl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依法</w:t>
            </w:r>
            <w:r>
              <w:rPr>
                <w:rFonts w:ascii="宋体" w:hAnsi="宋体"/>
                <w:color w:val="000000" w:themeColor="text1"/>
                <w:szCs w:val="21"/>
                <w:highlight w:val="none"/>
                <w14:textFill>
                  <w14:solidFill>
                    <w14:schemeClr w14:val="tx1"/>
                  </w14:solidFill>
                </w14:textFill>
              </w:rPr>
              <w:t>分包内容：</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钢结构、燃气等国家法律法规限定内容。</w:t>
            </w:r>
          </w:p>
          <w:p>
            <w:pPr>
              <w:pStyle w:val="11"/>
              <w:keepNext w:val="0"/>
              <w:keepLines w:val="0"/>
              <w:pageBreakBefore w:val="0"/>
              <w:widowControl w:val="0"/>
              <w:kinsoku/>
              <w:wordWrap/>
              <w:overflowPunct/>
              <w:topLinePunct w:val="0"/>
              <w:bidi w:val="0"/>
              <w:adjustRightInd/>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w:t>
            </w:r>
            <w:r>
              <w:rPr>
                <w:rFonts w:ascii="宋体" w:hAnsi="宋体"/>
                <w:color w:val="000000" w:themeColor="text1"/>
                <w:szCs w:val="21"/>
                <w:highlight w:val="none"/>
                <w14:textFill>
                  <w14:solidFill>
                    <w14:schemeClr w14:val="tx1"/>
                  </w14:solidFill>
                </w14:textFill>
              </w:rPr>
              <w:t>/分包金额或者比例：</w:t>
            </w:r>
            <w:r>
              <w:rPr>
                <w:rFonts w:ascii="宋体" w:hAnsi="宋体"/>
                <w:color w:val="000000" w:themeColor="text1"/>
                <w:szCs w:val="21"/>
                <w:highlight w:val="none"/>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lang w:val="en-US" w:eastAsia="zh-CN"/>
                <w14:textFill>
                  <w14:solidFill>
                    <w14:schemeClr w14:val="tx1"/>
                  </w14:solidFill>
                </w14:textFill>
              </w:rPr>
              <w:t>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澄清或者</w:t>
            </w:r>
          </w:p>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修改</w:t>
            </w:r>
            <w:r>
              <w:rPr>
                <w:rFonts w:hint="eastAsia" w:ascii="宋体" w:hAnsi="宋体"/>
                <w:color w:val="000000" w:themeColor="text1"/>
                <w:szCs w:val="21"/>
                <w:highlight w:val="none"/>
                <w:lang w:eastAsia="zh-CN"/>
                <w14:textFill>
                  <w14:solidFill>
                    <w14:schemeClr w14:val="tx1"/>
                  </w14:solidFill>
                </w14:textFill>
              </w:rPr>
              <w:t>发布媒体</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both"/>
              <w:rPr>
                <w:color w:val="000000" w:themeColor="text1"/>
                <w:sz w:val="28"/>
                <w:szCs w:val="18"/>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在原公告发布媒体上发布澄清公告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lang w:val="en-US" w:eastAsia="zh-CN"/>
                <w14:textFill>
                  <w14:solidFill>
                    <w14:schemeClr w14:val="tx1"/>
                  </w14:solidFill>
                </w14:textFill>
              </w:rPr>
              <w:t>5</w:t>
            </w:r>
          </w:p>
        </w:tc>
        <w:tc>
          <w:tcPr>
            <w:tcW w:w="216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w:t>
            </w:r>
            <w:r>
              <w:rPr>
                <w:rFonts w:hint="eastAsia" w:ascii="宋体" w:hAnsi="宋体"/>
                <w:color w:val="000000" w:themeColor="text1"/>
                <w:szCs w:val="21"/>
                <w:highlight w:val="none"/>
                <w:lang w:eastAsia="zh-CN"/>
                <w14:textFill>
                  <w14:solidFill>
                    <w14:schemeClr w14:val="tx1"/>
                  </w14:solidFill>
                </w14:textFill>
              </w:rPr>
              <w:t>现场考察及</w:t>
            </w:r>
            <w:r>
              <w:rPr>
                <w:rFonts w:hint="eastAsia" w:ascii="宋体" w:hAnsi="宋体"/>
                <w:color w:val="000000" w:themeColor="text1"/>
                <w:szCs w:val="21"/>
                <w:highlight w:val="none"/>
                <w14:textFill>
                  <w14:solidFill>
                    <w14:schemeClr w14:val="tx1"/>
                  </w14:solidFill>
                </w14:textFill>
              </w:rPr>
              <w:t>标前答疑会</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不组织现场考察</w:t>
            </w:r>
          </w:p>
          <w:p>
            <w:pPr>
              <w:keepNext w:val="0"/>
              <w:keepLines w:val="0"/>
              <w:pageBreakBefore w:val="0"/>
              <w:widowControl w:val="0"/>
              <w:kinsoku/>
              <w:wordWrap/>
              <w:overflowPunct/>
              <w:topLinePunct w:val="0"/>
              <w:bidi w:val="0"/>
              <w:adjustRightInd/>
              <w:snapToGrid w:val="0"/>
              <w:spacing w:line="440" w:lineRule="exact"/>
              <w:rPr>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r>
              <w:rPr>
                <w:rFonts w:hint="eastAsia"/>
                <w:color w:val="000000" w:themeColor="text1"/>
                <w:highlight w:val="none"/>
                <w14:textFill>
                  <w14:solidFill>
                    <w14:schemeClr w14:val="tx1"/>
                  </w14:solidFill>
                </w14:textFill>
              </w:rPr>
              <w:t>组织现场考察：</w:t>
            </w:r>
          </w:p>
          <w:p>
            <w:pPr>
              <w:keepNext w:val="0"/>
              <w:keepLines w:val="0"/>
              <w:pageBreakBefore w:val="0"/>
              <w:widowControl w:val="0"/>
              <w:kinsoku/>
              <w:wordWrap/>
              <w:overflowPunct/>
              <w:topLinePunct w:val="0"/>
              <w:bidi w:val="0"/>
              <w:adjustRightInd/>
              <w:snapToGrid w:val="0"/>
              <w:spacing w:line="440" w:lineRule="exac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集中时间：</w:t>
            </w:r>
            <w:r>
              <w:rPr>
                <w:rFonts w:hint="eastAsia"/>
                <w:color w:val="000000" w:themeColor="text1"/>
                <w:highlight w:val="none"/>
                <w:lang w:val="en-US" w:eastAsia="zh-CN"/>
                <w14:textFill>
                  <w14:solidFill>
                    <w14:schemeClr w14:val="tx1"/>
                  </w14:solidFill>
                </w14:textFill>
              </w:rPr>
              <w:t>2023</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时</w:t>
            </w:r>
            <w:r>
              <w:rPr>
                <w:rFonts w:hint="eastAsia"/>
                <w:color w:val="000000" w:themeColor="text1"/>
                <w:highlight w:val="none"/>
                <w:lang w:val="en-US" w:eastAsia="zh-CN"/>
                <w14:textFill>
                  <w14:solidFill>
                    <w14:schemeClr w14:val="tx1"/>
                  </w14:solidFill>
                </w14:textFill>
              </w:rPr>
              <w:t>00</w:t>
            </w:r>
            <w:r>
              <w:rPr>
                <w:rFonts w:hint="eastAsia"/>
                <w:color w:val="000000" w:themeColor="text1"/>
                <w:highlight w:val="none"/>
                <w14:textFill>
                  <w14:solidFill>
                    <w14:schemeClr w14:val="tx1"/>
                  </w14:solidFill>
                </w14:textFill>
              </w:rPr>
              <w:t>分，逾期后果自负。</w:t>
            </w:r>
          </w:p>
          <w:p>
            <w:pPr>
              <w:keepNext w:val="0"/>
              <w:keepLines w:val="0"/>
              <w:pageBreakBefore w:val="0"/>
              <w:widowControl w:val="0"/>
              <w:kinsoku/>
              <w:wordWrap/>
              <w:overflowPunct/>
              <w:topLinePunct w:val="0"/>
              <w:bidi w:val="0"/>
              <w:adjustRightInd/>
              <w:snapToGrid w:val="0"/>
              <w:spacing w:line="44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集中地点：</w:t>
            </w:r>
            <w:r>
              <w:rPr>
                <w:rStyle w:val="46"/>
                <w:rFonts w:hint="eastAsia"/>
                <w:color w:val="000000" w:themeColor="text1"/>
                <w:kern w:val="2"/>
                <w:sz w:val="21"/>
                <w:szCs w:val="21"/>
                <w:highlight w:val="none"/>
                <w14:textFill>
                  <w14:solidFill>
                    <w14:schemeClr w14:val="tx1"/>
                  </w14:solidFill>
                </w14:textFill>
              </w:rPr>
              <w:t>贺州市八步区</w:t>
            </w:r>
            <w:r>
              <w:rPr>
                <w:rStyle w:val="46"/>
                <w:rFonts w:hint="eastAsia"/>
                <w:color w:val="000000" w:themeColor="text1"/>
                <w:kern w:val="2"/>
                <w:sz w:val="21"/>
                <w:szCs w:val="21"/>
                <w:highlight w:val="none"/>
                <w:lang w:eastAsia="zh-CN"/>
                <w14:textFill>
                  <w14:solidFill>
                    <w14:schemeClr w14:val="tx1"/>
                  </w14:solidFill>
                </w14:textFill>
              </w:rPr>
              <w:t>人民路</w:t>
            </w:r>
            <w:r>
              <w:rPr>
                <w:rStyle w:val="46"/>
                <w:rFonts w:hint="eastAsia"/>
                <w:color w:val="000000" w:themeColor="text1"/>
                <w:kern w:val="2"/>
                <w:sz w:val="21"/>
                <w:szCs w:val="21"/>
                <w:highlight w:val="none"/>
                <w:lang w:val="en-US" w:eastAsia="zh-CN"/>
                <w14:textFill>
                  <w14:solidFill>
                    <w14:schemeClr w14:val="tx1"/>
                  </w14:solidFill>
                </w14:textFill>
              </w:rPr>
              <w:t>15号</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bidi w:val="0"/>
              <w:adjustRightInd/>
              <w:snapToGrid w:val="0"/>
              <w:spacing w:line="44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联系人：</w:t>
            </w:r>
            <w:r>
              <w:rPr>
                <w:rStyle w:val="46"/>
                <w:rFonts w:hint="eastAsia"/>
                <w:color w:val="000000" w:themeColor="text1"/>
                <w:kern w:val="2"/>
                <w:sz w:val="21"/>
                <w:szCs w:val="21"/>
                <w:highlight w:val="none"/>
                <w14:textFill>
                  <w14:solidFill>
                    <w14:schemeClr w14:val="tx1"/>
                  </w14:solidFill>
                </w14:textFill>
              </w:rPr>
              <w:t>韦冬</w:t>
            </w:r>
            <w:r>
              <w:rPr>
                <w:rFonts w:hint="eastAsia"/>
                <w:color w:val="000000" w:themeColor="text1"/>
                <w:highlight w:val="none"/>
                <w14:textFill>
                  <w14:solidFill>
                    <w14:schemeClr w14:val="tx1"/>
                  </w14:solidFill>
                </w14:textFill>
              </w:rPr>
              <w:t xml:space="preserve">；联系电话：0774-5286085 </w:t>
            </w:r>
            <w:r>
              <w:rPr>
                <w:color w:val="000000" w:themeColor="text1"/>
                <w:highlight w:val="none"/>
                <w14:textFill>
                  <w14:solidFill>
                    <w14:schemeClr w14:val="tx1"/>
                  </w14:solidFill>
                </w14:textFill>
              </w:rPr>
              <w:t xml:space="preserve">                </w:t>
            </w:r>
          </w:p>
          <w:p>
            <w:pPr>
              <w:pStyle w:val="19"/>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由已获取招标文件的潜在投标人派拟人员按时参与现场考察事宜，并由项目实施机构向采购代理机构提供现场考察证明，投标人在投标时已充分考虑了现场和周围环境条件，考察现场所发生的费用及安全责任由投标人自行承担。</w:t>
            </w:r>
          </w:p>
          <w:p>
            <w:pPr>
              <w:pStyle w:val="19"/>
              <w:keepNext w:val="0"/>
              <w:keepLines w:val="0"/>
              <w:pageBreakBefore w:val="0"/>
              <w:widowControl w:val="0"/>
              <w:kinsoku/>
              <w:wordWrap/>
              <w:overflowPunct/>
              <w:topLinePunct w:val="0"/>
              <w:autoSpaceDE/>
              <w:autoSpaceDN/>
              <w:bidi w:val="0"/>
              <w:adjustRightInd/>
              <w:snapToGrid w:val="0"/>
              <w:spacing w:line="440" w:lineRule="exact"/>
              <w:textAlignment w:val="auto"/>
              <w:rPr>
                <w:color w:val="000000" w:themeColor="text1"/>
                <w:highlight w:val="none"/>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不参加</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现场考察的潜在投标人将视为充分了解项目情况</w:t>
            </w:r>
            <w:r>
              <w:rPr>
                <w:rFonts w:hint="eastAsia" w:cs="Times New Roman"/>
                <w:color w:val="000000" w:themeColor="text1"/>
                <w:kern w:val="2"/>
                <w:sz w:val="21"/>
                <w:szCs w:val="24"/>
                <w:highlight w:val="none"/>
                <w:lang w:val="en-US" w:eastAsia="zh-CN" w:bidi="ar-SA"/>
                <w14:textFill>
                  <w14:solidFill>
                    <w14:schemeClr w14:val="tx1"/>
                  </w14:solidFill>
                </w14:textFill>
              </w:rPr>
              <w:t>，因对现场不了解导致投标失误所</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造成的责任</w:t>
            </w:r>
            <w:r>
              <w:rPr>
                <w:rFonts w:hint="eastAsia" w:cs="Times New Roman"/>
                <w:color w:val="000000" w:themeColor="text1"/>
                <w:kern w:val="2"/>
                <w:sz w:val="21"/>
                <w:szCs w:val="24"/>
                <w:highlight w:val="none"/>
                <w:lang w:val="en-US" w:eastAsia="zh-CN" w:bidi="ar-SA"/>
                <w14:textFill>
                  <w14:solidFill>
                    <w14:schemeClr w14:val="tx1"/>
                  </w14:solidFill>
                </w14:textFill>
              </w:rPr>
              <w:t>风险</w:t>
            </w:r>
            <w:r>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将由投标人自行承担。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p>
        </w:tc>
        <w:tc>
          <w:tcPr>
            <w:tcW w:w="216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☑不组织召开开标前答疑会</w:t>
            </w:r>
          </w:p>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r>
              <w:rPr>
                <w:rFonts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r>
              <w:rPr>
                <w:rFonts w:ascii="宋体" w:hAnsi="宋体"/>
                <w:color w:val="000000" w:themeColor="text1"/>
                <w:szCs w:val="21"/>
                <w:highlight w:val="none"/>
                <w:u w:val="singl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59"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13.1</w:t>
            </w:r>
          </w:p>
        </w:tc>
        <w:tc>
          <w:tcPr>
            <w:tcW w:w="216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09" w:name="_13.2"/>
            <w:bookmarkEnd w:id="109"/>
            <w:r>
              <w:rPr>
                <w:rFonts w:hint="eastAsia" w:ascii="宋体" w:hAnsi="宋体" w:cs="Courier New"/>
                <w:color w:val="000000" w:themeColor="text1"/>
                <w:szCs w:val="21"/>
                <w:highlight w:val="none"/>
                <w14:textFill>
                  <w14:solidFill>
                    <w14:schemeClr w14:val="tx1"/>
                  </w14:solidFill>
                </w14:textFill>
              </w:rPr>
              <w:t>报价文件</w:t>
            </w:r>
          </w:p>
        </w:tc>
        <w:tc>
          <w:tcPr>
            <w:tcW w:w="6719" w:type="dxa"/>
            <w:tcBorders>
              <w:top w:val="single" w:color="auto" w:sz="4" w:space="0"/>
              <w:left w:val="single" w:color="auto" w:sz="4" w:space="0"/>
              <w:right w:val="single" w:color="auto" w:sz="4" w:space="0"/>
            </w:tcBorders>
            <w:vAlign w:val="center"/>
          </w:tcPr>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投标函（格式后附）；</w:t>
            </w:r>
            <w:r>
              <w:rPr>
                <w:rFonts w:hint="eastAsia" w:ascii="宋体" w:hAnsi="宋体"/>
                <w:b/>
                <w:color w:val="000000" w:themeColor="text1"/>
                <w:szCs w:val="21"/>
                <w:highlight w:val="none"/>
                <w14:textFill>
                  <w14:solidFill>
                    <w14:schemeClr w14:val="tx1"/>
                  </w14:solidFill>
                </w14:textFill>
              </w:rPr>
              <w:t>（必须提供，否则按无效投标处理）</w:t>
            </w:r>
          </w:p>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开标一览表（格式后附）； （</w:t>
            </w:r>
            <w:r>
              <w:rPr>
                <w:rFonts w:hint="eastAsia" w:ascii="宋体" w:hAnsi="宋体"/>
                <w:b/>
                <w:color w:val="000000" w:themeColor="text1"/>
                <w:szCs w:val="21"/>
                <w:highlight w:val="none"/>
                <w14:textFill>
                  <w14:solidFill>
                    <w14:schemeClr w14:val="tx1"/>
                  </w14:solidFill>
                </w14:textFill>
              </w:rPr>
              <w:t>必须提供，否则按无效投标处理</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3、投标人针对报价需要说明的其他文件和说明（格式自拟）。</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注：投标函、开标一览表必须由法定代表人或者委托代理人在规定处逐一</w:t>
            </w:r>
            <w:r>
              <w:rPr>
                <w:rFonts w:hint="eastAsia" w:ascii="宋体" w:hAnsi="宋体"/>
                <w:b/>
                <w:bCs/>
                <w:color w:val="000000" w:themeColor="text1"/>
                <w:szCs w:val="21"/>
                <w:highlight w:val="none"/>
                <w:lang w:eastAsia="zh-CN"/>
                <w14:textFill>
                  <w14:solidFill>
                    <w14:schemeClr w14:val="tx1"/>
                  </w14:solidFill>
                </w14:textFill>
              </w:rPr>
              <w:t>亲笔</w:t>
            </w:r>
            <w:r>
              <w:rPr>
                <w:rFonts w:hint="eastAsia" w:ascii="宋体" w:hAnsi="宋体"/>
                <w:b/>
                <w:bCs/>
                <w:color w:val="000000" w:themeColor="text1"/>
                <w:szCs w:val="21"/>
                <w:highlight w:val="none"/>
                <w14:textFill>
                  <w14:solidFill>
                    <w14:schemeClr w14:val="tx1"/>
                  </w14:solidFill>
                </w14:textFill>
              </w:rPr>
              <w:t>签字并加盖投标人</w:t>
            </w:r>
            <w:r>
              <w:rPr>
                <w:rFonts w:hint="eastAsia"/>
                <w:b/>
                <w:color w:val="000000" w:themeColor="text1"/>
                <w:szCs w:val="21"/>
                <w:highlight w:val="none"/>
                <w14:textFill>
                  <w14:solidFill>
                    <w14:schemeClr w14:val="tx1"/>
                  </w14:solidFill>
                </w14:textFill>
              </w:rPr>
              <w:t>（若为联合体，则为联合体牵头方）</w:t>
            </w:r>
            <w:r>
              <w:rPr>
                <w:rFonts w:hint="eastAsia" w:ascii="宋体" w:hAnsi="宋体"/>
                <w:b/>
                <w:bCs/>
                <w:color w:val="000000" w:themeColor="text1"/>
                <w:szCs w:val="21"/>
                <w:highlight w:val="none"/>
                <w:lang w:eastAsia="zh-CN"/>
                <w14:textFill>
                  <w14:solidFill>
                    <w14:schemeClr w14:val="tx1"/>
                  </w14:solidFill>
                </w14:textFill>
              </w:rPr>
              <w:t>电子签章</w:t>
            </w:r>
            <w:r>
              <w:rPr>
                <w:rFonts w:hint="eastAsia" w:ascii="宋体" w:hAnsi="宋体"/>
                <w:b/>
                <w:bCs/>
                <w:color w:val="000000" w:themeColor="text1"/>
                <w:szCs w:val="21"/>
                <w:highlight w:val="none"/>
                <w14:textFill>
                  <w14:solidFill>
                    <w14:schemeClr w14:val="tx1"/>
                  </w14:solidFill>
                </w14:textFill>
              </w:rPr>
              <w:t>，否则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85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p>
        </w:tc>
        <w:tc>
          <w:tcPr>
            <w:tcW w:w="216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商务文件</w:t>
            </w:r>
          </w:p>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eastAsia="宋体" w:cs="Times New Roman"/>
                <w:color w:val="000000" w:themeColor="text1"/>
                <w:kern w:val="2"/>
                <w:sz w:val="21"/>
                <w:szCs w:val="21"/>
                <w:highlight w:val="none"/>
                <w:lang w:val="en-US" w:eastAsia="zh-CN" w:bidi="ar-SA"/>
                <w14:textFill>
                  <w14:solidFill>
                    <w14:schemeClr w14:val="tx1"/>
                  </w14:solidFill>
                </w14:textFill>
              </w:rPr>
            </w:pPr>
          </w:p>
        </w:tc>
        <w:tc>
          <w:tcPr>
            <w:tcW w:w="671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w:t>
            </w:r>
            <w:r>
              <w:rPr>
                <w:rStyle w:val="46"/>
                <w:rFonts w:hint="eastAsia" w:ascii="宋体" w:hAnsi="宋体" w:eastAsia="宋体" w:cs="宋体"/>
                <w:color w:val="000000" w:themeColor="text1"/>
                <w:highlight w:val="none"/>
                <w14:textFill>
                  <w14:solidFill>
                    <w14:schemeClr w14:val="tx1"/>
                  </w14:solidFill>
                </w14:textFill>
              </w:rPr>
              <w:t>资格条件确认函</w:t>
            </w:r>
            <w:r>
              <w:rPr>
                <w:rFonts w:hint="eastAsia" w:ascii="宋体" w:hAnsi="宋体"/>
                <w:color w:val="000000" w:themeColor="text1"/>
                <w:szCs w:val="21"/>
                <w:highlight w:val="none"/>
                <w14:textFill>
                  <w14:solidFill>
                    <w14:schemeClr w14:val="tx1"/>
                  </w14:solidFill>
                </w14:textFill>
              </w:rPr>
              <w:t>（格式后附）；</w:t>
            </w:r>
            <w:r>
              <w:rPr>
                <w:rFonts w:hint="eastAsia" w:ascii="宋体" w:hAnsi="宋体"/>
                <w:b/>
                <w:bCs/>
                <w:color w:val="000000" w:themeColor="text1"/>
                <w:szCs w:val="21"/>
                <w:highlight w:val="none"/>
                <w14:textFill>
                  <w14:solidFill>
                    <w14:schemeClr w14:val="tx1"/>
                  </w14:solidFill>
                </w14:textFill>
              </w:rPr>
              <w:t>（必须提供，否则按无效投标处理）</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无串通投标行为的承诺函（格式后附）；</w:t>
            </w:r>
            <w:r>
              <w:rPr>
                <w:rFonts w:hint="eastAsia" w:ascii="宋体" w:hAnsi="宋体"/>
                <w:b/>
                <w:bCs/>
                <w:color w:val="000000" w:themeColor="text1"/>
                <w:szCs w:val="21"/>
                <w:highlight w:val="none"/>
                <w14:textFill>
                  <w14:solidFill>
                    <w14:schemeClr w14:val="tx1"/>
                  </w14:solidFill>
                </w14:textFill>
              </w:rPr>
              <w:t>（必须提供，否则按无效投标处理）</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ascii="宋体" w:hAnsi="宋体"/>
                <w:color w:val="000000" w:themeColor="text1"/>
                <w:szCs w:val="21"/>
                <w:highlight w:val="none"/>
                <w14:textFill>
                  <w14:solidFill>
                    <w14:schemeClr w14:val="tx1"/>
                  </w14:solidFill>
                </w14:textFill>
              </w:rPr>
              <w:t>、法定代表人</w:t>
            </w:r>
            <w:r>
              <w:rPr>
                <w:rFonts w:hint="eastAsia" w:ascii="宋体" w:hAnsi="宋体"/>
                <w:color w:val="000000" w:themeColor="text1"/>
                <w:szCs w:val="21"/>
                <w:highlight w:val="none"/>
                <w:lang w:eastAsia="zh-CN"/>
                <w14:textFill>
                  <w14:solidFill>
                    <w14:schemeClr w14:val="tx1"/>
                  </w14:solidFill>
                </w14:textFill>
              </w:rPr>
              <w:t>（负责人）</w:t>
            </w:r>
            <w:r>
              <w:rPr>
                <w:rFonts w:ascii="宋体" w:hAnsi="宋体"/>
                <w:color w:val="000000" w:themeColor="text1"/>
                <w:szCs w:val="21"/>
                <w:highlight w:val="none"/>
                <w14:textFill>
                  <w14:solidFill>
                    <w14:schemeClr w14:val="tx1"/>
                  </w14:solidFill>
                </w14:textFill>
              </w:rPr>
              <w:t>身份证明及法定代表人</w:t>
            </w:r>
            <w:r>
              <w:rPr>
                <w:rFonts w:hint="eastAsia" w:ascii="宋体" w:hAnsi="宋体"/>
                <w:color w:val="000000" w:themeColor="text1"/>
                <w:szCs w:val="21"/>
                <w:highlight w:val="none"/>
                <w:lang w:eastAsia="zh-CN"/>
                <w14:textFill>
                  <w14:solidFill>
                    <w14:schemeClr w14:val="tx1"/>
                  </w14:solidFill>
                </w14:textFill>
              </w:rPr>
              <w:t>（负责人）</w:t>
            </w:r>
            <w:r>
              <w:rPr>
                <w:rFonts w:ascii="宋体" w:hAnsi="宋体"/>
                <w:color w:val="000000" w:themeColor="text1"/>
                <w:szCs w:val="21"/>
                <w:highlight w:val="none"/>
                <w14:textFill>
                  <w14:solidFill>
                    <w14:schemeClr w14:val="tx1"/>
                  </w14:solidFill>
                </w14:textFill>
              </w:rPr>
              <w:t>有效身份证正反面复印件（格式后附）；（</w:t>
            </w:r>
            <w:r>
              <w:rPr>
                <w:rFonts w:hint="eastAsia" w:ascii="宋体" w:hAnsi="宋体" w:cs="宋体"/>
                <w:b/>
                <w:bCs/>
                <w:color w:val="000000" w:themeColor="text1"/>
                <w:szCs w:val="21"/>
                <w:highlight w:val="none"/>
                <w14:textFill>
                  <w14:solidFill>
                    <w14:schemeClr w14:val="tx1"/>
                  </w14:solidFill>
                </w14:textFill>
              </w:rPr>
              <w:t>除自然人投标外必须提供，若为联合体，联合体牵头方提供即可，否则作无效投标处理</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ascii="宋体" w:hAnsi="宋体"/>
                <w:color w:val="000000" w:themeColor="text1"/>
                <w:szCs w:val="21"/>
                <w:highlight w:val="none"/>
                <w14:textFill>
                  <w14:solidFill>
                    <w14:schemeClr w14:val="tx1"/>
                  </w14:solidFill>
                </w14:textFill>
              </w:rPr>
              <w:t>、授权委托书及委托代理人有效身份证正反面复印件（格式后附）；（</w:t>
            </w:r>
            <w:r>
              <w:rPr>
                <w:rFonts w:hint="eastAsia" w:ascii="宋体" w:hAnsi="宋体"/>
                <w:b/>
                <w:color w:val="000000" w:themeColor="text1"/>
                <w:szCs w:val="21"/>
                <w:highlight w:val="none"/>
                <w14:textFill>
                  <w14:solidFill>
                    <w14:schemeClr w14:val="tx1"/>
                  </w14:solidFill>
                </w14:textFill>
              </w:rPr>
              <w:t>委托时必须提供，若为联合体，则联合体牵头方授权即可，否则作无效投标处理</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联合体协议书（格式后附）</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联合体投标时必须提供，否则按无效投标处理</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hint="eastAsia" w:ascii="宋体" w:hAnsi="宋体" w:cs="Times New Roman"/>
                <w:color w:val="000000" w:themeColor="text1"/>
                <w:szCs w:val="21"/>
                <w:highlight w:val="none"/>
                <w:lang w:val="en-US" w:eastAsia="zh-CN"/>
                <w14:textFill>
                  <w14:solidFill>
                    <w14:schemeClr w14:val="tx1"/>
                  </w14:solidFill>
                </w14:textFill>
              </w:rPr>
            </w:pPr>
            <w:r>
              <w:rPr>
                <w:rFonts w:hint="eastAsia" w:ascii="宋体" w:hAnsi="宋体" w:cs="Times New Roman"/>
                <w:color w:val="000000" w:themeColor="text1"/>
                <w:szCs w:val="21"/>
                <w:highlight w:val="none"/>
                <w:lang w:val="en-US" w:eastAsia="zh-CN"/>
                <w14:textFill>
                  <w14:solidFill>
                    <w14:schemeClr w14:val="tx1"/>
                  </w14:solidFill>
                </w14:textFill>
              </w:rPr>
              <w:t>6、项目实施人员一览表（格式后附）</w:t>
            </w:r>
            <w:r>
              <w:rPr>
                <w:rFonts w:hint="eastAsia" w:ascii="宋体" w:hAnsi="宋体" w:cs="Times New Roman"/>
                <w:b/>
                <w:bCs/>
                <w:color w:val="000000" w:themeColor="text1"/>
                <w:szCs w:val="21"/>
                <w:highlight w:val="none"/>
                <w14:textFill>
                  <w14:solidFill>
                    <w14:schemeClr w14:val="tx1"/>
                  </w14:solidFill>
                </w14:textFill>
              </w:rPr>
              <w:t>（必须提供，否则按无效投标处理）</w:t>
            </w:r>
          </w:p>
          <w:p>
            <w:pPr>
              <w:pStyle w:val="2"/>
              <w:rPr>
                <w:rFonts w:hint="eastAsia" w:ascii="宋体" w:hAnsi="宋体" w:cs="Times New Roman"/>
                <w:color w:val="000000" w:themeColor="text1"/>
                <w:szCs w:val="21"/>
                <w:highlight w:val="none"/>
                <w:lang w:val="en-US" w:eastAsia="zh-CN"/>
                <w14:textFill>
                  <w14:solidFill>
                    <w14:schemeClr w14:val="tx1"/>
                  </w14:solidFill>
                </w14:textFill>
              </w:rPr>
            </w:pPr>
            <w:r>
              <w:rPr>
                <w:rFonts w:hint="eastAsia" w:ascii="宋体" w:hAnsi="宋体" w:cs="Times New Roman"/>
                <w:color w:val="000000" w:themeColor="text1"/>
                <w:szCs w:val="21"/>
                <w:highlight w:val="none"/>
                <w:lang w:val="en-US" w:eastAsia="zh-CN"/>
                <w14:textFill>
                  <w14:solidFill>
                    <w14:schemeClr w14:val="tx1"/>
                  </w14:solidFill>
                </w14:textFill>
              </w:rPr>
              <w:t>7、投标人认为需要提供的其他资料。</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w:t>
            </w:r>
            <w:r>
              <w:rPr>
                <w:rFonts w:ascii="宋体" w:hAnsi="宋体"/>
                <w:b/>
                <w:bCs/>
                <w:color w:val="000000" w:themeColor="text1"/>
                <w:szCs w:val="21"/>
                <w:highlight w:val="none"/>
                <w14:textFill>
                  <w14:solidFill>
                    <w14:schemeClr w14:val="tx1"/>
                  </w14:solidFill>
                </w14:textFill>
              </w:rPr>
              <w:t xml:space="preserve"> 1.法定代表人授权委托书必须由法定代表人及委托代理人</w:t>
            </w:r>
            <w:r>
              <w:rPr>
                <w:rFonts w:hint="eastAsia" w:ascii="宋体" w:hAnsi="宋体"/>
                <w:b/>
                <w:bCs/>
                <w:color w:val="000000" w:themeColor="text1"/>
                <w:szCs w:val="21"/>
                <w:highlight w:val="none"/>
                <w:lang w:eastAsia="zh-CN"/>
                <w14:textFill>
                  <w14:solidFill>
                    <w14:schemeClr w14:val="tx1"/>
                  </w14:solidFill>
                </w14:textFill>
              </w:rPr>
              <w:t>亲笔</w:t>
            </w:r>
            <w:r>
              <w:rPr>
                <w:rFonts w:ascii="宋体" w:hAnsi="宋体"/>
                <w:b/>
                <w:bCs/>
                <w:color w:val="000000" w:themeColor="text1"/>
                <w:szCs w:val="21"/>
                <w:highlight w:val="none"/>
                <w14:textFill>
                  <w14:solidFill>
                    <w14:schemeClr w14:val="tx1"/>
                  </w14:solidFill>
                </w14:textFill>
              </w:rPr>
              <w:t>签字，并加盖投标人</w:t>
            </w:r>
            <w:r>
              <w:rPr>
                <w:rFonts w:hint="eastAsia" w:ascii="宋体" w:hAnsi="宋体"/>
                <w:b/>
                <w:bCs/>
                <w:color w:val="000000" w:themeColor="text1"/>
                <w:szCs w:val="21"/>
                <w:highlight w:val="none"/>
                <w:lang w:eastAsia="zh-CN"/>
                <w14:textFill>
                  <w14:solidFill>
                    <w14:schemeClr w14:val="tx1"/>
                  </w14:solidFill>
                </w14:textFill>
              </w:rPr>
              <w:t>电子签章</w:t>
            </w:r>
            <w:r>
              <w:rPr>
                <w:rFonts w:ascii="宋体" w:hAnsi="宋体"/>
                <w:b/>
                <w:bCs/>
                <w:color w:val="000000" w:themeColor="text1"/>
                <w:szCs w:val="21"/>
                <w:highlight w:val="none"/>
                <w14:textFill>
                  <w14:solidFill>
                    <w14:schemeClr w14:val="tx1"/>
                  </w14:solidFill>
                </w14:textFill>
              </w:rPr>
              <w:t>，否则作无效投标处理。</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eastAsia="宋体" w:cs="Courier New"/>
                <w:b/>
                <w:color w:val="000000" w:themeColor="text1"/>
                <w:kern w:val="2"/>
                <w:sz w:val="21"/>
                <w:szCs w:val="21"/>
                <w:highlight w:val="none"/>
                <w:lang w:val="en-US" w:eastAsia="zh-CN" w:bidi="ar-SA"/>
                <w14:textFill>
                  <w14:solidFill>
                    <w14:schemeClr w14:val="tx1"/>
                  </w14:solidFill>
                </w14:textFill>
              </w:rPr>
            </w:pPr>
            <w:r>
              <w:rPr>
                <w:rFonts w:ascii="宋体" w:hAnsi="宋体"/>
                <w:b/>
                <w:bCs/>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以上标明“必须提供”的材料属于复印件的，必须加盖投标人公章，否则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ascii="宋体" w:hAnsi="宋体" w:cs="Courier New"/>
                <w:color w:val="000000" w:themeColor="text1"/>
                <w:szCs w:val="21"/>
                <w:highlight w:val="none"/>
                <w14:textFill>
                  <w14:solidFill>
                    <w14:schemeClr w14:val="tx1"/>
                  </w14:solidFill>
                </w14:textFill>
              </w:rPr>
            </w:pPr>
            <w:bookmarkStart w:id="110" w:name="_13.4"/>
            <w:bookmarkEnd w:id="110"/>
            <w:r>
              <w:rPr>
                <w:rFonts w:hint="eastAsia" w:ascii="宋体" w:hAnsi="宋体" w:cs="Courier New"/>
                <w:color w:val="000000" w:themeColor="text1"/>
                <w:szCs w:val="21"/>
                <w:highlight w:val="none"/>
                <w14:textFill>
                  <w14:solidFill>
                    <w14:schemeClr w14:val="tx1"/>
                  </w14:solidFill>
                </w14:textFill>
              </w:rPr>
              <w:t>技术文件</w:t>
            </w:r>
          </w:p>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1、项目公司组建方案（格式自拟）</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 xml:space="preserve">2、工程建设方案（格式自拟） </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3、运营维护方案（格式自拟）</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 xml:space="preserve">4、移交方案（格式自拟） </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5、</w:t>
            </w:r>
            <w:r>
              <w:rPr>
                <w:rFonts w:hint="eastAsia" w:ascii="宋体" w:hAnsi="宋体"/>
                <w:bCs/>
                <w:color w:val="000000" w:themeColor="text1"/>
                <w:szCs w:val="21"/>
                <w:highlight w:val="none"/>
                <w:lang w:eastAsia="zh-CN"/>
                <w14:textFill>
                  <w14:solidFill>
                    <w14:schemeClr w14:val="tx1"/>
                  </w14:solidFill>
                </w14:textFill>
              </w:rPr>
              <w:t>投融资</w:t>
            </w:r>
            <w:r>
              <w:rPr>
                <w:rFonts w:ascii="宋体" w:hAnsi="宋体"/>
                <w:bCs/>
                <w:color w:val="000000" w:themeColor="text1"/>
                <w:szCs w:val="21"/>
                <w:highlight w:val="none"/>
                <w14:textFill>
                  <w14:solidFill>
                    <w14:schemeClr w14:val="tx1"/>
                  </w14:solidFill>
                </w14:textFill>
              </w:rPr>
              <w:t>方案（格式自拟）</w:t>
            </w:r>
          </w:p>
          <w:p>
            <w:pPr>
              <w:keepNext w:val="0"/>
              <w:keepLines w:val="0"/>
              <w:pageBreakBefore w:val="0"/>
              <w:widowControl w:val="0"/>
              <w:kinsoku/>
              <w:wordWrap/>
              <w:overflowPunct/>
              <w:topLinePunct w:val="0"/>
              <w:bidi w:val="0"/>
              <w:adjustRightInd/>
              <w:snapToGrid w:val="0"/>
              <w:spacing w:line="440" w:lineRule="exact"/>
              <w:ind w:firstLine="0" w:firstLineChars="0"/>
              <w:jc w:val="left"/>
              <w:rPr>
                <w:rFonts w:ascii="宋体" w:hAnsi="宋体"/>
                <w:b/>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lang w:val="en-US" w:eastAsia="zh-CN"/>
                <w14:textFill>
                  <w14:solidFill>
                    <w14:schemeClr w14:val="tx1"/>
                  </w14:solidFill>
                </w14:textFill>
              </w:rPr>
              <w:t>6</w:t>
            </w:r>
            <w:r>
              <w:rPr>
                <w:rFonts w:ascii="宋体" w:hAnsi="宋体"/>
                <w:bCs/>
                <w:color w:val="000000" w:themeColor="text1"/>
                <w:szCs w:val="21"/>
                <w:highlight w:val="none"/>
                <w14:textFill>
                  <w14:solidFill>
                    <w14:schemeClr w14:val="tx1"/>
                  </w14:solidFill>
                </w14:textFill>
              </w:rPr>
              <w:t>、投标人认为需要提供的其他资料。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16.2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11" w:name="_16.2"/>
            <w:bookmarkEnd w:id="111"/>
            <w:r>
              <w:rPr>
                <w:rFonts w:hint="eastAsia" w:ascii="宋体" w:hAnsi="宋体"/>
                <w:color w:val="000000" w:themeColor="text1"/>
                <w:szCs w:val="21"/>
                <w:highlight w:val="none"/>
                <w14:textFill>
                  <w14:solidFill>
                    <w14:schemeClr w14:val="tx1"/>
                  </w14:solidFill>
                </w14:textFill>
              </w:rPr>
              <w:t>投标报价要求</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1.投标人可按第六章“投标文件格式”中的“开标一览表”要求，报出完整且唯一报价，附带有条件的报价将不予接受。</w:t>
            </w:r>
          </w:p>
          <w:p>
            <w:pPr>
              <w:keepNext w:val="0"/>
              <w:keepLines w:val="0"/>
              <w:pageBreakBefore w:val="0"/>
              <w:widowControl w:val="0"/>
              <w:kinsoku/>
              <w:wordWrap/>
              <w:overflowPunct/>
              <w:topLinePunct w:val="0"/>
              <w:bidi w:val="0"/>
              <w:adjustRightInd/>
              <w:spacing w:line="440" w:lineRule="exact"/>
              <w:rPr>
                <w:rFonts w:hint="eastAsia" w:ascii="宋体" w:hAnsi="宋体" w:eastAsia="宋体"/>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eastAsia="zh-CN"/>
                <w14:textFill>
                  <w14:solidFill>
                    <w14:schemeClr w14:val="tx1"/>
                  </w14:solidFill>
                </w14:textFill>
              </w:rPr>
              <w:t>有效投标报价</w:t>
            </w:r>
          </w:p>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lang w:val="en-US" w:eastAsia="zh-CN"/>
                <w14:textFill>
                  <w14:solidFill>
                    <w14:schemeClr w14:val="tx1"/>
                  </w14:solidFill>
                </w14:textFill>
              </w:rPr>
              <w:t>建安工程费下浮率</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0</w:t>
            </w:r>
            <w:r>
              <w:rPr>
                <w:rFonts w:ascii="宋体" w:hAnsi="宋体" w:cs="Times New Roman"/>
                <w:color w:val="000000" w:themeColor="text1"/>
                <w:szCs w:val="21"/>
                <w:highlight w:val="none"/>
                <w14:textFill>
                  <w14:solidFill>
                    <w14:schemeClr w14:val="tx1"/>
                  </w14:solidFill>
                </w14:textFill>
              </w:rPr>
              <w:t>%；</w:t>
            </w:r>
          </w:p>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cs="Times New Roman"/>
                <w:color w:val="000000" w:themeColor="text1"/>
                <w:szCs w:val="21"/>
                <w:highlight w:val="none"/>
                <w:lang w:val="en-US" w:eastAsia="zh-CN"/>
                <w14:textFill>
                  <w14:solidFill>
                    <w14:schemeClr w14:val="tx1"/>
                  </w14:solidFill>
                </w14:textFill>
              </w:rPr>
              <w:t>年投资收益率</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s="Times New Roman"/>
                <w:color w:val="000000" w:themeColor="text1"/>
                <w:szCs w:val="21"/>
                <w:highlight w:val="none"/>
                <w:lang w:val="en-US" w:eastAsia="zh-CN"/>
                <w14:textFill>
                  <w14:solidFill>
                    <w14:schemeClr w14:val="tx1"/>
                  </w14:solidFill>
                </w14:textFill>
              </w:rPr>
              <w:t>7</w:t>
            </w:r>
            <w:r>
              <w:rPr>
                <w:rFonts w:ascii="宋体" w:hAnsi="宋体" w:cs="Times New Roman"/>
                <w:color w:val="000000" w:themeColor="text1"/>
                <w:szCs w:val="2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p>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ascii="宋体" w:hAnsi="宋体"/>
                <w:color w:val="000000" w:themeColor="text1"/>
                <w:szCs w:val="21"/>
                <w:highlight w:val="none"/>
                <w14:textFill>
                  <w14:solidFill>
                    <w14:schemeClr w14:val="tx1"/>
                  </w14:solidFill>
                </w14:textFill>
              </w:rPr>
              <w:t>请注意有关限价的说明：投标人提交的开标一览表中，各报价</w:t>
            </w:r>
            <w:r>
              <w:rPr>
                <w:rFonts w:hint="eastAsia" w:ascii="宋体" w:hAnsi="宋体"/>
                <w:color w:val="000000" w:themeColor="text1"/>
                <w:szCs w:val="21"/>
                <w:highlight w:val="none"/>
                <w14:textFill>
                  <w14:solidFill>
                    <w14:schemeClr w14:val="tx1"/>
                  </w14:solidFill>
                </w14:textFill>
              </w:rPr>
              <w:t>项及其分项中任意一项报价有超过其对应报价最高</w:t>
            </w:r>
            <w:r>
              <w:rPr>
                <w:rFonts w:hint="eastAsia" w:ascii="宋体" w:hAnsi="宋体"/>
                <w:color w:val="000000" w:themeColor="text1"/>
                <w:szCs w:val="21"/>
                <w:highlight w:val="none"/>
                <w:lang w:eastAsia="zh-CN"/>
                <w14:textFill>
                  <w14:solidFill>
                    <w14:schemeClr w14:val="tx1"/>
                  </w14:solidFill>
                </w14:textFill>
              </w:rPr>
              <w:t>限价</w:t>
            </w:r>
            <w:r>
              <w:rPr>
                <w:rFonts w:hint="eastAsia" w:ascii="宋体" w:hAnsi="宋体"/>
                <w:color w:val="000000" w:themeColor="text1"/>
                <w:szCs w:val="21"/>
                <w:highlight w:val="none"/>
                <w14:textFill>
                  <w14:solidFill>
                    <w14:schemeClr w14:val="tx1"/>
                  </w14:solidFill>
                </w14:textFill>
              </w:rPr>
              <w:t>的，投标文件将做无效响应处理。</w:t>
            </w:r>
          </w:p>
          <w:p>
            <w:pPr>
              <w:keepNext w:val="0"/>
              <w:keepLines w:val="0"/>
              <w:pageBreakBefore w:val="0"/>
              <w:widowControl w:val="0"/>
              <w:tabs>
                <w:tab w:val="left" w:pos="459"/>
              </w:tabs>
              <w:kinsoku/>
              <w:wordWrap/>
              <w:overflowPunct/>
              <w:topLinePunct w:val="0"/>
              <w:bidi w:val="0"/>
              <w:adjustRightInd/>
              <w:snapToGrid w:val="0"/>
              <w:spacing w:line="440" w:lineRule="exact"/>
              <w:ind w:firstLine="0" w:firstLineChars="0"/>
              <w:jc w:val="left"/>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ascii="宋体" w:hAnsi="宋体"/>
                <w:color w:val="000000" w:themeColor="text1"/>
                <w:szCs w:val="21"/>
                <w:highlight w:val="none"/>
                <w14:textFill>
                  <w14:solidFill>
                    <w14:schemeClr w14:val="tx1"/>
                  </w14:solidFill>
                </w14:textFill>
              </w:rPr>
              <w:t>.不论投标结果如何，投标人均应自行承担与编制和递交投标文件有关的全部费用。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17.2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12" w:name="_17.1"/>
            <w:bookmarkEnd w:id="112"/>
            <w:r>
              <w:rPr>
                <w:rFonts w:hint="eastAsia" w:ascii="宋体" w:hAnsi="宋体"/>
                <w:color w:val="000000" w:themeColor="text1"/>
                <w:szCs w:val="21"/>
                <w:highlight w:val="none"/>
                <w14:textFill>
                  <w14:solidFill>
                    <w14:schemeClr w14:val="tx1"/>
                  </w14:solidFill>
                </w14:textFill>
              </w:rPr>
              <w:t>投标有效期</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120</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18.1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13" w:name="_18"/>
            <w:bookmarkEnd w:id="113"/>
            <w:r>
              <w:rPr>
                <w:rFonts w:hint="eastAsia" w:ascii="宋体" w:hAnsi="宋体"/>
                <w:color w:val="000000" w:themeColor="text1"/>
                <w:szCs w:val="21"/>
                <w:highlight w:val="none"/>
                <w14:textFill>
                  <w14:solidFill>
                    <w14:schemeClr w14:val="tx1"/>
                  </w14:solidFill>
                </w14:textFill>
              </w:rPr>
              <w:t>投标保证金金额</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lang w:eastAsia="zh-CN"/>
                <w14:textFill>
                  <w14:solidFill>
                    <w14:schemeClr w14:val="tx1"/>
                  </w14:solidFill>
                </w14:textFill>
              </w:rPr>
              <w:t>项目实施机构</w:t>
            </w:r>
            <w:r>
              <w:rPr>
                <w:rFonts w:hint="eastAsia" w:ascii="宋体" w:hAnsi="宋体"/>
                <w:color w:val="000000" w:themeColor="text1"/>
                <w:szCs w:val="21"/>
                <w:highlight w:val="none"/>
                <w14:textFill>
                  <w14:solidFill>
                    <w14:schemeClr w14:val="tx1"/>
                  </w14:solidFill>
                </w14:textFill>
              </w:rPr>
              <w:t>综合考虑项目特性、供应商资信状况、市场供需关系等情况，对</w:t>
            </w:r>
            <w:r>
              <w:rPr>
                <w:rFonts w:hint="eastAsia" w:ascii="宋体" w:hAnsi="宋体"/>
                <w:color w:val="000000" w:themeColor="text1"/>
                <w:szCs w:val="21"/>
                <w:highlight w:val="none"/>
                <w:lang w:eastAsia="zh-CN"/>
                <w14:textFill>
                  <w14:solidFill>
                    <w14:schemeClr w14:val="tx1"/>
                  </w14:solidFill>
                </w14:textFill>
              </w:rPr>
              <w:t>本</w:t>
            </w:r>
            <w:r>
              <w:rPr>
                <w:rFonts w:hint="eastAsia" w:ascii="宋体" w:hAnsi="宋体"/>
                <w:color w:val="000000" w:themeColor="text1"/>
                <w:szCs w:val="21"/>
                <w:highlight w:val="none"/>
                <w14:textFill>
                  <w14:solidFill>
                    <w14:schemeClr w14:val="tx1"/>
                  </w14:solidFill>
                </w14:textFill>
              </w:rPr>
              <w:t>政府服务项目免收保证金。</w:t>
            </w:r>
          </w:p>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本项目收取投标保证金，具体规定如下：</w:t>
            </w:r>
            <w:r>
              <w:rPr>
                <w:rFonts w:hint="eastAsia" w:ascii="宋体" w:hAnsi="宋体"/>
                <w:color w:val="000000" w:themeColor="text1"/>
                <w:szCs w:val="21"/>
                <w:highlight w:val="none"/>
                <w:lang w:eastAsia="zh-CN"/>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20</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85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21.1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bookmarkStart w:id="114" w:name="_21.1"/>
            <w:bookmarkEnd w:id="114"/>
            <w:r>
              <w:rPr>
                <w:rFonts w:hint="eastAsia" w:ascii="宋体" w:hAnsi="宋体"/>
                <w:color w:val="000000" w:themeColor="text1"/>
                <w:szCs w:val="21"/>
                <w:highlight w:val="none"/>
                <w:lang w:eastAsia="zh-CN"/>
                <w14:textFill>
                  <w14:solidFill>
                    <w14:schemeClr w14:val="tx1"/>
                  </w14:solidFill>
                </w14:textFill>
              </w:rPr>
              <w:t>投标文件的提交</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1.投标文件提交截止时间：详见招标公告</w:t>
            </w:r>
          </w:p>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23</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15" w:name="_23"/>
            <w:bookmarkEnd w:id="115"/>
            <w:r>
              <w:rPr>
                <w:rFonts w:hint="eastAsia" w:ascii="宋体" w:hAnsi="宋体"/>
                <w:color w:val="000000" w:themeColor="text1"/>
                <w:szCs w:val="21"/>
                <w:highlight w:val="none"/>
                <w14:textFill>
                  <w14:solidFill>
                    <w14:schemeClr w14:val="tx1"/>
                  </w14:solidFill>
                </w14:textFill>
              </w:rPr>
              <w:t>开标时间、地点</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1.开标时间：详见招标公告</w:t>
            </w:r>
          </w:p>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24.3（1）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解密投标文件</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电子投标文件解密时间：</w:t>
            </w:r>
            <w:r>
              <w:rPr>
                <w:rFonts w:hint="eastAsia" w:hAnsi="宋体"/>
                <w:color w:val="000000" w:themeColor="text1"/>
                <w:highlight w:val="none"/>
                <w:u w:val="single"/>
                <w:lang w:val="en-US" w:eastAsia="zh-CN"/>
                <w14:textFill>
                  <w14:solidFill>
                    <w14:schemeClr w14:val="tx1"/>
                  </w14:solidFill>
                </w14:textFill>
              </w:rPr>
              <w:t>30</w:t>
            </w:r>
            <w:r>
              <w:rPr>
                <w:rFonts w:hint="eastAsia" w:hAnsi="宋体"/>
                <w:color w:val="000000" w:themeColor="text1"/>
                <w:highlight w:val="none"/>
                <w14:textFill>
                  <w14:solidFill>
                    <w14:schemeClr w14:val="tx1"/>
                  </w14:solidFill>
                </w14:textFill>
              </w:rPr>
              <w:t>分钟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85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25.3（2）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16" w:name="_25.3"/>
            <w:bookmarkEnd w:id="116"/>
            <w:r>
              <w:rPr>
                <w:rFonts w:hint="eastAsia" w:ascii="宋体" w:hAnsi="宋体"/>
                <w:color w:val="000000" w:themeColor="text1"/>
                <w:szCs w:val="21"/>
                <w:highlight w:val="none"/>
                <w14:textFill>
                  <w14:solidFill>
                    <w14:schemeClr w14:val="tx1"/>
                  </w14:solidFill>
                </w14:textFill>
              </w:rPr>
              <w:t>投标人信用查询渠道</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项目实施机构</w:t>
            </w:r>
            <w:r>
              <w:rPr>
                <w:rFonts w:hint="eastAsia" w:ascii="宋体" w:hAnsi="宋体"/>
                <w:color w:val="000000" w:themeColor="text1"/>
                <w:szCs w:val="21"/>
                <w:highlight w:val="none"/>
                <w14:textFill>
                  <w14:solidFill>
                    <w14:schemeClr w14:val="tx1"/>
                  </w14:solidFill>
                </w14:textFill>
              </w:rPr>
              <w:t>或者采购代理机构在资格审查</w:t>
            </w:r>
            <w:r>
              <w:rPr>
                <w:rFonts w:hint="eastAsia" w:ascii="宋体" w:hAnsi="宋体"/>
                <w:color w:val="000000" w:themeColor="text1"/>
                <w:szCs w:val="21"/>
                <w:highlight w:val="none"/>
                <w:lang w:eastAsia="zh-CN"/>
                <w14:textFill>
                  <w14:solidFill>
                    <w14:schemeClr w14:val="tx1"/>
                  </w14:solidFill>
                </w14:textFill>
              </w:rPr>
              <w:t>（审核内容：</w:t>
            </w:r>
            <w:r>
              <w:rPr>
                <w:rFonts w:hint="eastAsia" w:ascii="宋体" w:hAnsi="宋体"/>
                <w:color w:val="000000" w:themeColor="text1"/>
                <w:szCs w:val="21"/>
                <w:highlight w:val="none"/>
                <w:lang w:val="en-US" w:eastAsia="zh-CN"/>
                <w14:textFill>
                  <w14:solidFill>
                    <w14:schemeClr w14:val="tx1"/>
                  </w14:solidFill>
                </w14:textFill>
              </w:rPr>
              <w:t>通过资格预审的申请人组织机构、财务能力、信誉情况等资格条件发生变化的</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结束前，对投标人进行信用查询。</w:t>
            </w:r>
          </w:p>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t>
            </w:r>
            <w:r>
              <w:rPr>
                <w:rFonts w:ascii="宋体" w:hAnsi="宋体"/>
                <w:color w:val="000000" w:themeColor="text1"/>
                <w:szCs w:val="21"/>
                <w:highlight w:val="none"/>
                <w14:textFill>
                  <w14:solidFill>
                    <w14:schemeClr w14:val="tx1"/>
                  </w14:solidFill>
                </w14:textFill>
              </w:rPr>
              <w:t xml:space="preserve">(www.creditchina.gov.cn) </w:t>
            </w:r>
            <w:r>
              <w:rPr>
                <w:rFonts w:hint="eastAsia" w:ascii="宋体" w:hAnsi="宋体"/>
                <w:color w:val="000000" w:themeColor="text1"/>
                <w:szCs w:val="21"/>
                <w:highlight w:val="none"/>
                <w14:textFill>
                  <w14:solidFill>
                    <w14:schemeClr w14:val="tx1"/>
                  </w14:solidFill>
                </w14:textFill>
              </w:rPr>
              <w:t>、中国政府采购网</w:t>
            </w:r>
            <w:r>
              <w:rPr>
                <w:rFonts w:ascii="宋体" w:hAnsi="宋体"/>
                <w:color w:val="000000" w:themeColor="text1"/>
                <w:szCs w:val="21"/>
                <w:highlight w:val="none"/>
                <w14:textFill>
                  <w14:solidFill>
                    <w14:schemeClr w14:val="tx1"/>
                  </w14:solidFill>
                </w14:textFill>
              </w:rPr>
              <w:t>(www.ccgp.gov.cn)</w:t>
            </w:r>
            <w:r>
              <w:rPr>
                <w:rFonts w:hint="eastAsia" w:ascii="宋体" w:hAnsi="宋体"/>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5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85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在查询网站中直接截图查询记录，截图作为在“政采云”平台作为附件上传保存。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5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t>
            </w:r>
            <w:r>
              <w:rPr>
                <w:rFonts w:ascii="宋体" w:hAnsi="宋体"/>
                <w:color w:val="000000" w:themeColor="text1"/>
                <w:szCs w:val="21"/>
                <w:highlight w:val="none"/>
                <w14:textFill>
                  <w14:solidFill>
                    <w14:schemeClr w14:val="tx1"/>
                  </w14:solidFill>
                </w14:textFill>
              </w:rPr>
              <w:t xml:space="preserve">(www.creditchina.gov.cn) </w:t>
            </w:r>
            <w:r>
              <w:rPr>
                <w:rFonts w:hint="eastAsia" w:ascii="宋体" w:hAnsi="宋体"/>
                <w:color w:val="000000" w:themeColor="text1"/>
                <w:szCs w:val="21"/>
                <w:highlight w:val="none"/>
                <w14:textFill>
                  <w14:solidFill>
                    <w14:schemeClr w14:val="tx1"/>
                  </w14:solidFill>
                </w14:textFill>
              </w:rPr>
              <w:t>、中国政府采购网</w:t>
            </w:r>
            <w:r>
              <w:rPr>
                <w:rFonts w:ascii="宋体" w:hAnsi="宋体"/>
                <w:color w:val="000000" w:themeColor="text1"/>
                <w:szCs w:val="21"/>
                <w:highlight w:val="none"/>
                <w14:textFill>
                  <w14:solidFill>
                    <w14:schemeClr w14:val="tx1"/>
                  </w14:solidFill>
                </w14:textFill>
              </w:rPr>
              <w:t>(www.ccgp.gov.cn)被列入失信被执行人、重大税收违法案件当事人名单、政府采购严重违法失信行为记录名单及其他不符合《中华人民共和国政府采购法》第二十二条规定条件的供应商，</w:t>
            </w:r>
            <w:r>
              <w:rPr>
                <w:rFonts w:hint="eastAsia" w:ascii="宋体" w:hAnsi="宋体"/>
                <w:color w:val="000000" w:themeColor="text1"/>
                <w:szCs w:val="21"/>
                <w:highlight w:val="none"/>
                <w:lang w:eastAsia="zh-CN"/>
                <w14:textFill>
                  <w14:solidFill>
                    <w14:schemeClr w14:val="tx1"/>
                  </w14:solidFill>
                </w14:textFill>
              </w:rPr>
              <w:t>项目实施机构</w:t>
            </w:r>
            <w:r>
              <w:rPr>
                <w:rFonts w:ascii="宋体" w:hAnsi="宋体"/>
                <w:color w:val="000000" w:themeColor="text1"/>
                <w:szCs w:val="21"/>
                <w:highlight w:val="none"/>
                <w14:textFill>
                  <w14:solidFill>
                    <w14:schemeClr w14:val="tx1"/>
                  </w14:solidFill>
                </w14:textFill>
              </w:rPr>
              <w:t>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29.1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17" w:name="_26"/>
            <w:bookmarkEnd w:id="117"/>
            <w:bookmarkStart w:id="118" w:name="_28.3"/>
            <w:bookmarkEnd w:id="118"/>
            <w:r>
              <w:rPr>
                <w:rFonts w:hint="eastAsia" w:ascii="宋体" w:hAnsi="宋体"/>
                <w:color w:val="000000" w:themeColor="text1"/>
                <w:szCs w:val="21"/>
                <w:highlight w:val="none"/>
                <w14:textFill>
                  <w14:solidFill>
                    <w14:schemeClr w14:val="tx1"/>
                  </w14:solidFill>
                </w14:textFill>
              </w:rPr>
              <w:t>评标方法</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☑综合评分法</w:t>
            </w:r>
          </w:p>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85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29.2</w:t>
            </w:r>
          </w:p>
        </w:tc>
        <w:tc>
          <w:tcPr>
            <w:tcW w:w="216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19" w:name="_29.2.2（2）"/>
            <w:bookmarkEnd w:id="119"/>
            <w:r>
              <w:rPr>
                <w:rFonts w:hint="eastAsia" w:ascii="宋体" w:hAnsi="宋体"/>
                <w:color w:val="000000" w:themeColor="text1"/>
                <w:szCs w:val="21"/>
                <w:highlight w:val="none"/>
                <w14:textFill>
                  <w14:solidFill>
                    <w14:schemeClr w14:val="tx1"/>
                  </w14:solidFill>
                </w14:textFill>
              </w:rPr>
              <w:t>允许负偏离项</w:t>
            </w:r>
          </w:p>
        </w:tc>
        <w:tc>
          <w:tcPr>
            <w:tcW w:w="6719"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ascii="宋体" w:hAnsi="宋体"/>
                <w:color w:val="000000" w:themeColor="text1"/>
                <w:szCs w:val="21"/>
                <w:highlight w:val="none"/>
                <w:u w:val="single"/>
                <w14:textFill>
                  <w14:solidFill>
                    <w14:schemeClr w14:val="tx1"/>
                  </w14:solidFill>
                </w14:textFill>
              </w:rPr>
              <w:t xml:space="preserve"> /  </w:t>
            </w:r>
            <w:r>
              <w:rPr>
                <w:rFonts w:hint="eastAsia" w:ascii="宋体" w:hAnsi="宋体"/>
                <w:color w:val="000000" w:themeColor="text1"/>
                <w:szCs w:val="21"/>
                <w:highlight w:val="none"/>
                <w14:textFill>
                  <w14:solidFill>
                    <w14:schemeClr w14:val="tx1"/>
                  </w14:solidFill>
                </w14:textFill>
              </w:rPr>
              <w:t>项。</w:t>
            </w:r>
          </w:p>
          <w:p>
            <w:pPr>
              <w:keepNext w:val="0"/>
              <w:keepLines w:val="0"/>
              <w:pageBreakBefore w:val="0"/>
              <w:widowControl w:val="0"/>
              <w:kinsoku/>
              <w:wordWrap/>
              <w:overflowPunct/>
              <w:topLinePunct w:val="0"/>
              <w:bidi w:val="0"/>
              <w:adjustRightInd/>
              <w:snapToGrid w:val="0"/>
              <w:spacing w:line="440" w:lineRule="exact"/>
              <w:ind w:firstLine="0" w:firstLineChars="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ascii="宋体" w:hAnsi="宋体"/>
                <w:color w:val="000000" w:themeColor="text1"/>
                <w:szCs w:val="21"/>
                <w:highlight w:val="none"/>
                <w:u w:val="single"/>
                <w14:textFill>
                  <w14:solidFill>
                    <w14:schemeClr w14:val="tx1"/>
                  </w14:solidFill>
                </w14:textFill>
              </w:rPr>
              <w:t xml:space="preserve">  / </w:t>
            </w:r>
            <w:r>
              <w:rPr>
                <w:rFonts w:hint="eastAsia" w:ascii="宋体" w:hAnsi="宋体"/>
                <w:color w:val="000000" w:themeColor="text1"/>
                <w:szCs w:val="21"/>
                <w:highlight w:val="none"/>
                <w14:textFill>
                  <w14:solidFill>
                    <w14:schemeClr w14:val="tx1"/>
                  </w14:solidFill>
                </w14:textFill>
              </w:rPr>
              <w:t>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30.1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jc w:val="center"/>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eastAsia="zh-CN"/>
                <w14:textFill>
                  <w14:solidFill>
                    <w14:schemeClr w14:val="tx1"/>
                  </w14:solidFill>
                </w14:textFill>
              </w:rPr>
              <w:t>中标候选人</w:t>
            </w:r>
            <w:r>
              <w:rPr>
                <w:rFonts w:hint="eastAsia" w:ascii="宋体" w:hAnsi="宋体"/>
                <w:color w:val="000000" w:themeColor="text1"/>
                <w:szCs w:val="21"/>
                <w:highlight w:val="none"/>
                <w14:textFill>
                  <w14:solidFill>
                    <w14:schemeClr w14:val="tx1"/>
                  </w14:solidFill>
                </w14:textFill>
              </w:rPr>
              <w:t>时，出现中标候选人分数并列的情形，确定</w:t>
            </w:r>
            <w:r>
              <w:rPr>
                <w:rFonts w:hint="eastAsia" w:ascii="宋体" w:hAnsi="宋体"/>
                <w:color w:val="000000" w:themeColor="text1"/>
                <w:szCs w:val="21"/>
                <w:highlight w:val="none"/>
                <w:lang w:eastAsia="zh-CN"/>
                <w14:textFill>
                  <w14:solidFill>
                    <w14:schemeClr w14:val="tx1"/>
                  </w14:solidFill>
                </w14:textFill>
              </w:rPr>
              <w:t>中标候选人</w:t>
            </w:r>
            <w:r>
              <w:rPr>
                <w:rFonts w:hint="eastAsia" w:ascii="宋体" w:hAnsi="宋体"/>
                <w:color w:val="000000" w:themeColor="text1"/>
                <w:szCs w:val="21"/>
                <w:highlight w:val="none"/>
                <w14:textFill>
                  <w14:solidFill>
                    <w14:schemeClr w14:val="tx1"/>
                  </w14:solidFill>
                </w14:textFill>
              </w:rPr>
              <w:t>方式</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□采用最低评标价法的，投标文件满足招标文件全部实质性要求且投标报价最低的投标人为排名第一的中标候选人；</w:t>
            </w:r>
            <w:r>
              <w:rPr>
                <w:rFonts w:ascii="宋体" w:hAnsi="宋体"/>
                <w:color w:val="000000" w:themeColor="text1"/>
                <w:szCs w:val="21"/>
                <w:highlight w:val="none"/>
                <w14:textFill>
                  <w14:solidFill>
                    <w14:schemeClr w14:val="tx1"/>
                  </w14:solidFill>
                </w14:textFill>
              </w:rPr>
              <w:t xml:space="preserve"> </w:t>
            </w:r>
          </w:p>
          <w:p>
            <w:pPr>
              <w:pStyle w:val="15"/>
              <w:keepNext w:val="0"/>
              <w:keepLines w:val="0"/>
              <w:pageBreakBefore w:val="0"/>
              <w:widowControl w:val="0"/>
              <w:kinsoku/>
              <w:wordWrap/>
              <w:overflowPunct/>
              <w:topLinePunct w:val="0"/>
              <w:autoSpaceDE/>
              <w:autoSpaceDN/>
              <w:bidi w:val="0"/>
              <w:adjustRightInd/>
              <w:snapToGrid/>
              <w:spacing w:line="440" w:lineRule="exact"/>
              <w:contextualSpacing/>
              <w:textAlignment w:val="auto"/>
              <w:rPr>
                <w:rFonts w:ascii="宋体" w:hAnsi="宋体"/>
                <w:b/>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☑采用综合评分法的，</w:t>
            </w:r>
            <w:r>
              <w:rPr>
                <w:rFonts w:hint="eastAsia" w:hAnsi="宋体"/>
                <w:color w:val="000000" w:themeColor="text1"/>
                <w:sz w:val="21"/>
                <w:highlight w:val="none"/>
                <w14:textFill>
                  <w14:solidFill>
                    <w14:schemeClr w14:val="tx1"/>
                  </w14:solidFill>
                </w14:textFill>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31.</w:t>
            </w:r>
            <w:r>
              <w:rPr>
                <w:rFonts w:hint="eastAsia" w:ascii="宋体" w:hAnsi="宋体"/>
                <w:color w:val="000000" w:themeColor="text1"/>
                <w:szCs w:val="21"/>
                <w:highlight w:val="none"/>
                <w:lang w:val="en-US" w:eastAsia="zh-CN"/>
                <w14:textFill>
                  <w14:solidFill>
                    <w14:schemeClr w14:val="tx1"/>
                  </w14:solidFill>
                </w14:textFill>
              </w:rPr>
              <w:t>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不可谈判的核心条款</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1.股权比例：中选社会资本和政府方出资比例为</w:t>
            </w:r>
            <w:r>
              <w:rPr>
                <w:rFonts w:hint="eastAsia" w:ascii="宋体" w:hAnsi="宋体"/>
                <w:color w:val="000000" w:themeColor="text1"/>
                <w:szCs w:val="21"/>
                <w:highlight w:val="none"/>
                <w:lang w:val="en-US" w:eastAsia="zh-CN"/>
                <w14:textFill>
                  <w14:solidFill>
                    <w14:schemeClr w14:val="tx1"/>
                  </w14:solidFill>
                </w14:textFill>
              </w:rPr>
              <w:t>65</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35</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2.本项目整体合作期</w:t>
            </w:r>
            <w:r>
              <w:rPr>
                <w:rFonts w:hint="eastAsia" w:ascii="宋体" w:hAnsi="宋体"/>
                <w:color w:val="000000" w:themeColor="text1"/>
                <w:szCs w:val="21"/>
                <w:highlight w:val="none"/>
                <w:lang w:eastAsia="zh-CN"/>
                <w14:textFill>
                  <w14:solidFill>
                    <w14:schemeClr w14:val="tx1"/>
                  </w14:solidFill>
                </w14:textFill>
              </w:rPr>
              <w:t>为</w:t>
            </w:r>
            <w:r>
              <w:rPr>
                <w:rFonts w:hint="eastAsia" w:ascii="宋体" w:hAnsi="宋体"/>
                <w:color w:val="000000" w:themeColor="text1"/>
                <w:szCs w:val="21"/>
                <w:highlight w:val="none"/>
                <w14:textFill>
                  <w14:solidFill>
                    <w14:schemeClr w14:val="tx1"/>
                  </w14:solidFill>
                </w14:textFill>
              </w:rPr>
              <w:t>17年，其中，建设期 2 年，运营期15年。</w:t>
            </w:r>
          </w:p>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3.项目回报机制：可行性缺口补助。</w:t>
            </w:r>
          </w:p>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4.投标人的投标报价。</w:t>
            </w:r>
          </w:p>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hint="eastAsia" w:eastAsia="宋体"/>
                <w:color w:val="000000" w:themeColor="text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lang w:eastAsia="zh-CN"/>
                <w14:textFill>
                  <w14:solidFill>
                    <w14:schemeClr w14:val="tx1"/>
                  </w14:solidFill>
                </w14:textFill>
              </w:rPr>
              <w:t>项目合同是其中最核心的法律文件，项目边界条件是项目合同的核心内容，主要包括权利义务、交易条件、履约保障和调整衔接边界。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default"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31.2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jc w:val="center"/>
              <w:textAlignment w:val="bottom"/>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候选社会资本推荐</w:t>
            </w:r>
          </w:p>
        </w:tc>
        <w:tc>
          <w:tcPr>
            <w:tcW w:w="671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spacing w:line="440" w:lineRule="exact"/>
              <w:contextualSpacing/>
              <w:textAlignment w:val="auto"/>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得分相同且投标报价相同的，依次按</w:t>
            </w:r>
            <w:r>
              <w:rPr>
                <w:rFonts w:hint="eastAsia" w:hAnsi="宋体"/>
                <w:color w:val="000000" w:themeColor="text1"/>
                <w:szCs w:val="21"/>
                <w:highlight w:val="none"/>
                <w:lang w:val="en-US" w:eastAsia="zh-CN"/>
                <w14:textFill>
                  <w14:solidFill>
                    <w14:schemeClr w14:val="tx1"/>
                  </w14:solidFill>
                </w14:textFill>
              </w:rPr>
              <w:t>技术得分高的优先、商务得分高的优先</w:t>
            </w:r>
            <w:r>
              <w:rPr>
                <w:rFonts w:hint="eastAsia" w:ascii="宋体" w:hAnsi="宋体"/>
                <w:color w:val="000000" w:themeColor="text1"/>
                <w:szCs w:val="21"/>
                <w:highlight w:val="none"/>
                <w:lang w:val="en-US" w:eastAsia="zh-CN"/>
                <w14:textFill>
                  <w14:solidFill>
                    <w14:schemeClr w14:val="tx1"/>
                  </w14:solidFill>
                </w14:textFill>
              </w:rPr>
              <w:t>的顺序</w:t>
            </w:r>
            <w:r>
              <w:rPr>
                <w:rFonts w:hint="eastAsia" w:hAnsi="宋体"/>
                <w:color w:val="000000" w:themeColor="text1"/>
                <w:szCs w:val="21"/>
                <w:highlight w:val="none"/>
                <w:lang w:val="en-US" w:eastAsia="zh-CN"/>
                <w14:textFill>
                  <w14:solidFill>
                    <w14:schemeClr w14:val="tx1"/>
                  </w14:solidFill>
                </w14:textFill>
              </w:rPr>
              <w:t>，进行谈判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35.1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bookmarkStart w:id="120" w:name="_39.1"/>
            <w:bookmarkEnd w:id="120"/>
            <w:r>
              <w:rPr>
                <w:rFonts w:hint="eastAsia" w:ascii="宋体" w:hAnsi="宋体"/>
                <w:color w:val="000000" w:themeColor="text1"/>
                <w:szCs w:val="21"/>
                <w:highlight w:val="none"/>
                <w14:textFill>
                  <w14:solidFill>
                    <w14:schemeClr w14:val="tx1"/>
                  </w14:solidFill>
                </w14:textFill>
              </w:rPr>
              <w:t>履约</w:t>
            </w:r>
            <w:r>
              <w:rPr>
                <w:rFonts w:hint="eastAsia" w:ascii="宋体" w:hAnsi="宋体"/>
                <w:color w:val="000000" w:themeColor="text1"/>
                <w:szCs w:val="21"/>
                <w:highlight w:val="none"/>
                <w:lang w:eastAsia="zh-CN"/>
                <w14:textFill>
                  <w14:solidFill>
                    <w14:schemeClr w14:val="tx1"/>
                  </w14:solidFill>
                </w14:textFill>
              </w:rPr>
              <w:t>保函</w:t>
            </w:r>
          </w:p>
        </w:tc>
        <w:tc>
          <w:tcPr>
            <w:tcW w:w="6719" w:type="dxa"/>
            <w:tcBorders>
              <w:top w:val="single" w:color="auto" w:sz="4" w:space="0"/>
              <w:left w:val="single" w:color="auto" w:sz="4" w:space="0"/>
              <w:bottom w:val="single" w:color="auto" w:sz="4" w:space="0"/>
              <w:right w:val="single" w:color="auto" w:sz="4" w:space="0"/>
            </w:tcBorders>
            <w:vAlign w:val="bottom"/>
          </w:tcPr>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 xml:space="preserve">为了更好地保障本项目引入合格的社会资本方，督促项目公司积极履行相关义务，确保项目招标、工程进度、工程质量、运营维护质量和项目移交后的质量保障，根据《中华人民共和国政府采购法实施条例》第三十三条和第四十八条，本项目在招标过程中要求社会资本方提供投标保函，之后要求项目公司提供建设履约保函、运营维护履约保函和移交维修履约保函。任一保函被提取任意金额后，社会资本方应及时将保函担保金额恢复至原始金额。其中： </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hint="eastAsia" w:eastAsia="宋体"/>
                <w:color w:val="000000" w:themeColor="text1"/>
                <w:highlight w:val="none"/>
                <w:lang w:eastAsia="zh-CN"/>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①建设履约保函：</w:t>
            </w:r>
            <w:r>
              <w:rPr>
                <w:rFonts w:hint="eastAsia" w:eastAsia="宋体"/>
                <w:color w:val="000000" w:themeColor="text1"/>
                <w:highlight w:val="none"/>
                <w:lang w:val="en-US" w:eastAsia="zh-CN"/>
                <w14:textFill>
                  <w14:solidFill>
                    <w14:schemeClr w14:val="tx1"/>
                  </w14:solidFill>
                </w14:textFill>
              </w:rPr>
              <w:t xml:space="preserve">根据《政府和社会资本合作项目政府采购管理办法》规定，履约保函的数额不得超过 PPP 项目初始投资总额或者资产评估值的 10%，考虑到在建设期主要由社会资本投资建设，高额的履约担保可能影响社会资本的资金投入和周转，较低的履约担保又不能有效保证社会资本完全按合同约定的质量，标准和工期条款履行合同，因此，本方案按总投资的 5%设置，约 7000 万元。 </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hint="eastAsia" w:eastAsia="宋体"/>
                <w:color w:val="000000" w:themeColor="text1"/>
                <w:highlight w:val="none"/>
                <w:lang w:eastAsia="zh-CN"/>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②运营维护履约保函：</w:t>
            </w:r>
            <w:r>
              <w:rPr>
                <w:rFonts w:hint="eastAsia" w:eastAsia="宋体"/>
                <w:color w:val="000000" w:themeColor="text1"/>
                <w:highlight w:val="none"/>
                <w:lang w:val="en-US" w:eastAsia="zh-CN"/>
                <w14:textFill>
                  <w14:solidFill>
                    <w14:schemeClr w14:val="tx1"/>
                  </w14:solidFill>
                </w14:textFill>
              </w:rPr>
              <w:t xml:space="preserve">国家没有强制性规定，政府基于运营阶段绩效考核结果付费，如果社会资本违约，首先会从绩效付费中考虑扣减（可行性缺口补助的 100%，即每年平均约 15000 万元），运营期履约保函按 1000 万元设置。 </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hint="eastAsia" w:eastAsia="宋体"/>
                <w:color w:val="000000" w:themeColor="text1"/>
                <w:highlight w:val="none"/>
                <w:lang w:eastAsia="zh-CN"/>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③</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移交维修保函：</w:t>
            </w:r>
            <w:r>
              <w:rPr>
                <w:rFonts w:hint="eastAsia" w:eastAsia="宋体"/>
                <w:color w:val="000000" w:themeColor="text1"/>
                <w:highlight w:val="none"/>
                <w:lang w:val="en-US" w:eastAsia="zh-CN"/>
                <w14:textFill>
                  <w14:solidFill>
                    <w14:schemeClr w14:val="tx1"/>
                  </w14:solidFill>
                </w14:textFill>
              </w:rPr>
              <w:t xml:space="preserve">国家没有强制性规定，该保函主要是约束项目移交后 1 年内的质量保证责任，考虑到本项目的设计使用寿命远超过合作期限，项目移交后，出现大型质量缺陷的机率较小，按 3000万元设置。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36.1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bookmarkStart w:id="121" w:name="_40.1"/>
            <w:bookmarkEnd w:id="121"/>
            <w:r>
              <w:rPr>
                <w:rFonts w:hint="eastAsia" w:ascii="宋体" w:hAnsi="宋体"/>
                <w:color w:val="000000" w:themeColor="text1"/>
                <w:szCs w:val="21"/>
                <w:highlight w:val="none"/>
                <w14:textFill>
                  <w14:solidFill>
                    <w14:schemeClr w14:val="tx1"/>
                  </w14:solidFill>
                </w14:textFill>
              </w:rPr>
              <w:t>签订合同携带的证明材料</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委托代理人负责签订合同的，须携带授权委托书及委托代理人身份证原件等其他资格证件。</w:t>
            </w:r>
          </w:p>
          <w:p>
            <w:pPr>
              <w:keepNext w:val="0"/>
              <w:keepLines w:val="0"/>
              <w:pageBreakBefore w:val="0"/>
              <w:widowControl w:val="0"/>
              <w:kinsoku/>
              <w:wordWrap/>
              <w:overflowPunct/>
              <w:topLinePunct w:val="0"/>
              <w:autoSpaceDE w:val="0"/>
              <w:autoSpaceDN w:val="0"/>
              <w:bidi w:val="0"/>
              <w:adjustRightInd/>
              <w:snapToGrid w:val="0"/>
              <w:spacing w:line="440" w:lineRule="exact"/>
              <w:ind w:firstLine="0" w:firstLineChars="0"/>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法定代表人负责签订合同的，须携带法定代表人</w:t>
            </w:r>
            <w:r>
              <w:rPr>
                <w:rFonts w:ascii="宋体" w:hAnsi="宋体"/>
                <w:color w:val="000000" w:themeColor="text1"/>
                <w:szCs w:val="21"/>
                <w:highlight w:val="none"/>
                <w14:textFill>
                  <w14:solidFill>
                    <w14:schemeClr w14:val="tx1"/>
                  </w14:solidFill>
                </w14:textFill>
              </w:rPr>
              <w:t>身份证明原件</w:t>
            </w:r>
            <w:r>
              <w:rPr>
                <w:rFonts w:hint="eastAsia" w:ascii="宋体" w:hAnsi="宋体"/>
                <w:color w:val="000000" w:themeColor="text1"/>
                <w:szCs w:val="21"/>
                <w:highlight w:val="none"/>
                <w14:textFill>
                  <w14:solidFill>
                    <w14:schemeClr w14:val="tx1"/>
                  </w14:solidFill>
                </w14:textFill>
              </w:rPr>
              <w:t>及</w:t>
            </w:r>
            <w:r>
              <w:rPr>
                <w:rFonts w:ascii="宋体" w:hAnsi="宋体"/>
                <w:color w:val="000000" w:themeColor="text1"/>
                <w:szCs w:val="21"/>
                <w:highlight w:val="none"/>
                <w14:textFill>
                  <w14:solidFill>
                    <w14:schemeClr w14:val="tx1"/>
                  </w14:solidFill>
                </w14:textFill>
              </w:rPr>
              <w:t>身份证原件</w:t>
            </w:r>
            <w:r>
              <w:rPr>
                <w:rFonts w:hint="eastAsia" w:ascii="宋体" w:hAnsi="宋体"/>
                <w:color w:val="000000" w:themeColor="text1"/>
                <w:szCs w:val="21"/>
                <w:highlight w:val="none"/>
                <w14:textFill>
                  <w14:solidFill>
                    <w14:schemeClr w14:val="tx1"/>
                  </w14:solidFill>
                </w14:textFill>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859"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38.2.1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质疑联系部门及联系方式</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接收质疑函方式：以书面形式。</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质疑联系部门及联系方式：云之龙咨询集团有限公司贺州分公司，联系电话：0774-5285056，通讯地址：广西贺州市八步区翔云街87号金丰大厦5楼。</w:t>
            </w:r>
          </w:p>
          <w:p>
            <w:pPr>
              <w:keepNext w:val="0"/>
              <w:keepLines w:val="0"/>
              <w:pageBreakBefore w:val="0"/>
              <w:widowControl w:val="0"/>
              <w:kinsoku/>
              <w:wordWrap/>
              <w:overflowPunct/>
              <w:topLinePunct w:val="0"/>
              <w:autoSpaceDE w:val="0"/>
              <w:autoSpaceDN w:val="0"/>
              <w:bidi w:val="0"/>
              <w:adjustRightInd/>
              <w:snapToGrid w:val="0"/>
              <w:spacing w:line="440" w:lineRule="exac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业务时间：工作日每天上午8时00分到12时00分，下午3时00分到6时00分。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ind w:firstLine="0" w:firstLineChars="0"/>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9</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jc w:val="center"/>
              <w:rPr>
                <w:rFonts w:hint="eastAsia" w:hAnsi="宋体" w:eastAsia="宋体" w:cs="宋体"/>
                <w:color w:val="000000" w:themeColor="text1"/>
                <w:highlight w:val="none"/>
                <w:lang w:eastAsia="zh-CN"/>
                <w14:textFill>
                  <w14:solidFill>
                    <w14:schemeClr w14:val="tx1"/>
                  </w14:solidFill>
                </w14:textFill>
              </w:rPr>
            </w:pPr>
            <w:r>
              <w:rPr>
                <w:rFonts w:hint="eastAsia" w:hAnsi="宋体" w:cs="宋体"/>
                <w:color w:val="000000" w:themeColor="text1"/>
                <w:highlight w:val="none"/>
                <w:lang w:eastAsia="zh-CN"/>
                <w14:textFill>
                  <w14:solidFill>
                    <w14:schemeClr w14:val="tx1"/>
                  </w14:solidFill>
                </w14:textFill>
              </w:rPr>
              <w:t>采购代理服务费</w:t>
            </w:r>
          </w:p>
        </w:tc>
        <w:tc>
          <w:tcPr>
            <w:tcW w:w="671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1.采购代理费支付方式：</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本项目代理服务费由</w:t>
            </w:r>
            <w:r>
              <w:rPr>
                <w:rFonts w:hint="eastAsia" w:hAnsi="宋体" w:cs="宋体"/>
                <w:color w:val="000000" w:themeColor="text1"/>
                <w:sz w:val="21"/>
                <w:highlight w:val="none"/>
                <w:u w:val="single"/>
                <w:lang w:val="en-US" w:eastAsia="zh-CN"/>
                <w14:textFill>
                  <w14:solidFill>
                    <w14:schemeClr w14:val="tx1"/>
                  </w14:solidFill>
                </w14:textFill>
              </w:rPr>
              <w:t>中标社会资本</w:t>
            </w:r>
            <w:r>
              <w:rPr>
                <w:rFonts w:hint="eastAsia" w:hAnsi="宋体" w:cs="宋体"/>
                <w:color w:val="000000" w:themeColor="text1"/>
                <w:sz w:val="21"/>
                <w:highlight w:val="none"/>
                <w:lang w:val="en-US" w:eastAsia="zh-CN"/>
                <w14:textFill>
                  <w14:solidFill>
                    <w14:schemeClr w14:val="tx1"/>
                  </w14:solidFill>
                </w14:textFill>
              </w:rPr>
              <w:t>在领取中标通知书后10日内，一次性向采购代理机构支付。</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2.采购代理费收取标准：</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按本须知正文第</w:t>
            </w:r>
            <w:r>
              <w:rPr>
                <w:rFonts w:ascii="宋体" w:hAnsi="宋体" w:eastAsia="宋体" w:cs="宋体"/>
                <w:color w:val="000000" w:themeColor="text1"/>
                <w:kern w:val="0"/>
                <w:sz w:val="21"/>
                <w:szCs w:val="21"/>
                <w:highlight w:val="none"/>
                <w:lang w:val="en-US" w:eastAsia="zh-CN" w:bidi="ar-SA"/>
                <w14:textFill>
                  <w14:solidFill>
                    <w14:schemeClr w14:val="tx1"/>
                  </w14:solidFill>
                </w14:textFill>
              </w:rPr>
              <w:t>3</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9.</w:t>
            </w:r>
            <w:r>
              <w:rPr>
                <w:rFonts w:ascii="宋体" w:hAnsi="宋体" w:eastAsia="宋体" w:cs="宋体"/>
                <w:color w:val="000000" w:themeColor="text1"/>
                <w:kern w:val="0"/>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条规定的收费计算标准</w:t>
            </w:r>
            <w:r>
              <w:rPr>
                <w:rFonts w:hint="eastAsia" w:hAnsi="宋体" w:cs="宋体"/>
                <w:color w:val="000000" w:themeColor="text1"/>
                <w:kern w:val="0"/>
                <w:sz w:val="21"/>
                <w:szCs w:val="21"/>
                <w:highlight w:val="none"/>
                <w:lang w:val="en-US" w:eastAsia="zh-CN" w:bidi="ar-SA"/>
                <w14:textFill>
                  <w14:solidFill>
                    <w14:schemeClr w14:val="tx1"/>
                  </w14:solidFill>
                </w14:textFill>
              </w:rPr>
              <w:t>服务类采用差额</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定率累进法计算出收费基准价格</w:t>
            </w:r>
            <w:r>
              <w:rPr>
                <w:rFonts w:hint="eastAsia" w:hAnsi="宋体" w:cs="宋体"/>
                <w:color w:val="000000" w:themeColor="text1"/>
                <w:sz w:val="21"/>
                <w:highlight w:val="none"/>
                <w:lang w:val="en-US" w:eastAsia="zh-CN"/>
                <w14:textFill>
                  <w14:solidFill>
                    <w14:schemeClr w14:val="tx1"/>
                  </w14:solidFill>
                </w14:textFill>
              </w:rPr>
              <w:t>，即按项目总投资</w:t>
            </w:r>
            <w:r>
              <w:rPr>
                <w:rFonts w:hint="eastAsia" w:ascii="宋体" w:hAnsi="宋体"/>
                <w:color w:val="000000" w:themeColor="text1"/>
                <w:szCs w:val="21"/>
                <w:highlight w:val="none"/>
                <w:lang w:val="zh-CN"/>
                <w14:textFill>
                  <w14:solidFill>
                    <w14:schemeClr w14:val="tx1"/>
                  </w14:solidFill>
                </w14:textFill>
              </w:rPr>
              <w:t>139942.37</w:t>
            </w:r>
            <w:r>
              <w:rPr>
                <w:rFonts w:hint="eastAsia" w:hAnsi="宋体" w:cs="宋体"/>
                <w:color w:val="000000" w:themeColor="text1"/>
                <w:sz w:val="21"/>
                <w:highlight w:val="none"/>
                <w:lang w:val="en-US" w:eastAsia="zh-CN"/>
                <w14:textFill>
                  <w14:solidFill>
                    <w14:schemeClr w14:val="tx1"/>
                  </w14:solidFill>
                </w14:textFill>
              </w:rPr>
              <w:t>万元作为计费基数，</w:t>
            </w: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采购代理收费以收费基准价格下浮</w:t>
            </w:r>
            <w:r>
              <w:rPr>
                <w:rFonts w:hint="eastAsia" w:ascii="宋体" w:hAnsi="宋体" w:cs="宋体"/>
                <w:color w:val="000000" w:themeColor="text1"/>
                <w:kern w:val="0"/>
                <w:sz w:val="21"/>
                <w:szCs w:val="21"/>
                <w:highlight w:val="none"/>
                <w:u w:val="single"/>
                <w:lang w:val="en-US" w:eastAsia="zh-CN" w:bidi="ar-SA"/>
                <w14:textFill>
                  <w14:solidFill>
                    <w14:schemeClr w14:val="tx1"/>
                  </w14:solidFill>
                </w14:textFill>
              </w:rPr>
              <w:t>20</w:t>
            </w:r>
            <w:r>
              <w:rPr>
                <w:rFonts w:hint="eastAsia" w:ascii="宋体" w:hAnsi="宋体" w:eastAsia="宋体" w:cs="宋体"/>
                <w:color w:val="000000" w:themeColor="text1"/>
                <w:kern w:val="0"/>
                <w:sz w:val="21"/>
                <w:szCs w:val="21"/>
                <w:highlight w:val="none"/>
                <w:u w:val="single"/>
                <w:lang w:val="en-US" w:eastAsia="zh-CN" w:bidi="ar-SA"/>
                <w14:textFill>
                  <w14:solidFill>
                    <w14:schemeClr w14:val="tx1"/>
                  </w14:solidFill>
                </w14:textFill>
              </w:rPr>
              <w:t>%</w:t>
            </w:r>
            <w:r>
              <w:rPr>
                <w:rFonts w:hint="eastAsia" w:hAnsi="宋体" w:cs="宋体"/>
                <w:color w:val="000000" w:themeColor="text1"/>
                <w:kern w:val="0"/>
                <w:sz w:val="21"/>
                <w:szCs w:val="21"/>
                <w:highlight w:val="none"/>
                <w:u w:val="none"/>
                <w:lang w:val="en-US" w:eastAsia="zh-CN" w:bidi="ar-SA"/>
                <w14:textFill>
                  <w14:solidFill>
                    <w14:schemeClr w14:val="tx1"/>
                  </w14:solidFill>
                </w14:textFill>
              </w:rPr>
              <w:t>四舍五入按整收取</w:t>
            </w:r>
            <w:r>
              <w:rPr>
                <w:rFonts w:hint="eastAsia" w:hAnsi="宋体" w:cs="宋体"/>
                <w:color w:val="000000" w:themeColor="text1"/>
                <w:kern w:val="0"/>
                <w:sz w:val="21"/>
                <w:szCs w:val="21"/>
                <w:highlight w:val="none"/>
                <w:lang w:val="en-US" w:eastAsia="zh-CN" w:bidi="ar-SA"/>
                <w14:textFill>
                  <w14:solidFill>
                    <w14:schemeClr w14:val="tx1"/>
                  </w14:solidFill>
                </w14:textFill>
              </w:rPr>
              <w:t>，</w:t>
            </w:r>
            <w:r>
              <w:rPr>
                <w:rFonts w:hint="eastAsia" w:hAnsi="宋体" w:cs="宋体"/>
                <w:color w:val="000000" w:themeColor="text1"/>
                <w:sz w:val="21"/>
                <w:highlight w:val="none"/>
                <w:lang w:val="en-US" w:eastAsia="zh-CN"/>
                <w14:textFill>
                  <w14:solidFill>
                    <w14:schemeClr w14:val="tx1"/>
                  </w14:solidFill>
                </w14:textFill>
              </w:rPr>
              <w:t>总额定为49.85万元，由中标（成交）供应商向乙方支付。</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【100×1.5%+（500-100）×0.8%+（1000-500）×0.45%+（5000-1000）×0.25%+（10000-5000）×0.1%+(50000-10000) ×0.05%+(100000-50000)×0.035%+(139942.37-100000)×0.008%】×80%</w:t>
            </w:r>
            <w:r>
              <w:rPr>
                <w:rFonts w:hint="default" w:ascii="Arial" w:hAnsi="Arial" w:cs="Arial"/>
                <w:color w:val="000000" w:themeColor="text1"/>
                <w:sz w:val="21"/>
                <w:highlight w:val="none"/>
                <w:lang w:val="en-US" w:eastAsia="zh-CN"/>
                <w14:textFill>
                  <w14:solidFill>
                    <w14:schemeClr w14:val="tx1"/>
                  </w14:solidFill>
                </w14:textFill>
              </w:rPr>
              <w:t>≈</w:t>
            </w:r>
            <w:r>
              <w:rPr>
                <w:rFonts w:hint="eastAsia" w:hAnsi="宋体" w:cs="宋体"/>
                <w:color w:val="000000" w:themeColor="text1"/>
                <w:sz w:val="21"/>
                <w:highlight w:val="none"/>
                <w:lang w:val="en-US" w:eastAsia="zh-CN"/>
                <w14:textFill>
                  <w14:solidFill>
                    <w14:schemeClr w14:val="tx1"/>
                  </w14:solidFill>
                </w14:textFill>
              </w:rPr>
              <w:t>49.85万元</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color w:val="000000" w:themeColor="text1"/>
                <w:sz w:val="21"/>
                <w:highlight w:val="none"/>
                <w:lang w:val="en-US" w:eastAsia="zh-CN"/>
                <w14:textFill>
                  <w14:solidFill>
                    <w14:schemeClr w14:val="tx1"/>
                  </w14:solidFill>
                </w14:textFill>
              </w:rPr>
            </w:pPr>
            <w:r>
              <w:rPr>
                <w:rFonts w:hint="eastAsia" w:hAnsi="宋体" w:cs="宋体"/>
                <w:color w:val="000000" w:themeColor="text1"/>
                <w:sz w:val="21"/>
                <w:highlight w:val="none"/>
                <w:lang w:val="en-US" w:eastAsia="zh-CN"/>
                <w14:textFill>
                  <w14:solidFill>
                    <w14:schemeClr w14:val="tx1"/>
                  </w14:solidFill>
                </w14:textFill>
              </w:rPr>
              <w:t>3</w:t>
            </w:r>
            <w:r>
              <w:rPr>
                <w:rFonts w:hAnsi="宋体" w:cs="宋体"/>
                <w:color w:val="000000" w:themeColor="text1"/>
                <w:sz w:val="21"/>
                <w:highlight w:val="none"/>
                <w:lang w:val="en-US" w:eastAsia="zh-CN"/>
                <w14:textFill>
                  <w14:solidFill>
                    <w14:schemeClr w14:val="tx1"/>
                  </w14:solidFill>
                </w14:textFill>
              </w:rPr>
              <w:t>.</w:t>
            </w:r>
            <w:r>
              <w:rPr>
                <w:rFonts w:hint="eastAsia" w:hAnsi="宋体" w:cs="宋体"/>
                <w:color w:val="000000" w:themeColor="text1"/>
                <w:sz w:val="21"/>
                <w:highlight w:val="none"/>
                <w:lang w:val="en-US" w:eastAsia="zh-CN"/>
                <w14:textFill>
                  <w14:solidFill>
                    <w14:schemeClr w14:val="tx1"/>
                  </w14:solidFill>
                </w14:textFill>
              </w:rPr>
              <w:t>账户名称</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户名：云之龙咨询集团有限公司贺州分公司</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帐号：8113-0010-1480-0158-356</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开户行：中信银行南宁东葛支行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40.1</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解释</w:t>
            </w:r>
          </w:p>
        </w:tc>
        <w:tc>
          <w:tcPr>
            <w:tcW w:w="67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ascii="宋体" w:hAnsi="宋体"/>
                <w:b/>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w:t>
            </w:r>
            <w:r>
              <w:rPr>
                <w:rFonts w:hint="eastAsia" w:ascii="宋体" w:hAnsi="宋体"/>
                <w:color w:val="000000" w:themeColor="text1"/>
                <w:szCs w:val="21"/>
                <w:highlight w:val="none"/>
                <w14:textFill>
                  <w14:solidFill>
                    <w14:schemeClr w14:val="tx1"/>
                  </w14:solidFill>
                </w14:textFill>
              </w:rPr>
              <w:t>更正公告（澄清公告）</w:t>
            </w:r>
            <w:r>
              <w:rPr>
                <w:rFonts w:ascii="宋体" w:hAnsi="宋体"/>
                <w:color w:val="000000" w:themeColor="text1"/>
                <w:szCs w:val="21"/>
                <w:highlight w:val="none"/>
                <w14:textFill>
                  <w14:solidFill>
                    <w14:schemeClr w14:val="tx1"/>
                  </w14:solidFill>
                </w14:textFill>
              </w:rPr>
              <w:t>、招标公告、</w:t>
            </w:r>
            <w:r>
              <w:rPr>
                <w:rFonts w:hint="eastAsia" w:ascii="宋体" w:hAnsi="宋体"/>
                <w:color w:val="000000" w:themeColor="text1"/>
                <w:szCs w:val="21"/>
                <w:highlight w:val="none"/>
                <w14:textFill>
                  <w14:solidFill>
                    <w14:schemeClr w14:val="tx1"/>
                  </w14:solidFill>
                </w14:textFill>
              </w:rPr>
              <w:t>采购需求、</w:t>
            </w:r>
            <w:r>
              <w:rPr>
                <w:rFonts w:ascii="宋体" w:hAnsi="宋体"/>
                <w:color w:val="000000" w:themeColor="text1"/>
                <w:szCs w:val="21"/>
                <w:highlight w:val="none"/>
                <w14:textFill>
                  <w14:solidFill>
                    <w14:schemeClr w14:val="tx1"/>
                  </w14:solidFill>
                </w14:textFill>
              </w:rPr>
              <w:t>投标人须知、</w:t>
            </w:r>
            <w:r>
              <w:rPr>
                <w:rFonts w:hint="eastAsia" w:ascii="宋体" w:hAnsi="宋体"/>
                <w:color w:val="000000" w:themeColor="text1"/>
                <w:szCs w:val="21"/>
                <w:highlight w:val="none"/>
                <w14:textFill>
                  <w14:solidFill>
                    <w14:schemeClr w14:val="tx1"/>
                  </w14:solidFill>
                </w14:textFill>
              </w:rPr>
              <w:t>评标方法及评标标准</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拟签订的合同文本、</w:t>
            </w:r>
            <w:r>
              <w:rPr>
                <w:rFonts w:ascii="宋体" w:hAnsi="宋体"/>
                <w:color w:val="000000" w:themeColor="text1"/>
                <w:szCs w:val="21"/>
                <w:highlight w:val="none"/>
                <w14:textFill>
                  <w14:solidFill>
                    <w14:schemeClr w14:val="tx1"/>
                  </w14:solidFill>
                </w14:textFill>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000000" w:themeColor="text1"/>
                <w:szCs w:val="21"/>
                <w:highlight w:val="none"/>
                <w14:textFill>
                  <w14:solidFill>
                    <w14:schemeClr w14:val="tx1"/>
                  </w14:solidFill>
                </w14:textFill>
              </w:rPr>
              <w:t>更正公告（澄清公告）</w:t>
            </w:r>
            <w:r>
              <w:rPr>
                <w:rFonts w:ascii="宋体" w:hAnsi="宋体"/>
                <w:color w:val="000000" w:themeColor="text1"/>
                <w:szCs w:val="21"/>
                <w:highlight w:val="none"/>
                <w14:textFill>
                  <w14:solidFill>
                    <w14:schemeClr w14:val="tx1"/>
                  </w14:solidFill>
                </w14:textFill>
              </w:rPr>
              <w:t>与同步更新的招标文件不一致时以</w:t>
            </w:r>
            <w:r>
              <w:rPr>
                <w:rFonts w:hint="eastAsia" w:ascii="宋体" w:hAnsi="宋体"/>
                <w:color w:val="000000" w:themeColor="text1"/>
                <w:szCs w:val="21"/>
                <w:highlight w:val="none"/>
                <w14:textFill>
                  <w14:solidFill>
                    <w14:schemeClr w14:val="tx1"/>
                  </w14:solidFill>
                </w14:textFill>
              </w:rPr>
              <w:t>更正公告（澄清公告）</w:t>
            </w:r>
            <w:r>
              <w:rPr>
                <w:rFonts w:ascii="宋体" w:hAnsi="宋体"/>
                <w:color w:val="000000" w:themeColor="text1"/>
                <w:szCs w:val="21"/>
                <w:highlight w:val="none"/>
                <w14:textFill>
                  <w14:solidFill>
                    <w14:schemeClr w14:val="tx1"/>
                  </w14:solidFill>
                </w14:textFill>
              </w:rPr>
              <w:t>为准。按本款前述规定仍不能形成结论的，由</w:t>
            </w:r>
            <w:r>
              <w:rPr>
                <w:rFonts w:hint="eastAsia" w:ascii="宋体" w:hAnsi="宋体"/>
                <w:color w:val="000000" w:themeColor="text1"/>
                <w:szCs w:val="21"/>
                <w:highlight w:val="none"/>
                <w14:textFill>
                  <w14:solidFill>
                    <w14:schemeClr w14:val="tx1"/>
                  </w14:solidFill>
                </w14:textFill>
              </w:rPr>
              <w:t>采购</w:t>
            </w:r>
            <w:r>
              <w:rPr>
                <w:rFonts w:ascii="宋体" w:hAnsi="宋体"/>
                <w:color w:val="000000" w:themeColor="text1"/>
                <w:szCs w:val="21"/>
                <w:highlight w:val="none"/>
                <w14:textFill>
                  <w14:solidFill>
                    <w14:schemeClr w14:val="tx1"/>
                  </w14:solidFill>
                </w14:textFill>
              </w:rPr>
              <w:t>人</w:t>
            </w:r>
            <w:r>
              <w:rPr>
                <w:rFonts w:hint="eastAsia" w:ascii="宋体" w:hAnsi="宋体"/>
                <w:color w:val="000000" w:themeColor="text1"/>
                <w:szCs w:val="21"/>
                <w:highlight w:val="none"/>
                <w14:textFill>
                  <w14:solidFill>
                    <w14:schemeClr w14:val="tx1"/>
                  </w14:solidFill>
                </w14:textFill>
              </w:rPr>
              <w:t>或者采购代理机构</w:t>
            </w:r>
            <w:r>
              <w:rPr>
                <w:rFonts w:ascii="宋体" w:hAnsi="宋体"/>
                <w:color w:val="000000" w:themeColor="text1"/>
                <w:szCs w:val="21"/>
                <w:highlight w:val="none"/>
                <w14:textFill>
                  <w14:solidFill>
                    <w14:schemeClr w14:val="tx1"/>
                  </w14:solidFill>
                </w14:textFill>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lang w:val="en-US" w:eastAsia="zh-CN"/>
                <w14:textFill>
                  <w14:solidFill>
                    <w14:schemeClr w14:val="tx1"/>
                  </w14:solidFill>
                </w14:textFill>
              </w:rPr>
              <w:t>0.2</w:t>
            </w:r>
          </w:p>
        </w:tc>
        <w:tc>
          <w:tcPr>
            <w:tcW w:w="21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napToGrid w:val="0"/>
              <w:spacing w:line="440" w:lineRule="exact"/>
              <w:ind w:firstLine="0" w:firstLineChars="0"/>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w:t>
            </w:r>
            <w:r>
              <w:rPr>
                <w:rFonts w:hint="eastAsia" w:ascii="宋体" w:hAnsi="宋体"/>
                <w:color w:val="000000" w:themeColor="text1"/>
                <w:szCs w:val="21"/>
                <w:highlight w:val="none"/>
                <w:lang w:eastAsia="zh-CN"/>
                <w14:textFill>
                  <w14:solidFill>
                    <w14:schemeClr w14:val="tx1"/>
                  </w14:solidFill>
                </w14:textFill>
              </w:rPr>
              <w:t>事项</w:t>
            </w:r>
          </w:p>
        </w:tc>
        <w:tc>
          <w:tcPr>
            <w:tcW w:w="6719" w:type="dxa"/>
            <w:tcBorders>
              <w:top w:val="single" w:color="auto" w:sz="4" w:space="0"/>
              <w:left w:val="single" w:color="auto" w:sz="4" w:space="0"/>
              <w:bottom w:val="single" w:color="auto" w:sz="4" w:space="0"/>
              <w:right w:val="single" w:color="auto" w:sz="4" w:space="0"/>
            </w:tcBorders>
            <w:vAlign w:val="center"/>
          </w:tcPr>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2.本招标文件所称的“</w:t>
            </w:r>
            <w:r>
              <w:rPr>
                <w:rFonts w:hint="eastAsia" w:hAnsi="宋体"/>
                <w:color w:val="000000" w:themeColor="text1"/>
                <w:sz w:val="21"/>
                <w:highlight w:val="none"/>
                <w:lang w:val="en-US" w:eastAsia="zh-CN"/>
                <w14:textFill>
                  <w14:solidFill>
                    <w14:schemeClr w14:val="tx1"/>
                  </w14:solidFill>
                </w14:textFill>
              </w:rPr>
              <w:t>电子签章</w:t>
            </w:r>
            <w:r>
              <w:rPr>
                <w:rFonts w:hint="eastAsia" w:hAnsi="宋体" w:cs="宋体"/>
                <w:bCs/>
                <w:color w:val="000000" w:themeColor="text1"/>
                <w:sz w:val="21"/>
                <w:highlight w:val="none"/>
                <w:lang w:val="en-US" w:eastAsia="zh-CN"/>
                <w14:textFill>
                  <w14:solidFill>
                    <w14:schemeClr w14:val="tx1"/>
                  </w14:solidFill>
                </w14:textFill>
              </w:rPr>
              <w:t>”</w:t>
            </w:r>
            <w:r>
              <w:rPr>
                <w:rFonts w:hint="eastAsia" w:hAnsi="宋体"/>
                <w:color w:val="000000" w:themeColor="text1"/>
                <w:sz w:val="21"/>
                <w:highlight w:val="none"/>
                <w:lang w:val="en-US" w:eastAsia="zh-CN"/>
                <w14:textFill>
                  <w14:solidFill>
                    <w14:schemeClr w14:val="tx1"/>
                  </w14:solidFill>
                </w14:textFill>
              </w:rPr>
              <w:t>，是指经“政采云”平台认可的CA认证的电子签章数据为表现形式的印章，可用于签署电子投标文件，电子印章与实物印章具有同等法律效力，不因其采用电子化表现形式而否定其法律效力。</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hAnsi="宋体" w:cs="宋体"/>
                <w:bCs/>
                <w:color w:val="000000" w:themeColor="text1"/>
                <w:sz w:val="21"/>
                <w:highlight w:val="none"/>
                <w:lang w:val="en-US" w:eastAsia="zh-CN"/>
                <w14:textFill>
                  <w14:solidFill>
                    <w14:schemeClr w14:val="tx1"/>
                  </w14:solidFill>
                </w14:textFill>
              </w:rPr>
            </w:pPr>
            <w:r>
              <w:rPr>
                <w:rFonts w:hint="eastAsia" w:hAnsi="宋体" w:cs="宋体"/>
                <w:bCs/>
                <w:color w:val="000000" w:themeColor="text1"/>
                <w:sz w:val="21"/>
                <w:highlight w:val="none"/>
                <w:lang w:val="en-US" w:eastAsia="zh-CN"/>
                <w14:textFill>
                  <w14:solidFill>
                    <w14:schemeClr w14:val="tx1"/>
                  </w14:solidFill>
                </w14:textFill>
              </w:rPr>
              <w:t>4.本招标文件中描述投标人的“签字”是指投标人的法定代表人或者委托代理人亲自在文件规定签字处亲笔写上个人的名字的行为，私章、签字章、印鉴、影印等其他形式均不能代替亲笔签字。</w:t>
            </w:r>
          </w:p>
          <w:p>
            <w:pPr>
              <w:pStyle w:val="15"/>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color w:val="000000" w:themeColor="text1"/>
                <w:szCs w:val="2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5.</w:t>
            </w:r>
            <w:r>
              <w:rPr>
                <w:rFonts w:hint="eastAsia" w:ascii="宋体" w:hAnsi="宋体" w:cs="宋体"/>
                <w:bCs/>
                <w:color w:val="000000" w:themeColor="text1"/>
                <w:kern w:val="0"/>
                <w:szCs w:val="21"/>
                <w:highlight w:val="none"/>
                <w14:textFill>
                  <w14:solidFill>
                    <w14:schemeClr w14:val="tx1"/>
                  </w14:solidFill>
                </w14:textFill>
              </w:rPr>
              <w:t>本招标文件所称的“以上”“以下”“以内”“届满”，包括本数；所称的“不满”“超过”“以外”，不包括本数。</w:t>
            </w:r>
          </w:p>
        </w:tc>
      </w:tr>
    </w:tbl>
    <w:p>
      <w:pPr>
        <w:pStyle w:val="5"/>
        <w:rPr>
          <w:color w:val="000000" w:themeColor="text1"/>
          <w:highlight w:val="none"/>
          <w14:textFill>
            <w14:solidFill>
              <w14:schemeClr w14:val="tx1"/>
            </w14:solidFill>
          </w14:textFill>
        </w:rPr>
        <w:sectPr>
          <w:headerReference r:id="rId5" w:type="default"/>
          <w:footerReference r:id="rId6" w:type="default"/>
          <w:pgSz w:w="11906" w:h="16838"/>
          <w:pgMar w:top="1134" w:right="1134" w:bottom="1134" w:left="1134" w:header="720" w:footer="720" w:gutter="0"/>
          <w:cols w:space="720" w:num="1"/>
          <w:docGrid w:type="lines" w:linePitch="331" w:charSpace="0"/>
        </w:sectPr>
      </w:pPr>
    </w:p>
    <w:p>
      <w:pPr>
        <w:rPr>
          <w:color w:val="000000" w:themeColor="text1"/>
          <w:highlight w:val="none"/>
          <w14:textFill>
            <w14:solidFill>
              <w14:schemeClr w14:val="tx1"/>
            </w14:solidFill>
          </w14:textFill>
        </w:rPr>
      </w:pPr>
    </w:p>
    <w:p>
      <w:pPr>
        <w:pStyle w:val="5"/>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w:t>
      </w:r>
      <w:bookmarkStart w:id="122" w:name="_Toc7762"/>
      <w:bookmarkStart w:id="123" w:name="_Toc24525"/>
      <w:bookmarkStart w:id="124" w:name="_Toc10985"/>
      <w:bookmarkStart w:id="125" w:name="_Toc20587"/>
      <w:bookmarkStart w:id="126" w:name="_Toc5443"/>
      <w:bookmarkStart w:id="127" w:name="_Toc3333"/>
      <w:r>
        <w:rPr>
          <w:rFonts w:hint="eastAsia"/>
          <w:color w:val="000000" w:themeColor="text1"/>
          <w:highlight w:val="none"/>
          <w14:textFill>
            <w14:solidFill>
              <w14:schemeClr w14:val="tx1"/>
            </w14:solidFill>
          </w14:textFill>
        </w:rPr>
        <w:t>投标人须知正文</w:t>
      </w:r>
      <w:bookmarkEnd w:id="122"/>
      <w:bookmarkEnd w:id="123"/>
      <w:bookmarkEnd w:id="124"/>
      <w:bookmarkEnd w:id="125"/>
      <w:bookmarkEnd w:id="126"/>
      <w:bookmarkEnd w:id="127"/>
    </w:p>
    <w:p>
      <w:pPr>
        <w:pStyle w:val="6"/>
        <w:keepNext w:val="0"/>
        <w:keepLines w:val="0"/>
        <w:spacing w:line="400" w:lineRule="exact"/>
        <w:jc w:val="center"/>
        <w:rPr>
          <w:color w:val="000000" w:themeColor="text1"/>
          <w:highlight w:val="none"/>
          <w14:textFill>
            <w14:solidFill>
              <w14:schemeClr w14:val="tx1"/>
            </w14:solidFill>
          </w14:textFill>
        </w:rPr>
      </w:pPr>
      <w:bookmarkStart w:id="128" w:name="_Toc27406"/>
      <w:bookmarkStart w:id="129" w:name="_Toc516"/>
      <w:bookmarkStart w:id="130" w:name="_Toc7820"/>
      <w:bookmarkStart w:id="131" w:name="_Toc4372"/>
      <w:bookmarkStart w:id="132" w:name="_Toc20644"/>
      <w:bookmarkStart w:id="133" w:name="_Toc14493"/>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bookmarkEnd w:id="128"/>
      <w:bookmarkEnd w:id="129"/>
      <w:bookmarkEnd w:id="130"/>
      <w:bookmarkEnd w:id="131"/>
      <w:bookmarkEnd w:id="132"/>
      <w:bookmarkEnd w:id="133"/>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34" w:name="_Toc254970668"/>
      <w:bookmarkStart w:id="135" w:name="_Toc254970527"/>
      <w:r>
        <w:rPr>
          <w:rFonts w:ascii="黑体" w:hAnsi="黑体" w:eastAsia="黑体"/>
          <w:b/>
          <w:bCs/>
          <w:color w:val="000000" w:themeColor="text1"/>
          <w:sz w:val="24"/>
          <w:highlight w:val="none"/>
          <w14:textFill>
            <w14:solidFill>
              <w14:schemeClr w14:val="tx1"/>
            </w14:solidFill>
          </w14:textFill>
        </w:rPr>
        <w:t>1.适用范围</w:t>
      </w:r>
      <w:bookmarkEnd w:id="134"/>
      <w:bookmarkEnd w:id="135"/>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1.1适用法律：本项目</w:t>
      </w:r>
      <w:r>
        <w:rPr>
          <w:rFonts w:hint="eastAsia" w:ascii="宋体" w:hAnsi="宋体"/>
          <w:color w:val="000000" w:themeColor="text1"/>
          <w:szCs w:val="21"/>
          <w:highlight w:val="none"/>
          <w:lang w:eastAsia="zh-CN"/>
          <w14:textFill>
            <w14:solidFill>
              <w14:schemeClr w14:val="tx1"/>
            </w14:solidFill>
          </w14:textFill>
        </w:rPr>
        <w:t>项目实施机构</w:t>
      </w:r>
      <w:r>
        <w:rPr>
          <w:rFonts w:ascii="宋体" w:hAnsi="宋体"/>
          <w:color w:val="000000" w:themeColor="text1"/>
          <w:szCs w:val="21"/>
          <w:highlight w:val="none"/>
          <w14:textFill>
            <w14:solidFill>
              <w14:schemeClr w14:val="tx1"/>
            </w14:solidFill>
          </w14:textFill>
        </w:rPr>
        <w:t>、采购代理机构、投标人、评标委员会的相关行为均受《中华人民共和国政府采购法》、《中华人民共和国政府采购法实施条例》、</w:t>
      </w:r>
      <w:r>
        <w:rPr>
          <w:rFonts w:hint="eastAsia" w:ascii="宋体" w:hAnsi="宋体"/>
          <w:color w:val="000000" w:themeColor="text1"/>
          <w:szCs w:val="21"/>
          <w:highlight w:val="none"/>
          <w:lang w:eastAsia="zh-CN"/>
          <w14:textFill>
            <w14:solidFill>
              <w14:schemeClr w14:val="tx1"/>
            </w14:solidFill>
          </w14:textFill>
        </w:rPr>
        <w:t>《政府和社会资本合作项目政府采购管理办法》（财金〔2014〕215号）</w:t>
      </w:r>
      <w:r>
        <w:rPr>
          <w:rFonts w:ascii="宋体" w:hAnsi="宋体"/>
          <w:color w:val="000000" w:themeColor="text1"/>
          <w:szCs w:val="21"/>
          <w:highlight w:val="none"/>
          <w14:textFill>
            <w14:solidFill>
              <w14:schemeClr w14:val="tx1"/>
            </w14:solidFill>
          </w14:textFill>
        </w:rPr>
        <w:t>及本项目本级和上级财政部</w:t>
      </w:r>
      <w:r>
        <w:rPr>
          <w:rFonts w:hint="eastAsia" w:ascii="宋体" w:hAnsi="宋体"/>
          <w:color w:val="000000" w:themeColor="text1"/>
          <w:szCs w:val="21"/>
          <w:highlight w:val="none"/>
          <w14:textFill>
            <w14:solidFill>
              <w14:schemeClr w14:val="tx1"/>
            </w14:solidFill>
          </w14:textFill>
        </w:rPr>
        <w:t>门政府采购有关规定的约束和保护。</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36" w:name="_Toc254970669"/>
      <w:bookmarkStart w:id="137" w:name="_Toc254970528"/>
      <w:r>
        <w:rPr>
          <w:rFonts w:ascii="黑体" w:hAnsi="黑体" w:eastAsia="黑体"/>
          <w:b/>
          <w:bCs/>
          <w:color w:val="000000" w:themeColor="text1"/>
          <w:sz w:val="24"/>
          <w:highlight w:val="none"/>
          <w14:textFill>
            <w14:solidFill>
              <w14:schemeClr w14:val="tx1"/>
            </w14:solidFill>
          </w14:textFill>
        </w:rPr>
        <w:t>2.定义</w:t>
      </w:r>
      <w:bookmarkEnd w:id="136"/>
      <w:bookmarkEnd w:id="137"/>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2.1“</w:t>
      </w:r>
      <w:r>
        <w:rPr>
          <w:rFonts w:hint="eastAsia" w:ascii="宋体" w:hAnsi="宋体"/>
          <w:b/>
          <w:color w:val="000000" w:themeColor="text1"/>
          <w:szCs w:val="21"/>
          <w:highlight w:val="none"/>
          <w:lang w:eastAsia="zh-CN"/>
          <w14:textFill>
            <w14:solidFill>
              <w14:schemeClr w14:val="tx1"/>
            </w14:solidFill>
          </w14:textFill>
        </w:rPr>
        <w:t>项目实施机构</w:t>
      </w:r>
      <w:r>
        <w:rPr>
          <w:rFonts w:ascii="宋体" w:hAnsi="宋体"/>
          <w:b/>
          <w:color w:val="000000" w:themeColor="text1"/>
          <w:szCs w:val="21"/>
          <w:highlight w:val="none"/>
          <w14:textFill>
            <w14:solidFill>
              <w14:schemeClr w14:val="tx1"/>
            </w14:solidFill>
          </w14:textFill>
        </w:rPr>
        <w:t>”是指依法进行政府采购的国家机关、事业单位、团体组织。</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 xml:space="preserve">2.2“采购代理机构” </w:t>
      </w:r>
      <w:r>
        <w:rPr>
          <w:rFonts w:hint="eastAsia" w:ascii="宋体" w:hAnsi="宋体"/>
          <w:b/>
          <w:color w:val="000000" w:themeColor="text1"/>
          <w:szCs w:val="21"/>
          <w:highlight w:val="none"/>
          <w14:textFill>
            <w14:solidFill>
              <w14:schemeClr w14:val="tx1"/>
            </w14:solidFill>
          </w14:textFill>
        </w:rPr>
        <w:t>指政府采购集中采购机构和集中采购机构以外的采购代理机构。</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2.3“供应商”是指向</w:t>
      </w:r>
      <w:r>
        <w:rPr>
          <w:rFonts w:hint="eastAsia" w:ascii="宋体" w:hAnsi="宋体"/>
          <w:b/>
          <w:color w:val="000000" w:themeColor="text1"/>
          <w:szCs w:val="21"/>
          <w:highlight w:val="none"/>
          <w:lang w:eastAsia="zh-CN"/>
          <w14:textFill>
            <w14:solidFill>
              <w14:schemeClr w14:val="tx1"/>
            </w14:solidFill>
          </w14:textFill>
        </w:rPr>
        <w:t>项目实施机构</w:t>
      </w:r>
      <w:r>
        <w:rPr>
          <w:rFonts w:ascii="宋体" w:hAnsi="宋体"/>
          <w:b/>
          <w:color w:val="000000" w:themeColor="text1"/>
          <w:szCs w:val="21"/>
          <w:highlight w:val="none"/>
          <w14:textFill>
            <w14:solidFill>
              <w14:schemeClr w14:val="tx1"/>
            </w14:solidFill>
          </w14:textFill>
        </w:rPr>
        <w:t>提供货物、工程或者服务的法人、其他组织或者自然人。</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2.4“投标人”是指响应招标、参加投标竞争的法人、非法人组织或者自然人。</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2.5“服务”是指除货物和工程以外的其他政府采购对象。</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2.6</w:t>
      </w:r>
      <w:r>
        <w:rPr>
          <w:rFonts w:hint="eastAsia" w:ascii="宋体" w:hAnsi="宋体"/>
          <w:b/>
          <w:color w:val="000000" w:themeColor="text1"/>
          <w:szCs w:val="21"/>
          <w:highlight w:val="none"/>
          <w14:textFill>
            <w14:solidFill>
              <w14:schemeClr w14:val="tx1"/>
            </w14:solidFill>
          </w14:textFill>
        </w:rPr>
        <w:t>“书面形式”是指合同书、信件和数据电文（包括电报、电传、传真、电子数据交换和电子邮件）等可以有形地表现所载内容的形式。</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2.7</w:t>
      </w:r>
      <w:r>
        <w:rPr>
          <w:rFonts w:hint="eastAsia" w:ascii="宋体" w:hAnsi="宋体"/>
          <w:b/>
          <w:color w:val="000000" w:themeColor="text1"/>
          <w:szCs w:val="21"/>
          <w:highlight w:val="none"/>
          <w14:textFill>
            <w14:solidFill>
              <w14:schemeClr w14:val="tx1"/>
            </w14:solidFill>
          </w14:textFill>
        </w:rPr>
        <w:t>“实质性要求”是指招标文件中已经指明不满足则投标无效的条款，或者不能负偏离的条款，或者采购需求中带“</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”的条款。</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2.8</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w:t>
      </w:r>
      <w:r>
        <w:rPr>
          <w:rFonts w:hint="eastAsia" w:ascii="宋体" w:hAnsi="宋体" w:cs="宋体"/>
          <w:color w:val="000000" w:themeColor="text1"/>
          <w:szCs w:val="21"/>
          <w:highlight w:val="none"/>
          <w:lang w:eastAsia="zh-CN"/>
          <w14:textFill>
            <w14:solidFill>
              <w14:schemeClr w14:val="tx1"/>
            </w14:solidFill>
          </w14:textFill>
        </w:rPr>
        <w:t>项目实施机构</w:t>
      </w:r>
      <w:r>
        <w:rPr>
          <w:rFonts w:hint="eastAsia" w:ascii="宋体" w:hAnsi="宋体" w:cs="宋体"/>
          <w:color w:val="000000" w:themeColor="text1"/>
          <w:szCs w:val="21"/>
          <w:highlight w:val="none"/>
          <w14:textFill>
            <w14:solidFill>
              <w14:schemeClr w14:val="tx1"/>
            </w14:solidFill>
          </w14:textFill>
        </w:rPr>
        <w:t>的情形。</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“负偏离”，是指投标文件对招标文件“采购需求”中有关条款作出的响应不满足条款要求，导致</w:t>
      </w:r>
      <w:r>
        <w:rPr>
          <w:rFonts w:hint="eastAsia" w:ascii="宋体" w:hAnsi="宋体" w:cs="宋体"/>
          <w:color w:val="000000" w:themeColor="text1"/>
          <w:szCs w:val="21"/>
          <w:highlight w:val="none"/>
          <w:lang w:eastAsia="zh-CN"/>
          <w14:textFill>
            <w14:solidFill>
              <w14:schemeClr w14:val="tx1"/>
            </w14:solidFill>
          </w14:textFill>
        </w:rPr>
        <w:t>项目实施机构</w:t>
      </w:r>
      <w:r>
        <w:rPr>
          <w:rFonts w:hint="eastAsia" w:ascii="宋体" w:hAnsi="宋体" w:cs="宋体"/>
          <w:color w:val="000000" w:themeColor="text1"/>
          <w:szCs w:val="21"/>
          <w:highlight w:val="none"/>
          <w14:textFill>
            <w14:solidFill>
              <w14:schemeClr w14:val="tx1"/>
            </w14:solidFill>
          </w14:textFill>
        </w:rPr>
        <w:t>要求不能得到满足的情形。</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2.10</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bookmarkStart w:id="138" w:name="_Toc254970670"/>
      <w:bookmarkStart w:id="139" w:name="_Toc254970529"/>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3.</w:t>
      </w:r>
      <w:bookmarkEnd w:id="138"/>
      <w:bookmarkEnd w:id="139"/>
      <w:r>
        <w:rPr>
          <w:rFonts w:hint="eastAsia" w:ascii="黑体" w:hAnsi="黑体" w:eastAsia="黑体"/>
          <w:b/>
          <w:bCs/>
          <w:color w:val="000000" w:themeColor="text1"/>
          <w:sz w:val="24"/>
          <w:highlight w:val="none"/>
          <w14:textFill>
            <w14:solidFill>
              <w14:schemeClr w14:val="tx1"/>
            </w14:solidFill>
          </w14:textFill>
        </w:rPr>
        <w:t>投标人的资格要求</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40" w:name="_Toc254970671"/>
      <w:bookmarkStart w:id="141" w:name="_Toc254970530"/>
      <w:r>
        <w:rPr>
          <w:rFonts w:ascii="黑体" w:hAnsi="黑体" w:eastAsia="黑体"/>
          <w:b/>
          <w:bCs/>
          <w:color w:val="000000" w:themeColor="text1"/>
          <w:sz w:val="24"/>
          <w:highlight w:val="none"/>
          <w14:textFill>
            <w14:solidFill>
              <w14:schemeClr w14:val="tx1"/>
            </w14:solidFill>
          </w14:textFill>
        </w:rPr>
        <w:t>4.投标委托</w:t>
      </w:r>
      <w:bookmarkEnd w:id="140"/>
      <w:bookmarkEnd w:id="141"/>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投标人代表参加投标活动过程中必须携带个人有效身份证件。如投标人代表不是法定代表人，须持有法定代表人授权委托书（按第六章要求格式填写）。</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42" w:name="_5.投标费用"/>
      <w:bookmarkEnd w:id="142"/>
      <w:bookmarkStart w:id="143" w:name="_Toc254970672"/>
      <w:bookmarkStart w:id="144" w:name="_Toc254970531"/>
      <w:r>
        <w:rPr>
          <w:rFonts w:ascii="黑体" w:hAnsi="黑体" w:eastAsia="黑体"/>
          <w:b/>
          <w:bCs/>
          <w:color w:val="000000" w:themeColor="text1"/>
          <w:sz w:val="24"/>
          <w:highlight w:val="none"/>
          <w14:textFill>
            <w14:solidFill>
              <w14:schemeClr w14:val="tx1"/>
            </w14:solidFill>
          </w14:textFill>
        </w:rPr>
        <w:t>5.投标费用</w:t>
      </w:r>
      <w:bookmarkEnd w:id="143"/>
      <w:bookmarkEnd w:id="144"/>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6.联合体投标</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6.1本项目是否接受联合体投标，详见“投标人须知前附表”。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6.2如接受联合体投标，联合体投标要求详见“投标人须知前附表”。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Helvetica Neue"/>
          <w:color w:val="000000" w:themeColor="text1"/>
          <w:sz w:val="24"/>
          <w:highlight w:val="none"/>
          <w:shd w:val="clear" w:color="auto" w:fill="FFFFFF"/>
          <w14:textFill>
            <w14:solidFill>
              <w14:schemeClr w14:val="tx1"/>
            </w14:solidFill>
          </w14:textFill>
        </w:rPr>
      </w:pPr>
      <w:r>
        <w:rPr>
          <w:rFonts w:ascii="宋体" w:hAnsi="宋体"/>
          <w:bCs/>
          <w:color w:val="000000" w:themeColor="text1"/>
          <w:szCs w:val="21"/>
          <w:highlight w:val="none"/>
          <w14:textFill>
            <w14:solidFill>
              <w14:schemeClr w14:val="tx1"/>
            </w14:solidFill>
          </w14:textFill>
        </w:rPr>
        <w:t>6.3根据《政府采购促进中小企业发展管理办法》（财库[2020]46号）第九条</w:t>
      </w:r>
      <w:r>
        <w:rPr>
          <w:rFonts w:hint="eastAsia" w:ascii="宋体" w:hAnsi="宋体"/>
          <w:bCs/>
          <w:color w:val="000000" w:themeColor="text1"/>
          <w:szCs w:val="21"/>
          <w:highlight w:val="none"/>
          <w:lang w:eastAsia="zh-CN"/>
          <w14:textFill>
            <w14:solidFill>
              <w14:schemeClr w14:val="tx1"/>
            </w14:solidFill>
          </w14:textFill>
        </w:rPr>
        <w:t>及桂财采〔2022〕31号 广西壮族自治区财政厅关于贯彻落实政府采购支持中小企业发展政策的通知</w:t>
      </w:r>
      <w:r>
        <w:rPr>
          <w:rFonts w:hint="eastAsia" w:ascii="宋体" w:hAnsi="宋体"/>
          <w:bCs/>
          <w:color w:val="000000" w:themeColor="text1"/>
          <w:szCs w:val="21"/>
          <w:highlight w:val="none"/>
          <w14:textFill>
            <w14:solidFill>
              <w14:schemeClr w14:val="tx1"/>
            </w14:solidFill>
          </w14:textFill>
        </w:rPr>
        <w:t>规定，</w:t>
      </w:r>
      <w:r>
        <w:rPr>
          <w:rFonts w:ascii="宋体" w:hAnsi="宋体"/>
          <w:bCs/>
          <w:color w:val="000000" w:themeColor="text1"/>
          <w:szCs w:val="21"/>
          <w:highlight w:val="none"/>
          <w14:textFill>
            <w14:solidFill>
              <w14:schemeClr w14:val="tx1"/>
            </w14:solidFill>
          </w14:textFill>
        </w:rPr>
        <w:t>接受大中型企业与小微企业组成联合体的采购项目，对于联合协议约定小微企业的合同份额占到合同总金额 30%以上的，</w:t>
      </w:r>
      <w:r>
        <w:rPr>
          <w:rFonts w:hint="eastAsia" w:ascii="宋体" w:hAnsi="宋体"/>
          <w:bCs/>
          <w:color w:val="000000" w:themeColor="text1"/>
          <w:szCs w:val="21"/>
          <w:highlight w:val="none"/>
          <w:lang w:eastAsia="zh-CN"/>
          <w14:textFill>
            <w14:solidFill>
              <w14:schemeClr w14:val="tx1"/>
            </w14:solidFill>
          </w14:textFill>
        </w:rPr>
        <w:t>项目实施机构</w:t>
      </w:r>
      <w:r>
        <w:rPr>
          <w:rFonts w:ascii="宋体" w:hAnsi="宋体"/>
          <w:bCs/>
          <w:color w:val="000000" w:themeColor="text1"/>
          <w:szCs w:val="21"/>
          <w:highlight w:val="none"/>
          <w14:textFill>
            <w14:solidFill>
              <w14:schemeClr w14:val="tx1"/>
            </w14:solidFill>
          </w14:textFill>
        </w:rPr>
        <w:t>、采购代理机构应当对联合体的报价给予</w:t>
      </w:r>
      <w:r>
        <w:rPr>
          <w:rFonts w:hint="eastAsia" w:ascii="宋体" w:hAnsi="宋体"/>
          <w:bCs/>
          <w:color w:val="000000" w:themeColor="text1"/>
          <w:szCs w:val="21"/>
          <w:highlight w:val="none"/>
          <w:lang w:val="en-US" w:eastAsia="zh-CN"/>
          <w14:textFill>
            <w14:solidFill>
              <w14:schemeClr w14:val="tx1"/>
            </w14:solidFill>
          </w14:textFill>
        </w:rPr>
        <w:t>4</w:t>
      </w:r>
      <w:r>
        <w:rPr>
          <w:rFonts w:ascii="宋体" w:hAnsi="宋体"/>
          <w:bCs/>
          <w:color w:val="000000" w:themeColor="text1"/>
          <w:szCs w:val="21"/>
          <w:highlight w:val="none"/>
          <w14:textFill>
            <w14:solidFill>
              <w14:schemeClr w14:val="tx1"/>
            </w14:solidFill>
          </w14:textFill>
        </w:rPr>
        <w:t>%的扣除，用扣除后的价格参加评审。组成联合体的小微企业与联合体内其他企业、分包企业之间存在直接控股、管理关系的，不享受价格扣除优惠政策。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 xml:space="preserve">7.转包与分包  </w:t>
      </w:r>
      <w:r>
        <w:rPr>
          <w:rFonts w:ascii="黑体" w:hAnsi="黑体" w:eastAsia="黑体"/>
          <w:color w:val="000000" w:themeColor="text1"/>
          <w:sz w:val="24"/>
          <w:highlight w:val="none"/>
          <w14:textFill>
            <w14:solidFill>
              <w14:schemeClr w14:val="tx1"/>
            </w14:solidFill>
          </w14:textFill>
        </w:rPr>
        <w:t xml:space="preserve">           </w:t>
      </w:r>
    </w:p>
    <w:p>
      <w:pPr>
        <w:pStyle w:val="8"/>
        <w:keepNext w:val="0"/>
        <w:keepLines w:val="0"/>
        <w:pageBreakBefore w:val="0"/>
        <w:widowControl w:val="0"/>
        <w:kinsoku/>
        <w:wordWrap/>
        <w:overflowPunct/>
        <w:topLinePunct w:val="0"/>
        <w:autoSpaceDE/>
        <w:autoSpaceDN/>
        <w:bidi w:val="0"/>
        <w:adjustRightInd/>
        <w:spacing w:before="0" w:after="0" w:line="440" w:lineRule="exact"/>
        <w:ind w:left="420" w:left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7.1本项目不允许转包。</w:t>
      </w:r>
    </w:p>
    <w:p>
      <w:pPr>
        <w:pStyle w:val="8"/>
        <w:keepNext w:val="0"/>
        <w:keepLines w:val="0"/>
        <w:pageBreakBefore w:val="0"/>
        <w:widowControl w:val="0"/>
        <w:kinsoku/>
        <w:wordWrap/>
        <w:overflowPunct/>
        <w:topLinePunct w:val="0"/>
        <w:autoSpaceDE/>
        <w:autoSpaceDN/>
        <w:bidi w:val="0"/>
        <w:adjustRightInd/>
        <w:spacing w:before="0" w:after="0" w:line="440" w:lineRule="exact"/>
        <w:ind w:firstLine="315" w:firstLineChars="15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8"/>
        <w:keepNext w:val="0"/>
        <w:keepLines w:val="0"/>
        <w:pageBreakBefore w:val="0"/>
        <w:widowControl w:val="0"/>
        <w:kinsoku/>
        <w:wordWrap/>
        <w:overflowPunct/>
        <w:topLinePunct w:val="0"/>
        <w:autoSpaceDE/>
        <w:autoSpaceDN/>
        <w:bidi w:val="0"/>
        <w:adjustRightInd/>
        <w:spacing w:before="0" w:after="0" w:line="440" w:lineRule="exact"/>
        <w:ind w:firstLine="315" w:firstLineChars="15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45" w:name="_Toc254970673"/>
      <w:bookmarkStart w:id="146" w:name="_Toc254970532"/>
      <w:r>
        <w:rPr>
          <w:rFonts w:ascii="黑体" w:hAnsi="黑体" w:eastAsia="黑体"/>
          <w:b/>
          <w:bCs/>
          <w:color w:val="000000" w:themeColor="text1"/>
          <w:sz w:val="24"/>
          <w:highlight w:val="none"/>
          <w14:textFill>
            <w14:solidFill>
              <w14:schemeClr w14:val="tx1"/>
            </w14:solidFill>
          </w14:textFill>
        </w:rPr>
        <w:t>8.特别说明：</w:t>
      </w:r>
      <w:bookmarkEnd w:id="145"/>
      <w:bookmarkEnd w:id="146"/>
      <w:bookmarkStart w:id="147" w:name="_8.1提供相同品牌产品且通过资格审查、符合性审查的不同投标人参加同一合"/>
      <w:bookmarkEnd w:id="147"/>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8.1</w:t>
      </w:r>
      <w:r>
        <w:rPr>
          <w:rFonts w:hint="eastAsia" w:ascii="宋体" w:hAnsi="宋体"/>
          <w:b/>
          <w:color w:val="000000" w:themeColor="text1"/>
          <w:szCs w:val="21"/>
          <w:highlight w:val="none"/>
          <w14:textFill>
            <w14:solidFill>
              <w14:schemeClr w14:val="tx1"/>
            </w14:solidFill>
          </w14:textFill>
        </w:rPr>
        <w:t>如果本招标文件要求投标人提供资格、信誉、荣誉、业绩与企业认证等材料的，则投标人所提供的以上材料必须为投标人所拥有。</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8.2</w:t>
      </w:r>
      <w:r>
        <w:rPr>
          <w:rFonts w:hint="eastAsia" w:ascii="宋体" w:hAnsi="宋体"/>
          <w:b/>
          <w:color w:val="000000" w:themeColor="text1"/>
          <w:szCs w:val="21"/>
          <w:highlight w:val="none"/>
          <w14:textFill>
            <w14:solidFill>
              <w14:schemeClr w14:val="tx1"/>
            </w14:solidFill>
          </w14:textFill>
        </w:rPr>
        <w:t>投标人应仔细阅读招标文件的所有内容，按照招标文件的要求提交投标文件，并对所提供的全部资料的真实性承担法律责任。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8.3</w:t>
      </w:r>
      <w:r>
        <w:rPr>
          <w:rFonts w:hint="eastAsia" w:ascii="宋体" w:hAnsi="宋体"/>
          <w:b/>
          <w:color w:val="000000" w:themeColor="text1"/>
          <w:szCs w:val="21"/>
          <w:highlight w:val="none"/>
          <w14:textFill>
            <w14:solidFill>
              <w14:schemeClr w14:val="tx1"/>
            </w14:solidFill>
          </w14:textFill>
        </w:rPr>
        <w:t>投标人在投标活动中提供任何虚假材料，将报监管部门查处；中标后发现的，中标人须依照《中华人民共和国消费者权益保护法》规定赔偿</w:t>
      </w:r>
      <w:r>
        <w:rPr>
          <w:rFonts w:hint="eastAsia" w:ascii="宋体" w:hAnsi="宋体"/>
          <w:b/>
          <w:color w:val="000000" w:themeColor="text1"/>
          <w:szCs w:val="21"/>
          <w:highlight w:val="none"/>
          <w:lang w:eastAsia="zh-CN"/>
          <w14:textFill>
            <w14:solidFill>
              <w14:schemeClr w14:val="tx1"/>
            </w14:solidFill>
          </w14:textFill>
        </w:rPr>
        <w:t>项目实施机构</w:t>
      </w:r>
      <w:r>
        <w:rPr>
          <w:rFonts w:hint="eastAsia" w:ascii="宋体" w:hAnsi="宋体"/>
          <w:b/>
          <w:color w:val="000000" w:themeColor="text1"/>
          <w:szCs w:val="21"/>
          <w:highlight w:val="none"/>
          <w14:textFill>
            <w14:solidFill>
              <w14:schemeClr w14:val="tx1"/>
            </w14:solidFill>
          </w14:textFill>
        </w:rPr>
        <w:t>，且民事赔偿并不免除违法投标人的行政与刑事责任。</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9.</w:t>
      </w:r>
      <w:r>
        <w:rPr>
          <w:rFonts w:hint="eastAsia" w:ascii="黑体" w:hAnsi="黑体" w:eastAsia="黑体"/>
          <w:b/>
          <w:bCs/>
          <w:color w:val="000000" w:themeColor="text1"/>
          <w:sz w:val="24"/>
          <w:highlight w:val="none"/>
          <w14:textFill>
            <w14:solidFill>
              <w14:schemeClr w14:val="tx1"/>
            </w14:solidFill>
          </w14:textFill>
        </w:rPr>
        <w:t>回避与串通投标</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9.1在政府采购活动中，</w:t>
      </w:r>
      <w:r>
        <w:rPr>
          <w:rFonts w:hint="eastAsia" w:ascii="宋体" w:hAnsi="宋体"/>
          <w:b/>
          <w:color w:val="000000" w:themeColor="text1"/>
          <w:szCs w:val="21"/>
          <w:highlight w:val="none"/>
          <w:lang w:eastAsia="zh-CN"/>
          <w14:textFill>
            <w14:solidFill>
              <w14:schemeClr w14:val="tx1"/>
            </w14:solidFill>
          </w14:textFill>
        </w:rPr>
        <w:t>项目实施机构</w:t>
      </w:r>
      <w:r>
        <w:rPr>
          <w:rFonts w:ascii="宋体" w:hAnsi="宋体"/>
          <w:b/>
          <w:color w:val="000000" w:themeColor="text1"/>
          <w:szCs w:val="21"/>
          <w:highlight w:val="none"/>
          <w14:textFill>
            <w14:solidFill>
              <w14:schemeClr w14:val="tx1"/>
            </w14:solidFill>
          </w14:textFill>
        </w:rPr>
        <w:t>员及相关人员与</w:t>
      </w:r>
      <w:r>
        <w:rPr>
          <w:rFonts w:hint="eastAsia" w:ascii="宋体" w:hAnsi="宋体"/>
          <w:b/>
          <w:color w:val="000000" w:themeColor="text1"/>
          <w:szCs w:val="21"/>
          <w:highlight w:val="none"/>
          <w14:textFill>
            <w14:solidFill>
              <w14:schemeClr w14:val="tx1"/>
            </w14:solidFill>
          </w14:textFill>
        </w:rPr>
        <w:t>供应商</w:t>
      </w:r>
      <w:r>
        <w:rPr>
          <w:rFonts w:ascii="宋体" w:hAnsi="宋体"/>
          <w:b/>
          <w:color w:val="000000" w:themeColor="text1"/>
          <w:szCs w:val="21"/>
          <w:highlight w:val="none"/>
          <w14:textFill>
            <w14:solidFill>
              <w14:schemeClr w14:val="tx1"/>
            </w14:solidFill>
          </w14:textFill>
        </w:rPr>
        <w:t>有下列利害关系之一的，应当回避：</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（1）参加采购活动前3年内与</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存在劳动关系；</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（2）参加采购活动前3年内担任</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的董事、监事；</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（3）参加采购活动前3年内是</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的控股股东或者实际控制人；</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（4）与</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的法定代表人或者负责人有夫妻、直系血亲、三代以内旁系血亲或者近姻亲关系；</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（5）与</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有其他可能影响政府采购活动公平、公正进行的关系。</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认为</w:t>
      </w:r>
      <w:r>
        <w:rPr>
          <w:rFonts w:hint="eastAsia" w:hAnsi="宋体"/>
          <w:color w:val="000000" w:themeColor="text1"/>
          <w:highlight w:val="none"/>
          <w:lang w:eastAsia="zh-CN"/>
          <w14:textFill>
            <w14:solidFill>
              <w14:schemeClr w14:val="tx1"/>
            </w14:solidFill>
          </w14:textFill>
        </w:rPr>
        <w:t>项目实施机构</w:t>
      </w:r>
      <w:r>
        <w:rPr>
          <w:rFonts w:hAnsi="宋体"/>
          <w:color w:val="000000" w:themeColor="text1"/>
          <w:highlight w:val="none"/>
          <w14:textFill>
            <w14:solidFill>
              <w14:schemeClr w14:val="tx1"/>
            </w14:solidFill>
          </w14:textFill>
        </w:rPr>
        <w:t>员及相关人员与其他</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有利害关系的，可以向</w:t>
      </w:r>
      <w:r>
        <w:rPr>
          <w:rFonts w:hint="eastAsia" w:hAnsi="宋体"/>
          <w:color w:val="000000" w:themeColor="text1"/>
          <w:highlight w:val="none"/>
          <w:lang w:eastAsia="zh-CN"/>
          <w14:textFill>
            <w14:solidFill>
              <w14:schemeClr w14:val="tx1"/>
            </w14:solidFill>
          </w14:textFill>
        </w:rPr>
        <w:t>项目实施机构</w:t>
      </w:r>
      <w:r>
        <w:rPr>
          <w:rFonts w:hAnsi="宋体"/>
          <w:color w:val="000000" w:themeColor="text1"/>
          <w:highlight w:val="none"/>
          <w14:textFill>
            <w14:solidFill>
              <w14:schemeClr w14:val="tx1"/>
            </w14:solidFill>
          </w14:textFill>
        </w:rPr>
        <w:t>或者采购代理机构书面提出回避申请，并说明理由。</w:t>
      </w:r>
      <w:r>
        <w:rPr>
          <w:rFonts w:hint="eastAsia" w:hAnsi="宋体"/>
          <w:color w:val="000000" w:themeColor="text1"/>
          <w:highlight w:val="none"/>
          <w:lang w:eastAsia="zh-CN"/>
          <w14:textFill>
            <w14:solidFill>
              <w14:schemeClr w14:val="tx1"/>
            </w14:solidFill>
          </w14:textFill>
        </w:rPr>
        <w:t>项目实施机构</w:t>
      </w:r>
      <w:r>
        <w:rPr>
          <w:rFonts w:hAnsi="宋体"/>
          <w:color w:val="000000" w:themeColor="text1"/>
          <w:highlight w:val="none"/>
          <w14:textFill>
            <w14:solidFill>
              <w14:schemeClr w14:val="tx1"/>
            </w14:solidFill>
          </w14:textFill>
        </w:rPr>
        <w:t>或者采购代理机构应当及时询问被申请回避人员，有利害关系的被申请回避人员应当回避。</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w:t>
      </w:r>
      <w:r>
        <w:rPr>
          <w:rFonts w:hint="eastAsia" w:ascii="宋体" w:hAnsi="宋体"/>
          <w:color w:val="000000" w:themeColor="text1"/>
          <w:szCs w:val="21"/>
          <w:highlight w:val="none"/>
          <w14:textFill>
            <w14:solidFill>
              <w14:schemeClr w14:val="tx1"/>
            </w14:solidFill>
          </w14:textFill>
        </w:rPr>
        <w:t>有下列情形之一的视为投标人相互串通投标，投标文件将被视为无效：</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pPr>
        <w:pStyle w:val="15"/>
        <w:keepNext w:val="0"/>
        <w:keepLines w:val="0"/>
        <w:pageBreakBefore w:val="0"/>
        <w:widowControl w:val="0"/>
        <w:kinsoku/>
        <w:wordWrap/>
        <w:overflowPunct/>
        <w:topLinePunct w:val="0"/>
        <w:autoSpaceDE/>
        <w:autoSpaceDN/>
        <w:bidi w:val="0"/>
        <w:adjustRightInd/>
        <w:snapToGrid w:val="0"/>
        <w:spacing w:line="440" w:lineRule="exact"/>
        <w:ind w:left="2" w:leftChars="1" w:firstLine="422" w:firstLineChars="200"/>
        <w:textAlignment w:val="auto"/>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pPr>
        <w:pStyle w:val="15"/>
        <w:keepNext w:val="0"/>
        <w:keepLines w:val="0"/>
        <w:pageBreakBefore w:val="0"/>
        <w:widowControl w:val="0"/>
        <w:kinsoku/>
        <w:wordWrap/>
        <w:overflowPunct/>
        <w:topLinePunct w:val="0"/>
        <w:autoSpaceDE/>
        <w:autoSpaceDN/>
        <w:bidi w:val="0"/>
        <w:adjustRightInd/>
        <w:snapToGrid w:val="0"/>
        <w:spacing w:line="440" w:lineRule="exact"/>
        <w:ind w:left="2" w:leftChars="1" w:firstLine="422" w:firstLineChars="200"/>
        <w:textAlignment w:val="auto"/>
        <w:rPr>
          <w:rFonts w:hint="eastAsia" w:hAnsi="宋体"/>
          <w:b/>
          <w:color w:val="000000" w:themeColor="text1"/>
          <w:kern w:val="2"/>
          <w:sz w:val="21"/>
          <w:highlight w:val="none"/>
          <w14:textFill>
            <w14:solidFill>
              <w14:schemeClr w14:val="tx1"/>
            </w14:solidFill>
          </w14:textFill>
        </w:rPr>
      </w:pPr>
      <w:r>
        <w:rPr>
          <w:rFonts w:hint="eastAsia" w:hAnsi="宋体"/>
          <w:b/>
          <w:color w:val="000000" w:themeColor="text1"/>
          <w:kern w:val="2"/>
          <w:sz w:val="21"/>
          <w:highlight w:val="none"/>
          <w14:textFill>
            <w14:solidFill>
              <w14:schemeClr w14:val="tx1"/>
            </w14:solidFill>
          </w14:textFill>
        </w:rPr>
        <w:t>（6）不同投标人的投标保证金从同一单位或者个人账户转出。</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9.3</w:t>
      </w:r>
      <w:r>
        <w:rPr>
          <w:rFonts w:hint="eastAsia" w:ascii="宋体" w:hAnsi="宋体"/>
          <w:color w:val="000000" w:themeColor="text1"/>
          <w:szCs w:val="21"/>
          <w:highlight w:val="none"/>
          <w14:textFill>
            <w14:solidFill>
              <w14:schemeClr w14:val="tx1"/>
            </w14:solidFill>
          </w14:textFill>
        </w:rPr>
        <w:t>供应商有下列情形之一的，属于恶意串通行为，将报同级监督管理部门：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或者采购代理机构处获得其他供应商的相关信息并修改其投标文件或者投标文件；</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或者采购代理机构的授意撤换、修改投标文件或者投标文件；</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或者采购代理机构之间、供应商相互之间，为谋求特定供应商中标或者排斥其他供应商的其他串通行为。</w:t>
      </w:r>
    </w:p>
    <w:p>
      <w:pPr>
        <w:pStyle w:val="15"/>
        <w:keepNext w:val="0"/>
        <w:keepLines w:val="0"/>
        <w:pageBreakBefore w:val="0"/>
        <w:widowControl w:val="0"/>
        <w:kinsoku/>
        <w:wordWrap/>
        <w:overflowPunct/>
        <w:topLinePunct w:val="0"/>
        <w:autoSpaceDE/>
        <w:autoSpaceDN/>
        <w:bidi w:val="0"/>
        <w:adjustRightInd/>
        <w:snapToGrid w:val="0"/>
        <w:spacing w:line="440" w:lineRule="exact"/>
        <w:ind w:left="2" w:leftChars="1" w:firstLine="422" w:firstLineChars="200"/>
        <w:textAlignment w:val="auto"/>
        <w:rPr>
          <w:rFonts w:hAnsi="宋体"/>
          <w:b/>
          <w:color w:val="000000" w:themeColor="text1"/>
          <w:highlight w:val="none"/>
          <w14:textFill>
            <w14:solidFill>
              <w14:schemeClr w14:val="tx1"/>
            </w14:solidFill>
          </w14:textFill>
        </w:rPr>
      </w:pPr>
    </w:p>
    <w:p>
      <w:pPr>
        <w:pStyle w:val="6"/>
        <w:keepNext w:val="0"/>
        <w:keepLines w:val="0"/>
        <w:spacing w:line="400" w:lineRule="exact"/>
        <w:jc w:val="center"/>
        <w:rPr>
          <w:color w:val="000000" w:themeColor="text1"/>
          <w:highlight w:val="none"/>
          <w14:textFill>
            <w14:solidFill>
              <w14:schemeClr w14:val="tx1"/>
            </w14:solidFill>
          </w14:textFill>
        </w:rPr>
      </w:pPr>
      <w:bookmarkStart w:id="148" w:name="_Toc22460"/>
      <w:bookmarkStart w:id="149" w:name="_Toc254970675"/>
      <w:bookmarkStart w:id="150" w:name="_Toc17031"/>
      <w:bookmarkStart w:id="151" w:name="_Toc27510"/>
      <w:bookmarkStart w:id="152" w:name="_Toc20898"/>
      <w:bookmarkStart w:id="153" w:name="_Toc254970534"/>
      <w:bookmarkStart w:id="154" w:name="_Toc3977"/>
      <w:bookmarkStart w:id="155" w:name="_Toc29688"/>
      <w:r>
        <w:rPr>
          <w:rFonts w:hint="eastAsia"/>
          <w:color w:val="000000" w:themeColor="text1"/>
          <w:highlight w:val="none"/>
          <w14:textFill>
            <w14:solidFill>
              <w14:schemeClr w14:val="tx1"/>
            </w14:solidFill>
          </w14:textFill>
        </w:rPr>
        <w:t>二、招标文件</w:t>
      </w:r>
      <w:bookmarkEnd w:id="148"/>
      <w:bookmarkEnd w:id="149"/>
      <w:bookmarkEnd w:id="150"/>
      <w:bookmarkEnd w:id="151"/>
      <w:bookmarkEnd w:id="152"/>
      <w:bookmarkEnd w:id="153"/>
      <w:bookmarkEnd w:id="154"/>
      <w:bookmarkEnd w:id="155"/>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10.招标文件的组成</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招标公告；</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第二章</w:t>
      </w:r>
      <w:r>
        <w:rPr>
          <w:rFonts w:ascii="宋体" w:hAnsi="宋体"/>
          <w:color w:val="000000" w:themeColor="text1"/>
          <w:szCs w:val="21"/>
          <w:highlight w:val="none"/>
          <w14:textFill>
            <w14:solidFill>
              <w14:schemeClr w14:val="tx1"/>
            </w14:solidFill>
          </w14:textFill>
        </w:rPr>
        <w:t xml:space="preserve"> 采购需求； </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投标人须知；</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评标方法及评标标准；</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拟签订的合同文本；</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投标文件格式；</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质疑、投诉材料格式</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 xml:space="preserve">11.招标文件的澄清、修改 </w:t>
      </w:r>
      <w:r>
        <w:rPr>
          <w:rFonts w:hint="eastAsia" w:ascii="黑体" w:hAnsi="黑体" w:eastAsia="黑体"/>
          <w:b/>
          <w:bCs/>
          <w:color w:val="000000" w:themeColor="text1"/>
          <w:sz w:val="24"/>
          <w:highlight w:val="none"/>
          <w14:textFill>
            <w14:solidFill>
              <w14:schemeClr w14:val="tx1"/>
            </w14:solidFill>
          </w14:textFill>
        </w:rPr>
        <w:t>、现场考察和答疑会</w:t>
      </w:r>
    </w:p>
    <w:p>
      <w:pPr>
        <w:keepNext w:val="0"/>
        <w:keepLines w:val="0"/>
        <w:pageBreakBefore w:val="0"/>
        <w:widowControl w:val="0"/>
        <w:kinsoku/>
        <w:wordWrap/>
        <w:overflowPunct/>
        <w:topLinePunct w:val="0"/>
        <w:autoSpaceDE/>
        <w:autoSpaceDN/>
        <w:bidi w:val="0"/>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 xml:space="preserve"> 11.1</w:t>
      </w:r>
      <w:r>
        <w:rPr>
          <w:rFonts w:hint="eastAsia" w:ascii="宋体" w:hAnsi="宋体"/>
          <w:b/>
          <w:color w:val="000000" w:themeColor="text1"/>
          <w:szCs w:val="21"/>
          <w:highlight w:val="none"/>
          <w:lang w:eastAsia="zh-CN"/>
          <w14:textFill>
            <w14:solidFill>
              <w14:schemeClr w14:val="tx1"/>
            </w14:solidFill>
          </w14:textFill>
        </w:rPr>
        <w:t>项目实施机构</w:t>
      </w:r>
      <w:r>
        <w:rPr>
          <w:rFonts w:ascii="宋体" w:hAnsi="宋体"/>
          <w:b/>
          <w:color w:val="000000" w:themeColor="text1"/>
          <w:szCs w:val="21"/>
          <w:highlight w:val="none"/>
          <w14:textFill>
            <w14:solidFill>
              <w14:schemeClr w14:val="tx1"/>
            </w14:solidFill>
          </w14:textFill>
        </w:rPr>
        <w:t>或者采购代理机构可以对已发出的招标文件进行必要的澄清或者修改，但不得改变采购标的和资格条件。澄清或者修改应当在原公告发布媒体上发布澄清公告。澄清或者修改的内容为招标文件的组成部分。</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或采购代理机构对招标文件予以澄清；否则，由此产生的后果由投标人自行负责。</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澄清或者修改的内容可能影响投标文件编制的，</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或者采购代理机构应当在投标截止时间至少15日前，以书面形式通知所有获取招标文件的潜在投标人；不足15日的，</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或者采购代理机构应当顺延提交投标文件的截止时间。</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lang w:eastAsia="zh-CN"/>
          <w14:textFill>
            <w14:solidFill>
              <w14:schemeClr w14:val="tx1"/>
            </w14:solidFill>
          </w14:textFill>
        </w:rPr>
        <w:t>项目实施机构</w:t>
      </w:r>
      <w:r>
        <w:rPr>
          <w:rFonts w:hint="eastAsia"/>
          <w:color w:val="000000" w:themeColor="text1"/>
          <w:highlight w:val="none"/>
          <w14:textFill>
            <w14:solidFill>
              <w14:schemeClr w14:val="tx1"/>
            </w14:solidFill>
          </w14:textFill>
        </w:rPr>
        <w:t>和采购代理机构可以视采购具体情况，变更投标截止时间和开标时间，将变更时间将在</w:t>
      </w:r>
      <w:r>
        <w:rPr>
          <w:rFonts w:ascii="宋体" w:hAnsi="宋体"/>
          <w:color w:val="000000" w:themeColor="text1"/>
          <w:szCs w:val="21"/>
          <w:highlight w:val="none"/>
          <w14:textFill>
            <w14:solidFill>
              <w14:schemeClr w14:val="tx1"/>
            </w14:solidFill>
          </w14:textFill>
        </w:rPr>
        <w:t>在原公告发布媒体</w:t>
      </w:r>
      <w:r>
        <w:rPr>
          <w:rFonts w:hint="eastAsia" w:cs="宋体"/>
          <w:color w:val="000000" w:themeColor="text1"/>
          <w:kern w:val="0"/>
          <w:szCs w:val="21"/>
          <w:highlight w:val="none"/>
          <w14:textFill>
            <w14:solidFill>
              <w14:schemeClr w14:val="tx1"/>
            </w14:solidFill>
          </w14:textFill>
        </w:rPr>
        <w:t>上</w:t>
      </w:r>
      <w:r>
        <w:rPr>
          <w:rFonts w:hint="eastAsia"/>
          <w:color w:val="000000" w:themeColor="text1"/>
          <w:highlight w:val="none"/>
          <w14:textFill>
            <w14:solidFill>
              <w14:schemeClr w14:val="tx1"/>
            </w14:solidFill>
          </w14:textFill>
        </w:rPr>
        <w:t>发布更正公告。</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156"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或者采购代理机构可以在招标文件提供期限截止后，组织已获取招标文件的潜在投标人现场考察或者召开开标前答疑会，具体详见“投标人须知前附表”。</w:t>
      </w:r>
    </w:p>
    <w:bookmarkEnd w:id="156"/>
    <w:p>
      <w:pPr>
        <w:pStyle w:val="6"/>
        <w:keepNext w:val="0"/>
        <w:keepLines w:val="0"/>
        <w:pageBreakBefore w:val="0"/>
        <w:widowControl w:val="0"/>
        <w:kinsoku/>
        <w:wordWrap/>
        <w:overflowPunct/>
        <w:topLinePunct w:val="0"/>
        <w:autoSpaceDE/>
        <w:autoSpaceDN/>
        <w:bidi w:val="0"/>
        <w:spacing w:line="440" w:lineRule="exact"/>
        <w:jc w:val="center"/>
        <w:textAlignment w:val="auto"/>
        <w:rPr>
          <w:rFonts w:hint="eastAsia"/>
          <w:color w:val="000000" w:themeColor="text1"/>
          <w:highlight w:val="none"/>
          <w14:textFill>
            <w14:solidFill>
              <w14:schemeClr w14:val="tx1"/>
            </w14:solidFill>
          </w14:textFill>
        </w:rPr>
      </w:pPr>
      <w:bookmarkStart w:id="157" w:name="_Toc385"/>
      <w:bookmarkStart w:id="158" w:name="_Toc254970676"/>
      <w:bookmarkStart w:id="159" w:name="_Toc254970535"/>
    </w:p>
    <w:p>
      <w:pPr>
        <w:pStyle w:val="6"/>
        <w:keepNext w:val="0"/>
        <w:keepLines w:val="0"/>
        <w:pageBreakBefore w:val="0"/>
        <w:widowControl w:val="0"/>
        <w:kinsoku/>
        <w:wordWrap/>
        <w:overflowPunct/>
        <w:topLinePunct w:val="0"/>
        <w:autoSpaceDE/>
        <w:autoSpaceDN/>
        <w:bidi w:val="0"/>
        <w:spacing w:line="440" w:lineRule="exact"/>
        <w:jc w:val="center"/>
        <w:textAlignment w:val="auto"/>
        <w:rPr>
          <w:color w:val="000000" w:themeColor="text1"/>
          <w:highlight w:val="none"/>
          <w14:textFill>
            <w14:solidFill>
              <w14:schemeClr w14:val="tx1"/>
            </w14:solidFill>
          </w14:textFill>
        </w:rPr>
      </w:pPr>
      <w:bookmarkStart w:id="160" w:name="_Toc26215"/>
      <w:bookmarkStart w:id="161" w:name="_Toc21124"/>
      <w:bookmarkStart w:id="162" w:name="_Toc9926"/>
      <w:bookmarkStart w:id="163" w:name="_Toc4509"/>
      <w:bookmarkStart w:id="164" w:name="_Toc5117"/>
      <w:r>
        <w:rPr>
          <w:rFonts w:hint="eastAsia"/>
          <w:color w:val="000000" w:themeColor="text1"/>
          <w:highlight w:val="none"/>
          <w14:textFill>
            <w14:solidFill>
              <w14:schemeClr w14:val="tx1"/>
            </w14:solidFill>
          </w14:textFill>
        </w:rPr>
        <w:t>三、投标文件的编制</w:t>
      </w:r>
      <w:bookmarkEnd w:id="157"/>
      <w:bookmarkEnd w:id="158"/>
      <w:bookmarkEnd w:id="159"/>
      <w:bookmarkEnd w:id="160"/>
      <w:bookmarkEnd w:id="161"/>
      <w:bookmarkEnd w:id="162"/>
      <w:bookmarkEnd w:id="163"/>
      <w:bookmarkEnd w:id="164"/>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65" w:name="_Toc254970536"/>
      <w:bookmarkStart w:id="166" w:name="_Toc254970677"/>
      <w:r>
        <w:rPr>
          <w:rFonts w:ascii="黑体" w:hAnsi="黑体" w:eastAsia="黑体"/>
          <w:b/>
          <w:bCs/>
          <w:color w:val="000000" w:themeColor="text1"/>
          <w:sz w:val="24"/>
          <w:highlight w:val="none"/>
          <w14:textFill>
            <w14:solidFill>
              <w14:schemeClr w14:val="tx1"/>
            </w14:solidFill>
          </w14:textFill>
        </w:rPr>
        <w:t>12.投标文件的编制原则</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13.投标文件的组成</w:t>
      </w:r>
      <w:bookmarkEnd w:id="165"/>
      <w:bookmarkEnd w:id="166"/>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13.1</w:t>
      </w:r>
      <w:r>
        <w:rPr>
          <w:rFonts w:hint="eastAsia" w:ascii="宋体" w:hAnsi="宋体"/>
          <w:color w:val="000000" w:themeColor="text1"/>
          <w:szCs w:val="21"/>
          <w:highlight w:val="none"/>
          <w14:textFill>
            <w14:solidFill>
              <w14:schemeClr w14:val="tx1"/>
            </w14:solidFill>
          </w14:textFill>
        </w:rPr>
        <w:t>投标文件由报价文件、商务文件、技术文件三部分组成。</w:t>
      </w:r>
    </w:p>
    <w:p>
      <w:pPr>
        <w:pStyle w:val="8"/>
        <w:keepNext w:val="0"/>
        <w:keepLines w:val="0"/>
        <w:pageBreakBefore w:val="0"/>
        <w:widowControl w:val="0"/>
        <w:kinsoku/>
        <w:wordWrap/>
        <w:overflowPunct/>
        <w:topLinePunct w:val="0"/>
        <w:autoSpaceDE/>
        <w:autoSpaceDN/>
        <w:bidi w:val="0"/>
        <w:spacing w:before="0" w:after="0" w:line="440" w:lineRule="exact"/>
        <w:ind w:left="420" w:leftChars="200"/>
        <w:textAlignment w:val="auto"/>
        <w:rPr>
          <w:rFonts w:hint="eastAsia" w:ascii="宋体" w:hAnsi="宋体"/>
          <w:b w:val="0"/>
          <w:color w:val="000000" w:themeColor="text1"/>
          <w:sz w:val="21"/>
          <w:szCs w:val="21"/>
          <w:highlight w:val="none"/>
          <w14:textFill>
            <w14:solidFill>
              <w14:schemeClr w14:val="tx1"/>
            </w14:solidFill>
          </w14:textFill>
        </w:rPr>
      </w:pPr>
      <w:bookmarkStart w:id="167" w:name="_13.5投标文件电子版：具体材料见“投标人须知前附表”。"/>
      <w:bookmarkEnd w:id="167"/>
      <w:bookmarkStart w:id="168" w:name="_13.3商务文件:_具体材料见“投标人须知前附表”。"/>
      <w:bookmarkEnd w:id="168"/>
      <w:bookmarkStart w:id="169" w:name="_13.1报价文件:_具体材料见“投标人须知前附表”。"/>
      <w:bookmarkEnd w:id="169"/>
      <w:bookmarkStart w:id="170" w:name="_13.2资格证明文件：具体材料见“投标人须知前附表”。"/>
      <w:bookmarkEnd w:id="170"/>
      <w:r>
        <w:rPr>
          <w:rFonts w:hint="eastAsia" w:ascii="宋体" w:hAnsi="宋体"/>
          <w:b w:val="0"/>
          <w:color w:val="000000" w:themeColor="text1"/>
          <w:sz w:val="21"/>
          <w:szCs w:val="21"/>
          <w:highlight w:val="none"/>
          <w14:textFill>
            <w14:solidFill>
              <w14:schemeClr w14:val="tx1"/>
            </w14:solidFill>
          </w14:textFill>
        </w:rPr>
        <w:t>（1）报价文件：</w:t>
      </w:r>
      <w:r>
        <w:rPr>
          <w:rFonts w:ascii="宋体" w:hAnsi="宋体"/>
          <w:b w:val="0"/>
          <w:color w:val="000000" w:themeColor="text1"/>
          <w:sz w:val="21"/>
          <w:szCs w:val="21"/>
          <w:highlight w:val="none"/>
          <w14:textFill>
            <w14:solidFill>
              <w14:schemeClr w14:val="tx1"/>
            </w14:solidFill>
          </w14:textFill>
        </w:rPr>
        <w:t xml:space="preserve"> 具体材料见“投标人须知前附表”</w:t>
      </w:r>
      <w:r>
        <w:rPr>
          <w:rFonts w:hint="eastAsia" w:ascii="宋体" w:hAnsi="宋体"/>
          <w:b w:val="0"/>
          <w:color w:val="000000" w:themeColor="text1"/>
          <w:sz w:val="21"/>
          <w:szCs w:val="21"/>
          <w:highlight w:val="none"/>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spacing w:before="0" w:after="0" w:line="440" w:lineRule="exact"/>
        <w:ind w:left="420" w:left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lang w:val="en-US" w:eastAsia="zh-CN"/>
          <w14:textFill>
            <w14:solidFill>
              <w14:schemeClr w14:val="tx1"/>
            </w14:solidFill>
          </w14:textFill>
        </w:rPr>
        <w:t>2</w:t>
      </w:r>
      <w:r>
        <w:rPr>
          <w:rFonts w:hint="eastAsia" w:ascii="宋体" w:hAnsi="宋体"/>
          <w:b w:val="0"/>
          <w:color w:val="000000" w:themeColor="text1"/>
          <w:sz w:val="21"/>
          <w:szCs w:val="21"/>
          <w:highlight w:val="none"/>
          <w14:textFill>
            <w14:solidFill>
              <w14:schemeClr w14:val="tx1"/>
            </w14:solidFill>
          </w14:textFill>
        </w:rPr>
        <w:t>）商务文件：</w:t>
      </w:r>
      <w:r>
        <w:rPr>
          <w:rFonts w:ascii="宋体" w:hAnsi="宋体"/>
          <w:b w:val="0"/>
          <w:color w:val="000000" w:themeColor="text1"/>
          <w:sz w:val="21"/>
          <w:szCs w:val="21"/>
          <w:highlight w:val="none"/>
          <w14:textFill>
            <w14:solidFill>
              <w14:schemeClr w14:val="tx1"/>
            </w14:solidFill>
          </w14:textFill>
        </w:rPr>
        <w:t>具体材料见“投标人须知前附表”</w:t>
      </w:r>
      <w:r>
        <w:rPr>
          <w:rFonts w:hint="eastAsia" w:ascii="宋体" w:hAnsi="宋体"/>
          <w:b w:val="0"/>
          <w:color w:val="000000" w:themeColor="text1"/>
          <w:sz w:val="21"/>
          <w:szCs w:val="21"/>
          <w:highlight w:val="none"/>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spacing w:before="0" w:after="0" w:line="440" w:lineRule="exact"/>
        <w:ind w:left="420" w:leftChars="200"/>
        <w:textAlignment w:val="auto"/>
        <w:rPr>
          <w:rFonts w:hint="eastAsia" w:ascii="宋体" w:hAnsi="宋体"/>
          <w:b w:val="0"/>
          <w:color w:val="000000" w:themeColor="text1"/>
          <w:sz w:val="21"/>
          <w:szCs w:val="21"/>
          <w:highlight w:val="none"/>
          <w14:textFill>
            <w14:solidFill>
              <w14:schemeClr w14:val="tx1"/>
            </w14:solidFill>
          </w14:textFill>
        </w:rPr>
      </w:pPr>
      <w:bookmarkStart w:id="171" w:name="_13.4技术文件：具体材料见“投标人须知前附表”。"/>
      <w:bookmarkEnd w:id="171"/>
      <w:r>
        <w:rPr>
          <w:rFonts w:hint="eastAsia" w:ascii="宋体" w:hAnsi="宋体"/>
          <w:b w:val="0"/>
          <w:color w:val="000000" w:themeColor="text1"/>
          <w:sz w:val="21"/>
          <w:szCs w:val="21"/>
          <w:highlight w:val="none"/>
          <w14:textFill>
            <w14:solidFill>
              <w14:schemeClr w14:val="tx1"/>
            </w14:solidFill>
          </w14:textFill>
        </w:rPr>
        <w:t>（</w:t>
      </w:r>
      <w:r>
        <w:rPr>
          <w:rFonts w:hint="eastAsia" w:ascii="宋体" w:hAnsi="宋体"/>
          <w:b w:val="0"/>
          <w:color w:val="000000" w:themeColor="text1"/>
          <w:sz w:val="21"/>
          <w:szCs w:val="21"/>
          <w:highlight w:val="none"/>
          <w:lang w:val="en-US" w:eastAsia="zh-CN"/>
          <w14:textFill>
            <w14:solidFill>
              <w14:schemeClr w14:val="tx1"/>
            </w14:solidFill>
          </w14:textFill>
        </w:rPr>
        <w:t>3</w:t>
      </w:r>
      <w:r>
        <w:rPr>
          <w:rFonts w:hint="eastAsia" w:ascii="宋体" w:hAnsi="宋体"/>
          <w:b w:val="0"/>
          <w:color w:val="000000" w:themeColor="text1"/>
          <w:sz w:val="21"/>
          <w:szCs w:val="21"/>
          <w:highlight w:val="none"/>
          <w14:textFill>
            <w14:solidFill>
              <w14:schemeClr w14:val="tx1"/>
            </w14:solidFill>
          </w14:textFill>
        </w:rPr>
        <w:t>）技术文件：</w:t>
      </w:r>
      <w:r>
        <w:rPr>
          <w:rFonts w:ascii="宋体" w:hAnsi="宋体"/>
          <w:b w:val="0"/>
          <w:color w:val="000000" w:themeColor="text1"/>
          <w:sz w:val="21"/>
          <w:szCs w:val="21"/>
          <w:highlight w:val="none"/>
          <w14:textFill>
            <w14:solidFill>
              <w14:schemeClr w14:val="tx1"/>
            </w14:solidFill>
          </w14:textFill>
        </w:rPr>
        <w:t>具体材料见“投标人须知前附表”</w:t>
      </w:r>
      <w:r>
        <w:rPr>
          <w:rFonts w:hint="eastAsia" w:ascii="宋体" w:hAnsi="宋体"/>
          <w:b w:val="0"/>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13.2</w:t>
      </w:r>
      <w:r>
        <w:rPr>
          <w:rFonts w:hint="eastAsia" w:ascii="宋体" w:hAnsi="宋体"/>
          <w:bCs/>
          <w:color w:val="000000" w:themeColor="text1"/>
          <w:szCs w:val="21"/>
          <w:highlight w:val="none"/>
          <w14:textFill>
            <w14:solidFill>
              <w14:schemeClr w14:val="tx1"/>
            </w14:solidFill>
          </w14:textFill>
        </w:rPr>
        <w:t>投标文件电子版：</w:t>
      </w:r>
      <w:r>
        <w:rPr>
          <w:rFonts w:ascii="宋体" w:hAnsi="宋体"/>
          <w:bCs/>
          <w:color w:val="000000" w:themeColor="text1"/>
          <w:szCs w:val="21"/>
          <w:highlight w:val="none"/>
          <w14:textFill>
            <w14:solidFill>
              <w14:schemeClr w14:val="tx1"/>
            </w14:solidFill>
          </w14:textFill>
        </w:rPr>
        <w:t>具体</w:t>
      </w:r>
      <w:r>
        <w:rPr>
          <w:rFonts w:hint="eastAsia" w:ascii="宋体" w:hAnsi="宋体"/>
          <w:bCs/>
          <w:color w:val="000000" w:themeColor="text1"/>
          <w:szCs w:val="21"/>
          <w:highlight w:val="none"/>
          <w14:textFill>
            <w14:solidFill>
              <w14:schemeClr w14:val="tx1"/>
            </w14:solidFill>
          </w14:textFill>
        </w:rPr>
        <w:t>要求</w:t>
      </w:r>
      <w:r>
        <w:rPr>
          <w:rFonts w:ascii="宋体" w:hAnsi="宋体"/>
          <w:bCs/>
          <w:color w:val="000000" w:themeColor="text1"/>
          <w:szCs w:val="21"/>
          <w:highlight w:val="none"/>
          <w14:textFill>
            <w14:solidFill>
              <w14:schemeClr w14:val="tx1"/>
            </w14:solidFill>
          </w14:textFill>
        </w:rPr>
        <w:t>见</w:t>
      </w:r>
      <w:r>
        <w:rPr>
          <w:rFonts w:hint="eastAsia" w:ascii="宋体" w:hAnsi="宋体"/>
          <w:bCs/>
          <w:color w:val="000000" w:themeColor="text1"/>
          <w:szCs w:val="21"/>
          <w:highlight w:val="none"/>
          <w14:textFill>
            <w14:solidFill>
              <w14:schemeClr w14:val="tx1"/>
            </w14:solidFill>
          </w14:textFill>
        </w:rPr>
        <w:t>本节</w:t>
      </w:r>
      <w:r>
        <w:rPr>
          <w:rFonts w:ascii="宋体" w:hAnsi="宋体"/>
          <w:bCs/>
          <w:color w:val="000000" w:themeColor="text1"/>
          <w:szCs w:val="21"/>
          <w:highlight w:val="none"/>
          <w14:textFill>
            <w14:solidFill>
              <w14:schemeClr w14:val="tx1"/>
            </w14:solidFill>
          </w14:textFill>
        </w:rPr>
        <w:t>19.投标文件编制。</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72" w:name="_Toc254970678"/>
      <w:bookmarkStart w:id="173" w:name="_Toc254970537"/>
      <w:r>
        <w:rPr>
          <w:rFonts w:ascii="黑体" w:hAnsi="黑体" w:eastAsia="黑体"/>
          <w:b/>
          <w:bCs/>
          <w:color w:val="000000" w:themeColor="text1"/>
          <w:sz w:val="24"/>
          <w:highlight w:val="none"/>
          <w14:textFill>
            <w14:solidFill>
              <w14:schemeClr w14:val="tx1"/>
            </w14:solidFill>
          </w14:textFill>
        </w:rPr>
        <w:t>14.投标文件的语言及计量</w:t>
      </w:r>
      <w:bookmarkEnd w:id="172"/>
      <w:bookmarkEnd w:id="173"/>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14.1语言文字</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w:t>
      </w:r>
      <w:r>
        <w:rPr>
          <w:rFonts w:hint="eastAsia" w:ascii="宋体" w:hAnsi="宋体"/>
          <w:bCs/>
          <w:color w:val="000000" w:themeColor="text1"/>
          <w:szCs w:val="21"/>
          <w:highlight w:val="none"/>
          <w:lang w:eastAsia="zh-CN"/>
          <w14:textFill>
            <w14:solidFill>
              <w14:schemeClr w14:val="tx1"/>
            </w14:solidFill>
          </w14:textFill>
        </w:rPr>
        <w:t>项目实施机构</w:t>
      </w:r>
      <w:r>
        <w:rPr>
          <w:rFonts w:hint="eastAsia" w:ascii="宋体" w:hAnsi="宋体"/>
          <w:bCs/>
          <w:color w:val="000000" w:themeColor="text1"/>
          <w:szCs w:val="21"/>
          <w:highlight w:val="none"/>
          <w14:textFill>
            <w14:solidFill>
              <w14:schemeClr w14:val="tx1"/>
            </w14:solidFill>
          </w14:textFill>
        </w:rPr>
        <w:t>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14.2投标计量单位</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15.投标的风险</w:t>
      </w:r>
    </w:p>
    <w:p>
      <w:pPr>
        <w:pStyle w:val="15"/>
        <w:keepNext w:val="0"/>
        <w:keepLines w:val="0"/>
        <w:pageBreakBefore w:val="0"/>
        <w:widowControl w:val="0"/>
        <w:kinsoku/>
        <w:wordWrap/>
        <w:overflowPunct/>
        <w:topLinePunct w:val="0"/>
        <w:autoSpaceDE/>
        <w:autoSpaceDN/>
        <w:bidi w:val="0"/>
        <w:snapToGrid w:val="0"/>
        <w:spacing w:line="440" w:lineRule="exact"/>
        <w:ind w:firstLine="420" w:firstLineChars="200"/>
        <w:jc w:val="left"/>
        <w:textAlignment w:val="auto"/>
        <w:rPr>
          <w:rFonts w:hint="eastAsia" w:hAnsi="宋体"/>
          <w:color w:val="000000" w:themeColor="text1"/>
          <w:sz w:val="21"/>
          <w:highlight w:val="none"/>
          <w14:textFill>
            <w14:solidFill>
              <w14:schemeClr w14:val="tx1"/>
            </w14:solidFill>
          </w14:textFill>
        </w:rPr>
      </w:pPr>
      <w:bookmarkStart w:id="174" w:name="_Toc254970538"/>
      <w:bookmarkStart w:id="175" w:name="_Toc254970679"/>
      <w:r>
        <w:rPr>
          <w:rFonts w:hint="eastAsia" w:hAnsi="宋体"/>
          <w:color w:val="000000" w:themeColor="text1"/>
          <w:sz w:val="21"/>
          <w:highlight w:val="none"/>
          <w14:textFill>
            <w14:solidFill>
              <w14:schemeClr w14:val="tx1"/>
            </w14:solidFill>
          </w14:textFill>
        </w:rPr>
        <w:t>投标人没有按照招标文件要求提供全部资料，或者投标人没有对招标文件作出实质性响应是投标人的风险，并可能导致其投标被拒绝。</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16.投标报价</w:t>
      </w:r>
      <w:bookmarkEnd w:id="174"/>
      <w:bookmarkEnd w:id="175"/>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bookmarkStart w:id="176" w:name="_16.2投标报价具体定义见投标人须知前附表。"/>
      <w:bookmarkEnd w:id="176"/>
      <w:r>
        <w:rPr>
          <w:rFonts w:ascii="宋体" w:hAnsi="宋体"/>
          <w:bCs/>
          <w:color w:val="000000" w:themeColor="text1"/>
          <w:szCs w:val="21"/>
          <w:highlight w:val="none"/>
          <w14:textFill>
            <w14:solidFill>
              <w14:schemeClr w14:val="tx1"/>
            </w14:solidFill>
          </w14:textFill>
        </w:rPr>
        <w:t>16.2投标报价具体包括内容详见“投标人须知前附表”。</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w:t>
      </w:r>
      <w:r>
        <w:rPr>
          <w:rFonts w:hint="eastAsia" w:ascii="宋体" w:hAnsi="宋体"/>
          <w:bCs/>
          <w:color w:val="000000" w:themeColor="text1"/>
          <w:szCs w:val="21"/>
          <w:highlight w:val="none"/>
          <w14:textFill>
            <w14:solidFill>
              <w14:schemeClr w14:val="tx1"/>
            </w14:solidFill>
          </w14:textFill>
        </w:rPr>
        <w:t>作唯一报价。</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17.投标有效期</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bookmarkStart w:id="177" w:name="_17.1投标有效期应按“投标人须知中的前附表”规定的期限。"/>
      <w:bookmarkEnd w:id="177"/>
      <w:r>
        <w:rPr>
          <w:rFonts w:ascii="宋体" w:hAnsi="宋体"/>
          <w:bCs/>
          <w:color w:val="000000" w:themeColor="text1"/>
          <w:szCs w:val="21"/>
          <w:highlight w:val="none"/>
          <w14:textFill>
            <w14:solidFill>
              <w14:schemeClr w14:val="tx1"/>
            </w14:solidFill>
          </w14:textFill>
        </w:rPr>
        <w:t>17.1投标有效期是指为保证</w:t>
      </w:r>
      <w:r>
        <w:rPr>
          <w:rFonts w:hint="eastAsia" w:ascii="宋体" w:hAnsi="宋体"/>
          <w:bCs/>
          <w:color w:val="000000" w:themeColor="text1"/>
          <w:szCs w:val="21"/>
          <w:highlight w:val="none"/>
          <w:lang w:eastAsia="zh-CN"/>
          <w14:textFill>
            <w14:solidFill>
              <w14:schemeClr w14:val="tx1"/>
            </w14:solidFill>
          </w14:textFill>
        </w:rPr>
        <w:t>项目实施机构</w:t>
      </w:r>
      <w:r>
        <w:rPr>
          <w:rFonts w:ascii="宋体" w:hAnsi="宋体"/>
          <w:bCs/>
          <w:color w:val="000000" w:themeColor="text1"/>
          <w:szCs w:val="21"/>
          <w:highlight w:val="none"/>
          <w14:textFill>
            <w14:solidFill>
              <w14:schemeClr w14:val="tx1"/>
            </w14:solidFill>
          </w14:textFill>
        </w:rPr>
        <w:t>有足够的时间在开标后完成评标、定标、合同签订等工作而要求投</w:t>
      </w:r>
      <w:r>
        <w:rPr>
          <w:rFonts w:hint="eastAsia" w:ascii="宋体" w:hAnsi="宋体"/>
          <w:bCs/>
          <w:color w:val="000000" w:themeColor="text1"/>
          <w:szCs w:val="21"/>
          <w:highlight w:val="none"/>
          <w14:textFill>
            <w14:solidFill>
              <w14:schemeClr w14:val="tx1"/>
            </w14:solidFill>
          </w14:textFill>
        </w:rPr>
        <w:t>标人提交的投标文件在一定时间内保持有效的期限。</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17.2</w:t>
      </w:r>
      <w:bookmarkStart w:id="178" w:name="_Toc254970681"/>
      <w:bookmarkStart w:id="179" w:name="_Toc254970540"/>
      <w:r>
        <w:rPr>
          <w:rFonts w:ascii="宋体" w:hAnsi="宋体"/>
          <w:bCs/>
          <w:color w:val="000000" w:themeColor="text1"/>
          <w:szCs w:val="21"/>
          <w:highlight w:val="none"/>
          <w14:textFill>
            <w14:solidFill>
              <w14:schemeClr w14:val="tx1"/>
            </w14:solidFill>
          </w14:textFill>
        </w:rPr>
        <w:t xml:space="preserve"> 投标有效期应按规定的期限</w:t>
      </w:r>
      <w:r>
        <w:rPr>
          <w:rFonts w:hint="eastAsia" w:ascii="宋体" w:hAnsi="宋体"/>
          <w:bCs/>
          <w:color w:val="000000" w:themeColor="text1"/>
          <w:szCs w:val="21"/>
          <w:highlight w:val="none"/>
          <w14:textFill>
            <w14:solidFill>
              <w14:schemeClr w14:val="tx1"/>
            </w14:solidFill>
          </w14:textFill>
        </w:rPr>
        <w:t>作出承诺，具体详见“投标人须知前附表”。</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17.3投标人的投标文件在投标有效期内均保持有效。</w:t>
      </w:r>
      <w:bookmarkEnd w:id="178"/>
      <w:bookmarkEnd w:id="179"/>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80" w:name="_18.投标保证金"/>
      <w:bookmarkEnd w:id="180"/>
      <w:bookmarkStart w:id="181" w:name="_Toc254970541"/>
      <w:bookmarkStart w:id="182" w:name="_Toc254970682"/>
      <w:r>
        <w:rPr>
          <w:rFonts w:ascii="黑体" w:hAnsi="黑体" w:eastAsia="黑体"/>
          <w:b/>
          <w:bCs/>
          <w:color w:val="000000" w:themeColor="text1"/>
          <w:sz w:val="24"/>
          <w:highlight w:val="none"/>
          <w14:textFill>
            <w14:solidFill>
              <w14:schemeClr w14:val="tx1"/>
            </w14:solidFill>
          </w14:textFill>
        </w:rPr>
        <w:t>18.投标保证金</w:t>
      </w:r>
      <w:bookmarkEnd w:id="181"/>
      <w:bookmarkEnd w:id="182"/>
    </w:p>
    <w:p>
      <w:pPr>
        <w:pStyle w:val="8"/>
        <w:keepNext w:val="0"/>
        <w:keepLines w:val="0"/>
        <w:pageBreakBefore w:val="0"/>
        <w:widowControl w:val="0"/>
        <w:kinsoku/>
        <w:wordWrap/>
        <w:overflowPunct/>
        <w:topLinePunct w:val="0"/>
        <w:autoSpaceDE/>
        <w:autoSpaceDN/>
        <w:bidi w:val="0"/>
        <w:spacing w:before="0" w:after="0" w:line="440" w:lineRule="exact"/>
        <w:ind w:left="420" w:leftChars="200"/>
        <w:textAlignment w:val="auto"/>
        <w:rPr>
          <w:rFonts w:ascii="宋体" w:hAnsi="宋体"/>
          <w:b w:val="0"/>
          <w:color w:val="000000" w:themeColor="text1"/>
          <w:sz w:val="21"/>
          <w:szCs w:val="21"/>
          <w:highlight w:val="none"/>
          <w14:textFill>
            <w14:solidFill>
              <w14:schemeClr w14:val="tx1"/>
            </w14:solidFill>
          </w14:textFill>
        </w:rPr>
      </w:pPr>
      <w:bookmarkStart w:id="183" w:name="_Toc254970683"/>
      <w:bookmarkStart w:id="184" w:name="_Toc254970542"/>
      <w:r>
        <w:rPr>
          <w:rFonts w:hint="eastAsia" w:ascii="宋体" w:hAnsi="宋体"/>
          <w:b w:val="0"/>
          <w:color w:val="000000" w:themeColor="text1"/>
          <w:sz w:val="21"/>
          <w:szCs w:val="21"/>
          <w:highlight w:val="none"/>
          <w14:textFill>
            <w14:solidFill>
              <w14:schemeClr w14:val="tx1"/>
            </w14:solidFill>
          </w14:textFill>
        </w:rPr>
        <w:t>18.1投标人须按“投标人须知前附表” 的规定提交投标保证金。</w:t>
      </w:r>
    </w:p>
    <w:p>
      <w:pPr>
        <w:pStyle w:val="8"/>
        <w:keepNext w:val="0"/>
        <w:keepLines w:val="0"/>
        <w:pageBreakBefore w:val="0"/>
        <w:widowControl w:val="0"/>
        <w:kinsoku/>
        <w:wordWrap/>
        <w:overflowPunct/>
        <w:topLinePunct w:val="0"/>
        <w:autoSpaceDE/>
        <w:autoSpaceDN/>
        <w:bidi w:val="0"/>
        <w:spacing w:before="0" w:after="0" w:line="440" w:lineRule="exact"/>
        <w:ind w:firstLine="420" w:firstLine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18.2投标保证金的退还</w:t>
      </w:r>
    </w:p>
    <w:p>
      <w:pPr>
        <w:pStyle w:val="8"/>
        <w:keepNext w:val="0"/>
        <w:keepLines w:val="0"/>
        <w:pageBreakBefore w:val="0"/>
        <w:widowControl w:val="0"/>
        <w:kinsoku/>
        <w:wordWrap/>
        <w:overflowPunct/>
        <w:topLinePunct w:val="0"/>
        <w:autoSpaceDE/>
        <w:autoSpaceDN/>
        <w:bidi w:val="0"/>
        <w:spacing w:before="0" w:after="0" w:line="440" w:lineRule="exact"/>
        <w:ind w:firstLine="420" w:firstLine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未中标人的投标保证金自中标通知书发出之日起</w:t>
      </w:r>
      <w:r>
        <w:rPr>
          <w:rFonts w:hint="eastAsia" w:ascii="宋体" w:hAnsi="宋体"/>
          <w:b w:val="0"/>
          <w:color w:val="000000" w:themeColor="text1"/>
          <w:sz w:val="21"/>
          <w:szCs w:val="21"/>
          <w:highlight w:val="none"/>
          <w:lang w:val="en-US" w:eastAsia="zh-CN"/>
          <w14:textFill>
            <w14:solidFill>
              <w14:schemeClr w14:val="tx1"/>
            </w14:solidFill>
          </w14:textFill>
        </w:rPr>
        <w:t>4</w:t>
      </w:r>
      <w:r>
        <w:rPr>
          <w:rFonts w:hint="eastAsia" w:ascii="宋体" w:hAnsi="宋体"/>
          <w:b w:val="0"/>
          <w:color w:val="000000" w:themeColor="text1"/>
          <w:sz w:val="21"/>
          <w:szCs w:val="21"/>
          <w:highlight w:val="none"/>
          <w14:textFill>
            <w14:solidFill>
              <w14:schemeClr w14:val="tx1"/>
            </w14:solidFill>
          </w14:textFill>
        </w:rPr>
        <w:t>个工作日内退还；中标人的投标保证金自政府采购合同签订之日起</w:t>
      </w:r>
      <w:r>
        <w:rPr>
          <w:rFonts w:hint="eastAsia" w:ascii="宋体" w:hAnsi="宋体"/>
          <w:b w:val="0"/>
          <w:color w:val="000000" w:themeColor="text1"/>
          <w:sz w:val="21"/>
          <w:szCs w:val="21"/>
          <w:highlight w:val="none"/>
          <w:lang w:val="en-US" w:eastAsia="zh-CN"/>
          <w14:textFill>
            <w14:solidFill>
              <w14:schemeClr w14:val="tx1"/>
            </w14:solidFill>
          </w14:textFill>
        </w:rPr>
        <w:t>4</w:t>
      </w:r>
      <w:r>
        <w:rPr>
          <w:rFonts w:hint="eastAsia" w:ascii="宋体" w:hAnsi="宋体"/>
          <w:b w:val="0"/>
          <w:color w:val="000000" w:themeColor="text1"/>
          <w:sz w:val="21"/>
          <w:szCs w:val="21"/>
          <w:highlight w:val="none"/>
          <w14:textFill>
            <w14:solidFill>
              <w14:schemeClr w14:val="tx1"/>
            </w14:solidFill>
          </w14:textFill>
        </w:rPr>
        <w:t xml:space="preserve">个工作日内退还。 </w:t>
      </w:r>
    </w:p>
    <w:p>
      <w:pPr>
        <w:pStyle w:val="8"/>
        <w:keepNext w:val="0"/>
        <w:keepLines w:val="0"/>
        <w:pageBreakBefore w:val="0"/>
        <w:widowControl w:val="0"/>
        <w:kinsoku/>
        <w:wordWrap/>
        <w:overflowPunct/>
        <w:topLinePunct w:val="0"/>
        <w:autoSpaceDE/>
        <w:autoSpaceDN/>
        <w:bidi w:val="0"/>
        <w:spacing w:before="0" w:after="0" w:line="440" w:lineRule="exact"/>
        <w:ind w:left="420" w:left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18.3除逾期退还投标保证金和终止招标的情形以外，投标保证金不计息。</w:t>
      </w:r>
    </w:p>
    <w:p>
      <w:pPr>
        <w:pStyle w:val="8"/>
        <w:keepNext w:val="0"/>
        <w:keepLines w:val="0"/>
        <w:pageBreakBefore w:val="0"/>
        <w:widowControl w:val="0"/>
        <w:kinsoku/>
        <w:wordWrap/>
        <w:overflowPunct/>
        <w:topLinePunct w:val="0"/>
        <w:autoSpaceDE/>
        <w:autoSpaceDN/>
        <w:bidi w:val="0"/>
        <w:spacing w:before="0" w:after="0" w:line="440" w:lineRule="exact"/>
        <w:ind w:left="420" w:left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18.4投标人有下列情形之一的，投标保证金将不予退还： </w:t>
      </w:r>
    </w:p>
    <w:p>
      <w:pPr>
        <w:keepNext w:val="0"/>
        <w:keepLines w:val="0"/>
        <w:pageBreakBefore w:val="0"/>
        <w:widowControl w:val="0"/>
        <w:kinsoku/>
        <w:wordWrap/>
        <w:overflowPunct/>
        <w:topLinePunct w:val="0"/>
        <w:autoSpaceDE/>
        <w:autoSpaceDN/>
        <w:bidi w:val="0"/>
        <w:snapToGrid w:val="0"/>
        <w:spacing w:line="440" w:lineRule="exact"/>
        <w:ind w:firstLine="411" w:firstLineChars="196"/>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（1）投标人在投标有效期内撤销投标文件的；</w:t>
      </w:r>
    </w:p>
    <w:p>
      <w:pPr>
        <w:keepNext w:val="0"/>
        <w:keepLines w:val="0"/>
        <w:pageBreakBefore w:val="0"/>
        <w:widowControl w:val="0"/>
        <w:kinsoku/>
        <w:wordWrap/>
        <w:overflowPunct/>
        <w:topLinePunct w:val="0"/>
        <w:autoSpaceDE/>
        <w:autoSpaceDN/>
        <w:bidi w:val="0"/>
        <w:snapToGrid w:val="0"/>
        <w:spacing w:line="440" w:lineRule="exact"/>
        <w:ind w:firstLine="411" w:firstLineChars="196"/>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（2）未按规定提交履约保证金的；</w:t>
      </w:r>
    </w:p>
    <w:p>
      <w:pPr>
        <w:keepNext w:val="0"/>
        <w:keepLines w:val="0"/>
        <w:pageBreakBefore w:val="0"/>
        <w:widowControl w:val="0"/>
        <w:kinsoku/>
        <w:wordWrap/>
        <w:overflowPunct/>
        <w:topLinePunct w:val="0"/>
        <w:autoSpaceDE/>
        <w:autoSpaceDN/>
        <w:bidi w:val="0"/>
        <w:snapToGrid w:val="0"/>
        <w:spacing w:line="440" w:lineRule="exact"/>
        <w:ind w:firstLine="411" w:firstLineChars="196"/>
        <w:jc w:val="left"/>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（3）投标人在投标过程中弄虚作假，提供虚假材料的；</w:t>
      </w:r>
    </w:p>
    <w:p>
      <w:pPr>
        <w:keepNext w:val="0"/>
        <w:keepLines w:val="0"/>
        <w:pageBreakBefore w:val="0"/>
        <w:widowControl w:val="0"/>
        <w:kinsoku/>
        <w:wordWrap/>
        <w:overflowPunct/>
        <w:topLinePunct w:val="0"/>
        <w:autoSpaceDE/>
        <w:autoSpaceDN/>
        <w:bidi w:val="0"/>
        <w:snapToGrid w:val="0"/>
        <w:spacing w:line="440" w:lineRule="exact"/>
        <w:ind w:firstLine="411" w:firstLineChars="196"/>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（4）中标人无正当理由不与</w:t>
      </w:r>
      <w:r>
        <w:rPr>
          <w:rFonts w:hint="eastAsia" w:ascii="宋体" w:hAnsi="宋体"/>
          <w:color w:val="000000" w:themeColor="text1"/>
          <w:szCs w:val="21"/>
          <w:highlight w:val="none"/>
          <w:lang w:eastAsia="zh-CN"/>
          <w14:textFill>
            <w14:solidFill>
              <w14:schemeClr w14:val="tx1"/>
            </w14:solidFill>
          </w14:textFill>
        </w:rPr>
        <w:t>项目实施机构</w:t>
      </w:r>
      <w:r>
        <w:rPr>
          <w:rFonts w:hint="eastAsia" w:ascii="宋体" w:hAnsi="宋体"/>
          <w:color w:val="000000" w:themeColor="text1"/>
          <w:szCs w:val="21"/>
          <w:highlight w:val="none"/>
          <w14:textFill>
            <w14:solidFill>
              <w14:schemeClr w14:val="tx1"/>
            </w14:solidFill>
          </w14:textFill>
        </w:rPr>
        <w:t>签订合同的；</w:t>
      </w:r>
    </w:p>
    <w:p>
      <w:pPr>
        <w:keepNext w:val="0"/>
        <w:keepLines w:val="0"/>
        <w:pageBreakBefore w:val="0"/>
        <w:widowControl w:val="0"/>
        <w:kinsoku/>
        <w:wordWrap/>
        <w:overflowPunct/>
        <w:topLinePunct w:val="0"/>
        <w:autoSpaceDE/>
        <w:autoSpaceDN/>
        <w:bidi w:val="0"/>
        <w:snapToGrid w:val="0"/>
        <w:spacing w:line="44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（5）投标人出现本章第9.2、9.3情形的；</w:t>
      </w:r>
    </w:p>
    <w:p>
      <w:pPr>
        <w:keepNext w:val="0"/>
        <w:keepLines w:val="0"/>
        <w:pageBreakBefore w:val="0"/>
        <w:widowControl w:val="0"/>
        <w:kinsoku/>
        <w:wordWrap/>
        <w:overflowPunct/>
        <w:topLinePunct w:val="0"/>
        <w:autoSpaceDE/>
        <w:autoSpaceDN/>
        <w:bidi w:val="0"/>
        <w:snapToGrid w:val="0"/>
        <w:spacing w:line="44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法律法规规定的其他情形</w:t>
      </w:r>
      <w:r>
        <w:rPr>
          <w:rFonts w:hint="eastAsia" w:ascii="宋体" w:hAnsi="宋体"/>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19.投标文件的</w:t>
      </w:r>
      <w:bookmarkEnd w:id="183"/>
      <w:bookmarkEnd w:id="184"/>
      <w:r>
        <w:rPr>
          <w:rFonts w:hint="eastAsia" w:ascii="黑体" w:hAnsi="黑体" w:eastAsia="黑体"/>
          <w:b/>
          <w:bCs/>
          <w:color w:val="000000" w:themeColor="text1"/>
          <w:sz w:val="24"/>
          <w:highlight w:val="none"/>
          <w14:textFill>
            <w14:solidFill>
              <w14:schemeClr w14:val="tx1"/>
            </w14:solidFill>
          </w14:textFill>
        </w:rPr>
        <w:t>编制</w:t>
      </w:r>
    </w:p>
    <w:p>
      <w:pPr>
        <w:pStyle w:val="8"/>
        <w:keepNext w:val="0"/>
        <w:keepLines w:val="0"/>
        <w:pageBreakBefore w:val="0"/>
        <w:widowControl w:val="0"/>
        <w:kinsoku/>
        <w:wordWrap/>
        <w:overflowPunct/>
        <w:topLinePunct w:val="0"/>
        <w:autoSpaceDE/>
        <w:autoSpaceDN/>
        <w:bidi w:val="0"/>
        <w:spacing w:before="0" w:after="0" w:line="440" w:lineRule="exact"/>
        <w:ind w:firstLine="315" w:firstLineChars="15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19.1投标人应先安装“政采云电子投标客户端”（请自行前往“政采云”平台进行下载），并按照本项目招标文件规定的格式和顺序和“政采云”平台的要求编制并加密。投标文件内容不完整、编排混乱导致投标文件被误读、漏读或者查找不到相关内容的，由此引发的后果由投标人承担。</w:t>
      </w:r>
    </w:p>
    <w:p>
      <w:pPr>
        <w:pStyle w:val="8"/>
        <w:keepNext w:val="0"/>
        <w:keepLines w:val="0"/>
        <w:pageBreakBefore w:val="0"/>
        <w:widowControl w:val="0"/>
        <w:kinsoku/>
        <w:wordWrap/>
        <w:overflowPunct/>
        <w:topLinePunct w:val="0"/>
        <w:autoSpaceDE/>
        <w:autoSpaceDN/>
        <w:bidi w:val="0"/>
        <w:spacing w:before="0" w:after="0" w:line="440" w:lineRule="exact"/>
        <w:ind w:firstLine="315" w:firstLineChars="150"/>
        <w:textAlignment w:val="auto"/>
        <w:rPr>
          <w:rFonts w:hint="eastAsia" w:ascii="宋体" w:hAnsi="宋体"/>
          <w:b w:val="0"/>
          <w:color w:val="000000" w:themeColor="text1"/>
          <w:sz w:val="21"/>
          <w:szCs w:val="21"/>
          <w:highlight w:val="none"/>
          <w14:textFill>
            <w14:solidFill>
              <w14:schemeClr w14:val="tx1"/>
            </w14:solidFill>
          </w14:textFill>
        </w:rPr>
      </w:pPr>
      <w:bookmarkStart w:id="185" w:name="_19.2投标文件应按报价文件、资格证明文件、商务文件、技术文件分别编制"/>
      <w:bookmarkEnd w:id="185"/>
      <w:r>
        <w:rPr>
          <w:rFonts w:hint="eastAsia" w:ascii="宋体" w:hAnsi="宋体"/>
          <w:b w:val="0"/>
          <w:color w:val="000000" w:themeColor="text1"/>
          <w:sz w:val="21"/>
          <w:szCs w:val="21"/>
          <w:highlight w:val="none"/>
          <w14:textFill>
            <w14:solidFill>
              <w14:schemeClr w14:val="tx1"/>
            </w14:solidFill>
          </w14:textFill>
        </w:rPr>
        <w:t>19.2为确保网上操作合法、有效和安全，投标人应当在投标截止时间前完成在“政采云”平台的身份认证，确保在电子投标过程中能够对相关数据电文进行加密和使用电子签章。</w:t>
      </w:r>
    </w:p>
    <w:p>
      <w:pPr>
        <w:pStyle w:val="8"/>
        <w:keepNext w:val="0"/>
        <w:keepLines w:val="0"/>
        <w:pageBreakBefore w:val="0"/>
        <w:widowControl w:val="0"/>
        <w:kinsoku/>
        <w:wordWrap/>
        <w:overflowPunct/>
        <w:topLinePunct w:val="0"/>
        <w:autoSpaceDE/>
        <w:autoSpaceDN/>
        <w:bidi w:val="0"/>
        <w:spacing w:before="0" w:after="0" w:line="440" w:lineRule="exact"/>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19.3投标文件须由投标人在规定位置签字、盖章（具体以投标人须知前附表或投标文件格式规定为准），</w:t>
      </w:r>
      <w:r>
        <w:rPr>
          <w:rFonts w:hint="eastAsia" w:ascii="宋体" w:hAnsi="宋体"/>
          <w:bCs/>
          <w:color w:val="000000" w:themeColor="text1"/>
          <w:sz w:val="21"/>
          <w:szCs w:val="21"/>
          <w:highlight w:val="none"/>
          <w14:textFill>
            <w14:solidFill>
              <w14:schemeClr w14:val="tx1"/>
            </w14:solidFill>
          </w14:textFill>
        </w:rPr>
        <w:t>否则按无效投标处理</w:t>
      </w:r>
      <w:r>
        <w:rPr>
          <w:rFonts w:hint="eastAsia" w:ascii="宋体" w:hAnsi="宋体"/>
          <w:b w:val="0"/>
          <w:color w:val="000000" w:themeColor="text1"/>
          <w:sz w:val="21"/>
          <w:szCs w:val="21"/>
          <w:highlight w:val="none"/>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spacing w:before="0" w:after="0" w:line="440" w:lineRule="exact"/>
        <w:ind w:firstLine="315" w:firstLineChars="15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19.4投标文件中标注的投标人名称</w:t>
      </w:r>
      <w:r>
        <w:rPr>
          <w:rFonts w:hint="eastAsia" w:ascii="宋体" w:hAnsi="宋体"/>
          <w:b w:val="0"/>
          <w:color w:val="000000" w:themeColor="text1"/>
          <w:sz w:val="21"/>
          <w:szCs w:val="21"/>
          <w:highlight w:val="none"/>
          <w:lang w:eastAsia="zh-CN"/>
          <w14:textFill>
            <w14:solidFill>
              <w14:schemeClr w14:val="tx1"/>
            </w14:solidFill>
          </w14:textFill>
        </w:rPr>
        <w:t>（或联合体牵头人）</w:t>
      </w:r>
      <w:r>
        <w:rPr>
          <w:rFonts w:hint="eastAsia" w:ascii="宋体" w:hAnsi="宋体"/>
          <w:b w:val="0"/>
          <w:color w:val="000000" w:themeColor="text1"/>
          <w:sz w:val="21"/>
          <w:szCs w:val="21"/>
          <w:highlight w:val="none"/>
          <w14:textFill>
            <w14:solidFill>
              <w14:schemeClr w14:val="tx1"/>
            </w14:solidFill>
          </w14:textFill>
        </w:rPr>
        <w:t>应与主体资格证明（如营业执照或者事业单位法人证书或者执业许可证或者登记证书等）及公章一致，并与“政采云”中获取招标文件的投标人名称一致，投标人为自然人的，标注的投标人名称应与身份证姓名及签名一致，</w:t>
      </w:r>
      <w:r>
        <w:rPr>
          <w:rFonts w:hint="eastAsia" w:ascii="宋体" w:hAnsi="宋体"/>
          <w:color w:val="000000" w:themeColor="text1"/>
          <w:sz w:val="21"/>
          <w:szCs w:val="21"/>
          <w:highlight w:val="none"/>
          <w14:textFill>
            <w14:solidFill>
              <w14:schemeClr w14:val="tx1"/>
            </w14:solidFill>
          </w14:textFill>
        </w:rPr>
        <w:t>否则按无效投标处理</w:t>
      </w:r>
      <w:r>
        <w:rPr>
          <w:rFonts w:hint="eastAsia" w:ascii="宋体" w:hAnsi="宋体"/>
          <w:b w:val="0"/>
          <w:color w:val="000000" w:themeColor="text1"/>
          <w:sz w:val="21"/>
          <w:szCs w:val="21"/>
          <w:highlight w:val="none"/>
          <w14:textFill>
            <w14:solidFill>
              <w14:schemeClr w14:val="tx1"/>
            </w14:solidFill>
          </w14:textFill>
        </w:rPr>
        <w:t>。</w:t>
      </w:r>
    </w:p>
    <w:p>
      <w:pPr>
        <w:pStyle w:val="8"/>
        <w:keepNext w:val="0"/>
        <w:keepLines w:val="0"/>
        <w:pageBreakBefore w:val="0"/>
        <w:widowControl w:val="0"/>
        <w:kinsoku/>
        <w:wordWrap/>
        <w:overflowPunct/>
        <w:topLinePunct w:val="0"/>
        <w:autoSpaceDE/>
        <w:autoSpaceDN/>
        <w:bidi w:val="0"/>
        <w:spacing w:before="0" w:after="0" w:line="440" w:lineRule="exact"/>
        <w:ind w:firstLine="315" w:firstLineChars="15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19.5投标文件应尽量避免涂改、行间插字或者删除。如果出现上述情况，改动之处应由投标人的法定代表人或者其委托代理人签字或者加盖电子签章。投标文件因字迹潦草或者表达不清所引起的后果由投标人承担。</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20.备份投标文件</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详见在“投标人须知前附表”。</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21.投标文件的提交</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int="eastAsia" w:hAnsi="宋体"/>
          <w:b/>
          <w:color w:val="000000" w:themeColor="text1"/>
          <w:highlight w:val="none"/>
          <w14:textFill>
            <w14:solidFill>
              <w14:schemeClr w14:val="tx1"/>
            </w14:solidFill>
          </w14:textFill>
        </w:rPr>
      </w:pPr>
      <w:bookmarkStart w:id="186" w:name="_21.1投标人必须在“投标人须知中的前附表”规定的投标文件接收时间和投"/>
      <w:bookmarkEnd w:id="186"/>
      <w:r>
        <w:rPr>
          <w:rFonts w:hint="eastAsia" w:hAnsi="宋体"/>
          <w:bCs/>
          <w:color w:val="000000" w:themeColor="text1"/>
          <w:szCs w:val="21"/>
          <w:highlight w:val="none"/>
          <w14:textFill>
            <w14:solidFill>
              <w14:schemeClr w14:val="tx1"/>
            </w14:solidFill>
          </w14:textFill>
        </w:rPr>
        <w:t>21.1投标人必须在“投标人须知前附表”规定的</w:t>
      </w:r>
      <w:r>
        <w:rPr>
          <w:rFonts w:hint="eastAsia" w:ascii="宋体" w:hAnsi="宋体"/>
          <w:color w:val="000000" w:themeColor="text1"/>
          <w:szCs w:val="21"/>
          <w:highlight w:val="none"/>
          <w14:textFill>
            <w14:solidFill>
              <w14:schemeClr w14:val="tx1"/>
            </w14:solidFill>
          </w14:textFill>
        </w:rPr>
        <w:t>投标文件提交截止时间前将</w:t>
      </w:r>
      <w:r>
        <w:rPr>
          <w:rFonts w:hint="eastAsia" w:hAnsi="宋体"/>
          <w:bCs/>
          <w:color w:val="000000" w:themeColor="text1"/>
          <w:szCs w:val="21"/>
          <w:highlight w:val="none"/>
          <w14:textFill>
            <w14:solidFill>
              <w14:schemeClr w14:val="tx1"/>
            </w14:solidFill>
          </w14:textFill>
        </w:rPr>
        <w:t>电子投标文件提交至投标地点。电子投标文件应在制作完成后，</w:t>
      </w:r>
      <w:r>
        <w:rPr>
          <w:rFonts w:hAnsi="宋体"/>
          <w:bCs/>
          <w:color w:val="000000" w:themeColor="text1"/>
          <w:szCs w:val="21"/>
          <w:highlight w:val="none"/>
          <w14:textFill>
            <w14:solidFill>
              <w14:schemeClr w14:val="tx1"/>
            </w14:solidFill>
          </w14:textFill>
        </w:rPr>
        <w:t>在投标截止时间前</w:t>
      </w:r>
      <w:r>
        <w:rPr>
          <w:rFonts w:hint="eastAsia" w:hAnsi="宋体"/>
          <w:bCs/>
          <w:color w:val="000000" w:themeColor="text1"/>
          <w:szCs w:val="21"/>
          <w:highlight w:val="none"/>
          <w14:textFill>
            <w14:solidFill>
              <w14:schemeClr w14:val="tx1"/>
            </w14:solidFill>
          </w14:textFill>
        </w:rPr>
        <w:t>通过有效数字证书（CA认证锁）进行电子签章、加密，然后通过网络将加密的电子投标文件递交至</w:t>
      </w:r>
      <w:r>
        <w:rPr>
          <w:rFonts w:hint="eastAsia" w:ascii="宋体" w:hAnsi="宋体"/>
          <w:b/>
          <w:color w:val="000000" w:themeColor="text1"/>
          <w:szCs w:val="21"/>
          <w:highlight w:val="none"/>
          <w14:textFill>
            <w14:solidFill>
              <w14:schemeClr w14:val="tx1"/>
            </w14:solidFill>
          </w14:textFill>
        </w:rPr>
        <w:t>“政采云”平台</w:t>
      </w:r>
      <w:r>
        <w:rPr>
          <w:rFonts w:hint="eastAsia" w:hAnsi="宋体"/>
          <w:bCs/>
          <w:color w:val="000000" w:themeColor="text1"/>
          <w:szCs w:val="21"/>
          <w:highlight w:val="none"/>
          <w14:textFill>
            <w14:solidFill>
              <w14:schemeClr w14:val="tx1"/>
            </w14:solidFill>
          </w14:textFill>
        </w:rPr>
        <w:t xml:space="preserve">。 </w:t>
      </w:r>
      <w:r>
        <w:rPr>
          <w:rFonts w:hint="eastAsia" w:hAnsi="宋体"/>
          <w:b/>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40" w:lineRule="exact"/>
        <w:ind w:firstLine="422" w:firstLineChars="200"/>
        <w:textAlignment w:val="auto"/>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w:t>
      </w:r>
      <w:r>
        <w:rPr>
          <w:rFonts w:ascii="宋体" w:hAnsi="宋体"/>
          <w:b/>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未在规定时间内提交或者未按照招标文件要求加密的电子投标文件，“政采云”平台将拒收。</w:t>
      </w:r>
    </w:p>
    <w:p>
      <w:pPr>
        <w:keepNext w:val="0"/>
        <w:keepLines w:val="0"/>
        <w:pageBreakBefore w:val="0"/>
        <w:widowControl w:val="0"/>
        <w:kinsoku/>
        <w:wordWrap/>
        <w:overflowPunct/>
        <w:topLinePunct w:val="0"/>
        <w:autoSpaceDE/>
        <w:autoSpaceDN/>
        <w:bidi w:val="0"/>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 xml:space="preserve">22. </w:t>
      </w:r>
      <w:r>
        <w:rPr>
          <w:rFonts w:hint="eastAsia" w:ascii="黑体" w:hAnsi="黑体" w:eastAsia="黑体"/>
          <w:b/>
          <w:bCs/>
          <w:color w:val="000000" w:themeColor="text1"/>
          <w:sz w:val="24"/>
          <w:highlight w:val="none"/>
          <w14:textFill>
            <w14:solidFill>
              <w14:schemeClr w14:val="tx1"/>
            </w14:solidFill>
          </w14:textFill>
        </w:rPr>
        <w:t>投标文件的补充、修改、撤回与退回</w:t>
      </w:r>
      <w:bookmarkStart w:id="187" w:name="_Toc254970684"/>
      <w:bookmarkStart w:id="188" w:name="_Toc254970543"/>
    </w:p>
    <w:bookmarkEnd w:id="187"/>
    <w:bookmarkEnd w:id="188"/>
    <w:p>
      <w:pPr>
        <w:keepNext w:val="0"/>
        <w:keepLines w:val="0"/>
        <w:pageBreakBefore w:val="0"/>
        <w:widowControl w:val="0"/>
        <w:kinsoku/>
        <w:wordWrap/>
        <w:overflowPunct/>
        <w:topLinePunct w:val="0"/>
        <w:autoSpaceDE/>
        <w:autoSpaceDN/>
        <w:bidi w:val="0"/>
        <w:snapToGrid w:val="0"/>
        <w:spacing w:line="440" w:lineRule="exact"/>
        <w:ind w:firstLine="420"/>
        <w:jc w:val="left"/>
        <w:textAlignment w:val="auto"/>
        <w:rPr>
          <w:rFonts w:hint="eastAsia" w:ascii="宋体" w:hAnsi="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22</w:t>
      </w: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政采云”平台将予以拒收。</w:t>
      </w:r>
      <w:r>
        <w:rPr>
          <w:rFonts w:hint="eastAsia" w:ascii="宋体" w:hAnsi="宋体" w:cs="宋体"/>
          <w:color w:val="000000" w:themeColor="text1"/>
          <w:szCs w:val="21"/>
          <w:highlight w:val="none"/>
          <w14:textFill>
            <w14:solidFill>
              <w14:schemeClr w14:val="tx1"/>
            </w14:solidFill>
          </w14:textFill>
        </w:rPr>
        <w:t>（补充、修改或者撤回方式可</w:t>
      </w:r>
      <w:r>
        <w:rPr>
          <w:rFonts w:hint="eastAsia" w:ascii="宋体" w:hAnsi="宋体"/>
          <w:color w:val="000000" w:themeColor="text1"/>
          <w:szCs w:val="21"/>
          <w:highlight w:val="none"/>
          <w:lang w:eastAsia="zh-CN"/>
          <w14:textFill>
            <w14:solidFill>
              <w14:schemeClr w14:val="tx1"/>
            </w14:solidFill>
          </w14:textFill>
        </w:rPr>
        <w:t>登录</w:t>
      </w:r>
      <w:r>
        <w:rPr>
          <w:rFonts w:hint="eastAsia" w:ascii="宋体" w:hAnsi="宋体" w:cs="宋体"/>
          <w:color w:val="000000" w:themeColor="text1"/>
          <w:kern w:val="0"/>
          <w:szCs w:val="21"/>
          <w:highlight w:val="none"/>
          <w14:textFill>
            <w14:solidFill>
              <w14:schemeClr w14:val="tx1"/>
            </w14:solidFill>
          </w14:textFill>
        </w:rPr>
        <w:t>“政采云”平台，</w:t>
      </w:r>
      <w:r>
        <w:rPr>
          <w:rFonts w:hint="eastAsia" w:ascii="宋体" w:hAnsi="宋体"/>
          <w:color w:val="000000" w:themeColor="text1"/>
          <w:szCs w:val="21"/>
          <w:highlight w:val="none"/>
          <w14:textFill>
            <w14:solidFill>
              <w14:schemeClr w14:val="tx1"/>
            </w14:solidFill>
          </w14:textFill>
        </w:rPr>
        <w:t>依次进入“服务中心”中查看</w:t>
      </w:r>
      <w:r>
        <w:rPr>
          <w:rFonts w:hint="eastAsia" w:ascii="宋体" w:hAnsi="宋体" w:cs="宋体"/>
          <w:color w:val="000000" w:themeColor="text1"/>
          <w:szCs w:val="21"/>
          <w:highlight w:val="none"/>
          <w14:textFill>
            <w14:solidFill>
              <w14:schemeClr w14:val="tx1"/>
            </w14:solidFill>
          </w14:textFill>
        </w:rPr>
        <w:t xml:space="preserve"> “电子投标文件制作与投送教程”）</w:t>
      </w:r>
    </w:p>
    <w:p>
      <w:pPr>
        <w:pStyle w:val="47"/>
        <w:keepNext w:val="0"/>
        <w:keepLines w:val="0"/>
        <w:pageBreakBefore w:val="0"/>
        <w:widowControl w:val="0"/>
        <w:kinsoku/>
        <w:wordWrap/>
        <w:overflowPunct/>
        <w:topLinePunct w:val="0"/>
        <w:autoSpaceDE/>
        <w:autoSpaceDN/>
        <w:bidi w:val="0"/>
        <w:spacing w:before="0" w:line="440" w:lineRule="exact"/>
        <w:ind w:firstLine="420"/>
        <w:textAlignment w:val="auto"/>
        <w:rPr>
          <w:rFonts w:hint="eastAsia" w:ascii="宋体" w:hAnsi="宋体" w:cs="宋体"/>
          <w:color w:val="000000" w:themeColor="text1"/>
          <w:sz w:val="21"/>
          <w:szCs w:val="21"/>
          <w:highlight w:val="none"/>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22.</w:t>
      </w:r>
      <w:r>
        <w:rPr>
          <w:rFonts w:hint="eastAsia" w:ascii="宋体" w:hAnsi="宋体" w:cs="宋体"/>
          <w:color w:val="000000" w:themeColor="text1"/>
          <w:sz w:val="21"/>
          <w:szCs w:val="21"/>
          <w:highlight w:val="none"/>
          <w14:textFill>
            <w14:solidFill>
              <w14:schemeClr w14:val="tx1"/>
            </w14:solidFill>
          </w14:textFill>
        </w:rPr>
        <w:t>2“政采云”平台收到投标文件后向供应商发出确认回执通知。在投标截止时间前，除供应商补充、修改或者撤回投标文件外，任何单位和个人不得解密或提取投标文件。</w:t>
      </w:r>
    </w:p>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在投标截止时间后，</w:t>
      </w:r>
      <w:r>
        <w:rPr>
          <w:rFonts w:hint="eastAsia" w:ascii="宋体" w:hAnsi="宋体" w:cs="宋体"/>
          <w:color w:val="000000" w:themeColor="text1"/>
          <w:szCs w:val="21"/>
          <w:highlight w:val="none"/>
          <w:lang w:eastAsia="zh-CN"/>
          <w14:textFill>
            <w14:solidFill>
              <w14:schemeClr w14:val="tx1"/>
            </w14:solidFill>
          </w14:textFill>
        </w:rPr>
        <w:t>项目实施机构</w:t>
      </w:r>
      <w:r>
        <w:rPr>
          <w:rFonts w:hint="eastAsia" w:ascii="宋体" w:hAnsi="宋体" w:cs="宋体"/>
          <w:color w:val="000000" w:themeColor="text1"/>
          <w:szCs w:val="21"/>
          <w:highlight w:val="none"/>
          <w14:textFill>
            <w14:solidFill>
              <w14:schemeClr w14:val="tx1"/>
            </w14:solidFill>
          </w14:textFill>
        </w:rPr>
        <w:t>和采购代理机构对已提交的投标文件概不退回。</w:t>
      </w:r>
    </w:p>
    <w:p>
      <w:pPr>
        <w:pStyle w:val="12"/>
        <w:keepNext w:val="0"/>
        <w:keepLines w:val="0"/>
        <w:pageBreakBefore w:val="0"/>
        <w:widowControl w:val="0"/>
        <w:kinsoku/>
        <w:wordWrap/>
        <w:overflowPunct/>
        <w:topLinePunct w:val="0"/>
        <w:autoSpaceDE/>
        <w:autoSpaceDN/>
        <w:bidi w:val="0"/>
        <w:snapToGrid w:val="0"/>
        <w:spacing w:line="440" w:lineRule="exact"/>
        <w:ind w:firstLine="739"/>
        <w:textAlignment w:val="auto"/>
        <w:rPr>
          <w:rFonts w:hAnsi="宋体"/>
          <w:snapToGrid w:val="0"/>
          <w:color w:val="000000" w:themeColor="text1"/>
          <w:sz w:val="21"/>
          <w:szCs w:val="21"/>
          <w:highlight w:val="none"/>
          <w14:textFill>
            <w14:solidFill>
              <w14:schemeClr w14:val="tx1"/>
            </w14:solidFill>
          </w14:textFill>
        </w:rPr>
      </w:pPr>
    </w:p>
    <w:p>
      <w:pPr>
        <w:pStyle w:val="6"/>
        <w:keepNext w:val="0"/>
        <w:keepLines w:val="0"/>
        <w:spacing w:line="400" w:lineRule="exact"/>
        <w:jc w:val="center"/>
        <w:rPr>
          <w:color w:val="000000" w:themeColor="text1"/>
          <w:highlight w:val="none"/>
          <w14:textFill>
            <w14:solidFill>
              <w14:schemeClr w14:val="tx1"/>
            </w14:solidFill>
          </w14:textFill>
        </w:rPr>
      </w:pPr>
      <w:bookmarkStart w:id="189" w:name="_Toc12547"/>
      <w:bookmarkStart w:id="190" w:name="_Toc11246"/>
      <w:bookmarkStart w:id="191" w:name="_Toc10027"/>
      <w:bookmarkStart w:id="192" w:name="_Toc254970544"/>
      <w:bookmarkStart w:id="193" w:name="_Toc254970685"/>
      <w:bookmarkStart w:id="194" w:name="_Toc28796"/>
      <w:bookmarkStart w:id="195" w:name="_Toc3696"/>
      <w:bookmarkStart w:id="196" w:name="_Toc20436"/>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89"/>
      <w:bookmarkEnd w:id="190"/>
      <w:bookmarkEnd w:id="191"/>
      <w:bookmarkEnd w:id="192"/>
      <w:bookmarkEnd w:id="193"/>
      <w:bookmarkEnd w:id="194"/>
      <w:bookmarkEnd w:id="195"/>
      <w:bookmarkEnd w:id="196"/>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197" w:name="_23.开标时间和地点"/>
      <w:bookmarkEnd w:id="197"/>
      <w:r>
        <w:rPr>
          <w:rFonts w:ascii="黑体" w:hAnsi="黑体" w:eastAsia="黑体"/>
          <w:b/>
          <w:bCs/>
          <w:color w:val="000000" w:themeColor="text1"/>
          <w:sz w:val="24"/>
          <w:highlight w:val="none"/>
          <w14:textFill>
            <w14:solidFill>
              <w14:schemeClr w14:val="tx1"/>
            </w14:solidFill>
          </w14:textFill>
        </w:rPr>
        <w:t>23.开标时间和地点</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开标时间及地点详见“投标人须知前附表”</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24.开标程序</w:t>
      </w:r>
    </w:p>
    <w:p>
      <w:pPr>
        <w:pStyle w:val="3"/>
        <w:keepNext w:val="0"/>
        <w:keepLines w:val="0"/>
        <w:pageBreakBefore w:val="0"/>
        <w:widowControl w:val="0"/>
        <w:kinsoku/>
        <w:wordWrap/>
        <w:overflowPunct/>
        <w:topLinePunct w:val="0"/>
        <w:autoSpaceDE/>
        <w:autoSpaceDN/>
        <w:bidi w:val="0"/>
        <w:adjustRightInd/>
        <w:spacing w:line="44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4.1</w:t>
      </w:r>
      <w:r>
        <w:rPr>
          <w:rFonts w:hint="eastAsia"/>
          <w:color w:val="000000" w:themeColor="text1"/>
          <w:highlight w:val="none"/>
          <w14:textFill>
            <w14:solidFill>
              <w14:schemeClr w14:val="tx1"/>
            </w14:solidFill>
          </w14:textFill>
        </w:rPr>
        <w:t>提交投标文件截止时间止，投标人不足3家的，不得开标。</w:t>
      </w:r>
    </w:p>
    <w:p>
      <w:pPr>
        <w:pStyle w:val="3"/>
        <w:keepNext w:val="0"/>
        <w:keepLines w:val="0"/>
        <w:pageBreakBefore w:val="0"/>
        <w:widowControl w:val="0"/>
        <w:kinsoku/>
        <w:wordWrap/>
        <w:overflowPunct/>
        <w:topLinePunct w:val="0"/>
        <w:autoSpaceDE/>
        <w:autoSpaceDN/>
        <w:bidi w:val="0"/>
        <w:adjustRightInd/>
        <w:spacing w:line="44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采购代理机构将按照招标文件规定的时间通过“政采云”平台组织线上开标活动，所有供应商均应当准时在线参加，投标人因未在线参加开标而导致投标文件无法按时解密等一切后果由投标人自己承担。</w:t>
      </w:r>
    </w:p>
    <w:p>
      <w:pPr>
        <w:pStyle w:val="3"/>
        <w:keepNext w:val="0"/>
        <w:keepLines w:val="0"/>
        <w:pageBreakBefore w:val="0"/>
        <w:widowControl w:val="0"/>
        <w:kinsoku/>
        <w:wordWrap/>
        <w:overflowPunct/>
        <w:topLinePunct w:val="0"/>
        <w:autoSpaceDE/>
        <w:autoSpaceDN/>
        <w:bidi w:val="0"/>
        <w:adjustRightInd/>
        <w:spacing w:line="44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开标程序</w:t>
      </w:r>
    </w:p>
    <w:p>
      <w:pPr>
        <w:pStyle w:val="3"/>
        <w:keepNext w:val="0"/>
        <w:keepLines w:val="0"/>
        <w:pageBreakBefore w:val="0"/>
        <w:widowControl w:val="0"/>
        <w:kinsoku/>
        <w:wordWrap/>
        <w:overflowPunct/>
        <w:topLinePunct w:val="0"/>
        <w:autoSpaceDE/>
        <w:autoSpaceDN/>
        <w:bidi w:val="0"/>
        <w:adjustRightInd/>
        <w:spacing w:line="44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（1）解密电子投标文件。“政采云”平台按开标时间自动提取所有投标文件。采购代理机构依托“政采云”平台向各投标人发出电子加密投标文件【开始解密】通知，由投标人按</w:t>
      </w:r>
      <w:r>
        <w:rPr>
          <w:rFonts w:hint="eastAsia" w:hAnsi="宋体"/>
          <w:bCs/>
          <w:color w:val="000000" w:themeColor="text1"/>
          <w:szCs w:val="21"/>
          <w:highlight w:val="none"/>
          <w14:textFill>
            <w14:solidFill>
              <w14:schemeClr w14:val="tx1"/>
            </w14:solidFill>
          </w14:textFill>
        </w:rPr>
        <w:t>“投标人须知前附表”</w:t>
      </w:r>
      <w:r>
        <w:rPr>
          <w:rFonts w:hint="eastAsia"/>
          <w:color w:val="000000" w:themeColor="text1"/>
          <w:highlight w:val="none"/>
          <w14:textFill>
            <w14:solidFill>
              <w14:schemeClr w14:val="tx1"/>
            </w14:solidFill>
          </w14:textFill>
        </w:rPr>
        <w:t>规定的时间内自行进行投标文件解密。投标人的法定代表人或其委托代理人须凭加密时所用的CA锁准时登录到“政采云”平台电子开标大厅签到并对电子投标文件解密。</w:t>
      </w:r>
      <w:r>
        <w:rPr>
          <w:b/>
          <w:color w:val="000000" w:themeColor="text1"/>
          <w:highlight w:val="none"/>
          <w14:textFill>
            <w14:solidFill>
              <w14:schemeClr w14:val="tx1"/>
            </w14:solidFill>
          </w14:textFill>
        </w:rPr>
        <w:t>投标人</w:t>
      </w:r>
      <w:r>
        <w:rPr>
          <w:rFonts w:hint="eastAsia"/>
          <w:b/>
          <w:color w:val="000000" w:themeColor="text1"/>
          <w:highlight w:val="none"/>
          <w14:textFill>
            <w14:solidFill>
              <w14:schemeClr w14:val="tx1"/>
            </w14:solidFill>
          </w14:textFill>
        </w:rPr>
        <w:t>未在</w:t>
      </w:r>
      <w:r>
        <w:rPr>
          <w:b/>
          <w:color w:val="000000" w:themeColor="text1"/>
          <w:highlight w:val="none"/>
          <w14:textFill>
            <w14:solidFill>
              <w14:schemeClr w14:val="tx1"/>
            </w14:solidFill>
          </w14:textFill>
        </w:rPr>
        <w:t>规定的时间内解密</w:t>
      </w:r>
      <w:r>
        <w:rPr>
          <w:rFonts w:hint="eastAsia"/>
          <w:b/>
          <w:color w:val="000000" w:themeColor="text1"/>
          <w:highlight w:val="none"/>
          <w14:textFill>
            <w14:solidFill>
              <w14:schemeClr w14:val="tx1"/>
            </w14:solidFill>
          </w14:textFill>
        </w:rPr>
        <w:t>投标文件</w:t>
      </w:r>
      <w:r>
        <w:rPr>
          <w:b/>
          <w:color w:val="000000" w:themeColor="text1"/>
          <w:highlight w:val="none"/>
          <w14:textFill>
            <w14:solidFill>
              <w14:schemeClr w14:val="tx1"/>
            </w14:solidFill>
          </w14:textFill>
        </w:rPr>
        <w:t>或</w:t>
      </w:r>
      <w:r>
        <w:rPr>
          <w:rFonts w:hint="eastAsia"/>
          <w:b/>
          <w:color w:val="000000" w:themeColor="text1"/>
          <w:highlight w:val="none"/>
          <w14:textFill>
            <w14:solidFill>
              <w14:schemeClr w14:val="tx1"/>
            </w14:solidFill>
          </w14:textFill>
        </w:rPr>
        <w:t>者</w:t>
      </w:r>
      <w:r>
        <w:rPr>
          <w:b/>
          <w:color w:val="000000" w:themeColor="text1"/>
          <w:highlight w:val="none"/>
          <w14:textFill>
            <w14:solidFill>
              <w14:schemeClr w14:val="tx1"/>
            </w14:solidFill>
          </w14:textFill>
        </w:rPr>
        <w:t>解密失败的</w:t>
      </w:r>
      <w:r>
        <w:rPr>
          <w:rFonts w:hint="eastAsia"/>
          <w:b/>
          <w:color w:val="000000" w:themeColor="text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投标人的投标文件作无效处理</w:t>
      </w:r>
      <w:r>
        <w:rPr>
          <w:b/>
          <w:color w:val="000000" w:themeColor="text1"/>
          <w:highlight w:val="none"/>
          <w14:textFill>
            <w14:solidFill>
              <w14:schemeClr w14:val="tx1"/>
            </w14:solidFill>
          </w14:textFill>
        </w:rPr>
        <w:t>。</w:t>
      </w:r>
    </w:p>
    <w:p>
      <w:pPr>
        <w:pStyle w:val="3"/>
        <w:keepNext w:val="0"/>
        <w:keepLines w:val="0"/>
        <w:pageBreakBefore w:val="0"/>
        <w:widowControl w:val="0"/>
        <w:kinsoku/>
        <w:wordWrap/>
        <w:overflowPunct/>
        <w:topLinePunct w:val="0"/>
        <w:autoSpaceDE/>
        <w:autoSpaceDN/>
        <w:bidi w:val="0"/>
        <w:adjustRightInd/>
        <w:spacing w:line="44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（2）电子唱标。投标文件解密结束，宣布的内容均在“政采云”平台远程开标大厅展示，具体详见</w:t>
      </w:r>
      <w:r>
        <w:rPr>
          <w:rFonts w:hint="eastAsia" w:hAnsi="宋体"/>
          <w:bCs/>
          <w:color w:val="000000" w:themeColor="text1"/>
          <w:highlight w:val="none"/>
          <w14:textFill>
            <w14:solidFill>
              <w14:schemeClr w14:val="tx1"/>
            </w14:solidFill>
          </w14:textFill>
        </w:rPr>
        <w:t>“投标人须知前附表”</w:t>
      </w:r>
      <w:r>
        <w:rPr>
          <w:rFonts w:hint="eastAsia"/>
          <w:color w:val="000000" w:themeColor="text1"/>
          <w:highlight w:val="none"/>
          <w14:textFill>
            <w14:solidFill>
              <w14:schemeClr w14:val="tx1"/>
            </w14:solidFill>
          </w14:textFill>
        </w:rPr>
        <w:t>；</w:t>
      </w:r>
    </w:p>
    <w:p>
      <w:pPr>
        <w:pStyle w:val="3"/>
        <w:keepNext w:val="0"/>
        <w:keepLines w:val="0"/>
        <w:pageBreakBefore w:val="0"/>
        <w:widowControl w:val="0"/>
        <w:kinsoku/>
        <w:wordWrap/>
        <w:overflowPunct/>
        <w:topLinePunct w:val="0"/>
        <w:autoSpaceDE/>
        <w:autoSpaceDN/>
        <w:bidi w:val="0"/>
        <w:adjustRightInd/>
        <w:spacing w:line="44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（3）开标过程由采购代理机构如实记录，并电子留痕，由参加电子开标的各投标人代表对电子开标记录在开标记录公布后15分钟内进行当场校核及勘误，并线上确认是否有异议，未确认的视同认可开标结果。</w:t>
      </w:r>
    </w:p>
    <w:p>
      <w:pPr>
        <w:pStyle w:val="3"/>
        <w:keepNext w:val="0"/>
        <w:keepLines w:val="0"/>
        <w:pageBreakBefore w:val="0"/>
        <w:widowControl w:val="0"/>
        <w:kinsoku/>
        <w:wordWrap/>
        <w:overflowPunct/>
        <w:topLinePunct w:val="0"/>
        <w:autoSpaceDE/>
        <w:autoSpaceDN/>
        <w:bidi w:val="0"/>
        <w:adjustRightInd/>
        <w:spacing w:line="440" w:lineRule="exact"/>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（4）投标人代表对开标过程和开标记录有疑义，以及认为</w:t>
      </w:r>
      <w:r>
        <w:rPr>
          <w:rFonts w:hint="eastAsia"/>
          <w:color w:val="000000" w:themeColor="text1"/>
          <w:highlight w:val="none"/>
          <w:lang w:eastAsia="zh-CN"/>
          <w14:textFill>
            <w14:solidFill>
              <w14:schemeClr w14:val="tx1"/>
            </w14:solidFill>
          </w14:textFill>
        </w:rPr>
        <w:t>项目实施机构</w:t>
      </w:r>
      <w:r>
        <w:rPr>
          <w:rFonts w:hint="eastAsia"/>
          <w:color w:val="000000" w:themeColor="text1"/>
          <w:highlight w:val="none"/>
          <w14:textFill>
            <w14:solidFill>
              <w14:schemeClr w14:val="tx1"/>
            </w14:solidFill>
          </w14:textFill>
        </w:rPr>
        <w:t>、采购代理机构相关工作人员有需要回避的情形的，应当场提出询问或者回避申请。</w:t>
      </w:r>
      <w:r>
        <w:rPr>
          <w:rFonts w:hint="eastAsia"/>
          <w:color w:val="000000" w:themeColor="text1"/>
          <w:highlight w:val="none"/>
          <w:lang w:eastAsia="zh-CN"/>
          <w14:textFill>
            <w14:solidFill>
              <w14:schemeClr w14:val="tx1"/>
            </w14:solidFill>
          </w14:textFill>
        </w:rPr>
        <w:t>项目实施机构</w:t>
      </w:r>
      <w:r>
        <w:rPr>
          <w:rFonts w:hint="eastAsia"/>
          <w:color w:val="000000" w:themeColor="text1"/>
          <w:highlight w:val="none"/>
          <w14:textFill>
            <w14:solidFill>
              <w14:schemeClr w14:val="tx1"/>
            </w14:solidFill>
          </w14:textFill>
        </w:rPr>
        <w:t>、采购代理机构对投标人代表提出的询问或者回避申请应当及时处理。</w:t>
      </w:r>
    </w:p>
    <w:p>
      <w:pPr>
        <w:pStyle w:val="3"/>
        <w:keepNext w:val="0"/>
        <w:keepLines w:val="0"/>
        <w:pageBreakBefore w:val="0"/>
        <w:widowControl w:val="0"/>
        <w:kinsoku/>
        <w:wordWrap/>
        <w:overflowPunct/>
        <w:topLinePunct w:val="0"/>
        <w:autoSpaceDE/>
        <w:autoSpaceDN/>
        <w:bidi w:val="0"/>
        <w:adjustRightInd/>
        <w:spacing w:line="440" w:lineRule="exact"/>
        <w:textAlignment w:val="auto"/>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（5）开标结束。</w:t>
      </w:r>
    </w:p>
    <w:p>
      <w:pPr>
        <w:pStyle w:val="15"/>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hAnsi="宋体"/>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特别说明：如遇“政采云”平台电子化开标或评审程序调整的，按调整后执行。</w:t>
      </w:r>
    </w:p>
    <w:p>
      <w:pPr>
        <w:pStyle w:val="15"/>
        <w:snapToGrid w:val="0"/>
        <w:spacing w:line="400" w:lineRule="exact"/>
        <w:ind w:left="689" w:leftChars="228" w:hanging="210" w:hangingChars="100"/>
        <w:rPr>
          <w:rFonts w:hAnsi="宋体"/>
          <w:color w:val="000000" w:themeColor="text1"/>
          <w:highlight w:val="none"/>
          <w14:textFill>
            <w14:solidFill>
              <w14:schemeClr w14:val="tx1"/>
            </w14:solidFill>
          </w14:textFill>
        </w:rPr>
      </w:pPr>
    </w:p>
    <w:p>
      <w:pPr>
        <w:pStyle w:val="6"/>
        <w:keepNext w:val="0"/>
        <w:keepLines w:val="0"/>
        <w:spacing w:line="400" w:lineRule="exact"/>
        <w:jc w:val="center"/>
        <w:rPr>
          <w:color w:val="000000" w:themeColor="text1"/>
          <w:highlight w:val="none"/>
          <w14:textFill>
            <w14:solidFill>
              <w14:schemeClr w14:val="tx1"/>
            </w14:solidFill>
          </w14:textFill>
        </w:rPr>
      </w:pPr>
      <w:bookmarkStart w:id="198" w:name="_Toc2054"/>
      <w:bookmarkStart w:id="199" w:name="_Toc9918"/>
      <w:bookmarkStart w:id="200" w:name="_Toc8714"/>
      <w:bookmarkStart w:id="201" w:name="_Toc16797"/>
      <w:bookmarkStart w:id="202" w:name="_Toc10216"/>
      <w:bookmarkStart w:id="203" w:name="_Toc13587"/>
      <w:r>
        <w:rPr>
          <w:rFonts w:hint="eastAsia"/>
          <w:color w:val="000000" w:themeColor="text1"/>
          <w:highlight w:val="none"/>
          <w14:textFill>
            <w14:solidFill>
              <w14:schemeClr w14:val="tx1"/>
            </w14:solidFill>
          </w14:textFill>
        </w:rPr>
        <w:t>五、资格审查</w:t>
      </w:r>
      <w:bookmarkEnd w:id="198"/>
      <w:bookmarkEnd w:id="199"/>
      <w:bookmarkEnd w:id="200"/>
      <w:bookmarkEnd w:id="201"/>
      <w:bookmarkEnd w:id="202"/>
      <w:bookmarkEnd w:id="203"/>
    </w:p>
    <w:p>
      <w:pPr>
        <w:pStyle w:val="8"/>
        <w:keepNext w:val="0"/>
        <w:keepLines w:val="0"/>
        <w:spacing w:before="0" w:after="0" w:line="360" w:lineRule="auto"/>
        <w:ind w:firstLine="482" w:firstLine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25.资格审查</w:t>
      </w:r>
    </w:p>
    <w:p>
      <w:pPr>
        <w:pStyle w:val="8"/>
        <w:keepNext w:val="0"/>
        <w:keepLines w:val="0"/>
        <w:spacing w:before="0" w:after="0" w:line="360" w:lineRule="auto"/>
        <w:ind w:firstLine="560" w:firstLineChars="200"/>
        <w:rPr>
          <w:rFonts w:ascii="宋体" w:hAnsi="宋体"/>
          <w:b w:val="0"/>
          <w:bCs w:val="0"/>
          <w:color w:val="000000" w:themeColor="text1"/>
          <w:sz w:val="21"/>
          <w:szCs w:val="20"/>
          <w:highlight w:val="none"/>
          <w14:textFill>
            <w14:solidFill>
              <w14:schemeClr w14:val="tx1"/>
            </w14:solidFill>
          </w14:textFill>
        </w:rPr>
      </w:pPr>
      <w:r>
        <w:rPr>
          <w:rFonts w:ascii="宋体" w:hAnsi="宋体"/>
          <w:b w:val="0"/>
          <w:bCs w:val="0"/>
          <w:color w:val="000000" w:themeColor="text1"/>
          <w:szCs w:val="20"/>
          <w:highlight w:val="none"/>
          <w14:textFill>
            <w14:solidFill>
              <w14:schemeClr w14:val="tx1"/>
            </w14:solidFill>
          </w14:textFill>
        </w:rPr>
        <w:t xml:space="preserve"> </w:t>
      </w:r>
      <w:r>
        <w:rPr>
          <w:rFonts w:hint="eastAsia" w:hAnsi="宋体"/>
          <w:b w:val="0"/>
          <w:bCs w:val="0"/>
          <w:color w:val="000000" w:themeColor="text1"/>
          <w:sz w:val="21"/>
          <w:szCs w:val="24"/>
          <w:highlight w:val="none"/>
          <w14:textFill>
            <w14:solidFill>
              <w14:schemeClr w14:val="tx1"/>
            </w14:solidFill>
          </w14:textFill>
        </w:rPr>
        <w:t>投标人已通过资格预审。</w:t>
      </w:r>
    </w:p>
    <w:p>
      <w:pPr>
        <w:pStyle w:val="6"/>
        <w:keepNext w:val="0"/>
        <w:keepLines w:val="0"/>
        <w:spacing w:line="360" w:lineRule="auto"/>
        <w:jc w:val="center"/>
        <w:rPr>
          <w:color w:val="000000" w:themeColor="text1"/>
          <w:highlight w:val="none"/>
          <w14:textFill>
            <w14:solidFill>
              <w14:schemeClr w14:val="tx1"/>
            </w14:solidFill>
          </w14:textFill>
        </w:rPr>
      </w:pPr>
      <w:bookmarkStart w:id="204" w:name="_Toc1555"/>
      <w:bookmarkStart w:id="205" w:name="_Toc17057"/>
      <w:bookmarkStart w:id="206" w:name="_Toc28109"/>
      <w:bookmarkStart w:id="207" w:name="_Toc15554"/>
      <w:bookmarkStart w:id="208" w:name="_Toc10692"/>
      <w:bookmarkStart w:id="209" w:name="_Toc10602"/>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204"/>
      <w:bookmarkEnd w:id="205"/>
      <w:bookmarkEnd w:id="206"/>
      <w:bookmarkEnd w:id="207"/>
      <w:bookmarkEnd w:id="208"/>
      <w:bookmarkEnd w:id="209"/>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bookmarkStart w:id="210" w:name="_26.组建评标委员会"/>
      <w:bookmarkEnd w:id="210"/>
      <w:r>
        <w:rPr>
          <w:rFonts w:ascii="黑体" w:hAnsi="黑体" w:eastAsia="黑体"/>
          <w:b/>
          <w:bCs/>
          <w:color w:val="000000" w:themeColor="text1"/>
          <w:sz w:val="24"/>
          <w:highlight w:val="none"/>
          <w14:textFill>
            <w14:solidFill>
              <w14:schemeClr w14:val="tx1"/>
            </w14:solidFill>
          </w14:textFill>
        </w:rPr>
        <w:t>26.组建评标委员会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Ansi="宋体"/>
          <w:color w:val="000000" w:themeColor="text1"/>
          <w:highlight w:val="none"/>
          <w:lang w:val="zh-CN"/>
          <w14:textFill>
            <w14:solidFill>
              <w14:schemeClr w14:val="tx1"/>
            </w14:solidFill>
          </w14:textFill>
        </w:rPr>
      </w:pPr>
      <w:r>
        <w:rPr>
          <w:rFonts w:hint="eastAsia" w:hAnsi="宋体"/>
          <w:color w:val="000000" w:themeColor="text1"/>
          <w:highlight w:val="none"/>
          <w:lang w:eastAsia="zh-CN"/>
          <w14:textFill>
            <w14:solidFill>
              <w14:schemeClr w14:val="tx1"/>
            </w14:solidFill>
          </w14:textFill>
        </w:rPr>
        <w:t>评标委员会按照</w:t>
      </w:r>
      <w:r>
        <w:rPr>
          <w:rFonts w:hint="eastAsia" w:hAnsi="宋体"/>
          <w:color w:val="000000" w:themeColor="text1"/>
          <w:highlight w:val="none"/>
          <w14:textFill>
            <w14:solidFill>
              <w14:schemeClr w14:val="tx1"/>
            </w14:solidFill>
          </w14:textFill>
        </w:rPr>
        <w:t>《中华人民共和国政府采购法》、财库【2014】215号等相关法规、政策的规定组建。</w:t>
      </w:r>
      <w:r>
        <w:rPr>
          <w:rFonts w:hint="eastAsia" w:hAnsi="宋体"/>
          <w:color w:val="000000" w:themeColor="text1"/>
          <w:highlight w:val="none"/>
          <w:lang w:eastAsia="zh-CN"/>
          <w14:textFill>
            <w14:solidFill>
              <w14:schemeClr w14:val="tx1"/>
            </w14:solidFill>
          </w14:textFill>
        </w:rPr>
        <w:t>评标委员会</w:t>
      </w:r>
      <w:r>
        <w:rPr>
          <w:rFonts w:hint="eastAsia" w:hAnsi="宋体"/>
          <w:color w:val="000000" w:themeColor="text1"/>
          <w:highlight w:val="none"/>
          <w14:textFill>
            <w14:solidFill>
              <w14:schemeClr w14:val="tx1"/>
            </w14:solidFill>
          </w14:textFill>
        </w:rPr>
        <w:t>由项目实施机构代表和评审专家共</w:t>
      </w:r>
      <w:r>
        <w:rPr>
          <w:rFonts w:hint="eastAsia" w:hAnsi="宋体"/>
          <w:color w:val="000000" w:themeColor="text1"/>
          <w:highlight w:val="none"/>
          <w:lang w:val="en-US" w:eastAsia="zh-CN"/>
          <w14:textFill>
            <w14:solidFill>
              <w14:schemeClr w14:val="tx1"/>
            </w14:solidFill>
          </w14:textFill>
        </w:rPr>
        <w:t>7</w:t>
      </w:r>
      <w:r>
        <w:rPr>
          <w:rFonts w:hint="eastAsia" w:hAnsi="宋体"/>
          <w:color w:val="000000" w:themeColor="text1"/>
          <w:highlight w:val="none"/>
          <w14:textFill>
            <w14:solidFill>
              <w14:schemeClr w14:val="tx1"/>
            </w14:solidFill>
          </w14:textFill>
        </w:rPr>
        <w:t>人以上单数组成，其中评审专家人数不得少于评审小组成员总数的2/3。</w:t>
      </w:r>
      <w:r>
        <w:rPr>
          <w:rFonts w:hint="eastAsia" w:hAnsi="宋体"/>
          <w:color w:val="000000" w:themeColor="text1"/>
          <w:highlight w:val="none"/>
          <w:lang w:val="zh-CN"/>
          <w14:textFill>
            <w14:solidFill>
              <w14:schemeClr w14:val="tx1"/>
            </w14:solidFill>
          </w14:textFill>
        </w:rPr>
        <w:t>评审专家可以由项目实施机构自行选定，但评审专家中至少应当包含1名财务专家和1名法律专家。项目实施机构代表不得以评审专家身份参加项目的评审。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27.评标的依据</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评标方法和评标标准”</w:t>
      </w:r>
      <w:r>
        <w:rPr>
          <w:rFonts w:hAnsi="宋体"/>
          <w:color w:val="000000" w:themeColor="text1"/>
          <w:highlight w:val="none"/>
          <w14:textFill>
            <w14:solidFill>
              <w14:schemeClr w14:val="tx1"/>
            </w14:solidFill>
          </w14:textFill>
        </w:rPr>
        <w:t>没有规定的方法、评审因素和标准，不作为评标依据。</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28.评标原则</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211" w:name="_28.3评标方法。本项目将按须知前附表规定的评标办法进行评标，具体评标"/>
      <w:bookmarkEnd w:id="211"/>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、采购代理机构应当采取必要措施，保证评标在严格保密（封闭式评标）的情况下进行。除</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代表、评标现场组织人员外，</w:t>
      </w:r>
      <w:r>
        <w:rPr>
          <w:rFonts w:hint="eastAsia" w:hAnsi="宋体"/>
          <w:color w:val="000000" w:themeColor="text1"/>
          <w:highlight w:val="none"/>
          <w:lang w:eastAsia="zh-CN"/>
          <w14:textFill>
            <w14:solidFill>
              <w14:schemeClr w14:val="tx1"/>
            </w14:solidFill>
          </w14:textFill>
        </w:rPr>
        <w:t>项目实施机构</w:t>
      </w:r>
      <w:r>
        <w:rPr>
          <w:rFonts w:hint="eastAsia" w:hAnsi="宋体"/>
          <w:color w:val="000000" w:themeColor="text1"/>
          <w:highlight w:val="none"/>
          <w14:textFill>
            <w14:solidFill>
              <w14:schemeClr w14:val="tx1"/>
            </w14:solidFill>
          </w14:textFill>
        </w:rPr>
        <w:t>的其他工作人员以及与评标工作无关的人员不得进入评标现场。有关人员对评标情况以及在评标过程中获悉的国家秘密、商业秘密负有保密责任。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b/>
          <w:bCs/>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w:t>
      </w:r>
      <w:r>
        <w:rPr>
          <w:rFonts w:hint="eastAsia" w:hAnsi="宋体"/>
          <w:b/>
          <w:bCs/>
          <w:color w:val="000000" w:themeColor="text1"/>
          <w:highlight w:val="none"/>
          <w14:textFill>
            <w14:solidFill>
              <w14:schemeClr w14:val="tx1"/>
            </w14:solidFill>
          </w14:textFill>
        </w:rPr>
        <w:t>投标人在评标过程中所进行的试图影响评标结果的不公正活动，可能导致其投标按无效处理。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29.评标方法及评标标准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Ansi="宋体" w:cs="宋体"/>
          <w:color w:val="000000" w:themeColor="text1"/>
          <w:highlight w:val="none"/>
          <w14:textFill>
            <w14:solidFill>
              <w14:schemeClr w14:val="tx1"/>
            </w14:solidFill>
          </w14:textFill>
        </w:rPr>
        <w:t xml:space="preserve"> </w:t>
      </w:r>
      <w:r>
        <w:rPr>
          <w:rFonts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w:t>
      </w:r>
      <w:r>
        <w:rPr>
          <w:rFonts w:hAnsi="宋体" w:cs="宋体"/>
          <w:b/>
          <w:color w:val="000000" w:themeColor="text1"/>
          <w:highlight w:val="none"/>
          <w14:textFill>
            <w14:solidFill>
              <w14:schemeClr w14:val="tx1"/>
            </w14:solidFill>
          </w14:textFill>
        </w:rPr>
        <w:t xml:space="preserve"> </w:t>
      </w:r>
      <w:r>
        <w:rPr>
          <w:rFonts w:hint="eastAsia" w:hAnsi="宋体" w:cs="宋体"/>
          <w:b/>
          <w:color w:val="000000" w:themeColor="text1"/>
          <w:highlight w:val="none"/>
          <w14:textFill>
            <w14:solidFill>
              <w14:schemeClr w14:val="tx1"/>
            </w14:solidFill>
          </w14:textFill>
        </w:rPr>
        <w:t>评标方法和评标标准”</w:t>
      </w:r>
      <w:r>
        <w:rPr>
          <w:rFonts w:hAnsi="宋体"/>
          <w:color w:val="000000" w:themeColor="text1"/>
          <w:highlight w:val="none"/>
          <w14:textFill>
            <w14:solidFill>
              <w14:schemeClr w14:val="tx1"/>
            </w14:solidFill>
          </w14:textFill>
        </w:rPr>
        <w:t>规定的方法、评审因素、标准和程序对投标文件进行评审。</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r>
        <w:rPr>
          <w:rFonts w:hAnsi="宋体"/>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r>
        <w:rPr>
          <w:rFonts w:hAnsi="宋体"/>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）其他无法保证电子交易的公平、公正和安全的情况。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pStyle w:val="15"/>
        <w:snapToGrid w:val="0"/>
        <w:spacing w:line="400" w:lineRule="exact"/>
        <w:ind w:firstLine="420" w:firstLineChars="200"/>
        <w:rPr>
          <w:rFonts w:hAnsi="宋体"/>
          <w:color w:val="000000" w:themeColor="text1"/>
          <w:highlight w:val="none"/>
          <w14:textFill>
            <w14:solidFill>
              <w14:schemeClr w14:val="tx1"/>
            </w14:solidFill>
          </w14:textFill>
        </w:rPr>
      </w:pPr>
    </w:p>
    <w:p>
      <w:pPr>
        <w:pStyle w:val="6"/>
        <w:keepNext w:val="0"/>
        <w:keepLines w:val="0"/>
        <w:spacing w:line="400" w:lineRule="exact"/>
        <w:jc w:val="center"/>
        <w:rPr>
          <w:color w:val="000000" w:themeColor="text1"/>
          <w:highlight w:val="none"/>
          <w14:textFill>
            <w14:solidFill>
              <w14:schemeClr w14:val="tx1"/>
            </w14:solidFill>
          </w14:textFill>
        </w:rPr>
      </w:pPr>
      <w:bookmarkStart w:id="212" w:name="_Toc254970687"/>
      <w:bookmarkStart w:id="213" w:name="_Toc254970546"/>
      <w:bookmarkStart w:id="214" w:name="_Toc3392"/>
      <w:bookmarkStart w:id="215" w:name="_Toc22520"/>
      <w:bookmarkStart w:id="216" w:name="_Toc13767"/>
      <w:bookmarkStart w:id="217" w:name="_Toc378"/>
      <w:bookmarkStart w:id="218" w:name="_Toc9476"/>
      <w:bookmarkStart w:id="219" w:name="_Toc27969"/>
      <w:r>
        <w:rPr>
          <w:rFonts w:hint="eastAsia"/>
          <w:color w:val="000000" w:themeColor="text1"/>
          <w:highlight w:val="none"/>
          <w14:textFill>
            <w14:solidFill>
              <w14:schemeClr w14:val="tx1"/>
            </w14:solidFill>
          </w14:textFill>
        </w:rPr>
        <w:t>七、</w:t>
      </w:r>
      <w:bookmarkEnd w:id="212"/>
      <w:bookmarkEnd w:id="213"/>
      <w:r>
        <w:rPr>
          <w:rFonts w:hint="eastAsia"/>
          <w:color w:val="000000" w:themeColor="text1"/>
          <w:highlight w:val="none"/>
          <w14:textFill>
            <w14:solidFill>
              <w14:schemeClr w14:val="tx1"/>
            </w14:solidFill>
          </w14:textFill>
        </w:rPr>
        <w:t>中标和合同</w:t>
      </w:r>
      <w:bookmarkEnd w:id="214"/>
      <w:bookmarkEnd w:id="215"/>
      <w:bookmarkEnd w:id="216"/>
      <w:bookmarkEnd w:id="217"/>
      <w:bookmarkEnd w:id="218"/>
      <w:bookmarkEnd w:id="219"/>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30.确定中标</w:t>
      </w:r>
      <w:r>
        <w:rPr>
          <w:rFonts w:hint="eastAsia" w:ascii="黑体" w:hAnsi="黑体" w:eastAsia="黑体"/>
          <w:b/>
          <w:bCs/>
          <w:color w:val="000000" w:themeColor="text1"/>
          <w:sz w:val="24"/>
          <w:highlight w:val="none"/>
          <w:lang w:eastAsia="zh-CN"/>
          <w14:textFill>
            <w14:solidFill>
              <w14:schemeClr w14:val="tx1"/>
            </w14:solidFill>
          </w14:textFill>
        </w:rPr>
        <w:t>候选</w:t>
      </w:r>
      <w:r>
        <w:rPr>
          <w:rFonts w:ascii="黑体" w:hAnsi="黑体" w:eastAsia="黑体"/>
          <w:b/>
          <w:bCs/>
          <w:color w:val="000000" w:themeColor="text1"/>
          <w:sz w:val="24"/>
          <w:highlight w:val="none"/>
          <w14:textFill>
            <w14:solidFill>
              <w14:schemeClr w14:val="tx1"/>
            </w14:solidFill>
          </w14:textFill>
        </w:rPr>
        <w:t>人</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cs="Courier New"/>
          <w:b/>
          <w:bCs/>
          <w:color w:val="000000" w:themeColor="text1"/>
          <w:szCs w:val="21"/>
          <w:highlight w:val="none"/>
          <w14:textFill>
            <w14:solidFill>
              <w14:schemeClr w14:val="tx1"/>
            </w14:solidFill>
          </w14:textFill>
        </w:rPr>
      </w:pPr>
      <w:r>
        <w:rPr>
          <w:rFonts w:ascii="宋体" w:hAnsi="宋体" w:cs="Courier New"/>
          <w:b/>
          <w:bCs/>
          <w:color w:val="000000" w:themeColor="text1"/>
          <w:szCs w:val="21"/>
          <w:highlight w:val="none"/>
          <w14:textFill>
            <w14:solidFill>
              <w14:schemeClr w14:val="tx1"/>
            </w14:solidFill>
          </w14:textFill>
        </w:rPr>
        <w:t>30.1</w:t>
      </w:r>
      <w:r>
        <w:rPr>
          <w:rFonts w:hint="eastAsia" w:ascii="宋体" w:hAnsi="宋体" w:cs="Courier New"/>
          <w:b/>
          <w:bCs/>
          <w:color w:val="000000" w:themeColor="text1"/>
          <w:szCs w:val="21"/>
          <w:highlight w:val="none"/>
          <w14:textFill>
            <w14:solidFill>
              <w14:schemeClr w14:val="tx1"/>
            </w14:solidFill>
          </w14:textFill>
        </w:rPr>
        <w:t>本项目评标委员会按第四章“评标方法及标准”的规定排列</w:t>
      </w:r>
      <w:r>
        <w:rPr>
          <w:rFonts w:hint="eastAsia" w:ascii="宋体" w:hAnsi="宋体" w:cs="Courier New"/>
          <w:b/>
          <w:bCs/>
          <w:color w:val="000000" w:themeColor="text1"/>
          <w:szCs w:val="21"/>
          <w:highlight w:val="none"/>
          <w:lang w:eastAsia="zh-CN"/>
          <w14:textFill>
            <w14:solidFill>
              <w14:schemeClr w14:val="tx1"/>
            </w14:solidFill>
          </w14:textFill>
        </w:rPr>
        <w:t>推荐</w:t>
      </w:r>
      <w:r>
        <w:rPr>
          <w:rFonts w:hint="eastAsia" w:ascii="宋体" w:hAnsi="宋体" w:cs="Courier New"/>
          <w:b/>
          <w:bCs/>
          <w:color w:val="000000" w:themeColor="text1"/>
          <w:szCs w:val="21"/>
          <w:highlight w:val="none"/>
          <w:lang w:val="en-US" w:eastAsia="zh-CN"/>
          <w14:textFill>
            <w14:solidFill>
              <w14:schemeClr w14:val="tx1"/>
            </w14:solidFill>
          </w14:textFill>
        </w:rPr>
        <w:t>3名候选社会资本方</w:t>
      </w:r>
      <w:r>
        <w:rPr>
          <w:rFonts w:hint="eastAsia" w:ascii="宋体" w:hAnsi="宋体" w:cs="Courier New"/>
          <w:b/>
          <w:bCs/>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30.2</w:t>
      </w:r>
      <w:r>
        <w:rPr>
          <w:rFonts w:hint="eastAsia" w:ascii="宋体" w:hAnsi="宋体" w:cs="Courier New"/>
          <w:color w:val="000000" w:themeColor="text1"/>
          <w:szCs w:val="21"/>
          <w:highlight w:val="none"/>
          <w:lang w:eastAsia="zh-CN"/>
          <w14:textFill>
            <w14:solidFill>
              <w14:schemeClr w14:val="tx1"/>
            </w14:solidFill>
          </w14:textFill>
        </w:rPr>
        <w:t>项目实施机构</w:t>
      </w:r>
      <w:r>
        <w:rPr>
          <w:rFonts w:hint="eastAsia" w:ascii="宋体" w:hAnsi="宋体" w:cs="Courier New"/>
          <w:color w:val="000000" w:themeColor="text1"/>
          <w:szCs w:val="21"/>
          <w:highlight w:val="none"/>
          <w14:textFill>
            <w14:solidFill>
              <w14:schemeClr w14:val="tx1"/>
            </w14:solidFill>
          </w14:textFill>
        </w:rPr>
        <w:t>、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30.3</w:t>
      </w:r>
      <w:r>
        <w:rPr>
          <w:rFonts w:hint="eastAsia" w:ascii="宋体" w:hAnsi="宋体" w:cs="Courier New"/>
          <w:color w:val="000000" w:themeColor="text1"/>
          <w:szCs w:val="21"/>
          <w:highlight w:val="none"/>
          <w14:textFill>
            <w14:solidFill>
              <w14:schemeClr w14:val="tx1"/>
            </w14:solidFill>
          </w14:textFill>
        </w:rPr>
        <w:t>中标供应商无正当理由拒签合同的，根据《中华人民共和国政府采购法》第七十七条第一款规定处理。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30.4根据《中华人民共和国民法典》</w:t>
      </w:r>
      <w:r>
        <w:rPr>
          <w:rFonts w:hint="eastAsia" w:ascii="宋体" w:hAnsi="宋体" w:cs="Courier New"/>
          <w:color w:val="000000" w:themeColor="text1"/>
          <w:szCs w:val="21"/>
          <w:highlight w:val="none"/>
          <w14:textFill>
            <w14:solidFill>
              <w14:schemeClr w14:val="tx1"/>
            </w14:solidFill>
          </w14:textFill>
        </w:rPr>
        <w:t>第五百六十三条，因不可抗力致使不能实现合同目的的，当事人可以解除合同。</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31.采购结果确认</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31</w:t>
      </w:r>
      <w:r>
        <w:rPr>
          <w:rFonts w:hint="eastAsia" w:ascii="宋体" w:hAnsi="宋体" w:eastAsia="宋体" w:cs="宋体"/>
          <w:color w:val="000000" w:themeColor="text1"/>
          <w:sz w:val="21"/>
          <w:szCs w:val="21"/>
          <w:highlight w:val="none"/>
          <w:lang w:eastAsia="zh-CN"/>
          <w14:textFill>
            <w14:solidFill>
              <w14:schemeClr w14:val="tx1"/>
            </w14:solidFill>
          </w14:textFill>
        </w:rPr>
        <w:t>.1采购代理机构将在评审结束后2个工作日内将评审报告送项目实施机构确认。</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31</w:t>
      </w:r>
      <w:r>
        <w:rPr>
          <w:rFonts w:hint="eastAsia" w:ascii="宋体" w:hAnsi="宋体" w:eastAsia="宋体" w:cs="宋体"/>
          <w:color w:val="000000" w:themeColor="text1"/>
          <w:sz w:val="21"/>
          <w:szCs w:val="21"/>
          <w:highlight w:val="none"/>
          <w:lang w:eastAsia="zh-CN"/>
          <w14:textFill>
            <w14:solidFill>
              <w14:schemeClr w14:val="tx1"/>
            </w14:solidFill>
          </w14:textFill>
        </w:rPr>
        <w:t>.2项目实施机构应当成立专门的采购结果确认谈判工作组，负责采购结果确认前的谈判和最终的采购结果确认工作。</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采购结果确认谈判工作组成员及数量由项目实施机构确定，但应当至少包括财政预算管理部门、行业主管部门代表，以及财务、法律等方面的专家。涉及价格管理、环境保护的PPP项目，谈判工作组还应当包括价格管理、环境保护行政执法机关代表。评审小组成员可以作为采购结果确认谈判工作组成员参与采购结果确认谈判。</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采购结果确认谈判工作组应当按照评审报告推荐的候选社会资本排名，依次与候选社会资本及与其合作的金融机构就项目合同中可变的细节问题进行项目合同签署前的确认谈判，率先达成一致的候选社会资本即为预中标、成交社会资本。</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确认谈判不得涉及项目合同中不可谈判的核心条款，不得与排序在前但已终止谈判的社会资本进行重复谈判。</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项目实施机构应当在预中标、成交社会资本确定后10个工作日内，与预中标、成交社会资本签署确认谈判备忘录，并将预中标、成交结果和根据采购文件、响应文件及有关补遗文件和确认谈判备忘录拟定的项目合同文本在省级以上人民政府财政部门指定的政府采购信息发布媒体上进行公示，公示期不得少于5个工作日。项目合同文本应当将预中标、成交社会资本响应文件中的重要承诺和技术文件等作为附件。项目合同文本涉及国家秘密、商业秘密的内容可以不公示。</w:t>
      </w:r>
    </w:p>
    <w:p>
      <w:pPr>
        <w:pStyle w:val="8"/>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项目实施机构应当在公示期满无异议后2个工作日内，将中标、成交结果在省级以上人民政府财政部门指定的政府采购信息发布媒体上进行公告，同时发出中标、成交通知书。</w:t>
      </w:r>
      <w:r>
        <w:rPr>
          <w:rFonts w:hint="eastAsia" w:ascii="宋体" w:hAnsi="宋体"/>
          <w:b w:val="0"/>
          <w:color w:val="000000" w:themeColor="text1"/>
          <w:sz w:val="21"/>
          <w:szCs w:val="21"/>
          <w:highlight w:val="none"/>
          <w14:textFill>
            <w14:solidFill>
              <w14:schemeClr w14:val="tx1"/>
            </w14:solidFill>
          </w14:textFill>
        </w:rPr>
        <w:t>采购代理机构向中标</w:t>
      </w:r>
      <w:r>
        <w:rPr>
          <w:rFonts w:hint="eastAsia" w:ascii="宋体" w:hAnsi="宋体"/>
          <w:b w:val="0"/>
          <w:color w:val="000000" w:themeColor="text1"/>
          <w:sz w:val="21"/>
          <w:szCs w:val="21"/>
          <w:highlight w:val="none"/>
          <w:lang w:eastAsia="zh-CN"/>
          <w14:textFill>
            <w14:solidFill>
              <w14:schemeClr w14:val="tx1"/>
            </w14:solidFill>
          </w14:textFill>
        </w:rPr>
        <w:t>社会资本</w:t>
      </w:r>
      <w:r>
        <w:rPr>
          <w:rFonts w:hint="eastAsia" w:ascii="宋体" w:hAnsi="宋体"/>
          <w:b w:val="0"/>
          <w:color w:val="000000" w:themeColor="text1"/>
          <w:sz w:val="21"/>
          <w:szCs w:val="21"/>
          <w:highlight w:val="none"/>
          <w14:textFill>
            <w14:solidFill>
              <w14:schemeClr w14:val="tx1"/>
            </w14:solidFill>
          </w14:textFill>
        </w:rPr>
        <w:t>通过“政采云”平台发出电子中标通知书。</w:t>
      </w:r>
    </w:p>
    <w:p>
      <w:pPr>
        <w:keepNext w:val="0"/>
        <w:keepLines w:val="0"/>
        <w:pageBreakBefore w:val="0"/>
        <w:widowControl w:val="0"/>
        <w:kinsoku/>
        <w:wordWrap/>
        <w:overflowPunct/>
        <w:topLinePunct w:val="0"/>
        <w:autoSpaceDE/>
        <w:autoSpaceDN/>
        <w:bidi w:val="0"/>
        <w:adjustRightInd/>
        <w:spacing w:after="0" w:line="440" w:lineRule="exact"/>
        <w:ind w:firstLine="420" w:firstLineChars="200"/>
        <w:jc w:val="both"/>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中标、成交结果公告内容应当包括：项目实施机构和采购代理机构的名称、地址和联系方式；项目名称和项目编号；中标或者成交社会资本的名称、地址、法人代表；中标或者成交标的名称、主要中标或者成交条件（包括但不限于合作期限、服务要求、项目概算、回报机制）等；评审小组和采购结果确认谈判工作组成员名单。</w:t>
      </w:r>
    </w:p>
    <w:p>
      <w:pPr>
        <w:pStyle w:val="8"/>
        <w:keepNext w:val="0"/>
        <w:keepLines w:val="0"/>
        <w:spacing w:before="0" w:after="0" w:line="360" w:lineRule="auto"/>
        <w:ind w:left="420" w:left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pPr>
        <w:pStyle w:val="8"/>
        <w:keepNext w:val="0"/>
        <w:keepLines w:val="0"/>
        <w:spacing w:before="0" w:after="0" w:line="360" w:lineRule="auto"/>
        <w:ind w:left="420" w:leftChars="20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采购代理机构无义务向未中标的投标人解释未中标原因。</w:t>
      </w:r>
    </w:p>
    <w:p>
      <w:pPr>
        <w:pStyle w:val="8"/>
        <w:keepNext w:val="0"/>
        <w:keepLines w:val="0"/>
        <w:spacing w:before="0" w:after="0" w:line="360" w:lineRule="auto"/>
        <w:ind w:left="420" w:left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pPr>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35.履约保函</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bookmarkStart w:id="220" w:name="_39.1中标人须于签订合同前按本须知前附表规定的金额转账或电汇到指定账"/>
      <w:bookmarkEnd w:id="220"/>
      <w:r>
        <w:rPr>
          <w:rFonts w:ascii="宋体" w:hAnsi="宋体"/>
          <w:b/>
          <w:color w:val="000000" w:themeColor="text1"/>
          <w:szCs w:val="21"/>
          <w:highlight w:val="none"/>
          <w14:textFill>
            <w14:solidFill>
              <w14:schemeClr w14:val="tx1"/>
            </w14:solidFill>
          </w14:textFill>
        </w:rPr>
        <w:t>35.1履约保函体系：见投标人须知前附表。</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36.签订合同</w:t>
      </w:r>
    </w:p>
    <w:p>
      <w:pPr>
        <w:pStyle w:val="8"/>
        <w:keepNext w:val="0"/>
        <w:keepLines w:val="0"/>
        <w:pageBreakBefore w:val="0"/>
        <w:widowControl w:val="0"/>
        <w:kinsoku/>
        <w:wordWrap/>
        <w:overflowPunct/>
        <w:topLinePunct w:val="0"/>
        <w:autoSpaceDE/>
        <w:autoSpaceDN/>
        <w:bidi w:val="0"/>
        <w:adjustRightInd/>
        <w:spacing w:before="0" w:after="0" w:line="440" w:lineRule="exact"/>
        <w:ind w:firstLine="315" w:firstLineChars="150"/>
        <w:textAlignment w:val="auto"/>
        <w:rPr>
          <w:rFonts w:hint="eastAsia" w:ascii="宋体" w:hAnsi="宋体"/>
          <w:b w:val="0"/>
          <w:bCs/>
          <w:color w:val="000000" w:themeColor="text1"/>
          <w:sz w:val="21"/>
          <w:szCs w:val="21"/>
          <w:highlight w:val="none"/>
          <w14:textFill>
            <w14:solidFill>
              <w14:schemeClr w14:val="tx1"/>
            </w14:solidFill>
          </w14:textFill>
        </w:rPr>
      </w:pPr>
      <w:bookmarkStart w:id="221" w:name="_41.政府采购合同公告"/>
      <w:bookmarkEnd w:id="221"/>
      <w:bookmarkStart w:id="222" w:name="_40.1投标人接到中标通知书后，按须知前附表规定向采购人出示相关资格证"/>
      <w:bookmarkEnd w:id="222"/>
      <w:r>
        <w:rPr>
          <w:rFonts w:hint="eastAsia" w:ascii="宋体" w:hAnsi="宋体"/>
          <w:b w:val="0"/>
          <w:bCs/>
          <w:color w:val="000000" w:themeColor="text1"/>
          <w:sz w:val="21"/>
          <w:szCs w:val="21"/>
          <w:highlight w:val="none"/>
          <w14:textFill>
            <w14:solidFill>
              <w14:schemeClr w14:val="tx1"/>
            </w14:solidFill>
          </w14:textFill>
        </w:rPr>
        <w:t xml:space="preserve"> 36.1签订电子采购合同：中标人领取电子中标通知书后，</w:t>
      </w:r>
      <w:r>
        <w:rPr>
          <w:rFonts w:hint="eastAsia" w:ascii="宋体" w:hAnsi="宋体"/>
          <w:b w:val="0"/>
          <w:bCs/>
          <w:color w:val="000000" w:themeColor="text1"/>
          <w:kern w:val="0"/>
          <w:sz w:val="21"/>
          <w:szCs w:val="21"/>
          <w:highlight w:val="none"/>
          <w14:textFill>
            <w14:solidFill>
              <w14:schemeClr w14:val="tx1"/>
            </w14:solidFill>
          </w14:textFill>
        </w:rPr>
        <w:t>在</w:t>
      </w:r>
      <w:r>
        <w:rPr>
          <w:rFonts w:hint="eastAsia" w:ascii="宋体" w:hAnsi="宋体"/>
          <w:b w:val="0"/>
          <w:bCs/>
          <w:color w:val="000000" w:themeColor="text1"/>
          <w:kern w:val="0"/>
          <w:sz w:val="21"/>
          <w:szCs w:val="21"/>
          <w:highlight w:val="none"/>
          <w:lang w:val="zh-CN"/>
          <w14:textFill>
            <w14:solidFill>
              <w14:schemeClr w14:val="tx1"/>
            </w14:solidFill>
          </w14:textFill>
        </w:rPr>
        <w:t>规定的日期、时间、地点，由法定代表人或其授权代表与项目实施机构代表签订电子采购合同。如中标人为联合体的，由联合体成员各方法定代表人或其授权代表与项目实施机构代表签订合同。</w:t>
      </w:r>
    </w:p>
    <w:p>
      <w:pPr>
        <w:pStyle w:val="8"/>
        <w:keepNext w:val="0"/>
        <w:keepLines w:val="0"/>
        <w:pageBreakBefore w:val="0"/>
        <w:widowControl w:val="0"/>
        <w:kinsoku/>
        <w:wordWrap/>
        <w:overflowPunct/>
        <w:topLinePunct w:val="0"/>
        <w:autoSpaceDE/>
        <w:autoSpaceDN/>
        <w:bidi w:val="0"/>
        <w:adjustRightInd/>
        <w:spacing w:before="0" w:after="0" w:line="440" w:lineRule="exact"/>
        <w:ind w:firstLine="316" w:firstLineChars="150"/>
        <w:textAlignment w:val="auto"/>
        <w:rPr>
          <w:rFonts w:hint="eastAsia" w:ascii="宋体" w:hAnsi="宋体"/>
          <w:b/>
          <w:bCs w:val="0"/>
          <w:color w:val="000000" w:themeColor="text1"/>
          <w:sz w:val="21"/>
          <w:szCs w:val="21"/>
          <w:highlight w:val="none"/>
          <w14:textFill>
            <w14:solidFill>
              <w14:schemeClr w14:val="tx1"/>
            </w14:solidFill>
          </w14:textFill>
        </w:rPr>
      </w:pPr>
      <w:r>
        <w:rPr>
          <w:rFonts w:hint="eastAsia" w:ascii="宋体" w:hAnsi="宋体"/>
          <w:b/>
          <w:bCs w:val="0"/>
          <w:color w:val="000000" w:themeColor="text1"/>
          <w:sz w:val="21"/>
          <w:szCs w:val="21"/>
          <w:highlight w:val="none"/>
          <w14:textFill>
            <w14:solidFill>
              <w14:schemeClr w14:val="tx1"/>
            </w14:solidFill>
          </w14:textFill>
        </w:rPr>
        <w:t xml:space="preserve"> 线下签订纸质合同：投标人领取中标通知书后，按“投标人须知前附表”规定向</w:t>
      </w:r>
      <w:r>
        <w:rPr>
          <w:rFonts w:hint="eastAsia" w:ascii="宋体" w:hAnsi="宋体"/>
          <w:b/>
          <w:bCs w:val="0"/>
          <w:color w:val="000000" w:themeColor="text1"/>
          <w:sz w:val="21"/>
          <w:szCs w:val="21"/>
          <w:highlight w:val="none"/>
          <w:lang w:eastAsia="zh-CN"/>
          <w14:textFill>
            <w14:solidFill>
              <w14:schemeClr w14:val="tx1"/>
            </w14:solidFill>
          </w14:textFill>
        </w:rPr>
        <w:t>项目实施机构</w:t>
      </w:r>
      <w:r>
        <w:rPr>
          <w:rFonts w:hint="eastAsia" w:ascii="宋体" w:hAnsi="宋体"/>
          <w:b/>
          <w:bCs w:val="0"/>
          <w:color w:val="000000" w:themeColor="text1"/>
          <w:sz w:val="21"/>
          <w:szCs w:val="21"/>
          <w:highlight w:val="none"/>
          <w14:textFill>
            <w14:solidFill>
              <w14:schemeClr w14:val="tx1"/>
            </w14:solidFill>
          </w14:textFill>
        </w:rPr>
        <w:t>出示相关证明材料，经</w:t>
      </w:r>
      <w:r>
        <w:rPr>
          <w:rFonts w:hint="eastAsia" w:ascii="宋体" w:hAnsi="宋体"/>
          <w:b/>
          <w:bCs w:val="0"/>
          <w:color w:val="000000" w:themeColor="text1"/>
          <w:sz w:val="21"/>
          <w:szCs w:val="21"/>
          <w:highlight w:val="none"/>
          <w:lang w:eastAsia="zh-CN"/>
          <w14:textFill>
            <w14:solidFill>
              <w14:schemeClr w14:val="tx1"/>
            </w14:solidFill>
          </w14:textFill>
        </w:rPr>
        <w:t>项目实施机构</w:t>
      </w:r>
      <w:r>
        <w:rPr>
          <w:rFonts w:hint="eastAsia" w:ascii="宋体" w:hAnsi="宋体"/>
          <w:b/>
          <w:bCs w:val="0"/>
          <w:color w:val="000000" w:themeColor="text1"/>
          <w:sz w:val="21"/>
          <w:szCs w:val="21"/>
          <w:highlight w:val="none"/>
          <w14:textFill>
            <w14:solidFill>
              <w14:schemeClr w14:val="tx1"/>
            </w14:solidFill>
          </w14:textFill>
        </w:rPr>
        <w:t>核验合格后方可签订合同。</w:t>
      </w:r>
    </w:p>
    <w:p>
      <w:pPr>
        <w:pStyle w:val="8"/>
        <w:keepNext w:val="0"/>
        <w:keepLines w:val="0"/>
        <w:pageBreakBefore w:val="0"/>
        <w:widowControl w:val="0"/>
        <w:numPr>
          <w:ilvl w:val="0"/>
          <w:numId w:val="0"/>
        </w:numPr>
        <w:kinsoku/>
        <w:wordWrap/>
        <w:overflowPunct/>
        <w:topLinePunct w:val="0"/>
        <w:autoSpaceDE/>
        <w:autoSpaceDN/>
        <w:bidi w:val="0"/>
        <w:adjustRightInd/>
        <w:spacing w:before="0" w:after="0" w:line="440" w:lineRule="exact"/>
        <w:ind w:firstLine="420" w:firstLine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36.2签订合同时间：按中标通知书规定的时间与</w:t>
      </w:r>
      <w:r>
        <w:rPr>
          <w:rFonts w:hint="eastAsia" w:ascii="宋体" w:hAnsi="宋体"/>
          <w:b w:val="0"/>
          <w:color w:val="000000" w:themeColor="text1"/>
          <w:sz w:val="21"/>
          <w:szCs w:val="21"/>
          <w:highlight w:val="none"/>
          <w:lang w:eastAsia="zh-CN"/>
          <w14:textFill>
            <w14:solidFill>
              <w14:schemeClr w14:val="tx1"/>
            </w14:solidFill>
          </w14:textFill>
        </w:rPr>
        <w:t>项目实施机构</w:t>
      </w:r>
      <w:r>
        <w:rPr>
          <w:rFonts w:hint="eastAsia" w:ascii="宋体" w:hAnsi="宋体"/>
          <w:b w:val="0"/>
          <w:color w:val="000000" w:themeColor="text1"/>
          <w:sz w:val="21"/>
          <w:szCs w:val="21"/>
          <w:highlight w:val="none"/>
          <w14:textFill>
            <w14:solidFill>
              <w14:schemeClr w14:val="tx1"/>
            </w14:solidFill>
          </w14:textFill>
        </w:rPr>
        <w:t>签订合同。</w:t>
      </w:r>
    </w:p>
    <w:p>
      <w:pPr>
        <w:pStyle w:val="8"/>
        <w:keepNext w:val="0"/>
        <w:keepLines w:val="0"/>
        <w:pageBreakBefore w:val="0"/>
        <w:widowControl w:val="0"/>
        <w:kinsoku/>
        <w:wordWrap/>
        <w:overflowPunct/>
        <w:topLinePunct w:val="0"/>
        <w:autoSpaceDE/>
        <w:autoSpaceDN/>
        <w:bidi w:val="0"/>
        <w:adjustRightInd/>
        <w:spacing w:before="0" w:after="0" w:line="440" w:lineRule="exact"/>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36.</w:t>
      </w:r>
      <w:r>
        <w:rPr>
          <w:rFonts w:ascii="宋体" w:hAnsi="宋体"/>
          <w:b w:val="0"/>
          <w:color w:val="000000" w:themeColor="text1"/>
          <w:sz w:val="21"/>
          <w:szCs w:val="21"/>
          <w:highlight w:val="none"/>
          <w14:textFill>
            <w14:solidFill>
              <w14:schemeClr w14:val="tx1"/>
            </w14:solidFill>
          </w14:textFill>
        </w:rPr>
        <w:t>3</w:t>
      </w:r>
      <w:r>
        <w:rPr>
          <w:rFonts w:hint="eastAsia" w:ascii="宋体" w:hAnsi="宋体"/>
          <w:b w:val="0"/>
          <w:color w:val="000000" w:themeColor="text1"/>
          <w:sz w:val="21"/>
          <w:szCs w:val="21"/>
          <w:highlight w:val="none"/>
          <w14:textFill>
            <w14:solidFill>
              <w14:schemeClr w14:val="tx1"/>
            </w14:solidFill>
          </w14:textFill>
        </w:rPr>
        <w:t>中标人拒绝签订政府采购合同（包括但不限于放弃中标、因不可抗力不能履行合同而放弃签订合同），</w:t>
      </w:r>
      <w:r>
        <w:rPr>
          <w:rFonts w:hint="eastAsia" w:ascii="宋体" w:hAnsi="宋体"/>
          <w:b w:val="0"/>
          <w:color w:val="000000" w:themeColor="text1"/>
          <w:sz w:val="21"/>
          <w:szCs w:val="21"/>
          <w:highlight w:val="none"/>
          <w:lang w:eastAsia="zh-CN"/>
          <w14:textFill>
            <w14:solidFill>
              <w14:schemeClr w14:val="tx1"/>
            </w14:solidFill>
          </w14:textFill>
        </w:rPr>
        <w:t>项目实施机构</w:t>
      </w:r>
      <w:r>
        <w:rPr>
          <w:rFonts w:hint="eastAsia" w:ascii="宋体" w:hAnsi="宋体"/>
          <w:b w:val="0"/>
          <w:color w:val="000000" w:themeColor="text1"/>
          <w:sz w:val="21"/>
          <w:szCs w:val="21"/>
          <w:highlight w:val="none"/>
          <w14:textFill>
            <w14:solidFill>
              <w14:schemeClr w14:val="tx1"/>
            </w14:solidFill>
          </w14:textFill>
        </w:rPr>
        <w:t>可以按照评审报告推荐的中标候选人名单排序，确定下一候选人为中标供应商，也可以重新开展政府采购活动。如</w:t>
      </w:r>
      <w:r>
        <w:rPr>
          <w:rFonts w:hint="eastAsia" w:ascii="宋体" w:hAnsi="宋体"/>
          <w:b w:val="0"/>
          <w:color w:val="000000" w:themeColor="text1"/>
          <w:sz w:val="21"/>
          <w:szCs w:val="21"/>
          <w:highlight w:val="none"/>
          <w:lang w:eastAsia="zh-CN"/>
          <w14:textFill>
            <w14:solidFill>
              <w14:schemeClr w14:val="tx1"/>
            </w14:solidFill>
          </w14:textFill>
        </w:rPr>
        <w:t>项目实施机构</w:t>
      </w:r>
      <w:r>
        <w:rPr>
          <w:rFonts w:hint="eastAsia" w:ascii="宋体" w:hAnsi="宋体"/>
          <w:b w:val="0"/>
          <w:color w:val="000000" w:themeColor="text1"/>
          <w:sz w:val="21"/>
          <w:szCs w:val="21"/>
          <w:highlight w:val="none"/>
          <w14:textFill>
            <w14:solidFill>
              <w14:schemeClr w14:val="tx1"/>
            </w14:solidFill>
          </w14:textFill>
        </w:rPr>
        <w:t>无正当理由拒签合同的，给中标供应商造成损失的，中标供应商可追究</w:t>
      </w:r>
      <w:r>
        <w:rPr>
          <w:rFonts w:hint="eastAsia" w:ascii="宋体" w:hAnsi="宋体"/>
          <w:b w:val="0"/>
          <w:color w:val="000000" w:themeColor="text1"/>
          <w:sz w:val="21"/>
          <w:szCs w:val="21"/>
          <w:highlight w:val="none"/>
          <w:lang w:eastAsia="zh-CN"/>
          <w14:textFill>
            <w14:solidFill>
              <w14:schemeClr w14:val="tx1"/>
            </w14:solidFill>
          </w14:textFill>
        </w:rPr>
        <w:t>项目实施机构</w:t>
      </w:r>
      <w:r>
        <w:rPr>
          <w:rFonts w:hint="eastAsia" w:ascii="宋体" w:hAnsi="宋体"/>
          <w:b w:val="0"/>
          <w:color w:val="000000" w:themeColor="text1"/>
          <w:sz w:val="21"/>
          <w:szCs w:val="21"/>
          <w:highlight w:val="none"/>
          <w14:textFill>
            <w14:solidFill>
              <w14:schemeClr w14:val="tx1"/>
            </w14:solidFill>
          </w14:textFill>
        </w:rPr>
        <w:t>承担相应的法律责任。</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36.4政府采购合同是政府采购项目验收的依据，中标供应商和</w:t>
      </w:r>
      <w:r>
        <w:rPr>
          <w:rFonts w:hint="eastAsia" w:ascii="宋体" w:hAnsi="宋体"/>
          <w:color w:val="000000" w:themeColor="text1"/>
          <w:szCs w:val="21"/>
          <w:highlight w:val="none"/>
          <w:lang w:eastAsia="zh-CN"/>
          <w14:textFill>
            <w14:solidFill>
              <w14:schemeClr w14:val="tx1"/>
            </w14:solidFill>
          </w14:textFill>
        </w:rPr>
        <w:t>项目实施机构</w:t>
      </w:r>
      <w:r>
        <w:rPr>
          <w:rFonts w:hint="eastAsia" w:ascii="宋体" w:hAnsi="宋体"/>
          <w:color w:val="000000" w:themeColor="text1"/>
          <w:szCs w:val="21"/>
          <w:highlight w:val="none"/>
          <w14:textFill>
            <w14:solidFill>
              <w14:schemeClr w14:val="tx1"/>
            </w14:solidFill>
          </w14:textFill>
        </w:rPr>
        <w:t>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w:t>
      </w:r>
      <w:r>
        <w:rPr>
          <w:rFonts w:hint="eastAsia" w:ascii="宋体" w:hAnsi="宋体"/>
          <w:color w:val="000000" w:themeColor="text1"/>
          <w:szCs w:val="21"/>
          <w:highlight w:val="none"/>
          <w:lang w:eastAsia="zh-CN"/>
          <w14:textFill>
            <w14:solidFill>
              <w14:schemeClr w14:val="tx1"/>
            </w14:solidFill>
          </w14:textFill>
        </w:rPr>
        <w:t>项目实施机构</w:t>
      </w:r>
      <w:r>
        <w:rPr>
          <w:rFonts w:hint="eastAsia" w:ascii="宋体" w:hAnsi="宋体"/>
          <w:color w:val="000000" w:themeColor="text1"/>
          <w:szCs w:val="21"/>
          <w:highlight w:val="none"/>
          <w14:textFill>
            <w14:solidFill>
              <w14:schemeClr w14:val="tx1"/>
            </w14:solidFill>
          </w14:textFill>
        </w:rPr>
        <w:t>或中标供应商不得单方面向合同另一方提出任何招标文件没有约定的条件或不合理的要求，作为签订合同的条件；也不得协商另行订立背离招标文件和合同实质性内容的协议。</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w:t>
      </w:r>
      <w:r>
        <w:rPr>
          <w:rFonts w:hint="eastAsia" w:ascii="宋体" w:hAnsi="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宋体"/>
          <w:color w:val="000000" w:themeColor="text1"/>
          <w:szCs w:val="21"/>
          <w:highlight w:val="none"/>
          <w14:textFill>
            <w14:solidFill>
              <w14:schemeClr w14:val="tx1"/>
            </w14:solidFill>
          </w14:textFill>
        </w:rPr>
        <w:t>政府采购合同履行中，</w:t>
      </w:r>
      <w:r>
        <w:rPr>
          <w:rFonts w:hint="eastAsia" w:ascii="宋体" w:hAnsi="宋体" w:cs="宋体"/>
          <w:color w:val="000000" w:themeColor="text1"/>
          <w:szCs w:val="21"/>
          <w:highlight w:val="none"/>
          <w:lang w:eastAsia="zh-CN"/>
          <w14:textFill>
            <w14:solidFill>
              <w14:schemeClr w14:val="tx1"/>
            </w14:solidFill>
          </w14:textFill>
        </w:rPr>
        <w:t>项目实施机构</w:t>
      </w:r>
      <w:r>
        <w:rPr>
          <w:rFonts w:hint="eastAsia" w:ascii="宋体" w:hAnsi="宋体" w:cs="宋体"/>
          <w:color w:val="000000" w:themeColor="text1"/>
          <w:szCs w:val="21"/>
          <w:highlight w:val="none"/>
          <w14:textFill>
            <w14:solidFill>
              <w14:schemeClr w14:val="tx1"/>
            </w14:solidFill>
          </w14:textFill>
        </w:rPr>
        <w:t>需追加与合同标的相同的货物、工程或者服务的，在不改变合同其他条款的前提下，可以与供应商协商签订补充合同，但所有补充合同的采购金额不得超过原合同采购金额的10%。</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37.政府采购合同公告</w:t>
      </w:r>
    </w:p>
    <w:p>
      <w:pPr>
        <w:pStyle w:val="15"/>
        <w:keepNext w:val="0"/>
        <w:keepLines w:val="0"/>
        <w:pageBreakBefore w:val="0"/>
        <w:widowControl w:val="0"/>
        <w:kinsoku/>
        <w:wordWrap/>
        <w:overflowPunct/>
        <w:topLinePunct w:val="0"/>
        <w:autoSpaceDE/>
        <w:autoSpaceDN/>
        <w:bidi w:val="0"/>
        <w:adjustRightInd/>
        <w:snapToGrid w:val="0"/>
        <w:spacing w:line="440" w:lineRule="exact"/>
        <w:ind w:firstLine="420" w:firstLineChars="200"/>
        <w:textAlignment w:val="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lang w:eastAsia="zh-CN"/>
          <w14:textFill>
            <w14:solidFill>
              <w14:schemeClr w14:val="tx1"/>
            </w14:solidFill>
          </w14:textFill>
        </w:rPr>
        <w:t>项目实施机构</w:t>
      </w:r>
      <w:r>
        <w:rPr>
          <w:rFonts w:hint="eastAsia" w:hAnsi="宋体"/>
          <w:color w:val="000000" w:themeColor="text1"/>
          <w:sz w:val="21"/>
          <w:highlight w:val="none"/>
          <w14:textFill>
            <w14:solidFill>
              <w14:schemeClr w14:val="tx1"/>
            </w14:solidFill>
          </w14:textFill>
        </w:rPr>
        <w:t>或者受托采购代理机构应当自政府采购合同签订之日起2个工作日内，将政府采购合同在省级以上人民政府财政部门指定的媒体上公告，</w:t>
      </w:r>
      <w:r>
        <w:rPr>
          <w:rFonts w:hAnsi="宋体"/>
          <w:color w:val="000000" w:themeColor="text1"/>
          <w:sz w:val="21"/>
          <w:highlight w:val="none"/>
          <w14:textFill>
            <w14:solidFill>
              <w14:schemeClr w14:val="tx1"/>
            </w14:solidFill>
          </w14:textFill>
        </w:rPr>
        <w:t>但政府采购合同中涉及国家秘密、商业秘密的内容除外。</w:t>
      </w:r>
    </w:p>
    <w:p>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ascii="黑体" w:hAnsi="黑体" w:eastAsia="黑体"/>
          <w:b/>
          <w:bCs/>
          <w:color w:val="000000" w:themeColor="text1"/>
          <w:sz w:val="24"/>
          <w:highlight w:val="none"/>
          <w14:textFill>
            <w14:solidFill>
              <w14:schemeClr w14:val="tx1"/>
            </w14:solidFill>
          </w14:textFill>
        </w:rPr>
      </w:pPr>
      <w:r>
        <w:rPr>
          <w:rFonts w:ascii="黑体" w:hAnsi="黑体" w:eastAsia="黑体"/>
          <w:b/>
          <w:bCs/>
          <w:color w:val="000000" w:themeColor="text1"/>
          <w:sz w:val="24"/>
          <w:highlight w:val="none"/>
          <w14:textFill>
            <w14:solidFill>
              <w14:schemeClr w14:val="tx1"/>
            </w14:solidFill>
          </w14:textFill>
        </w:rPr>
        <w:t>38. 询问、质疑和投诉</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w:t>
      </w:r>
      <w:r>
        <w:rPr>
          <w:rFonts w:hint="eastAsia" w:hAnsi="宋体"/>
          <w:bCs/>
          <w:color w:val="000000" w:themeColor="text1"/>
          <w:szCs w:val="21"/>
          <w:highlight w:val="none"/>
          <w:lang w:eastAsia="zh-CN"/>
          <w14:textFill>
            <w14:solidFill>
              <w14:schemeClr w14:val="tx1"/>
            </w14:solidFill>
          </w14:textFill>
        </w:rPr>
        <w:t>项目实施机构</w:t>
      </w:r>
      <w:r>
        <w:rPr>
          <w:rFonts w:hint="eastAsia" w:hAnsi="宋体"/>
          <w:bCs/>
          <w:color w:val="000000" w:themeColor="text1"/>
          <w:szCs w:val="21"/>
          <w:highlight w:val="none"/>
          <w14:textFill>
            <w14:solidFill>
              <w14:schemeClr w14:val="tx1"/>
            </w14:solidFill>
          </w14:textFill>
        </w:rPr>
        <w:t>或采购代理机构项目负责人提出询问。</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lang w:eastAsia="zh-CN"/>
          <w14:textFill>
            <w14:solidFill>
              <w14:schemeClr w14:val="tx1"/>
            </w14:solidFill>
          </w14:textFill>
        </w:rPr>
        <w:t>项目实施机构</w:t>
      </w:r>
      <w:r>
        <w:rPr>
          <w:rFonts w:hint="eastAsia" w:hAnsi="宋体"/>
          <w:bCs/>
          <w:color w:val="000000" w:themeColor="text1"/>
          <w:szCs w:val="21"/>
          <w:highlight w:val="none"/>
          <w14:textFill>
            <w14:solidFill>
              <w14:schemeClr w14:val="tx1"/>
            </w14:solidFill>
          </w14:textFill>
        </w:rPr>
        <w:t>或</w:t>
      </w:r>
      <w:r>
        <w:rPr>
          <w:rFonts w:hint="eastAsia" w:hAnsi="宋体"/>
          <w:bCs/>
          <w:color w:val="000000" w:themeColor="text1"/>
          <w:szCs w:val="21"/>
          <w:highlight w:val="none"/>
          <w:lang w:eastAsia="zh-CN"/>
          <w14:textFill>
            <w14:solidFill>
              <w14:schemeClr w14:val="tx1"/>
            </w14:solidFill>
          </w14:textFill>
        </w:rPr>
        <w:t>项目实施机构</w:t>
      </w:r>
      <w:r>
        <w:rPr>
          <w:rFonts w:hint="eastAsia" w:hAnsi="宋体"/>
          <w:bCs/>
          <w:color w:val="000000" w:themeColor="text1"/>
          <w:szCs w:val="21"/>
          <w:highlight w:val="none"/>
          <w14:textFill>
            <w14:solidFill>
              <w14:schemeClr w14:val="tx1"/>
            </w14:solidFill>
          </w14:textFill>
        </w:rPr>
        <w:t>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w:t>
      </w:r>
      <w:r>
        <w:rPr>
          <w:rFonts w:hint="eastAsia" w:hAnsi="宋体"/>
          <w:bCs/>
          <w:color w:val="000000" w:themeColor="text1"/>
          <w:szCs w:val="21"/>
          <w:highlight w:val="none"/>
          <w:lang w:eastAsia="zh-CN"/>
          <w14:textFill>
            <w14:solidFill>
              <w14:schemeClr w14:val="tx1"/>
            </w14:solidFill>
          </w14:textFill>
        </w:rPr>
        <w:t>项目实施机构</w:t>
      </w:r>
      <w:r>
        <w:rPr>
          <w:rFonts w:hint="eastAsia" w:hAnsi="宋体"/>
          <w:bCs/>
          <w:color w:val="000000" w:themeColor="text1"/>
          <w:szCs w:val="21"/>
          <w:highlight w:val="none"/>
          <w14:textFill>
            <w14:solidFill>
              <w14:schemeClr w14:val="tx1"/>
            </w14:solidFill>
          </w14:textFill>
        </w:rPr>
        <w:t>应当暂停签订合同，已经签订合同的，应当中止履行合同。</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38.2</w:t>
      </w:r>
      <w:r>
        <w:rPr>
          <w:rFonts w:hint="eastAsia" w:ascii="宋体" w:hAnsi="宋体"/>
          <w:color w:val="000000" w:themeColor="text1"/>
          <w:szCs w:val="21"/>
          <w:highlight w:val="none"/>
          <w14:textFill>
            <w14:solidFill>
              <w14:schemeClr w14:val="tx1"/>
            </w14:solidFill>
          </w14:textFill>
        </w:rPr>
        <w:t>质疑</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供应商认为招标文件、采购过程或者中标结果使自己的合法权益受到损害的，必须在知道或者应知其权益受到损害之日起</w:t>
      </w:r>
      <w:r>
        <w:rPr>
          <w:rFonts w:ascii="宋体" w:hAnsi="宋体"/>
          <w:b/>
          <w:color w:val="000000" w:themeColor="text1"/>
          <w:szCs w:val="21"/>
          <w:highlight w:val="none"/>
          <w14:textFill>
            <w14:solidFill>
              <w14:schemeClr w14:val="tx1"/>
            </w14:solidFill>
          </w14:textFill>
        </w:rPr>
        <w:t>7个工作日内，以书面形式向</w:t>
      </w:r>
      <w:r>
        <w:rPr>
          <w:rFonts w:hint="eastAsia" w:ascii="宋体" w:hAnsi="宋体"/>
          <w:b/>
          <w:color w:val="000000" w:themeColor="text1"/>
          <w:szCs w:val="21"/>
          <w:highlight w:val="none"/>
          <w:lang w:eastAsia="zh-CN"/>
          <w14:textFill>
            <w14:solidFill>
              <w14:schemeClr w14:val="tx1"/>
            </w14:solidFill>
          </w14:textFill>
        </w:rPr>
        <w:t>项目实施机构</w:t>
      </w:r>
      <w:r>
        <w:rPr>
          <w:rFonts w:ascii="宋体" w:hAnsi="宋体"/>
          <w:b/>
          <w:color w:val="000000" w:themeColor="text1"/>
          <w:szCs w:val="21"/>
          <w:highlight w:val="none"/>
          <w14:textFill>
            <w14:solidFill>
              <w14:schemeClr w14:val="tx1"/>
            </w14:solidFill>
          </w14:textFill>
        </w:rPr>
        <w:t>、采购代理机构提出质疑，质疑有效期结束后，</w:t>
      </w:r>
      <w:r>
        <w:rPr>
          <w:rFonts w:hint="eastAsia" w:ascii="宋体" w:hAnsi="宋体"/>
          <w:b/>
          <w:color w:val="000000" w:themeColor="text1"/>
          <w:szCs w:val="21"/>
          <w:highlight w:val="none"/>
          <w:lang w:eastAsia="zh-CN"/>
          <w14:textFill>
            <w14:solidFill>
              <w14:schemeClr w14:val="tx1"/>
            </w14:solidFill>
          </w14:textFill>
        </w:rPr>
        <w:t>项目实施机构</w:t>
      </w:r>
      <w:r>
        <w:rPr>
          <w:rFonts w:ascii="宋体" w:hAnsi="宋体"/>
          <w:b/>
          <w:color w:val="000000" w:themeColor="text1"/>
          <w:szCs w:val="21"/>
          <w:highlight w:val="none"/>
          <w14:textFill>
            <w14:solidFill>
              <w14:schemeClr w14:val="tx1"/>
            </w14:solidFill>
          </w14:textFill>
        </w:rPr>
        <w:t>或采购代理机构不再受理该项目质疑。</w:t>
      </w:r>
      <w:r>
        <w:rPr>
          <w:rFonts w:hint="eastAsia" w:ascii="宋体" w:hAnsi="宋体"/>
          <w:b/>
          <w:color w:val="000000" w:themeColor="text1"/>
          <w:szCs w:val="21"/>
          <w:highlight w:val="none"/>
          <w:lang w:eastAsia="zh-CN"/>
          <w14:textFill>
            <w14:solidFill>
              <w14:schemeClr w14:val="tx1"/>
            </w14:solidFill>
          </w14:textFill>
        </w:rPr>
        <w:t>项目实施机构</w:t>
      </w:r>
      <w:r>
        <w:rPr>
          <w:rFonts w:ascii="宋体" w:hAnsi="宋体"/>
          <w:b/>
          <w:color w:val="000000" w:themeColor="text1"/>
          <w:szCs w:val="21"/>
          <w:highlight w:val="none"/>
          <w14:textFill>
            <w14:solidFill>
              <w14:schemeClr w14:val="tx1"/>
            </w14:solidFill>
          </w14:textFill>
        </w:rPr>
        <w:t xml:space="preserve">、采购代理机构接收质疑函的方式、联系部门、联系电话和通讯地址等信息详见“投标人须知前附表”。具体质疑起算时间及处理方式如下： </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受理并负责答复；对公开招标文件中的采购执行程序的质疑由采购代理机构受理并负责答复。</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或代理机构提出，由</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或代理机构受理并负责答复；对采购过程中采购执行程序的质疑由采购代理机构受理并负责答复。</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受理并负责答复。</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采购活动的供应商（潜在供应商已依法获取可之一的采购文件的，可以对该采购文件质疑）；</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或</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委托的采购代理机构组织的采购活动；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或</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委托的采购代理机构质疑处理；</w:t>
      </w:r>
      <w:r>
        <w:rPr>
          <w:rFonts w:hAnsi="宋体"/>
          <w:bCs/>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b/>
          <w:color w:val="000000" w:themeColor="text1"/>
          <w:szCs w:val="21"/>
          <w:highlight w:val="none"/>
          <w14:textFill>
            <w14:solidFill>
              <w14:schemeClr w14:val="tx1"/>
            </w14:solidFill>
          </w14:textFill>
        </w:rPr>
      </w:pPr>
      <w:bookmarkStart w:id="223" w:name="_9.2质疑、投诉应当采用书面形式，质疑函、投诉书均应明确阐述招标文件、"/>
      <w:bookmarkEnd w:id="223"/>
      <w:r>
        <w:rPr>
          <w:rFonts w:ascii="宋体" w:hAnsi="宋体"/>
          <w:color w:val="000000" w:themeColor="text1"/>
          <w:szCs w:val="21"/>
          <w:highlight w:val="none"/>
          <w14:textFill>
            <w14:solidFill>
              <w14:schemeClr w14:val="tx1"/>
            </w14:solidFill>
          </w14:textFill>
        </w:rPr>
        <w:t xml:space="preserve"> 38.2.5 </w:t>
      </w:r>
      <w:r>
        <w:rPr>
          <w:rFonts w:hAnsi="宋体"/>
          <w:bCs/>
          <w:color w:val="000000" w:themeColor="text1"/>
          <w:highlight w:val="none"/>
          <w14:textFill>
            <w14:solidFill>
              <w14:schemeClr w14:val="tx1"/>
            </w14:solidFill>
          </w14:textFill>
        </w:rPr>
        <w:t>供应商提出质疑应当提交质疑函和必要的证明材料</w:t>
      </w: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针对同一采购程序环节的质疑</w:t>
      </w:r>
      <w:r>
        <w:rPr>
          <w:rFonts w:hint="eastAsia" w:hAnsi="宋体"/>
          <w:bCs/>
          <w:color w:val="000000" w:themeColor="text1"/>
          <w:highlight w:val="none"/>
          <w14:textFill>
            <w14:solidFill>
              <w14:schemeClr w14:val="tx1"/>
            </w14:solidFill>
          </w14:textFill>
        </w:rPr>
        <w:t>必须</w:t>
      </w:r>
      <w:r>
        <w:rPr>
          <w:rFonts w:hAnsi="宋体"/>
          <w:bCs/>
          <w:color w:val="000000" w:themeColor="text1"/>
          <w:highlight w:val="none"/>
          <w14:textFill>
            <w14:solidFill>
              <w14:schemeClr w14:val="tx1"/>
            </w14:solidFill>
          </w14:textFill>
        </w:rPr>
        <w:t>在法定质疑期内一次性提出。质疑函应当包括下列内容</w:t>
      </w:r>
      <w:r>
        <w:rPr>
          <w:rFonts w:hint="eastAsia" w:hAnsi="宋体"/>
          <w:bCs/>
          <w:color w:val="000000" w:themeColor="text1"/>
          <w:highlight w:val="none"/>
          <w14:textFill>
            <w14:solidFill>
              <w14:schemeClr w14:val="tx1"/>
            </w14:solidFill>
          </w14:textFill>
        </w:rPr>
        <w:t>（质疑函格式后附）</w:t>
      </w:r>
      <w:r>
        <w:rPr>
          <w:rFonts w:hAnsi="宋体"/>
          <w:bCs/>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（1）供应商的姓名或者名称、地址、邮编、联系人及联系电话；</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（2）质疑项目的名称、编号；</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（3）具体、明确的质疑事项和与质疑事项相关的请求；</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（4）事实依据</w:t>
      </w:r>
      <w:r>
        <w:rPr>
          <w:rFonts w:hint="eastAsia" w:hAnsi="宋体"/>
          <w:bCs/>
          <w:color w:val="000000" w:themeColor="text1"/>
          <w:highlight w:val="none"/>
          <w14:textFill>
            <w14:solidFill>
              <w14:schemeClr w14:val="tx1"/>
            </w14:solidFill>
          </w14:textFill>
        </w:rPr>
        <w:t>（列明权益受到损害的事实和理由）</w:t>
      </w:r>
      <w:r>
        <w:rPr>
          <w:rFonts w:hAnsi="宋体"/>
          <w:bCs/>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（5）必要的法律依据；</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（6）提出质疑的日期。</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r>
        <w:rPr>
          <w:rFonts w:hint="eastAsia" w:hAnsi="宋体"/>
          <w:bCs/>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0"/>
          <w:highlight w:val="none"/>
          <w14:textFill>
            <w14:solidFill>
              <w14:schemeClr w14:val="tx1"/>
            </w14:solidFill>
          </w14:textFill>
        </w:rPr>
      </w:pPr>
      <w:r>
        <w:rPr>
          <w:rFonts w:ascii="宋体" w:hAnsi="宋体"/>
          <w:b/>
          <w:color w:val="000000" w:themeColor="text1"/>
          <w:szCs w:val="20"/>
          <w:highlight w:val="none"/>
          <w14:textFill>
            <w14:solidFill>
              <w14:schemeClr w14:val="tx1"/>
            </w14:solidFill>
          </w14:textFill>
        </w:rPr>
        <w:t>38.2.6</w:t>
      </w:r>
      <w:r>
        <w:rPr>
          <w:rFonts w:hint="eastAsia" w:ascii="宋体" w:hAnsi="宋体"/>
          <w:b/>
          <w:color w:val="000000" w:themeColor="text1"/>
          <w:szCs w:val="20"/>
          <w:highlight w:val="none"/>
          <w:lang w:eastAsia="zh-CN"/>
          <w14:textFill>
            <w14:solidFill>
              <w14:schemeClr w14:val="tx1"/>
            </w14:solidFill>
          </w14:textFill>
        </w:rPr>
        <w:t>项目实施机构</w:t>
      </w:r>
      <w:r>
        <w:rPr>
          <w:rFonts w:ascii="宋体" w:hAnsi="宋体"/>
          <w:b/>
          <w:color w:val="000000" w:themeColor="text1"/>
          <w:szCs w:val="20"/>
          <w:highlight w:val="none"/>
          <w14:textFill>
            <w14:solidFill>
              <w14:schemeClr w14:val="tx1"/>
            </w14:solidFill>
          </w14:textFill>
        </w:rPr>
        <w:t>或</w:t>
      </w:r>
      <w:r>
        <w:rPr>
          <w:rFonts w:hint="eastAsia" w:ascii="宋体" w:hAnsi="宋体"/>
          <w:b/>
          <w:color w:val="000000" w:themeColor="text1"/>
          <w:szCs w:val="20"/>
          <w:highlight w:val="none"/>
          <w:lang w:eastAsia="zh-CN"/>
          <w14:textFill>
            <w14:solidFill>
              <w14:schemeClr w14:val="tx1"/>
            </w14:solidFill>
          </w14:textFill>
        </w:rPr>
        <w:t>项目实施机构</w:t>
      </w:r>
      <w:r>
        <w:rPr>
          <w:rFonts w:ascii="宋体" w:hAnsi="宋体"/>
          <w:b/>
          <w:color w:val="000000" w:themeColor="text1"/>
          <w:szCs w:val="20"/>
          <w:highlight w:val="none"/>
          <w14:textFill>
            <w14:solidFill>
              <w14:schemeClr w14:val="tx1"/>
            </w14:solidFill>
          </w14:textFill>
        </w:rPr>
        <w:t>委托的采购代理机构在收到质疑函后7个工作日内</w:t>
      </w:r>
      <w:r>
        <w:rPr>
          <w:rFonts w:hint="eastAsia" w:ascii="宋体" w:hAnsi="宋体"/>
          <w:b/>
          <w:color w:val="000000" w:themeColor="text1"/>
          <w:szCs w:val="20"/>
          <w:highlight w:val="none"/>
          <w14:textFill>
            <w14:solidFill>
              <w14:schemeClr w14:val="tx1"/>
            </w14:solidFill>
          </w14:textFill>
        </w:rPr>
        <w:t>作出答复，并以书面形式通知质疑供应商及其他有关供应商。对不符合质疑条件的质疑，答复不予受理，并说明理由；对符合质疑条件的质疑，对质疑事项作出答复</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bCs/>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ascii="宋体" w:hAnsi="宋体"/>
          <w:bCs/>
          <w:color w:val="000000" w:themeColor="text1"/>
          <w:szCs w:val="21"/>
          <w:highlight w:val="none"/>
          <w14:textFill>
            <w14:solidFill>
              <w14:schemeClr w14:val="tx1"/>
            </w14:solidFill>
          </w14:textFill>
        </w:rPr>
        <w:t>8.2.7</w:t>
      </w:r>
      <w:r>
        <w:rPr>
          <w:rFonts w:hint="eastAsia" w:ascii="宋体" w:hAnsi="宋体"/>
          <w:bCs/>
          <w:color w:val="000000" w:themeColor="text1"/>
          <w:szCs w:val="21"/>
          <w:highlight w:val="none"/>
          <w:lang w:eastAsia="zh-CN"/>
          <w14:textFill>
            <w14:solidFill>
              <w14:schemeClr w14:val="tx1"/>
            </w14:solidFill>
          </w14:textFill>
        </w:rPr>
        <w:t>项目实施机构</w:t>
      </w:r>
      <w:r>
        <w:rPr>
          <w:rFonts w:ascii="宋体" w:hAnsi="宋体"/>
          <w:bCs/>
          <w:color w:val="000000" w:themeColor="text1"/>
          <w:szCs w:val="21"/>
          <w:highlight w:val="none"/>
          <w14:textFill>
            <w14:solidFill>
              <w14:schemeClr w14:val="tx1"/>
            </w14:solidFill>
          </w14:textFill>
        </w:rPr>
        <w:t>、采购代理机构认为供应商质疑不成立，或者成立但未对中标结果构成影响的，继续开展采购活动；认为供应商质疑成立且影响或者可能影响中标结果的，按照下列情况处理：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或者采购代理机构应当将有关情况书面报告本级财政部门。</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或</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w:t>
      </w:r>
      <w:r>
        <w:rPr>
          <w:rFonts w:hint="eastAsia" w:hAnsi="宋体"/>
          <w:bCs/>
          <w:color w:val="000000" w:themeColor="text1"/>
          <w:highlight w:val="none"/>
          <w:lang w:eastAsia="zh-CN"/>
          <w14:textFill>
            <w14:solidFill>
              <w14:schemeClr w14:val="tx1"/>
            </w14:solidFill>
          </w14:textFill>
        </w:rPr>
        <w:t>项目实施机构</w:t>
      </w:r>
      <w:r>
        <w:rPr>
          <w:rFonts w:hint="eastAsia" w:hAnsi="宋体"/>
          <w:bCs/>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未在规定期限内做出答复的，供应商可以在答复期满后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个工作日内向南宁市本级政府采购监督管理部门提起投诉。</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投诉人投诉时，应当提交投诉书，并按照被投诉</w:t>
      </w:r>
      <w:r>
        <w:rPr>
          <w:rFonts w:hint="eastAsia"/>
          <w:color w:val="000000" w:themeColor="text1"/>
          <w:highlight w:val="none"/>
          <w:lang w:eastAsia="zh-CN"/>
          <w14:textFill>
            <w14:solidFill>
              <w14:schemeClr w14:val="tx1"/>
            </w14:solidFill>
          </w14:textFill>
        </w:rPr>
        <w:t>项目实施机构</w:t>
      </w:r>
      <w:r>
        <w:rPr>
          <w:rFonts w:hint="eastAsia"/>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r>
        <w:rPr>
          <w:rFonts w:hAnsi="宋体"/>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r>
        <w:rPr>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投诉人提起投诉应当符合下列条件：</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1）投诉人是参与所投诉政府采购活动的供应商；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2）提起投诉前已依法进行质疑；</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3）投诉书内容符合本章第38.3.2项的规定；</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4）在投诉有效期限内提起投诉；</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5）属于</w:t>
      </w:r>
      <w:r>
        <w:rPr>
          <w:rFonts w:hint="eastAsia" w:ascii="宋体" w:hAnsi="宋体"/>
          <w:color w:val="000000" w:themeColor="text1"/>
          <w:highlight w:val="none"/>
          <w:lang w:eastAsia="zh-CN"/>
          <w14:textFill>
            <w14:solidFill>
              <w14:schemeClr w14:val="tx1"/>
            </w14:solidFill>
          </w14:textFill>
        </w:rPr>
        <w:t>贺州市八步区</w:t>
      </w:r>
      <w:r>
        <w:rPr>
          <w:rFonts w:hint="eastAsia" w:ascii="宋体" w:hAnsi="宋体"/>
          <w:color w:val="000000" w:themeColor="text1"/>
          <w:highlight w:val="none"/>
          <w14:textFill>
            <w14:solidFill>
              <w14:schemeClr w14:val="tx1"/>
            </w14:solidFill>
          </w14:textFill>
        </w:rPr>
        <w:t>政府采购监督管理部门管辖；</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贺州市八步区政府采购管理办公室</w:t>
      </w:r>
      <w:r>
        <w:rPr>
          <w:rFonts w:hint="eastAsia" w:ascii="宋体" w:hAnsi="宋体"/>
          <w:color w:val="000000" w:themeColor="text1"/>
          <w:highlight w:val="none"/>
          <w14:textFill>
            <w14:solidFill>
              <w14:schemeClr w14:val="tx1"/>
            </w14:solidFill>
          </w14:textFill>
        </w:rPr>
        <w:t>投诉处理；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ascii="宋体"/>
          <w:b/>
          <w:color w:val="000000" w:themeColor="text1"/>
          <w:highlight w:val="none"/>
          <w14:textFill>
            <w14:solidFill>
              <w14:schemeClr w14:val="tx1"/>
            </w14:solidFill>
          </w14:textFill>
        </w:rPr>
        <w:t>.5</w:t>
      </w:r>
      <w:r>
        <w:rPr>
          <w:rFonts w:ascii="宋体"/>
          <w:color w:val="000000" w:themeColor="text1"/>
          <w:highlight w:val="none"/>
          <w14:textFill>
            <w14:solidFill>
              <w14:schemeClr w14:val="tx1"/>
            </w14:solidFill>
          </w14:textFill>
        </w:rPr>
        <w:t xml:space="preserve">  </w:t>
      </w:r>
      <w:r>
        <w:rPr>
          <w:rFonts w:hint="eastAsia" w:ascii="宋体"/>
          <w:color w:val="000000" w:themeColor="text1"/>
          <w:highlight w:val="none"/>
          <w14:textFill>
            <w14:solidFill>
              <w14:schemeClr w14:val="tx1"/>
            </w14:solidFill>
          </w14:textFill>
        </w:rPr>
        <w:t>贺州市八步区政府采购管理办公室</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color w:val="000000" w:themeColor="text1"/>
          <w:highlight w:val="none"/>
          <w14:textFill>
            <w14:solidFill>
              <w14:schemeClr w14:val="tx1"/>
            </w14:solidFill>
          </w14:textFill>
        </w:rPr>
        <w:t>http://zfcg.gxzf.gov.cn (</w:t>
      </w:r>
      <w:r>
        <w:rPr>
          <w:rFonts w:hint="eastAsia"/>
          <w:color w:val="000000" w:themeColor="text1"/>
          <w:highlight w:val="none"/>
          <w14:textFill>
            <w14:solidFill>
              <w14:schemeClr w14:val="tx1"/>
            </w14:solidFill>
          </w14:textFill>
        </w:rPr>
        <w:t>广西壮族自治区政府采购网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发布。</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贺州市八步区政府采购管理办公室在处理投诉事项期间，可以视具体情况暂停采购活动。</w:t>
      </w:r>
    </w:p>
    <w:p>
      <w:pPr>
        <w:pStyle w:val="41"/>
        <w:rPr>
          <w:color w:val="000000" w:themeColor="text1"/>
          <w:highlight w:val="none"/>
          <w14:textFill>
            <w14:solidFill>
              <w14:schemeClr w14:val="tx1"/>
            </w14:solidFill>
          </w14:textFill>
        </w:rPr>
      </w:pPr>
    </w:p>
    <w:p>
      <w:pPr>
        <w:pStyle w:val="6"/>
        <w:keepNext w:val="0"/>
        <w:keepLines w:val="0"/>
        <w:spacing w:before="240" w:after="240" w:line="415" w:lineRule="auto"/>
        <w:jc w:val="center"/>
        <w:rPr>
          <w:rFonts w:hint="eastAsia"/>
          <w:color w:val="000000" w:themeColor="text1"/>
          <w:highlight w:val="none"/>
          <w14:textFill>
            <w14:solidFill>
              <w14:schemeClr w14:val="tx1"/>
            </w14:solidFill>
          </w14:textFill>
        </w:rPr>
      </w:pPr>
      <w:bookmarkStart w:id="224" w:name="_Toc6098"/>
      <w:bookmarkStart w:id="225" w:name="_Toc17308"/>
      <w:bookmarkStart w:id="226" w:name="_Toc22541"/>
      <w:bookmarkStart w:id="227" w:name="_Toc22763"/>
      <w:bookmarkStart w:id="228" w:name="_Toc4600"/>
      <w:bookmarkStart w:id="229" w:name="_Toc13579"/>
      <w:bookmarkStart w:id="230" w:name="_Toc532545043"/>
      <w:r>
        <w:rPr>
          <w:rFonts w:hint="eastAsia"/>
          <w:color w:val="000000" w:themeColor="text1"/>
          <w:highlight w:val="none"/>
          <w14:textFill>
            <w14:solidFill>
              <w14:schemeClr w14:val="tx1"/>
            </w14:solidFill>
          </w14:textFill>
        </w:rPr>
        <w:t>八、其他事项</w:t>
      </w:r>
      <w:bookmarkEnd w:id="224"/>
      <w:bookmarkEnd w:id="225"/>
      <w:bookmarkEnd w:id="226"/>
      <w:bookmarkEnd w:id="227"/>
      <w:bookmarkEnd w:id="228"/>
      <w:bookmarkEnd w:id="229"/>
    </w:p>
    <w:p>
      <w:pPr>
        <w:pStyle w:val="8"/>
        <w:keepNext w:val="0"/>
        <w:keepLines w:val="0"/>
        <w:pageBreakBefore w:val="0"/>
        <w:widowControl w:val="0"/>
        <w:kinsoku/>
        <w:wordWrap/>
        <w:overflowPunct/>
        <w:topLinePunct w:val="0"/>
        <w:autoSpaceDE/>
        <w:autoSpaceDN/>
        <w:bidi w:val="0"/>
        <w:adjustRightInd/>
        <w:snapToGrid/>
        <w:spacing w:before="0" w:after="0" w:line="440" w:lineRule="exact"/>
        <w:ind w:left="420" w:leftChars="200"/>
        <w:textAlignment w:val="auto"/>
        <w:rPr>
          <w:rFonts w:hint="eastAsia" w:ascii="黑体" w:hAnsi="黑体" w:eastAsia="黑体"/>
          <w:color w:val="000000" w:themeColor="text1"/>
          <w:sz w:val="24"/>
          <w:highlight w:val="none"/>
          <w14:textFill>
            <w14:solidFill>
              <w14:schemeClr w14:val="tx1"/>
            </w14:solidFill>
          </w14:textFill>
        </w:rPr>
      </w:pPr>
      <w:bookmarkStart w:id="231" w:name="_42.代理服务费"/>
      <w:bookmarkEnd w:id="231"/>
      <w:r>
        <w:rPr>
          <w:rFonts w:hint="eastAsia" w:ascii="黑体" w:hAnsi="黑体" w:eastAsia="黑体"/>
          <w:color w:val="000000" w:themeColor="text1"/>
          <w:sz w:val="24"/>
          <w:highlight w:val="none"/>
          <w14:textFill>
            <w14:solidFill>
              <w14:schemeClr w14:val="tx1"/>
            </w14:solidFill>
          </w14:textFill>
        </w:rPr>
        <w:t>3</w:t>
      </w:r>
      <w:r>
        <w:rPr>
          <w:rFonts w:ascii="黑体" w:hAnsi="黑体" w:eastAsia="黑体"/>
          <w:color w:val="000000" w:themeColor="text1"/>
          <w:sz w:val="24"/>
          <w:highlight w:val="none"/>
          <w14:textFill>
            <w14:solidFill>
              <w14:schemeClr w14:val="tx1"/>
            </w14:solidFill>
          </w14:textFill>
        </w:rPr>
        <w:t>9</w:t>
      </w:r>
      <w:r>
        <w:rPr>
          <w:rFonts w:hint="eastAsia" w:ascii="黑体" w:hAnsi="黑体" w:eastAsia="黑体"/>
          <w:color w:val="000000" w:themeColor="text1"/>
          <w:sz w:val="24"/>
          <w:highlight w:val="none"/>
          <w14:textFill>
            <w14:solidFill>
              <w14:schemeClr w14:val="tx1"/>
            </w14:solidFill>
          </w14:textFill>
        </w:rPr>
        <w:t>.代理服务费</w:t>
      </w:r>
    </w:p>
    <w:p>
      <w:pPr>
        <w:pStyle w:val="8"/>
        <w:keepNext w:val="0"/>
        <w:keepLines w:val="0"/>
        <w:pageBreakBefore w:val="0"/>
        <w:widowControl w:val="0"/>
        <w:kinsoku/>
        <w:wordWrap/>
        <w:overflowPunct/>
        <w:topLinePunct w:val="0"/>
        <w:autoSpaceDE/>
        <w:autoSpaceDN/>
        <w:bidi w:val="0"/>
        <w:adjustRightInd/>
        <w:snapToGrid/>
        <w:spacing w:before="0" w:after="0" w:line="440" w:lineRule="exact"/>
        <w:ind w:left="420" w:leftChars="200"/>
        <w:textAlignment w:val="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3</w:t>
      </w:r>
      <w:r>
        <w:rPr>
          <w:rFonts w:ascii="宋体" w:hAnsi="宋体"/>
          <w:b w:val="0"/>
          <w:color w:val="000000" w:themeColor="text1"/>
          <w:sz w:val="21"/>
          <w:szCs w:val="21"/>
          <w:highlight w:val="none"/>
          <w14:textFill>
            <w14:solidFill>
              <w14:schemeClr w14:val="tx1"/>
            </w14:solidFill>
          </w14:textFill>
        </w:rPr>
        <w:t>9</w:t>
      </w:r>
      <w:r>
        <w:rPr>
          <w:rFonts w:hint="eastAsia" w:ascii="宋体" w:hAnsi="宋体"/>
          <w:b w:val="0"/>
          <w:color w:val="000000" w:themeColor="text1"/>
          <w:sz w:val="21"/>
          <w:szCs w:val="21"/>
          <w:highlight w:val="none"/>
          <w14:textFill>
            <w14:solidFill>
              <w14:schemeClr w14:val="tx1"/>
            </w14:solidFill>
          </w14:textFill>
        </w:rPr>
        <w:t>.1代理服务收取标准及缴费账户详见“投标人须知前附表”，投标人为联合体的，可以由联合体中的一方或者多方共同交纳代理服务费。</w:t>
      </w:r>
    </w:p>
    <w:p>
      <w:pPr>
        <w:keepNext w:val="0"/>
        <w:keepLines w:val="0"/>
        <w:pageBreakBefore w:val="0"/>
        <w:widowControl w:val="0"/>
        <w:tabs>
          <w:tab w:val="left" w:pos="2835"/>
        </w:tabs>
        <w:kinsoku/>
        <w:wordWrap/>
        <w:overflowPunct/>
        <w:topLinePunct w:val="0"/>
        <w:autoSpaceDE/>
        <w:autoSpaceDN/>
        <w:bidi w:val="0"/>
        <w:spacing w:line="460" w:lineRule="exact"/>
        <w:ind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b w:val="0"/>
          <w:color w:val="000000" w:themeColor="text1"/>
          <w:sz w:val="21"/>
          <w:szCs w:val="21"/>
          <w:highlight w:val="none"/>
          <w:lang w:val="en-US" w:eastAsia="zh-CN"/>
          <w14:textFill>
            <w14:solidFill>
              <w14:schemeClr w14:val="tx1"/>
            </w14:solidFill>
          </w14:textFill>
        </w:rPr>
        <w:t>39.2</w:t>
      </w:r>
      <w:r>
        <w:rPr>
          <w:rFonts w:hint="eastAsia" w:ascii="宋体" w:hAnsi="宋体" w:eastAsia="宋体" w:cs="宋体"/>
          <w:color w:val="000000" w:themeColor="text1"/>
          <w:szCs w:val="21"/>
          <w:highlight w:val="none"/>
          <w14:textFill>
            <w14:solidFill>
              <w14:schemeClr w14:val="tx1"/>
            </w14:solidFill>
          </w14:textFill>
        </w:rPr>
        <w:t>代理服务费收费计算标准：</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spacing w:line="46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费率</w:t>
            </w:r>
          </w:p>
          <w:p>
            <w:pPr>
              <w:keepNext w:val="0"/>
              <w:keepLines w:val="0"/>
              <w:pageBreakBefore w:val="0"/>
              <w:widowControl w:val="0"/>
              <w:kinsoku/>
              <w:wordWrap/>
              <w:overflowPunct/>
              <w:topLinePunct w:val="0"/>
              <w:autoSpaceDE/>
              <w:autoSpaceDN/>
              <w:bidi w:val="0"/>
              <w:spacing w:line="460" w:lineRule="exac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金额</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ind w:firstLine="105" w:firstLineChars="5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货物类</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服务类</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100万元以下</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1.5%</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1.5%</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100～500万元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0.8%</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500～1000万元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0.8%</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0.45%</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1000～5000万元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0.5%</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0.25%</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5000万元～1亿元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0.25%</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0.1%</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1～5亿元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0.05%</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0.05%</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5～10亿元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ind w:firstLine="105" w:firstLineChars="5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0.035%</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0.035%</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105" w:firstLineChars="5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10～50亿元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ind w:firstLine="105" w:firstLineChars="5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0.008%</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0.008%</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105" w:firstLineChars="5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50～100亿元</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0.006%</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0.006%</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105" w:firstLineChars="5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100亿以上</w:t>
            </w:r>
          </w:p>
        </w:tc>
        <w:tc>
          <w:tcPr>
            <w:tcW w:w="1659" w:type="dxa"/>
            <w:noWrap w:val="0"/>
            <w:vAlign w:val="center"/>
          </w:tcPr>
          <w:p>
            <w:pPr>
              <w:keepNext w:val="0"/>
              <w:keepLines w:val="0"/>
              <w:pageBreakBefore w:val="0"/>
              <w:widowControl w:val="0"/>
              <w:kinsoku/>
              <w:wordWrap/>
              <w:overflowPunct/>
              <w:topLinePunct w:val="0"/>
              <w:autoSpaceDE/>
              <w:autoSpaceDN/>
              <w:bidi w:val="0"/>
              <w:spacing w:line="4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0.004%</w:t>
            </w:r>
          </w:p>
        </w:tc>
        <w:tc>
          <w:tcPr>
            <w:tcW w:w="1532" w:type="dxa"/>
            <w:noWrap w:val="0"/>
            <w:vAlign w:val="center"/>
          </w:tcPr>
          <w:p>
            <w:pPr>
              <w:keepNext w:val="0"/>
              <w:keepLines w:val="0"/>
              <w:pageBreakBefore w:val="0"/>
              <w:widowControl w:val="0"/>
              <w:kinsoku/>
              <w:wordWrap/>
              <w:overflowPunct/>
              <w:topLinePunct w:val="0"/>
              <w:autoSpaceDE/>
              <w:autoSpaceDN/>
              <w:bidi w:val="0"/>
              <w:spacing w:line="460" w:lineRule="exact"/>
              <w:ind w:firstLine="210" w:firstLineChars="10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0.004%</w:t>
            </w:r>
          </w:p>
        </w:tc>
        <w:tc>
          <w:tcPr>
            <w:tcW w:w="1546" w:type="dxa"/>
            <w:noWrap w:val="0"/>
            <w:vAlign w:val="center"/>
          </w:tcPr>
          <w:p>
            <w:pPr>
              <w:keepNext w:val="0"/>
              <w:keepLines w:val="0"/>
              <w:pageBreakBefore w:val="0"/>
              <w:widowControl w:val="0"/>
              <w:kinsoku/>
              <w:wordWrap/>
              <w:overflowPunct/>
              <w:topLinePunct w:val="0"/>
              <w:autoSpaceDE/>
              <w:autoSpaceDN/>
              <w:bidi w:val="0"/>
              <w:spacing w:line="460" w:lineRule="exact"/>
              <w:ind w:firstLine="105" w:firstLineChars="5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0.004%</w:t>
            </w:r>
          </w:p>
        </w:tc>
      </w:tr>
    </w:tbl>
    <w:p>
      <w:pPr>
        <w:keepNext w:val="0"/>
        <w:keepLines w:val="0"/>
        <w:pageBreakBefore w:val="0"/>
        <w:widowControl w:val="0"/>
        <w:kinsoku/>
        <w:wordWrap/>
        <w:overflowPunct/>
        <w:topLinePunct w:val="0"/>
        <w:autoSpaceDE/>
        <w:autoSpaceDN/>
        <w:bidi w:val="0"/>
        <w:spacing w:line="460" w:lineRule="exact"/>
        <w:ind w:firstLine="420" w:firstLineChars="20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t>注：</w:t>
      </w:r>
    </w:p>
    <w:p>
      <w:pPr>
        <w:keepNext w:val="0"/>
        <w:keepLines w:val="0"/>
        <w:pageBreakBefore w:val="0"/>
        <w:widowControl w:val="0"/>
        <w:kinsoku/>
        <w:wordWrap/>
        <w:overflowPunct/>
        <w:topLinePunct w:val="0"/>
        <w:autoSpaceDE/>
        <w:autoSpaceDN/>
        <w:bidi w:val="0"/>
        <w:spacing w:line="460" w:lineRule="exact"/>
        <w:ind w:firstLine="420" w:firstLineChars="20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r>
        <w:rPr>
          <w:rFonts w:ascii="宋体" w:hAnsi="宋体" w:eastAsia="宋体" w:cs="宋体"/>
          <w:color w:val="000000" w:themeColor="text1"/>
          <w:highlight w:val="none"/>
          <w14:textFill>
            <w14:solidFill>
              <w14:schemeClr w14:val="tx1"/>
            </w14:solidFill>
          </w14:textFill>
        </w:rPr>
        <w:t>按本表费率计算的收费为</w:t>
      </w:r>
      <w:r>
        <w:rPr>
          <w:rFonts w:hint="eastAsia" w:ascii="宋体" w:hAnsi="宋体" w:eastAsia="宋体" w:cs="宋体"/>
          <w:color w:val="000000" w:themeColor="text1"/>
          <w:highlight w:val="none"/>
          <w14:textFill>
            <w14:solidFill>
              <w14:schemeClr w14:val="tx1"/>
            </w14:solidFill>
          </w14:textFill>
        </w:rPr>
        <w:t>采购</w:t>
      </w:r>
      <w:r>
        <w:rPr>
          <w:rFonts w:ascii="宋体" w:hAnsi="宋体" w:eastAsia="宋体" w:cs="宋体"/>
          <w:color w:val="000000" w:themeColor="text1"/>
          <w:highlight w:val="none"/>
          <w14:textFill>
            <w14:solidFill>
              <w14:schemeClr w14:val="tx1"/>
            </w14:solidFill>
          </w14:textFill>
        </w:rPr>
        <w:t>代理的收费基准价格</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460" w:lineRule="exact"/>
        <w:ind w:firstLine="420" w:firstLineChars="20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（2）采购</w:t>
      </w:r>
      <w:r>
        <w:rPr>
          <w:rFonts w:ascii="宋体" w:hAnsi="宋体" w:eastAsia="宋体" w:cs="宋体"/>
          <w:color w:val="000000" w:themeColor="text1"/>
          <w:highlight w:val="none"/>
          <w14:textFill>
            <w14:solidFill>
              <w14:schemeClr w14:val="tx1"/>
            </w14:solidFill>
          </w14:textFill>
        </w:rPr>
        <w:t>代理收费按差额定率累进法计算。</w:t>
      </w:r>
    </w:p>
    <w:p>
      <w:pPr>
        <w:keepNext w:val="0"/>
        <w:keepLines w:val="0"/>
        <w:pageBreakBefore w:val="0"/>
        <w:widowControl w:val="0"/>
        <w:kinsoku/>
        <w:wordWrap/>
        <w:overflowPunct/>
        <w:topLinePunct w:val="0"/>
        <w:autoSpaceDE/>
        <w:autoSpaceDN/>
        <w:bidi w:val="0"/>
        <w:spacing w:line="460" w:lineRule="exact"/>
        <w:ind w:firstLine="420" w:firstLineChars="20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t>例如：某</w:t>
      </w:r>
      <w:r>
        <w:rPr>
          <w:rFonts w:hint="eastAsia" w:ascii="宋体" w:hAnsi="宋体" w:eastAsia="宋体" w:cs="宋体"/>
          <w:color w:val="000000" w:themeColor="text1"/>
          <w:highlight w:val="none"/>
          <w14:textFill>
            <w14:solidFill>
              <w14:schemeClr w14:val="tx1"/>
            </w14:solidFill>
          </w14:textFill>
        </w:rPr>
        <w:t>服务采购</w:t>
      </w:r>
      <w:r>
        <w:rPr>
          <w:rFonts w:ascii="宋体" w:hAnsi="宋体" w:eastAsia="宋体" w:cs="宋体"/>
          <w:color w:val="000000" w:themeColor="text1"/>
          <w:highlight w:val="none"/>
          <w14:textFill>
            <w14:solidFill>
              <w14:schemeClr w14:val="tx1"/>
            </w14:solidFill>
          </w14:textFill>
        </w:rPr>
        <w:t>代理业务</w:t>
      </w:r>
      <w:r>
        <w:rPr>
          <w:rFonts w:hint="eastAsia" w:ascii="宋体" w:hAnsi="宋体" w:eastAsia="宋体" w:cs="宋体"/>
          <w:color w:val="000000" w:themeColor="text1"/>
          <w:highlight w:val="none"/>
          <w14:textFill>
            <w14:solidFill>
              <w14:schemeClr w14:val="tx1"/>
            </w14:solidFill>
          </w14:textFill>
        </w:rPr>
        <w:t>成交</w:t>
      </w:r>
      <w:r>
        <w:rPr>
          <w:rFonts w:ascii="宋体" w:hAnsi="宋体" w:eastAsia="宋体" w:cs="宋体"/>
          <w:color w:val="000000" w:themeColor="text1"/>
          <w:highlight w:val="none"/>
          <w14:textFill>
            <w14:solidFill>
              <w14:schemeClr w14:val="tx1"/>
            </w14:solidFill>
          </w14:textFill>
        </w:rPr>
        <w:t>金额</w:t>
      </w:r>
      <w:r>
        <w:rPr>
          <w:rFonts w:hint="eastAsia" w:ascii="宋体" w:hAnsi="宋体" w:eastAsia="宋体" w:cs="宋体"/>
          <w:color w:val="000000" w:themeColor="text1"/>
          <w:highlight w:val="none"/>
          <w14:textFill>
            <w14:solidFill>
              <w14:schemeClr w14:val="tx1"/>
            </w14:solidFill>
          </w14:textFill>
        </w:rPr>
        <w:t>或者暂定价</w:t>
      </w:r>
      <w:r>
        <w:rPr>
          <w:rFonts w:ascii="宋体" w:hAnsi="宋体" w:eastAsia="宋体" w:cs="宋体"/>
          <w:color w:val="000000" w:themeColor="text1"/>
          <w:highlight w:val="none"/>
          <w14:textFill>
            <w14:solidFill>
              <w14:schemeClr w14:val="tx1"/>
            </w14:solidFill>
          </w14:textFill>
        </w:rPr>
        <w:t>为150万元，计算</w:t>
      </w:r>
      <w:r>
        <w:rPr>
          <w:rFonts w:hint="eastAsia" w:ascii="宋体" w:hAnsi="宋体" w:eastAsia="宋体" w:cs="宋体"/>
          <w:color w:val="000000" w:themeColor="text1"/>
          <w:highlight w:val="none"/>
          <w14:textFill>
            <w14:solidFill>
              <w14:schemeClr w14:val="tx1"/>
            </w14:solidFill>
          </w14:textFill>
        </w:rPr>
        <w:t>采购</w:t>
      </w:r>
      <w:r>
        <w:rPr>
          <w:rFonts w:ascii="宋体" w:hAnsi="宋体" w:eastAsia="宋体" w:cs="宋体"/>
          <w:color w:val="000000" w:themeColor="text1"/>
          <w:highlight w:val="none"/>
          <w14:textFill>
            <w14:solidFill>
              <w14:schemeClr w14:val="tx1"/>
            </w14:solidFill>
          </w14:textFill>
        </w:rPr>
        <w:t>代理收费额如下：</w:t>
      </w:r>
    </w:p>
    <w:p>
      <w:pPr>
        <w:keepNext w:val="0"/>
        <w:keepLines w:val="0"/>
        <w:pageBreakBefore w:val="0"/>
        <w:widowControl w:val="0"/>
        <w:kinsoku/>
        <w:wordWrap/>
        <w:overflowPunct/>
        <w:topLinePunct w:val="0"/>
        <w:autoSpaceDE/>
        <w:autoSpaceDN/>
        <w:bidi w:val="0"/>
        <w:spacing w:line="460" w:lineRule="exact"/>
        <w:ind w:firstLine="420" w:firstLineChars="20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t>100 万元 ×l.5 %＝ 1.5 万元</w:t>
      </w:r>
    </w:p>
    <w:p>
      <w:pPr>
        <w:keepNext w:val="0"/>
        <w:keepLines w:val="0"/>
        <w:pageBreakBefore w:val="0"/>
        <w:widowControl w:val="0"/>
        <w:kinsoku/>
        <w:wordWrap/>
        <w:overflowPunct/>
        <w:topLinePunct w:val="0"/>
        <w:autoSpaceDE/>
        <w:autoSpaceDN/>
        <w:bidi w:val="0"/>
        <w:spacing w:line="460" w:lineRule="exact"/>
        <w:ind w:firstLine="420" w:firstLineChars="20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t>（ 150 － 100 ）万元 ×0.8%＝ 0.4万元</w:t>
      </w:r>
    </w:p>
    <w:p>
      <w:pPr>
        <w:keepNext w:val="0"/>
        <w:keepLines w:val="0"/>
        <w:pageBreakBefore w:val="0"/>
        <w:widowControl w:val="0"/>
        <w:kinsoku/>
        <w:wordWrap/>
        <w:overflowPunct/>
        <w:topLinePunct w:val="0"/>
        <w:autoSpaceDE/>
        <w:autoSpaceDN/>
        <w:bidi w:val="0"/>
        <w:spacing w:line="46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标准合计收费＝ 1.5 ＋ 0.4＝ 1.9 万元</w:t>
      </w:r>
    </w:p>
    <w:p>
      <w:pPr>
        <w:keepNext w:val="0"/>
        <w:keepLines w:val="0"/>
        <w:pageBreakBefore w:val="0"/>
        <w:widowControl w:val="0"/>
        <w:kinsoku/>
        <w:wordWrap/>
        <w:overflowPunct/>
        <w:topLinePunct w:val="0"/>
        <w:autoSpaceDE/>
        <w:autoSpaceDN/>
        <w:bidi w:val="0"/>
        <w:spacing w:line="460" w:lineRule="exact"/>
        <w:ind w:firstLine="42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上浮10%合计收费=1.9+1.9×10%=2.09万元</w:t>
      </w:r>
    </w:p>
    <w:p>
      <w:pPr>
        <w:pStyle w:val="8"/>
        <w:keepNext w:val="0"/>
        <w:keepLines w:val="0"/>
        <w:pageBreakBefore w:val="0"/>
        <w:widowControl w:val="0"/>
        <w:kinsoku/>
        <w:wordWrap/>
        <w:overflowPunct/>
        <w:topLinePunct w:val="0"/>
        <w:autoSpaceDE/>
        <w:autoSpaceDN/>
        <w:bidi w:val="0"/>
        <w:adjustRightInd/>
        <w:spacing w:before="0" w:after="0" w:line="440" w:lineRule="exact"/>
        <w:ind w:left="420" w:leftChars="200"/>
        <w:textAlignment w:val="auto"/>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40. 需要补充的其他内容</w:t>
      </w:r>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40.1本招标文件解释规则详见“投标人须知前附表”。</w:t>
      </w:r>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40.2 其他事项详见“投标人须知前附表”。</w:t>
      </w:r>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（1）在货物采购项目中，货物由中小企业制造，即货物由中小企业生产且使用该中小企业商号或者注册商标，不对其中涉及的工程承建商和服务的承接商作出要求；</w:t>
      </w:r>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（2）在工程采购项目中，工程由中小企业承建，即工程施工单位为中小企业，不对其中涉及的货物的制造商和服务的承接商作出要求；</w:t>
      </w:r>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（3）在服务采购项目中，服务由中小企业承接，即提供服务的人员为中小企业依照《中华人民共和国劳动合同法》订立劳动合同的从业人员，不对其中涉及的货物的制造商和工程承建商作出要求。</w:t>
      </w:r>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jc w:val="left"/>
        <w:textAlignment w:val="auto"/>
        <w:rPr>
          <w:rFonts w:hint="eastAsia" w:hAnsi="宋体" w:cs="宋体"/>
          <w:color w:val="000000" w:themeColor="text1"/>
          <w:sz w:val="21"/>
          <w:highlight w:val="none"/>
          <w14:textFill>
            <w14:solidFill>
              <w14:schemeClr w14:val="tx1"/>
            </w14:solidFill>
          </w14:textFill>
        </w:rPr>
      </w:pPr>
      <w:r>
        <w:rPr>
          <w:rFonts w:hint="eastAsia" w:hAnsi="宋体" w:cs="宋体"/>
          <w:color w:val="000000" w:themeColor="text1"/>
          <w:sz w:val="21"/>
          <w:highlight w:val="none"/>
          <w14:textFill>
            <w14:solidFill>
              <w14:schemeClr w14:val="tx1"/>
            </w14:solidFill>
          </w14:textFill>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bookmarkStart w:id="232" w:name="_Toc29231"/>
    </w:p>
    <w:p>
      <w:pPr>
        <w:pStyle w:val="15"/>
        <w:keepNext w:val="0"/>
        <w:keepLines w:val="0"/>
        <w:pageBreakBefore w:val="0"/>
        <w:widowControl w:val="0"/>
        <w:kinsoku/>
        <w:wordWrap/>
        <w:overflowPunct/>
        <w:topLinePunct w:val="0"/>
        <w:autoSpaceDE/>
        <w:autoSpaceDN/>
        <w:bidi w:val="0"/>
        <w:adjustRightInd/>
        <w:spacing w:line="440" w:lineRule="exact"/>
        <w:ind w:firstLine="420" w:firstLineChars="200"/>
        <w:jc w:val="left"/>
        <w:textAlignment w:val="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依据</w:t>
      </w:r>
      <w:r>
        <w:rPr>
          <w:rFonts w:hint="eastAsia" w:hAnsi="宋体" w:cs="宋体"/>
          <w:color w:val="000000" w:themeColor="text1"/>
          <w:sz w:val="21"/>
          <w:highlight w:val="none"/>
          <w14:textFill>
            <w14:solidFill>
              <w14:schemeClr w14:val="tx1"/>
            </w14:solidFill>
          </w14:textFill>
        </w:rPr>
        <w:t>本招标文件</w:t>
      </w:r>
      <w:r>
        <w:rPr>
          <w:rFonts w:hint="eastAsia" w:hAnsi="宋体"/>
          <w:color w:val="000000" w:themeColor="text1"/>
          <w:sz w:val="21"/>
          <w:highlight w:val="none"/>
          <w14:textFill>
            <w14:solidFill>
              <w14:schemeClr w14:val="tx1"/>
            </w14:solidFill>
          </w14:textFill>
        </w:rPr>
        <w:t>规定享受扶持政策获得政府采购合同的，小微企业不得将合同分包给大中型企业，中型企业不得将合同分包给大型企业。</w:t>
      </w:r>
    </w:p>
    <w:p>
      <w:pPr>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br w:type="page"/>
      </w: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lang w:val="en-US" w:eastAsia="zh-CN"/>
          <w14:textFill>
            <w14:solidFill>
              <w14:schemeClr w14:val="tx1"/>
            </w14:solidFill>
          </w14:textFill>
        </w:rPr>
      </w:pPr>
      <w:bookmarkStart w:id="233" w:name="_Toc15863"/>
      <w:bookmarkStart w:id="234" w:name="_Toc7616"/>
      <w:r>
        <w:rPr>
          <w:rFonts w:hint="eastAsia" w:ascii="Times New Roman" w:hAnsi="Times New Roman"/>
          <w:b/>
          <w:color w:val="000000" w:themeColor="text1"/>
          <w:sz w:val="36"/>
          <w:highlight w:val="none"/>
          <w:lang w:val="en-US" w:eastAsia="zh-CN"/>
          <w14:textFill>
            <w14:solidFill>
              <w14:schemeClr w14:val="tx1"/>
            </w14:solidFill>
          </w14:textFill>
        </w:rPr>
        <w:t>-</w:t>
      </w:r>
      <w:bookmarkEnd w:id="233"/>
      <w:bookmarkEnd w:id="234"/>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bookmarkStart w:id="235" w:name="_Toc15173"/>
      <w:r>
        <w:rPr>
          <w:rFonts w:hint="eastAsia" w:ascii="Times New Roman" w:hAnsi="Times New Roman"/>
          <w:b/>
          <w:color w:val="000000" w:themeColor="text1"/>
          <w:sz w:val="36"/>
          <w:highlight w:val="none"/>
          <w14:textFill>
            <w14:solidFill>
              <w14:schemeClr w14:val="tx1"/>
            </w14:solidFill>
          </w14:textFill>
        </w:rPr>
        <w:t>第四章  评标方法</w:t>
      </w:r>
      <w:bookmarkEnd w:id="230"/>
      <w:r>
        <w:rPr>
          <w:rFonts w:hint="eastAsia" w:ascii="Times New Roman" w:hAnsi="Times New Roman"/>
          <w:b/>
          <w:color w:val="000000" w:themeColor="text1"/>
          <w:sz w:val="36"/>
          <w:highlight w:val="none"/>
          <w14:textFill>
            <w14:solidFill>
              <w14:schemeClr w14:val="tx1"/>
            </w14:solidFill>
          </w14:textFill>
        </w:rPr>
        <w:t>及评分标准</w:t>
      </w:r>
      <w:bookmarkEnd w:id="232"/>
      <w:bookmarkEnd w:id="235"/>
    </w:p>
    <w:p>
      <w:pPr>
        <w:pStyle w:val="15"/>
        <w:jc w:val="center"/>
        <w:outlineLvl w:val="0"/>
        <w:rPr>
          <w:rFonts w:hint="eastAsia" w:ascii="Times New Roman" w:hAnsi="Times New Roman"/>
          <w:b/>
          <w:bCs/>
          <w:color w:val="000000" w:themeColor="text1"/>
          <w:sz w:val="32"/>
          <w:szCs w:val="32"/>
          <w:highlight w:val="none"/>
          <w14:textFill>
            <w14:solidFill>
              <w14:schemeClr w14:val="tx1"/>
            </w14:solidFill>
          </w14:textFill>
        </w:rPr>
      </w:pPr>
      <w:bookmarkStart w:id="236" w:name="_Toc21810"/>
    </w:p>
    <w:p>
      <w:pPr>
        <w:pStyle w:val="15"/>
        <w:jc w:val="center"/>
        <w:outlineLvl w:val="0"/>
        <w:rPr>
          <w:rFonts w:ascii="Times New Roman" w:hAnsi="Times New Roman"/>
          <w:b/>
          <w:bCs/>
          <w:color w:val="000000" w:themeColor="text1"/>
          <w:sz w:val="32"/>
          <w:szCs w:val="32"/>
          <w:highlight w:val="none"/>
          <w14:textFill>
            <w14:solidFill>
              <w14:schemeClr w14:val="tx1"/>
            </w14:solidFill>
          </w14:textFill>
        </w:rPr>
      </w:pPr>
      <w:bookmarkStart w:id="237" w:name="_Toc3414"/>
      <w:bookmarkStart w:id="238" w:name="_Toc27601"/>
      <w:bookmarkStart w:id="239" w:name="_Toc17790"/>
      <w:bookmarkStart w:id="240" w:name="_Toc5500"/>
      <w:bookmarkStart w:id="241" w:name="_Toc18216"/>
      <w:r>
        <w:rPr>
          <w:rFonts w:hint="eastAsia" w:ascii="Times New Roman" w:hAnsi="Times New Roman"/>
          <w:b/>
          <w:bCs/>
          <w:color w:val="000000" w:themeColor="text1"/>
          <w:sz w:val="32"/>
          <w:szCs w:val="32"/>
          <w:highlight w:val="none"/>
          <w14:textFill>
            <w14:solidFill>
              <w14:schemeClr w14:val="tx1"/>
            </w14:solidFill>
          </w14:textFill>
        </w:rPr>
        <w:t>一</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lang w:eastAsia="zh-CN"/>
          <w14:textFill>
            <w14:solidFill>
              <w14:schemeClr w14:val="tx1"/>
            </w14:solidFill>
          </w14:textFill>
        </w:rPr>
        <w:t>、</w:t>
      </w:r>
      <w:r>
        <w:rPr>
          <w:rFonts w:hint="eastAsia" w:ascii="Times New Roman" w:hAnsi="Times New Roman"/>
          <w:b/>
          <w:bCs/>
          <w:color w:val="000000" w:themeColor="text1"/>
          <w:sz w:val="32"/>
          <w:szCs w:val="32"/>
          <w:highlight w:val="none"/>
          <w14:textFill>
            <w14:solidFill>
              <w14:schemeClr w14:val="tx1"/>
            </w14:solidFill>
          </w14:textFill>
        </w:rPr>
        <w:t>评标方法</w:t>
      </w:r>
      <w:bookmarkEnd w:id="236"/>
      <w:bookmarkEnd w:id="237"/>
      <w:bookmarkEnd w:id="238"/>
      <w:bookmarkEnd w:id="239"/>
      <w:bookmarkEnd w:id="240"/>
      <w:bookmarkEnd w:id="241"/>
    </w:p>
    <w:p>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contextualSpacing/>
        <w:textAlignment w:val="auto"/>
        <w:rPr>
          <w:rFonts w:ascii="宋体" w:hAnsi="宋体"/>
          <w:color w:val="000000" w:themeColor="text1"/>
          <w:sz w:val="24"/>
          <w:highlight w:val="none"/>
          <w14:textFill>
            <w14:solidFill>
              <w14:schemeClr w14:val="tx1"/>
            </w14:solidFill>
          </w14:textFill>
        </w:rPr>
      </w:pPr>
      <w:r>
        <w:rPr>
          <w:rFonts w:hint="eastAsia" w:hAnsi="宋体"/>
          <w:color w:val="000000" w:themeColor="text1"/>
          <w:highlight w:val="none"/>
          <w:lang w:eastAsia="zh-CN"/>
          <w14:textFill>
            <w14:solidFill>
              <w14:schemeClr w14:val="tx1"/>
            </w14:solidFill>
          </w14:textFill>
        </w:rPr>
        <w:t>本项目采用</w:t>
      </w:r>
      <w:r>
        <w:rPr>
          <w:rFonts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是指投标文件满足招标文件全部实质性要求，且按照评审因素的量化指标</w:t>
      </w:r>
      <w:r>
        <w:rPr>
          <w:rFonts w:hint="eastAsia" w:ascii="宋体" w:hAnsi="宋体"/>
          <w:color w:val="000000" w:themeColor="text1"/>
          <w:szCs w:val="20"/>
          <w:highlight w:val="none"/>
          <w:lang w:eastAsia="zh-CN"/>
          <w14:textFill>
            <w14:solidFill>
              <w14:schemeClr w14:val="tx1"/>
            </w14:solidFill>
          </w14:textFill>
        </w:rPr>
        <w:t>按评审得分由高到低顺序推荐3名候选社会资本排名</w:t>
      </w:r>
      <w:r>
        <w:rPr>
          <w:rFonts w:hint="eastAsia" w:ascii="宋体" w:hAnsi="宋体"/>
          <w:color w:val="000000" w:themeColor="text1"/>
          <w:szCs w:val="20"/>
          <w:highlight w:val="none"/>
          <w14:textFill>
            <w14:solidFill>
              <w14:schemeClr w14:val="tx1"/>
            </w14:solidFill>
          </w14:textFill>
        </w:rPr>
        <w:t>的评标方法。评标委员会将对各投标人的</w:t>
      </w:r>
      <w:r>
        <w:rPr>
          <w:rFonts w:hint="eastAsia" w:ascii="宋体" w:hAnsi="宋体"/>
          <w:color w:val="000000" w:themeColor="text1"/>
          <w:szCs w:val="20"/>
          <w:highlight w:val="none"/>
          <w:lang w:val="en-US" w:eastAsia="zh-CN"/>
          <w14:textFill>
            <w14:solidFill>
              <w14:schemeClr w14:val="tx1"/>
            </w14:solidFill>
          </w14:textFill>
        </w:rPr>
        <w:t>投标</w:t>
      </w:r>
      <w:r>
        <w:rPr>
          <w:rFonts w:hint="eastAsia" w:ascii="宋体" w:hAnsi="宋体"/>
          <w:color w:val="000000" w:themeColor="text1"/>
          <w:szCs w:val="20"/>
          <w:highlight w:val="none"/>
          <w14:textFill>
            <w14:solidFill>
              <w14:schemeClr w14:val="tx1"/>
            </w14:solidFill>
          </w14:textFill>
        </w:rPr>
        <w:t>报价</w:t>
      </w:r>
      <w:r>
        <w:rPr>
          <w:rFonts w:hint="eastAsia" w:ascii="宋体" w:hAnsi="宋体"/>
          <w:color w:val="000000" w:themeColor="text1"/>
          <w:szCs w:val="20"/>
          <w:highlight w:val="none"/>
          <w:lang w:eastAsia="zh-CN"/>
          <w14:textFill>
            <w14:solidFill>
              <w14:schemeClr w14:val="tx1"/>
            </w14:solidFill>
          </w14:textFill>
        </w:rPr>
        <w:t>、</w:t>
      </w:r>
      <w:r>
        <w:rPr>
          <w:rFonts w:hint="eastAsia" w:ascii="宋体" w:hAnsi="宋体"/>
          <w:color w:val="000000" w:themeColor="text1"/>
          <w:szCs w:val="20"/>
          <w:highlight w:val="none"/>
          <w14:textFill>
            <w14:solidFill>
              <w14:schemeClr w14:val="tx1"/>
            </w14:solidFill>
          </w14:textFill>
        </w:rPr>
        <w:t>商务文件</w:t>
      </w:r>
      <w:r>
        <w:rPr>
          <w:rFonts w:hint="eastAsia" w:ascii="宋体" w:hAnsi="宋体"/>
          <w:color w:val="000000" w:themeColor="text1"/>
          <w:szCs w:val="20"/>
          <w:highlight w:val="none"/>
          <w:lang w:eastAsia="zh-CN"/>
          <w14:textFill>
            <w14:solidFill>
              <w14:schemeClr w14:val="tx1"/>
            </w14:solidFill>
          </w14:textFill>
        </w:rPr>
        <w:t>、</w:t>
      </w:r>
      <w:r>
        <w:rPr>
          <w:rFonts w:hint="eastAsia" w:ascii="宋体" w:hAnsi="宋体"/>
          <w:color w:val="000000" w:themeColor="text1"/>
          <w:szCs w:val="20"/>
          <w:highlight w:val="none"/>
          <w14:textFill>
            <w14:solidFill>
              <w14:schemeClr w14:val="tx1"/>
            </w14:solidFill>
          </w14:textFill>
        </w:rPr>
        <w:t>技术文件</w:t>
      </w:r>
      <w:r>
        <w:rPr>
          <w:rFonts w:hint="eastAsia" w:ascii="宋体" w:hAnsi="宋体"/>
          <w:color w:val="000000" w:themeColor="text1"/>
          <w:szCs w:val="20"/>
          <w:highlight w:val="none"/>
          <w:lang w:eastAsia="zh-CN"/>
          <w14:textFill>
            <w14:solidFill>
              <w14:schemeClr w14:val="tx1"/>
            </w14:solidFill>
          </w14:textFill>
        </w:rPr>
        <w:t>进行</w:t>
      </w:r>
      <w:r>
        <w:rPr>
          <w:rFonts w:hint="eastAsia" w:ascii="宋体" w:hAnsi="宋体"/>
          <w:color w:val="000000" w:themeColor="text1"/>
          <w:szCs w:val="20"/>
          <w:highlight w:val="none"/>
          <w14:textFill>
            <w14:solidFill>
              <w14:schemeClr w14:val="tx1"/>
            </w14:solidFill>
          </w14:textFill>
        </w:rPr>
        <w:t>综合评审，对实质上响应招标文件的投标人，由各评委独立记名打分。</w:t>
      </w:r>
      <w:r>
        <w:rPr>
          <w:rFonts w:ascii="宋体" w:hAnsi="宋体"/>
          <w:color w:val="000000" w:themeColor="text1"/>
          <w:szCs w:val="20"/>
          <w:highlight w:val="none"/>
          <w14:textFill>
            <w14:solidFill>
              <w14:schemeClr w14:val="tx1"/>
            </w14:solidFill>
          </w14:textFill>
        </w:rPr>
        <w:t xml:space="preserve">若综合得分 </w:t>
      </w:r>
      <w:r>
        <w:rPr>
          <w:rFonts w:hint="eastAsia" w:hAnsi="宋体"/>
          <w:color w:val="000000" w:themeColor="text1"/>
          <w:sz w:val="21"/>
          <w:highlight w:val="none"/>
          <w14:textFill>
            <w14:solidFill>
              <w14:schemeClr w14:val="tx1"/>
            </w14:solidFill>
          </w14:textFill>
        </w:rPr>
        <w:t>得分相同且投标报价相同的并列，投标文件满足招标文件全部实质性要求，且按照评审因素的量化指标评审得分最高的投标人为排名第一的中标候选人。</w:t>
      </w:r>
    </w:p>
    <w:p>
      <w:pPr>
        <w:pStyle w:val="15"/>
        <w:keepNext w:val="0"/>
        <w:keepLines w:val="0"/>
        <w:pageBreakBefore w:val="0"/>
        <w:widowControl w:val="0"/>
        <w:kinsoku/>
        <w:wordWrap/>
        <w:overflowPunct/>
        <w:topLinePunct w:val="0"/>
        <w:bidi w:val="0"/>
        <w:snapToGrid/>
        <w:spacing w:line="440" w:lineRule="exact"/>
        <w:ind w:firstLine="420"/>
        <w:textAlignment w:val="auto"/>
        <w:rPr>
          <w:rFonts w:hAnsi="宋体"/>
          <w:color w:val="000000" w:themeColor="text1"/>
          <w:highlight w:val="none"/>
          <w14:textFill>
            <w14:solidFill>
              <w14:schemeClr w14:val="tx1"/>
            </w14:solidFill>
          </w14:textFill>
        </w:rPr>
      </w:pPr>
    </w:p>
    <w:p>
      <w:pPr>
        <w:pStyle w:val="15"/>
        <w:tabs>
          <w:tab w:val="left" w:pos="2472"/>
        </w:tabs>
        <w:spacing w:line="460" w:lineRule="exact"/>
        <w:jc w:val="center"/>
        <w:outlineLvl w:val="0"/>
        <w:rPr>
          <w:rFonts w:ascii="Times New Roman" w:hAnsi="Times New Roman"/>
          <w:b/>
          <w:bCs/>
          <w:color w:val="000000" w:themeColor="text1"/>
          <w:sz w:val="32"/>
          <w:szCs w:val="32"/>
          <w:highlight w:val="none"/>
          <w14:textFill>
            <w14:solidFill>
              <w14:schemeClr w14:val="tx1"/>
            </w14:solidFill>
          </w14:textFill>
        </w:rPr>
      </w:pPr>
      <w:bookmarkStart w:id="242" w:name="_Toc368"/>
      <w:bookmarkStart w:id="243" w:name="_Toc407"/>
      <w:bookmarkStart w:id="244" w:name="_Toc4846"/>
      <w:bookmarkStart w:id="245" w:name="_Toc15140"/>
      <w:bookmarkStart w:id="246" w:name="_Toc4533"/>
      <w:bookmarkStart w:id="247" w:name="_Toc20012"/>
      <w:r>
        <w:rPr>
          <w:rFonts w:hint="eastAsia" w:ascii="Times New Roman" w:hAnsi="Times New Roman"/>
          <w:b/>
          <w:bCs/>
          <w:color w:val="000000" w:themeColor="text1"/>
          <w:sz w:val="32"/>
          <w:szCs w:val="32"/>
          <w:highlight w:val="none"/>
          <w14:textFill>
            <w14:solidFill>
              <w14:schemeClr w14:val="tx1"/>
            </w14:solidFill>
          </w14:textFill>
        </w:rPr>
        <w:t>二</w:t>
      </w:r>
      <w:r>
        <w:rPr>
          <w:rFonts w:hint="eastAsia" w:ascii="Times New Roman" w:hAnsi="Times New Roman"/>
          <w:b/>
          <w:bCs/>
          <w:color w:val="000000" w:themeColor="text1"/>
          <w:sz w:val="32"/>
          <w:szCs w:val="32"/>
          <w:highlight w:val="none"/>
          <w:lang w:eastAsia="zh-CN"/>
          <w14:textFill>
            <w14:solidFill>
              <w14:schemeClr w14:val="tx1"/>
            </w14:solidFill>
          </w14:textFill>
        </w:rPr>
        <w:t>、</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评标程序</w:t>
      </w:r>
      <w:bookmarkEnd w:id="242"/>
      <w:bookmarkEnd w:id="243"/>
      <w:bookmarkEnd w:id="244"/>
      <w:bookmarkEnd w:id="245"/>
      <w:bookmarkEnd w:id="246"/>
      <w:bookmarkEnd w:id="247"/>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1.符合性审查</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符合性审查不通过而导致投标无效的情形</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2.1在报价评审时，如发现下列情形之一的，将被视为投标无效：</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2）未采用人民币报价或者未按照招标文件标明的币种报价的；</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w:t>
      </w:r>
      <w:r>
        <w:rPr>
          <w:rFonts w:hint="eastAsia" w:ascii="宋体" w:hAnsi="宋体"/>
          <w:color w:val="000000" w:themeColor="text1"/>
          <w:szCs w:val="21"/>
          <w:highlight w:val="none"/>
          <w14:textFill>
            <w14:solidFill>
              <w14:schemeClr w14:val="tx1"/>
            </w14:solidFill>
          </w14:textFill>
        </w:rPr>
        <w:t>作唯一报价；投标人未就所投分标的全部内容作唯一总价报价；存在有选择、有条件报价的（招标文件允许有备选方案或者其他约定的除外）；</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5）修正后的报价，投标人不确认的；</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6）投标人属于本章第5</w:t>
      </w:r>
      <w:r>
        <w:rPr>
          <w:rFonts w:hint="eastAsia" w:ascii="宋体" w:hAnsi="宋体"/>
          <w:color w:val="000000" w:themeColor="text1"/>
          <w:szCs w:val="21"/>
          <w:highlight w:val="none"/>
          <w14:textFill>
            <w14:solidFill>
              <w14:schemeClr w14:val="tx1"/>
            </w14:solidFill>
          </w14:textFill>
        </w:rPr>
        <w:t>条第（</w:t>
      </w:r>
      <w:r>
        <w:rPr>
          <w:rFonts w:ascii="宋体" w:hAnsi="宋体"/>
          <w:color w:val="000000" w:themeColor="text1"/>
          <w:szCs w:val="21"/>
          <w:highlight w:val="none"/>
          <w14:textFill>
            <w14:solidFill>
              <w14:schemeClr w14:val="tx1"/>
            </w14:solidFill>
          </w14:textFill>
        </w:rPr>
        <w:t>2）项情形的。</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2.2在商务评审时，如发现下列情形之一的，将被视为投标无效：</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投标文件未按招标文件要求签署、盖章的；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 xml:space="preserve">委托代理人未能出具有效身份证或者出具的身份证与授权委托书中的信息不符的； </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为无效投标保证金的或者未按照招标文件的规定提交投标保证金的；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投标文件未提供“投标人须知前附表”第13.</w:t>
      </w:r>
      <w:r>
        <w:rPr>
          <w:rFonts w:ascii="宋体" w:hAnsi="宋体"/>
          <w:b w:val="0"/>
          <w:bCs/>
          <w:color w:val="000000" w:themeColor="text1"/>
          <w:szCs w:val="21"/>
          <w:highlight w:val="none"/>
          <w14:textFill>
            <w14:solidFill>
              <w14:schemeClr w14:val="tx1"/>
            </w14:solidFill>
          </w14:textFill>
        </w:rPr>
        <w:t>1</w:t>
      </w:r>
      <w:r>
        <w:rPr>
          <w:rFonts w:hint="eastAsia" w:ascii="宋体" w:hAnsi="宋体"/>
          <w:b w:val="0"/>
          <w:bCs/>
          <w:color w:val="000000" w:themeColor="text1"/>
          <w:szCs w:val="21"/>
          <w:highlight w:val="none"/>
          <w14:textFill>
            <w14:solidFill>
              <w14:schemeClr w14:val="tx1"/>
            </w14:solidFill>
          </w14:textFill>
        </w:rPr>
        <w:t>条规定中“必须提供”或者“委托时必须提供”的文件资料的；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商务要求评审允许负偏离的条款数超过“投标人须知前附表”规定项数的；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投标文件的实质性内容未使用中文表述、使用计量单位不符合招标文件要求的；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投标文件中的文件资料因填写不齐全或者内容虚假或者出现其他情形而导致被评标委员会认定无效的；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投标文件含有采购人不能接受的附加条件的；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属于投标人须知正文第</w:t>
      </w:r>
      <w:r>
        <w:rPr>
          <w:rFonts w:ascii="宋体" w:hAnsi="宋体"/>
          <w:b w:val="0"/>
          <w:bCs/>
          <w:color w:val="000000" w:themeColor="text1"/>
          <w:szCs w:val="21"/>
          <w:highlight w:val="none"/>
          <w14:textFill>
            <w14:solidFill>
              <w14:schemeClr w14:val="tx1"/>
            </w14:solidFill>
          </w14:textFill>
        </w:rPr>
        <w:t>9.2</w:t>
      </w:r>
      <w:r>
        <w:rPr>
          <w:rFonts w:hint="eastAsia" w:ascii="宋体" w:hAnsi="宋体"/>
          <w:b w:val="0"/>
          <w:bCs/>
          <w:color w:val="000000" w:themeColor="text1"/>
          <w:szCs w:val="21"/>
          <w:highlight w:val="none"/>
          <w14:textFill>
            <w14:solidFill>
              <w14:schemeClr w14:val="tx1"/>
            </w14:solidFill>
          </w14:textFill>
        </w:rPr>
        <w:t>条情形的；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投标文件标注的项目名称或者项目编号与招标文件标注的项目名称或者项目编号不一致的；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招标文件明确不允许分包，投标文件拟分包的；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未响应招标文件实质性要求的；</w:t>
      </w:r>
    </w:p>
    <w:p>
      <w:pPr>
        <w:keepNext w:val="0"/>
        <w:keepLines w:val="0"/>
        <w:pageBreakBefore w:val="0"/>
        <w:widowControl w:val="0"/>
        <w:numPr>
          <w:ilvl w:val="0"/>
          <w:numId w:val="4"/>
        </w:numPr>
        <w:kinsoku/>
        <w:wordWrap/>
        <w:overflowPunct/>
        <w:topLinePunct w:val="0"/>
        <w:autoSpaceDE/>
        <w:autoSpaceDN/>
        <w:bidi w:val="0"/>
        <w:adjustRightInd/>
        <w:snapToGrid w:val="0"/>
        <w:spacing w:line="440" w:lineRule="exact"/>
        <w:ind w:firstLine="420" w:firstLineChars="200"/>
        <w:textAlignment w:val="auto"/>
        <w:rPr>
          <w:rFonts w:hint="eastAsia" w:ascii="宋体" w:hAnsi="宋体"/>
          <w:b w:val="0"/>
          <w:bCs/>
          <w:color w:val="000000" w:themeColor="text1"/>
          <w:szCs w:val="21"/>
          <w:highlight w:val="none"/>
          <w14:textFill>
            <w14:solidFill>
              <w14:schemeClr w14:val="tx1"/>
            </w14:solidFill>
          </w14:textFill>
        </w:rPr>
      </w:pPr>
      <w:r>
        <w:rPr>
          <w:rFonts w:hint="eastAsia" w:ascii="宋体" w:hAnsi="宋体"/>
          <w:b w:val="0"/>
          <w:bCs/>
          <w:color w:val="000000" w:themeColor="text1"/>
          <w:szCs w:val="21"/>
          <w:highlight w:val="none"/>
          <w14:textFill>
            <w14:solidFill>
              <w14:schemeClr w14:val="tx1"/>
            </w14:solidFill>
          </w14:textFill>
        </w:rPr>
        <w:t>法律、法规和招标文件规定的其他无效情形。</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2.3在技术评审时，如发现下列情形之一的，将被视为投标无效：</w:t>
      </w:r>
    </w:p>
    <w:p>
      <w:pPr>
        <w:pStyle w:val="12"/>
        <w:keepNext w:val="0"/>
        <w:keepLines w:val="0"/>
        <w:pageBreakBefore w:val="0"/>
        <w:widowControl w:val="0"/>
        <w:kinsoku/>
        <w:wordWrap/>
        <w:overflowPunct/>
        <w:topLinePunct w:val="0"/>
        <w:autoSpaceDE/>
        <w:autoSpaceDN/>
        <w:bidi w:val="0"/>
        <w:adjustRightInd/>
        <w:snapToGrid w:val="0"/>
        <w:spacing w:line="440" w:lineRule="exact"/>
        <w:ind w:firstLine="395" w:firstLineChars="196"/>
        <w:textAlignment w:val="auto"/>
        <w:rPr>
          <w:rFonts w:hint="eastAsia" w:ascii="宋体" w:hAnsi="宋体" w:eastAsia="宋体"/>
          <w:b w:val="0"/>
          <w:bCs/>
          <w:color w:val="000000" w:themeColor="text1"/>
          <w:kern w:val="2"/>
          <w:sz w:val="21"/>
          <w:szCs w:val="21"/>
          <w:highlight w:val="none"/>
          <w14:textFill>
            <w14:solidFill>
              <w14:schemeClr w14:val="tx1"/>
            </w14:solidFill>
          </w14:textFill>
        </w:rPr>
      </w:pPr>
      <w:r>
        <w:rPr>
          <w:rFonts w:hint="eastAsia" w:ascii="宋体" w:hAnsi="宋体" w:eastAsia="宋体"/>
          <w:b w:val="0"/>
          <w:bCs/>
          <w:color w:val="000000" w:themeColor="text1"/>
          <w:kern w:val="2"/>
          <w:sz w:val="21"/>
          <w:szCs w:val="21"/>
          <w:highlight w:val="none"/>
          <w14:textFill>
            <w14:solidFill>
              <w14:schemeClr w14:val="tx1"/>
            </w14:solidFill>
          </w14:textFill>
        </w:rPr>
        <w:t>（1）技术要求评审允许负偏离的条款数超过“投标人须知前附表”规定项数的；</w:t>
      </w:r>
    </w:p>
    <w:p>
      <w:pPr>
        <w:pStyle w:val="12"/>
        <w:keepNext w:val="0"/>
        <w:keepLines w:val="0"/>
        <w:pageBreakBefore w:val="0"/>
        <w:widowControl w:val="0"/>
        <w:kinsoku/>
        <w:wordWrap/>
        <w:overflowPunct/>
        <w:topLinePunct w:val="0"/>
        <w:autoSpaceDE/>
        <w:autoSpaceDN/>
        <w:bidi w:val="0"/>
        <w:adjustRightInd/>
        <w:snapToGrid w:val="0"/>
        <w:spacing w:line="440" w:lineRule="exact"/>
        <w:ind w:firstLine="395" w:firstLineChars="196"/>
        <w:textAlignment w:val="auto"/>
        <w:rPr>
          <w:rFonts w:hint="eastAsia" w:ascii="宋体" w:hAnsi="宋体" w:eastAsia="宋体"/>
          <w:b w:val="0"/>
          <w:bCs/>
          <w:color w:val="000000" w:themeColor="text1"/>
          <w:kern w:val="2"/>
          <w:sz w:val="21"/>
          <w:szCs w:val="21"/>
          <w:highlight w:val="none"/>
          <w14:textFill>
            <w14:solidFill>
              <w14:schemeClr w14:val="tx1"/>
            </w14:solidFill>
          </w14:textFill>
        </w:rPr>
      </w:pPr>
      <w:r>
        <w:rPr>
          <w:rFonts w:hint="eastAsia" w:ascii="宋体" w:hAnsi="宋体" w:eastAsia="宋体"/>
          <w:b w:val="0"/>
          <w:bCs/>
          <w:color w:val="000000" w:themeColor="text1"/>
          <w:kern w:val="2"/>
          <w:sz w:val="21"/>
          <w:szCs w:val="21"/>
          <w:highlight w:val="none"/>
          <w14:textFill>
            <w14:solidFill>
              <w14:schemeClr w14:val="tx1"/>
            </w14:solidFill>
          </w14:textFill>
        </w:rPr>
        <w:t>（2）投标文件未提供“投标人须知前附表”第13.</w:t>
      </w:r>
      <w:r>
        <w:rPr>
          <w:rFonts w:ascii="宋体" w:hAnsi="宋体" w:eastAsia="宋体"/>
          <w:b w:val="0"/>
          <w:bCs/>
          <w:color w:val="000000" w:themeColor="text1"/>
          <w:kern w:val="2"/>
          <w:sz w:val="21"/>
          <w:szCs w:val="21"/>
          <w:highlight w:val="none"/>
          <w14:textFill>
            <w14:solidFill>
              <w14:schemeClr w14:val="tx1"/>
            </w14:solidFill>
          </w14:textFill>
        </w:rPr>
        <w:t>1</w:t>
      </w:r>
      <w:r>
        <w:rPr>
          <w:rFonts w:hint="eastAsia" w:ascii="宋体" w:hAnsi="宋体" w:eastAsia="宋体"/>
          <w:b w:val="0"/>
          <w:bCs/>
          <w:color w:val="000000" w:themeColor="text1"/>
          <w:kern w:val="2"/>
          <w:sz w:val="21"/>
          <w:szCs w:val="21"/>
          <w:highlight w:val="none"/>
          <w14:textFill>
            <w14:solidFill>
              <w14:schemeClr w14:val="tx1"/>
            </w14:solidFill>
          </w14:textFill>
        </w:rPr>
        <w:t>条规定中“必须提供”的文件资料的；</w:t>
      </w:r>
    </w:p>
    <w:p>
      <w:pPr>
        <w:pStyle w:val="12"/>
        <w:keepNext w:val="0"/>
        <w:keepLines w:val="0"/>
        <w:pageBreakBefore w:val="0"/>
        <w:widowControl w:val="0"/>
        <w:kinsoku/>
        <w:wordWrap/>
        <w:overflowPunct/>
        <w:topLinePunct w:val="0"/>
        <w:autoSpaceDE/>
        <w:autoSpaceDN/>
        <w:bidi w:val="0"/>
        <w:adjustRightInd/>
        <w:snapToGrid w:val="0"/>
        <w:spacing w:line="440" w:lineRule="exact"/>
        <w:ind w:firstLine="395" w:firstLineChars="196"/>
        <w:textAlignment w:val="auto"/>
        <w:rPr>
          <w:rFonts w:hint="eastAsia" w:ascii="宋体" w:hAnsi="宋体" w:eastAsia="宋体"/>
          <w:b w:val="0"/>
          <w:bCs/>
          <w:color w:val="000000" w:themeColor="text1"/>
          <w:kern w:val="2"/>
          <w:sz w:val="21"/>
          <w:szCs w:val="21"/>
          <w:highlight w:val="none"/>
          <w14:textFill>
            <w14:solidFill>
              <w14:schemeClr w14:val="tx1"/>
            </w14:solidFill>
          </w14:textFill>
        </w:rPr>
      </w:pPr>
      <w:r>
        <w:rPr>
          <w:rFonts w:hint="eastAsia" w:ascii="宋体" w:hAnsi="宋体" w:eastAsia="宋体"/>
          <w:b w:val="0"/>
          <w:bCs/>
          <w:color w:val="000000" w:themeColor="text1"/>
          <w:kern w:val="2"/>
          <w:sz w:val="21"/>
          <w:szCs w:val="21"/>
          <w:highlight w:val="none"/>
          <w14:textFill>
            <w14:solidFill>
              <w14:schemeClr w14:val="tx1"/>
            </w14:solidFill>
          </w14:textFill>
        </w:rPr>
        <w:t>（3）虚假投标，或者出现其他情形而导致被评标委员会认定无效的；</w:t>
      </w:r>
    </w:p>
    <w:p>
      <w:pPr>
        <w:pStyle w:val="12"/>
        <w:keepNext w:val="0"/>
        <w:keepLines w:val="0"/>
        <w:pageBreakBefore w:val="0"/>
        <w:widowControl w:val="0"/>
        <w:kinsoku/>
        <w:wordWrap/>
        <w:overflowPunct/>
        <w:topLinePunct w:val="0"/>
        <w:autoSpaceDE/>
        <w:autoSpaceDN/>
        <w:bidi w:val="0"/>
        <w:adjustRightInd/>
        <w:snapToGrid w:val="0"/>
        <w:spacing w:line="440" w:lineRule="exact"/>
        <w:ind w:firstLine="395" w:firstLineChars="196"/>
        <w:textAlignment w:val="auto"/>
        <w:rPr>
          <w:rFonts w:hint="eastAsia" w:ascii="宋体" w:hAnsi="宋体" w:eastAsia="宋体"/>
          <w:b w:val="0"/>
          <w:bCs/>
          <w:color w:val="000000" w:themeColor="text1"/>
          <w:kern w:val="2"/>
          <w:sz w:val="21"/>
          <w:szCs w:val="21"/>
          <w:highlight w:val="none"/>
          <w14:textFill>
            <w14:solidFill>
              <w14:schemeClr w14:val="tx1"/>
            </w14:solidFill>
          </w14:textFill>
        </w:rPr>
      </w:pPr>
      <w:r>
        <w:rPr>
          <w:rFonts w:hint="eastAsia" w:ascii="宋体" w:hAnsi="宋体" w:eastAsia="宋体"/>
          <w:b w:val="0"/>
          <w:bCs/>
          <w:color w:val="000000" w:themeColor="text1"/>
          <w:kern w:val="2"/>
          <w:sz w:val="21"/>
          <w:szCs w:val="21"/>
          <w:highlight w:val="none"/>
          <w14:textFill>
            <w14:solidFill>
              <w14:schemeClr w14:val="tx1"/>
            </w14:solidFill>
          </w14:textFill>
        </w:rPr>
        <w:t>（4）</w:t>
      </w:r>
      <w:bookmarkStart w:id="248" w:name="_Hlk71706244"/>
      <w:r>
        <w:rPr>
          <w:rFonts w:hint="eastAsia" w:ascii="宋体" w:hAnsi="宋体" w:eastAsia="宋体"/>
          <w:b w:val="0"/>
          <w:bCs/>
          <w:color w:val="000000" w:themeColor="text1"/>
          <w:kern w:val="2"/>
          <w:sz w:val="21"/>
          <w:szCs w:val="21"/>
          <w:highlight w:val="none"/>
          <w14:textFill>
            <w14:solidFill>
              <w14:schemeClr w14:val="tx1"/>
            </w14:solidFill>
          </w14:textFill>
        </w:rPr>
        <w:t>招标文件未载明允许提供备选（替代）投标方案或明确不允许提供备选（替代）投标方案时，投标人提供了备选（替代）投标方案的；</w:t>
      </w:r>
      <w:bookmarkEnd w:id="248"/>
    </w:p>
    <w:p>
      <w:pPr>
        <w:pStyle w:val="12"/>
        <w:keepNext w:val="0"/>
        <w:keepLines w:val="0"/>
        <w:pageBreakBefore w:val="0"/>
        <w:widowControl w:val="0"/>
        <w:kinsoku/>
        <w:wordWrap/>
        <w:overflowPunct/>
        <w:topLinePunct w:val="0"/>
        <w:autoSpaceDE/>
        <w:autoSpaceDN/>
        <w:bidi w:val="0"/>
        <w:adjustRightInd/>
        <w:snapToGrid w:val="0"/>
        <w:spacing w:line="440" w:lineRule="exact"/>
        <w:ind w:firstLine="395" w:firstLineChars="196"/>
        <w:textAlignment w:val="auto"/>
        <w:rPr>
          <w:rFonts w:hint="eastAsia" w:ascii="宋体" w:hAnsi="宋体" w:eastAsia="宋体"/>
          <w:b w:val="0"/>
          <w:bCs/>
          <w:color w:val="000000" w:themeColor="text1"/>
          <w:kern w:val="2"/>
          <w:sz w:val="21"/>
          <w:szCs w:val="21"/>
          <w:highlight w:val="none"/>
          <w14:textFill>
            <w14:solidFill>
              <w14:schemeClr w14:val="tx1"/>
            </w14:solidFill>
          </w14:textFill>
        </w:rPr>
      </w:pPr>
      <w:r>
        <w:rPr>
          <w:rFonts w:hint="eastAsia" w:ascii="宋体" w:hAnsi="宋体" w:eastAsia="宋体"/>
          <w:b w:val="0"/>
          <w:bCs/>
          <w:color w:val="000000" w:themeColor="text1"/>
          <w:kern w:val="2"/>
          <w:sz w:val="21"/>
          <w:szCs w:val="21"/>
          <w:highlight w:val="none"/>
          <w14:textFill>
            <w14:solidFill>
              <w14:schemeClr w14:val="tx1"/>
            </w14:solidFill>
          </w14:textFill>
        </w:rPr>
        <w:t>（5）未响应招标文件实质性要求的。</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澄清补正</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政采云”平台发布电子澄清函，要求投标人在规定时间内作出必要的澄清、说明或者补正。投标人在“政采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未按评标委员会的要求作出明确澄清、说明或者更正的投标人的投标文件将按照有利于采购人的原则由评标委员会进行判定。</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投标文件修正</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4.1投标文件报价出现前后不一致的，按照下列规定修正： </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pPr>
        <w:keepNext w:val="0"/>
        <w:keepLines w:val="0"/>
        <w:pageBreakBefore w:val="0"/>
        <w:widowControl w:val="0"/>
        <w:kinsoku/>
        <w:wordWrap/>
        <w:overflowPunct/>
        <w:topLinePunct w:val="0"/>
        <w:autoSpaceDE/>
        <w:autoSpaceDN/>
        <w:bidi w:val="0"/>
        <w:adjustRightInd/>
        <w:spacing w:line="440" w:lineRule="exact"/>
        <w:ind w:firstLine="422" w:firstLineChars="200"/>
        <w:textAlignment w:val="auto"/>
        <w:rPr>
          <w:rFonts w:ascii="宋体" w:hAnsi="宋体"/>
          <w:b/>
          <w:bCs/>
          <w:color w:val="000000" w:themeColor="text1"/>
          <w:szCs w:val="21"/>
          <w:highlight w:val="none"/>
          <w14:textFill>
            <w14:solidFill>
              <w14:schemeClr w14:val="tx1"/>
            </w14:solidFill>
          </w14:textFill>
        </w:rPr>
      </w:pPr>
      <w:r>
        <w:rPr>
          <w:rFonts w:ascii="宋体" w:hAnsi="宋体"/>
          <w:b/>
          <w:bCs/>
          <w:color w:val="000000" w:themeColor="text1"/>
          <w:szCs w:val="21"/>
          <w:highlight w:val="none"/>
          <w14:textFill>
            <w14:solidFill>
              <w14:schemeClr w14:val="tx1"/>
            </w14:solidFill>
          </w14:textFill>
        </w:rPr>
        <w:t>5.</w:t>
      </w:r>
      <w:r>
        <w:rPr>
          <w:rFonts w:hint="eastAsia" w:ascii="宋体" w:hAnsi="宋体"/>
          <w:b/>
          <w:bCs/>
          <w:color w:val="000000" w:themeColor="text1"/>
          <w:szCs w:val="21"/>
          <w:highlight w:val="none"/>
          <w14:textFill>
            <w14:solidFill>
              <w14:schemeClr w14:val="tx1"/>
            </w14:solidFill>
          </w14:textFill>
        </w:rPr>
        <w:t>比较与评价</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）评标委员会独立对每个投标人的投标文件进行评价，并汇总每个投标人的得分。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w:t>
      </w:r>
      <w:r>
        <w:rPr>
          <w:rFonts w:hint="eastAsia" w:hAnsi="宋体"/>
          <w:b w:val="0"/>
          <w:bCs w:val="0"/>
          <w:color w:val="000000" w:themeColor="text1"/>
          <w:highlight w:val="none"/>
          <w14:textFill>
            <w14:solidFill>
              <w14:schemeClr w14:val="tx1"/>
            </w14:solidFill>
          </w14:textFill>
        </w:rPr>
        <w:t>应当要求其在评标现场合理的时间内提供书面说明，必要时提交相关证明材料；</w:t>
      </w:r>
      <w:r>
        <w:rPr>
          <w:rFonts w:hint="eastAsia" w:hAnsi="宋体"/>
          <w:b/>
          <w:bCs/>
          <w:color w:val="000000" w:themeColor="text1"/>
          <w:highlight w:val="none"/>
          <w14:textFill>
            <w14:solidFill>
              <w14:schemeClr w14:val="tx1"/>
            </w14:solidFill>
          </w14:textFill>
        </w:rPr>
        <w:t>投标人不能证明其报价合理性的，评标委员会将其作为无效投标处理。</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）各投标人的得分为所有评委的有效评分的算术平均数。</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）评标委员会按照招标文件中的规定推荐中标候选人。</w:t>
      </w:r>
    </w:p>
    <w:p>
      <w:pPr>
        <w:keepNext w:val="0"/>
        <w:keepLines w:val="0"/>
        <w:pageBreakBefore w:val="0"/>
        <w:widowControl w:val="0"/>
        <w:kinsoku/>
        <w:wordWrap/>
        <w:overflowPunct/>
        <w:topLinePunct w:val="0"/>
        <w:autoSpaceDE/>
        <w:autoSpaceDN/>
        <w:bidi w:val="0"/>
        <w:adjustRightInd/>
        <w:spacing w:line="440" w:lineRule="exact"/>
        <w:ind w:firstLine="420" w:firstLineChars="200"/>
        <w:textAlignment w:val="auto"/>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pPr>
        <w:keepNext w:val="0"/>
        <w:keepLines w:val="0"/>
        <w:pageBreakBefore w:val="0"/>
        <w:widowControl w:val="0"/>
        <w:kinsoku/>
        <w:wordWrap/>
        <w:overflowPunct/>
        <w:topLinePunct w:val="0"/>
        <w:autoSpaceDE/>
        <w:autoSpaceDN/>
        <w:bidi w:val="0"/>
        <w:adjustRightInd/>
        <w:spacing w:line="440" w:lineRule="exact"/>
        <w:textAlignment w:val="auto"/>
        <w:rPr>
          <w:rFonts w:hint="eastAsia"/>
          <w:b w:val="0"/>
          <w:color w:val="000000" w:themeColor="text1"/>
          <w:sz w:val="30"/>
          <w:szCs w:val="30"/>
          <w:highlight w:val="none"/>
          <w14:textFill>
            <w14:solidFill>
              <w14:schemeClr w14:val="tx1"/>
            </w14:solidFill>
          </w14:textFill>
        </w:rPr>
      </w:pPr>
      <w:r>
        <w:rPr>
          <w:rFonts w:hint="eastAsia"/>
          <w:b w:val="0"/>
          <w:color w:val="000000" w:themeColor="text1"/>
          <w:sz w:val="30"/>
          <w:szCs w:val="30"/>
          <w:highlight w:val="none"/>
          <w14:textFill>
            <w14:solidFill>
              <w14:schemeClr w14:val="tx1"/>
            </w14:solidFill>
          </w14:textFill>
        </w:rPr>
        <w:br w:type="page"/>
      </w:r>
    </w:p>
    <w:p>
      <w:pPr>
        <w:pStyle w:val="4"/>
        <w:jc w:val="center"/>
        <w:outlineLvl w:val="0"/>
        <w:rPr>
          <w:b/>
          <w:bCs w:val="0"/>
          <w:color w:val="000000" w:themeColor="text1"/>
          <w:highlight w:val="none"/>
          <w14:textFill>
            <w14:solidFill>
              <w14:schemeClr w14:val="tx1"/>
            </w14:solidFill>
          </w14:textFill>
        </w:rPr>
      </w:pPr>
      <w:bookmarkStart w:id="249" w:name="_Toc21757"/>
      <w:bookmarkStart w:id="250" w:name="_Toc20717"/>
      <w:bookmarkStart w:id="251" w:name="_Toc6585"/>
      <w:bookmarkStart w:id="252" w:name="_Toc19297"/>
      <w:bookmarkStart w:id="253" w:name="_Toc2771"/>
      <w:bookmarkStart w:id="254" w:name="_Toc4934"/>
      <w:r>
        <w:rPr>
          <w:rFonts w:hint="eastAsia"/>
          <w:b/>
          <w:bCs w:val="0"/>
          <w:color w:val="000000" w:themeColor="text1"/>
          <w:sz w:val="30"/>
          <w:szCs w:val="30"/>
          <w:highlight w:val="none"/>
          <w14:textFill>
            <w14:solidFill>
              <w14:schemeClr w14:val="tx1"/>
            </w14:solidFill>
          </w14:textFill>
        </w:rPr>
        <w:t>三</w:t>
      </w:r>
      <w:r>
        <w:rPr>
          <w:rFonts w:hint="eastAsia"/>
          <w:b/>
          <w:bCs w:val="0"/>
          <w:color w:val="000000" w:themeColor="text1"/>
          <w:sz w:val="30"/>
          <w:szCs w:val="30"/>
          <w:highlight w:val="none"/>
          <w:lang w:eastAsia="zh-CN"/>
          <w14:textFill>
            <w14:solidFill>
              <w14:schemeClr w14:val="tx1"/>
            </w14:solidFill>
          </w14:textFill>
        </w:rPr>
        <w:t>、</w:t>
      </w:r>
      <w:r>
        <w:rPr>
          <w:rFonts w:hint="eastAsia"/>
          <w:b/>
          <w:bCs w:val="0"/>
          <w:color w:val="000000" w:themeColor="text1"/>
          <w:sz w:val="30"/>
          <w:szCs w:val="30"/>
          <w:highlight w:val="none"/>
          <w14:textFill>
            <w14:solidFill>
              <w14:schemeClr w14:val="tx1"/>
            </w14:solidFill>
          </w14:textFill>
        </w:rPr>
        <w:t>评分标准</w:t>
      </w:r>
      <w:bookmarkEnd w:id="249"/>
      <w:bookmarkEnd w:id="250"/>
      <w:bookmarkEnd w:id="251"/>
      <w:bookmarkEnd w:id="252"/>
      <w:bookmarkEnd w:id="253"/>
      <w:bookmarkEnd w:id="254"/>
    </w:p>
    <w:p>
      <w:pPr>
        <w:pStyle w:val="15"/>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综合评分法</w:t>
      </w:r>
    </w:p>
    <w:p>
      <w:pPr>
        <w:spacing w:line="360" w:lineRule="auto"/>
        <w:ind w:firstLine="422" w:firstLineChars="200"/>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一、评标依据及方式</w:t>
      </w:r>
    </w:p>
    <w:p>
      <w:pPr>
        <w:tabs>
          <w:tab w:val="left" w:pos="2190"/>
        </w:tabs>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1.评标依据：评标委员会（评审小组）以招标文件为依据，对投标文件进行评审，对投标人的投标文件内容进行量化打分。总分值100分，其中报价分（1）20分，商务文件（2）</w:t>
      </w:r>
      <w:r>
        <w:rPr>
          <w:rFonts w:hint="eastAsia"/>
          <w:color w:val="000000" w:themeColor="text1"/>
          <w:szCs w:val="21"/>
          <w:highlight w:val="none"/>
          <w:lang w:val="en-US" w:eastAsia="zh-CN"/>
          <w14:textFill>
            <w14:solidFill>
              <w14:schemeClr w14:val="tx1"/>
            </w14:solidFill>
          </w14:textFill>
        </w:rPr>
        <w:t>35</w:t>
      </w:r>
      <w:r>
        <w:rPr>
          <w:rFonts w:hint="eastAsia"/>
          <w:color w:val="000000" w:themeColor="text1"/>
          <w:szCs w:val="21"/>
          <w:highlight w:val="none"/>
          <w14:textFill>
            <w14:solidFill>
              <w14:schemeClr w14:val="tx1"/>
            </w14:solidFill>
          </w14:textFill>
        </w:rPr>
        <w:t>分，技术文件（3）</w:t>
      </w:r>
      <w:r>
        <w:rPr>
          <w:rFonts w:hint="eastAsia"/>
          <w:color w:val="000000" w:themeColor="text1"/>
          <w:szCs w:val="21"/>
          <w:highlight w:val="none"/>
          <w:lang w:val="en-US" w:eastAsia="zh-CN"/>
          <w14:textFill>
            <w14:solidFill>
              <w14:schemeClr w14:val="tx1"/>
            </w14:solidFill>
          </w14:textFill>
        </w:rPr>
        <w:t>45</w:t>
      </w:r>
      <w:r>
        <w:rPr>
          <w:rFonts w:hint="eastAsia"/>
          <w:color w:val="000000" w:themeColor="text1"/>
          <w:szCs w:val="21"/>
          <w:highlight w:val="none"/>
          <w14:textFill>
            <w14:solidFill>
              <w14:schemeClr w14:val="tx1"/>
            </w14:solidFill>
          </w14:textFill>
        </w:rPr>
        <w:t>分。</w:t>
      </w:r>
    </w:p>
    <w:p>
      <w:pPr>
        <w:tabs>
          <w:tab w:val="left" w:pos="2190"/>
        </w:tabs>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2.评标方式：以封闭方式进行评标。</w:t>
      </w:r>
    </w:p>
    <w:p>
      <w:pPr>
        <w:tabs>
          <w:tab w:val="left" w:pos="2190"/>
        </w:tabs>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3.根据财库〔2012〕69号文规定，采购人和采购代理机构、评标委员会成员要严格遵守政府采购相关法律制度，依法履行各自职责，公正、客观、审慎地组织和参与评审工作。</w:t>
      </w:r>
    </w:p>
    <w:p>
      <w:pPr>
        <w:spacing w:line="360" w:lineRule="auto"/>
        <w:ind w:firstLine="422" w:firstLineChars="200"/>
        <w:rPr>
          <w:b/>
          <w:color w:val="000000" w:themeColor="text1"/>
          <w:szCs w:val="21"/>
          <w:highlight w:val="none"/>
          <w14:textFill>
            <w14:solidFill>
              <w14:schemeClr w14:val="tx1"/>
            </w14:solidFill>
          </w14:textFill>
        </w:rPr>
      </w:pPr>
      <w:r>
        <w:rPr>
          <w:rFonts w:hint="eastAsia"/>
          <w:b/>
          <w:color w:val="000000" w:themeColor="text1"/>
          <w:szCs w:val="21"/>
          <w:highlight w:val="none"/>
          <w14:textFill>
            <w14:solidFill>
              <w14:schemeClr w14:val="tx1"/>
            </w14:solidFill>
          </w14:textFill>
        </w:rPr>
        <w:t>二、评标办法</w:t>
      </w:r>
    </w:p>
    <w:p>
      <w:pPr>
        <w:tabs>
          <w:tab w:val="left" w:pos="2190"/>
        </w:tabs>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（一）对进入详评的，采用综合评分法。</w:t>
      </w:r>
    </w:p>
    <w:p>
      <w:pPr>
        <w:tabs>
          <w:tab w:val="left" w:pos="2190"/>
        </w:tabs>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（二）计分办法（按四舍五入取至小数点后二位）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b/>
          <w:bCs/>
          <w:color w:val="000000" w:themeColor="text1"/>
          <w:szCs w:val="21"/>
          <w:highlight w:val="none"/>
          <w:lang w:val="zh-CN"/>
          <w14:textFill>
            <w14:solidFill>
              <w14:schemeClr w14:val="tx1"/>
            </w14:solidFill>
          </w14:textFill>
        </w:rPr>
      </w:pPr>
      <w:bookmarkStart w:id="255" w:name="_Hlk482040274"/>
      <w:r>
        <w:rPr>
          <w:rFonts w:hint="eastAsia" w:ascii="宋体" w:hAnsi="宋体" w:cs="宋体"/>
          <w:b/>
          <w:bCs/>
          <w:color w:val="000000" w:themeColor="text1"/>
          <w:szCs w:val="21"/>
          <w:highlight w:val="none"/>
          <w:lang w:val="zh-CN"/>
          <w14:textFill>
            <w14:solidFill>
              <w14:schemeClr w14:val="tx1"/>
            </w14:solidFill>
          </w14:textFill>
        </w:rPr>
        <w:t>1、报价评分（代号</w:t>
      </w:r>
      <w:r>
        <w:rPr>
          <w:rFonts w:hint="eastAsia" w:ascii="宋体" w:hAnsi="宋体" w:cs="宋体"/>
          <w:b/>
          <w:bCs/>
          <w:color w:val="000000" w:themeColor="text1"/>
          <w:szCs w:val="21"/>
          <w:highlight w:val="none"/>
          <w14:textFill>
            <w14:solidFill>
              <w14:schemeClr w14:val="tx1"/>
            </w14:solidFill>
          </w14:textFill>
        </w:rPr>
        <w:t>1</w:t>
      </w:r>
      <w:r>
        <w:rPr>
          <w:rFonts w:hint="eastAsia" w:ascii="宋体" w:hAnsi="宋体" w:cs="宋体"/>
          <w:b/>
          <w:bCs/>
          <w:color w:val="000000" w:themeColor="text1"/>
          <w:szCs w:val="21"/>
          <w:highlight w:val="none"/>
          <w:lang w:val="zh-CN"/>
          <w14:textFill>
            <w14:solidFill>
              <w14:schemeClr w14:val="tx1"/>
            </w14:solidFill>
          </w14:textFill>
        </w:rPr>
        <w:t>，总分</w:t>
      </w:r>
      <w:r>
        <w:rPr>
          <w:rFonts w:hint="eastAsia" w:ascii="宋体" w:hAnsi="宋体" w:cs="宋体"/>
          <w:b/>
          <w:bCs/>
          <w:color w:val="000000" w:themeColor="text1"/>
          <w:szCs w:val="21"/>
          <w:highlight w:val="none"/>
          <w14:textFill>
            <w14:solidFill>
              <w14:schemeClr w14:val="tx1"/>
            </w14:solidFill>
          </w14:textFill>
        </w:rPr>
        <w:t>2</w:t>
      </w:r>
      <w:r>
        <w:rPr>
          <w:rFonts w:hint="eastAsia" w:ascii="宋体" w:hAnsi="宋体" w:cs="宋体"/>
          <w:b/>
          <w:bCs/>
          <w:color w:val="000000" w:themeColor="text1"/>
          <w:szCs w:val="21"/>
          <w:highlight w:val="none"/>
          <w:lang w:val="zh-CN"/>
          <w14:textFill>
            <w14:solidFill>
              <w14:schemeClr w14:val="tx1"/>
            </w14:solidFill>
          </w14:textFill>
        </w:rPr>
        <w:t>0分）</w:t>
      </w:r>
    </w:p>
    <w:tbl>
      <w:tblPr>
        <w:tblStyle w:val="32"/>
        <w:tblW w:w="9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496"/>
        <w:gridCol w:w="858"/>
        <w:gridCol w:w="6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代号</w:t>
            </w: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评分项目</w:t>
            </w:r>
          </w:p>
        </w:tc>
        <w:tc>
          <w:tcPr>
            <w:tcW w:w="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满分</w:t>
            </w:r>
          </w:p>
        </w:tc>
        <w:tc>
          <w:tcPr>
            <w:tcW w:w="6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ind w:firstLine="422" w:firstLineChars="200"/>
              <w:jc w:val="center"/>
              <w:textAlignment w:val="auto"/>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67"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1</w:t>
            </w: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460" w:lineRule="exac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投标报价得分（</w:t>
            </w:r>
            <w:r>
              <w:rPr>
                <w:rFonts w:hint="eastAsia" w:ascii="宋体" w:hAnsi="宋体" w:eastAsia="宋体" w:cs="宋体"/>
                <w:color w:val="000000" w:themeColor="text1"/>
                <w:sz w:val="21"/>
                <w:szCs w:val="21"/>
                <w:highlight w:val="none"/>
                <w:lang w:val="en-US" w:eastAsia="zh-CN"/>
                <w14:textFill>
                  <w14:solidFill>
                    <w14:schemeClr w14:val="tx1"/>
                  </w14:solidFill>
                </w14:textFill>
              </w:rPr>
              <w:t>建安工程费下浮率</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年投资收益率</w:t>
            </w:r>
            <w:r>
              <w:rPr>
                <w:rFonts w:hint="eastAsia" w:ascii="宋体" w:hAnsi="宋体" w:eastAsia="宋体" w:cs="宋体"/>
                <w:color w:val="000000" w:themeColor="text1"/>
                <w:sz w:val="21"/>
                <w:szCs w:val="21"/>
                <w:highlight w:val="none"/>
                <w14:textFill>
                  <w14:solidFill>
                    <w14:schemeClr w14:val="tx1"/>
                  </w14:solidFill>
                </w14:textFill>
              </w:rPr>
              <w:t>）（满分20分）</w:t>
            </w:r>
          </w:p>
        </w:tc>
        <w:tc>
          <w:tcPr>
            <w:tcW w:w="85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20分</w:t>
            </w:r>
          </w:p>
        </w:tc>
        <w:tc>
          <w:tcPr>
            <w:tcW w:w="6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（1）评标报价为投标人的投标报价进行政策性扣除后的价格，评标报价只是作为评标时使用。最终中标人的中标金额等于投标报价。</w:t>
            </w:r>
          </w:p>
          <w:p>
            <w:pPr>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（2）政策性扣除计算方法。</w:t>
            </w:r>
          </w:p>
          <w:p>
            <w:pPr>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bookmarkStart w:id="256" w:name="_Hlk65858438"/>
            <w:r>
              <w:rPr>
                <w:rFonts w:hint="eastAsia" w:ascii="宋体" w:hAnsi="宋体" w:eastAsia="宋体" w:cs="宋体"/>
                <w:color w:val="000000" w:themeColor="text1"/>
                <w:sz w:val="21"/>
                <w:szCs w:val="21"/>
                <w:highlight w:val="none"/>
                <w14:textFill>
                  <w14:solidFill>
                    <w14:schemeClr w14:val="tx1"/>
                  </w14:solidFill>
                </w14:textFill>
              </w:rPr>
              <w:t>根据《政府采购促进中小企业发展管理办法》（财库〔2020〕46号）</w:t>
            </w:r>
            <w:r>
              <w:rPr>
                <w:rFonts w:hint="eastAsia" w:ascii="宋体" w:hAnsi="宋体" w:eastAsia="宋体" w:cs="宋体"/>
                <w:color w:val="000000" w:themeColor="text1"/>
                <w:sz w:val="21"/>
                <w:szCs w:val="21"/>
                <w:highlight w:val="none"/>
                <w:lang w:eastAsia="zh-CN"/>
                <w14:textFill>
                  <w14:solidFill>
                    <w14:schemeClr w14:val="tx1"/>
                  </w14:solidFill>
                </w14:textFill>
              </w:rPr>
              <w:t>和《广西壮族自治区财政厅关于进一步发挥政府采购政策功能促进企业发展的通知》（桂财采〔2022〕30号）</w:t>
            </w:r>
            <w:r>
              <w:rPr>
                <w:rFonts w:hint="eastAsia" w:ascii="宋体" w:hAnsi="宋体" w:eastAsia="宋体" w:cs="宋体"/>
                <w:color w:val="000000" w:themeColor="text1"/>
                <w:sz w:val="21"/>
                <w:szCs w:val="21"/>
                <w:highlight w:val="none"/>
                <w14:textFill>
                  <w14:solidFill>
                    <w14:schemeClr w14:val="tx1"/>
                  </w14:solidFill>
                </w14:textFill>
              </w:rPr>
              <w:t>的规定，投标人在其投标文件中提供《中小企业声明函》，且其投标全部货物由小微企业制造的，对其投标报价给予</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0%的扣除，扣除后的价格为评标报价，即评标报价=投标报价×（1-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 的扣除，用扣除后的价格参加评审，扣除后的价格为评标报价，即评标报价=投标报价×（1-4%）。除上述情况外，评标报价=投标报价。</w:t>
            </w:r>
            <w:bookmarkEnd w:id="256"/>
          </w:p>
          <w:p>
            <w:pPr>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建安工程费下浮率投标报价得分</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eastAsia="zh-CN"/>
                <w14:textFill>
                  <w14:solidFill>
                    <w14:schemeClr w14:val="tx1"/>
                  </w14:solidFill>
                </w14:textFill>
              </w:rPr>
              <w:t>满分</w:t>
            </w:r>
            <w:r>
              <w:rPr>
                <w:rFonts w:hint="eastAsia" w:ascii="宋体" w:hAnsi="宋体" w:cs="宋体"/>
                <w:b/>
                <w:bCs/>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b/>
                <w:bCs/>
                <w:color w:val="000000" w:themeColor="text1"/>
                <w:sz w:val="24"/>
                <w:szCs w:val="24"/>
                <w:highlight w:val="none"/>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以进入综合评分环节的</w:t>
            </w:r>
            <w:r>
              <w:rPr>
                <w:rFonts w:hint="eastAsia" w:ascii="宋体" w:hAnsi="宋体" w:cs="宋体"/>
                <w:color w:val="000000" w:themeColor="text1"/>
                <w:sz w:val="21"/>
                <w:szCs w:val="21"/>
                <w:highlight w:val="none"/>
                <w:lang w:val="en-US" w:eastAsia="zh-CN"/>
                <w14:textFill>
                  <w14:solidFill>
                    <w14:schemeClr w14:val="tx1"/>
                  </w14:solidFill>
                </w14:textFill>
              </w:rPr>
              <w:t>（1-建安工程费下浮率）</w:t>
            </w:r>
            <w:r>
              <w:rPr>
                <w:rFonts w:hint="eastAsia" w:ascii="宋体" w:hAnsi="宋体" w:cs="宋体"/>
                <w:color w:val="000000" w:themeColor="text1"/>
                <w:sz w:val="21"/>
                <w:szCs w:val="21"/>
                <w:highlight w:val="none"/>
                <w:lang w:eastAsia="zh-CN"/>
                <w14:textFill>
                  <w14:solidFill>
                    <w14:schemeClr w14:val="tx1"/>
                  </w14:solidFill>
                </w14:textFill>
              </w:rPr>
              <w:t>最低</w:t>
            </w:r>
            <w:r>
              <w:rPr>
                <w:rFonts w:hint="eastAsia" w:ascii="宋体" w:hAnsi="宋体" w:eastAsia="宋体" w:cs="宋体"/>
                <w:color w:val="000000" w:themeColor="text1"/>
                <w:sz w:val="21"/>
                <w:szCs w:val="21"/>
                <w:highlight w:val="none"/>
                <w14:textFill>
                  <w14:solidFill>
                    <w14:schemeClr w14:val="tx1"/>
                  </w14:solidFill>
                </w14:textFill>
              </w:rPr>
              <w:t>的评标报价为评分基准价，其报价得分满分为</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价格分计算公式：某有效投标人</w:t>
            </w:r>
            <w:r>
              <w:rPr>
                <w:rFonts w:hint="eastAsia" w:ascii="宋体" w:hAnsi="宋体" w:eastAsia="宋体" w:cs="宋体"/>
                <w:color w:val="000000" w:themeColor="text1"/>
                <w:sz w:val="21"/>
                <w:szCs w:val="21"/>
                <w:highlight w:val="none"/>
                <w:lang w:val="en-US" w:eastAsia="zh-CN"/>
                <w14:textFill>
                  <w14:solidFill>
                    <w14:schemeClr w14:val="tx1"/>
                  </w14:solidFill>
                </w14:textFill>
              </w:rPr>
              <w:t>建安工程费下浮率</w:t>
            </w:r>
            <w:r>
              <w:rPr>
                <w:rFonts w:hint="eastAsia" w:ascii="宋体" w:hAnsi="宋体" w:eastAsia="宋体" w:cs="宋体"/>
                <w:color w:val="000000" w:themeColor="text1"/>
                <w:sz w:val="21"/>
                <w:szCs w:val="21"/>
                <w:highlight w:val="none"/>
                <w14:textFill>
                  <w14:solidFill>
                    <w14:schemeClr w14:val="tx1"/>
                  </w14:solidFill>
                </w14:textFill>
              </w:rPr>
              <w:t>价格分=</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基准价</w:t>
            </w:r>
            <w:r>
              <w:rPr>
                <w:rFonts w:hint="eastAsia" w:ascii="宋体" w:hAnsi="宋体" w:cs="宋体"/>
                <w:color w:val="000000" w:themeColor="text1"/>
                <w:sz w:val="21"/>
                <w:szCs w:val="21"/>
                <w:highlight w:val="none"/>
                <w:lang w:val="en-US" w:eastAsia="zh-CN"/>
                <w14:textFill>
                  <w14:solidFill>
                    <w14:schemeClr w14:val="tx1"/>
                  </w14:solidFill>
                </w14:textFill>
              </w:rPr>
              <w:t>/（1-某投标人建安工程费下浮率）</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年投资收益率</w:t>
            </w:r>
            <w:r>
              <w:rPr>
                <w:rFonts w:hint="eastAsia" w:ascii="宋体" w:hAnsi="宋体" w:eastAsia="宋体" w:cs="宋体"/>
                <w:b/>
                <w:bCs/>
                <w:color w:val="000000" w:themeColor="text1"/>
                <w:sz w:val="24"/>
                <w:szCs w:val="24"/>
                <w:highlight w:val="none"/>
                <w:lang w:eastAsia="zh-CN"/>
                <w14:textFill>
                  <w14:solidFill>
                    <w14:schemeClr w14:val="tx1"/>
                  </w14:solidFill>
                </w14:textFill>
              </w:rPr>
              <w:t>投标报价得分（</w:t>
            </w:r>
            <w:r>
              <w:rPr>
                <w:rFonts w:hint="eastAsia" w:ascii="宋体" w:hAnsi="宋体" w:cs="宋体"/>
                <w:b/>
                <w:bCs/>
                <w:color w:val="000000" w:themeColor="text1"/>
                <w:sz w:val="24"/>
                <w:szCs w:val="24"/>
                <w:highlight w:val="none"/>
                <w:lang w:eastAsia="zh-CN"/>
                <w14:textFill>
                  <w14:solidFill>
                    <w14:schemeClr w14:val="tx1"/>
                  </w14:solidFill>
                </w14:textFill>
              </w:rPr>
              <w:t>满分</w:t>
            </w:r>
            <w:r>
              <w:rPr>
                <w:rFonts w:hint="eastAsia" w:ascii="宋体" w:hAnsi="宋体" w:cs="宋体"/>
                <w:b/>
                <w:bCs/>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b/>
                <w:bCs/>
                <w:color w:val="000000" w:themeColor="text1"/>
                <w:sz w:val="24"/>
                <w:szCs w:val="24"/>
                <w:highlight w:val="none"/>
                <w:lang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以进入综合评分环节的</w:t>
            </w:r>
            <w:r>
              <w:rPr>
                <w:rFonts w:hint="eastAsia" w:ascii="宋体" w:hAnsi="宋体" w:eastAsia="宋体" w:cs="宋体"/>
                <w:color w:val="000000" w:themeColor="text1"/>
                <w:sz w:val="21"/>
                <w:szCs w:val="21"/>
                <w:highlight w:val="none"/>
                <w:lang w:val="en-US" w:eastAsia="zh-CN"/>
                <w14:textFill>
                  <w14:solidFill>
                    <w14:schemeClr w14:val="tx1"/>
                  </w14:solidFill>
                </w14:textFill>
              </w:rPr>
              <w:t>年投资收益率</w:t>
            </w:r>
            <w:r>
              <w:rPr>
                <w:rFonts w:hint="eastAsia" w:ascii="宋体" w:hAnsi="宋体" w:eastAsia="宋体" w:cs="宋体"/>
                <w:color w:val="000000" w:themeColor="text1"/>
                <w:sz w:val="21"/>
                <w:szCs w:val="21"/>
                <w:highlight w:val="none"/>
                <w:lang w:eastAsia="zh-CN"/>
                <w14:textFill>
                  <w14:solidFill>
                    <w14:schemeClr w14:val="tx1"/>
                  </w14:solidFill>
                </w14:textFill>
              </w:rPr>
              <w:t>最低</w:t>
            </w:r>
            <w:r>
              <w:rPr>
                <w:rFonts w:hint="eastAsia" w:ascii="宋体" w:hAnsi="宋体" w:eastAsia="宋体" w:cs="宋体"/>
                <w:color w:val="000000" w:themeColor="text1"/>
                <w:sz w:val="21"/>
                <w:szCs w:val="21"/>
                <w:highlight w:val="none"/>
                <w14:textFill>
                  <w14:solidFill>
                    <w14:schemeClr w14:val="tx1"/>
                  </w14:solidFill>
                </w14:textFill>
              </w:rPr>
              <w:t>的评标报价为评分基准价，其报价得分满分为</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价格分计算公式： 某有效投标人</w:t>
            </w:r>
            <w:r>
              <w:rPr>
                <w:rFonts w:hint="eastAsia" w:ascii="宋体" w:hAnsi="宋体" w:eastAsia="宋体" w:cs="宋体"/>
                <w:color w:val="000000" w:themeColor="text1"/>
                <w:sz w:val="21"/>
                <w:szCs w:val="21"/>
                <w:highlight w:val="none"/>
                <w:lang w:val="en-US" w:eastAsia="zh-CN"/>
                <w14:textFill>
                  <w14:solidFill>
                    <w14:schemeClr w14:val="tx1"/>
                  </w14:solidFill>
                </w14:textFill>
              </w:rPr>
              <w:t>年投资收益率</w:t>
            </w:r>
            <w:r>
              <w:rPr>
                <w:rFonts w:hint="eastAsia" w:ascii="宋体" w:hAnsi="宋体" w:eastAsia="宋体" w:cs="宋体"/>
                <w:color w:val="000000" w:themeColor="text1"/>
                <w:sz w:val="21"/>
                <w:szCs w:val="21"/>
                <w:highlight w:val="none"/>
                <w14:textFill>
                  <w14:solidFill>
                    <w14:schemeClr w14:val="tx1"/>
                  </w14:solidFill>
                </w14:textFill>
              </w:rPr>
              <w:t>价格分=基准价</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某</w:t>
            </w:r>
            <w:r>
              <w:rPr>
                <w:rFonts w:hint="eastAsia" w:ascii="宋体" w:hAnsi="宋体" w:eastAsia="宋体" w:cs="宋体"/>
                <w:color w:val="000000" w:themeColor="text1"/>
                <w:sz w:val="21"/>
                <w:szCs w:val="21"/>
                <w:highlight w:val="none"/>
                <w:lang w:val="en-US" w:eastAsia="zh-CN"/>
                <w14:textFill>
                  <w14:solidFill>
                    <w14:schemeClr w14:val="tx1"/>
                  </w14:solidFill>
                </w14:textFill>
              </w:rPr>
              <w:t>投标人年投资收益率</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p>
          <w:p>
            <w:pPr>
              <w:keepNext w:val="0"/>
              <w:keepLines w:val="0"/>
              <w:pageBreakBefore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color w:val="000000" w:themeColor="text1"/>
                <w:sz w:val="21"/>
                <w:szCs w:val="21"/>
                <w:highlight w:val="none"/>
                <w:lang w:val="en" w:eastAsia="zh-CN"/>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注：</w:t>
            </w:r>
            <w:r>
              <w:rPr>
                <w:rFonts w:hint="eastAsia" w:ascii="宋体" w:hAnsi="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eastAsia="zh-CN"/>
                <w14:textFill>
                  <w14:solidFill>
                    <w14:schemeClr w14:val="tx1"/>
                  </w14:solidFill>
                </w14:textFill>
              </w:rPr>
              <w:t>有效投标报价</w:t>
            </w:r>
            <w:r>
              <w:rPr>
                <w:rFonts w:hint="eastAsia" w:ascii="宋体" w:hAnsi="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建安工程费下浮率</w:t>
            </w:r>
            <w:r>
              <w:rPr>
                <w:rFonts w:hint="eastAsia" w:ascii="宋体" w:hAnsi="宋体" w:eastAsia="宋体" w:cs="宋体"/>
                <w:b/>
                <w:bCs/>
                <w:color w:val="000000" w:themeColor="text1"/>
                <w:sz w:val="2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0</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年投资收益率</w:t>
            </w:r>
            <w:r>
              <w:rPr>
                <w:rFonts w:hint="eastAsia" w:ascii="宋体" w:hAnsi="宋体" w:cs="Times New Roman"/>
                <w:b/>
                <w:bCs/>
                <w:color w:val="000000" w:themeColor="text1"/>
                <w:szCs w:val="21"/>
                <w:highlight w:val="none"/>
                <w:lang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
                <w:bCs/>
                <w:color w:val="000000" w:themeColor="text1"/>
                <w:sz w:val="21"/>
                <w:szCs w:val="21"/>
                <w:highlight w:val="none"/>
                <w14:textFill>
                  <w14:solidFill>
                    <w14:schemeClr w14:val="tx1"/>
                  </w14:solidFill>
                </w14:textFill>
              </w:rPr>
              <w:t>%</w:t>
            </w:r>
            <w:r>
              <w:rPr>
                <w:rFonts w:hint="eastAsia" w:ascii="宋体" w:hAnsi="宋体" w:cs="宋体"/>
                <w:b/>
                <w:bCs/>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921"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合计</w:t>
            </w:r>
          </w:p>
        </w:tc>
        <w:tc>
          <w:tcPr>
            <w:tcW w:w="63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60" w:lineRule="exact"/>
              <w:ind w:firstLine="420" w:firstLineChars="200"/>
              <w:jc w:val="center"/>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20分</w:t>
            </w:r>
          </w:p>
        </w:tc>
      </w:tr>
      <w:bookmarkEnd w:id="255"/>
    </w:tbl>
    <w:p>
      <w:pPr>
        <w:keepNext w:val="0"/>
        <w:keepLines w:val="0"/>
        <w:pageBreakBefore w:val="0"/>
        <w:kinsoku/>
        <w:wordWrap/>
        <w:overflowPunct/>
        <w:topLinePunct w:val="0"/>
        <w:autoSpaceDE/>
        <w:autoSpaceDN/>
        <w:bidi w:val="0"/>
        <w:spacing w:line="460" w:lineRule="exact"/>
        <w:rPr>
          <w:rFonts w:hint="eastAsia" w:ascii="宋体" w:hAnsi="宋体" w:eastAsia="宋体" w:cs="宋体"/>
          <w:color w:val="000000" w:themeColor="text1"/>
          <w:kern w:val="0"/>
          <w:sz w:val="21"/>
          <w:szCs w:val="21"/>
          <w:highlight w:val="none"/>
          <w14:textFill>
            <w14:solidFill>
              <w14:schemeClr w14:val="tx1"/>
            </w14:solidFill>
          </w14:textFill>
        </w:rPr>
      </w:pPr>
    </w:p>
    <w:p>
      <w:pP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br w:type="page"/>
      </w:r>
    </w:p>
    <w:p>
      <w:pPr>
        <w:keepNext w:val="0"/>
        <w:keepLines w:val="0"/>
        <w:pageBreakBefore w:val="0"/>
        <w:kinsoku/>
        <w:wordWrap/>
        <w:overflowPunct/>
        <w:topLinePunct w:val="0"/>
        <w:autoSpaceDE/>
        <w:autoSpaceDN/>
        <w:bidi w:val="0"/>
        <w:spacing w:line="460" w:lineRule="exact"/>
        <w:ind w:firstLine="422"/>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2、商务评分（代号</w:t>
      </w:r>
      <w:r>
        <w:rPr>
          <w:rFonts w:hint="eastAsia" w:ascii="宋体" w:hAnsi="宋体" w:eastAsia="宋体" w:cs="宋体"/>
          <w:b/>
          <w:bCs/>
          <w:color w:val="000000" w:themeColor="text1"/>
          <w:sz w:val="21"/>
          <w:szCs w:val="21"/>
          <w:highlight w:val="none"/>
          <w14:textFill>
            <w14:solidFill>
              <w14:schemeClr w14:val="tx1"/>
            </w14:solidFill>
          </w14:textFill>
        </w:rPr>
        <w:t>2</w:t>
      </w:r>
      <w:r>
        <w:rPr>
          <w:rFonts w:hint="eastAsia" w:ascii="宋体" w:hAnsi="宋体" w:eastAsia="宋体" w:cs="宋体"/>
          <w:b/>
          <w:bCs/>
          <w:color w:val="000000" w:themeColor="text1"/>
          <w:sz w:val="21"/>
          <w:szCs w:val="21"/>
          <w:highlight w:val="none"/>
          <w:lang w:val="zh-CN"/>
          <w14:textFill>
            <w14:solidFill>
              <w14:schemeClr w14:val="tx1"/>
            </w14:solidFill>
          </w14:textFill>
        </w:rPr>
        <w:t>，总分</w:t>
      </w:r>
      <w:r>
        <w:rPr>
          <w:rFonts w:hint="eastAsia" w:ascii="宋体" w:hAnsi="宋体" w:cs="宋体"/>
          <w:b/>
          <w:bCs/>
          <w:color w:val="000000" w:themeColor="text1"/>
          <w:sz w:val="21"/>
          <w:szCs w:val="21"/>
          <w:highlight w:val="none"/>
          <w:lang w:val="en-US" w:eastAsia="zh-CN"/>
          <w14:textFill>
            <w14:solidFill>
              <w14:schemeClr w14:val="tx1"/>
            </w14:solidFill>
          </w14:textFill>
        </w:rPr>
        <w:t>40</w:t>
      </w:r>
      <w:r>
        <w:rPr>
          <w:rFonts w:hint="eastAsia" w:ascii="宋体" w:hAnsi="宋体" w:eastAsia="宋体" w:cs="宋体"/>
          <w:b/>
          <w:bCs/>
          <w:color w:val="000000" w:themeColor="text1"/>
          <w:sz w:val="21"/>
          <w:szCs w:val="21"/>
          <w:highlight w:val="none"/>
          <w:lang w:val="zh-CN"/>
          <w14:textFill>
            <w14:solidFill>
              <w14:schemeClr w14:val="tx1"/>
            </w14:solidFill>
          </w14:textFill>
        </w:rPr>
        <w:t>分）</w:t>
      </w:r>
    </w:p>
    <w:tbl>
      <w:tblPr>
        <w:tblStyle w:val="32"/>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598"/>
        <w:gridCol w:w="1018"/>
        <w:gridCol w:w="5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46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代号</w:t>
            </w:r>
          </w:p>
        </w:tc>
        <w:tc>
          <w:tcPr>
            <w:tcW w:w="261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pacing w:line="460" w:lineRule="exact"/>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评分项目</w:t>
            </w:r>
          </w:p>
        </w:tc>
        <w:tc>
          <w:tcPr>
            <w:tcW w:w="5878"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snapToGrid/>
              <w:spacing w:line="460" w:lineRule="exact"/>
              <w:ind w:firstLine="422" w:firstLineChars="200"/>
              <w:jc w:val="center"/>
              <w:rPr>
                <w:rFonts w:hint="eastAsia" w:ascii="宋体" w:hAnsi="宋体" w:eastAsia="宋体" w:cs="宋体"/>
                <w:b/>
                <w:color w:val="000000" w:themeColor="text1"/>
                <w:kern w:val="0"/>
                <w:sz w:val="21"/>
                <w:szCs w:val="21"/>
                <w:highlight w:val="none"/>
                <w14:textFill>
                  <w14:solidFill>
                    <w14:schemeClr w14:val="tx1"/>
                  </w14:solidFill>
                </w14:textFill>
              </w:rPr>
            </w:pPr>
            <w:r>
              <w:rPr>
                <w:rFonts w:hint="eastAsia" w:ascii="宋体" w:hAnsi="宋体" w:eastAsia="宋体" w:cs="宋体"/>
                <w:b/>
                <w:color w:val="000000" w:themeColor="text1"/>
                <w:kern w:val="0"/>
                <w:sz w:val="21"/>
                <w:szCs w:val="21"/>
                <w:highlight w:val="none"/>
                <w14:textFill>
                  <w14:solidFill>
                    <w14:schemeClr w14:val="tx1"/>
                  </w14:solidFill>
                </w14:textFill>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81" w:type="dxa"/>
            <w:vMerge w:val="restart"/>
            <w:tcBorders>
              <w:top w:val="single" w:color="auto" w:sz="4" w:space="0"/>
              <w:left w:val="single" w:color="auto" w:sz="4" w:space="0"/>
              <w:right w:val="single" w:color="auto" w:sz="4" w:space="0"/>
            </w:tcBorders>
          </w:tcPr>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b/>
                <w:bCs/>
                <w:color w:val="000000" w:themeColor="text1"/>
                <w:kern w:val="0"/>
                <w:sz w:val="21"/>
                <w:szCs w:val="21"/>
                <w:highlight w:val="none"/>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2</w:t>
            </w:r>
          </w:p>
        </w:tc>
        <w:tc>
          <w:tcPr>
            <w:tcW w:w="15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1、企业</w:t>
            </w:r>
            <w:r>
              <w:rPr>
                <w:rFonts w:hint="eastAsia" w:ascii="宋体" w:hAnsi="宋体" w:cs="宋体"/>
                <w:color w:val="000000" w:themeColor="text1"/>
                <w:kern w:val="0"/>
                <w:szCs w:val="21"/>
                <w:highlight w:val="none"/>
                <w:lang w:eastAsia="zh-CN"/>
                <w14:textFill>
                  <w14:solidFill>
                    <w14:schemeClr w14:val="tx1"/>
                  </w14:solidFill>
                </w14:textFill>
              </w:rPr>
              <w:t>综合</w:t>
            </w:r>
            <w:r>
              <w:rPr>
                <w:rFonts w:hint="eastAsia" w:ascii="宋体" w:hAnsi="宋体" w:cs="宋体"/>
                <w:color w:val="000000" w:themeColor="text1"/>
                <w:kern w:val="0"/>
                <w:szCs w:val="21"/>
                <w:highlight w:val="none"/>
                <w14:textFill>
                  <w14:solidFill>
                    <w14:schemeClr w14:val="tx1"/>
                  </w14:solidFill>
                </w14:textFill>
              </w:rPr>
              <w:t>实力</w:t>
            </w:r>
            <w:r>
              <w:rPr>
                <w:rFonts w:hint="eastAsia" w:ascii="宋体" w:hAnsi="宋体" w:cs="宋体"/>
                <w:color w:val="000000" w:themeColor="text1"/>
                <w:kern w:val="0"/>
                <w:szCs w:val="21"/>
                <w:highlight w:val="none"/>
                <w:lang w:eastAsia="zh-CN"/>
                <w14:textFill>
                  <w14:solidFill>
                    <w14:schemeClr w14:val="tx1"/>
                  </w14:solidFill>
                </w14:textFill>
              </w:rPr>
              <w:t>分</w:t>
            </w:r>
            <w:r>
              <w:rPr>
                <w:rFonts w:hint="eastAsia" w:ascii="宋体" w:hAnsi="宋体" w:cs="宋体"/>
                <w:color w:val="000000" w:themeColor="text1"/>
                <w:kern w:val="0"/>
                <w:szCs w:val="21"/>
                <w:highlight w:val="none"/>
                <w14:textFill>
                  <w14:solidFill>
                    <w14:schemeClr w14:val="tx1"/>
                  </w14:solidFill>
                </w14:textFill>
              </w:rPr>
              <w:t>（满分</w:t>
            </w:r>
            <w:r>
              <w:rPr>
                <w:rFonts w:hint="eastAsia" w:ascii="宋体" w:hAnsi="宋体" w:cs="宋体"/>
                <w:color w:val="000000" w:themeColor="text1"/>
                <w:kern w:val="0"/>
                <w:szCs w:val="21"/>
                <w:highlight w:val="none"/>
                <w:lang w:val="en-US" w:eastAsia="zh-CN"/>
                <w14:textFill>
                  <w14:solidFill>
                    <w14:schemeClr w14:val="tx1"/>
                  </w14:solidFill>
                </w14:textFill>
              </w:rPr>
              <w:t>15</w:t>
            </w:r>
            <w:r>
              <w:rPr>
                <w:rFonts w:hint="eastAsia" w:ascii="宋体" w:hAnsi="宋体" w:cs="宋体"/>
                <w:color w:val="000000" w:themeColor="text1"/>
                <w:kern w:val="0"/>
                <w:szCs w:val="21"/>
                <w:highlight w:val="none"/>
                <w14:textFill>
                  <w14:solidFill>
                    <w14:schemeClr w14:val="tx1"/>
                  </w14:solidFill>
                </w14:textFill>
              </w:rPr>
              <w:t>分）</w:t>
            </w:r>
          </w:p>
        </w:tc>
        <w:tc>
          <w:tcPr>
            <w:tcW w:w="10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460" w:lineRule="exact"/>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15</w:t>
            </w:r>
            <w:r>
              <w:rPr>
                <w:rFonts w:hint="eastAsia" w:ascii="宋体" w:hAnsi="宋体" w:eastAsia="宋体" w:cs="宋体"/>
                <w:color w:val="000000" w:themeColor="text1"/>
                <w:kern w:val="0"/>
                <w:sz w:val="21"/>
                <w:szCs w:val="21"/>
                <w:highlight w:val="none"/>
                <w14:textFill>
                  <w14:solidFill>
                    <w14:schemeClr w14:val="tx1"/>
                  </w14:solidFill>
                </w14:textFill>
              </w:rPr>
              <w:t>分</w:t>
            </w:r>
          </w:p>
        </w:tc>
        <w:tc>
          <w:tcPr>
            <w:tcW w:w="58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企业荣誉（</w:t>
            </w:r>
            <w:r>
              <w:rPr>
                <w:rFonts w:hint="eastAsia" w:ascii="宋体" w:hAnsi="宋体" w:cs="宋体"/>
                <w:b/>
                <w:bCs/>
                <w:color w:val="000000" w:themeColor="text1"/>
                <w:sz w:val="24"/>
                <w:szCs w:val="24"/>
                <w:highlight w:val="none"/>
                <w:lang w:val="en-US" w:eastAsia="zh-CN"/>
                <w14:textFill>
                  <w14:solidFill>
                    <w14:schemeClr w14:val="tx1"/>
                  </w14:solidFill>
                </w14:textFill>
              </w:rPr>
              <w:t>满分10</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投标人（</w:t>
            </w:r>
            <w:r>
              <w:rPr>
                <w:rFonts w:hint="eastAsia" w:ascii="宋体" w:hAnsi="宋体" w:cs="宋体"/>
                <w:color w:val="000000" w:themeColor="text1"/>
                <w:sz w:val="21"/>
                <w:szCs w:val="21"/>
                <w:highlight w:val="none"/>
                <w:lang w:eastAsia="zh-CN"/>
                <w14:textFill>
                  <w14:solidFill>
                    <w14:schemeClr w14:val="tx1"/>
                  </w14:solidFill>
                </w14:textFill>
              </w:rPr>
              <w:t>或</w:t>
            </w:r>
            <w:r>
              <w:rPr>
                <w:rFonts w:hint="eastAsia" w:ascii="宋体" w:hAnsi="宋体" w:eastAsia="宋体" w:cs="宋体"/>
                <w:color w:val="000000" w:themeColor="text1"/>
                <w:sz w:val="21"/>
                <w:szCs w:val="21"/>
                <w:highlight w:val="none"/>
                <w14:textFill>
                  <w14:solidFill>
                    <w14:schemeClr w14:val="tx1"/>
                  </w14:solidFill>
                </w14:textFill>
              </w:rPr>
              <w:t>联合体</w:t>
            </w:r>
            <w:r>
              <w:rPr>
                <w:rFonts w:hint="eastAsia" w:ascii="宋体" w:hAnsi="宋体" w:cs="宋体"/>
                <w:color w:val="000000" w:themeColor="text1"/>
                <w:sz w:val="21"/>
                <w:szCs w:val="21"/>
                <w:highlight w:val="none"/>
                <w:lang w:eastAsia="zh-CN"/>
                <w14:textFill>
                  <w14:solidFill>
                    <w14:schemeClr w14:val="tx1"/>
                  </w14:solidFill>
                </w14:textFill>
              </w:rPr>
              <w:t>各方</w:t>
            </w:r>
            <w:r>
              <w:rPr>
                <w:rFonts w:hint="eastAsia" w:ascii="宋体" w:hAnsi="宋体" w:eastAsia="宋体" w:cs="宋体"/>
                <w:color w:val="000000" w:themeColor="text1"/>
                <w:sz w:val="21"/>
                <w:szCs w:val="21"/>
                <w:highlight w:val="none"/>
                <w14:textFill>
                  <w14:solidFill>
                    <w14:schemeClr w14:val="tx1"/>
                  </w14:solidFill>
                </w14:textFill>
              </w:rPr>
              <w:t>）自</w:t>
            </w:r>
            <w:r>
              <w:rPr>
                <w:rFonts w:hint="eastAsia" w:ascii="宋体" w:hAnsi="宋体" w:cs="宋体"/>
                <w:color w:val="000000" w:themeColor="text1"/>
                <w:sz w:val="21"/>
                <w:szCs w:val="21"/>
                <w:highlight w:val="none"/>
                <w:lang w:val="en-US" w:eastAsia="zh-CN"/>
                <w14:textFill>
                  <w14:solidFill>
                    <w14:schemeClr w14:val="tx1"/>
                  </w14:solidFill>
                </w14:textFill>
              </w:rPr>
              <w:t>2020</w:t>
            </w:r>
            <w:r>
              <w:rPr>
                <w:rFonts w:hint="eastAsia" w:ascii="宋体" w:hAnsi="宋体" w:eastAsia="宋体" w:cs="宋体"/>
                <w:color w:val="000000" w:themeColor="text1"/>
                <w:sz w:val="21"/>
                <w:szCs w:val="21"/>
                <w:highlight w:val="none"/>
                <w14:textFill>
                  <w14:solidFill>
                    <w14:schemeClr w14:val="tx1"/>
                  </w14:solidFill>
                </w14:textFill>
              </w:rPr>
              <w:t>年1月1日至投标截止之日止承担过的项目获得</w:t>
            </w:r>
            <w:r>
              <w:rPr>
                <w:rFonts w:hint="eastAsia" w:ascii="宋体" w:hAnsi="宋体" w:cs="宋体"/>
                <w:color w:val="000000" w:themeColor="text1"/>
                <w:sz w:val="21"/>
                <w:szCs w:val="21"/>
                <w:highlight w:val="none"/>
                <w:lang w:eastAsia="zh-CN"/>
                <w14:textFill>
                  <w14:solidFill>
                    <w14:schemeClr w14:val="tx1"/>
                  </w14:solidFill>
                </w14:textFill>
              </w:rPr>
              <w:t>县级</w:t>
            </w:r>
            <w:r>
              <w:rPr>
                <w:rFonts w:hint="eastAsia" w:ascii="宋体" w:hAnsi="宋体" w:eastAsia="宋体" w:cs="宋体"/>
                <w:color w:val="000000" w:themeColor="text1"/>
                <w:sz w:val="21"/>
                <w:szCs w:val="21"/>
                <w:highlight w:val="none"/>
                <w:lang w:eastAsia="zh-CN"/>
                <w14:textFill>
                  <w14:solidFill>
                    <w14:schemeClr w14:val="tx1"/>
                  </w14:solidFill>
                </w14:textFill>
              </w:rPr>
              <w:t>及以上</w:t>
            </w:r>
            <w:r>
              <w:rPr>
                <w:rFonts w:hint="eastAsia" w:ascii="宋体" w:hAnsi="宋体" w:eastAsia="宋体" w:cs="宋体"/>
                <w:color w:val="000000" w:themeColor="text1"/>
                <w:sz w:val="21"/>
                <w:szCs w:val="21"/>
                <w:highlight w:val="none"/>
                <w14:textFill>
                  <w14:solidFill>
                    <w14:schemeClr w14:val="tx1"/>
                  </w14:solidFill>
                </w14:textFill>
              </w:rPr>
              <w:t>人民政府</w:t>
            </w:r>
            <w:r>
              <w:rPr>
                <w:rFonts w:hint="eastAsia" w:ascii="宋体" w:hAnsi="宋体" w:eastAsia="宋体" w:cs="宋体"/>
                <w:color w:val="000000" w:themeColor="text1"/>
                <w:sz w:val="21"/>
                <w:szCs w:val="21"/>
                <w:highlight w:val="none"/>
                <w:lang w:eastAsia="zh-CN"/>
                <w14:textFill>
                  <w14:solidFill>
                    <w14:schemeClr w14:val="tx1"/>
                  </w14:solidFill>
                </w14:textFill>
              </w:rPr>
              <w:t>或行业行政主管部门</w:t>
            </w:r>
            <w:r>
              <w:rPr>
                <w:rFonts w:hint="eastAsia" w:ascii="宋体" w:hAnsi="宋体" w:eastAsia="宋体" w:cs="宋体"/>
                <w:color w:val="000000" w:themeColor="text1"/>
                <w:sz w:val="21"/>
                <w:szCs w:val="21"/>
                <w:highlight w:val="none"/>
                <w14:textFill>
                  <w14:solidFill>
                    <w14:schemeClr w14:val="tx1"/>
                  </w14:solidFill>
                </w14:textFill>
              </w:rPr>
              <w:t>颁发的</w:t>
            </w:r>
            <w:r>
              <w:rPr>
                <w:rFonts w:hint="eastAsia" w:ascii="宋体" w:hAnsi="宋体" w:cs="宋体"/>
                <w:color w:val="000000" w:themeColor="text1"/>
                <w:sz w:val="21"/>
                <w:szCs w:val="21"/>
                <w:highlight w:val="none"/>
                <w:lang w:eastAsia="zh-CN"/>
                <w14:textFill>
                  <w14:solidFill>
                    <w14:schemeClr w14:val="tx1"/>
                  </w14:solidFill>
                </w14:textFill>
              </w:rPr>
              <w:t>奖项</w:t>
            </w:r>
            <w:r>
              <w:rPr>
                <w:rFonts w:hint="eastAsia" w:ascii="宋体" w:hAnsi="宋体" w:eastAsia="宋体" w:cs="宋体"/>
                <w:color w:val="000000" w:themeColor="text1"/>
                <w:sz w:val="21"/>
                <w:szCs w:val="21"/>
                <w:highlight w:val="none"/>
                <w14:textFill>
                  <w14:solidFill>
                    <w14:schemeClr w14:val="tx1"/>
                  </w14:solidFill>
                </w14:textFill>
              </w:rPr>
              <w:t>（或表彰）的</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每个得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最高</w:t>
            </w: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color w:val="000000" w:themeColor="text1"/>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注：上述证明材料须提供获奖证书的复印件，否则不得分，考核时间以获奖证书或表彰证书颁发时间为准。</w:t>
            </w:r>
          </w:p>
          <w:p>
            <w:pPr>
              <w:pStyle w:val="2"/>
              <w:rPr>
                <w:rFonts w:hint="eastAsia"/>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60" w:lineRule="exact"/>
              <w:textAlignment w:val="auto"/>
              <w:rPr>
                <w:color w:val="000000" w:themeColor="text1"/>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投标人拟投入本项目人员专业素质（</w:t>
            </w:r>
            <w:r>
              <w:rPr>
                <w:rFonts w:hint="eastAsia" w:ascii="宋体" w:hAnsi="宋体" w:cs="宋体"/>
                <w:b/>
                <w:bCs/>
                <w:color w:val="000000" w:themeColor="text1"/>
                <w:sz w:val="24"/>
                <w:szCs w:val="24"/>
                <w:highlight w:val="none"/>
                <w:lang w:val="en-US" w:eastAsia="zh-CN"/>
                <w14:textFill>
                  <w14:solidFill>
                    <w14:schemeClr w14:val="tx1"/>
                  </w14:solidFill>
                </w14:textFill>
              </w:rPr>
              <w:t>满分</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5分）</w:t>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项目实施人员中，每有一名具有中级及以上职称的，</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得1分，满分</w:t>
            </w:r>
            <w:r>
              <w:rPr>
                <w:rFonts w:hint="eastAsia" w:ascii="宋体" w:hAnsi="宋体" w:cs="宋体"/>
                <w:b/>
                <w:bCs/>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注：</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1）未按要求投入人员的得0分；</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2）提供拟投入人员</w:t>
            </w:r>
            <w:r>
              <w:rPr>
                <w:rFonts w:hint="eastAsia" w:ascii="宋体" w:hAnsi="宋体" w:cs="宋体"/>
                <w:b/>
                <w:bCs/>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相关职称证</w:t>
            </w:r>
            <w:r>
              <w:rPr>
                <w:rFonts w:hint="eastAsia" w:ascii="宋体" w:hAnsi="宋体" w:cs="宋体"/>
                <w:b/>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身份证原件扫描件等相关证明材料；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81" w:type="dxa"/>
            <w:vMerge w:val="continue"/>
            <w:tcBorders>
              <w:left w:val="single" w:color="auto" w:sz="4" w:space="0"/>
              <w:right w:val="single" w:color="auto" w:sz="4" w:space="0"/>
            </w:tcBorders>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59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lang w:val="en-US" w:eastAsia="zh-CN"/>
                <w14:textFill>
                  <w14:solidFill>
                    <w14:schemeClr w14:val="tx1"/>
                  </w14:solidFill>
                </w14:textFill>
              </w:rPr>
              <w:t xml:space="preserve">投融资能力 </w:t>
            </w:r>
          </w:p>
          <w:p>
            <w:pPr>
              <w:widowControl/>
              <w:spacing w:line="360" w:lineRule="auto"/>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分（满分</w:t>
            </w:r>
            <w:r>
              <w:rPr>
                <w:rFonts w:hint="eastAsia" w:ascii="宋体" w:hAnsi="宋体" w:cs="宋体"/>
                <w:color w:val="000000" w:themeColor="text1"/>
                <w:kern w:val="0"/>
                <w:szCs w:val="21"/>
                <w:highlight w:val="none"/>
                <w:lang w:val="en-US" w:eastAsia="zh-CN"/>
                <w14:textFill>
                  <w14:solidFill>
                    <w14:schemeClr w14:val="tx1"/>
                  </w14:solidFill>
                </w14:textFill>
              </w:rPr>
              <w:t>15</w:t>
            </w:r>
            <w:r>
              <w:rPr>
                <w:rFonts w:hint="eastAsia" w:ascii="宋体" w:hAnsi="宋体" w:cs="宋体"/>
                <w:color w:val="000000" w:themeColor="text1"/>
                <w:kern w:val="0"/>
                <w:szCs w:val="21"/>
                <w:highlight w:val="none"/>
                <w14:textFill>
                  <w14:solidFill>
                    <w14:schemeClr w14:val="tx1"/>
                  </w14:solidFill>
                </w14:textFill>
              </w:rPr>
              <w:t>分）</w:t>
            </w:r>
          </w:p>
        </w:tc>
        <w:tc>
          <w:tcPr>
            <w:tcW w:w="101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cs="宋体"/>
                <w:color w:val="000000" w:themeColor="text1"/>
                <w:kern w:val="2"/>
                <w:sz w:val="21"/>
                <w:szCs w:val="21"/>
                <w:highlight w:val="none"/>
                <w:lang w:val="en-US" w:eastAsia="zh-CN" w:bidi="ar-SA"/>
                <w14:textFill>
                  <w14:solidFill>
                    <w14:schemeClr w14:val="tx1"/>
                  </w14:solidFill>
                </w14:textFill>
              </w:rPr>
              <w:t>15</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分</w:t>
            </w:r>
          </w:p>
        </w:tc>
        <w:tc>
          <w:tcPr>
            <w:tcW w:w="5878" w:type="dxa"/>
            <w:tcBorders>
              <w:top w:val="single" w:color="auto" w:sz="4" w:space="0"/>
              <w:left w:val="single" w:color="auto" w:sz="4" w:space="0"/>
              <w:bottom w:val="single" w:color="auto" w:sz="4" w:space="0"/>
              <w:right w:val="single" w:color="auto" w:sz="4" w:space="0"/>
            </w:tcBorders>
            <w:vAlign w:val="center"/>
          </w:tcPr>
          <w:p>
            <w:pPr>
              <w:spacing w:line="460" w:lineRule="exact"/>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（1）融资能力（满分</w:t>
            </w:r>
            <w:r>
              <w:rPr>
                <w:rFonts w:hint="eastAsia" w:ascii="宋体" w:hAnsi="宋体" w:cs="宋体"/>
                <w:b/>
                <w:bCs/>
                <w:color w:val="000000" w:themeColor="text1"/>
                <w:sz w:val="24"/>
                <w:highlight w:val="none"/>
                <w:lang w:val="en-US" w:eastAsia="zh-CN"/>
                <w14:textFill>
                  <w14:solidFill>
                    <w14:schemeClr w14:val="tx1"/>
                  </w14:solidFill>
                </w14:textFill>
              </w:rPr>
              <w:t>15</w:t>
            </w:r>
            <w:r>
              <w:rPr>
                <w:rFonts w:hint="eastAsia" w:ascii="宋体" w:hAnsi="宋体" w:eastAsia="宋体" w:cs="宋体"/>
                <w:b/>
                <w:bCs/>
                <w:color w:val="000000" w:themeColor="text1"/>
                <w:sz w:val="24"/>
                <w:highlight w:val="none"/>
                <w14:textFill>
                  <w14:solidFill>
                    <w14:schemeClr w14:val="tx1"/>
                  </w14:solidFill>
                </w14:textFill>
              </w:rPr>
              <w:t>分）</w:t>
            </w:r>
          </w:p>
          <w:p>
            <w:pPr>
              <w:spacing w:line="460" w:lineRule="exact"/>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由金融机构或担保机构出具的在有效期的授信额度证明或融资意向函，且额度不低于14亿元人民币（含），得5分，在此基础上，每增加</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亿元的加</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分，满分</w:t>
            </w:r>
            <w:r>
              <w:rPr>
                <w:rFonts w:hint="eastAsia" w:ascii="宋体" w:hAnsi="宋体" w:cs="宋体"/>
                <w:color w:val="000000" w:themeColor="text1"/>
                <w:szCs w:val="21"/>
                <w:highlight w:val="none"/>
                <w:lang w:val="en-US" w:eastAsia="zh-CN"/>
                <w14:textFill>
                  <w14:solidFill>
                    <w14:schemeClr w14:val="tx1"/>
                  </w14:solidFill>
                </w14:textFill>
              </w:rPr>
              <w:t>15</w:t>
            </w:r>
            <w:r>
              <w:rPr>
                <w:rFonts w:hint="eastAsia" w:ascii="宋体" w:hAnsi="宋体" w:eastAsia="宋体" w:cs="宋体"/>
                <w:color w:val="000000" w:themeColor="text1"/>
                <w:szCs w:val="21"/>
                <w:highlight w:val="none"/>
                <w14:textFill>
                  <w14:solidFill>
                    <w14:schemeClr w14:val="tx1"/>
                  </w14:solidFill>
                </w14:textFill>
              </w:rPr>
              <w:t>分。未提供有效银行授信额度证明的或融资意向函，不得分。</w:t>
            </w:r>
          </w:p>
          <w:p>
            <w:pPr>
              <w:spacing w:line="460" w:lineRule="exac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注：若为联合体投标，则联合体各成员能力累加，不同金融机构或担保机构可累加，若通过</w:t>
            </w:r>
            <w:bookmarkStart w:id="308" w:name="_GoBack"/>
            <w:bookmarkEnd w:id="308"/>
            <w:r>
              <w:rPr>
                <w:rFonts w:hint="eastAsia" w:ascii="宋体" w:hAnsi="宋体" w:eastAsia="宋体" w:cs="宋体"/>
                <w:b/>
                <w:bCs/>
                <w:color w:val="000000" w:themeColor="text1"/>
                <w:szCs w:val="21"/>
                <w:highlight w:val="none"/>
                <w14:textFill>
                  <w14:solidFill>
                    <w14:schemeClr w14:val="tx1"/>
                  </w14:solidFill>
                </w14:textFill>
              </w:rPr>
              <w:t>资格预审的投标人在资格预审文件中提供的授信额度证明或融资意向函满足上述要求仍可用于此次投标文件中。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81" w:type="dxa"/>
            <w:vMerge w:val="continue"/>
            <w:tcBorders>
              <w:left w:val="single" w:color="auto" w:sz="4" w:space="0"/>
              <w:right w:val="single" w:color="auto" w:sz="4" w:space="0"/>
            </w:tcBorders>
            <w:vAlign w:val="center"/>
          </w:tcPr>
          <w:p>
            <w:pPr>
              <w:widowControl/>
              <w:spacing w:line="360" w:lineRule="auto"/>
              <w:jc w:val="left"/>
              <w:rPr>
                <w:rFonts w:ascii="宋体" w:hAnsi="宋体" w:cs="宋体"/>
                <w:color w:val="000000" w:themeColor="text1"/>
                <w:kern w:val="0"/>
                <w:szCs w:val="21"/>
                <w:highlight w:val="none"/>
                <w14:textFill>
                  <w14:solidFill>
                    <w14:schemeClr w14:val="tx1"/>
                  </w14:solidFill>
                </w14:textFill>
              </w:rPr>
            </w:pPr>
          </w:p>
        </w:tc>
        <w:tc>
          <w:tcPr>
            <w:tcW w:w="1598" w:type="dxa"/>
            <w:tcBorders>
              <w:top w:val="single" w:color="auto" w:sz="4" w:space="0"/>
              <w:left w:val="single" w:color="auto" w:sz="4" w:space="0"/>
              <w:bottom w:val="single" w:color="auto" w:sz="4" w:space="0"/>
              <w:right w:val="single" w:color="auto" w:sz="4" w:space="0"/>
            </w:tcBorders>
            <w:vAlign w:val="center"/>
          </w:tcPr>
          <w:p>
            <w:pPr>
              <w:widowControl/>
              <w:numPr>
                <w:ilvl w:val="0"/>
                <w:numId w:val="5"/>
              </w:numPr>
              <w:spacing w:line="360" w:lineRule="auto"/>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项目业绩</w:t>
            </w:r>
            <w:r>
              <w:rPr>
                <w:rFonts w:hint="eastAsia" w:ascii="宋体" w:hAnsi="宋体" w:cs="宋体"/>
                <w:color w:val="000000" w:themeColor="text1"/>
                <w:kern w:val="0"/>
                <w:szCs w:val="21"/>
                <w:highlight w:val="none"/>
                <w:lang w:eastAsia="zh-CN"/>
                <w14:textFill>
                  <w14:solidFill>
                    <w14:schemeClr w14:val="tx1"/>
                  </w14:solidFill>
                </w14:textFill>
              </w:rPr>
              <w:t>分</w:t>
            </w:r>
            <w:r>
              <w:rPr>
                <w:rFonts w:hint="eastAsia" w:ascii="宋体" w:hAnsi="宋体" w:cs="宋体"/>
                <w:color w:val="000000" w:themeColor="text1"/>
                <w:kern w:val="0"/>
                <w:szCs w:val="21"/>
                <w:highlight w:val="none"/>
                <w14:textFill>
                  <w14:solidFill>
                    <w14:schemeClr w14:val="tx1"/>
                  </w14:solidFill>
                </w14:textFill>
              </w:rPr>
              <w:t>（满分</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分）</w:t>
            </w:r>
          </w:p>
          <w:p>
            <w:pPr>
              <w:widowControl/>
              <w:spacing w:line="360" w:lineRule="auto"/>
              <w:jc w:val="left"/>
              <w:rPr>
                <w:rFonts w:ascii="宋体" w:hAnsi="宋体" w:cs="宋体"/>
                <w:color w:val="000000" w:themeColor="text1"/>
                <w:kern w:val="0"/>
                <w:szCs w:val="21"/>
                <w:highlight w:val="none"/>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14:textFill>
                  <w14:solidFill>
                    <w14:schemeClr w14:val="tx1"/>
                  </w14:solidFill>
                </w14:textFill>
              </w:rPr>
              <w:t>分</w:t>
            </w:r>
          </w:p>
        </w:tc>
        <w:tc>
          <w:tcPr>
            <w:tcW w:w="58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ascii="宋体" w:hAnsi="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lang w:eastAsia="zh-CN"/>
                <w14:textFill>
                  <w14:solidFill>
                    <w14:schemeClr w14:val="tx1"/>
                  </w14:solidFill>
                </w14:textFill>
              </w:rPr>
              <w:t>投标人（联合体投标时指牵头人）近</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lang w:eastAsia="zh-CN"/>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2020</w:t>
            </w:r>
            <w:r>
              <w:rPr>
                <w:rFonts w:hint="eastAsia" w:ascii="宋体" w:hAnsi="宋体" w:cs="宋体"/>
                <w:color w:val="000000" w:themeColor="text1"/>
                <w:kern w:val="0"/>
                <w:szCs w:val="21"/>
                <w:highlight w:val="none"/>
                <w:lang w:eastAsia="zh-CN"/>
                <w14:textFill>
                  <w14:solidFill>
                    <w14:schemeClr w14:val="tx1"/>
                  </w14:solidFill>
                </w14:textFill>
              </w:rPr>
              <w:t>年</w:t>
            </w:r>
            <w:r>
              <w:rPr>
                <w:rFonts w:hint="eastAsia" w:ascii="宋体" w:hAnsi="宋体" w:cs="宋体"/>
                <w:color w:val="000000" w:themeColor="text1"/>
                <w:kern w:val="0"/>
                <w:szCs w:val="21"/>
                <w:highlight w:val="none"/>
                <w:lang w:val="en-US" w:eastAsia="zh-CN"/>
                <w14:textFill>
                  <w14:solidFill>
                    <w14:schemeClr w14:val="tx1"/>
                  </w14:solidFill>
                </w14:textFill>
              </w:rPr>
              <w:t>1</w:t>
            </w:r>
            <w:r>
              <w:rPr>
                <w:rFonts w:hint="eastAsia" w:ascii="宋体" w:hAnsi="宋体" w:cs="宋体"/>
                <w:color w:val="000000" w:themeColor="text1"/>
                <w:kern w:val="0"/>
                <w:szCs w:val="21"/>
                <w:highlight w:val="none"/>
                <w:lang w:eastAsia="zh-CN"/>
                <w14:textFill>
                  <w14:solidFill>
                    <w14:schemeClr w14:val="tx1"/>
                  </w14:solidFill>
                </w14:textFill>
              </w:rPr>
              <w:t>月1日至投标文件递交截止时间）承揽过PPP项目业绩（含在建项目），每项业绩得</w:t>
            </w:r>
            <w:r>
              <w:rPr>
                <w:rFonts w:hint="eastAsia" w:ascii="宋体" w:hAnsi="宋体" w:cs="宋体"/>
                <w:color w:val="000000" w:themeColor="text1"/>
                <w:kern w:val="0"/>
                <w:szCs w:val="21"/>
                <w:highlight w:val="none"/>
                <w:lang w:val="en-US" w:eastAsia="zh-CN"/>
                <w14:textFill>
                  <w14:solidFill>
                    <w14:schemeClr w14:val="tx1"/>
                  </w14:solidFill>
                </w14:textFill>
              </w:rPr>
              <w:t>5</w:t>
            </w:r>
            <w:r>
              <w:rPr>
                <w:rFonts w:hint="eastAsia" w:ascii="宋体" w:hAnsi="宋体" w:cs="宋体"/>
                <w:color w:val="000000" w:themeColor="text1"/>
                <w:kern w:val="0"/>
                <w:szCs w:val="21"/>
                <w:highlight w:val="none"/>
                <w:lang w:eastAsia="zh-CN"/>
                <w14:textFill>
                  <w14:solidFill>
                    <w14:schemeClr w14:val="tx1"/>
                  </w14:solidFill>
                </w14:textFill>
              </w:rPr>
              <w:t>分，满分</w:t>
            </w:r>
            <w:r>
              <w:rPr>
                <w:rFonts w:hint="eastAsia" w:ascii="宋体" w:hAnsi="宋体" w:cs="宋体"/>
                <w:color w:val="000000" w:themeColor="text1"/>
                <w:kern w:val="0"/>
                <w:szCs w:val="21"/>
                <w:highlight w:val="none"/>
                <w:lang w:val="en-US" w:eastAsia="zh-CN"/>
                <w14:textFill>
                  <w14:solidFill>
                    <w14:schemeClr w14:val="tx1"/>
                  </w14:solidFill>
                </w14:textFill>
              </w:rPr>
              <w:t>10</w:t>
            </w:r>
            <w:r>
              <w:rPr>
                <w:rFonts w:hint="eastAsia" w:ascii="宋体" w:hAnsi="宋体" w:cs="宋体"/>
                <w:color w:val="000000" w:themeColor="text1"/>
                <w:kern w:val="0"/>
                <w:szCs w:val="21"/>
                <w:highlight w:val="none"/>
                <w:lang w:eastAsia="zh-CN"/>
                <w14:textFill>
                  <w14:solidFill>
                    <w14:schemeClr w14:val="tx1"/>
                  </w14:solidFill>
                </w14:textFill>
              </w:rPr>
              <w:t>分。提供中标（成交）通知书及P</w:t>
            </w:r>
            <w:r>
              <w:rPr>
                <w:rFonts w:ascii="宋体" w:hAnsi="宋体" w:cs="宋体"/>
                <w:color w:val="000000" w:themeColor="text1"/>
                <w:kern w:val="0"/>
                <w:szCs w:val="21"/>
                <w:highlight w:val="none"/>
                <w:lang w:eastAsia="zh-CN"/>
                <w14:textFill>
                  <w14:solidFill>
                    <w14:schemeClr w14:val="tx1"/>
                  </w14:solidFill>
                </w14:textFill>
              </w:rPr>
              <w:t>PP</w:t>
            </w:r>
            <w:r>
              <w:rPr>
                <w:rFonts w:hint="eastAsia" w:ascii="宋体" w:hAnsi="宋体" w:cs="宋体"/>
                <w:color w:val="000000" w:themeColor="text1"/>
                <w:kern w:val="0"/>
                <w:szCs w:val="21"/>
                <w:highlight w:val="none"/>
                <w:lang w:eastAsia="zh-CN"/>
                <w14:textFill>
                  <w14:solidFill>
                    <w14:schemeClr w14:val="tx1"/>
                  </w14:solidFill>
                </w14:textFill>
              </w:rPr>
              <w:t>项目合同复印件。</w:t>
            </w:r>
          </w:p>
          <w:p>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lang w:eastAsia="zh-CN"/>
                <w14:textFill>
                  <w14:solidFill>
                    <w14:schemeClr w14:val="tx1"/>
                  </w14:solidFill>
                </w14:textFill>
              </w:rPr>
              <w:t>注：项目时间以中标通知书签署日期为准。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97" w:type="dxa"/>
            <w:gridSpan w:val="3"/>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587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snapToGrid/>
              <w:spacing w:line="360" w:lineRule="auto"/>
              <w:ind w:firstLine="420" w:firstLineChars="200"/>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40</w:t>
            </w:r>
            <w:r>
              <w:rPr>
                <w:rFonts w:hint="eastAsia" w:ascii="宋体" w:hAnsi="宋体" w:cs="宋体"/>
                <w:color w:val="000000" w:themeColor="text1"/>
                <w:kern w:val="0"/>
                <w:szCs w:val="21"/>
                <w:highlight w:val="none"/>
                <w14:textFill>
                  <w14:solidFill>
                    <w14:schemeClr w14:val="tx1"/>
                  </w14:solidFill>
                </w14:textFill>
              </w:rPr>
              <w:t>分</w:t>
            </w:r>
          </w:p>
        </w:tc>
      </w:tr>
    </w:tbl>
    <w:p>
      <w:pPr>
        <w:rPr>
          <w:rFonts w:ascii="宋体" w:hAnsi="宋体" w:cs="宋体"/>
          <w:b/>
          <w:bCs/>
          <w:color w:val="000000" w:themeColor="text1"/>
          <w:szCs w:val="21"/>
          <w:highlight w:val="none"/>
          <w:lang w:val="zh-CN"/>
          <w14:textFill>
            <w14:solidFill>
              <w14:schemeClr w14:val="tx1"/>
            </w14:solidFill>
          </w14:textFill>
        </w:rPr>
      </w:pPr>
      <w:r>
        <w:rPr>
          <w:rFonts w:hint="eastAsia" w:ascii="宋体" w:hAnsi="宋体" w:cs="宋体"/>
          <w:b/>
          <w:bCs/>
          <w:color w:val="000000" w:themeColor="text1"/>
          <w:szCs w:val="21"/>
          <w:highlight w:val="none"/>
          <w:lang w:val="zh-CN"/>
          <w14:textFill>
            <w14:solidFill>
              <w14:schemeClr w14:val="tx1"/>
            </w14:solidFill>
          </w14:textFill>
        </w:rPr>
        <w:t>3、技术评分（代号</w:t>
      </w:r>
      <w:r>
        <w:rPr>
          <w:rFonts w:hint="eastAsia" w:ascii="宋体" w:hAnsi="宋体" w:cs="宋体"/>
          <w:b/>
          <w:bCs/>
          <w:color w:val="000000" w:themeColor="text1"/>
          <w:szCs w:val="21"/>
          <w:highlight w:val="none"/>
          <w14:textFill>
            <w14:solidFill>
              <w14:schemeClr w14:val="tx1"/>
            </w14:solidFill>
          </w14:textFill>
        </w:rPr>
        <w:t>3</w:t>
      </w:r>
      <w:r>
        <w:rPr>
          <w:rFonts w:hint="eastAsia" w:ascii="宋体" w:hAnsi="宋体" w:cs="宋体"/>
          <w:b/>
          <w:bCs/>
          <w:color w:val="000000" w:themeColor="text1"/>
          <w:szCs w:val="21"/>
          <w:highlight w:val="none"/>
          <w:lang w:val="zh-CN"/>
          <w14:textFill>
            <w14:solidFill>
              <w14:schemeClr w14:val="tx1"/>
            </w14:solidFill>
          </w14:textFill>
        </w:rPr>
        <w:t>，满分</w:t>
      </w:r>
      <w:r>
        <w:rPr>
          <w:rFonts w:hint="eastAsia" w:ascii="宋体" w:hAnsi="宋体" w:cs="宋体"/>
          <w:b/>
          <w:bCs/>
          <w:color w:val="000000" w:themeColor="text1"/>
          <w:szCs w:val="21"/>
          <w:highlight w:val="none"/>
          <w:lang w:val="en-US" w:eastAsia="zh-CN"/>
          <w14:textFill>
            <w14:solidFill>
              <w14:schemeClr w14:val="tx1"/>
            </w14:solidFill>
          </w14:textFill>
        </w:rPr>
        <w:t>40</w:t>
      </w:r>
      <w:r>
        <w:rPr>
          <w:rFonts w:hint="eastAsia" w:ascii="宋体" w:hAnsi="宋体" w:cs="宋体"/>
          <w:b/>
          <w:bCs/>
          <w:color w:val="000000" w:themeColor="text1"/>
          <w:szCs w:val="21"/>
          <w:highlight w:val="none"/>
          <w:lang w:val="zh-CN"/>
          <w14:textFill>
            <w14:solidFill>
              <w14:schemeClr w14:val="tx1"/>
            </w14:solidFill>
          </w14:textFill>
        </w:rPr>
        <w:t>分）</w:t>
      </w:r>
    </w:p>
    <w:tbl>
      <w:tblPr>
        <w:tblStyle w:val="32"/>
        <w:tblpPr w:leftFromText="180" w:rightFromText="180" w:vertAnchor="text" w:tblpXSpec="center" w:tblpY="1"/>
        <w:tblOverlap w:val="never"/>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952"/>
        <w:gridCol w:w="737"/>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1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代号</w:t>
            </w:r>
          </w:p>
        </w:tc>
        <w:tc>
          <w:tcPr>
            <w:tcW w:w="2689" w:type="dxa"/>
            <w:gridSpan w:val="2"/>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评分项目</w:t>
            </w:r>
          </w:p>
        </w:tc>
        <w:tc>
          <w:tcPr>
            <w:tcW w:w="5646" w:type="dxa"/>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360" w:lineRule="auto"/>
              <w:ind w:firstLine="422" w:firstLineChars="200"/>
              <w:jc w:val="center"/>
              <w:textAlignment w:val="auto"/>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评分标准说明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10"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3</w:t>
            </w:r>
          </w:p>
        </w:tc>
        <w:tc>
          <w:tcPr>
            <w:tcW w:w="195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1、项目公司组建方案（满分</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分）</w:t>
            </w:r>
          </w:p>
        </w:tc>
        <w:tc>
          <w:tcPr>
            <w:tcW w:w="73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分</w:t>
            </w:r>
          </w:p>
        </w:tc>
        <w:tc>
          <w:tcPr>
            <w:tcW w:w="56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一档（</w:t>
            </w:r>
            <w:r>
              <w:rPr>
                <w:rFonts w:hint="eastAsia" w:ascii="宋体" w:hAnsi="宋体" w:cs="宋体"/>
                <w:b/>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14:textFill>
                  <w14:solidFill>
                    <w14:schemeClr w14:val="tx1"/>
                  </w14:solidFill>
                </w14:textFill>
              </w:rPr>
              <w:t>项目公司组建方案、机构设置、组织框架、职责及</w:t>
            </w:r>
            <w:r>
              <w:rPr>
                <w:rFonts w:hint="eastAsia" w:ascii="宋体" w:hAnsi="宋体" w:cs="宋体"/>
                <w:b/>
                <w:bCs/>
                <w:color w:val="000000" w:themeColor="text1"/>
                <w:kern w:val="0"/>
                <w:szCs w:val="21"/>
                <w:highlight w:val="none"/>
                <w14:textFill>
                  <w14:solidFill>
                    <w14:schemeClr w14:val="tx1"/>
                  </w14:solidFill>
                </w14:textFill>
              </w:rPr>
              <w:t>风险管理</w:t>
            </w:r>
            <w:r>
              <w:rPr>
                <w:rFonts w:hint="eastAsia" w:ascii="宋体" w:hAnsi="宋体" w:cs="宋体"/>
                <w:color w:val="000000" w:themeColor="text1"/>
                <w:kern w:val="0"/>
                <w:szCs w:val="21"/>
                <w:highlight w:val="none"/>
                <w14:textFill>
                  <w14:solidFill>
                    <w14:schemeClr w14:val="tx1"/>
                  </w14:solidFill>
                </w14:textFill>
              </w:rPr>
              <w:t>等管理措施、建设管理机构、</w:t>
            </w:r>
            <w:r>
              <w:rPr>
                <w:rFonts w:hint="eastAsia" w:ascii="宋体" w:hAnsi="宋体" w:cs="宋体"/>
                <w:b/>
                <w:bCs/>
                <w:color w:val="000000" w:themeColor="text1"/>
                <w:kern w:val="0"/>
                <w:szCs w:val="21"/>
                <w:highlight w:val="none"/>
                <w14:textFill>
                  <w14:solidFill>
                    <w14:schemeClr w14:val="tx1"/>
                  </w14:solidFill>
                </w14:textFill>
              </w:rPr>
              <w:t>管理规章制度</w:t>
            </w:r>
            <w:r>
              <w:rPr>
                <w:rFonts w:hint="eastAsia" w:ascii="宋体" w:hAnsi="宋体" w:cs="宋体"/>
                <w:color w:val="000000" w:themeColor="text1"/>
                <w:kern w:val="0"/>
                <w:szCs w:val="21"/>
                <w:highlight w:val="none"/>
                <w14:textFill>
                  <w14:solidFill>
                    <w14:schemeClr w14:val="tx1"/>
                  </w14:solidFill>
                </w14:textFill>
              </w:rPr>
              <w:t>等内容基本齐全，方案描述突出要点，完整、具体，符合本工程实际情况，</w:t>
            </w:r>
            <w:r>
              <w:rPr>
                <w:rFonts w:hint="eastAsia" w:ascii="宋体" w:hAnsi="宋体" w:cs="宋体"/>
                <w:b/>
                <w:bCs/>
                <w:color w:val="000000" w:themeColor="text1"/>
                <w:kern w:val="0"/>
                <w:szCs w:val="21"/>
                <w:highlight w:val="none"/>
                <w14:textFill>
                  <w14:solidFill>
                    <w14:schemeClr w14:val="tx1"/>
                  </w14:solidFill>
                </w14:textFill>
              </w:rPr>
              <w:t>并提出具有针对性的职责及风险管理等管理措施，有健全的管理规章制度</w:t>
            </w:r>
            <w:r>
              <w:rPr>
                <w:rFonts w:hint="eastAsia" w:ascii="宋体" w:hAnsi="宋体" w:cs="宋体"/>
                <w:color w:val="000000" w:themeColor="text1"/>
                <w:kern w:val="0"/>
                <w:szCs w:val="21"/>
                <w:highlight w:val="none"/>
                <w14:textFill>
                  <w14:solidFill>
                    <w14:schemeClr w14:val="tx1"/>
                  </w14:solidFill>
                </w14:textFill>
              </w:rPr>
              <w:t>，对项目实际情况有针对性的组建方案，对项目公司的机构设置、人员配备、人员的专业</w:t>
            </w:r>
            <w:r>
              <w:rPr>
                <w:rFonts w:hint="eastAsia" w:ascii="宋体" w:hAnsi="宋体" w:cs="宋体"/>
                <w:color w:val="000000" w:themeColor="text1"/>
                <w:kern w:val="0"/>
                <w:szCs w:val="21"/>
                <w:highlight w:val="none"/>
                <w:lang w:val="en-US"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组建时间计划等有具体详细的描述。</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color w:val="000000" w:themeColor="text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二档（</w:t>
            </w:r>
            <w:r>
              <w:rPr>
                <w:rFonts w:hint="eastAsia" w:ascii="宋体" w:hAnsi="宋体" w:cs="宋体"/>
                <w:b/>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14:textFill>
                  <w14:solidFill>
                    <w14:schemeClr w14:val="tx1"/>
                  </w14:solidFill>
                </w14:textFill>
              </w:rPr>
              <w:t>项目公司组建方案、机构设置、组织框架、职责及</w:t>
            </w:r>
            <w:r>
              <w:rPr>
                <w:rFonts w:hint="eastAsia" w:ascii="宋体" w:hAnsi="宋体" w:cs="宋体"/>
                <w:b/>
                <w:bCs/>
                <w:color w:val="000000" w:themeColor="text1"/>
                <w:kern w:val="0"/>
                <w:szCs w:val="21"/>
                <w:highlight w:val="none"/>
                <w14:textFill>
                  <w14:solidFill>
                    <w14:schemeClr w14:val="tx1"/>
                  </w14:solidFill>
                </w14:textFill>
              </w:rPr>
              <w:t>风险管理</w:t>
            </w:r>
            <w:r>
              <w:rPr>
                <w:rFonts w:hint="eastAsia" w:ascii="宋体" w:hAnsi="宋体" w:cs="宋体"/>
                <w:color w:val="000000" w:themeColor="text1"/>
                <w:kern w:val="0"/>
                <w:szCs w:val="21"/>
                <w:highlight w:val="none"/>
                <w14:textFill>
                  <w14:solidFill>
                    <w14:schemeClr w14:val="tx1"/>
                  </w14:solidFill>
                </w14:textFill>
              </w:rPr>
              <w:t>等管理措施、建设管理机构等内容基本齐全，方案描述突出要点，完整、具体，较为符合本工程实际情况，</w:t>
            </w:r>
            <w:r>
              <w:rPr>
                <w:rFonts w:hint="eastAsia" w:ascii="宋体" w:hAnsi="宋体" w:cs="宋体"/>
                <w:b/>
                <w:bCs/>
                <w:color w:val="000000" w:themeColor="text1"/>
                <w:kern w:val="0"/>
                <w:szCs w:val="21"/>
                <w:highlight w:val="none"/>
                <w14:textFill>
                  <w14:solidFill>
                    <w14:schemeClr w14:val="tx1"/>
                  </w14:solidFill>
                </w14:textFill>
              </w:rPr>
              <w:t>项目公司的机构设置、人员配备、人员的专业、组建时间计划</w:t>
            </w:r>
            <w:r>
              <w:rPr>
                <w:rFonts w:hint="eastAsia" w:ascii="宋体" w:hAnsi="宋体" w:cs="宋体"/>
                <w:color w:val="000000" w:themeColor="text1"/>
                <w:kern w:val="0"/>
                <w:szCs w:val="21"/>
                <w:highlight w:val="none"/>
                <w14:textFill>
                  <w14:solidFill>
                    <w14:schemeClr w14:val="tx1"/>
                  </w14:solidFill>
                </w14:textFill>
              </w:rPr>
              <w:t>等具有合理性和完整性。</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三档（</w:t>
            </w:r>
            <w:r>
              <w:rPr>
                <w:rFonts w:hint="eastAsia" w:ascii="宋体" w:hAnsi="宋体"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14:textFill>
                  <w14:solidFill>
                    <w14:schemeClr w14:val="tx1"/>
                  </w14:solidFill>
                </w14:textFill>
              </w:rPr>
              <w:t>项目公司组建方案、机构设置、组织框架、职责等管理措施、建设管理机构等内容基本齐全，方案简单，无组建时间计划。</w:t>
            </w:r>
          </w:p>
          <w:p>
            <w:pPr>
              <w:keepNext w:val="0"/>
              <w:keepLines w:val="0"/>
              <w:pageBreakBefore w:val="0"/>
              <w:kinsoku/>
              <w:wordWrap/>
              <w:overflowPunct/>
              <w:topLinePunct w:val="0"/>
              <w:autoSpaceDE/>
              <w:autoSpaceDN/>
              <w:bidi w:val="0"/>
              <w:adjustRightInd/>
              <w:snapToGrid/>
              <w:spacing w:line="460" w:lineRule="exact"/>
              <w:ind w:firstLine="420" w:firstLineChars="20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由评标委员会根据投标人提供的</w:t>
            </w:r>
            <w:r>
              <w:rPr>
                <w:rFonts w:hint="eastAsia" w:ascii="宋体" w:hAnsi="宋体" w:cs="宋体"/>
                <w:color w:val="000000" w:themeColor="text1"/>
                <w:szCs w:val="21"/>
                <w:highlight w:val="none"/>
                <w:lang w:val="en-US" w:eastAsia="zh-CN"/>
                <w14:textFill>
                  <w14:solidFill>
                    <w14:schemeClr w14:val="tx1"/>
                  </w14:solidFill>
                </w14:textFill>
              </w:rPr>
              <w:t>投标</w:t>
            </w:r>
            <w:r>
              <w:rPr>
                <w:rFonts w:hint="eastAsia" w:ascii="宋体" w:hAnsi="宋体" w:cs="宋体"/>
                <w:color w:val="000000" w:themeColor="text1"/>
                <w:szCs w:val="21"/>
                <w:highlight w:val="none"/>
                <w14:textFill>
                  <w14:solidFill>
                    <w14:schemeClr w14:val="tx1"/>
                  </w14:solidFill>
                </w14:textFill>
              </w:rPr>
              <w:t>文件内容独立打分。不满足采购需求或未提供的得0分。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tcBorders>
              <w:left w:val="single" w:color="auto" w:sz="4" w:space="0"/>
              <w:right w:val="single" w:color="auto" w:sz="4" w:space="0"/>
            </w:tcBorders>
            <w:vAlign w:val="center"/>
          </w:tcPr>
          <w:p>
            <w:pPr>
              <w:widowControl/>
              <w:spacing w:line="360" w:lineRule="auto"/>
              <w:jc w:val="left"/>
              <w:rPr>
                <w:rFonts w:ascii="宋体" w:hAnsi="宋体" w:cs="宋体"/>
                <w:b/>
                <w:color w:val="000000" w:themeColor="text1"/>
                <w:kern w:val="0"/>
                <w:szCs w:val="21"/>
                <w:highlight w:val="none"/>
                <w14:textFill>
                  <w14:solidFill>
                    <w14:schemeClr w14:val="tx1"/>
                  </w14:solidFill>
                </w14:textFill>
              </w:rPr>
            </w:pPr>
          </w:p>
        </w:tc>
        <w:tc>
          <w:tcPr>
            <w:tcW w:w="19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2、工程建设方案</w:t>
            </w:r>
          </w:p>
          <w:p>
            <w:pPr>
              <w:widowControl/>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(满分</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分)</w:t>
            </w:r>
          </w:p>
        </w:tc>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8</w:t>
            </w:r>
            <w:r>
              <w:rPr>
                <w:rFonts w:hint="eastAsia" w:ascii="宋体" w:hAnsi="宋体" w:cs="宋体"/>
                <w:bCs/>
                <w:color w:val="000000" w:themeColor="text1"/>
                <w:szCs w:val="21"/>
                <w:highlight w:val="none"/>
                <w14:textFill>
                  <w14:solidFill>
                    <w14:schemeClr w14:val="tx1"/>
                  </w14:solidFill>
                </w14:textFill>
              </w:rPr>
              <w:t>分</w:t>
            </w:r>
          </w:p>
        </w:tc>
        <w:tc>
          <w:tcPr>
            <w:tcW w:w="56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firstLine="422" w:firstLineChars="200"/>
              <w:jc w:val="left"/>
              <w:textAlignment w:val="auto"/>
              <w:rPr>
                <w:rFonts w:hint="eastAsia" w:ascii="宋体" w:hAnsi="宋体" w:cs="宋体"/>
                <w:b/>
                <w:bCs/>
                <w:color w:val="000000" w:themeColor="text1"/>
                <w:kern w:val="0"/>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一档（</w:t>
            </w:r>
            <w:r>
              <w:rPr>
                <w:rFonts w:hint="eastAsia" w:ascii="宋体" w:hAnsi="宋体" w:cs="宋体"/>
                <w:b/>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color w:val="000000" w:themeColor="text1"/>
                <w:highlight w:val="none"/>
                <w14:textFill>
                  <w14:solidFill>
                    <w14:schemeClr w14:val="tx1"/>
                  </w14:solidFill>
                </w14:textFill>
              </w:rPr>
              <w:t>建设施工组织方案针对本项目详细描述了主要施工方法、施工招标计划等；拟投入的主要物资计划；拟投入的主要施工机械、设备计划；劳动力安排计划；确保工程质量的技术组织措施；确保安全生产的技术组织措施；</w:t>
            </w:r>
            <w:r>
              <w:rPr>
                <w:rFonts w:hint="eastAsia" w:ascii="宋体" w:hAnsi="宋体" w:cs="宋体"/>
                <w:b/>
                <w:bCs/>
                <w:color w:val="000000" w:themeColor="text1"/>
                <w:kern w:val="0"/>
                <w:szCs w:val="21"/>
                <w:highlight w:val="none"/>
                <w14:textFill>
                  <w14:solidFill>
                    <w14:schemeClr w14:val="tx1"/>
                  </w14:solidFill>
                </w14:textFill>
              </w:rPr>
              <w:t>确保工期的技术组织措施</w:t>
            </w:r>
            <w:r>
              <w:rPr>
                <w:b/>
                <w:bCs/>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工程施工的重点和难点及保证措施</w:t>
            </w:r>
            <w:r>
              <w:rPr>
                <w:rFonts w:hint="eastAsia"/>
                <w:color w:val="000000" w:themeColor="text1"/>
                <w:highlight w:val="none"/>
                <w14:textFill>
                  <w14:solidFill>
                    <w14:schemeClr w14:val="tx1"/>
                  </w14:solidFill>
                </w14:textFill>
              </w:rPr>
              <w:t>、施工节点图</w:t>
            </w:r>
            <w:r>
              <w:rPr>
                <w:color w:val="000000" w:themeColor="text1"/>
                <w:highlight w:val="none"/>
                <w14:textFill>
                  <w14:solidFill>
                    <w14:schemeClr w14:val="tx1"/>
                  </w14:solidFill>
                </w14:textFill>
              </w:rPr>
              <w:t>等内容，内容详细齐全</w:t>
            </w:r>
            <w:r>
              <w:rPr>
                <w:rFonts w:hint="eastAsia"/>
                <w:color w:val="000000" w:themeColor="text1"/>
                <w:highlight w:val="none"/>
                <w:lang w:eastAsia="zh-CN"/>
                <w14:textFill>
                  <w14:solidFill>
                    <w14:schemeClr w14:val="tx1"/>
                  </w14:solidFill>
                </w14:textFill>
              </w:rPr>
              <w:t>；</w:t>
            </w:r>
            <w:r>
              <w:rPr>
                <w:rFonts w:hint="eastAsia" w:ascii="宋体" w:hAnsi="宋体" w:cs="宋体"/>
                <w:b/>
                <w:bCs/>
                <w:color w:val="000000" w:themeColor="text1"/>
                <w:kern w:val="0"/>
                <w:szCs w:val="21"/>
                <w:highlight w:val="none"/>
                <w:lang w:eastAsia="zh-CN"/>
                <w14:textFill>
                  <w14:solidFill>
                    <w14:schemeClr w14:val="tx1"/>
                  </w14:solidFill>
                </w14:textFill>
              </w:rPr>
              <w:t>并提供了确保文明施工的技术组织措施</w:t>
            </w:r>
            <w:r>
              <w:rPr>
                <w:rFonts w:hint="eastAsia"/>
                <w:b/>
                <w:bCs/>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方案描述突出重点、要点，</w:t>
            </w:r>
            <w:r>
              <w:rPr>
                <w:rFonts w:hint="eastAsia" w:ascii="宋体" w:hAnsi="宋体" w:cs="宋体"/>
                <w:b/>
                <w:bCs/>
                <w:color w:val="000000" w:themeColor="text1"/>
                <w:kern w:val="0"/>
                <w:szCs w:val="21"/>
                <w:highlight w:val="none"/>
                <w:lang w:eastAsia="zh-CN"/>
                <w14:textFill>
                  <w14:solidFill>
                    <w14:schemeClr w14:val="tx1"/>
                  </w14:solidFill>
                </w14:textFill>
              </w:rPr>
              <w:t>针对本项目提出了符合本工程实际情况建设施工组织方案。</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二档（</w:t>
            </w:r>
            <w:r>
              <w:rPr>
                <w:rFonts w:hint="eastAsia" w:ascii="宋体" w:hAnsi="宋体" w:cs="宋体"/>
                <w:b/>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ascii="宋体" w:hAnsi="宋体" w:cs="宋体"/>
                <w:color w:val="000000" w:themeColor="text1"/>
                <w:kern w:val="0"/>
                <w:szCs w:val="21"/>
                <w:highlight w:val="none"/>
                <w14:textFill>
                  <w14:solidFill>
                    <w14:schemeClr w14:val="tx1"/>
                  </w14:solidFill>
                </w14:textFill>
              </w:rPr>
              <w:t>建设施工组织方案描述了主要施工方法、施工招标计划等；拟投入的主要物资计划；拟投入的主要施工机械、设备计划；劳动力安排计划；确保工程质量的技术组织措施；确保安全生产的技术组织措施；工程施工的重点和难点及保证措施</w:t>
            </w:r>
            <w:r>
              <w:rPr>
                <w:rFonts w:hint="eastAsia" w:ascii="宋体" w:hAnsi="宋体" w:cs="宋体"/>
                <w:b/>
                <w:bCs/>
                <w:color w:val="000000" w:themeColor="text1"/>
                <w:kern w:val="0"/>
                <w:szCs w:val="21"/>
                <w:highlight w:val="none"/>
                <w:lang w:eastAsia="zh-CN"/>
                <w14:textFill>
                  <w14:solidFill>
                    <w14:schemeClr w14:val="tx1"/>
                  </w14:solidFill>
                </w14:textFill>
              </w:rPr>
              <w:t>、施工节点图等内容</w:t>
            </w:r>
            <w:r>
              <w:rPr>
                <w:rFonts w:ascii="宋体" w:hAnsi="宋体" w:cs="宋体"/>
                <w:color w:val="000000" w:themeColor="text1"/>
                <w:kern w:val="0"/>
                <w:szCs w:val="21"/>
                <w:highlight w:val="none"/>
                <w14:textFill>
                  <w14:solidFill>
                    <w14:schemeClr w14:val="tx1"/>
                  </w14:solidFill>
                </w14:textFill>
              </w:rPr>
              <w:t>，内容基本齐全，具备合理性和可行性；</w:t>
            </w:r>
            <w:r>
              <w:rPr>
                <w:rFonts w:hint="eastAsia" w:ascii="宋体" w:hAnsi="宋体" w:cs="宋体"/>
                <w:b/>
                <w:bCs/>
                <w:color w:val="000000" w:themeColor="text1"/>
                <w:kern w:val="0"/>
                <w:szCs w:val="21"/>
                <w:highlight w:val="none"/>
                <w:lang w:eastAsia="zh-CN"/>
                <w14:textFill>
                  <w14:solidFill>
                    <w14:schemeClr w14:val="tx1"/>
                  </w14:solidFill>
                </w14:textFill>
              </w:rPr>
              <w:t>并提供了确保工期的技术组织措施；</w:t>
            </w:r>
            <w:r>
              <w:rPr>
                <w:rFonts w:ascii="宋体" w:hAnsi="宋体" w:cs="宋体"/>
                <w:color w:val="000000" w:themeColor="text1"/>
                <w:kern w:val="0"/>
                <w:szCs w:val="21"/>
                <w:highlight w:val="none"/>
                <w14:textFill>
                  <w14:solidFill>
                    <w14:schemeClr w14:val="tx1"/>
                  </w14:solidFill>
                </w14:textFill>
              </w:rPr>
              <w:t>方案描述突出要点，较为符合本工程实际情况。</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三档（</w:t>
            </w:r>
            <w:r>
              <w:rPr>
                <w:rFonts w:hint="eastAsia" w:ascii="宋体" w:hAnsi="宋体"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ascii="宋体" w:hAnsi="宋体" w:cs="宋体"/>
                <w:color w:val="000000" w:themeColor="text1"/>
                <w:kern w:val="0"/>
                <w:szCs w:val="21"/>
                <w:highlight w:val="none"/>
                <w14:textFill>
                  <w14:solidFill>
                    <w14:schemeClr w14:val="tx1"/>
                  </w14:solidFill>
                </w14:textFill>
              </w:rPr>
              <w:t>建设施工组织方案未明确描述主要施工方法、施工招标计划等；拟投入的主要物资计划；拟投入的主要施工机械、设备计划；劳动力安排计划；确保工程质量的技术组织措施；确保安全生产的技术组织措施；工程施工的重点和难点及保证措施；方案简单，无法说明其可行性。</w:t>
            </w:r>
          </w:p>
          <w:p>
            <w:pPr>
              <w:keepNext w:val="0"/>
              <w:keepLines w:val="0"/>
              <w:pageBreakBefore w:val="0"/>
              <w:kinsoku/>
              <w:wordWrap/>
              <w:overflowPunct/>
              <w:topLinePunct w:val="0"/>
              <w:autoSpaceDE/>
              <w:autoSpaceDN/>
              <w:bidi w:val="0"/>
              <w:adjustRightInd/>
              <w:snapToGrid/>
              <w:spacing w:line="460" w:lineRule="exact"/>
              <w:ind w:firstLine="420" w:firstLineChars="200"/>
              <w:jc w:val="left"/>
              <w:textAlignment w:val="auto"/>
              <w:rPr>
                <w:rFonts w:ascii="宋体" w:hAnsi="Calibri" w:cs="宋体"/>
                <w:color w:val="000000" w:themeColor="text1"/>
                <w:sz w:val="24"/>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由评标委员会根据投标人提供的</w:t>
            </w:r>
            <w:r>
              <w:rPr>
                <w:rFonts w:hint="eastAsia" w:ascii="宋体" w:hAnsi="宋体" w:cs="宋体"/>
                <w:color w:val="000000" w:themeColor="text1"/>
                <w:kern w:val="0"/>
                <w:szCs w:val="21"/>
                <w:highlight w:val="none"/>
                <w:lang w:val="en-US" w:eastAsia="zh-CN"/>
                <w14:textFill>
                  <w14:solidFill>
                    <w14:schemeClr w14:val="tx1"/>
                  </w14:solidFill>
                </w14:textFill>
              </w:rPr>
              <w:t>投标</w:t>
            </w:r>
            <w:r>
              <w:rPr>
                <w:rFonts w:hint="eastAsia" w:ascii="宋体" w:hAnsi="宋体" w:cs="宋体"/>
                <w:color w:val="000000" w:themeColor="text1"/>
                <w:kern w:val="0"/>
                <w:szCs w:val="21"/>
                <w:highlight w:val="none"/>
                <w14:textFill>
                  <w14:solidFill>
                    <w14:schemeClr w14:val="tx1"/>
                  </w14:solidFill>
                </w14:textFill>
              </w:rPr>
              <w:t>文件内容独立打分。不满足采购需求或未提供的得0分。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3" w:hRule="atLeast"/>
        </w:trPr>
        <w:tc>
          <w:tcPr>
            <w:tcW w:w="710" w:type="dxa"/>
            <w:vMerge w:val="continue"/>
            <w:tcBorders>
              <w:left w:val="single" w:color="auto" w:sz="4" w:space="0"/>
              <w:right w:val="single" w:color="auto" w:sz="4" w:space="0"/>
            </w:tcBorders>
            <w:vAlign w:val="center"/>
          </w:tcPr>
          <w:p>
            <w:pPr>
              <w:widowControl/>
              <w:spacing w:line="360" w:lineRule="auto"/>
              <w:jc w:val="left"/>
              <w:rPr>
                <w:rFonts w:ascii="宋体" w:hAnsi="宋体" w:cs="宋体"/>
                <w:b/>
                <w:color w:val="000000" w:themeColor="text1"/>
                <w:kern w:val="0"/>
                <w:szCs w:val="21"/>
                <w:highlight w:val="none"/>
                <w14:textFill>
                  <w14:solidFill>
                    <w14:schemeClr w14:val="tx1"/>
                  </w14:solidFill>
                </w14:textFill>
              </w:rPr>
            </w:pPr>
          </w:p>
        </w:tc>
        <w:tc>
          <w:tcPr>
            <w:tcW w:w="19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3、运营维护方案</w:t>
            </w:r>
          </w:p>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(满分</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分)</w:t>
            </w:r>
          </w:p>
        </w:tc>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8</w:t>
            </w:r>
            <w:r>
              <w:rPr>
                <w:rFonts w:hint="eastAsia" w:ascii="宋体" w:hAnsi="宋体" w:cs="宋体"/>
                <w:bCs/>
                <w:color w:val="000000" w:themeColor="text1"/>
                <w:szCs w:val="21"/>
                <w:highlight w:val="none"/>
                <w14:textFill>
                  <w14:solidFill>
                    <w14:schemeClr w14:val="tx1"/>
                  </w14:solidFill>
                </w14:textFill>
              </w:rPr>
              <w:t>分</w:t>
            </w:r>
          </w:p>
        </w:tc>
        <w:tc>
          <w:tcPr>
            <w:tcW w:w="56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一档（</w:t>
            </w:r>
            <w:r>
              <w:rPr>
                <w:rFonts w:hint="eastAsia" w:ascii="宋体" w:hAnsi="宋体" w:cs="宋体"/>
                <w:b/>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对本项目运营维护需求理解透彻，保证项目正常运行、日常维护等工作，及时解决项目运营过程出现的问题；运营管理机构设置完善，工作责任清晰；管理制度健全，成本控制措施健全；运营维护方案【包括但不限于体育综合体经营方案、市政道路管养与维护方案、</w:t>
            </w:r>
            <w:r>
              <w:rPr>
                <w:rFonts w:hint="eastAsia"/>
                <w:b/>
                <w:bCs/>
                <w:color w:val="000000" w:themeColor="text1"/>
                <w:highlight w:val="none"/>
                <w:lang w:val="en-US" w:eastAsia="zh-CN"/>
                <w14:textFill>
                  <w14:solidFill>
                    <w14:schemeClr w14:val="tx1"/>
                  </w14:solidFill>
                </w14:textFill>
              </w:rPr>
              <w:t>环境保护方案、监督方案（包括内部监督、公众监督）</w:t>
            </w:r>
            <w:r>
              <w:rPr>
                <w:rFonts w:hint="eastAsia"/>
                <w:color w:val="000000" w:themeColor="text1"/>
                <w:highlight w:val="none"/>
                <w:lang w:val="en-US" w:eastAsia="zh-CN"/>
                <w14:textFill>
                  <w14:solidFill>
                    <w14:schemeClr w14:val="tx1"/>
                  </w14:solidFill>
                </w14:textFill>
              </w:rPr>
              <w:t>】具备合理性、针对性以及可行性。</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二档（</w:t>
            </w:r>
            <w:r>
              <w:rPr>
                <w:rFonts w:hint="eastAsia" w:ascii="宋体" w:hAnsi="宋体" w:cs="宋体"/>
                <w:b/>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能理解本项目运营维护需求，保证项目正常运行、日常维护等工作，及时解决项目运营过程出现的问题；运营管理机构设置较为完善，工作责任较清晰；管理制度较完善，成本控制措施完备；运营维护方案【包括但不限于体育综合体经营方案、市政道路管养与维护方案、</w:t>
            </w:r>
            <w:r>
              <w:rPr>
                <w:rFonts w:hint="eastAsia"/>
                <w:b/>
                <w:bCs/>
                <w:color w:val="000000" w:themeColor="text1"/>
                <w:highlight w:val="none"/>
                <w:lang w:val="en-US" w:eastAsia="zh-CN"/>
                <w14:textFill>
                  <w14:solidFill>
                    <w14:schemeClr w14:val="tx1"/>
                  </w14:solidFill>
                </w14:textFill>
              </w:rPr>
              <w:t>环境保护方案</w:t>
            </w:r>
            <w:r>
              <w:rPr>
                <w:rFonts w:hint="eastAsia"/>
                <w:color w:val="000000" w:themeColor="text1"/>
                <w:highlight w:val="none"/>
                <w:lang w:val="en-US" w:eastAsia="zh-CN"/>
                <w14:textFill>
                  <w14:solidFill>
                    <w14:schemeClr w14:val="tx1"/>
                  </w14:solidFill>
                </w14:textFill>
              </w:rPr>
              <w:t>】较可行。</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三档（</w:t>
            </w:r>
            <w:r>
              <w:rPr>
                <w:rFonts w:hint="eastAsia" w:ascii="宋体" w:hAnsi="宋体"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基本理解本项目运营维护需求，能够正常开展项目运行、日常维护等工作；能够解决项目运营过程出现的问题；设置运营管理机构，划分工作责任；建立管理制度，提出成本控制措施；并提供运营维护方案【包括但不限于体育综合体经营方案、市政道路管养与维护方案】。</w:t>
            </w:r>
          </w:p>
          <w:p>
            <w:pPr>
              <w:keepNext w:val="0"/>
              <w:keepLines w:val="0"/>
              <w:pageBreakBefore w:val="0"/>
              <w:widowControl/>
              <w:kinsoku/>
              <w:wordWrap/>
              <w:overflowPunct/>
              <w:topLinePunct w:val="0"/>
              <w:autoSpaceDE/>
              <w:autoSpaceDN/>
              <w:bidi w:val="0"/>
              <w:adjustRightInd/>
              <w:snapToGrid/>
              <w:spacing w:line="460" w:lineRule="exact"/>
              <w:ind w:firstLine="42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由评标委员会根据投标人提供的投标文件内容独立打分。不满足采购需求或未提供响应文件的得0分。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710" w:type="dxa"/>
            <w:vMerge w:val="continue"/>
            <w:tcBorders>
              <w:left w:val="single" w:color="auto" w:sz="4" w:space="0"/>
              <w:right w:val="single" w:color="auto" w:sz="4" w:space="0"/>
            </w:tcBorders>
            <w:vAlign w:val="center"/>
          </w:tcPr>
          <w:p>
            <w:pPr>
              <w:widowControl/>
              <w:spacing w:line="360" w:lineRule="auto"/>
              <w:jc w:val="left"/>
              <w:rPr>
                <w:rFonts w:ascii="宋体" w:hAnsi="宋体" w:cs="宋体"/>
                <w:b/>
                <w:color w:val="000000" w:themeColor="text1"/>
                <w:kern w:val="0"/>
                <w:szCs w:val="21"/>
                <w:highlight w:val="none"/>
                <w14:textFill>
                  <w14:solidFill>
                    <w14:schemeClr w14:val="tx1"/>
                  </w14:solidFill>
                </w14:textFill>
              </w:rPr>
            </w:pPr>
          </w:p>
        </w:tc>
        <w:tc>
          <w:tcPr>
            <w:tcW w:w="195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4、移交方案(满分</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分</w:t>
            </w:r>
            <w:r>
              <w:rPr>
                <w:rFonts w:ascii="宋体" w:hAnsi="宋体" w:cs="宋体"/>
                <w:color w:val="000000" w:themeColor="text1"/>
                <w:kern w:val="0"/>
                <w:szCs w:val="21"/>
                <w:highlight w:val="none"/>
                <w14:textFill>
                  <w14:solidFill>
                    <w14:schemeClr w14:val="tx1"/>
                  </w14:solidFill>
                </w14:textFill>
              </w:rPr>
              <w:t>)</w:t>
            </w:r>
          </w:p>
        </w:tc>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8</w:t>
            </w:r>
            <w:r>
              <w:rPr>
                <w:rFonts w:hint="eastAsia" w:ascii="宋体" w:hAnsi="宋体" w:cs="宋体"/>
                <w:bCs/>
                <w:color w:val="000000" w:themeColor="text1"/>
                <w:szCs w:val="21"/>
                <w:highlight w:val="none"/>
                <w14:textFill>
                  <w14:solidFill>
                    <w14:schemeClr w14:val="tx1"/>
                  </w14:solidFill>
                </w14:textFill>
              </w:rPr>
              <w:t>分</w:t>
            </w:r>
          </w:p>
        </w:tc>
        <w:tc>
          <w:tcPr>
            <w:tcW w:w="56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firstLine="422" w:firstLineChars="200"/>
              <w:jc w:val="left"/>
              <w:textAlignment w:val="auto"/>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一档（</w:t>
            </w:r>
            <w:r>
              <w:rPr>
                <w:rFonts w:hint="eastAsia" w:ascii="宋体" w:hAnsi="宋体" w:cs="宋体"/>
                <w:b/>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color w:val="000000" w:themeColor="text1"/>
                <w:highlight w:val="none"/>
                <w14:textFill>
                  <w14:solidFill>
                    <w14:schemeClr w14:val="tx1"/>
                  </w14:solidFill>
                </w14:textFill>
              </w:rPr>
              <w:t>移交方案针对本项目详细描述了项目恢复方案；移交程序、组织机构；时间计划，相关承诺；人员安置方案、交接人员的培训；内容详细齐全，移交方案（移交工作流程等）具备合理性和可行性；方案描述突出重点、要点，针对本项目提出了符合本</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14:textFill>
                  <w14:solidFill>
                    <w14:schemeClr w14:val="tx1"/>
                  </w14:solidFill>
                </w14:textFill>
              </w:rPr>
              <w:t>实际情况移交方案。</w:t>
            </w:r>
            <w:r>
              <w:rPr>
                <w:rFonts w:hint="eastAsia" w:eastAsia="宋体"/>
                <w:b/>
                <w:bCs/>
                <w:color w:val="000000" w:themeColor="text1"/>
                <w:highlight w:val="none"/>
                <w:lang w:eastAsia="zh-CN"/>
                <w14:textFill>
                  <w14:solidFill>
                    <w14:schemeClr w14:val="tx1"/>
                  </w14:solidFill>
                </w14:textFill>
              </w:rPr>
              <w:t>并提供</w:t>
            </w:r>
            <w:r>
              <w:rPr>
                <w:rFonts w:hint="eastAsia"/>
                <w:b/>
                <w:bCs/>
                <w:color w:val="000000" w:themeColor="text1"/>
                <w:highlight w:val="none"/>
                <w14:textFill>
                  <w14:solidFill>
                    <w14:schemeClr w14:val="tx1"/>
                  </w14:solidFill>
                </w14:textFill>
              </w:rPr>
              <w:t>移交内容清单；移交质量标准（设备设施完好率、固定资产状况等）</w:t>
            </w:r>
            <w:r>
              <w:rPr>
                <w:rFonts w:hint="eastAsia"/>
                <w:b/>
                <w:bCs/>
                <w:color w:val="000000" w:themeColor="text1"/>
                <w:highlight w:val="none"/>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二档（</w:t>
            </w:r>
            <w:r>
              <w:rPr>
                <w:rFonts w:hint="eastAsia" w:ascii="宋体" w:hAnsi="宋体" w:cs="宋体"/>
                <w:b/>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14:textFill>
                  <w14:solidFill>
                    <w14:schemeClr w14:val="tx1"/>
                  </w14:solidFill>
                </w14:textFill>
              </w:rPr>
              <w:t>移交方案描述了项目恢复方案；</w:t>
            </w:r>
            <w:r>
              <w:rPr>
                <w:rFonts w:hint="eastAsia" w:ascii="宋体" w:hAnsi="宋体" w:cs="宋体"/>
                <w:color w:val="000000" w:themeColor="text1"/>
                <w:kern w:val="0"/>
                <w:szCs w:val="21"/>
                <w:highlight w:val="none"/>
                <w:lang w:eastAsia="zh-CN"/>
                <w14:textFill>
                  <w14:solidFill>
                    <w14:schemeClr w14:val="tx1"/>
                  </w14:solidFill>
                </w14:textFill>
              </w:rPr>
              <w:t>内容包括但不限于</w:t>
            </w:r>
            <w:r>
              <w:rPr>
                <w:rFonts w:hint="eastAsia" w:ascii="宋体" w:hAnsi="宋体" w:cs="宋体"/>
                <w:color w:val="000000" w:themeColor="text1"/>
                <w:kern w:val="0"/>
                <w:szCs w:val="21"/>
                <w:highlight w:val="none"/>
                <w14:textFill>
                  <w14:solidFill>
                    <w14:schemeClr w14:val="tx1"/>
                  </w14:solidFill>
                </w14:textFill>
              </w:rPr>
              <w:t>移交程序、组织机构；时间计划，相关承诺；</w:t>
            </w:r>
            <w:r>
              <w:rPr>
                <w:rFonts w:hint="eastAsia" w:ascii="宋体" w:hAnsi="宋体" w:cs="宋体"/>
                <w:b/>
                <w:bCs/>
                <w:color w:val="000000" w:themeColor="text1"/>
                <w:kern w:val="0"/>
                <w:szCs w:val="21"/>
                <w:highlight w:val="none"/>
                <w14:textFill>
                  <w14:solidFill>
                    <w14:schemeClr w14:val="tx1"/>
                  </w14:solidFill>
                </w14:textFill>
              </w:rPr>
              <w:t>人员安置方案、交接人员的培训；</w:t>
            </w:r>
            <w:r>
              <w:rPr>
                <w:rFonts w:hint="eastAsia" w:ascii="宋体" w:hAnsi="宋体" w:cs="宋体"/>
                <w:color w:val="000000" w:themeColor="text1"/>
                <w:kern w:val="0"/>
                <w:szCs w:val="21"/>
                <w:highlight w:val="none"/>
                <w14:textFill>
                  <w14:solidFill>
                    <w14:schemeClr w14:val="tx1"/>
                  </w14:solidFill>
                </w14:textFill>
              </w:rPr>
              <w:t>，内容基本齐全，具备合理性和可行性；方案描述突出要点，较为符合本</w:t>
            </w:r>
            <w:r>
              <w:rPr>
                <w:rFonts w:hint="eastAsia" w:ascii="宋体" w:hAnsi="宋体" w:cs="宋体"/>
                <w:color w:val="000000" w:themeColor="text1"/>
                <w:kern w:val="0"/>
                <w:szCs w:val="21"/>
                <w:highlight w:val="none"/>
                <w:lang w:eastAsia="zh-CN"/>
                <w14:textFill>
                  <w14:solidFill>
                    <w14:schemeClr w14:val="tx1"/>
                  </w14:solidFill>
                </w14:textFill>
              </w:rPr>
              <w:t>项目</w:t>
            </w:r>
            <w:r>
              <w:rPr>
                <w:rFonts w:hint="eastAsia" w:ascii="宋体" w:hAnsi="宋体" w:cs="宋体"/>
                <w:color w:val="000000" w:themeColor="text1"/>
                <w:kern w:val="0"/>
                <w:szCs w:val="21"/>
                <w:highlight w:val="none"/>
                <w14:textFill>
                  <w14:solidFill>
                    <w14:schemeClr w14:val="tx1"/>
                  </w14:solidFill>
                </w14:textFill>
              </w:rPr>
              <w:t>实际情况。</w:t>
            </w:r>
          </w:p>
          <w:p>
            <w:pPr>
              <w:keepNext w:val="0"/>
              <w:keepLines w:val="0"/>
              <w:pageBreakBefore w:val="0"/>
              <w:widowControl/>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三档（</w:t>
            </w:r>
            <w:r>
              <w:rPr>
                <w:rFonts w:hint="eastAsia" w:ascii="宋体" w:hAnsi="宋体"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14:textFill>
                  <w14:solidFill>
                    <w14:schemeClr w14:val="tx1"/>
                  </w14:solidFill>
                </w14:textFill>
              </w:rPr>
              <w:t>移交方案未明确描述项目恢复方案；</w:t>
            </w:r>
            <w:r>
              <w:rPr>
                <w:rFonts w:hint="eastAsia" w:ascii="宋体" w:hAnsi="宋体" w:cs="宋体"/>
                <w:color w:val="000000" w:themeColor="text1"/>
                <w:kern w:val="0"/>
                <w:szCs w:val="21"/>
                <w:highlight w:val="none"/>
                <w:lang w:eastAsia="zh-CN"/>
                <w14:textFill>
                  <w14:solidFill>
                    <w14:schemeClr w14:val="tx1"/>
                  </w14:solidFill>
                </w14:textFill>
              </w:rPr>
              <w:t>内容包括但不限于</w:t>
            </w:r>
            <w:r>
              <w:rPr>
                <w:rFonts w:hint="eastAsia" w:ascii="宋体" w:hAnsi="宋体" w:cs="宋体"/>
                <w:color w:val="000000" w:themeColor="text1"/>
                <w:kern w:val="0"/>
                <w:szCs w:val="21"/>
                <w:highlight w:val="none"/>
                <w14:textFill>
                  <w14:solidFill>
                    <w14:schemeClr w14:val="tx1"/>
                  </w14:solidFill>
                </w14:textFill>
              </w:rPr>
              <w:t>移交程序、组织机构；时间计划，相关承诺；方案简单；无法说明其可行性。</w:t>
            </w:r>
          </w:p>
          <w:p>
            <w:pPr>
              <w:keepNext w:val="0"/>
              <w:keepLines w:val="0"/>
              <w:pageBreakBefore w:val="0"/>
              <w:kinsoku/>
              <w:wordWrap/>
              <w:overflowPunct/>
              <w:topLinePunct w:val="0"/>
              <w:autoSpaceDE/>
              <w:autoSpaceDN/>
              <w:bidi w:val="0"/>
              <w:adjustRightInd/>
              <w:snapToGrid/>
              <w:spacing w:line="460" w:lineRule="exact"/>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由评标委员会根据投标人提供的</w:t>
            </w:r>
            <w:r>
              <w:rPr>
                <w:rFonts w:hint="eastAsia" w:ascii="宋体" w:hAnsi="宋体" w:cs="宋体"/>
                <w:color w:val="000000" w:themeColor="text1"/>
                <w:kern w:val="0"/>
                <w:szCs w:val="21"/>
                <w:highlight w:val="none"/>
                <w:lang w:val="en-US" w:eastAsia="zh-CN"/>
                <w14:textFill>
                  <w14:solidFill>
                    <w14:schemeClr w14:val="tx1"/>
                  </w14:solidFill>
                </w14:textFill>
              </w:rPr>
              <w:t>投标</w:t>
            </w:r>
            <w:r>
              <w:rPr>
                <w:rFonts w:hint="eastAsia" w:ascii="宋体" w:hAnsi="宋体" w:cs="宋体"/>
                <w:color w:val="000000" w:themeColor="text1"/>
                <w:kern w:val="0"/>
                <w:szCs w:val="21"/>
                <w:highlight w:val="none"/>
                <w14:textFill>
                  <w14:solidFill>
                    <w14:schemeClr w14:val="tx1"/>
                  </w14:solidFill>
                </w14:textFill>
              </w:rPr>
              <w:t>文件内容独立打分。不满足采购需求或未提供的得0分。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Borders>
              <w:left w:val="single" w:color="auto" w:sz="4" w:space="0"/>
              <w:right w:val="single" w:color="auto" w:sz="4" w:space="0"/>
            </w:tcBorders>
            <w:vAlign w:val="center"/>
          </w:tcPr>
          <w:p>
            <w:pPr>
              <w:widowControl/>
              <w:spacing w:line="360" w:lineRule="auto"/>
              <w:jc w:val="left"/>
              <w:rPr>
                <w:rFonts w:ascii="宋体" w:hAnsi="宋体" w:cs="宋体"/>
                <w:b/>
                <w:color w:val="000000" w:themeColor="text1"/>
                <w:kern w:val="0"/>
                <w:szCs w:val="21"/>
                <w:highlight w:val="none"/>
                <w14:textFill>
                  <w14:solidFill>
                    <w14:schemeClr w14:val="tx1"/>
                  </w14:solidFill>
                </w14:textFill>
              </w:rPr>
            </w:pPr>
          </w:p>
        </w:tc>
        <w:tc>
          <w:tcPr>
            <w:tcW w:w="195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5、投融资方案（满分</w:t>
            </w:r>
            <w:r>
              <w:rPr>
                <w:rFonts w:hint="eastAsia" w:ascii="宋体" w:hAnsi="宋体" w:cs="宋体"/>
                <w:color w:val="000000" w:themeColor="text1"/>
                <w:kern w:val="0"/>
                <w:szCs w:val="21"/>
                <w:highlight w:val="none"/>
                <w:lang w:val="en-US" w:eastAsia="zh-CN"/>
                <w14:textFill>
                  <w14:solidFill>
                    <w14:schemeClr w14:val="tx1"/>
                  </w14:solidFill>
                </w14:textFill>
              </w:rPr>
              <w:t>8</w:t>
            </w:r>
            <w:r>
              <w:rPr>
                <w:rFonts w:hint="eastAsia" w:ascii="宋体" w:hAnsi="宋体" w:cs="宋体"/>
                <w:color w:val="000000" w:themeColor="text1"/>
                <w:kern w:val="0"/>
                <w:szCs w:val="21"/>
                <w:highlight w:val="none"/>
                <w14:textFill>
                  <w14:solidFill>
                    <w14:schemeClr w14:val="tx1"/>
                  </w14:solidFill>
                </w14:textFill>
              </w:rPr>
              <w:t>分）</w:t>
            </w:r>
          </w:p>
        </w:tc>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8</w:t>
            </w:r>
            <w:r>
              <w:rPr>
                <w:rFonts w:hint="eastAsia" w:ascii="宋体" w:hAnsi="宋体" w:cs="宋体"/>
                <w:bCs/>
                <w:color w:val="000000" w:themeColor="text1"/>
                <w:szCs w:val="21"/>
                <w:highlight w:val="none"/>
                <w14:textFill>
                  <w14:solidFill>
                    <w14:schemeClr w14:val="tx1"/>
                  </w14:solidFill>
                </w14:textFill>
              </w:rPr>
              <w:t>分</w:t>
            </w:r>
          </w:p>
        </w:tc>
        <w:tc>
          <w:tcPr>
            <w:tcW w:w="564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一档（</w:t>
            </w:r>
            <w:r>
              <w:rPr>
                <w:rFonts w:hint="eastAsia" w:ascii="宋体" w:hAnsi="宋体" w:cs="宋体"/>
                <w:b/>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lang w:val="en-US" w:eastAsia="zh-CN"/>
                <w14:textFill>
                  <w14:solidFill>
                    <w14:schemeClr w14:val="tx1"/>
                  </w14:solidFill>
                </w14:textFill>
              </w:rPr>
              <w:t>投融资方案（包括但不限于融资结构，融资计划，</w:t>
            </w:r>
            <w:r>
              <w:rPr>
                <w:rFonts w:hint="eastAsia" w:ascii="宋体" w:hAnsi="宋体" w:cs="宋体"/>
                <w:b/>
                <w:bCs/>
                <w:color w:val="000000" w:themeColor="text1"/>
                <w:sz w:val="21"/>
                <w:szCs w:val="21"/>
                <w:highlight w:val="none"/>
                <w:lang w:val="en-US" w:eastAsia="zh-CN"/>
                <w14:textFill>
                  <w14:solidFill>
                    <w14:schemeClr w14:val="tx1"/>
                  </w14:solidFill>
                </w14:textFill>
              </w:rPr>
              <w:t>融资渠道、融资保障方案</w:t>
            </w:r>
            <w:r>
              <w:rPr>
                <w:rFonts w:hint="eastAsia" w:ascii="宋体" w:hAnsi="宋体" w:cs="宋体"/>
                <w:color w:val="000000" w:themeColor="text1"/>
                <w:kern w:val="0"/>
                <w:szCs w:val="21"/>
                <w:highlight w:val="none"/>
                <w:lang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内容基本齐全，方案描述突出要点，完整、具体，完全符合本项目实际情况。</w:t>
            </w:r>
          </w:p>
          <w:p>
            <w:pPr>
              <w:keepNext w:val="0"/>
              <w:keepLines w:val="0"/>
              <w:pageBreakBefore w:val="0"/>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二档（</w:t>
            </w:r>
            <w:r>
              <w:rPr>
                <w:rFonts w:hint="eastAsia" w:ascii="宋体" w:hAnsi="宋体" w:cs="宋体"/>
                <w:b/>
                <w:bCs/>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lang w:val="en-US" w:eastAsia="zh-CN"/>
                <w14:textFill>
                  <w14:solidFill>
                    <w14:schemeClr w14:val="tx1"/>
                  </w14:solidFill>
                </w14:textFill>
              </w:rPr>
              <w:t>投融资方案（包括但不限于融资结构，融资计划，</w:t>
            </w:r>
            <w:r>
              <w:rPr>
                <w:rFonts w:hint="eastAsia" w:ascii="宋体" w:hAnsi="宋体" w:cs="宋体"/>
                <w:b/>
                <w:bCs/>
                <w:color w:val="000000" w:themeColor="text1"/>
                <w:sz w:val="21"/>
                <w:szCs w:val="21"/>
                <w:highlight w:val="none"/>
                <w:lang w:val="en-US" w:eastAsia="zh-CN"/>
                <w14:textFill>
                  <w14:solidFill>
                    <w14:schemeClr w14:val="tx1"/>
                  </w14:solidFill>
                </w14:textFill>
              </w:rPr>
              <w:t>融资渠道</w:t>
            </w:r>
            <w:r>
              <w:rPr>
                <w:rFonts w:hint="eastAsia" w:ascii="宋体" w:hAnsi="宋体" w:cs="宋体"/>
                <w:color w:val="000000" w:themeColor="text1"/>
                <w:kern w:val="0"/>
                <w:szCs w:val="21"/>
                <w:highlight w:val="none"/>
                <w:lang w:val="en-US" w:eastAsia="zh-CN"/>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内容基本齐全，方案描述较详细，较为符合本项目实际情况。</w:t>
            </w:r>
          </w:p>
          <w:p>
            <w:pPr>
              <w:keepNext w:val="0"/>
              <w:keepLines w:val="0"/>
              <w:pageBreakBefore w:val="0"/>
              <w:kinsoku/>
              <w:wordWrap/>
              <w:overflowPunct/>
              <w:topLinePunct w:val="0"/>
              <w:autoSpaceDE/>
              <w:autoSpaceDN/>
              <w:bidi w:val="0"/>
              <w:adjustRightInd/>
              <w:snapToGrid/>
              <w:spacing w:line="460" w:lineRule="exact"/>
              <w:ind w:firstLine="422" w:firstLineChars="200"/>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三档（</w:t>
            </w:r>
            <w:r>
              <w:rPr>
                <w:rFonts w:hint="eastAsia" w:ascii="宋体" w:hAnsi="宋体" w:cs="宋体"/>
                <w:b/>
                <w:bCs/>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分)：</w:t>
            </w:r>
            <w:r>
              <w:rPr>
                <w:rFonts w:hint="eastAsia" w:ascii="宋体" w:hAnsi="宋体" w:cs="宋体"/>
                <w:color w:val="000000" w:themeColor="text1"/>
                <w:kern w:val="0"/>
                <w:szCs w:val="21"/>
                <w:highlight w:val="none"/>
                <w:lang w:val="en-US" w:eastAsia="zh-CN"/>
                <w14:textFill>
                  <w14:solidFill>
                    <w14:schemeClr w14:val="tx1"/>
                  </w14:solidFill>
                </w14:textFill>
              </w:rPr>
              <w:t>投融资方案（包括但不限于融资结构，融资计划）</w:t>
            </w:r>
            <w:r>
              <w:rPr>
                <w:rFonts w:hint="eastAsia" w:ascii="宋体" w:hAnsi="宋体" w:cs="宋体"/>
                <w:color w:val="000000" w:themeColor="text1"/>
                <w:kern w:val="0"/>
                <w:szCs w:val="21"/>
                <w:highlight w:val="none"/>
                <w14:textFill>
                  <w14:solidFill>
                    <w14:schemeClr w14:val="tx1"/>
                  </w14:solidFill>
                </w14:textFill>
              </w:rPr>
              <w:t>内容基本齐全，方案简单。</w:t>
            </w:r>
          </w:p>
          <w:p>
            <w:pPr>
              <w:keepNext w:val="0"/>
              <w:keepLines w:val="0"/>
              <w:pageBreakBefore w:val="0"/>
              <w:kinsoku/>
              <w:wordWrap/>
              <w:overflowPunct/>
              <w:topLinePunct w:val="0"/>
              <w:autoSpaceDE/>
              <w:autoSpaceDN/>
              <w:bidi w:val="0"/>
              <w:adjustRightInd/>
              <w:snapToGrid/>
              <w:spacing w:line="460" w:lineRule="exact"/>
              <w:ind w:firstLine="420" w:firstLineChars="2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由评标委员会根据投标人提供的</w:t>
            </w:r>
            <w:r>
              <w:rPr>
                <w:rFonts w:hint="eastAsia" w:ascii="宋体" w:hAnsi="宋体" w:cs="宋体"/>
                <w:color w:val="000000" w:themeColor="text1"/>
                <w:szCs w:val="21"/>
                <w:highlight w:val="none"/>
                <w:lang w:val="en-US" w:eastAsia="zh-CN"/>
                <w14:textFill>
                  <w14:solidFill>
                    <w14:schemeClr w14:val="tx1"/>
                  </w14:solidFill>
                </w14:textFill>
              </w:rPr>
              <w:t>投标</w:t>
            </w:r>
            <w:r>
              <w:rPr>
                <w:rFonts w:hint="eastAsia" w:ascii="宋体" w:hAnsi="宋体" w:cs="宋体"/>
                <w:color w:val="000000" w:themeColor="text1"/>
                <w:szCs w:val="21"/>
                <w:highlight w:val="none"/>
                <w14:textFill>
                  <w14:solidFill>
                    <w14:schemeClr w14:val="tx1"/>
                  </w14:solidFill>
                </w14:textFill>
              </w:rPr>
              <w:t>文件内容独立打分。不满足采购需求或未提供的得0分。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3399" w:type="dxa"/>
            <w:gridSpan w:val="3"/>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合计</w:t>
            </w:r>
          </w:p>
        </w:tc>
        <w:tc>
          <w:tcPr>
            <w:tcW w:w="564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360" w:lineRule="auto"/>
              <w:ind w:firstLine="420" w:firstLineChars="200"/>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40</w:t>
            </w:r>
            <w:r>
              <w:rPr>
                <w:rFonts w:hint="eastAsia" w:ascii="宋体" w:hAnsi="宋体" w:cs="宋体"/>
                <w:color w:val="000000" w:themeColor="text1"/>
                <w:kern w:val="0"/>
                <w:szCs w:val="21"/>
                <w:highlight w:val="none"/>
                <w14:textFill>
                  <w14:solidFill>
                    <w14:schemeClr w14:val="tx1"/>
                  </w14:solidFill>
                </w14:textFill>
              </w:rPr>
              <w:t>分</w:t>
            </w:r>
          </w:p>
        </w:tc>
      </w:tr>
    </w:tbl>
    <w:p>
      <w:pPr>
        <w:spacing w:line="46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zh-CN"/>
          <w14:textFill>
            <w14:solidFill>
              <w14:schemeClr w14:val="tx1"/>
            </w14:solidFill>
          </w14:textFill>
        </w:rPr>
        <w:t>投标人最终得分</w:t>
      </w:r>
      <w:r>
        <w:rPr>
          <w:rFonts w:hint="eastAsia" w:ascii="宋体" w:hAnsi="宋体" w:cs="宋体"/>
          <w:color w:val="000000" w:themeColor="text1"/>
          <w:szCs w:val="21"/>
          <w:highlight w:val="none"/>
          <w14:textFill>
            <w14:solidFill>
              <w14:schemeClr w14:val="tx1"/>
            </w14:solidFill>
          </w14:textFill>
        </w:rPr>
        <w:t>=1+2+3=100分</w:t>
      </w:r>
    </w:p>
    <w:p>
      <w:pPr>
        <w:rPr>
          <w:rFonts w:hint="eastAsia"/>
          <w:b/>
          <w:bCs w:val="0"/>
          <w:color w:val="000000" w:themeColor="text1"/>
          <w:sz w:val="30"/>
          <w:szCs w:val="30"/>
          <w:highlight w:val="none"/>
          <w14:textFill>
            <w14:solidFill>
              <w14:schemeClr w14:val="tx1"/>
            </w14:solidFill>
          </w14:textFill>
        </w:rPr>
      </w:pPr>
      <w:bookmarkStart w:id="257" w:name="_Toc16014"/>
      <w:bookmarkStart w:id="258" w:name="_Toc19632"/>
      <w:bookmarkStart w:id="259" w:name="_Toc8359"/>
      <w:bookmarkStart w:id="260" w:name="_Toc31157"/>
      <w:bookmarkStart w:id="261" w:name="_Toc31484"/>
      <w:bookmarkStart w:id="262" w:name="_Toc19428"/>
      <w:r>
        <w:rPr>
          <w:rFonts w:hint="eastAsia"/>
          <w:b/>
          <w:bCs w:val="0"/>
          <w:color w:val="000000" w:themeColor="text1"/>
          <w:sz w:val="30"/>
          <w:szCs w:val="30"/>
          <w:highlight w:val="none"/>
          <w14:textFill>
            <w14:solidFill>
              <w14:schemeClr w14:val="tx1"/>
            </w14:solidFill>
          </w14:textFill>
        </w:rPr>
        <w:br w:type="page"/>
      </w:r>
    </w:p>
    <w:p>
      <w:pPr>
        <w:pStyle w:val="4"/>
        <w:jc w:val="center"/>
        <w:outlineLvl w:val="0"/>
        <w:rPr>
          <w:b/>
          <w:bCs w:val="0"/>
          <w:color w:val="000000" w:themeColor="text1"/>
          <w:sz w:val="30"/>
          <w:szCs w:val="30"/>
          <w:highlight w:val="none"/>
          <w14:textFill>
            <w14:solidFill>
              <w14:schemeClr w14:val="tx1"/>
            </w14:solidFill>
          </w14:textFill>
        </w:rPr>
      </w:pPr>
      <w:r>
        <w:rPr>
          <w:rFonts w:hint="eastAsia"/>
          <w:b/>
          <w:bCs w:val="0"/>
          <w:color w:val="000000" w:themeColor="text1"/>
          <w:sz w:val="30"/>
          <w:szCs w:val="30"/>
          <w:highlight w:val="none"/>
          <w14:textFill>
            <w14:solidFill>
              <w14:schemeClr w14:val="tx1"/>
            </w14:solidFill>
          </w14:textFill>
        </w:rPr>
        <w:t>四</w:t>
      </w:r>
      <w:r>
        <w:rPr>
          <w:b/>
          <w:bCs w:val="0"/>
          <w:color w:val="000000" w:themeColor="text1"/>
          <w:sz w:val="30"/>
          <w:szCs w:val="30"/>
          <w:highlight w:val="none"/>
          <w14:textFill>
            <w14:solidFill>
              <w14:schemeClr w14:val="tx1"/>
            </w14:solidFill>
          </w14:textFill>
        </w:rPr>
        <w:t xml:space="preserve"> </w:t>
      </w:r>
      <w:r>
        <w:rPr>
          <w:rFonts w:hint="eastAsia"/>
          <w:b/>
          <w:bCs w:val="0"/>
          <w:color w:val="000000" w:themeColor="text1"/>
          <w:sz w:val="30"/>
          <w:szCs w:val="30"/>
          <w:highlight w:val="none"/>
          <w:lang w:eastAsia="zh-CN"/>
          <w14:textFill>
            <w14:solidFill>
              <w14:schemeClr w14:val="tx1"/>
            </w14:solidFill>
          </w14:textFill>
        </w:rPr>
        <w:t>、</w:t>
      </w:r>
      <w:r>
        <w:rPr>
          <w:rFonts w:hint="eastAsia"/>
          <w:b/>
          <w:bCs w:val="0"/>
          <w:color w:val="000000" w:themeColor="text1"/>
          <w:sz w:val="30"/>
          <w:szCs w:val="30"/>
          <w:highlight w:val="none"/>
          <w14:textFill>
            <w14:solidFill>
              <w14:schemeClr w14:val="tx1"/>
            </w14:solidFill>
          </w14:textFill>
        </w:rPr>
        <w:t>中标候选人推荐原则</w:t>
      </w:r>
      <w:bookmarkEnd w:id="257"/>
      <w:bookmarkEnd w:id="258"/>
      <w:bookmarkEnd w:id="259"/>
      <w:bookmarkEnd w:id="260"/>
      <w:bookmarkEnd w:id="261"/>
      <w:bookmarkEnd w:id="262"/>
    </w:p>
    <w:p>
      <w:pPr>
        <w:pStyle w:val="15"/>
        <w:keepNext w:val="0"/>
        <w:keepLines w:val="0"/>
        <w:pageBreakBefore w:val="0"/>
        <w:widowControl w:val="0"/>
        <w:numPr>
          <w:ilvl w:val="0"/>
          <w:numId w:val="6"/>
        </w:numPr>
        <w:kinsoku/>
        <w:wordWrap/>
        <w:overflowPunct/>
        <w:topLinePunct w:val="0"/>
        <w:autoSpaceDE/>
        <w:autoSpaceDN/>
        <w:bidi w:val="0"/>
        <w:adjustRightInd/>
        <w:snapToGrid/>
        <w:spacing w:line="440" w:lineRule="exact"/>
        <w:contextualSpacing/>
        <w:textAlignment w:val="auto"/>
        <w:rPr>
          <w:rFonts w:hAnsi="宋体"/>
          <w:b/>
          <w:bCs/>
          <w:color w:val="000000" w:themeColor="text1"/>
          <w:sz w:val="24"/>
          <w:highlight w:val="none"/>
          <w14:textFill>
            <w14:solidFill>
              <w14:schemeClr w14:val="tx1"/>
            </w14:solidFill>
          </w14:textFill>
        </w:rPr>
      </w:pPr>
      <w:r>
        <w:rPr>
          <w:rFonts w:hint="eastAsia" w:hAnsi="宋体"/>
          <w:b/>
          <w:bCs/>
          <w:color w:val="000000" w:themeColor="text1"/>
          <w:sz w:val="24"/>
          <w:highlight w:val="none"/>
          <w14:textFill>
            <w14:solidFill>
              <w14:schemeClr w14:val="tx1"/>
            </w14:solidFill>
          </w14:textFill>
        </w:rPr>
        <w:t>综合评分法</w:t>
      </w:r>
    </w:p>
    <w:p>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contextualSpacing/>
        <w:textAlignment w:val="auto"/>
        <w:rPr>
          <w:rFonts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1</w:t>
      </w:r>
      <w:r>
        <w:rPr>
          <w:rFonts w:hAnsi="宋体"/>
          <w:color w:val="000000" w:themeColor="text1"/>
          <w:sz w:val="21"/>
          <w:highlight w:val="none"/>
          <w14:textFill>
            <w14:solidFill>
              <w14:schemeClr w14:val="tx1"/>
            </w14:solidFill>
          </w14:textFill>
        </w:rPr>
        <w:t>.</w:t>
      </w:r>
      <w:r>
        <w:rPr>
          <w:rFonts w:hint="eastAsia" w:hAnsi="宋体"/>
          <w:color w:val="000000" w:themeColor="text1"/>
          <w:sz w:val="21"/>
          <w:highlight w:val="none"/>
          <w14:textFill>
            <w14:solidFill>
              <w14:schemeClr w14:val="tx1"/>
            </w14:solidFill>
          </w14:textFill>
        </w:rPr>
        <w:t>评标委员会根据原始评标记录和评标结果编写评标报告，并通过电子交易平台向采购人、采购代理机构提交。</w:t>
      </w:r>
    </w:p>
    <w:p>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contextualSpacing/>
        <w:textAlignment w:val="auto"/>
        <w:rPr>
          <w:rFonts w:hint="eastAsia" w:hAnsi="宋体"/>
          <w:color w:val="000000" w:themeColor="text1"/>
          <w:sz w:val="21"/>
          <w:highlight w:val="none"/>
          <w14:textFill>
            <w14:solidFill>
              <w14:schemeClr w14:val="tx1"/>
            </w14:solidFill>
          </w14:textFill>
        </w:rPr>
      </w:pPr>
      <w:r>
        <w:rPr>
          <w:rFonts w:hint="eastAsia" w:hAnsi="宋体"/>
          <w:color w:val="000000" w:themeColor="text1"/>
          <w:sz w:val="21"/>
          <w:highlight w:val="none"/>
          <w14:textFill>
            <w14:solidFill>
              <w14:schemeClr w14:val="tx1"/>
            </w14:solidFill>
          </w14:textFill>
        </w:rPr>
        <w:t>2</w:t>
      </w:r>
      <w:r>
        <w:rPr>
          <w:rFonts w:hAnsi="宋体"/>
          <w:color w:val="000000" w:themeColor="text1"/>
          <w:sz w:val="21"/>
          <w:highlight w:val="none"/>
          <w14:textFill>
            <w14:solidFill>
              <w14:schemeClr w14:val="tx1"/>
            </w14:solidFill>
          </w14:textFill>
        </w:rPr>
        <w:t>.</w:t>
      </w:r>
      <w:r>
        <w:rPr>
          <w:rFonts w:hint="eastAsia" w:hAnsi="宋体"/>
          <w:color w:val="000000" w:themeColor="text1"/>
          <w:sz w:val="21"/>
          <w:highlight w:val="none"/>
          <w14:textFill>
            <w14:solidFill>
              <w14:schemeClr w14:val="tx1"/>
            </w14:solidFill>
          </w14:textFill>
        </w:rPr>
        <w:t>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pPr>
        <w:pStyle w:val="15"/>
        <w:tabs>
          <w:tab w:val="left" w:pos="2472"/>
        </w:tabs>
        <w:spacing w:line="460" w:lineRule="exact"/>
        <w:rPr>
          <w:rFonts w:ascii="Times New Roman" w:hAnsi="Times New Roman"/>
          <w:b/>
          <w:color w:val="000000" w:themeColor="text1"/>
          <w:sz w:val="36"/>
          <w:highlight w:val="none"/>
          <w14:textFill>
            <w14:solidFill>
              <w14:schemeClr w14:val="tx1"/>
            </w14:solidFill>
          </w14:textFill>
        </w:rPr>
        <w:sectPr>
          <w:headerReference r:id="rId7" w:type="default"/>
          <w:footerReference r:id="rId8" w:type="default"/>
          <w:pgSz w:w="11906" w:h="16838"/>
          <w:pgMar w:top="1134" w:right="1134" w:bottom="1134" w:left="1134" w:header="720" w:footer="720" w:gutter="0"/>
          <w:cols w:space="720" w:num="1"/>
          <w:docGrid w:type="lines" w:linePitch="331" w:charSpace="0"/>
        </w:sect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4"/>
        <w:bidi w:val="0"/>
        <w:jc w:val="center"/>
        <w:rPr>
          <w:color w:val="000000" w:themeColor="text1"/>
          <w:highlight w:val="none"/>
          <w14:textFill>
            <w14:solidFill>
              <w14:schemeClr w14:val="tx1"/>
            </w14:solidFill>
          </w14:textFill>
        </w:rPr>
      </w:pPr>
      <w:bookmarkStart w:id="263" w:name="_Toc5600"/>
      <w:r>
        <w:rPr>
          <w:rFonts w:hint="eastAsia"/>
          <w:color w:val="000000" w:themeColor="text1"/>
          <w:highlight w:val="none"/>
          <w14:textFill>
            <w14:solidFill>
              <w14:schemeClr w14:val="tx1"/>
            </w14:solidFill>
          </w14:textFill>
        </w:rPr>
        <w:t>第五章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拟签订的合同文本</w:t>
      </w:r>
      <w:bookmarkEnd w:id="263"/>
    </w:p>
    <w:p>
      <w:pPr>
        <w:pStyle w:val="15"/>
        <w:tabs>
          <w:tab w:val="left" w:pos="720"/>
        </w:tabs>
        <w:spacing w:line="460" w:lineRule="exact"/>
        <w:rPr>
          <w:bCs/>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pPr>
        <w:spacing w:line="360" w:lineRule="auto"/>
        <w:ind w:left="720" w:firstLine="723" w:firstLineChars="200"/>
        <w:outlineLvl w:val="0"/>
        <w:rPr>
          <w:rFonts w:ascii="仿宋" w:hAnsi="仿宋" w:eastAsia="仿宋" w:cs="仿宋_GB2312"/>
          <w:b/>
          <w:color w:val="000000" w:themeColor="text1"/>
          <w:sz w:val="36"/>
          <w:szCs w:val="20"/>
          <w:highlight w:val="none"/>
          <w14:textFill>
            <w14:solidFill>
              <w14:schemeClr w14:val="tx1"/>
            </w14:solidFill>
          </w14:textFill>
        </w:rPr>
      </w:pPr>
    </w:p>
    <w:p>
      <w:pPr>
        <w:spacing w:line="360" w:lineRule="auto"/>
        <w:ind w:left="720" w:firstLine="723" w:firstLineChars="200"/>
        <w:jc w:val="left"/>
        <w:outlineLvl w:val="0"/>
        <w:rPr>
          <w:rFonts w:ascii="仿宋" w:hAnsi="仿宋" w:eastAsia="仿宋" w:cs="仿宋_GB2312"/>
          <w:b/>
          <w:color w:val="000000" w:themeColor="text1"/>
          <w:sz w:val="36"/>
          <w:szCs w:val="20"/>
          <w:highlight w:val="none"/>
          <w14:textFill>
            <w14:solidFill>
              <w14:schemeClr w14:val="tx1"/>
            </w14:solidFill>
          </w14:textFill>
        </w:rPr>
      </w:pPr>
    </w:p>
    <w:p>
      <w:pPr>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合资协议-贺州市城东体育综合体及周边基础配套设施（一期）PPP项目</w:t>
      </w:r>
      <w:r>
        <w:rPr>
          <w:rFonts w:hint="eastAsia" w:ascii="宋体" w:hAnsi="宋体" w:eastAsia="宋体" w:cs="宋体"/>
          <w:color w:val="000000" w:themeColor="text1"/>
          <w:sz w:val="24"/>
          <w:szCs w:val="24"/>
          <w:highlight w:val="none"/>
          <w14:textFill>
            <w14:solidFill>
              <w14:schemeClr w14:val="tx1"/>
            </w14:solidFill>
          </w14:textFill>
        </w:rPr>
        <w:t>（另册）</w:t>
      </w:r>
    </w:p>
    <w:p>
      <w:pPr>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投资协议-贺州市城东体育综合体及周边基础配套设施（一期）PPP项目</w:t>
      </w:r>
      <w:r>
        <w:rPr>
          <w:rFonts w:hint="eastAsia" w:ascii="宋体" w:hAnsi="宋体" w:eastAsia="宋体" w:cs="宋体"/>
          <w:color w:val="000000" w:themeColor="text1"/>
          <w:sz w:val="24"/>
          <w:szCs w:val="24"/>
          <w:highlight w:val="none"/>
          <w14:textFill>
            <w14:solidFill>
              <w14:schemeClr w14:val="tx1"/>
            </w14:solidFill>
          </w14:textFill>
        </w:rPr>
        <w:t>（另册）</w:t>
      </w:r>
    </w:p>
    <w:p>
      <w:pPr>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PPP项目合同-贺州市城东体育综合体及周边基础配套设施（一期）PPP项目</w:t>
      </w:r>
      <w:r>
        <w:rPr>
          <w:rFonts w:hint="eastAsia" w:ascii="宋体" w:hAnsi="宋体" w:eastAsia="宋体" w:cs="宋体"/>
          <w:color w:val="000000" w:themeColor="text1"/>
          <w:sz w:val="24"/>
          <w:szCs w:val="24"/>
          <w:highlight w:val="none"/>
          <w14:textFill>
            <w14:solidFill>
              <w14:schemeClr w14:val="tx1"/>
            </w14:solidFill>
          </w14:textFill>
        </w:rPr>
        <w:t>（另册）</w:t>
      </w:r>
    </w:p>
    <w:p>
      <w:pPr>
        <w:rPr>
          <w:color w:val="000000" w:themeColor="text1"/>
          <w:highlight w:val="none"/>
          <w14:textFill>
            <w14:solidFill>
              <w14:schemeClr w14:val="tx1"/>
            </w14:solidFill>
          </w14:textFill>
        </w:rPr>
      </w:pPr>
    </w:p>
    <w:p>
      <w:pPr>
        <w:pStyle w:val="15"/>
        <w:spacing w:line="360" w:lineRule="auto"/>
        <w:ind w:left="178" w:leftChars="85"/>
        <w:rPr>
          <w:rFonts w:hAnsi="宋体"/>
          <w:color w:val="000000" w:themeColor="text1"/>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rPr>
          <w:rFonts w:hint="eastAsia" w:ascii="Times New Roman" w:hAnsi="Times New Roman"/>
          <w:b/>
          <w:color w:val="000000" w:themeColor="text1"/>
          <w:sz w:val="36"/>
          <w:highlight w:val="none"/>
          <w14:textFill>
            <w14:solidFill>
              <w14:schemeClr w14:val="tx1"/>
            </w14:solidFill>
          </w14:textFill>
        </w:rPr>
      </w:pPr>
      <w:r>
        <w:rPr>
          <w:rFonts w:hint="eastAsia" w:ascii="Times New Roman" w:hAnsi="Times New Roman"/>
          <w:b/>
          <w:color w:val="000000" w:themeColor="text1"/>
          <w:sz w:val="36"/>
          <w:highlight w:val="none"/>
          <w14:textFill>
            <w14:solidFill>
              <w14:schemeClr w14:val="tx1"/>
            </w14:solidFill>
          </w14:textFill>
        </w:rPr>
        <w:br w:type="page"/>
      </w:r>
    </w:p>
    <w:p>
      <w:pPr>
        <w:pStyle w:val="4"/>
        <w:bidi w:val="0"/>
        <w:jc w:val="center"/>
        <w:rPr>
          <w:color w:val="000000" w:themeColor="text1"/>
          <w:highlight w:val="none"/>
          <w14:textFill>
            <w14:solidFill>
              <w14:schemeClr w14:val="tx1"/>
            </w14:solidFill>
          </w14:textFill>
        </w:rPr>
      </w:pPr>
      <w:bookmarkStart w:id="264" w:name="_Toc20933"/>
      <w:r>
        <w:rPr>
          <w:rFonts w:hint="eastAsia"/>
          <w:color w:val="000000" w:themeColor="text1"/>
          <w:highlight w:val="none"/>
          <w14:textFill>
            <w14:solidFill>
              <w14:schemeClr w14:val="tx1"/>
            </w14:solidFill>
          </w14:textFill>
        </w:rPr>
        <w:t>第六章</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投标文件格式</w:t>
      </w:r>
      <w:bookmarkEnd w:id="264"/>
    </w:p>
    <w:p>
      <w:pPr>
        <w:pStyle w:val="15"/>
        <w:spacing w:line="360" w:lineRule="auto"/>
        <w:rPr>
          <w:rFonts w:hAnsi="宋体"/>
          <w:color w:val="000000" w:themeColor="text1"/>
          <w:highlight w:val="none"/>
          <w14:textFill>
            <w14:solidFill>
              <w14:schemeClr w14:val="tx1"/>
            </w14:solidFill>
          </w14:textFill>
        </w:rPr>
      </w:pPr>
    </w:p>
    <w:p>
      <w:pPr>
        <w:snapToGrid w:val="0"/>
        <w:spacing w:line="360" w:lineRule="auto"/>
        <w:ind w:firstLine="420" w:firstLineChars="200"/>
        <w:jc w:val="left"/>
        <w:rPr>
          <w:rFonts w:hint="eastAsia" w:ascii="宋体" w:hAnsi="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说明：</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.如为联合体投标，“投标人名称”处必须列明联合体各方名称，并标注联合体牵头人名称，</w:t>
      </w:r>
      <w:r>
        <w:rPr>
          <w:rFonts w:hint="eastAsia" w:ascii="宋体" w:hAnsi="宋体" w:eastAsia="宋体" w:cs="宋体"/>
          <w:b/>
          <w:color w:val="000000" w:themeColor="text1"/>
          <w:sz w:val="21"/>
          <w:szCs w:val="21"/>
          <w:highlight w:val="none"/>
          <w14:textFill>
            <w14:solidFill>
              <w14:schemeClr w14:val="tx1"/>
            </w14:solidFill>
          </w14:textFill>
        </w:rPr>
        <w:t>否则其投标作无效标处理。</w:t>
      </w:r>
    </w:p>
    <w:p>
      <w:pPr>
        <w:keepNext w:val="0"/>
        <w:keepLines w:val="0"/>
        <w:pageBreakBefore w:val="0"/>
        <w:widowControl w:val="0"/>
        <w:kinsoku/>
        <w:wordWrap/>
        <w:overflowPunct/>
        <w:topLinePunct w:val="0"/>
        <w:autoSpaceDE/>
        <w:autoSpaceDN/>
        <w:bidi w:val="0"/>
        <w:adjustRightInd/>
        <w:snapToGrid w:val="0"/>
        <w:spacing w:line="440" w:lineRule="exact"/>
        <w:ind w:firstLine="396" w:firstLineChars="200"/>
        <w:jc w:val="left"/>
        <w:textAlignment w:val="auto"/>
        <w:rPr>
          <w:rFonts w:hint="eastAsia" w:ascii="宋体" w:hAnsi="宋体" w:eastAsia="宋体" w:cs="宋体"/>
          <w:b/>
          <w:color w:val="000000" w:themeColor="text1"/>
          <w:spacing w:val="-6"/>
          <w:sz w:val="21"/>
          <w:szCs w:val="21"/>
          <w:highlight w:val="none"/>
          <w14:textFill>
            <w14:solidFill>
              <w14:schemeClr w14:val="tx1"/>
            </w14:solidFill>
          </w14:textFill>
        </w:rPr>
      </w:pPr>
      <w:r>
        <w:rPr>
          <w:rFonts w:hint="eastAsia" w:ascii="宋体" w:hAnsi="宋体" w:cs="宋体"/>
          <w:color w:val="000000" w:themeColor="text1"/>
          <w:spacing w:val="-6"/>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pacing w:val="-6"/>
          <w:sz w:val="21"/>
          <w:szCs w:val="21"/>
          <w:highlight w:val="none"/>
          <w14:textFill>
            <w14:solidFill>
              <w14:schemeClr w14:val="tx1"/>
            </w14:solidFill>
          </w14:textFill>
        </w:rPr>
        <w:t>.如为联合体投标，盖章处加盖联合体牵头人电子签章</w:t>
      </w:r>
      <w:r>
        <w:rPr>
          <w:rFonts w:hint="eastAsia" w:ascii="宋体" w:hAnsi="宋体" w:cs="宋体"/>
          <w:color w:val="000000" w:themeColor="text1"/>
          <w:spacing w:val="-6"/>
          <w:sz w:val="21"/>
          <w:szCs w:val="21"/>
          <w:highlight w:val="none"/>
          <w:lang w:eastAsia="zh-CN"/>
          <w14:textFill>
            <w14:solidFill>
              <w14:schemeClr w14:val="tx1"/>
            </w14:solidFill>
          </w14:textFill>
        </w:rPr>
        <w:t>即可</w:t>
      </w:r>
      <w:r>
        <w:rPr>
          <w:rFonts w:hint="eastAsia" w:ascii="宋体" w:hAnsi="宋体" w:eastAsia="宋体" w:cs="宋体"/>
          <w:color w:val="000000" w:themeColor="text1"/>
          <w:spacing w:val="-6"/>
          <w:sz w:val="21"/>
          <w:szCs w:val="21"/>
          <w:highlight w:val="none"/>
          <w14:textFill>
            <w14:solidFill>
              <w14:schemeClr w14:val="tx1"/>
            </w14:solidFill>
          </w14:textFill>
        </w:rPr>
        <w:t>，</w:t>
      </w:r>
      <w:r>
        <w:rPr>
          <w:rFonts w:hint="eastAsia" w:ascii="宋体" w:hAnsi="宋体" w:eastAsia="宋体" w:cs="宋体"/>
          <w:b/>
          <w:color w:val="000000" w:themeColor="text1"/>
          <w:spacing w:val="-6"/>
          <w:sz w:val="21"/>
          <w:szCs w:val="21"/>
          <w:highlight w:val="none"/>
          <w14:textFill>
            <w14:solidFill>
              <w14:schemeClr w14:val="tx1"/>
            </w14:solidFill>
          </w14:textFill>
        </w:rPr>
        <w:t>否则其投标作无效标处理。</w:t>
      </w:r>
    </w:p>
    <w:p>
      <w:pPr>
        <w:keepNext w:val="0"/>
        <w:keepLines w:val="0"/>
        <w:pageBreakBefore w:val="0"/>
        <w:widowControl w:val="0"/>
        <w:kinsoku/>
        <w:wordWrap/>
        <w:overflowPunct/>
        <w:topLinePunct w:val="0"/>
        <w:autoSpaceDE/>
        <w:autoSpaceDN/>
        <w:bidi w:val="0"/>
        <w:adjustRightInd/>
        <w:snapToGrid w:val="0"/>
        <w:spacing w:line="440" w:lineRule="exact"/>
        <w:ind w:firstLine="420" w:firstLineChars="200"/>
        <w:jc w:val="left"/>
        <w:textAlignment w:val="auto"/>
        <w:rPr>
          <w:rFonts w:hint="default" w:eastAsia="宋体"/>
          <w:color w:val="000000" w:themeColor="text1"/>
          <w:highlight w:val="none"/>
          <w:lang w:val="en-US" w:eastAsia="zh-CN"/>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color w:val="000000" w:themeColor="text1"/>
          <w:highlight w:val="none"/>
          <w:lang w:val="en-US" w:eastAsia="zh-CN"/>
          <w14:textFill>
            <w14:solidFill>
              <w14:schemeClr w14:val="tx1"/>
            </w14:solidFill>
          </w14:textFill>
        </w:rPr>
        <w:t>3.除格式中另有要求外，</w:t>
      </w:r>
      <w:r>
        <w:rPr>
          <w:rFonts w:hint="eastAsia" w:cs="宋体"/>
          <w:color w:val="000000" w:themeColor="text1"/>
          <w:highlight w:val="none"/>
          <w:lang w:eastAsia="zh-CN"/>
          <w14:textFill>
            <w14:solidFill>
              <w14:schemeClr w14:val="tx1"/>
            </w14:solidFill>
          </w14:textFill>
        </w:rPr>
        <w:t>如为联合体投标的，</w:t>
      </w:r>
      <w:r>
        <w:rPr>
          <w:rFonts w:hint="eastAsia" w:cs="宋体"/>
          <w:color w:val="000000" w:themeColor="text1"/>
          <w:highlight w:val="none"/>
          <w14:textFill>
            <w14:solidFill>
              <w14:schemeClr w14:val="tx1"/>
            </w14:solidFill>
          </w14:textFill>
        </w:rPr>
        <w:t>由</w:t>
      </w:r>
      <w:r>
        <w:rPr>
          <w:rFonts w:hint="eastAsia" w:cs="宋体"/>
          <w:color w:val="000000" w:themeColor="text1"/>
          <w:highlight w:val="none"/>
          <w:lang w:eastAsia="zh-CN"/>
          <w14:textFill>
            <w14:solidFill>
              <w14:schemeClr w14:val="tx1"/>
            </w14:solidFill>
          </w14:textFill>
        </w:rPr>
        <w:t>联合体牵头人</w:t>
      </w:r>
      <w:r>
        <w:rPr>
          <w:rFonts w:hint="eastAsia" w:cs="宋体"/>
          <w:color w:val="000000" w:themeColor="text1"/>
          <w:highlight w:val="none"/>
          <w14:textFill>
            <w14:solidFill>
              <w14:schemeClr w14:val="tx1"/>
            </w14:solidFill>
          </w14:textFill>
        </w:rPr>
        <w:t>法定代表人或委托代理人</w:t>
      </w:r>
      <w:r>
        <w:rPr>
          <w:rFonts w:hint="eastAsia" w:cs="宋体"/>
          <w:color w:val="000000" w:themeColor="text1"/>
          <w:highlight w:val="none"/>
          <w:lang w:eastAsia="zh-CN"/>
          <w14:textFill>
            <w14:solidFill>
              <w14:schemeClr w14:val="tx1"/>
            </w14:solidFill>
          </w14:textFill>
        </w:rPr>
        <w:t>亲笔</w:t>
      </w:r>
      <w:r>
        <w:rPr>
          <w:rFonts w:hint="eastAsia" w:cs="宋体"/>
          <w:color w:val="000000" w:themeColor="text1"/>
          <w:highlight w:val="none"/>
          <w14:textFill>
            <w14:solidFill>
              <w14:schemeClr w14:val="tx1"/>
            </w14:solidFill>
          </w14:textFill>
        </w:rPr>
        <w:t>签字</w:t>
      </w:r>
      <w:r>
        <w:rPr>
          <w:rFonts w:hint="eastAsia" w:cs="宋体"/>
          <w:color w:val="000000" w:themeColor="text1"/>
          <w:highlight w:val="none"/>
          <w:lang w:eastAsia="zh-CN"/>
          <w14:textFill>
            <w14:solidFill>
              <w14:schemeClr w14:val="tx1"/>
            </w14:solidFill>
          </w14:textFill>
        </w:rPr>
        <w:t>，</w:t>
      </w:r>
      <w:r>
        <w:rPr>
          <w:rFonts w:hint="eastAsia" w:ascii="宋体" w:hAnsi="宋体" w:eastAsia="宋体" w:cs="宋体"/>
          <w:b/>
          <w:color w:val="000000" w:themeColor="text1"/>
          <w:spacing w:val="-6"/>
          <w:sz w:val="21"/>
          <w:szCs w:val="21"/>
          <w:highlight w:val="none"/>
          <w14:textFill>
            <w14:solidFill>
              <w14:schemeClr w14:val="tx1"/>
            </w14:solidFill>
          </w14:textFill>
        </w:rPr>
        <w:t>否则其投标作无效标处理。</w:t>
      </w:r>
      <w:r>
        <w:rPr>
          <w:rFonts w:hint="eastAsia"/>
          <w:color w:val="000000" w:themeColor="text1"/>
          <w:highlight w:val="none"/>
          <w:lang w:val="en-US" w:eastAsia="zh-CN"/>
          <w14:textFill>
            <w14:solidFill>
              <w14:schemeClr w14:val="tx1"/>
            </w14:solidFill>
          </w14:textFill>
        </w:rPr>
        <w:t>【</w:t>
      </w:r>
      <w:r>
        <w:rPr>
          <w:rFonts w:hint="eastAsia" w:hAnsi="宋体" w:cs="宋体"/>
          <w:bCs/>
          <w:color w:val="000000" w:themeColor="text1"/>
          <w:sz w:val="21"/>
          <w:highlight w:val="none"/>
          <w:lang w:val="en-US" w:eastAsia="zh-CN"/>
          <w14:textFill>
            <w14:solidFill>
              <w14:schemeClr w14:val="tx1"/>
            </w14:solidFill>
          </w14:textFill>
        </w:rPr>
        <w:t>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r>
        <w:rPr>
          <w:rFonts w:hint="eastAsia"/>
          <w:color w:val="000000" w:themeColor="text1"/>
          <w:highlight w:val="none"/>
          <w:lang w:val="en-US" w:eastAsia="zh-CN"/>
          <w14:textFill>
            <w14:solidFill>
              <w14:schemeClr w14:val="tx1"/>
            </w14:solidFill>
          </w14:textFill>
        </w:rPr>
        <w:t>】</w:t>
      </w:r>
    </w:p>
    <w:p>
      <w:pPr>
        <w:rPr>
          <w:rFonts w:hint="eastAsia"/>
          <w:b/>
          <w:color w:val="000000" w:themeColor="text1"/>
          <w:sz w:val="28"/>
          <w:szCs w:val="28"/>
          <w:highlight w:val="none"/>
          <w14:textFill>
            <w14:solidFill>
              <w14:schemeClr w14:val="tx1"/>
            </w14:solidFill>
          </w14:textFill>
        </w:rPr>
      </w:pPr>
      <w:bookmarkStart w:id="265" w:name="_Toc19686836"/>
      <w:r>
        <w:rPr>
          <w:rFonts w:hint="eastAsia"/>
          <w:b/>
          <w:color w:val="000000" w:themeColor="text1"/>
          <w:sz w:val="28"/>
          <w:szCs w:val="28"/>
          <w:highlight w:val="none"/>
          <w14:textFill>
            <w14:solidFill>
              <w14:schemeClr w14:val="tx1"/>
            </w14:solidFill>
          </w14:textFill>
        </w:rPr>
        <w:t>一、报价文件格式</w:t>
      </w:r>
      <w:bookmarkEnd w:id="265"/>
    </w:p>
    <w:p>
      <w:pPr>
        <w:snapToGrid w:val="0"/>
        <w:spacing w:before="120" w:beforeLines="50" w:after="50" w:line="360" w:lineRule="auto"/>
        <w:ind w:left="142"/>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1. 报价文件封面格式： </w:t>
      </w:r>
    </w:p>
    <w:p>
      <w:pPr>
        <w:snapToGrid w:val="0"/>
        <w:spacing w:before="120" w:beforeLines="50" w:after="50" w:line="360" w:lineRule="auto"/>
        <w:ind w:left="142"/>
        <w:jc w:val="center"/>
        <w:rPr>
          <w:rFonts w:hint="eastAsia" w:ascii="宋体" w:hAnsi="宋体" w:eastAsia="Arial Unicode MS"/>
          <w:bCs/>
          <w:color w:val="000000" w:themeColor="text1"/>
          <w:sz w:val="48"/>
          <w:szCs w:val="48"/>
          <w:highlight w:val="none"/>
          <w14:textFill>
            <w14:solidFill>
              <w14:schemeClr w14:val="tx1"/>
            </w14:solidFill>
          </w14:textFill>
        </w:rPr>
      </w:pPr>
      <w:r>
        <w:rPr>
          <w:rFonts w:hint="eastAsia" w:ascii="宋体" w:hAnsi="宋体" w:eastAsia="Arial Unicode MS"/>
          <w:bCs/>
          <w:color w:val="000000" w:themeColor="text1"/>
          <w:sz w:val="48"/>
          <w:szCs w:val="48"/>
          <w:highlight w:val="none"/>
          <w14:textFill>
            <w14:solidFill>
              <w14:schemeClr w14:val="tx1"/>
            </w14:solidFill>
          </w14:textFill>
        </w:rPr>
        <w:t>电子投标文件</w:t>
      </w:r>
    </w:p>
    <w:p>
      <w:pPr>
        <w:snapToGrid w:val="0"/>
        <w:spacing w:before="120" w:beforeLines="50" w:after="50" w:line="400" w:lineRule="exact"/>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pPr>
        <w:snapToGrid w:val="0"/>
        <w:spacing w:before="120" w:beforeLines="50" w:after="50" w:line="400" w:lineRule="exact"/>
        <w:jc w:val="center"/>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w:t>
      </w: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pPr>
        <w:snapToGrid w:val="0"/>
        <w:spacing w:before="120"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r>
        <w:rPr>
          <w:rFonts w:hint="eastAsia" w:ascii="宋体" w:hAnsi="宋体"/>
          <w:bCs/>
          <w:color w:val="000000" w:themeColor="text1"/>
          <w:sz w:val="24"/>
          <w:highlight w:val="none"/>
          <w:lang w:eastAsia="zh-CN"/>
          <w14:textFill>
            <w14:solidFill>
              <w14:schemeClr w14:val="tx1"/>
            </w14:solidFill>
          </w14:textFill>
        </w:rPr>
        <w:t>（加盖</w:t>
      </w:r>
      <w:r>
        <w:rPr>
          <w:rFonts w:hint="eastAsia" w:ascii="宋体" w:hAnsi="宋体"/>
          <w:bCs/>
          <w:color w:val="000000" w:themeColor="text1"/>
          <w:sz w:val="24"/>
          <w:highlight w:val="none"/>
          <w14:textFill>
            <w14:solidFill>
              <w14:schemeClr w14:val="tx1"/>
            </w14:solidFill>
          </w14:textFill>
        </w:rPr>
        <w:t>电子签章</w:t>
      </w:r>
      <w:r>
        <w:rPr>
          <w:rFonts w:hint="eastAsia" w:ascii="宋体" w:hAnsi="宋体"/>
          <w:bCs/>
          <w:color w:val="000000" w:themeColor="text1"/>
          <w:sz w:val="24"/>
          <w:highlight w:val="none"/>
          <w:lang w:eastAsia="zh-CN"/>
          <w14:textFill>
            <w14:solidFill>
              <w14:schemeClr w14:val="tx1"/>
            </w14:solidFill>
          </w14:textFill>
        </w:rPr>
        <w:t>）</w:t>
      </w:r>
      <w:r>
        <w:rPr>
          <w:rFonts w:hint="eastAsia" w:ascii="宋体" w:hAnsi="宋体"/>
          <w:bCs/>
          <w:color w:val="000000" w:themeColor="text1"/>
          <w:sz w:val="24"/>
          <w:highlight w:val="none"/>
          <w14:textFill>
            <w14:solidFill>
              <w14:schemeClr w14:val="tx1"/>
            </w14:solidFill>
          </w14:textFill>
        </w:rPr>
        <w:t>：</w:t>
      </w:r>
    </w:p>
    <w:p>
      <w:pPr>
        <w:snapToGri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pPr>
        <w:pStyle w:val="3"/>
        <w:snapToGrid w:val="0"/>
        <w:spacing w:before="50" w:after="50" w:line="400" w:lineRule="exact"/>
        <w:ind w:firstLine="960" w:firstLineChars="400"/>
        <w:rPr>
          <w:rFonts w:hint="eastAsia" w:ascii="宋体" w:hAnsi="宋体"/>
          <w:bCs/>
          <w:color w:val="000000" w:themeColor="text1"/>
          <w:sz w:val="24"/>
          <w:szCs w:val="24"/>
          <w:highlight w:val="none"/>
          <w14:textFill>
            <w14:solidFill>
              <w14:schemeClr w14:val="tx1"/>
            </w14:solidFill>
          </w14:textFill>
        </w:rPr>
      </w:pPr>
    </w:p>
    <w:p>
      <w:pPr>
        <w:snapToGrid w:val="0"/>
        <w:spacing w:before="120" w:beforeLines="50" w:after="50" w:line="400" w:lineRule="exact"/>
        <w:rPr>
          <w:rFonts w:hint="eastAsia" w:ascii="宋体" w:hAnsi="宋体"/>
          <w:color w:val="000000" w:themeColor="text1"/>
          <w:sz w:val="30"/>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p>
    <w:p>
      <w:pPr>
        <w:snapToGrid w:val="0"/>
        <w:spacing w:before="120" w:beforeLines="50" w:after="50" w:line="360" w:lineRule="auto"/>
        <w:jc w:val="left"/>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line="360" w:lineRule="auto"/>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2.</w:t>
      </w:r>
      <w:r>
        <w:rPr>
          <w:rFonts w:hint="eastAsia" w:ascii="宋体" w:hAnsi="宋体"/>
          <w:b/>
          <w:bCs/>
          <w:color w:val="000000" w:themeColor="text1"/>
          <w:sz w:val="24"/>
          <w:highlight w:val="none"/>
          <w14:textFill>
            <w14:solidFill>
              <w14:schemeClr w14:val="tx1"/>
            </w14:solidFill>
          </w14:textFill>
        </w:rPr>
        <w:t>报价文件目录</w:t>
      </w:r>
    </w:p>
    <w:p>
      <w:pPr>
        <w:snapToGrid w:val="0"/>
        <w:spacing w:before="50" w:after="120" w:afterLines="50" w:line="360" w:lineRule="auto"/>
        <w:jc w:val="left"/>
        <w:rPr>
          <w:rFonts w:ascii="宋体" w:hAnsi="宋体"/>
          <w:b/>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根据招标文件规定及投标人提供的材料自行编写目录。</w:t>
      </w:r>
    </w:p>
    <w:p>
      <w:pPr>
        <w:pStyle w:val="7"/>
        <w:rPr>
          <w:color w:val="000000" w:themeColor="text1"/>
          <w:highlight w:val="none"/>
          <w14:textFill>
            <w14:solidFill>
              <w14:schemeClr w14:val="tx1"/>
            </w14:solidFill>
          </w14:textFill>
        </w:rPr>
      </w:pPr>
    </w:p>
    <w:p>
      <w:pPr>
        <w:rPr>
          <w:rFonts w:hint="eastAsia" w:hAnsi="宋体"/>
          <w:b/>
          <w:bCs/>
          <w:color w:val="000000" w:themeColor="text1"/>
          <w:sz w:val="28"/>
          <w:szCs w:val="28"/>
          <w:highlight w:val="none"/>
          <w14:textFill>
            <w14:solidFill>
              <w14:schemeClr w14:val="tx1"/>
            </w14:solidFill>
          </w14:textFill>
        </w:rPr>
      </w:pPr>
      <w:bookmarkStart w:id="266" w:name="_Toc6602"/>
      <w:bookmarkStart w:id="267" w:name="_Toc19686838"/>
      <w:r>
        <w:rPr>
          <w:rFonts w:hint="eastAsia" w:hAnsi="宋体"/>
          <w:b/>
          <w:bCs/>
          <w:color w:val="000000" w:themeColor="text1"/>
          <w:sz w:val="28"/>
          <w:szCs w:val="28"/>
          <w:highlight w:val="none"/>
          <w14:textFill>
            <w14:solidFill>
              <w14:schemeClr w14:val="tx1"/>
            </w14:solidFill>
          </w14:textFill>
        </w:rPr>
        <w:br w:type="page"/>
      </w:r>
    </w:p>
    <w:p>
      <w:pPr>
        <w:pStyle w:val="15"/>
        <w:spacing w:line="300" w:lineRule="auto"/>
        <w:ind w:firstLine="803" w:firstLineChars="250"/>
        <w:jc w:val="center"/>
        <w:rPr>
          <w:rFonts w:hAnsi="宋体" w:cs="宋体"/>
          <w:b/>
          <w:color w:val="000000" w:themeColor="text1"/>
          <w:sz w:val="32"/>
          <w:highlight w:val="none"/>
          <w14:textFill>
            <w14:solidFill>
              <w14:schemeClr w14:val="tx1"/>
            </w14:solidFill>
          </w14:textFill>
        </w:rPr>
      </w:pPr>
      <w:bookmarkStart w:id="268" w:name="_Toc6179"/>
      <w:bookmarkStart w:id="269" w:name="_Toc28936"/>
      <w:r>
        <w:rPr>
          <w:rFonts w:hint="eastAsia" w:hAnsi="宋体" w:cs="宋体"/>
          <w:b/>
          <w:color w:val="000000" w:themeColor="text1"/>
          <w:sz w:val="32"/>
          <w:highlight w:val="none"/>
          <w:lang w:val="en-US" w:eastAsia="zh-CN"/>
          <w14:textFill>
            <w14:solidFill>
              <w14:schemeClr w14:val="tx1"/>
            </w14:solidFill>
          </w14:textFill>
        </w:rPr>
        <w:t>3.</w:t>
      </w:r>
      <w:r>
        <w:rPr>
          <w:rFonts w:hint="eastAsia" w:hAnsi="宋体" w:cs="宋体"/>
          <w:b/>
          <w:color w:val="000000" w:themeColor="text1"/>
          <w:sz w:val="32"/>
          <w:highlight w:val="none"/>
          <w14:textFill>
            <w14:solidFill>
              <w14:schemeClr w14:val="tx1"/>
            </w14:solidFill>
          </w14:textFill>
        </w:rPr>
        <w:t>投标函（格式）</w:t>
      </w:r>
    </w:p>
    <w:p>
      <w:pPr>
        <w:spacing w:line="440" w:lineRule="exact"/>
        <w:ind w:firstLine="420" w:firstLineChars="20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致：</w:t>
      </w:r>
      <w:r>
        <w:rPr>
          <w:color w:val="000000" w:themeColor="text1"/>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eastAsia="zh-CN"/>
          <w14:textFill>
            <w14:solidFill>
              <w14:schemeClr w14:val="tx1"/>
            </w14:solidFill>
          </w14:textFill>
        </w:rPr>
        <w:t>项目实施机构</w:t>
      </w:r>
      <w:r>
        <w:rPr>
          <w:rFonts w:hint="eastAsia"/>
          <w:color w:val="000000" w:themeColor="text1"/>
          <w:szCs w:val="20"/>
          <w:highlight w:val="none"/>
          <w14:textFill>
            <w14:solidFill>
              <w14:schemeClr w14:val="tx1"/>
            </w14:solidFill>
          </w14:textFill>
        </w:rPr>
        <w:t>）</w:t>
      </w:r>
    </w:p>
    <w:p>
      <w:pPr>
        <w:spacing w:line="440" w:lineRule="exact"/>
        <w:ind w:firstLine="420" w:firstLineChars="20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我方已仔细阅读了贵方组织的</w:t>
      </w:r>
      <w:r>
        <w:rPr>
          <w:color w:val="000000" w:themeColor="text1"/>
          <w:szCs w:val="20"/>
          <w:highlight w:val="none"/>
          <w:u w:val="singl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项目（项目编号：</w:t>
      </w:r>
      <w:r>
        <w:rPr>
          <w:rFonts w:ascii="宋体" w:hAnsi="Courier New"/>
          <w:color w:val="000000" w:themeColor="text1"/>
          <w:szCs w:val="20"/>
          <w:highlight w:val="non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）的招标文件的全部内容，授权</w:t>
      </w:r>
      <w:r>
        <w:rPr>
          <w:color w:val="000000" w:themeColor="text1"/>
          <w:szCs w:val="20"/>
          <w:highlight w:val="none"/>
          <w:u w:val="singl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(全权代表姓名)</w:t>
      </w:r>
      <w:r>
        <w:rPr>
          <w:color w:val="000000" w:themeColor="text1"/>
          <w:szCs w:val="20"/>
          <w:highlight w:val="none"/>
          <w:u w:val="singl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 xml:space="preserve"> (职务、职称)为全权代表，现正式递交下述文件参加贵方组织的本次政府采购活动： </w:t>
      </w:r>
    </w:p>
    <w:p>
      <w:pPr>
        <w:spacing w:line="440" w:lineRule="exact"/>
        <w:ind w:firstLine="420" w:firstLineChars="20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一、报价文件电子版一份（包含按投标人须知前附表要求提交的全部文件）；</w:t>
      </w:r>
    </w:p>
    <w:p>
      <w:pPr>
        <w:spacing w:line="440" w:lineRule="exact"/>
        <w:ind w:firstLine="482"/>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二、</w:t>
      </w:r>
      <w:r>
        <w:rPr>
          <w:rFonts w:hint="eastAsia" w:ascii="宋体" w:hAnsi="宋体"/>
          <w:color w:val="000000" w:themeColor="text1"/>
          <w:szCs w:val="20"/>
          <w:highlight w:val="none"/>
          <w14:textFill>
            <w14:solidFill>
              <w14:schemeClr w14:val="tx1"/>
            </w14:solidFill>
          </w14:textFill>
        </w:rPr>
        <w:t>技术</w:t>
      </w:r>
      <w:r>
        <w:rPr>
          <w:rFonts w:hint="eastAsia" w:ascii="宋体" w:hAnsi="Courier New"/>
          <w:color w:val="000000" w:themeColor="text1"/>
          <w:szCs w:val="20"/>
          <w:highlight w:val="none"/>
          <w14:textFill>
            <w14:solidFill>
              <w14:schemeClr w14:val="tx1"/>
            </w14:solidFill>
          </w14:textFill>
        </w:rPr>
        <w:t>文件电子版一份（包含按投标人须知前附表要求提交的全部文件）；</w:t>
      </w:r>
    </w:p>
    <w:p>
      <w:pPr>
        <w:spacing w:line="440" w:lineRule="exact"/>
        <w:ind w:firstLine="482"/>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三、商务</w:t>
      </w:r>
      <w:r>
        <w:rPr>
          <w:rFonts w:hint="eastAsia" w:ascii="宋体" w:hAnsi="宋体"/>
          <w:color w:val="000000" w:themeColor="text1"/>
          <w:szCs w:val="20"/>
          <w:highlight w:val="none"/>
          <w14:textFill>
            <w14:solidFill>
              <w14:schemeClr w14:val="tx1"/>
            </w14:solidFill>
          </w14:textFill>
        </w:rPr>
        <w:t>文件</w:t>
      </w:r>
      <w:r>
        <w:rPr>
          <w:rFonts w:hint="eastAsia" w:ascii="宋体" w:hAnsi="Courier New"/>
          <w:color w:val="000000" w:themeColor="text1"/>
          <w:szCs w:val="20"/>
          <w:highlight w:val="none"/>
          <w14:textFill>
            <w14:solidFill>
              <w14:schemeClr w14:val="tx1"/>
            </w14:solidFill>
          </w14:textFill>
        </w:rPr>
        <w:t>电子版一份（包含按投标人须知前附表要求提交的全部文件）；</w:t>
      </w:r>
    </w:p>
    <w:p>
      <w:pPr>
        <w:spacing w:line="440" w:lineRule="exact"/>
        <w:ind w:firstLine="482"/>
        <w:rPr>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据此函，签字人兹宣布：</w:t>
      </w:r>
    </w:p>
    <w:p>
      <w:pPr>
        <w:spacing w:line="440" w:lineRule="exact"/>
        <w:ind w:firstLine="420" w:firstLineChars="200"/>
        <w:rPr>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1、我方愿意以</w:t>
      </w:r>
      <w:r>
        <w:rPr>
          <w:rFonts w:hint="eastAsia" w:ascii="宋体" w:hAnsi="宋体" w:cs="宋体"/>
          <w:color w:val="000000" w:themeColor="text1"/>
          <w:szCs w:val="20"/>
          <w:highlight w:val="none"/>
          <w:lang w:val="en-US" w:eastAsia="zh-CN"/>
          <w14:textFill>
            <w14:solidFill>
              <w14:schemeClr w14:val="tx1"/>
            </w14:solidFill>
          </w14:textFill>
        </w:rPr>
        <w:t>建安工程费下浮率</w:t>
      </w:r>
      <w:r>
        <w:rPr>
          <w:rFonts w:ascii="宋体" w:hAnsi="宋体" w:cs="宋体"/>
          <w:color w:val="000000" w:themeColor="text1"/>
          <w:szCs w:val="20"/>
          <w:highlight w:val="none"/>
          <w:u w:val="single"/>
          <w14:textFill>
            <w14:solidFill>
              <w14:schemeClr w14:val="tx1"/>
            </w14:solidFill>
          </w14:textFill>
        </w:rPr>
        <w:t xml:space="preserve">     </w:t>
      </w:r>
      <w:r>
        <w:rPr>
          <w:rFonts w:ascii="宋体" w:hAnsi="宋体" w:cs="宋体"/>
          <w:color w:val="000000" w:themeColor="text1"/>
          <w:szCs w:val="20"/>
          <w:highlight w:val="none"/>
          <w:u w:val="single"/>
          <w:lang w:bidi="ar"/>
          <w14:textFill>
            <w14:solidFill>
              <w14:schemeClr w14:val="tx1"/>
            </w14:solidFill>
          </w14:textFill>
        </w:rPr>
        <w:t>%</w:t>
      </w:r>
      <w:r>
        <w:rPr>
          <w:rFonts w:hint="eastAsia" w:ascii="宋体" w:hAnsi="宋体" w:cs="宋体"/>
          <w:color w:val="000000" w:themeColor="text1"/>
          <w:szCs w:val="20"/>
          <w:highlight w:val="none"/>
          <w:lang w:bidi="ar"/>
          <w14:textFill>
            <w14:solidFill>
              <w14:schemeClr w14:val="tx1"/>
            </w14:solidFill>
          </w14:textFill>
        </w:rPr>
        <w:t>，</w:t>
      </w:r>
      <w:r>
        <w:rPr>
          <w:rFonts w:hint="eastAsia" w:ascii="宋体" w:hAnsi="宋体" w:cs="宋体"/>
          <w:color w:val="000000" w:themeColor="text1"/>
          <w:szCs w:val="20"/>
          <w:highlight w:val="none"/>
          <w:lang w:val="en-US" w:eastAsia="zh-CN" w:bidi="ar"/>
          <w14:textFill>
            <w14:solidFill>
              <w14:schemeClr w14:val="tx1"/>
            </w14:solidFill>
          </w14:textFill>
        </w:rPr>
        <w:t>年投资收益率</w:t>
      </w:r>
      <w:r>
        <w:rPr>
          <w:rFonts w:ascii="宋体" w:hAnsi="宋体" w:cs="宋体"/>
          <w:color w:val="000000" w:themeColor="text1"/>
          <w:szCs w:val="20"/>
          <w:highlight w:val="none"/>
          <w:u w:val="single"/>
          <w:lang w:bidi="ar"/>
          <w14:textFill>
            <w14:solidFill>
              <w14:schemeClr w14:val="tx1"/>
            </w14:solidFill>
          </w14:textFill>
        </w:rPr>
        <w:t xml:space="preserve">      % </w:t>
      </w:r>
      <w:r>
        <w:rPr>
          <w:rFonts w:hint="eastAsia" w:ascii="宋体" w:hAnsi="Courier New"/>
          <w:color w:val="000000" w:themeColor="text1"/>
          <w:szCs w:val="20"/>
          <w:highlight w:val="none"/>
          <w14:textFill>
            <w14:solidFill>
              <w14:schemeClr w14:val="tx1"/>
            </w14:solidFill>
          </w14:textFill>
        </w:rPr>
        <w:t>的投标报价，</w:t>
      </w:r>
      <w:r>
        <w:rPr>
          <w:rFonts w:hint="eastAsia" w:ascii="宋体" w:hAnsi="宋体"/>
          <w:color w:val="000000" w:themeColor="text1"/>
          <w:szCs w:val="21"/>
          <w:highlight w:val="none"/>
          <w14:textFill>
            <w14:solidFill>
              <w14:schemeClr w14:val="tx1"/>
            </w14:solidFill>
          </w14:textFill>
        </w:rPr>
        <w:t>合同履行期限</w:t>
      </w:r>
      <w:r>
        <w:rPr>
          <w:rFonts w:ascii="宋体" w:hAnsi="Courier New"/>
          <w:color w:val="000000" w:themeColor="text1"/>
          <w:szCs w:val="20"/>
          <w:highlight w:val="none"/>
          <w:u w:val="singl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，提供本项目</w:t>
      </w:r>
      <w:r>
        <w:rPr>
          <w:rFonts w:hint="eastAsia" w:ascii="宋体"/>
          <w:color w:val="000000" w:themeColor="text1"/>
          <w:szCs w:val="20"/>
          <w:highlight w:val="none"/>
          <w14:textFill>
            <w14:solidFill>
              <w14:schemeClr w14:val="tx1"/>
            </w14:solidFill>
          </w14:textFill>
        </w:rPr>
        <w:t>招标文件第二章</w:t>
      </w:r>
      <w:r>
        <w:rPr>
          <w:rFonts w:hint="eastAsia" w:ascii="宋体" w:hAnsi="Courier New"/>
          <w:color w:val="000000" w:themeColor="text1"/>
          <w:szCs w:val="20"/>
          <w:highlight w:val="none"/>
          <w14:textFill>
            <w14:solidFill>
              <w14:schemeClr w14:val="tx1"/>
            </w14:solidFill>
          </w14:textFill>
        </w:rPr>
        <w:t>“</w:t>
      </w:r>
      <w:r>
        <w:rPr>
          <w:rFonts w:hint="eastAsia" w:ascii="宋体" w:hAnsi="Courier New"/>
          <w:color w:val="000000" w:themeColor="text1"/>
          <w:szCs w:val="20"/>
          <w:highlight w:val="none"/>
          <w:lang w:eastAsia="zh-CN"/>
          <w14:textFill>
            <w14:solidFill>
              <w14:schemeClr w14:val="tx1"/>
            </w14:solidFill>
          </w14:textFill>
        </w:rPr>
        <w:t>采购</w:t>
      </w:r>
      <w:r>
        <w:rPr>
          <w:rFonts w:hint="eastAsia" w:ascii="宋体" w:hAnsi="Courier New"/>
          <w:color w:val="000000" w:themeColor="text1"/>
          <w:szCs w:val="20"/>
          <w:highlight w:val="none"/>
          <w14:textFill>
            <w14:solidFill>
              <w14:schemeClr w14:val="tx1"/>
            </w14:solidFill>
          </w14:textFill>
        </w:rPr>
        <w:t>需求”中的相应的采购内容</w:t>
      </w:r>
      <w:r>
        <w:rPr>
          <w:rFonts w:hint="eastAsia" w:ascii="宋体" w:hAnsi="Courier New"/>
          <w:color w:val="000000" w:themeColor="text1"/>
          <w:szCs w:val="20"/>
          <w:highlight w:val="none"/>
          <w:lang w:eastAsia="zh-CN"/>
          <w14:textFill>
            <w14:solidFill>
              <w14:schemeClr w14:val="tx1"/>
            </w14:solidFill>
          </w14:textFill>
        </w:rPr>
        <w:t>，承诺市政道路项目路面及人行道日常养护标准不得高于15 万/km、运营净收入不得低于实施方案测算值</w:t>
      </w:r>
      <w:r>
        <w:rPr>
          <w:rFonts w:hint="eastAsia" w:ascii="宋体" w:hAnsi="Courier New"/>
          <w:color w:val="000000" w:themeColor="text1"/>
          <w:szCs w:val="20"/>
          <w:highlight w:val="none"/>
          <w14:textFill>
            <w14:solidFill>
              <w14:schemeClr w14:val="tx1"/>
            </w14:solidFill>
          </w14:textFill>
        </w:rPr>
        <w:t>。</w:t>
      </w:r>
    </w:p>
    <w:p>
      <w:pPr>
        <w:spacing w:line="360" w:lineRule="exact"/>
        <w:ind w:firstLine="420" w:firstLineChars="200"/>
        <w:rPr>
          <w:rFonts w:ascii="宋体" w:hAnsi="Courier New"/>
          <w:color w:val="000000" w:themeColor="text1"/>
          <w:szCs w:val="20"/>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2、我方同意自本项目招标文件“第三章</w:t>
      </w:r>
      <w:r>
        <w:rPr>
          <w:rFonts w:ascii="宋体" w:hAnsi="Courier New"/>
          <w:color w:val="000000" w:themeColor="text1"/>
          <w:szCs w:val="20"/>
          <w:highlight w:val="non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投标人须知”投标人须知前附表</w:t>
      </w:r>
      <w:r>
        <w:rPr>
          <w:rFonts w:ascii="宋体" w:hAnsi="Courier New"/>
          <w:color w:val="000000" w:themeColor="text1"/>
          <w:szCs w:val="20"/>
          <w:highlight w:val="non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第21.</w:t>
      </w:r>
      <w:r>
        <w:rPr>
          <w:rFonts w:hint="eastAsia" w:ascii="宋体" w:hAnsi="Courier New"/>
          <w:color w:val="000000" w:themeColor="text1"/>
          <w:szCs w:val="20"/>
          <w:highlight w:val="none"/>
          <w:lang w:val="en-US" w:eastAsia="zh-CN"/>
          <w14:textFill>
            <w14:solidFill>
              <w14:schemeClr w14:val="tx1"/>
            </w14:solidFill>
          </w14:textFill>
        </w:rPr>
        <w:t>1</w:t>
      </w:r>
      <w:r>
        <w:rPr>
          <w:rFonts w:hint="eastAsia" w:ascii="宋体" w:hAnsi="Courier New"/>
          <w:color w:val="000000" w:themeColor="text1"/>
          <w:szCs w:val="20"/>
          <w:highlight w:val="none"/>
          <w14:textFill>
            <w14:solidFill>
              <w14:schemeClr w14:val="tx1"/>
            </w14:solidFill>
          </w14:textFill>
        </w:rPr>
        <w:t>项规定的投标截止时间（开标时间）起遵循</w:t>
      </w:r>
      <w:r>
        <w:rPr>
          <w:rFonts w:hint="eastAsia" w:ascii="宋体" w:hAnsi="宋体"/>
          <w:color w:val="000000" w:themeColor="text1"/>
          <w:szCs w:val="20"/>
          <w:highlight w:val="none"/>
          <w14:textFill>
            <w14:solidFill>
              <w14:schemeClr w14:val="tx1"/>
            </w14:solidFill>
          </w14:textFill>
        </w:rPr>
        <w:t>本投标函</w:t>
      </w:r>
      <w:r>
        <w:rPr>
          <w:rFonts w:hint="eastAsia" w:ascii="宋体" w:hAnsi="Courier New"/>
          <w:color w:val="000000" w:themeColor="text1"/>
          <w:szCs w:val="20"/>
          <w:highlight w:val="none"/>
          <w14:textFill>
            <w14:solidFill>
              <w14:schemeClr w14:val="tx1"/>
            </w14:solidFill>
          </w14:textFill>
        </w:rPr>
        <w:t>，并承诺在“投标人须知前附表”第17.2项规定的投标有效期内不修改、撤销投标文件。</w:t>
      </w:r>
    </w:p>
    <w:p>
      <w:pPr>
        <w:spacing w:line="360" w:lineRule="exact"/>
        <w:ind w:firstLine="420" w:firstLineChars="200"/>
        <w:rPr>
          <w:rFonts w:ascii="宋体" w:hAnsi="Courier New"/>
          <w:color w:val="000000" w:themeColor="text1"/>
          <w:szCs w:val="20"/>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3、我方所递交的投标文件及有关资料都是内容完整、真实和准确的。</w:t>
      </w:r>
    </w:p>
    <w:p>
      <w:pPr>
        <w:spacing w:line="360" w:lineRule="exact"/>
        <w:ind w:firstLine="420" w:firstLineChars="200"/>
        <w:rPr>
          <w:rFonts w:ascii="宋体" w:hAnsi="Courier New"/>
          <w:color w:val="000000" w:themeColor="text1"/>
          <w:szCs w:val="20"/>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4、我方承诺未被列入失信被执行人、重大税收违法案件当事人名单、政府采购严重违法失信行为记录名单，并已经具备《中华人民共和国政府采购法》中规定的参加政府采购活动的供应商应当具备的条件：</w:t>
      </w:r>
    </w:p>
    <w:p>
      <w:pPr>
        <w:numPr>
          <w:ilvl w:val="0"/>
          <w:numId w:val="7"/>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具有独立承担民事责任的能力；</w:t>
      </w:r>
    </w:p>
    <w:p>
      <w:pPr>
        <w:numPr>
          <w:ilvl w:val="0"/>
          <w:numId w:val="7"/>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具有良好的商业信誉和健全的财务会计制度；</w:t>
      </w:r>
    </w:p>
    <w:p>
      <w:pPr>
        <w:numPr>
          <w:ilvl w:val="0"/>
          <w:numId w:val="7"/>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具有履行合同所必需的设备和专业技术能力；</w:t>
      </w:r>
    </w:p>
    <w:p>
      <w:pPr>
        <w:numPr>
          <w:ilvl w:val="0"/>
          <w:numId w:val="7"/>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有依法缴纳税收和社会保障资金的良好记录；</w:t>
      </w:r>
    </w:p>
    <w:p>
      <w:pPr>
        <w:numPr>
          <w:ilvl w:val="0"/>
          <w:numId w:val="7"/>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参加政府采购活动前三年内，在经营活动中没有重大违法记录；</w:t>
      </w:r>
    </w:p>
    <w:p>
      <w:pPr>
        <w:numPr>
          <w:ilvl w:val="0"/>
          <w:numId w:val="7"/>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法律、行政法规规定的其他条件。</w:t>
      </w:r>
    </w:p>
    <w:p>
      <w:pPr>
        <w:spacing w:line="440" w:lineRule="exact"/>
        <w:ind w:firstLine="482"/>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5、</w:t>
      </w:r>
      <w:r>
        <w:rPr>
          <w:rFonts w:hint="eastAsia" w:ascii="宋体" w:hAnsi="Courier New"/>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pPr>
        <w:spacing w:line="440" w:lineRule="exact"/>
        <w:ind w:firstLine="420" w:firstLineChars="20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6、如我方中标，我方承诺在收到中标通知书后，在中标通知书规定的期限内，</w:t>
      </w:r>
      <w:r>
        <w:rPr>
          <w:rFonts w:hint="eastAsia" w:ascii="宋体" w:hAnsi="宋体"/>
          <w:color w:val="000000" w:themeColor="text1"/>
          <w:szCs w:val="20"/>
          <w:highlight w:val="none"/>
          <w14:textFill>
            <w14:solidFill>
              <w14:schemeClr w14:val="tx1"/>
            </w14:solidFill>
          </w14:textFill>
        </w:rPr>
        <w:t>根据招标文件、我方的投标文件及有关澄清承诺书的要求按第五章“拟签订的合同文本”与</w:t>
      </w:r>
      <w:r>
        <w:rPr>
          <w:rFonts w:hint="eastAsia" w:ascii="宋体" w:hAnsi="宋体"/>
          <w:color w:val="000000" w:themeColor="text1"/>
          <w:szCs w:val="20"/>
          <w:highlight w:val="none"/>
          <w:lang w:eastAsia="zh-CN"/>
          <w14:textFill>
            <w14:solidFill>
              <w14:schemeClr w14:val="tx1"/>
            </w14:solidFill>
          </w14:textFill>
        </w:rPr>
        <w:t>项目实施机构</w:t>
      </w:r>
      <w:r>
        <w:rPr>
          <w:rFonts w:hint="eastAsia" w:ascii="宋体" w:hAnsi="宋体"/>
          <w:color w:val="000000" w:themeColor="text1"/>
          <w:szCs w:val="20"/>
          <w:highlight w:val="none"/>
          <w14:textFill>
            <w14:solidFill>
              <w14:schemeClr w14:val="tx1"/>
            </w14:solidFill>
          </w14:textFill>
        </w:rPr>
        <w:t>订立书面合同，并按照合同约定</w:t>
      </w:r>
      <w:r>
        <w:rPr>
          <w:rFonts w:hint="eastAsia" w:ascii="宋体" w:hAnsi="Courier New"/>
          <w:color w:val="000000" w:themeColor="text1"/>
          <w:szCs w:val="20"/>
          <w:highlight w:val="none"/>
          <w14:textFill>
            <w14:solidFill>
              <w14:schemeClr w14:val="tx1"/>
            </w14:solidFill>
          </w14:textFill>
        </w:rPr>
        <w:t>承担完成合同的责任和义务。</w:t>
      </w:r>
    </w:p>
    <w:p>
      <w:pPr>
        <w:spacing w:line="440" w:lineRule="exact"/>
        <w:ind w:firstLine="420" w:firstLineChars="20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7、我方已详细审核招标文件，我方知道必须放弃提出含糊不清或误解问题的权利。</w:t>
      </w:r>
    </w:p>
    <w:p>
      <w:pPr>
        <w:spacing w:line="440" w:lineRule="exact"/>
        <w:ind w:firstLine="420" w:firstLineChars="20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8、我方同意应贵方要求提供与本投标有关的任何数据或资料。若贵方需要，我方愿意提供我方作出的一切承诺的证明材料。</w:t>
      </w:r>
    </w:p>
    <w:p>
      <w:pPr>
        <w:spacing w:line="440" w:lineRule="exact"/>
        <w:ind w:firstLine="420" w:firstLineChars="20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9、我方完全理解贵方不一定接受投标报价最低的投标人为中标供应商的行为。</w:t>
      </w:r>
    </w:p>
    <w:p>
      <w:pPr>
        <w:spacing w:line="440" w:lineRule="exact"/>
        <w:ind w:firstLine="420" w:firstLineChars="20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10、我方将严格遵守《中华人民共和国政府采购法》第七十七条的规定，即供应商有下列情形之一的，处以采购金额千分之五以上千分之十</w:t>
      </w:r>
      <w:r>
        <w:rPr>
          <w:rFonts w:hint="eastAsia" w:ascii="宋体" w:hAnsi="宋体"/>
          <w:color w:val="000000" w:themeColor="text1"/>
          <w:szCs w:val="20"/>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8"/>
        </w:numPr>
        <w:spacing w:line="440" w:lineRule="exact"/>
        <w:rPr>
          <w:rFonts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提供虚假材料谋取中标、成交的；</w:t>
      </w:r>
    </w:p>
    <w:p>
      <w:pPr>
        <w:numPr>
          <w:ilvl w:val="0"/>
          <w:numId w:val="8"/>
        </w:numPr>
        <w:spacing w:line="440" w:lineRule="exact"/>
        <w:rPr>
          <w:rFonts w:ascii="宋体" w:hAnsi="宋体"/>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采取不正当手段诋毁、排挤其他供应商的；</w:t>
      </w:r>
    </w:p>
    <w:p>
      <w:pPr>
        <w:numPr>
          <w:ilvl w:val="0"/>
          <w:numId w:val="8"/>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与</w:t>
      </w:r>
      <w:r>
        <w:rPr>
          <w:rFonts w:hint="eastAsia" w:ascii="宋体" w:hAnsi="宋体"/>
          <w:color w:val="000000" w:themeColor="text1"/>
          <w:szCs w:val="20"/>
          <w:highlight w:val="none"/>
          <w:lang w:eastAsia="zh-CN"/>
          <w14:textFill>
            <w14:solidFill>
              <w14:schemeClr w14:val="tx1"/>
            </w14:solidFill>
          </w14:textFill>
        </w:rPr>
        <w:t>项目实施机构</w:t>
      </w:r>
      <w:r>
        <w:rPr>
          <w:rFonts w:hint="eastAsia" w:ascii="宋体" w:hAnsi="宋体"/>
          <w:color w:val="000000" w:themeColor="text1"/>
          <w:szCs w:val="20"/>
          <w:highlight w:val="none"/>
          <w14:textFill>
            <w14:solidFill>
              <w14:schemeClr w14:val="tx1"/>
            </w14:solidFill>
          </w14:textFill>
        </w:rPr>
        <w:t>、其他供应商或者采购代理机构恶意串通的；</w:t>
      </w:r>
    </w:p>
    <w:p>
      <w:pPr>
        <w:numPr>
          <w:ilvl w:val="0"/>
          <w:numId w:val="8"/>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向</w:t>
      </w:r>
      <w:r>
        <w:rPr>
          <w:rFonts w:hint="eastAsia" w:ascii="宋体" w:hAnsi="宋体"/>
          <w:color w:val="000000" w:themeColor="text1"/>
          <w:szCs w:val="20"/>
          <w:highlight w:val="none"/>
          <w:lang w:eastAsia="zh-CN"/>
          <w14:textFill>
            <w14:solidFill>
              <w14:schemeClr w14:val="tx1"/>
            </w14:solidFill>
          </w14:textFill>
        </w:rPr>
        <w:t>项目实施机构</w:t>
      </w:r>
      <w:r>
        <w:rPr>
          <w:rFonts w:hint="eastAsia" w:ascii="宋体" w:hAnsi="宋体"/>
          <w:color w:val="000000" w:themeColor="text1"/>
          <w:szCs w:val="20"/>
          <w:highlight w:val="none"/>
          <w14:textFill>
            <w14:solidFill>
              <w14:schemeClr w14:val="tx1"/>
            </w14:solidFill>
          </w14:textFill>
        </w:rPr>
        <w:t>、采购代理机构行贿或者提供其他不正当利益的；</w:t>
      </w:r>
    </w:p>
    <w:p>
      <w:pPr>
        <w:numPr>
          <w:ilvl w:val="0"/>
          <w:numId w:val="8"/>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在招标采购过程中与</w:t>
      </w:r>
      <w:r>
        <w:rPr>
          <w:rFonts w:hint="eastAsia" w:ascii="宋体" w:hAnsi="宋体"/>
          <w:color w:val="000000" w:themeColor="text1"/>
          <w:szCs w:val="20"/>
          <w:highlight w:val="none"/>
          <w:lang w:eastAsia="zh-CN"/>
          <w14:textFill>
            <w14:solidFill>
              <w14:schemeClr w14:val="tx1"/>
            </w14:solidFill>
          </w14:textFill>
        </w:rPr>
        <w:t>项目实施机构</w:t>
      </w:r>
      <w:r>
        <w:rPr>
          <w:rFonts w:hint="eastAsia" w:ascii="宋体" w:hAnsi="宋体"/>
          <w:color w:val="000000" w:themeColor="text1"/>
          <w:szCs w:val="20"/>
          <w:highlight w:val="none"/>
          <w14:textFill>
            <w14:solidFill>
              <w14:schemeClr w14:val="tx1"/>
            </w14:solidFill>
          </w14:textFill>
        </w:rPr>
        <w:t>进行协商谈判的；</w:t>
      </w:r>
    </w:p>
    <w:p>
      <w:pPr>
        <w:numPr>
          <w:ilvl w:val="0"/>
          <w:numId w:val="8"/>
        </w:numPr>
        <w:spacing w:line="440" w:lineRule="exact"/>
        <w:rPr>
          <w:rFonts w:ascii="宋体" w:hAnsi="Courier New"/>
          <w:color w:val="000000" w:themeColor="text1"/>
          <w:szCs w:val="20"/>
          <w:highlight w:val="none"/>
          <w14:textFill>
            <w14:solidFill>
              <w14:schemeClr w14:val="tx1"/>
            </w14:solidFill>
          </w14:textFill>
        </w:rPr>
      </w:pPr>
      <w:r>
        <w:rPr>
          <w:rFonts w:hint="eastAsia" w:ascii="宋体" w:hAnsi="宋体"/>
          <w:color w:val="000000" w:themeColor="text1"/>
          <w:szCs w:val="20"/>
          <w:highlight w:val="none"/>
          <w14:textFill>
            <w14:solidFill>
              <w14:schemeClr w14:val="tx1"/>
            </w14:solidFill>
          </w14:textFill>
        </w:rPr>
        <w:t>拒绝有关部门监督检查或提供虚假情况的。</w:t>
      </w:r>
    </w:p>
    <w:p>
      <w:pPr>
        <w:spacing w:line="440" w:lineRule="exact"/>
        <w:ind w:left="42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11、我方及由本人担任法定代表人的其他机构最近三年内被处罚的违法行为有：</w:t>
      </w:r>
      <w:r>
        <w:rPr>
          <w:rFonts w:ascii="宋体" w:hAnsi="Courier New"/>
          <w:color w:val="000000" w:themeColor="text1"/>
          <w:szCs w:val="20"/>
          <w:highlight w:val="none"/>
          <w:u w:val="single"/>
          <w14:textFill>
            <w14:solidFill>
              <w14:schemeClr w14:val="tx1"/>
            </w14:solidFill>
          </w14:textFill>
        </w:rPr>
        <w:t xml:space="preserve">                                        </w:t>
      </w:r>
    </w:p>
    <w:p>
      <w:pPr>
        <w:spacing w:line="440" w:lineRule="exact"/>
        <w:ind w:left="420"/>
        <w:rPr>
          <w:rFonts w:ascii="宋体" w:hAnsi="Courier New"/>
          <w:color w:val="000000" w:themeColor="text1"/>
          <w:szCs w:val="20"/>
          <w:highlight w:val="none"/>
          <w14:textFill>
            <w14:solidFill>
              <w14:schemeClr w14:val="tx1"/>
            </w14:solidFill>
          </w14:textFill>
        </w:rPr>
      </w:pPr>
      <w:r>
        <w:rPr>
          <w:rFonts w:ascii="宋体" w:hAnsi="Courier New"/>
          <w:color w:val="000000" w:themeColor="text1"/>
          <w:szCs w:val="20"/>
          <w:highlight w:val="none"/>
          <w:u w:val="single"/>
          <w14:textFill>
            <w14:solidFill>
              <w14:schemeClr w14:val="tx1"/>
            </w14:solidFill>
          </w14:textFill>
        </w:rPr>
        <w:t xml:space="preserve">                                                                                                                        </w:t>
      </w:r>
    </w:p>
    <w:p>
      <w:pPr>
        <w:spacing w:line="360" w:lineRule="auto"/>
        <w:ind w:firstLine="42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12、以上事项如有虚假或隐瞒，我方愿意承担一切后果，并不再寻求任何旨在减轻或免除法律责任的辩解。</w:t>
      </w:r>
    </w:p>
    <w:p>
      <w:pPr>
        <w:spacing w:line="360" w:lineRule="auto"/>
        <w:ind w:firstLine="42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13、与本投标有关的一切正式往来信函请寄：</w:t>
      </w:r>
      <w:r>
        <w:rPr>
          <w:rFonts w:ascii="宋体" w:hAnsi="Courier New"/>
          <w:color w:val="000000" w:themeColor="text1"/>
          <w:szCs w:val="20"/>
          <w:highlight w:val="none"/>
          <w:u w:val="single"/>
          <w14:textFill>
            <w14:solidFill>
              <w14:schemeClr w14:val="tx1"/>
            </w14:solidFill>
          </w14:textFill>
        </w:rPr>
        <w:t xml:space="preserve"> </w:t>
      </w:r>
    </w:p>
    <w:p>
      <w:pPr>
        <w:spacing w:line="360" w:lineRule="auto"/>
        <w:ind w:firstLine="42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地址：</w:t>
      </w:r>
      <w:r>
        <w:rPr>
          <w:rFonts w:ascii="宋体" w:hAnsi="Courier New"/>
          <w:color w:val="000000" w:themeColor="text1"/>
          <w:szCs w:val="20"/>
          <w:highlight w:val="none"/>
          <w:u w:val="single"/>
          <w14:textFill>
            <w14:solidFill>
              <w14:schemeClr w14:val="tx1"/>
            </w14:solidFill>
          </w14:textFill>
        </w:rPr>
        <w:t xml:space="preserve">                                                        </w:t>
      </w:r>
      <w:r>
        <w:rPr>
          <w:rFonts w:ascii="宋体" w:hAnsi="Courier New"/>
          <w:color w:val="000000" w:themeColor="text1"/>
          <w:szCs w:val="20"/>
          <w:highlight w:val="none"/>
          <w14:textFill>
            <w14:solidFill>
              <w14:schemeClr w14:val="tx1"/>
            </w14:solidFill>
          </w14:textFill>
        </w:rPr>
        <w:t xml:space="preserve"> </w:t>
      </w:r>
    </w:p>
    <w:p>
      <w:pPr>
        <w:spacing w:line="360" w:lineRule="auto"/>
        <w:ind w:firstLine="420"/>
        <w:rPr>
          <w:rFonts w:ascii="宋体" w:hAnsi="Courier New"/>
          <w:color w:val="000000" w:themeColor="text1"/>
          <w:szCs w:val="20"/>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电话：</w:t>
      </w:r>
      <w:r>
        <w:rPr>
          <w:rFonts w:hint="eastAsia" w:ascii="宋体" w:hAnsi="Courier New"/>
          <w:color w:val="000000" w:themeColor="text1"/>
          <w:szCs w:val="20"/>
          <w:highlight w:val="none"/>
          <w:u w:val="single"/>
          <w14:textFill>
            <w14:solidFill>
              <w14:schemeClr w14:val="tx1"/>
            </w14:solidFill>
          </w14:textFill>
        </w:rPr>
        <w:t xml:space="preserve">                                      　　　　　　　　　</w:t>
      </w:r>
    </w:p>
    <w:p>
      <w:pPr>
        <w:spacing w:line="360" w:lineRule="auto"/>
        <w:ind w:firstLine="420"/>
        <w:rPr>
          <w:rFonts w:ascii="宋体" w:hAnsi="Courier New"/>
          <w:color w:val="000000" w:themeColor="text1"/>
          <w:szCs w:val="20"/>
          <w:highlight w:val="non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传真：</w:t>
      </w:r>
      <w:r>
        <w:rPr>
          <w:rFonts w:hint="eastAsia" w:ascii="宋体" w:hAnsi="Courier New"/>
          <w:color w:val="000000" w:themeColor="text1"/>
          <w:szCs w:val="20"/>
          <w:highlight w:val="none"/>
          <w:u w:val="single"/>
          <w14:textFill>
            <w14:solidFill>
              <w14:schemeClr w14:val="tx1"/>
            </w14:solidFill>
          </w14:textFill>
        </w:rPr>
        <w:t>　　　　　　　　　　　　　　　　　　　　　　　　　　　　</w:t>
      </w:r>
    </w:p>
    <w:p>
      <w:pPr>
        <w:spacing w:line="360" w:lineRule="auto"/>
        <w:ind w:firstLine="420"/>
        <w:rPr>
          <w:rFonts w:ascii="宋体" w:hAnsi="Courier New"/>
          <w:color w:val="000000" w:themeColor="text1"/>
          <w:szCs w:val="20"/>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邮政编码：</w:t>
      </w:r>
      <w:r>
        <w:rPr>
          <w:rFonts w:ascii="宋体" w:hAnsi="Courier New"/>
          <w:color w:val="000000" w:themeColor="text1"/>
          <w:szCs w:val="20"/>
          <w:highlight w:val="none"/>
          <w:u w:val="single"/>
          <w14:textFill>
            <w14:solidFill>
              <w14:schemeClr w14:val="tx1"/>
            </w14:solidFill>
          </w14:textFill>
        </w:rPr>
        <w:t xml:space="preserve">                                                    </w:t>
      </w:r>
    </w:p>
    <w:p>
      <w:pPr>
        <w:spacing w:line="360" w:lineRule="auto"/>
        <w:ind w:firstLine="420"/>
        <w:rPr>
          <w:rFonts w:ascii="宋体" w:hAnsi="Courier New"/>
          <w:color w:val="000000" w:themeColor="text1"/>
          <w:szCs w:val="20"/>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开户名称：</w:t>
      </w:r>
      <w:r>
        <w:rPr>
          <w:rFonts w:ascii="宋体" w:hAnsi="Courier New"/>
          <w:color w:val="000000" w:themeColor="text1"/>
          <w:szCs w:val="20"/>
          <w:highlight w:val="none"/>
          <w:u w:val="single"/>
          <w14:textFill>
            <w14:solidFill>
              <w14:schemeClr w14:val="tx1"/>
            </w14:solidFill>
          </w14:textFill>
        </w:rPr>
        <w:t xml:space="preserve">                                                    </w:t>
      </w:r>
    </w:p>
    <w:p>
      <w:pPr>
        <w:spacing w:line="360" w:lineRule="auto"/>
        <w:ind w:firstLine="420"/>
        <w:rPr>
          <w:rFonts w:ascii="宋体" w:hAnsi="Courier New"/>
          <w:color w:val="000000" w:themeColor="text1"/>
          <w:szCs w:val="20"/>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开户银行：</w:t>
      </w:r>
      <w:r>
        <w:rPr>
          <w:rFonts w:ascii="宋体" w:hAnsi="Courier New"/>
          <w:color w:val="000000" w:themeColor="text1"/>
          <w:szCs w:val="20"/>
          <w:highlight w:val="none"/>
          <w:u w:val="single"/>
          <w14:textFill>
            <w14:solidFill>
              <w14:schemeClr w14:val="tx1"/>
            </w14:solidFill>
          </w14:textFill>
        </w:rPr>
        <w:t xml:space="preserve">                                                    </w:t>
      </w:r>
    </w:p>
    <w:p>
      <w:pPr>
        <w:spacing w:line="360" w:lineRule="auto"/>
        <w:ind w:firstLine="420"/>
        <w:rPr>
          <w:rFonts w:ascii="宋体" w:hAnsi="Courier New"/>
          <w:color w:val="000000" w:themeColor="text1"/>
          <w:sz w:val="21"/>
          <w:szCs w:val="21"/>
          <w:highlight w:val="none"/>
          <w:u w:val="single"/>
          <w14:textFill>
            <w14:solidFill>
              <w14:schemeClr w14:val="tx1"/>
            </w14:solidFill>
          </w14:textFill>
        </w:rPr>
      </w:pPr>
      <w:r>
        <w:rPr>
          <w:rFonts w:hint="eastAsia" w:ascii="宋体" w:hAnsi="Courier New"/>
          <w:color w:val="000000" w:themeColor="text1"/>
          <w:szCs w:val="20"/>
          <w:highlight w:val="none"/>
          <w14:textFill>
            <w14:solidFill>
              <w14:schemeClr w14:val="tx1"/>
            </w14:solidFill>
          </w14:textFill>
        </w:rPr>
        <w:t>银行账号：</w:t>
      </w:r>
      <w:r>
        <w:rPr>
          <w:rFonts w:ascii="宋体" w:hAnsi="Courier New"/>
          <w:color w:val="000000" w:themeColor="text1"/>
          <w:szCs w:val="20"/>
          <w:highlight w:val="none"/>
          <w:u w:val="single"/>
          <w14:textFill>
            <w14:solidFill>
              <w14:schemeClr w14:val="tx1"/>
            </w14:solidFill>
          </w14:textFill>
        </w:rPr>
        <w:t xml:space="preserve">              </w:t>
      </w:r>
      <w:r>
        <w:rPr>
          <w:rFonts w:ascii="宋体" w:hAnsi="Courier New"/>
          <w:color w:val="000000" w:themeColor="text1"/>
          <w:sz w:val="21"/>
          <w:szCs w:val="21"/>
          <w:highlight w:val="none"/>
          <w:u w:val="single"/>
          <w14:textFill>
            <w14:solidFill>
              <w14:schemeClr w14:val="tx1"/>
            </w14:solidFill>
          </w14:textFill>
        </w:rPr>
        <w:t xml:space="preserve">                                      </w:t>
      </w:r>
    </w:p>
    <w:p>
      <w:pPr>
        <w:snapToGrid w:val="0"/>
        <w:spacing w:line="360" w:lineRule="auto"/>
        <w:ind w:firstLine="2940" w:firstLineChars="1400"/>
        <w:rPr>
          <w:rFonts w:hint="eastAsia" w:ascii="宋体" w:hAnsi="宋体" w:eastAsia="宋体" w:cs="宋体"/>
          <w:color w:val="000000" w:themeColor="text1"/>
          <w:kern w:val="0"/>
          <w:sz w:val="21"/>
          <w:szCs w:val="21"/>
          <w:highlight w:val="none"/>
          <w:lang w:val="zh-CN"/>
          <w14:textFill>
            <w14:solidFill>
              <w14:schemeClr w14:val="tx1"/>
            </w14:solidFill>
          </w14:textFill>
        </w:rPr>
      </w:pPr>
    </w:p>
    <w:p>
      <w:pPr>
        <w:snapToGrid w:val="0"/>
        <w:spacing w:line="360" w:lineRule="auto"/>
        <w:ind w:left="6510" w:leftChars="1400" w:hanging="3570" w:hangingChars="1700"/>
        <w:rPr>
          <w:rFonts w:hint="eastAsia" w:ascii="宋体" w:hAnsi="宋体" w:eastAsia="宋体" w:cs="宋体"/>
          <w:color w:val="000000" w:themeColor="text1"/>
          <w:kern w:val="0"/>
          <w:sz w:val="21"/>
          <w:szCs w:val="21"/>
          <w:highlight w:val="none"/>
          <w:lang w:val="zh-CN"/>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 xml:space="preserve">法定代表人或者委托代理人（签字）:_______ </w:t>
      </w:r>
    </w:p>
    <w:p>
      <w:pPr>
        <w:snapToGrid w:val="0"/>
        <w:spacing w:line="360" w:lineRule="auto"/>
        <w:ind w:left="6510" w:leftChars="1400" w:hanging="3570" w:hangingChars="17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投标人名称：</w:t>
      </w:r>
      <w:r>
        <w:rPr>
          <w:rFonts w:hint="eastAsia" w:ascii="宋体" w:hAnsi="宋体" w:eastAsia="宋体" w:cs="宋体"/>
          <w:color w:val="000000" w:themeColor="text1"/>
          <w:kern w:val="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zh-CN"/>
          <w14:textFill>
            <w14:solidFill>
              <w14:schemeClr w14:val="tx1"/>
            </w14:solidFill>
          </w14:textFill>
        </w:rPr>
        <w:t>(加盖电子签章)</w:t>
      </w:r>
    </w:p>
    <w:p>
      <w:pPr>
        <w:snapToGrid w:val="0"/>
        <w:spacing w:line="360" w:lineRule="auto"/>
        <w:ind w:firstLine="4515" w:firstLineChars="2150"/>
        <w:rPr>
          <w:rFonts w:hint="eastAsia" w:ascii="宋体" w:hAnsi="宋体" w:eastAsia="宋体" w:cs="宋体"/>
          <w:color w:val="000000" w:themeColor="text1"/>
          <w:kern w:val="0"/>
          <w:sz w:val="21"/>
          <w:szCs w:val="21"/>
          <w:highlight w:val="none"/>
          <w:lang w:val="zh-CN"/>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日期</w:t>
      </w:r>
      <w:r>
        <w:rPr>
          <w:rFonts w:hint="eastAsia" w:ascii="宋体" w:hAnsi="宋体" w:eastAsia="宋体" w:cs="宋体"/>
          <w:color w:val="000000" w:themeColor="text1"/>
          <w:kern w:val="0"/>
          <w:sz w:val="21"/>
          <w:szCs w:val="21"/>
          <w:highlight w:val="none"/>
          <w14:textFill>
            <w14:solidFill>
              <w14:schemeClr w14:val="tx1"/>
            </w14:solidFill>
          </w14:textFill>
        </w:rPr>
        <w:t xml:space="preserve">：  年  </w:t>
      </w:r>
      <w:r>
        <w:rPr>
          <w:rFonts w:hint="eastAsia" w:ascii="宋体" w:hAnsi="宋体" w:eastAsia="宋体" w:cs="宋体"/>
          <w:color w:val="000000" w:themeColor="text1"/>
          <w:kern w:val="0"/>
          <w:sz w:val="21"/>
          <w:szCs w:val="21"/>
          <w:highlight w:val="none"/>
          <w:lang w:val="zh-CN"/>
          <w14:textFill>
            <w14:solidFill>
              <w14:schemeClr w14:val="tx1"/>
            </w14:solidFill>
          </w14:textFill>
        </w:rPr>
        <w:t>月</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zh-CN"/>
          <w14:textFill>
            <w14:solidFill>
              <w14:schemeClr w14:val="tx1"/>
            </w14:solidFill>
          </w14:textFill>
        </w:rPr>
        <w:t>日</w:t>
      </w:r>
    </w:p>
    <w:p>
      <w:pPr>
        <w:pStyle w:val="15"/>
        <w:spacing w:line="300" w:lineRule="auto"/>
        <w:rPr>
          <w:rFonts w:hAnsi="宋体" w:cs="宋体"/>
          <w:b/>
          <w:bCs/>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41"/>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7"/>
        <w:rPr>
          <w:color w:val="000000" w:themeColor="text1"/>
          <w:highlight w:val="none"/>
          <w14:textFill>
            <w14:solidFill>
              <w14:schemeClr w14:val="tx1"/>
            </w14:solidFill>
          </w14:textFill>
        </w:rPr>
      </w:pPr>
    </w:p>
    <w:p>
      <w:pPr>
        <w:pStyle w:val="27"/>
        <w:rPr>
          <w:color w:val="000000" w:themeColor="text1"/>
          <w:highlight w:val="none"/>
          <w14:textFill>
            <w14:solidFill>
              <w14:schemeClr w14:val="tx1"/>
            </w14:solidFill>
          </w14:textFill>
        </w:rPr>
      </w:pPr>
    </w:p>
    <w:p>
      <w:pPr>
        <w:pStyle w:val="5"/>
        <w:rPr>
          <w:rStyle w:val="46"/>
          <w:rFonts w:hint="eastAsia" w:ascii="宋体" w:hAnsi="宋体" w:eastAsia="宋体" w:cs="宋体"/>
          <w:color w:val="000000" w:themeColor="text1"/>
          <w:sz w:val="24"/>
          <w:szCs w:val="24"/>
          <w:highlight w:val="none"/>
          <w14:textFill>
            <w14:solidFill>
              <w14:schemeClr w14:val="tx1"/>
            </w14:solidFill>
          </w14:textFill>
        </w:rPr>
      </w:pPr>
      <w:bookmarkStart w:id="270" w:name="_Toc20801"/>
    </w:p>
    <w:bookmarkEnd w:id="268"/>
    <w:bookmarkEnd w:id="269"/>
    <w:bookmarkEnd w:id="270"/>
    <w:p>
      <w:pPr>
        <w:pStyle w:val="5"/>
        <w:jc w:val="center"/>
        <w:rPr>
          <w:rFonts w:hAnsi="宋体" w:cs="宋体"/>
          <w:b/>
          <w:color w:val="000000" w:themeColor="text1"/>
          <w:sz w:val="32"/>
          <w:highlight w:val="none"/>
          <w14:textFill>
            <w14:solidFill>
              <w14:schemeClr w14:val="tx1"/>
            </w14:solidFill>
          </w14:textFill>
        </w:rPr>
      </w:pPr>
      <w:bookmarkStart w:id="271" w:name="_Toc7859"/>
      <w:bookmarkStart w:id="272" w:name="_Toc8205"/>
      <w:bookmarkStart w:id="273" w:name="_Toc20422"/>
      <w:bookmarkStart w:id="274" w:name="_Toc11093"/>
      <w:bookmarkStart w:id="275" w:name="_Toc13792"/>
      <w:r>
        <w:rPr>
          <w:rFonts w:hint="eastAsia" w:ascii="宋体" w:hAnsi="宋体" w:eastAsia="宋体" w:cs="宋体"/>
          <w:b/>
          <w:color w:val="000000" w:themeColor="text1"/>
          <w:sz w:val="32"/>
          <w:highlight w:val="none"/>
          <w:lang w:val="en-US" w:eastAsia="zh-CN"/>
          <w14:textFill>
            <w14:solidFill>
              <w14:schemeClr w14:val="tx1"/>
            </w14:solidFill>
          </w14:textFill>
        </w:rPr>
        <w:t>4.</w:t>
      </w:r>
      <w:r>
        <w:rPr>
          <w:rFonts w:hint="eastAsia" w:ascii="宋体" w:hAnsi="宋体" w:eastAsia="宋体" w:cs="宋体"/>
          <w:b/>
          <w:color w:val="000000" w:themeColor="text1"/>
          <w:sz w:val="32"/>
          <w:highlight w:val="none"/>
          <w14:textFill>
            <w14:solidFill>
              <w14:schemeClr w14:val="tx1"/>
            </w14:solidFill>
          </w14:textFill>
        </w:rPr>
        <w:t>开标一览表（格式）</w:t>
      </w:r>
      <w:bookmarkEnd w:id="271"/>
      <w:bookmarkEnd w:id="272"/>
      <w:bookmarkEnd w:id="273"/>
      <w:bookmarkEnd w:id="274"/>
      <w:bookmarkEnd w:id="275"/>
    </w:p>
    <w:p>
      <w:pPr>
        <w:pStyle w:val="15"/>
        <w:spacing w:line="300" w:lineRule="auto"/>
        <w:ind w:firstLine="551" w:firstLineChars="196"/>
        <w:rPr>
          <w:rFonts w:hAnsi="宋体" w:cs="宋体"/>
          <w:b/>
          <w:color w:val="000000" w:themeColor="text1"/>
          <w:sz w:val="28"/>
          <w:szCs w:val="28"/>
          <w:highlight w:val="none"/>
          <w14:textFill>
            <w14:solidFill>
              <w14:schemeClr w14:val="tx1"/>
            </w14:solidFill>
          </w14:textFill>
        </w:rPr>
      </w:pPr>
    </w:p>
    <w:tbl>
      <w:tblPr>
        <w:tblStyle w:val="32"/>
        <w:tblW w:w="83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865"/>
        <w:gridCol w:w="2099"/>
        <w:gridCol w:w="1891"/>
        <w:gridCol w:w="1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1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序号</w:t>
            </w:r>
          </w:p>
        </w:tc>
        <w:tc>
          <w:tcPr>
            <w:tcW w:w="286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项目名称</w:t>
            </w:r>
          </w:p>
        </w:tc>
        <w:tc>
          <w:tcPr>
            <w:tcW w:w="209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建安工程费下浮率</w:t>
            </w:r>
          </w:p>
        </w:tc>
        <w:tc>
          <w:tcPr>
            <w:tcW w:w="189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年投资收益率</w:t>
            </w:r>
          </w:p>
        </w:tc>
        <w:tc>
          <w:tcPr>
            <w:tcW w:w="1079"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000000" w:themeColor="text1"/>
                <w:highlight w:val="none"/>
                <w:lang w:bidi="ar"/>
                <w14:textFill>
                  <w14:solidFill>
                    <w14:schemeClr w14:val="tx1"/>
                  </w14:solidFill>
                </w14:textFill>
              </w:rPr>
            </w:pPr>
            <w:r>
              <w:rPr>
                <w:rFonts w:hint="eastAsia" w:ascii="宋体" w:hAnsi="宋体" w:cs="宋体"/>
                <w:color w:val="000000" w:themeColor="text1"/>
                <w:highlight w:val="none"/>
                <w:lang w:bidi="ar"/>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41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themeColor="text1"/>
                <w:szCs w:val="21"/>
                <w:highlight w:val="none"/>
                <w:lang w:bidi="ar"/>
                <w14:textFill>
                  <w14:solidFill>
                    <w14:schemeClr w14:val="tx1"/>
                  </w14:solidFill>
                </w14:textFill>
              </w:rPr>
            </w:pPr>
            <w:r>
              <w:rPr>
                <w:rFonts w:ascii="宋体" w:hAnsi="宋体" w:cs="宋体"/>
                <w:color w:val="000000" w:themeColor="text1"/>
                <w:kern w:val="0"/>
                <w:szCs w:val="21"/>
                <w:highlight w:val="none"/>
                <w:lang w:bidi="ar"/>
                <w14:textFill>
                  <w14:solidFill>
                    <w14:schemeClr w14:val="tx1"/>
                  </w14:solidFill>
                </w14:textFill>
              </w:rPr>
              <w:t>1</w:t>
            </w:r>
          </w:p>
        </w:tc>
        <w:tc>
          <w:tcPr>
            <w:tcW w:w="2865" w:type="dxa"/>
            <w:tcBorders>
              <w:top w:val="single" w:color="auto" w:sz="4" w:space="0"/>
              <w:left w:val="nil"/>
              <w:bottom w:val="single" w:color="auto" w:sz="4" w:space="0"/>
              <w:right w:val="single" w:color="auto" w:sz="4" w:space="0"/>
            </w:tcBorders>
            <w:vAlign w:val="center"/>
          </w:tcPr>
          <w:p>
            <w:pPr>
              <w:widowControl/>
              <w:spacing w:line="560" w:lineRule="exact"/>
              <w:jc w:val="center"/>
              <w:textAlignment w:val="center"/>
              <w:rPr>
                <w:rFonts w:hint="eastAsia" w:ascii="宋体" w:hAnsi="宋体" w:eastAsia="宋体" w:cs="宋体"/>
                <w:color w:val="000000" w:themeColor="text1"/>
                <w:szCs w:val="21"/>
                <w:highlight w:val="none"/>
                <w:lang w:eastAsia="zh-CN" w:bidi="ar"/>
                <w14:textFill>
                  <w14:solidFill>
                    <w14:schemeClr w14:val="tx1"/>
                  </w14:solidFill>
                </w14:textFill>
              </w:rPr>
            </w:pPr>
            <w:r>
              <w:rPr>
                <w:rFonts w:hint="eastAsia" w:ascii="宋体" w:hAnsi="宋体" w:cs="宋体"/>
                <w:color w:val="000000" w:themeColor="text1"/>
                <w:szCs w:val="21"/>
                <w:highlight w:val="none"/>
                <w:lang w:eastAsia="zh-CN" w:bidi="ar"/>
                <w14:textFill>
                  <w14:solidFill>
                    <w14:schemeClr w14:val="tx1"/>
                  </w14:solidFill>
                </w14:textFill>
              </w:rPr>
              <w:t>贺州市城东体育综合体及周边基础配套设施（一期）PPP项目</w:t>
            </w:r>
          </w:p>
        </w:tc>
        <w:tc>
          <w:tcPr>
            <w:tcW w:w="2099" w:type="dxa"/>
            <w:tcBorders>
              <w:top w:val="single" w:color="auto" w:sz="4" w:space="0"/>
              <w:left w:val="nil"/>
              <w:bottom w:val="single" w:color="auto" w:sz="4" w:space="0"/>
              <w:right w:val="single" w:color="auto" w:sz="4" w:space="0"/>
            </w:tcBorders>
            <w:vAlign w:val="center"/>
          </w:tcPr>
          <w:p>
            <w:pPr>
              <w:spacing w:line="360" w:lineRule="auto"/>
              <w:ind w:firstLine="420" w:firstLineChars="200"/>
              <w:jc w:val="center"/>
              <w:rPr>
                <w:rFonts w:ascii="宋体" w:hAnsi="宋体" w:cs="宋体"/>
                <w:color w:val="000000" w:themeColor="text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 %</w:t>
            </w:r>
          </w:p>
        </w:tc>
        <w:tc>
          <w:tcPr>
            <w:tcW w:w="1891" w:type="dxa"/>
            <w:tcBorders>
              <w:top w:val="single" w:color="auto" w:sz="4" w:space="0"/>
              <w:left w:val="nil"/>
              <w:bottom w:val="single" w:color="auto" w:sz="4" w:space="0"/>
              <w:right w:val="single" w:color="auto" w:sz="4" w:space="0"/>
            </w:tcBorders>
            <w:vAlign w:val="center"/>
          </w:tcPr>
          <w:p>
            <w:pPr>
              <w:spacing w:line="360" w:lineRule="auto"/>
              <w:ind w:firstLine="420" w:firstLineChars="200"/>
              <w:jc w:val="center"/>
              <w:rPr>
                <w:rFonts w:hint="eastAsia" w:ascii="宋体" w:hAnsi="宋体" w:eastAsia="宋体" w:cs="宋体"/>
                <w:color w:val="000000" w:themeColor="text1"/>
                <w:highlight w:val="none"/>
                <w:lang w:eastAsia="zh-CN"/>
                <w14:textFill>
                  <w14:solidFill>
                    <w14:schemeClr w14:val="tx1"/>
                  </w14:solidFill>
                </w14:textFill>
              </w:rPr>
            </w:pPr>
            <w:r>
              <w:rPr>
                <w:rFonts w:ascii="宋体" w:hAnsi="宋体" w:cs="宋体"/>
                <w:color w:val="000000" w:themeColor="text1"/>
                <w:highlight w:val="none"/>
                <w:lang w:bidi="ar"/>
                <w14:textFill>
                  <w14:solidFill>
                    <w14:schemeClr w14:val="tx1"/>
                  </w14:solidFill>
                </w14:textFill>
              </w:rPr>
              <w:t>%</w:t>
            </w:r>
          </w:p>
        </w:tc>
        <w:tc>
          <w:tcPr>
            <w:tcW w:w="1079" w:type="dxa"/>
            <w:tcBorders>
              <w:top w:val="single" w:color="auto" w:sz="4" w:space="0"/>
              <w:left w:val="nil"/>
              <w:bottom w:val="single" w:color="auto" w:sz="4" w:space="0"/>
              <w:right w:val="single" w:color="auto" w:sz="4" w:space="0"/>
            </w:tcBorders>
            <w:vAlign w:val="center"/>
          </w:tcPr>
          <w:p>
            <w:pPr>
              <w:spacing w:line="360" w:lineRule="auto"/>
              <w:rPr>
                <w:rFonts w:ascii="宋体" w:hAnsi="宋体" w:cs="宋体"/>
                <w:color w:val="000000" w:themeColor="text1"/>
                <w:highlight w:val="none"/>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1" w:hRule="atLeast"/>
          <w:jc w:val="center"/>
        </w:trPr>
        <w:tc>
          <w:tcPr>
            <w:tcW w:w="8347"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spacing w:line="4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有效报价：</w:t>
            </w:r>
            <w:r>
              <w:rPr>
                <w:rFonts w:hint="eastAsia" w:ascii="宋体" w:hAnsi="宋体"/>
                <w:color w:val="000000" w:themeColor="text1"/>
                <w:szCs w:val="21"/>
                <w:highlight w:val="none"/>
                <w:lang w:val="en-US" w:eastAsia="zh-CN"/>
                <w14:textFill>
                  <w14:solidFill>
                    <w14:schemeClr w14:val="tx1"/>
                  </w14:solidFill>
                </w14:textFill>
              </w:rPr>
              <w:t>建安工程费下浮率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年投资收益率</w:t>
            </w:r>
            <w:r>
              <w:rPr>
                <w:rFonts w:hint="eastAsia" w:ascii="宋体" w:hAnsi="宋体" w:cs="Times New Roman"/>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lang w:eastAsia="zh-CN"/>
                <w14:textFill>
                  <w14:solidFill>
                    <w14:schemeClr w14:val="tx1"/>
                  </w14:solidFill>
                </w14:textFill>
              </w:rPr>
              <w:t>%。</w:t>
            </w:r>
          </w:p>
        </w:tc>
      </w:tr>
    </w:tbl>
    <w:p>
      <w:pPr>
        <w:spacing w:line="300" w:lineRule="auto"/>
        <w:rPr>
          <w:color w:val="000000" w:themeColor="text1"/>
          <w:szCs w:val="21"/>
          <w:highlight w:val="none"/>
          <w14:textFill>
            <w14:solidFill>
              <w14:schemeClr w14:val="tx1"/>
            </w14:solidFill>
          </w14:textFill>
        </w:rPr>
      </w:pPr>
    </w:p>
    <w:p>
      <w:pPr>
        <w:snapToGrid w:val="0"/>
        <w:spacing w:line="360" w:lineRule="auto"/>
        <w:ind w:left="6510" w:leftChars="1400" w:hanging="3570" w:hangingChars="1700"/>
        <w:rPr>
          <w:rFonts w:hint="eastAsia" w:ascii="宋体" w:hAnsi="宋体" w:eastAsia="宋体" w:cs="宋体"/>
          <w:color w:val="000000" w:themeColor="text1"/>
          <w:kern w:val="0"/>
          <w:sz w:val="21"/>
          <w:szCs w:val="21"/>
          <w:highlight w:val="none"/>
          <w:lang w:val="zh-CN"/>
          <w14:textFill>
            <w14:solidFill>
              <w14:schemeClr w14:val="tx1"/>
            </w14:solidFill>
          </w14:textFill>
        </w:rPr>
      </w:pPr>
    </w:p>
    <w:p>
      <w:pPr>
        <w:snapToGrid w:val="0"/>
        <w:spacing w:line="360" w:lineRule="auto"/>
        <w:ind w:left="6510" w:leftChars="1400" w:hanging="3570" w:hangingChars="1700"/>
        <w:rPr>
          <w:rFonts w:hint="eastAsia" w:ascii="宋体" w:hAnsi="宋体" w:eastAsia="宋体" w:cs="宋体"/>
          <w:color w:val="000000" w:themeColor="text1"/>
          <w:kern w:val="0"/>
          <w:sz w:val="21"/>
          <w:szCs w:val="21"/>
          <w:highlight w:val="none"/>
          <w:lang w:val="zh-CN"/>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 xml:space="preserve">法定代表人或者委托代理人（签字）:_______ </w:t>
      </w:r>
    </w:p>
    <w:p>
      <w:pPr>
        <w:snapToGrid w:val="0"/>
        <w:spacing w:line="360" w:lineRule="auto"/>
        <w:ind w:left="6510" w:leftChars="1400" w:hanging="3570" w:hangingChars="17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投标人名称：</w:t>
      </w:r>
      <w:r>
        <w:rPr>
          <w:rFonts w:hint="eastAsia" w:ascii="宋体" w:hAnsi="宋体" w:cs="宋体"/>
          <w:color w:val="000000" w:themeColor="text1"/>
          <w:kern w:val="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zh-CN"/>
          <w14:textFill>
            <w14:solidFill>
              <w14:schemeClr w14:val="tx1"/>
            </w14:solidFill>
          </w14:textFill>
        </w:rPr>
        <w:t>(加盖电子签章)</w:t>
      </w:r>
    </w:p>
    <w:p>
      <w:pPr>
        <w:snapToGrid w:val="0"/>
        <w:spacing w:line="360" w:lineRule="auto"/>
        <w:ind w:firstLine="4515" w:firstLineChars="2150"/>
        <w:rPr>
          <w:rFonts w:hint="eastAsia" w:ascii="宋体" w:hAnsi="宋体" w:eastAsia="宋体" w:cs="宋体"/>
          <w:color w:val="000000" w:themeColor="text1"/>
          <w:kern w:val="0"/>
          <w:sz w:val="21"/>
          <w:szCs w:val="21"/>
          <w:highlight w:val="none"/>
          <w:lang w:val="zh-CN"/>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日期</w:t>
      </w:r>
      <w:r>
        <w:rPr>
          <w:rFonts w:hint="eastAsia" w:ascii="宋体" w:hAnsi="宋体" w:eastAsia="宋体" w:cs="宋体"/>
          <w:color w:val="000000" w:themeColor="text1"/>
          <w:kern w:val="0"/>
          <w:sz w:val="21"/>
          <w:szCs w:val="21"/>
          <w:highlight w:val="none"/>
          <w14:textFill>
            <w14:solidFill>
              <w14:schemeClr w14:val="tx1"/>
            </w14:solidFill>
          </w14:textFill>
        </w:rPr>
        <w:t xml:space="preserve">：  年  </w:t>
      </w:r>
      <w:r>
        <w:rPr>
          <w:rFonts w:hint="eastAsia" w:ascii="宋体" w:hAnsi="宋体" w:eastAsia="宋体" w:cs="宋体"/>
          <w:color w:val="000000" w:themeColor="text1"/>
          <w:kern w:val="0"/>
          <w:sz w:val="21"/>
          <w:szCs w:val="21"/>
          <w:highlight w:val="none"/>
          <w:lang w:val="zh-CN"/>
          <w14:textFill>
            <w14:solidFill>
              <w14:schemeClr w14:val="tx1"/>
            </w14:solidFill>
          </w14:textFill>
        </w:rPr>
        <w:t>月</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zh-CN"/>
          <w14:textFill>
            <w14:solidFill>
              <w14:schemeClr w14:val="tx1"/>
            </w14:solidFill>
          </w14:textFill>
        </w:rPr>
        <w:t>日</w:t>
      </w:r>
    </w:p>
    <w:p>
      <w:pPr>
        <w:pStyle w:val="15"/>
        <w:spacing w:line="300" w:lineRule="auto"/>
        <w:rPr>
          <w:rFonts w:hAnsi="宋体" w:cs="宋体"/>
          <w:b/>
          <w:bCs/>
          <w:color w:val="000000" w:themeColor="text1"/>
          <w:highlight w:val="none"/>
          <w14:textFill>
            <w14:solidFill>
              <w14:schemeClr w14:val="tx1"/>
            </w14:solidFill>
          </w14:textFill>
        </w:rPr>
      </w:pPr>
    </w:p>
    <w:p>
      <w:pPr>
        <w:snapToGrid w:val="0"/>
        <w:spacing w:line="360" w:lineRule="auto"/>
        <w:rPr>
          <w:rFonts w:cs="宋体"/>
          <w:color w:val="000000" w:themeColor="text1"/>
          <w:highlight w:val="none"/>
          <w14:textFill>
            <w14:solidFill>
              <w14:schemeClr w14:val="tx1"/>
            </w14:solidFill>
          </w14:textFill>
        </w:rPr>
      </w:pPr>
    </w:p>
    <w:p>
      <w:pPr>
        <w:snapToGri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p>
    <w:p>
      <w:pPr>
        <w:snapToGrid w:val="0"/>
        <w:spacing w:line="360" w:lineRule="auto"/>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1.投标人的开标一览表必须加盖投标人电子签章并由法定代表人或者委托代理人签字，</w:t>
      </w:r>
      <w:r>
        <w:rPr>
          <w:rFonts w:hint="eastAsia" w:ascii="宋体" w:hAnsi="宋体" w:eastAsia="宋体" w:cs="宋体"/>
          <w:b/>
          <w:color w:val="000000" w:themeColor="text1"/>
          <w:sz w:val="21"/>
          <w:szCs w:val="21"/>
          <w:highlight w:val="none"/>
          <w14:textFill>
            <w14:solidFill>
              <w14:schemeClr w14:val="tx1"/>
            </w14:solidFill>
          </w14:textFill>
        </w:rPr>
        <w:t>否则其投标作无效标处理</w:t>
      </w:r>
      <w:r>
        <w:rPr>
          <w:rFonts w:hint="eastAsia" w:ascii="宋体" w:hAnsi="宋体" w:eastAsia="宋体" w:cs="宋体"/>
          <w:color w:val="000000" w:themeColor="text1"/>
          <w:sz w:val="21"/>
          <w:szCs w:val="21"/>
          <w:highlight w:val="none"/>
          <w14:textFill>
            <w14:solidFill>
              <w14:schemeClr w14:val="tx1"/>
            </w14:solidFill>
          </w14:textFill>
        </w:rPr>
        <w:t>。</w:t>
      </w:r>
    </w:p>
    <w:p>
      <w:pPr>
        <w:snapToGrid w:val="0"/>
        <w:spacing w:line="360" w:lineRule="auto"/>
        <w:ind w:firstLine="420" w:firstLineChars="200"/>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报价一经涂改，应在涂改处加盖电子签章或者由法定代表人或者委托代理人签字</w:t>
      </w:r>
      <w:r>
        <w:rPr>
          <w:rFonts w:hint="eastAsia" w:ascii="宋体" w:hAnsi="宋体" w:eastAsia="宋体" w:cs="宋体"/>
          <w:b/>
          <w:color w:val="000000" w:themeColor="text1"/>
          <w:sz w:val="21"/>
          <w:szCs w:val="21"/>
          <w:highlight w:val="none"/>
          <w14:textFill>
            <w14:solidFill>
              <w14:schemeClr w14:val="tx1"/>
            </w14:solidFill>
          </w14:textFill>
        </w:rPr>
        <w:t>，否则其投标作无效标处理。</w:t>
      </w:r>
    </w:p>
    <w:p>
      <w:pPr>
        <w:pStyle w:val="19"/>
        <w:rPr>
          <w:rFonts w:hint="default" w:eastAsia="宋体"/>
          <w:color w:val="000000" w:themeColor="text1"/>
          <w:highlight w:val="none"/>
          <w:lang w:val="en-US" w:eastAsia="zh-CN"/>
          <w14:textFill>
            <w14:solidFill>
              <w14:schemeClr w14:val="tx1"/>
            </w14:solidFill>
          </w14:textFill>
        </w:rPr>
      </w:pPr>
    </w:p>
    <w:p>
      <w:pPr>
        <w:spacing w:line="300" w:lineRule="auto"/>
        <w:rPr>
          <w:rFonts w:hint="eastAsia" w:ascii="宋体" w:hAnsi="宋体" w:eastAsia="宋体" w:cs="宋体"/>
          <w:color w:val="000000" w:themeColor="text1"/>
          <w:sz w:val="21"/>
          <w:szCs w:val="21"/>
          <w:highlight w:val="none"/>
          <w14:textFill>
            <w14:solidFill>
              <w14:schemeClr w14:val="tx1"/>
            </w14:solidFill>
          </w14:textFill>
        </w:rPr>
      </w:pPr>
    </w:p>
    <w:p>
      <w:pPr>
        <w:rPr>
          <w:rFonts w:hint="eastAsia"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br w:type="page"/>
      </w:r>
    </w:p>
    <w:bookmarkEnd w:id="266"/>
    <w:bookmarkEnd w:id="267"/>
    <w:p>
      <w:pPr>
        <w:rPr>
          <w:rFonts w:hint="eastAsia"/>
          <w:b/>
          <w:color w:val="000000" w:themeColor="text1"/>
          <w:sz w:val="28"/>
          <w:szCs w:val="28"/>
          <w:highlight w:val="none"/>
          <w14:textFill>
            <w14:solidFill>
              <w14:schemeClr w14:val="tx1"/>
            </w14:solidFill>
          </w14:textFill>
        </w:rPr>
      </w:pPr>
      <w:r>
        <w:rPr>
          <w:rFonts w:hint="eastAsia"/>
          <w:b/>
          <w:color w:val="000000" w:themeColor="text1"/>
          <w:sz w:val="28"/>
          <w:szCs w:val="28"/>
          <w:highlight w:val="none"/>
          <w:lang w:eastAsia="zh-CN"/>
          <w14:textFill>
            <w14:solidFill>
              <w14:schemeClr w14:val="tx1"/>
            </w14:solidFill>
          </w14:textFill>
        </w:rPr>
        <w:t>二</w:t>
      </w:r>
      <w:r>
        <w:rPr>
          <w:rFonts w:hint="eastAsia"/>
          <w:b/>
          <w:color w:val="000000" w:themeColor="text1"/>
          <w:sz w:val="28"/>
          <w:szCs w:val="28"/>
          <w:highlight w:val="none"/>
          <w14:textFill>
            <w14:solidFill>
              <w14:schemeClr w14:val="tx1"/>
            </w14:solidFill>
          </w14:textFill>
        </w:rPr>
        <w:t>、商务文件格式</w:t>
      </w:r>
    </w:p>
    <w:p>
      <w:pPr>
        <w:snapToGrid w:val="0"/>
        <w:spacing w:before="120" w:beforeLines="50" w:after="50" w:line="360" w:lineRule="auto"/>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1.商务文件封面格式： </w:t>
      </w:r>
    </w:p>
    <w:p>
      <w:pPr>
        <w:snapToGrid w:val="0"/>
        <w:spacing w:before="120" w:beforeLines="50" w:after="50"/>
        <w:jc w:val="center"/>
        <w:rPr>
          <w:rFonts w:hint="eastAsia" w:ascii="宋体" w:hAnsi="宋体"/>
          <w:color w:val="000000" w:themeColor="text1"/>
          <w:sz w:val="24"/>
          <w:highlight w:val="none"/>
          <w14:textFill>
            <w14:solidFill>
              <w14:schemeClr w14:val="tx1"/>
            </w14:solidFill>
          </w14:textFill>
        </w:rPr>
      </w:pPr>
      <w:r>
        <w:rPr>
          <w:rFonts w:hint="eastAsia" w:ascii="宋体" w:hAnsi="宋体" w:eastAsia="Arial Unicode MS"/>
          <w:bCs/>
          <w:color w:val="000000" w:themeColor="text1"/>
          <w:sz w:val="48"/>
          <w:szCs w:val="48"/>
          <w:highlight w:val="none"/>
          <w14:textFill>
            <w14:solidFill>
              <w14:schemeClr w14:val="tx1"/>
            </w14:solidFill>
          </w14:textFill>
        </w:rPr>
        <w:t>电子投标文件</w:t>
      </w:r>
    </w:p>
    <w:p>
      <w:pPr>
        <w:snapToGrid w:val="0"/>
        <w:spacing w:before="120" w:beforeLines="50" w:after="50"/>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p>
    <w:p>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p>
    <w:p>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p>
    <w:p>
      <w:pPr>
        <w:snapToGrid w:val="0"/>
        <w:spacing w:before="120"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w:t>
      </w: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p>
    <w:p>
      <w:pPr>
        <w:snapToGrid w:val="0"/>
        <w:spacing w:before="120"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pPr>
        <w:snapToGrid w:val="0"/>
        <w:spacing w:before="120"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pPr>
        <w:pStyle w:val="3"/>
        <w:snapToGrid w:val="0"/>
        <w:spacing w:before="50" w:after="50"/>
        <w:ind w:firstLine="540" w:firstLineChars="225"/>
        <w:rPr>
          <w:rFonts w:hint="eastAsia" w:ascii="宋体" w:hAnsi="宋体" w:eastAsia="宋体"/>
          <w:bCs/>
          <w:color w:val="000000" w:themeColor="text1"/>
          <w:sz w:val="24"/>
          <w:szCs w:val="24"/>
          <w:highlight w:val="none"/>
          <w:lang w:eastAsia="zh-CN"/>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r>
        <w:rPr>
          <w:rFonts w:hint="eastAsia" w:ascii="宋体" w:hAnsi="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zh-CN"/>
          <w14:textFill>
            <w14:solidFill>
              <w14:schemeClr w14:val="tx1"/>
            </w14:solidFill>
          </w14:textFill>
        </w:rPr>
        <w:t>加盖电子签章</w:t>
      </w:r>
      <w:r>
        <w:rPr>
          <w:rFonts w:hint="eastAsia" w:ascii="宋体" w:hAnsi="宋体"/>
          <w:bCs/>
          <w:color w:val="000000" w:themeColor="text1"/>
          <w:sz w:val="24"/>
          <w:szCs w:val="24"/>
          <w:highlight w:val="none"/>
          <w:lang w:eastAsia="zh-CN"/>
          <w14:textFill>
            <w14:solidFill>
              <w14:schemeClr w14:val="tx1"/>
            </w14:solidFill>
          </w14:textFill>
        </w:rPr>
        <w:t>）</w:t>
      </w:r>
      <w:r>
        <w:rPr>
          <w:rFonts w:hint="eastAsia" w:ascii="宋体" w:hAnsi="宋体"/>
          <w:bCs/>
          <w:color w:val="000000" w:themeColor="text1"/>
          <w:sz w:val="24"/>
          <w:szCs w:val="24"/>
          <w:highlight w:val="none"/>
          <w14:textFill>
            <w14:solidFill>
              <w14:schemeClr w14:val="tx1"/>
            </w14:solidFill>
          </w14:textFill>
        </w:rPr>
        <w:t>：</w:t>
      </w:r>
    </w:p>
    <w:p>
      <w:pPr>
        <w:pStyle w:val="3"/>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pPr>
        <w:pStyle w:val="3"/>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pPr>
        <w:snapToGrid w:val="0"/>
        <w:spacing w:before="120" w:beforeLines="50" w:after="50"/>
        <w:ind w:firstLine="64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napToGrid w:val="0"/>
        <w:spacing w:before="120" w:beforeLines="50" w:after="50"/>
        <w:rPr>
          <w:rFonts w:ascii="宋体" w:hAnsi="宋体"/>
          <w:color w:val="000000" w:themeColor="text1"/>
          <w:sz w:val="24"/>
          <w:szCs w:val="20"/>
          <w:highlight w:val="none"/>
          <w14:textFill>
            <w14:solidFill>
              <w14:schemeClr w14:val="tx1"/>
            </w14:solidFill>
          </w14:textFill>
        </w:rPr>
      </w:pPr>
      <w:r>
        <w:rPr>
          <w:rFonts w:ascii="宋体" w:hAnsi="宋体"/>
          <w:color w:val="000000" w:themeColor="text1"/>
          <w:sz w:val="24"/>
          <w:szCs w:val="20"/>
          <w:highlight w:val="none"/>
          <w14:textFill>
            <w14:solidFill>
              <w14:schemeClr w14:val="tx1"/>
            </w14:solidFill>
          </w14:textFill>
        </w:rPr>
        <w:t xml:space="preserve"> </w:t>
      </w:r>
    </w:p>
    <w:p>
      <w:pPr>
        <w:spacing w:line="360" w:lineRule="auto"/>
        <w:ind w:right="420"/>
        <w:rPr>
          <w:rFonts w:ascii="宋体" w:hAnsi="宋体"/>
          <w:color w:val="000000" w:themeColor="text1"/>
          <w:sz w:val="24"/>
          <w:szCs w:val="20"/>
          <w:highlight w:val="none"/>
          <w14:textFill>
            <w14:solidFill>
              <w14:schemeClr w14:val="tx1"/>
            </w14:solidFill>
          </w14:textFill>
        </w:rPr>
      </w:pPr>
    </w:p>
    <w:p>
      <w:pPr>
        <w:spacing w:line="360" w:lineRule="auto"/>
        <w:ind w:right="420"/>
        <w:rPr>
          <w:rFonts w:ascii="宋体" w:hAnsi="宋体"/>
          <w:color w:val="000000" w:themeColor="text1"/>
          <w:sz w:val="24"/>
          <w:szCs w:val="20"/>
          <w:highlight w:val="none"/>
          <w14:textFill>
            <w14:solidFill>
              <w14:schemeClr w14:val="tx1"/>
            </w14:solidFill>
          </w14:textFill>
        </w:rPr>
      </w:pPr>
    </w:p>
    <w:p>
      <w:pPr>
        <w:spacing w:line="360" w:lineRule="auto"/>
        <w:ind w:right="420"/>
        <w:rPr>
          <w:rFonts w:ascii="宋体" w:hAnsi="宋体"/>
          <w:color w:val="000000" w:themeColor="text1"/>
          <w:sz w:val="24"/>
          <w:szCs w:val="20"/>
          <w:highlight w:val="none"/>
          <w14:textFill>
            <w14:solidFill>
              <w14:schemeClr w14:val="tx1"/>
            </w14:solidFill>
          </w14:textFill>
        </w:rPr>
      </w:pPr>
    </w:p>
    <w:p>
      <w:pPr>
        <w:spacing w:line="360" w:lineRule="auto"/>
        <w:ind w:right="420"/>
        <w:rPr>
          <w:rFonts w:ascii="宋体" w:hAnsi="宋体"/>
          <w:color w:val="000000" w:themeColor="text1"/>
          <w:sz w:val="24"/>
          <w:szCs w:val="20"/>
          <w:highlight w:val="none"/>
          <w14:textFill>
            <w14:solidFill>
              <w14:schemeClr w14:val="tx1"/>
            </w14:solidFill>
          </w14:textFill>
        </w:rPr>
      </w:pPr>
    </w:p>
    <w:p>
      <w:pPr>
        <w:spacing w:line="360" w:lineRule="auto"/>
        <w:ind w:right="420"/>
        <w:rPr>
          <w:rFonts w:ascii="仿宋_GB2312" w:hAnsi="仿宋" w:eastAsia="仿宋_GB2312" w:cs="仿宋_GB2312"/>
          <w:b/>
          <w:color w:val="000000" w:themeColor="text1"/>
          <w:kern w:val="0"/>
          <w:sz w:val="36"/>
          <w:szCs w:val="36"/>
          <w:highlight w:val="none"/>
          <w14:textFill>
            <w14:solidFill>
              <w14:schemeClr w14:val="tx1"/>
            </w14:solidFill>
          </w14:textFill>
        </w:rPr>
      </w:pPr>
      <w:r>
        <w:rPr>
          <w:rFonts w:ascii="仿宋_GB2312" w:hAnsi="仿宋" w:eastAsia="仿宋_GB2312" w:cs="仿宋_GB2312"/>
          <w:b/>
          <w:color w:val="000000" w:themeColor="text1"/>
          <w:kern w:val="0"/>
          <w:sz w:val="36"/>
          <w:szCs w:val="36"/>
          <w:highlight w:val="none"/>
          <w14:textFill>
            <w14:solidFill>
              <w14:schemeClr w14:val="tx1"/>
            </w14:solidFill>
          </w14:textFill>
        </w:rPr>
        <w:t xml:space="preserve"> </w:t>
      </w:r>
    </w:p>
    <w:p>
      <w:pPr>
        <w:rPr>
          <w:rFonts w:ascii="仿宋_GB2312" w:hAnsi="仿宋" w:eastAsia="仿宋_GB2312" w:cs="仿宋_GB2312"/>
          <w:b/>
          <w:color w:val="000000" w:themeColor="text1"/>
          <w:kern w:val="0"/>
          <w:sz w:val="24"/>
          <w:highlight w:val="none"/>
          <w14:textFill>
            <w14:solidFill>
              <w14:schemeClr w14:val="tx1"/>
            </w14:solidFill>
          </w14:textFill>
        </w:rPr>
      </w:pPr>
    </w:p>
    <w:p>
      <w:pPr>
        <w:pStyle w:val="3"/>
        <w:rPr>
          <w:rFonts w:ascii="仿宋_GB2312" w:hAnsi="仿宋" w:eastAsia="仿宋_GB2312" w:cs="仿宋_GB2312"/>
          <w:b/>
          <w:color w:val="000000" w:themeColor="text1"/>
          <w:kern w:val="0"/>
          <w:sz w:val="24"/>
          <w:highlight w:val="none"/>
          <w14:textFill>
            <w14:solidFill>
              <w14:schemeClr w14:val="tx1"/>
            </w14:solidFill>
          </w14:textFill>
        </w:rPr>
      </w:pPr>
    </w:p>
    <w:p>
      <w:pPr>
        <w:rPr>
          <w:rFonts w:ascii="仿宋_GB2312" w:hAnsi="仿宋" w:eastAsia="仿宋_GB2312" w:cs="仿宋_GB2312"/>
          <w:b/>
          <w:color w:val="000000" w:themeColor="text1"/>
          <w:kern w:val="0"/>
          <w:sz w:val="24"/>
          <w:highlight w:val="none"/>
          <w14:textFill>
            <w14:solidFill>
              <w14:schemeClr w14:val="tx1"/>
            </w14:solidFill>
          </w14:textFill>
        </w:rPr>
      </w:pPr>
    </w:p>
    <w:p>
      <w:pPr>
        <w:pStyle w:val="3"/>
        <w:rPr>
          <w:color w:val="000000" w:themeColor="text1"/>
          <w:highlight w:val="none"/>
          <w14:textFill>
            <w14:solidFill>
              <w14:schemeClr w14:val="tx1"/>
            </w14:solidFill>
          </w14:textFill>
        </w:rPr>
      </w:pPr>
    </w:p>
    <w:p>
      <w:pPr>
        <w:rPr>
          <w:rFonts w:hint="eastAsia" w:ascii="宋体" w:hAnsi="宋体"/>
          <w:b/>
          <w:bCs/>
          <w:color w:val="000000" w:themeColor="text1"/>
          <w:sz w:val="28"/>
          <w:szCs w:val="28"/>
          <w:highlight w:val="none"/>
          <w14:textFill>
            <w14:solidFill>
              <w14:schemeClr w14:val="tx1"/>
            </w14:solidFill>
          </w14:textFill>
        </w:rPr>
      </w:pPr>
      <w:bookmarkStart w:id="276" w:name="_Toc29022"/>
      <w:bookmarkStart w:id="277" w:name="_Toc11156"/>
      <w:bookmarkStart w:id="278" w:name="_Toc18972"/>
      <w:r>
        <w:rPr>
          <w:rFonts w:hint="eastAsia" w:ascii="宋体" w:hAnsi="宋体"/>
          <w:b/>
          <w:bCs/>
          <w:color w:val="000000" w:themeColor="text1"/>
          <w:sz w:val="28"/>
          <w:szCs w:val="28"/>
          <w:highlight w:val="none"/>
          <w14:textFill>
            <w14:solidFill>
              <w14:schemeClr w14:val="tx1"/>
            </w14:solidFill>
          </w14:textFill>
        </w:rPr>
        <w:br w:type="page"/>
      </w:r>
    </w:p>
    <w:p>
      <w:pPr>
        <w:snapToGrid w:val="0"/>
        <w:spacing w:line="360" w:lineRule="auto"/>
        <w:jc w:val="left"/>
        <w:rPr>
          <w:rFonts w:hint="eastAsia"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2.商务文件目录</w:t>
      </w:r>
    </w:p>
    <w:p>
      <w:pPr>
        <w:snapToGrid w:val="0"/>
        <w:spacing w:before="50" w:after="120" w:afterLines="50" w:line="360" w:lineRule="auto"/>
        <w:jc w:val="left"/>
        <w:rPr>
          <w:rFonts w:ascii="微软雅黑" w:hAnsi="微软雅黑" w:eastAsia="微软雅黑"/>
          <w:b/>
          <w:bCs/>
          <w:color w:val="000000" w:themeColor="text1"/>
          <w:sz w:val="24"/>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根据招标文件规定及投标人提供的材料自行编写目录。</w:t>
      </w:r>
    </w:p>
    <w:p>
      <w:pPr>
        <w:rPr>
          <w:rStyle w:val="46"/>
          <w:rFonts w:hint="eastAsia" w:ascii="宋体" w:hAnsi="宋体" w:eastAsia="宋体" w:cs="宋体"/>
          <w:color w:val="000000" w:themeColor="text1"/>
          <w:highlight w:val="none"/>
          <w14:textFill>
            <w14:solidFill>
              <w14:schemeClr w14:val="tx1"/>
            </w14:solidFill>
          </w14:textFill>
        </w:rPr>
      </w:pPr>
      <w:r>
        <w:rPr>
          <w:rStyle w:val="46"/>
          <w:rFonts w:hint="eastAsia" w:ascii="宋体" w:hAnsi="宋体" w:eastAsia="宋体" w:cs="宋体"/>
          <w:color w:val="000000" w:themeColor="text1"/>
          <w:highlight w:val="none"/>
          <w14:textFill>
            <w14:solidFill>
              <w14:schemeClr w14:val="tx1"/>
            </w14:solidFill>
          </w14:textFill>
        </w:rPr>
        <w:br w:type="page"/>
      </w:r>
    </w:p>
    <w:p>
      <w:pPr>
        <w:pStyle w:val="5"/>
        <w:jc w:val="center"/>
        <w:rPr>
          <w:rStyle w:val="46"/>
          <w:rFonts w:hint="eastAsia" w:ascii="宋体" w:hAnsi="宋体" w:eastAsia="宋体" w:cs="宋体"/>
          <w:color w:val="000000" w:themeColor="text1"/>
          <w:highlight w:val="none"/>
          <w14:textFill>
            <w14:solidFill>
              <w14:schemeClr w14:val="tx1"/>
            </w14:solidFill>
          </w14:textFill>
        </w:rPr>
      </w:pPr>
    </w:p>
    <w:p>
      <w:pPr>
        <w:pStyle w:val="5"/>
        <w:jc w:val="center"/>
        <w:rPr>
          <w:rStyle w:val="46"/>
          <w:rFonts w:hint="eastAsia" w:ascii="宋体" w:hAnsi="宋体" w:eastAsia="宋体" w:cs="宋体"/>
          <w:color w:val="000000" w:themeColor="text1"/>
          <w:highlight w:val="none"/>
          <w:lang w:eastAsia="zh-CN"/>
          <w14:textFill>
            <w14:solidFill>
              <w14:schemeClr w14:val="tx1"/>
            </w14:solidFill>
          </w14:textFill>
        </w:rPr>
      </w:pPr>
      <w:bookmarkStart w:id="279" w:name="_Toc20923"/>
      <w:bookmarkStart w:id="280" w:name="_Toc13441"/>
      <w:bookmarkStart w:id="281" w:name="_Toc6632"/>
      <w:bookmarkStart w:id="282" w:name="_Toc7088"/>
      <w:bookmarkStart w:id="283" w:name="_Toc9092"/>
      <w:r>
        <w:rPr>
          <w:rStyle w:val="46"/>
          <w:rFonts w:hint="eastAsia" w:ascii="宋体" w:hAnsi="宋体" w:eastAsia="宋体" w:cs="宋体"/>
          <w:color w:val="000000" w:themeColor="text1"/>
          <w:highlight w:val="none"/>
          <w:lang w:val="en-US" w:eastAsia="zh-CN"/>
          <w14:textFill>
            <w14:solidFill>
              <w14:schemeClr w14:val="tx1"/>
            </w14:solidFill>
          </w14:textFill>
        </w:rPr>
        <w:t>3.</w:t>
      </w:r>
      <w:r>
        <w:rPr>
          <w:rStyle w:val="46"/>
          <w:rFonts w:hint="eastAsia" w:ascii="宋体" w:hAnsi="宋体" w:eastAsia="宋体" w:cs="宋体"/>
          <w:color w:val="000000" w:themeColor="text1"/>
          <w:highlight w:val="none"/>
          <w14:textFill>
            <w14:solidFill>
              <w14:schemeClr w14:val="tx1"/>
            </w14:solidFill>
          </w14:textFill>
        </w:rPr>
        <w:t>资格条件确认函</w:t>
      </w:r>
      <w:bookmarkEnd w:id="276"/>
      <w:bookmarkEnd w:id="277"/>
      <w:bookmarkEnd w:id="278"/>
      <w:r>
        <w:rPr>
          <w:rStyle w:val="46"/>
          <w:rFonts w:hint="eastAsia" w:ascii="宋体" w:hAnsi="宋体" w:eastAsia="宋体" w:cs="宋体"/>
          <w:color w:val="000000" w:themeColor="text1"/>
          <w:highlight w:val="none"/>
          <w:lang w:eastAsia="zh-CN"/>
          <w14:textFill>
            <w14:solidFill>
              <w14:schemeClr w14:val="tx1"/>
            </w14:solidFill>
          </w14:textFill>
        </w:rPr>
        <w:t>（格式）</w:t>
      </w:r>
      <w:bookmarkEnd w:id="279"/>
      <w:bookmarkEnd w:id="280"/>
      <w:bookmarkEnd w:id="281"/>
      <w:bookmarkEnd w:id="282"/>
      <w:bookmarkEnd w:id="283"/>
    </w:p>
    <w:p>
      <w:pPr>
        <w:spacing w:before="60"/>
        <w:jc w:val="left"/>
        <w:rPr>
          <w:rStyle w:val="46"/>
          <w:rFonts w:ascii="宋体" w:hAnsi="宋体" w:cs="宋体"/>
          <w:b/>
          <w:color w:val="000000" w:themeColor="text1"/>
          <w:sz w:val="28"/>
          <w:szCs w:val="28"/>
          <w:highlight w:val="none"/>
          <w14:textFill>
            <w14:solidFill>
              <w14:schemeClr w14:val="tx1"/>
            </w14:solidFill>
          </w14:textFill>
        </w:rPr>
      </w:pPr>
    </w:p>
    <w:p>
      <w:pPr>
        <w:pStyle w:val="50"/>
        <w:ind w:firstLine="0" w:firstLineChars="0"/>
        <w:rPr>
          <w:rStyle w:val="46"/>
          <w:rFonts w:ascii="宋体" w:hAnsi="宋体" w:cs="宋体"/>
          <w:color w:val="000000" w:themeColor="text1"/>
          <w:sz w:val="24"/>
          <w:szCs w:val="24"/>
          <w:highlight w:val="none"/>
          <w14:textFill>
            <w14:solidFill>
              <w14:schemeClr w14:val="tx1"/>
            </w14:solidFill>
          </w14:textFill>
        </w:rPr>
      </w:pPr>
      <w:r>
        <w:rPr>
          <w:rStyle w:val="46"/>
          <w:rFonts w:hint="eastAsia" w:ascii="宋体" w:hAnsi="宋体" w:cs="宋体"/>
          <w:color w:val="000000" w:themeColor="text1"/>
          <w:sz w:val="24"/>
          <w:szCs w:val="24"/>
          <w:highlight w:val="none"/>
          <w:lang w:eastAsia="zh-CN"/>
          <w14:textFill>
            <w14:solidFill>
              <w14:schemeClr w14:val="tx1"/>
            </w14:solidFill>
          </w14:textFill>
        </w:rPr>
        <w:t>贺州市八步区文化广电和旅游局</w:t>
      </w:r>
      <w:r>
        <w:rPr>
          <w:rStyle w:val="46"/>
          <w:rFonts w:hint="eastAsia" w:ascii="宋体" w:hAnsi="宋体" w:cs="宋体"/>
          <w:color w:val="000000" w:themeColor="text1"/>
          <w:sz w:val="24"/>
          <w:szCs w:val="24"/>
          <w:highlight w:val="none"/>
          <w14:textFill>
            <w14:solidFill>
              <w14:schemeClr w14:val="tx1"/>
            </w14:solidFill>
          </w14:textFill>
        </w:rPr>
        <w:t>：</w:t>
      </w:r>
    </w:p>
    <w:p>
      <w:pPr>
        <w:pStyle w:val="50"/>
        <w:ind w:firstLine="566" w:firstLineChars="236"/>
        <w:rPr>
          <w:rStyle w:val="46"/>
          <w:rFonts w:ascii="宋体" w:hAnsi="宋体" w:cs="宋体"/>
          <w:color w:val="000000" w:themeColor="text1"/>
          <w:sz w:val="24"/>
          <w:szCs w:val="24"/>
          <w:highlight w:val="none"/>
          <w14:textFill>
            <w14:solidFill>
              <w14:schemeClr w14:val="tx1"/>
            </w14:solidFill>
          </w14:textFill>
        </w:rPr>
      </w:pPr>
      <w:r>
        <w:rPr>
          <w:rStyle w:val="46"/>
          <w:rFonts w:hint="eastAsia" w:ascii="宋体" w:hAnsi="宋体" w:cs="宋体"/>
          <w:color w:val="000000" w:themeColor="text1"/>
          <w:sz w:val="24"/>
          <w:szCs w:val="24"/>
          <w:highlight w:val="none"/>
          <w14:textFill>
            <w14:solidFill>
              <w14:schemeClr w14:val="tx1"/>
            </w14:solidFill>
          </w14:textFill>
        </w:rPr>
        <w:t>自资格预审通过之日至投标截止日，我公司仍完全符合资格预审公告规定的所有资格条件要求，特此确认！如有不实，我公司愿意承担由此引起的一切后果。（如果投标人资格条件相比较资格预审通过之时有任何变化的，请在此一并说明）</w:t>
      </w:r>
    </w:p>
    <w:p>
      <w:pPr>
        <w:pStyle w:val="50"/>
        <w:ind w:firstLineChars="0"/>
        <w:rPr>
          <w:rStyle w:val="46"/>
          <w:rFonts w:ascii="宋体" w:hAnsi="宋体" w:cs="宋体"/>
          <w:color w:val="000000" w:themeColor="text1"/>
          <w:sz w:val="24"/>
          <w:szCs w:val="24"/>
          <w:highlight w:val="none"/>
          <w14:textFill>
            <w14:solidFill>
              <w14:schemeClr w14:val="tx1"/>
            </w14:solidFill>
          </w14:textFill>
        </w:rPr>
      </w:pPr>
    </w:p>
    <w:p>
      <w:pPr>
        <w:snapToGrid w:val="0"/>
        <w:spacing w:line="360" w:lineRule="auto"/>
        <w:ind w:left="7020" w:leftChars="1400" w:hanging="4080" w:hangingChars="1700"/>
        <w:rPr>
          <w:rFonts w:hint="eastAsia" w:ascii="宋体" w:hAnsi="宋体" w:eastAsia="宋体" w:cs="宋体"/>
          <w:color w:val="000000" w:themeColor="text1"/>
          <w:kern w:val="0"/>
          <w:sz w:val="21"/>
          <w:szCs w:val="21"/>
          <w:highlight w:val="none"/>
          <w:lang w:val="zh-CN"/>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zh-CN"/>
          <w14:textFill>
            <w14:solidFill>
              <w14:schemeClr w14:val="tx1"/>
            </w14:solidFill>
          </w14:textFill>
        </w:rPr>
        <w:t xml:space="preserve">法定代表人或者委托代理人（签字）:_______ </w:t>
      </w:r>
    </w:p>
    <w:p>
      <w:pPr>
        <w:snapToGrid w:val="0"/>
        <w:spacing w:line="360" w:lineRule="auto"/>
        <w:ind w:firstLine="4200" w:firstLineChars="20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投标人名称：</w:t>
      </w:r>
      <w:r>
        <w:rPr>
          <w:rFonts w:hint="eastAsia" w:ascii="宋体" w:hAnsi="宋体" w:cs="宋体"/>
          <w:color w:val="000000" w:themeColor="text1"/>
          <w:kern w:val="0"/>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zh-CN"/>
          <w14:textFill>
            <w14:solidFill>
              <w14:schemeClr w14:val="tx1"/>
            </w14:solidFill>
          </w14:textFill>
        </w:rPr>
        <w:t>(加盖电子签章)</w:t>
      </w:r>
    </w:p>
    <w:p>
      <w:pPr>
        <w:snapToGrid w:val="0"/>
        <w:spacing w:line="360" w:lineRule="auto"/>
        <w:ind w:firstLine="5145" w:firstLineChars="2450"/>
        <w:rPr>
          <w:rFonts w:hint="eastAsia" w:ascii="宋体" w:hAnsi="宋体" w:eastAsia="宋体" w:cs="宋体"/>
          <w:color w:val="000000" w:themeColor="text1"/>
          <w:kern w:val="0"/>
          <w:sz w:val="21"/>
          <w:szCs w:val="21"/>
          <w:highlight w:val="none"/>
          <w:lang w:val="zh-CN"/>
          <w14:textFill>
            <w14:solidFill>
              <w14:schemeClr w14:val="tx1"/>
            </w14:solidFill>
          </w14:textFill>
        </w:rPr>
      </w:pPr>
      <w:r>
        <w:rPr>
          <w:rFonts w:hint="eastAsia" w:ascii="宋体" w:hAnsi="宋体" w:eastAsia="宋体" w:cs="宋体"/>
          <w:color w:val="000000" w:themeColor="text1"/>
          <w:kern w:val="0"/>
          <w:sz w:val="21"/>
          <w:szCs w:val="21"/>
          <w:highlight w:val="none"/>
          <w:lang w:val="zh-CN"/>
          <w14:textFill>
            <w14:solidFill>
              <w14:schemeClr w14:val="tx1"/>
            </w14:solidFill>
          </w14:textFill>
        </w:rPr>
        <w:t>日期</w:t>
      </w:r>
      <w:r>
        <w:rPr>
          <w:rFonts w:hint="eastAsia" w:ascii="宋体" w:hAnsi="宋体" w:eastAsia="宋体" w:cs="宋体"/>
          <w:color w:val="000000" w:themeColor="text1"/>
          <w:kern w:val="0"/>
          <w:sz w:val="21"/>
          <w:szCs w:val="21"/>
          <w:highlight w:val="none"/>
          <w14:textFill>
            <w14:solidFill>
              <w14:schemeClr w14:val="tx1"/>
            </w14:solidFill>
          </w14:textFill>
        </w:rPr>
        <w:t xml:space="preserve">：  年  </w:t>
      </w:r>
      <w:r>
        <w:rPr>
          <w:rFonts w:hint="eastAsia" w:ascii="宋体" w:hAnsi="宋体" w:eastAsia="宋体" w:cs="宋体"/>
          <w:color w:val="000000" w:themeColor="text1"/>
          <w:kern w:val="0"/>
          <w:sz w:val="21"/>
          <w:szCs w:val="21"/>
          <w:highlight w:val="none"/>
          <w:lang w:val="zh-CN"/>
          <w14:textFill>
            <w14:solidFill>
              <w14:schemeClr w14:val="tx1"/>
            </w14:solidFill>
          </w14:textFill>
        </w:rPr>
        <w:t>月</w:t>
      </w:r>
      <w:r>
        <w:rPr>
          <w:rFonts w:hint="eastAsia" w:ascii="宋体" w:hAnsi="宋体" w:eastAsia="宋体" w:cs="宋体"/>
          <w:color w:val="000000" w:themeColor="text1"/>
          <w:kern w:val="0"/>
          <w:sz w:val="21"/>
          <w:szCs w:val="21"/>
          <w:highlight w:val="none"/>
          <w14:textFill>
            <w14:solidFill>
              <w14:schemeClr w14:val="tx1"/>
            </w14:solidFill>
          </w14:textFill>
        </w:rPr>
        <w:t xml:space="preserve">   </w:t>
      </w:r>
      <w:r>
        <w:rPr>
          <w:rFonts w:hint="eastAsia" w:ascii="宋体" w:hAnsi="宋体" w:eastAsia="宋体" w:cs="宋体"/>
          <w:color w:val="000000" w:themeColor="text1"/>
          <w:kern w:val="0"/>
          <w:sz w:val="21"/>
          <w:szCs w:val="21"/>
          <w:highlight w:val="none"/>
          <w:lang w:val="zh-CN"/>
          <w14:textFill>
            <w14:solidFill>
              <w14:schemeClr w14:val="tx1"/>
            </w14:solidFill>
          </w14:textFill>
        </w:rPr>
        <w:t>日</w:t>
      </w:r>
    </w:p>
    <w:p>
      <w:pPr>
        <w:snapToGrid w:val="0"/>
        <w:spacing w:line="36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pPr>
    </w:p>
    <w:p>
      <w:pPr>
        <w:jc w:val="left"/>
        <w:rPr>
          <w:rFonts w:hAnsi="宋体"/>
          <w:b/>
          <w:color w:val="000000" w:themeColor="text1"/>
          <w:sz w:val="24"/>
          <w:highlight w:val="none"/>
          <w14:textFill>
            <w14:solidFill>
              <w14:schemeClr w14:val="tx1"/>
            </w14:solidFill>
          </w14:textFill>
        </w:rPr>
      </w:pPr>
    </w:p>
    <w:p>
      <w:pPr>
        <w:rPr>
          <w:rFonts w:hint="eastAsia"/>
          <w:b/>
          <w:bCs/>
          <w:color w:val="000000" w:themeColor="text1"/>
          <w:sz w:val="30"/>
          <w:szCs w:val="30"/>
          <w:highlight w:val="none"/>
          <w:lang w:eastAsia="zh-CN"/>
          <w14:textFill>
            <w14:solidFill>
              <w14:schemeClr w14:val="tx1"/>
            </w14:solidFill>
          </w14:textFill>
        </w:rPr>
      </w:pPr>
      <w:r>
        <w:rPr>
          <w:rFonts w:hint="eastAsia"/>
          <w:b/>
          <w:bCs/>
          <w:color w:val="000000" w:themeColor="text1"/>
          <w:sz w:val="30"/>
          <w:szCs w:val="30"/>
          <w:highlight w:val="none"/>
          <w:lang w:eastAsia="zh-CN"/>
          <w14:textFill>
            <w14:solidFill>
              <w14:schemeClr w14:val="tx1"/>
            </w14:solidFill>
          </w14:textFill>
        </w:rPr>
        <w:br w:type="page"/>
      </w:r>
    </w:p>
    <w:p>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r>
        <w:rPr>
          <w:rFonts w:hint="eastAsia"/>
          <w:b/>
          <w:bCs/>
          <w:color w:val="000000" w:themeColor="text1"/>
          <w:sz w:val="30"/>
          <w:szCs w:val="30"/>
          <w:highlight w:val="none"/>
          <w:lang w:val="en-US" w:eastAsia="zh-CN"/>
          <w14:textFill>
            <w14:solidFill>
              <w14:schemeClr w14:val="tx1"/>
            </w14:solidFill>
          </w14:textFill>
        </w:rPr>
        <w:t>4.</w:t>
      </w:r>
      <w:r>
        <w:rPr>
          <w:rFonts w:hint="eastAsia" w:ascii="宋体" w:hAnsi="宋体"/>
          <w:b/>
          <w:color w:val="000000" w:themeColor="text1"/>
          <w:sz w:val="24"/>
          <w:highlight w:val="none"/>
          <w14:textFill>
            <w14:solidFill>
              <w14:schemeClr w14:val="tx1"/>
            </w14:solidFill>
          </w14:textFill>
        </w:rPr>
        <w:t>投标人参加本项目无围标串标行为的承诺</w:t>
      </w:r>
    </w:p>
    <w:p>
      <w:pPr>
        <w:snapToGrid w:val="0"/>
        <w:spacing w:before="120" w:beforeLines="50" w:after="50"/>
        <w:jc w:val="left"/>
        <w:rPr>
          <w:rFonts w:hint="eastAsia" w:ascii="宋体" w:hAnsi="宋体"/>
          <w:b/>
          <w:color w:val="000000" w:themeColor="text1"/>
          <w:sz w:val="24"/>
          <w:highlight w:val="none"/>
          <w14:textFill>
            <w14:solidFill>
              <w14:schemeClr w14:val="tx1"/>
            </w14:solidFill>
          </w14:textFill>
        </w:rPr>
      </w:pPr>
    </w:p>
    <w:p>
      <w:pPr>
        <w:snapToGrid w:val="0"/>
        <w:spacing w:before="120" w:beforeLines="50" w:after="50"/>
        <w:ind w:left="420"/>
        <w:jc w:val="center"/>
        <w:rPr>
          <w:rFonts w:hint="eastAsia" w:ascii="宋体" w:hAnsi="宋体"/>
          <w:b/>
          <w:color w:val="000000" w:themeColor="text1"/>
          <w:spacing w:val="-17"/>
          <w:sz w:val="32"/>
          <w:szCs w:val="32"/>
          <w:highlight w:val="none"/>
          <w14:textFill>
            <w14:solidFill>
              <w14:schemeClr w14:val="tx1"/>
            </w14:solidFill>
          </w14:textFill>
        </w:rPr>
      </w:pPr>
      <w:r>
        <w:rPr>
          <w:rFonts w:hint="eastAsia" w:ascii="Arial Unicode MS" w:hAnsi="Arial Unicode MS" w:eastAsia="Arial Unicode MS" w:cs="Arial Unicode MS"/>
          <w:bCs/>
          <w:color w:val="000000" w:themeColor="text1"/>
          <w:spacing w:val="-17"/>
          <w:sz w:val="44"/>
          <w:szCs w:val="44"/>
          <w:highlight w:val="none"/>
          <w14:textFill>
            <w14:solidFill>
              <w14:schemeClr w14:val="tx1"/>
            </w14:solidFill>
          </w14:textFill>
        </w:rPr>
        <w:t>投标人参加本项目无围标串标行为的承诺函</w:t>
      </w:r>
    </w:p>
    <w:p>
      <w:pPr>
        <w:snapToGrid w:val="0"/>
        <w:spacing w:before="120" w:beforeLines="50" w:after="50"/>
        <w:rPr>
          <w:rFonts w:ascii="宋体" w:hAnsi="宋体"/>
          <w:b/>
          <w:color w:val="000000" w:themeColor="text1"/>
          <w:sz w:val="24"/>
          <w:highlight w:val="none"/>
          <w14:textFill>
            <w14:solidFill>
              <w14:schemeClr w14:val="tx1"/>
            </w14:solidFill>
          </w14:textFill>
        </w:rPr>
      </w:pPr>
    </w:p>
    <w:p>
      <w:pPr>
        <w:spacing w:line="400" w:lineRule="exact"/>
        <w:contextualSpacing/>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一、我方承诺无下列相互串通投标的情形：</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1.不同投标人的投标文件由同一单位或者个人编制； </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2.不同投标人委托同一单位或者个人办理投标事宜；</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3.不同的投标人的投标文件载明的项目管理员为同一个人；</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4.不同投标人的投标文件异常一致或者投标报价呈规律性差异；</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5.不同投标人的投标文件相互混装；</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6.不同投标人的投标保证金从同一单位或者个人账户转出。</w:t>
      </w:r>
    </w:p>
    <w:p>
      <w:pPr>
        <w:spacing w:line="400" w:lineRule="exact"/>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二、我方承诺无下列恶意串通的情形：</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1.投标人直接或者间接从采购人或者采购代理机构处获得其他投标人的相关信息并修改其投标文件或者响应文件；</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2.投标人按照采购人或者采购代理机构的授意撤换、修改投标文件或者响应文件；</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3.投标人之间协商报价、技术方案等投标文件或者响应文件的实质性内容；</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4.属于同一集团、协会、商会等组织成员的投标人按照该组织要求协同参加政府采购活动；</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6.投标人之间商定部分投标人放弃参加政府采购活动或者放弃中标；</w:t>
      </w:r>
    </w:p>
    <w:p>
      <w:pPr>
        <w:spacing w:line="400" w:lineRule="exact"/>
        <w:ind w:firstLine="470" w:firstLineChars="196"/>
        <w:contextualSpacing/>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7.投标人与采购人或者采购代理机构之间、投标人相互之间，为谋求特定投标人中标或者排斥其他投标人的其他串通行为。</w:t>
      </w:r>
    </w:p>
    <w:p>
      <w:pPr>
        <w:spacing w:line="400" w:lineRule="exact"/>
        <w:ind w:firstLine="472" w:firstLineChars="196"/>
        <w:contextualSpacing/>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以上情形一经核查属实，我方愿意承担一切后果，并不再寻求任何旨在减轻或者免除法律责任的辩解。</w:t>
      </w:r>
    </w:p>
    <w:p>
      <w:pPr>
        <w:pStyle w:val="15"/>
        <w:spacing w:line="400" w:lineRule="exact"/>
        <w:ind w:firstLine="6840" w:firstLineChars="2850"/>
        <w:contextualSpacing/>
        <w:rPr>
          <w:rFonts w:hint="eastAsia" w:hAnsi="宋体"/>
          <w:color w:val="000000" w:themeColor="text1"/>
          <w:sz w:val="24"/>
          <w:szCs w:val="24"/>
          <w:highlight w:val="none"/>
          <w14:textFill>
            <w14:solidFill>
              <w14:schemeClr w14:val="tx1"/>
            </w14:solidFill>
          </w14:textFill>
        </w:rPr>
      </w:pPr>
    </w:p>
    <w:p>
      <w:pPr>
        <w:pStyle w:val="15"/>
        <w:spacing w:line="400" w:lineRule="exact"/>
        <w:contextualSpacing/>
        <w:jc w:val="center"/>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 xml:space="preserve"> </w:t>
      </w:r>
      <w:r>
        <w:rPr>
          <w:rFonts w:hAnsi="宋体"/>
          <w:color w:val="000000" w:themeColor="text1"/>
          <w:sz w:val="24"/>
          <w:szCs w:val="24"/>
          <w:highlight w:val="none"/>
          <w14:textFill>
            <w14:solidFill>
              <w14:schemeClr w14:val="tx1"/>
            </w14:solidFill>
          </w14:textFill>
        </w:rPr>
        <w:t xml:space="preserve">                                   </w:t>
      </w:r>
      <w:r>
        <w:rPr>
          <w:rFonts w:hint="eastAsia" w:hAnsi="宋体"/>
          <w:color w:val="000000" w:themeColor="text1"/>
          <w:sz w:val="24"/>
          <w:szCs w:val="24"/>
          <w:highlight w:val="none"/>
          <w14:textFill>
            <w14:solidFill>
              <w14:schemeClr w14:val="tx1"/>
            </w14:solidFill>
          </w14:textFill>
        </w:rPr>
        <w:t>投标人名称</w:t>
      </w:r>
      <w:r>
        <w:rPr>
          <w:rFonts w:hint="eastAsia" w:hAnsi="宋体"/>
          <w:color w:val="000000" w:themeColor="text1"/>
          <w:sz w:val="24"/>
          <w:szCs w:val="24"/>
          <w:highlight w:val="none"/>
          <w:u w:val="single"/>
          <w:lang w:val="en-US" w:eastAsia="zh-CN"/>
          <w14:textFill>
            <w14:solidFill>
              <w14:schemeClr w14:val="tx1"/>
            </w14:solidFill>
          </w14:textFill>
        </w:rPr>
        <w:t xml:space="preserve">         </w:t>
      </w:r>
      <w:r>
        <w:rPr>
          <w:rFonts w:hint="eastAsia" w:hAnsi="宋体"/>
          <w:color w:val="000000" w:themeColor="text1"/>
          <w:sz w:val="24"/>
          <w:szCs w:val="24"/>
          <w:highlight w:val="none"/>
          <w:u w:val="single"/>
          <w14:textFill>
            <w14:solidFill>
              <w14:schemeClr w14:val="tx1"/>
            </w14:solidFill>
          </w14:textFill>
        </w:rPr>
        <w:t>（</w:t>
      </w:r>
      <w:r>
        <w:rPr>
          <w:rFonts w:hint="eastAsia" w:hAnsi="宋体"/>
          <w:color w:val="000000" w:themeColor="text1"/>
          <w:sz w:val="24"/>
          <w:szCs w:val="24"/>
          <w:highlight w:val="none"/>
          <w:u w:val="single"/>
          <w:lang w:eastAsia="zh-CN"/>
          <w14:textFill>
            <w14:solidFill>
              <w14:schemeClr w14:val="tx1"/>
            </w14:solidFill>
          </w14:textFill>
        </w:rPr>
        <w:t>加盖</w:t>
      </w:r>
      <w:r>
        <w:rPr>
          <w:rFonts w:hint="eastAsia" w:hAnsi="宋体"/>
          <w:color w:val="000000" w:themeColor="text1"/>
          <w:sz w:val="24"/>
          <w:szCs w:val="24"/>
          <w:highlight w:val="none"/>
          <w:u w:val="single"/>
          <w14:textFill>
            <w14:solidFill>
              <w14:schemeClr w14:val="tx1"/>
            </w14:solidFill>
          </w14:textFill>
        </w:rPr>
        <w:t>电子签章）</w:t>
      </w:r>
    </w:p>
    <w:p>
      <w:pPr>
        <w:pStyle w:val="15"/>
        <w:spacing w:line="400" w:lineRule="exact"/>
        <w:contextualSpacing/>
        <w:rPr>
          <w:rFonts w:hint="eastAsia" w:hAnsi="宋体"/>
          <w:color w:val="000000" w:themeColor="text1"/>
          <w:sz w:val="24"/>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 xml:space="preserve">                                                </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年</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月</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日</w:t>
      </w:r>
    </w:p>
    <w:p>
      <w:pPr>
        <w:jc w:val="left"/>
        <w:rPr>
          <w:rFonts w:hint="eastAsia"/>
          <w:b/>
          <w:bCs/>
          <w:color w:val="000000" w:themeColor="text1"/>
          <w:sz w:val="30"/>
          <w:szCs w:val="30"/>
          <w:highlight w:val="none"/>
          <w14:textFill>
            <w14:solidFill>
              <w14:schemeClr w14:val="tx1"/>
            </w14:solidFill>
          </w14:textFill>
        </w:rPr>
      </w:pPr>
    </w:p>
    <w:p>
      <w:pP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br w:type="page"/>
      </w:r>
    </w:p>
    <w:p>
      <w:pPr>
        <w:jc w:val="center"/>
        <w:rPr>
          <w:rFonts w:hAnsi="宋体"/>
          <w:b/>
          <w:color w:val="000000" w:themeColor="text1"/>
          <w:sz w:val="24"/>
          <w:highlight w:val="none"/>
          <w14:textFill>
            <w14:solidFill>
              <w14:schemeClr w14:val="tx1"/>
            </w14:solidFill>
          </w14:textFill>
        </w:rPr>
      </w:pPr>
      <w:r>
        <w:rPr>
          <w:rFonts w:hint="eastAsia"/>
          <w:b/>
          <w:bCs/>
          <w:color w:val="000000" w:themeColor="text1"/>
          <w:sz w:val="30"/>
          <w:szCs w:val="30"/>
          <w:highlight w:val="none"/>
          <w:lang w:val="en-US" w:eastAsia="zh-CN"/>
          <w14:textFill>
            <w14:solidFill>
              <w14:schemeClr w14:val="tx1"/>
            </w14:solidFill>
          </w14:textFill>
        </w:rPr>
        <w:t>5.</w:t>
      </w:r>
      <w:r>
        <w:rPr>
          <w:rFonts w:hint="eastAsia"/>
          <w:b/>
          <w:bCs/>
          <w:color w:val="000000" w:themeColor="text1"/>
          <w:sz w:val="30"/>
          <w:szCs w:val="30"/>
          <w:highlight w:val="none"/>
          <w14:textFill>
            <w14:solidFill>
              <w14:schemeClr w14:val="tx1"/>
            </w14:solidFill>
          </w14:textFill>
        </w:rPr>
        <w:t>法定代表人身份证明</w:t>
      </w:r>
    </w:p>
    <w:p>
      <w:pPr>
        <w:spacing w:before="240" w:beforeLines="100" w:after="120" w:afterLines="50"/>
        <w:ind w:left="540"/>
        <w:jc w:val="center"/>
        <w:rPr>
          <w:rFonts w:ascii="宋体" w:hAnsi="Courier New"/>
          <w:b/>
          <w:color w:val="000000" w:themeColor="text1"/>
          <w:sz w:val="32"/>
          <w:szCs w:val="32"/>
          <w:highlight w:val="none"/>
          <w14:textFill>
            <w14:solidFill>
              <w14:schemeClr w14:val="tx1"/>
            </w14:solidFill>
          </w14:textFill>
        </w:rPr>
      </w:pPr>
    </w:p>
    <w:p>
      <w:pPr>
        <w:spacing w:before="240" w:beforeLines="100" w:after="120" w:afterLines="50"/>
        <w:ind w:left="540"/>
        <w:jc w:val="center"/>
        <w:rPr>
          <w:rFonts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标</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w:t>
      </w:r>
      <w:r>
        <w:rPr>
          <w:rFonts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址：</w:t>
      </w:r>
      <w:r>
        <w:rPr>
          <w:rFonts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名：</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别：</w:t>
      </w:r>
      <w:r>
        <w:rPr>
          <w:rFonts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龄：</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务：</w:t>
      </w:r>
      <w:r>
        <w:rPr>
          <w:rFonts w:ascii="宋体" w:hAnsi="宋体"/>
          <w:color w:val="000000" w:themeColor="text1"/>
          <w:sz w:val="24"/>
          <w:highlight w:val="none"/>
          <w:u w:val="single"/>
          <w14:textFill>
            <w14:solidFill>
              <w14:schemeClr w14:val="tx1"/>
            </w14:solidFill>
          </w14:textFill>
        </w:rPr>
        <w:t xml:space="preserve">                </w:t>
      </w:r>
    </w:p>
    <w:p>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color w:val="000000" w:themeColor="text1"/>
          <w:sz w:val="24"/>
          <w:highlight w:val="none"/>
          <w:u w:val="single"/>
          <w14:textFill>
            <w14:solidFill>
              <w14:schemeClr w14:val="tx1"/>
            </w14:solidFill>
          </w14:textFill>
        </w:rPr>
        <w:t xml:space="preserve">                                 </w:t>
      </w:r>
    </w:p>
    <w:p>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eastAsia="zh-CN"/>
          <w14:textFill>
            <w14:solidFill>
              <w14:schemeClr w14:val="tx1"/>
            </w14:solidFill>
          </w14:textFill>
        </w:rPr>
        <w:t>单位</w:t>
      </w:r>
      <w:r>
        <w:rPr>
          <w:rFonts w:ascii="宋体" w:hAnsi="宋体"/>
          <w:color w:val="000000" w:themeColor="text1"/>
          <w:sz w:val="24"/>
          <w:highlight w:val="none"/>
          <w:u w:val="single"/>
          <w14:textFill>
            <w14:solidFill>
              <w14:schemeClr w14:val="tx1"/>
            </w14:solidFill>
          </w14:textFill>
        </w:rPr>
        <w:t xml:space="preserve">名称）              </w:t>
      </w:r>
      <w:r>
        <w:rPr>
          <w:rFonts w:hint="eastAsia" w:ascii="宋体" w:hAnsi="宋体"/>
          <w:color w:val="000000" w:themeColor="text1"/>
          <w:sz w:val="24"/>
          <w:highlight w:val="none"/>
          <w14:textFill>
            <w14:solidFill>
              <w14:schemeClr w14:val="tx1"/>
            </w14:solidFill>
          </w14:textFill>
        </w:rPr>
        <w:t>的法定代表人。</w:t>
      </w:r>
    </w:p>
    <w:p>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pPr>
        <w:spacing w:line="500" w:lineRule="exact"/>
        <w:ind w:left="540"/>
        <w:rPr>
          <w:rFonts w:ascii="宋体" w:hAnsi="宋体"/>
          <w:color w:val="000000" w:themeColor="text1"/>
          <w:sz w:val="24"/>
          <w:highlight w:val="none"/>
          <w14:textFill>
            <w14:solidFill>
              <w14:schemeClr w14:val="tx1"/>
            </w14:solidFill>
          </w14:textFill>
        </w:rPr>
      </w:pPr>
    </w:p>
    <w:p>
      <w:pPr>
        <w:spacing w:line="500" w:lineRule="exact"/>
        <w:ind w:left="540"/>
        <w:rPr>
          <w:rFonts w:ascii="宋体" w:hAnsi="宋体"/>
          <w:color w:val="000000" w:themeColor="text1"/>
          <w:sz w:val="24"/>
          <w:highlight w:val="none"/>
          <w14:textFill>
            <w14:solidFill>
              <w14:schemeClr w14:val="tx1"/>
            </w14:solidFill>
          </w14:textFill>
        </w:rPr>
      </w:pPr>
    </w:p>
    <w:p>
      <w:pPr>
        <w:spacing w:line="500" w:lineRule="exact"/>
        <w:ind w:left="54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pPr>
        <w:spacing w:line="500" w:lineRule="exact"/>
        <w:ind w:left="540"/>
        <w:rPr>
          <w:rFonts w:ascii="宋体" w:hAnsi="宋体"/>
          <w:color w:val="000000" w:themeColor="text1"/>
          <w:sz w:val="24"/>
          <w:highlight w:val="none"/>
          <w14:textFill>
            <w14:solidFill>
              <w14:schemeClr w14:val="tx1"/>
            </w14:solidFill>
          </w14:textFill>
        </w:rPr>
      </w:pPr>
    </w:p>
    <w:p>
      <w:pPr>
        <w:snapToGrid w:val="0"/>
        <w:spacing w:line="360" w:lineRule="auto"/>
        <w:ind w:firstLine="4560" w:firstLineChars="190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单位名称</w:t>
      </w:r>
      <w:r>
        <w:rPr>
          <w:rFonts w:hint="eastAsia" w:ascii="宋体" w:hAnsi="宋体" w:eastAsia="宋体" w:cs="宋体"/>
          <w:color w:val="000000" w:themeColor="text1"/>
          <w:kern w:val="0"/>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(公章</w:t>
      </w:r>
      <w:r>
        <w:rPr>
          <w:rFonts w:hint="eastAsia" w:ascii="宋体" w:hAnsi="宋体" w:eastAsia="宋体" w:cs="宋体"/>
          <w:color w:val="000000" w:themeColor="text1"/>
          <w:kern w:val="0"/>
          <w:sz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highlight w:val="none"/>
          <w:lang w:val="zh-CN"/>
          <w14:textFill>
            <w14:solidFill>
              <w14:schemeClr w14:val="tx1"/>
            </w14:solidFill>
          </w14:textFill>
        </w:rPr>
        <w:t>电子签章)：</w:t>
      </w:r>
    </w:p>
    <w:p>
      <w:pPr>
        <w:snapToGrid w:val="0"/>
        <w:spacing w:line="360" w:lineRule="auto"/>
        <w:ind w:firstLine="5160" w:firstLineChars="2150"/>
        <w:rPr>
          <w:rFonts w:hint="eastAsia" w:ascii="宋体" w:hAnsi="宋体" w:eastAsia="宋体" w:cs="宋体"/>
          <w:color w:val="000000" w:themeColor="text1"/>
          <w:kern w:val="0"/>
          <w:sz w:val="24"/>
          <w:highlight w:val="none"/>
          <w:lang w:val="zh-CN"/>
          <w14:textFill>
            <w14:solidFill>
              <w14:schemeClr w14:val="tx1"/>
            </w14:solidFill>
          </w14:textFill>
        </w:rPr>
      </w:pPr>
      <w:r>
        <w:rPr>
          <w:rFonts w:hint="eastAsia" w:ascii="宋体" w:hAnsi="宋体" w:eastAsia="宋体" w:cs="宋体"/>
          <w:color w:val="000000" w:themeColor="text1"/>
          <w:kern w:val="0"/>
          <w:sz w:val="24"/>
          <w:highlight w:val="none"/>
          <w:lang w:val="zh-CN"/>
          <w14:textFill>
            <w14:solidFill>
              <w14:schemeClr w14:val="tx1"/>
            </w14:solidFill>
          </w14:textFill>
        </w:rPr>
        <w:t>日期</w:t>
      </w:r>
      <w:r>
        <w:rPr>
          <w:rFonts w:hint="eastAsia" w:ascii="宋体" w:hAnsi="宋体" w:eastAsia="宋体" w:cs="宋体"/>
          <w:color w:val="000000" w:themeColor="text1"/>
          <w:kern w:val="0"/>
          <w:sz w:val="24"/>
          <w:highlight w:val="none"/>
          <w14:textFill>
            <w14:solidFill>
              <w14:schemeClr w14:val="tx1"/>
            </w14:solidFill>
          </w14:textFill>
        </w:rPr>
        <w:t xml:space="preserve">：  年  </w:t>
      </w:r>
      <w:r>
        <w:rPr>
          <w:rFonts w:hint="eastAsia" w:ascii="宋体" w:hAnsi="宋体" w:eastAsia="宋体" w:cs="宋体"/>
          <w:color w:val="000000" w:themeColor="text1"/>
          <w:kern w:val="0"/>
          <w:sz w:val="24"/>
          <w:highlight w:val="none"/>
          <w:lang w:val="zh-CN"/>
          <w14:textFill>
            <w14:solidFill>
              <w14:schemeClr w14:val="tx1"/>
            </w14:solidFill>
          </w14:textFill>
        </w:rPr>
        <w:t>月</w:t>
      </w:r>
      <w:r>
        <w:rPr>
          <w:rFonts w:hint="eastAsia" w:ascii="宋体" w:hAnsi="宋体" w:eastAsia="宋体" w:cs="宋体"/>
          <w:color w:val="000000" w:themeColor="text1"/>
          <w:kern w:val="0"/>
          <w:sz w:val="24"/>
          <w:highlight w:val="none"/>
          <w14:textFill>
            <w14:solidFill>
              <w14:schemeClr w14:val="tx1"/>
            </w14:solidFill>
          </w14:textFill>
        </w:rPr>
        <w:t xml:space="preserve">   </w:t>
      </w:r>
      <w:r>
        <w:rPr>
          <w:rFonts w:hint="eastAsia" w:ascii="宋体" w:hAnsi="宋体" w:eastAsia="宋体" w:cs="宋体"/>
          <w:color w:val="000000" w:themeColor="text1"/>
          <w:kern w:val="0"/>
          <w:sz w:val="24"/>
          <w:highlight w:val="none"/>
          <w:lang w:val="zh-CN"/>
          <w14:textFill>
            <w14:solidFill>
              <w14:schemeClr w14:val="tx1"/>
            </w14:solidFill>
          </w14:textFill>
        </w:rPr>
        <w:t>日</w:t>
      </w:r>
    </w:p>
    <w:p>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pPr>
        <w:snapToGrid w:val="0"/>
        <w:spacing w:before="120" w:beforeLines="50" w:after="50"/>
        <w:ind w:firstLine="602" w:firstLineChars="250"/>
        <w:jc w:val="left"/>
        <w:rPr>
          <w:rFonts w:hint="eastAsia" w:ascii="宋体" w:hAnsi="宋体" w:eastAsia="宋体"/>
          <w:color w:val="000000" w:themeColor="text1"/>
          <w:sz w:val="24"/>
          <w:highlight w:val="none"/>
          <w:lang w:eastAsia="zh-CN"/>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注：若以联合体投标，联合体各方均需提供</w:t>
      </w:r>
      <w:r>
        <w:rPr>
          <w:rFonts w:hint="eastAsia" w:ascii="宋体" w:hAnsi="宋体"/>
          <w:b/>
          <w:bCs/>
          <w:color w:val="000000" w:themeColor="text1"/>
          <w:sz w:val="24"/>
          <w:highlight w:val="none"/>
          <w:lang w:eastAsia="zh-CN"/>
          <w14:textFill>
            <w14:solidFill>
              <w14:schemeClr w14:val="tx1"/>
            </w14:solidFill>
          </w14:textFill>
        </w:rPr>
        <w:t>。</w:t>
      </w:r>
    </w:p>
    <w:p>
      <w:pPr>
        <w:snapToGrid w:val="0"/>
        <w:spacing w:before="120" w:beforeLines="50" w:after="50"/>
        <w:ind w:firstLine="602" w:firstLineChars="250"/>
        <w:jc w:val="left"/>
        <w:rPr>
          <w:rFonts w:ascii="宋体" w:hAnsi="宋体"/>
          <w:b/>
          <w:color w:val="000000" w:themeColor="text1"/>
          <w:sz w:val="24"/>
          <w:szCs w:val="20"/>
          <w:highlight w:val="none"/>
          <w14:textFill>
            <w14:solidFill>
              <w14:schemeClr w14:val="tx1"/>
            </w14:solidFill>
          </w14:textFill>
        </w:rPr>
      </w:pPr>
    </w:p>
    <w:tbl>
      <w:tblPr>
        <w:tblStyle w:val="32"/>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w:t>
            </w:r>
            <w:r>
              <w:rPr>
                <w:rFonts w:hint="eastAsia" w:ascii="宋体"/>
                <w:b/>
                <w:color w:val="000000" w:themeColor="text1"/>
                <w:sz w:val="24"/>
                <w:highlight w:val="none"/>
                <w:lang w:eastAsia="zh-CN"/>
                <w14:textFill>
                  <w14:solidFill>
                    <w14:schemeClr w14:val="tx1"/>
                  </w14:solidFill>
                </w14:textFill>
              </w:rPr>
              <w:t>人</w:t>
            </w:r>
            <w:r>
              <w:rPr>
                <w:rFonts w:hint="eastAsia" w:ascii="宋体"/>
                <w:b/>
                <w:color w:val="000000" w:themeColor="text1"/>
                <w:sz w:val="24"/>
                <w:highlight w:val="none"/>
                <w14:textFill>
                  <w14:solidFill>
                    <w14:schemeClr w14:val="tx1"/>
                  </w14:solidFill>
                </w14:textFill>
              </w:rPr>
              <w:t>身份证复印件粘帖处（正、反面）</w:t>
            </w:r>
          </w:p>
        </w:tc>
      </w:tr>
    </w:tbl>
    <w:p>
      <w:pPr>
        <w:snapToGrid w:val="0"/>
        <w:spacing w:before="295" w:after="295" w:line="360" w:lineRule="auto"/>
        <w:jc w:val="center"/>
        <w:rPr>
          <w:rFonts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附件：</w:t>
      </w:r>
      <w:r>
        <w:rPr>
          <w:rFonts w:ascii="宋体" w:hAnsi="宋体"/>
          <w:b/>
          <w:color w:val="000000" w:themeColor="text1"/>
          <w:sz w:val="24"/>
          <w:szCs w:val="20"/>
          <w:highlight w:val="none"/>
          <w14:textFill>
            <w14:solidFill>
              <w14:schemeClr w14:val="tx1"/>
            </w14:solidFill>
          </w14:textFill>
        </w:rPr>
        <w:br w:type="page"/>
      </w:r>
      <w:r>
        <w:rPr>
          <w:rFonts w:hint="eastAsia"/>
          <w:b/>
          <w:bCs/>
          <w:color w:val="000000" w:themeColor="text1"/>
          <w:sz w:val="30"/>
          <w:szCs w:val="30"/>
          <w:highlight w:val="none"/>
          <w:lang w:val="en-US" w:eastAsia="zh-CN"/>
          <w14:textFill>
            <w14:solidFill>
              <w14:schemeClr w14:val="tx1"/>
            </w14:solidFill>
          </w14:textFill>
        </w:rPr>
        <w:t>6.</w:t>
      </w:r>
      <w:r>
        <w:rPr>
          <w:rFonts w:hint="eastAsia"/>
          <w:b/>
          <w:bCs/>
          <w:color w:val="000000" w:themeColor="text1"/>
          <w:sz w:val="30"/>
          <w:szCs w:val="30"/>
          <w:highlight w:val="none"/>
          <w14:textFill>
            <w14:solidFill>
              <w14:schemeClr w14:val="tx1"/>
            </w14:solidFill>
          </w14:textFill>
        </w:rPr>
        <w:t>授权委托书（如有委托时）</w:t>
      </w:r>
    </w:p>
    <w:p>
      <w:pPr>
        <w:snapToGrid w:val="0"/>
        <w:spacing w:before="120" w:beforeLines="50" w:after="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pPr>
        <w:snapToGrid w:val="0"/>
        <w:spacing w:before="120" w:beforeLines="50" w:after="50"/>
        <w:jc w:val="center"/>
        <w:rPr>
          <w:rFonts w:ascii="宋体" w:hAnsi="宋体"/>
          <w:b/>
          <w:color w:val="000000" w:themeColor="text1"/>
          <w:sz w:val="24"/>
          <w:highlight w:val="none"/>
          <w14:textFill>
            <w14:solidFill>
              <w14:schemeClr w14:val="tx1"/>
            </w14:solidFill>
          </w14:textFill>
        </w:rPr>
      </w:pPr>
    </w:p>
    <w:p>
      <w:pPr>
        <w:spacing w:line="440" w:lineRule="exact"/>
        <w:ind w:firstLine="420" w:firstLineChars="20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致：</w:t>
      </w:r>
      <w:r>
        <w:rPr>
          <w:color w:val="000000" w:themeColor="text1"/>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eastAsia="zh-CN"/>
          <w14:textFill>
            <w14:solidFill>
              <w14:schemeClr w14:val="tx1"/>
            </w14:solidFill>
          </w14:textFill>
        </w:rPr>
        <w:t>项目实施机构</w:t>
      </w:r>
      <w:r>
        <w:rPr>
          <w:rFonts w:hint="eastAsia"/>
          <w:color w:val="000000" w:themeColor="text1"/>
          <w:szCs w:val="20"/>
          <w:highlight w:val="none"/>
          <w14:textFill>
            <w14:solidFill>
              <w14:schemeClr w14:val="tx1"/>
            </w14:solidFill>
          </w14:textFill>
        </w:rPr>
        <w:t>）</w:t>
      </w:r>
    </w:p>
    <w:p>
      <w:pPr>
        <w:spacing w:line="440" w:lineRule="exact"/>
        <w:ind w:firstLine="420" w:firstLineChars="20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本人</w:t>
      </w:r>
      <w:r>
        <w:rPr>
          <w:color w:val="000000" w:themeColor="text1"/>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（姓名）系</w:t>
      </w:r>
      <w:r>
        <w:rPr>
          <w:color w:val="000000" w:themeColor="text1"/>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w:t>
      </w:r>
      <w:r>
        <w:rPr>
          <w:rFonts w:hint="eastAsia"/>
          <w:color w:val="000000" w:themeColor="text1"/>
          <w:szCs w:val="20"/>
          <w:highlight w:val="none"/>
          <w:lang w:eastAsia="zh-CN"/>
          <w14:textFill>
            <w14:solidFill>
              <w14:schemeClr w14:val="tx1"/>
            </w14:solidFill>
          </w14:textFill>
        </w:rPr>
        <w:t>独立投标人名称或联合体牵头人名称</w:t>
      </w:r>
      <w:r>
        <w:rPr>
          <w:rFonts w:hint="eastAsia"/>
          <w:color w:val="000000" w:themeColor="text1"/>
          <w:szCs w:val="20"/>
          <w:highlight w:val="none"/>
          <w14:textFill>
            <w14:solidFill>
              <w14:schemeClr w14:val="tx1"/>
            </w14:solidFill>
          </w14:textFill>
        </w:rPr>
        <w:t>）的法定代表人，现授权我单位在职正式员工</w:t>
      </w:r>
      <w:r>
        <w:rPr>
          <w:color w:val="000000" w:themeColor="text1"/>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（姓名和职务）为我方代理人。代理人根据授权，以我方名义签署、澄清、说明、补正、递交、撤回、修改贵方组织的</w:t>
      </w:r>
      <w:r>
        <w:rPr>
          <w:rFonts w:ascii="宋体" w:hAnsi="Courier New"/>
          <w:color w:val="000000" w:themeColor="text1"/>
          <w:szCs w:val="20"/>
          <w:highlight w:val="none"/>
          <w:u w:val="singl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项目（项目编号：</w:t>
      </w:r>
      <w:r>
        <w:rPr>
          <w:rFonts w:ascii="宋体" w:hAnsi="宋体"/>
          <w:color w:val="000000" w:themeColor="text1"/>
          <w:szCs w:val="20"/>
          <w:highlight w:val="none"/>
          <w:u w:val="single"/>
          <w14:textFill>
            <w14:solidFill>
              <w14:schemeClr w14:val="tx1"/>
            </w14:solidFill>
          </w14:textFill>
        </w:rPr>
        <w:t xml:space="preserve">             </w:t>
      </w:r>
      <w:r>
        <w:rPr>
          <w:rFonts w:hint="eastAsia" w:ascii="宋体" w:hAnsi="Courier New"/>
          <w:color w:val="000000" w:themeColor="text1"/>
          <w:szCs w:val="20"/>
          <w:highlight w:val="none"/>
          <w14:textFill>
            <w14:solidFill>
              <w14:schemeClr w14:val="tx1"/>
            </w14:solidFill>
          </w14:textFill>
        </w:rPr>
        <w:t>）</w:t>
      </w:r>
      <w:r>
        <w:rPr>
          <w:rFonts w:hint="eastAsia"/>
          <w:color w:val="000000" w:themeColor="text1"/>
          <w:szCs w:val="20"/>
          <w:highlight w:val="none"/>
          <w14:textFill>
            <w14:solidFill>
              <w14:schemeClr w14:val="tx1"/>
            </w14:solidFill>
          </w14:textFill>
        </w:rPr>
        <w:t>的投标文件、签订合同和处理一切有关事宜，其法律后果由我方承担。</w:t>
      </w:r>
    </w:p>
    <w:p>
      <w:pPr>
        <w:spacing w:line="440" w:lineRule="exact"/>
        <w:ind w:firstLine="420" w:firstLineChars="20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本授权书于</w:t>
      </w:r>
      <w:r>
        <w:rPr>
          <w:rFonts w:ascii="宋体" w:hAnsi="Courier New"/>
          <w:color w:val="000000" w:themeColor="text1"/>
          <w:spacing w:val="10"/>
          <w:sz w:val="24"/>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年</w:t>
      </w:r>
      <w:r>
        <w:rPr>
          <w:rFonts w:ascii="宋体" w:hAnsi="Courier New"/>
          <w:color w:val="000000" w:themeColor="text1"/>
          <w:spacing w:val="10"/>
          <w:sz w:val="24"/>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月</w:t>
      </w:r>
      <w:r>
        <w:rPr>
          <w:rFonts w:ascii="宋体" w:hAnsi="Courier New"/>
          <w:color w:val="000000" w:themeColor="text1"/>
          <w:spacing w:val="10"/>
          <w:sz w:val="24"/>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日签字生效，委托期限：</w:t>
      </w:r>
      <w:r>
        <w:rPr>
          <w:rFonts w:ascii="宋体" w:hAnsi="Courier New"/>
          <w:color w:val="000000" w:themeColor="text1"/>
          <w:spacing w:val="10"/>
          <w:sz w:val="24"/>
          <w:szCs w:val="20"/>
          <w:highlight w:val="none"/>
          <w:u w:val="single"/>
          <w14:textFill>
            <w14:solidFill>
              <w14:schemeClr w14:val="tx1"/>
            </w14:solidFill>
          </w14:textFill>
        </w:rPr>
        <w:t xml:space="preserve">    </w:t>
      </w:r>
      <w:r>
        <w:rPr>
          <w:rFonts w:hint="eastAsia"/>
          <w:color w:val="000000" w:themeColor="text1"/>
          <w:szCs w:val="20"/>
          <w:highlight w:val="none"/>
          <w14:textFill>
            <w14:solidFill>
              <w14:schemeClr w14:val="tx1"/>
            </w14:solidFill>
          </w14:textFill>
        </w:rPr>
        <w:t>。</w:t>
      </w:r>
    </w:p>
    <w:p>
      <w:pPr>
        <w:spacing w:line="360" w:lineRule="auto"/>
        <w:ind w:firstLine="42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代理人无转委托权。</w:t>
      </w:r>
    </w:p>
    <w:p>
      <w:pPr>
        <w:spacing w:line="360" w:lineRule="auto"/>
        <w:ind w:firstLine="420"/>
        <w:rPr>
          <w:color w:val="000000" w:themeColor="text1"/>
          <w:szCs w:val="20"/>
          <w:highlight w:val="none"/>
          <w14:textFill>
            <w14:solidFill>
              <w14:schemeClr w14:val="tx1"/>
            </w14:solidFill>
          </w14:textFill>
        </w:rPr>
      </w:pPr>
    </w:p>
    <w:p>
      <w:pPr>
        <w:spacing w:line="360" w:lineRule="auto"/>
        <w:ind w:firstLine="420"/>
        <w:rPr>
          <w:color w:val="000000" w:themeColor="text1"/>
          <w:szCs w:val="20"/>
          <w:highlight w:val="none"/>
          <w:u w:val="single"/>
          <w14:textFill>
            <w14:solidFill>
              <w14:schemeClr w14:val="tx1"/>
            </w14:solidFill>
          </w14:textFill>
        </w:rPr>
      </w:pPr>
      <w:r>
        <w:rPr>
          <w:rFonts w:hint="eastAsia"/>
          <w:color w:val="000000" w:themeColor="text1"/>
          <w:szCs w:val="20"/>
          <w:highlight w:val="none"/>
          <w14:textFill>
            <w14:solidFill>
              <w14:schemeClr w14:val="tx1"/>
            </w14:solidFill>
          </w14:textFill>
        </w:rPr>
        <w:t>投标人</w:t>
      </w:r>
      <w:r>
        <w:rPr>
          <w:rFonts w:hint="eastAsia"/>
          <w:color w:val="000000" w:themeColor="text1"/>
          <w:szCs w:val="20"/>
          <w:highlight w:val="none"/>
          <w:u w:val="none"/>
          <w:lang w:eastAsia="zh-CN"/>
          <w14:textFill>
            <w14:solidFill>
              <w14:schemeClr w14:val="tx1"/>
            </w14:solidFill>
          </w14:textFill>
        </w:rPr>
        <w:t>名称</w:t>
      </w:r>
      <w:r>
        <w:rPr>
          <w:rFonts w:hint="eastAsia"/>
          <w:color w:val="000000" w:themeColor="text1"/>
          <w:szCs w:val="20"/>
          <w:highlight w:val="none"/>
          <w:u w:val="none"/>
          <w14:textFill>
            <w14:solidFill>
              <w14:schemeClr w14:val="tx1"/>
            </w14:solidFill>
          </w14:textFill>
        </w:rPr>
        <w:t>（</w:t>
      </w:r>
      <w:r>
        <w:rPr>
          <w:rFonts w:hint="eastAsia" w:ascii="宋体" w:hAnsi="宋体" w:eastAsia="宋体" w:cs="宋体"/>
          <w:color w:val="000000" w:themeColor="text1"/>
          <w:kern w:val="0"/>
          <w:sz w:val="21"/>
          <w:szCs w:val="21"/>
          <w:highlight w:val="none"/>
          <w:lang w:val="zh-CN"/>
          <w14:textFill>
            <w14:solidFill>
              <w14:schemeClr w14:val="tx1"/>
            </w14:solidFill>
          </w14:textFill>
        </w:rPr>
        <w:t>加盖电子签章</w:t>
      </w:r>
      <w:r>
        <w:rPr>
          <w:rFonts w:hint="eastAsia"/>
          <w:color w:val="000000" w:themeColor="text1"/>
          <w:szCs w:val="20"/>
          <w:highlight w:val="none"/>
          <w14:textFill>
            <w14:solidFill>
              <w14:schemeClr w14:val="tx1"/>
            </w14:solidFill>
          </w14:textFill>
        </w:rPr>
        <w:t>）：</w:t>
      </w:r>
      <w:r>
        <w:rPr>
          <w:color w:val="000000" w:themeColor="text1"/>
          <w:szCs w:val="20"/>
          <w:highlight w:val="none"/>
          <w:u w:val="single"/>
          <w14:textFill>
            <w14:solidFill>
              <w14:schemeClr w14:val="tx1"/>
            </w14:solidFill>
          </w14:textFill>
        </w:rPr>
        <w:t xml:space="preserve">                                    </w:t>
      </w:r>
    </w:p>
    <w:p>
      <w:pPr>
        <w:spacing w:line="360" w:lineRule="auto"/>
        <w:ind w:firstLine="420"/>
        <w:rPr>
          <w:color w:val="000000" w:themeColor="text1"/>
          <w:szCs w:val="20"/>
          <w:highlight w:val="none"/>
          <w:u w:val="single"/>
          <w14:textFill>
            <w14:solidFill>
              <w14:schemeClr w14:val="tx1"/>
            </w14:solidFill>
          </w14:textFill>
        </w:rPr>
      </w:pPr>
      <w:r>
        <w:rPr>
          <w:rFonts w:hint="eastAsia"/>
          <w:color w:val="000000" w:themeColor="text1"/>
          <w:szCs w:val="20"/>
          <w:highlight w:val="none"/>
          <w14:textFill>
            <w14:solidFill>
              <w14:schemeClr w14:val="tx1"/>
            </w14:solidFill>
          </w14:textFill>
        </w:rPr>
        <w:t>法定代表人（</w:t>
      </w:r>
      <w:r>
        <w:rPr>
          <w:rFonts w:hint="eastAsia"/>
          <w:color w:val="000000" w:themeColor="text1"/>
          <w:szCs w:val="20"/>
          <w:highlight w:val="none"/>
          <w:lang w:eastAsia="zh-CN"/>
          <w14:textFill>
            <w14:solidFill>
              <w14:schemeClr w14:val="tx1"/>
            </w14:solidFill>
          </w14:textFill>
        </w:rPr>
        <w:t>亲笔</w:t>
      </w:r>
      <w:r>
        <w:rPr>
          <w:rFonts w:hint="eastAsia"/>
          <w:color w:val="000000" w:themeColor="text1"/>
          <w:szCs w:val="20"/>
          <w:highlight w:val="none"/>
          <w14:textFill>
            <w14:solidFill>
              <w14:schemeClr w14:val="tx1"/>
            </w14:solidFill>
          </w14:textFill>
        </w:rPr>
        <w:t>签字</w:t>
      </w:r>
      <w:r>
        <w:rPr>
          <w:rFonts w:hint="eastAsia"/>
          <w:color w:val="000000" w:themeColor="text1"/>
          <w:szCs w:val="20"/>
          <w:highlight w:val="none"/>
          <w:lang w:eastAsia="zh-CN"/>
          <w14:textFill>
            <w14:solidFill>
              <w14:schemeClr w14:val="tx1"/>
            </w14:solidFill>
          </w14:textFill>
        </w:rPr>
        <w:t>）</w:t>
      </w:r>
      <w:r>
        <w:rPr>
          <w:rFonts w:hint="eastAsia"/>
          <w:color w:val="000000" w:themeColor="text1"/>
          <w:szCs w:val="20"/>
          <w:highlight w:val="none"/>
          <w14:textFill>
            <w14:solidFill>
              <w14:schemeClr w14:val="tx1"/>
            </w14:solidFill>
          </w14:textFill>
        </w:rPr>
        <w:t>：</w:t>
      </w:r>
      <w:r>
        <w:rPr>
          <w:color w:val="000000" w:themeColor="text1"/>
          <w:szCs w:val="20"/>
          <w:highlight w:val="none"/>
          <w:u w:val="single"/>
          <w14:textFill>
            <w14:solidFill>
              <w14:schemeClr w14:val="tx1"/>
            </w14:solidFill>
          </w14:textFill>
        </w:rPr>
        <w:t xml:space="preserve">                                </w:t>
      </w:r>
    </w:p>
    <w:p>
      <w:pPr>
        <w:spacing w:line="360" w:lineRule="auto"/>
        <w:ind w:firstLine="420"/>
        <w:rPr>
          <w:color w:val="000000" w:themeColor="text1"/>
          <w:szCs w:val="20"/>
          <w:highlight w:val="none"/>
          <w:u w:val="single"/>
          <w14:textFill>
            <w14:solidFill>
              <w14:schemeClr w14:val="tx1"/>
            </w14:solidFill>
          </w14:textFill>
        </w:rPr>
      </w:pPr>
      <w:r>
        <w:rPr>
          <w:rFonts w:hint="eastAsia"/>
          <w:color w:val="000000" w:themeColor="text1"/>
          <w:szCs w:val="20"/>
          <w:highlight w:val="none"/>
          <w14:textFill>
            <w14:solidFill>
              <w14:schemeClr w14:val="tx1"/>
            </w14:solidFill>
          </w14:textFill>
        </w:rPr>
        <w:t>法定代表人身份证号码：</w:t>
      </w:r>
      <w:r>
        <w:rPr>
          <w:color w:val="000000" w:themeColor="text1"/>
          <w:szCs w:val="20"/>
          <w:highlight w:val="none"/>
          <w:u w:val="single"/>
          <w14:textFill>
            <w14:solidFill>
              <w14:schemeClr w14:val="tx1"/>
            </w14:solidFill>
          </w14:textFill>
        </w:rPr>
        <w:t xml:space="preserve">                                   </w:t>
      </w:r>
    </w:p>
    <w:p>
      <w:pPr>
        <w:spacing w:line="360" w:lineRule="auto"/>
        <w:ind w:firstLine="420" w:firstLineChars="200"/>
        <w:rPr>
          <w:color w:val="000000" w:themeColor="text1"/>
          <w:szCs w:val="20"/>
          <w:highlight w:val="none"/>
          <w14:textFill>
            <w14:solidFill>
              <w14:schemeClr w14:val="tx1"/>
            </w14:solidFill>
          </w14:textFill>
        </w:rPr>
      </w:pPr>
      <w:r>
        <w:rPr>
          <w:rFonts w:hint="eastAsia"/>
          <w:color w:val="000000" w:themeColor="text1"/>
          <w:szCs w:val="20"/>
          <w:highlight w:val="none"/>
          <w14:textFill>
            <w14:solidFill>
              <w14:schemeClr w14:val="tx1"/>
            </w14:solidFill>
          </w14:textFill>
        </w:rPr>
        <w:t>委托代理人（</w:t>
      </w:r>
      <w:r>
        <w:rPr>
          <w:rFonts w:hint="eastAsia"/>
          <w:color w:val="000000" w:themeColor="text1"/>
          <w:szCs w:val="20"/>
          <w:highlight w:val="none"/>
          <w:lang w:eastAsia="zh-CN"/>
          <w14:textFill>
            <w14:solidFill>
              <w14:schemeClr w14:val="tx1"/>
            </w14:solidFill>
          </w14:textFill>
        </w:rPr>
        <w:t>亲笔</w:t>
      </w:r>
      <w:r>
        <w:rPr>
          <w:rFonts w:hint="eastAsia"/>
          <w:color w:val="000000" w:themeColor="text1"/>
          <w:szCs w:val="20"/>
          <w:highlight w:val="none"/>
          <w14:textFill>
            <w14:solidFill>
              <w14:schemeClr w14:val="tx1"/>
            </w14:solidFill>
          </w14:textFill>
        </w:rPr>
        <w:t>签字）：</w:t>
      </w:r>
      <w:r>
        <w:rPr>
          <w:color w:val="000000" w:themeColor="text1"/>
          <w:szCs w:val="20"/>
          <w:highlight w:val="none"/>
          <w:u w:val="single"/>
          <w14:textFill>
            <w14:solidFill>
              <w14:schemeClr w14:val="tx1"/>
            </w14:solidFill>
          </w14:textFill>
        </w:rPr>
        <w:t xml:space="preserve">                                </w:t>
      </w:r>
    </w:p>
    <w:p>
      <w:pPr>
        <w:spacing w:line="360" w:lineRule="auto"/>
        <w:ind w:firstLine="420"/>
        <w:rPr>
          <w:color w:val="000000" w:themeColor="text1"/>
          <w:szCs w:val="20"/>
          <w:highlight w:val="none"/>
          <w:u w:val="single"/>
          <w14:textFill>
            <w14:solidFill>
              <w14:schemeClr w14:val="tx1"/>
            </w14:solidFill>
          </w14:textFill>
        </w:rPr>
      </w:pPr>
      <w:r>
        <w:rPr>
          <w:rFonts w:hint="eastAsia"/>
          <w:color w:val="000000" w:themeColor="text1"/>
          <w:szCs w:val="20"/>
          <w:highlight w:val="none"/>
          <w14:textFill>
            <w14:solidFill>
              <w14:schemeClr w14:val="tx1"/>
            </w14:solidFill>
          </w14:textFill>
        </w:rPr>
        <w:t>委托代理人身份证号码：</w:t>
      </w:r>
      <w:r>
        <w:rPr>
          <w:color w:val="000000" w:themeColor="text1"/>
          <w:szCs w:val="20"/>
          <w:highlight w:val="none"/>
          <w:u w:val="single"/>
          <w14:textFill>
            <w14:solidFill>
              <w14:schemeClr w14:val="tx1"/>
            </w14:solidFill>
          </w14:textFill>
        </w:rPr>
        <w:t xml:space="preserve">                                   </w:t>
      </w:r>
    </w:p>
    <w:p>
      <w:pPr>
        <w:spacing w:line="360" w:lineRule="auto"/>
        <w:ind w:firstLine="420"/>
        <w:rPr>
          <w:color w:val="000000" w:themeColor="text1"/>
          <w:szCs w:val="20"/>
          <w:highlight w:val="none"/>
          <w:u w:val="single"/>
          <w14:textFill>
            <w14:solidFill>
              <w14:schemeClr w14:val="tx1"/>
            </w14:solidFill>
          </w14:textFill>
        </w:rPr>
      </w:pPr>
    </w:p>
    <w:p>
      <w:pPr>
        <w:pStyle w:val="104"/>
        <w:keepNext w:val="0"/>
        <w:keepLines w:val="0"/>
        <w:pageBreakBefore w:val="0"/>
        <w:widowControl w:val="0"/>
        <w:kinsoku/>
        <w:wordWrap/>
        <w:overflowPunct/>
        <w:topLinePunct w:val="0"/>
        <w:autoSpaceDE/>
        <w:autoSpaceDN/>
        <w:bidi w:val="0"/>
        <w:adjustRightInd/>
        <w:snapToGrid/>
        <w:spacing w:line="440" w:lineRule="exact"/>
        <w:ind w:left="0" w:leftChars="0" w:firstLine="420"/>
        <w:textAlignment w:val="auto"/>
        <w:rPr>
          <w:rStyle w:val="46"/>
          <w:rFonts w:hAnsi="Times New Roman"/>
          <w:color w:val="000000" w:themeColor="text1"/>
          <w:szCs w:val="21"/>
          <w:highlight w:val="none"/>
          <w14:textFill>
            <w14:solidFill>
              <w14:schemeClr w14:val="tx1"/>
            </w14:solidFill>
          </w14:textFill>
        </w:rPr>
      </w:pPr>
      <w:r>
        <w:rPr>
          <w:rStyle w:val="46"/>
          <w:rFonts w:hAnsi="Times New Roman"/>
          <w:color w:val="000000" w:themeColor="text1"/>
          <w:szCs w:val="21"/>
          <w:highlight w:val="none"/>
          <w14:textFill>
            <w14:solidFill>
              <w14:schemeClr w14:val="tx1"/>
            </w14:solidFill>
          </w14:textFill>
        </w:rPr>
        <w:t>注：以联合体形式参与</w:t>
      </w:r>
      <w:r>
        <w:rPr>
          <w:rStyle w:val="46"/>
          <w:rFonts w:hint="eastAsia" w:hAnsi="Times New Roman"/>
          <w:color w:val="000000" w:themeColor="text1"/>
          <w:szCs w:val="21"/>
          <w:highlight w:val="none"/>
          <w:lang w:eastAsia="zh-CN"/>
          <w14:textFill>
            <w14:solidFill>
              <w14:schemeClr w14:val="tx1"/>
            </w14:solidFill>
          </w14:textFill>
        </w:rPr>
        <w:t>投标</w:t>
      </w:r>
      <w:r>
        <w:rPr>
          <w:rStyle w:val="46"/>
          <w:rFonts w:hAnsi="Times New Roman"/>
          <w:color w:val="000000" w:themeColor="text1"/>
          <w:szCs w:val="21"/>
          <w:highlight w:val="none"/>
          <w14:textFill>
            <w14:solidFill>
              <w14:schemeClr w14:val="tx1"/>
            </w14:solidFill>
          </w14:textFill>
        </w:rPr>
        <w:t>的，本授权委托书应由联合体牵头人的法定代表人和授权代理人按上述规定签署。</w:t>
      </w:r>
    </w:p>
    <w:p>
      <w:pPr>
        <w:spacing w:line="360" w:lineRule="auto"/>
        <w:rPr>
          <w:rFonts w:ascii="宋体"/>
          <w:b/>
          <w:color w:val="000000" w:themeColor="text1"/>
          <w:sz w:val="24"/>
          <w:highlight w:val="none"/>
          <w14:textFill>
            <w14:solidFill>
              <w14:schemeClr w14:val="tx1"/>
            </w14:solidFill>
          </w14:textFill>
        </w:rPr>
      </w:pPr>
    </w:p>
    <w:p>
      <w:pPr>
        <w:rPr>
          <w:rFonts w:ascii="宋体"/>
          <w:b/>
          <w:color w:val="000000" w:themeColor="text1"/>
          <w:sz w:val="24"/>
          <w:highlight w:val="none"/>
          <w14:textFill>
            <w14:solidFill>
              <w14:schemeClr w14:val="tx1"/>
            </w14:solidFill>
          </w14:textFill>
        </w:rPr>
      </w:pPr>
      <w:r>
        <w:rPr>
          <w:rFonts w:ascii="宋体"/>
          <w:b/>
          <w:color w:val="000000" w:themeColor="text1"/>
          <w:sz w:val="24"/>
          <w:highlight w:val="none"/>
          <w14:textFill>
            <w14:solidFill>
              <w14:schemeClr w14:val="tx1"/>
            </w14:solidFill>
          </w14:textFill>
        </w:rPr>
        <w:br w:type="page"/>
      </w:r>
    </w:p>
    <w:p>
      <w:pPr>
        <w:pStyle w:val="19"/>
        <w:rPr>
          <w:color w:val="000000" w:themeColor="text1"/>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p>
    <w:p>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2"/>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Pr>
          <w:p>
            <w:pPr>
              <w:spacing w:line="360" w:lineRule="auto"/>
              <w:rPr>
                <w:rFonts w:ascii="宋体"/>
                <w:b/>
                <w:color w:val="000000" w:themeColor="text1"/>
                <w:sz w:val="24"/>
                <w:highlight w:val="none"/>
                <w14:textFill>
                  <w14:solidFill>
                    <w14:schemeClr w14:val="tx1"/>
                  </w14:solidFill>
                </w14:textFill>
              </w:rPr>
            </w:pPr>
          </w:p>
          <w:p>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法定代表人身份证复印件及委托代理人身份证复印件粘帖处（正、反面）</w:t>
            </w:r>
          </w:p>
        </w:tc>
      </w:tr>
    </w:tbl>
    <w:p>
      <w:pPr>
        <w:snapToGrid w:val="0"/>
        <w:spacing w:before="50" w:after="120" w:afterLines="50" w:line="360" w:lineRule="auto"/>
        <w:jc w:val="left"/>
        <w:rPr>
          <w:rFonts w:ascii="仿宋_GB2312" w:hAnsi="仿宋_GB2312" w:eastAsia="仿宋_GB2312" w:cs="仿宋_GB2312"/>
          <w:color w:val="000000" w:themeColor="text1"/>
          <w:szCs w:val="21"/>
          <w:highlight w:val="none"/>
          <w14:textFill>
            <w14:solidFill>
              <w14:schemeClr w14:val="tx1"/>
            </w14:solidFill>
          </w14:textFill>
        </w:rPr>
      </w:pPr>
    </w:p>
    <w:p>
      <w:pPr>
        <w:snapToGrid w:val="0"/>
        <w:spacing w:before="120" w:beforeLines="50" w:after="50"/>
        <w:ind w:firstLine="566" w:firstLineChars="236"/>
        <w:jc w:val="center"/>
        <w:rPr>
          <w:rFonts w:ascii="宋体" w:hAnsi="宋体"/>
          <w:color w:val="000000" w:themeColor="text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br w:type="page"/>
      </w:r>
    </w:p>
    <w:p>
      <w:pPr>
        <w:spacing w:line="600" w:lineRule="exact"/>
        <w:jc w:val="center"/>
        <w:rPr>
          <w:color w:val="000000" w:themeColor="text1"/>
          <w:szCs w:val="20"/>
          <w:highlight w:val="none"/>
          <w14:textFill>
            <w14:solidFill>
              <w14:schemeClr w14:val="tx1"/>
            </w14:solidFill>
          </w14:textFill>
        </w:rPr>
      </w:pPr>
      <w:r>
        <w:rPr>
          <w:rFonts w:hint="eastAsia" w:ascii="宋体" w:hAnsi="Courier New"/>
          <w:b/>
          <w:bCs/>
          <w:color w:val="000000" w:themeColor="text1"/>
          <w:sz w:val="30"/>
          <w:szCs w:val="30"/>
          <w:highlight w:val="none"/>
          <w:lang w:val="en-US" w:eastAsia="zh-CN"/>
          <w14:textFill>
            <w14:solidFill>
              <w14:schemeClr w14:val="tx1"/>
            </w14:solidFill>
          </w14:textFill>
        </w:rPr>
        <w:t>7.</w:t>
      </w:r>
      <w:r>
        <w:rPr>
          <w:rFonts w:hint="eastAsia"/>
          <w:b/>
          <w:bCs/>
          <w:color w:val="000000" w:themeColor="text1"/>
          <w:sz w:val="30"/>
          <w:szCs w:val="30"/>
          <w:highlight w:val="none"/>
          <w14:textFill>
            <w14:solidFill>
              <w14:schemeClr w14:val="tx1"/>
            </w14:solidFill>
          </w14:textFill>
        </w:rPr>
        <w:t>联合体协议书</w:t>
      </w:r>
    </w:p>
    <w:p>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（所有成员单位名称）自愿组成联合体，共同参加</w:t>
      </w:r>
      <w:r>
        <w:rPr>
          <w:rFonts w:hint="eastAsia" w:ascii="宋体" w:cs="宋体"/>
          <w:color w:val="000000" w:themeColor="text1"/>
          <w:kern w:val="0"/>
          <w:szCs w:val="21"/>
          <w:highlight w:val="none"/>
          <w:u w:val="single"/>
          <w14:textFill>
            <w14:solidFill>
              <w14:schemeClr w14:val="tx1"/>
            </w14:solidFill>
          </w14:textFill>
        </w:rPr>
        <w:t xml:space="preserve">     （采购代理机构名称）    </w:t>
      </w:r>
      <w:r>
        <w:rPr>
          <w:rFonts w:hint="eastAsia" w:ascii="宋体" w:cs="宋体"/>
          <w:color w:val="000000" w:themeColor="text1"/>
          <w:kern w:val="0"/>
          <w:szCs w:val="21"/>
          <w:highlight w:val="none"/>
          <w14:textFill>
            <w14:solidFill>
              <w14:schemeClr w14:val="tx1"/>
            </w14:solidFill>
          </w14:textFill>
        </w:rPr>
        <w:t>组织的</w:t>
      </w:r>
      <w:r>
        <w:rPr>
          <w:rFonts w:hint="eastAsia" w:ascii="宋体" w:cs="宋体"/>
          <w:color w:val="000000" w:themeColor="text1"/>
          <w:kern w:val="0"/>
          <w:szCs w:val="21"/>
          <w:highlight w:val="none"/>
          <w:u w:val="single"/>
          <w14:textFill>
            <w14:solidFill>
              <w14:schemeClr w14:val="tx1"/>
            </w14:solidFill>
          </w14:textFill>
        </w:rPr>
        <w:t xml:space="preserve">         （项目名称）         </w:t>
      </w:r>
      <w:r>
        <w:rPr>
          <w:rFonts w:hint="eastAsia" w:ascii="宋体" w:cs="宋体"/>
          <w:color w:val="000000" w:themeColor="text1"/>
          <w:kern w:val="0"/>
          <w:szCs w:val="21"/>
          <w:highlight w:val="none"/>
          <w14:textFill>
            <w14:solidFill>
              <w14:schemeClr w14:val="tx1"/>
            </w14:solidFill>
          </w14:textFill>
        </w:rPr>
        <w:t>（项目编号：</w:t>
      </w:r>
      <w:r>
        <w:rPr>
          <w:rFonts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）投标。现就联合体投标事宜订立如下协议：</w:t>
      </w:r>
    </w:p>
    <w:p>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ascii="宋体" w:hAnsi="宋体" w:cs="TimesNewRomanPSMT"/>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ascii="宋体" w:hAnsi="宋体" w:cs="TimesNewRomanPSMT"/>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xml:space="preserve">3、联合体牵头人在本项目中签署和盖章的一切文件和处理的一切事宜，联合体各成员均予以承认。 </w:t>
      </w:r>
      <w:r>
        <w:rPr>
          <w:rFonts w:hint="eastAsia" w:ascii="宋体" w:hAnsi="宋体" w:cs="宋体"/>
          <w:color w:val="000000" w:themeColor="text1"/>
          <w:kern w:val="0"/>
          <w:szCs w:val="21"/>
          <w:highlight w:val="none"/>
          <w14:textFill>
            <w14:solidFill>
              <w14:schemeClr w14:val="tx1"/>
            </w14:solidFill>
          </w14:textFill>
        </w:rPr>
        <w:t>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ascii="宋体" w:hAnsi="宋体" w:cs="TimesNewRomanPSMT"/>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pPr>
        <w:spacing w:line="360" w:lineRule="auto"/>
        <w:ind w:firstLine="420" w:firstLineChars="200"/>
        <w:rPr>
          <w:color w:val="000000" w:themeColor="text1"/>
          <w:szCs w:val="21"/>
          <w:highlight w:val="none"/>
          <w14:textFill>
            <w14:solidFill>
              <w14:schemeClr w14:val="tx1"/>
            </w14:solidFill>
          </w14:textFill>
        </w:rPr>
      </w:pPr>
      <w:r>
        <w:rPr>
          <w:rFonts w:ascii="宋体" w:hAnsi="宋体" w:cs="宋体"/>
          <w:color w:val="000000" w:themeColor="text1"/>
          <w:kern w:val="0"/>
          <w:szCs w:val="20"/>
          <w:highlight w:val="none"/>
          <w14:textFill>
            <w14:solidFill>
              <w14:schemeClr w14:val="tx1"/>
            </w14:solidFill>
          </w14:textFill>
        </w:rPr>
        <w:t>5、本联合体中</w:t>
      </w:r>
      <w:r>
        <w:rPr>
          <w:rFonts w:hint="eastAsia" w:ascii="宋体" w:hAnsi="宋体" w:cs="宋体"/>
          <w:color w:val="000000" w:themeColor="text1"/>
          <w:kern w:val="0"/>
          <w:szCs w:val="20"/>
          <w:highlight w:val="none"/>
          <w:u w:val="single"/>
          <w14:textFill>
            <w14:solidFill>
              <w14:schemeClr w14:val="tx1"/>
            </w14:solidFill>
          </w14:textFill>
        </w:rPr>
        <w:t>，</w:t>
      </w:r>
      <w:r>
        <w:rPr>
          <w:rFonts w:ascii="宋体" w:hAnsi="Courier New"/>
          <w:color w:val="000000" w:themeColor="text1"/>
          <w:szCs w:val="20"/>
          <w:highlight w:val="none"/>
          <w:u w:val="single"/>
          <w14:textFill>
            <w14:solidFill>
              <w14:schemeClr w14:val="tx1"/>
            </w14:solidFill>
          </w14:textFill>
        </w:rPr>
        <w:t>________________________</w:t>
      </w:r>
      <w:r>
        <w:rPr>
          <w:rFonts w:hint="eastAsia" w:ascii="宋体" w:hAnsi="宋体" w:cs="宋体"/>
          <w:color w:val="000000" w:themeColor="text1"/>
          <w:kern w:val="0"/>
          <w:szCs w:val="20"/>
          <w:highlight w:val="none"/>
          <w:u w:val="single"/>
          <w14:textFill>
            <w14:solidFill>
              <w14:schemeClr w14:val="tx1"/>
            </w14:solidFill>
          </w14:textFill>
        </w:rPr>
        <w:t>（某成员单位名称）为</w:t>
      </w:r>
      <w:r>
        <w:rPr>
          <w:rFonts w:ascii="宋体" w:hAnsi="Courier New"/>
          <w:color w:val="000000" w:themeColor="text1"/>
          <w:szCs w:val="20"/>
          <w:highlight w:val="none"/>
          <w:u w:val="single"/>
          <w14:textFill>
            <w14:solidFill>
              <w14:schemeClr w14:val="tx1"/>
            </w14:solidFill>
          </w14:textFill>
        </w:rPr>
        <w:t>______</w:t>
      </w:r>
      <w:r>
        <w:rPr>
          <w:rFonts w:hint="eastAsia" w:ascii="宋体" w:hAnsi="Courier New"/>
          <w:color w:val="000000" w:themeColor="text1"/>
          <w:szCs w:val="20"/>
          <w:highlight w:val="none"/>
          <w14:textFill>
            <w14:solidFill>
              <w14:schemeClr w14:val="tx1"/>
            </w14:solidFill>
          </w14:textFill>
        </w:rPr>
        <w:t>（请填写：中型、小型、微型）企业，其协议合同金额占联合体协议合同总金额的</w:t>
      </w:r>
      <w:r>
        <w:rPr>
          <w:rFonts w:ascii="宋体" w:hAnsi="Courier New"/>
          <w:color w:val="000000" w:themeColor="text1"/>
          <w:szCs w:val="20"/>
          <w:highlight w:val="none"/>
          <w:u w:val="single"/>
          <w14:textFill>
            <w14:solidFill>
              <w14:schemeClr w14:val="tx1"/>
            </w14:solidFill>
          </w14:textFill>
        </w:rPr>
        <w:t>______</w:t>
      </w:r>
      <w:r>
        <w:rPr>
          <w:rFonts w:hint="eastAsia" w:ascii="宋体" w:hAnsi="Courier New"/>
          <w:color w:val="000000" w:themeColor="text1"/>
          <w:szCs w:val="20"/>
          <w:highlight w:val="none"/>
          <w14:textFill>
            <w14:solidFill>
              <w14:schemeClr w14:val="tx1"/>
            </w14:solidFill>
          </w14:textFill>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ascii="宋体" w:hAnsi="宋体" w:cs="TimesNewRomanPSMT"/>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ascii="宋体" w:hAnsi="宋体" w:cs="TimesNewRomanPSMT"/>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w:t>
      </w:r>
      <w:r>
        <w:rPr>
          <w:rFonts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份，联合体成员和采购代理机构各执一份。</w:t>
      </w:r>
    </w:p>
    <w:p>
      <w:pPr>
        <w:autoSpaceDE w:val="0"/>
        <w:autoSpaceDN w:val="0"/>
        <w:adjustRightInd w:val="0"/>
        <w:spacing w:line="360" w:lineRule="auto"/>
        <w:ind w:firstLine="420"/>
        <w:jc w:val="left"/>
        <w:rPr>
          <w:rFonts w:ascii="宋体" w:cs="宋体"/>
          <w:b/>
          <w:bCs/>
          <w:color w:val="000000" w:themeColor="text1"/>
          <w:kern w:val="0"/>
          <w:szCs w:val="21"/>
          <w:highlight w:val="none"/>
          <w14:textFill>
            <w14:solidFill>
              <w14:schemeClr w14:val="tx1"/>
            </w14:solidFill>
          </w14:textFill>
        </w:rPr>
      </w:pPr>
      <w:r>
        <w:rPr>
          <w:rFonts w:hint="eastAsia" w:ascii="宋体" w:cs="宋体"/>
          <w:b/>
          <w:bCs/>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注：本协议书由法定代表人签字的，应附法定代表人身份证明；本协议书由委托代理人签字的，应附法定代表人授权委托书（格式自拟）。</w:t>
      </w: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w:t>
      </w:r>
      <w:r>
        <w:rPr>
          <w:rFonts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w:t>
      </w: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w:t>
      </w:r>
      <w:r>
        <w:rPr>
          <w:rFonts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w:t>
      </w: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pPr>
        <w:snapToGrid w:val="0"/>
        <w:spacing w:line="360" w:lineRule="auto"/>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cs="宋体"/>
          <w:color w:val="000000" w:themeColor="text1"/>
          <w:kern w:val="0"/>
          <w:szCs w:val="21"/>
          <w:highlight w:val="none"/>
          <w:u w:val="single"/>
          <w14:textFill>
            <w14:solidFill>
              <w14:schemeClr w14:val="tx1"/>
            </w14:solidFill>
          </w14:textFill>
        </w:rPr>
        <w:t xml:space="preserve">                         </w:t>
      </w:r>
      <w:r>
        <w:rPr>
          <w:rFonts w:hint="eastAsia" w:cs="宋体"/>
          <w:color w:val="000000" w:themeColor="text1"/>
          <w:kern w:val="0"/>
          <w:szCs w:val="21"/>
          <w:highlight w:val="none"/>
          <w14:textFill>
            <w14:solidFill>
              <w14:schemeClr w14:val="tx1"/>
            </w14:solidFill>
          </w14:textFill>
        </w:rPr>
        <w:t>（手写签名）</w:t>
      </w:r>
    </w:p>
    <w:p>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p>
    <w:p>
      <w:pPr>
        <w:snapToGrid w:val="0"/>
        <w:spacing w:before="120" w:beforeLines="50" w:after="50"/>
        <w:ind w:firstLine="3150" w:firstLineChars="1500"/>
        <w:jc w:val="left"/>
        <w:rPr>
          <w:rFonts w:ascii="宋体" w:hAnsi="宋体"/>
          <w:color w:val="000000" w:themeColor="text1"/>
          <w:szCs w:val="21"/>
          <w:highlight w:val="none"/>
          <w14:textFill>
            <w14:solidFill>
              <w14:schemeClr w14:val="tx1"/>
            </w14:solidFill>
          </w14:textFill>
        </w:rPr>
        <w:sectPr>
          <w:footerReference r:id="rId12" w:type="first"/>
          <w:headerReference r:id="rId9" w:type="default"/>
          <w:footerReference r:id="rId10" w:type="default"/>
          <w:footerReference r:id="rId11" w:type="even"/>
          <w:pgSz w:w="11906" w:h="16838"/>
          <w:pgMar w:top="1440" w:right="1797" w:bottom="1440" w:left="1797" w:header="851" w:footer="992" w:gutter="0"/>
          <w:cols w:space="720" w:num="1"/>
          <w:docGrid w:linePitch="312" w:charSpace="0"/>
        </w:sectPr>
      </w:pPr>
    </w:p>
    <w:p>
      <w:pPr>
        <w:jc w:val="center"/>
        <w:rPr>
          <w:rFonts w:hint="default" w:ascii="Times New Roman" w:hAnsi="Times New Roman" w:eastAsia="宋体" w:cs="Times New Roman"/>
          <w:b/>
          <w:bCs/>
          <w:color w:val="000000" w:themeColor="text1"/>
          <w:sz w:val="30"/>
          <w:szCs w:val="30"/>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30"/>
          <w:szCs w:val="30"/>
          <w:highlight w:val="none"/>
          <w:lang w:val="en-US" w:eastAsia="zh-CN"/>
          <w14:textFill>
            <w14:solidFill>
              <w14:schemeClr w14:val="tx1"/>
            </w14:solidFill>
          </w14:textFill>
        </w:rPr>
        <w:t>8.项目实施人员一览表格式</w:t>
      </w:r>
    </w:p>
    <w:p>
      <w:pPr>
        <w:jc w:val="center"/>
        <w:rPr>
          <w:rFonts w:hint="eastAsia"/>
          <w:b/>
          <w:bCs/>
          <w:color w:val="000000" w:themeColor="text1"/>
          <w:sz w:val="30"/>
          <w:szCs w:val="30"/>
          <w:highlight w:val="none"/>
          <w:lang w:val="en-US" w:eastAsia="zh-CN"/>
          <w14:textFill>
            <w14:solidFill>
              <w14:schemeClr w14:val="tx1"/>
            </w14:solidFill>
          </w14:textFill>
        </w:rPr>
      </w:pPr>
    </w:p>
    <w:p>
      <w:pPr>
        <w:spacing w:line="360" w:lineRule="auto"/>
        <w:ind w:left="142"/>
        <w:contextualSpacing/>
        <w:jc w:val="center"/>
        <w:rPr>
          <w:rFonts w:hint="eastAsia" w:ascii="宋体" w:hAnsi="宋体" w:eastAsia="宋体" w:cs="Times New Roman"/>
          <w:b/>
          <w:color w:val="000000" w:themeColor="text1"/>
          <w:sz w:val="32"/>
          <w:szCs w:val="32"/>
          <w:highlight w:val="none"/>
          <w14:textFill>
            <w14:solidFill>
              <w14:schemeClr w14:val="tx1"/>
            </w14:solidFill>
          </w14:textFill>
        </w:rPr>
      </w:pPr>
      <w:r>
        <w:rPr>
          <w:rFonts w:hint="eastAsia" w:ascii="宋体" w:hAnsi="宋体" w:eastAsia="宋体" w:cs="Times New Roman"/>
          <w:b/>
          <w:color w:val="000000" w:themeColor="text1"/>
          <w:sz w:val="32"/>
          <w:szCs w:val="32"/>
          <w:highlight w:val="none"/>
          <w14:textFill>
            <w14:solidFill>
              <w14:schemeClr w14:val="tx1"/>
            </w14:solidFill>
          </w14:textFill>
        </w:rPr>
        <w:t>项目实施人员一览表</w:t>
      </w:r>
    </w:p>
    <w:tbl>
      <w:tblPr>
        <w:tblStyle w:val="32"/>
        <w:tblW w:w="8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072"/>
        <w:gridCol w:w="2986"/>
        <w:gridCol w:w="179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姓名</w:t>
            </w:r>
          </w:p>
        </w:tc>
        <w:tc>
          <w:tcPr>
            <w:tcW w:w="1072"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职务</w:t>
            </w:r>
          </w:p>
        </w:tc>
        <w:tc>
          <w:tcPr>
            <w:tcW w:w="298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专业技术资格（职称）或者职业资格或者执业资格证或者其他证书</w:t>
            </w:r>
          </w:p>
        </w:tc>
        <w:tc>
          <w:tcPr>
            <w:tcW w:w="17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证书编号</w:t>
            </w:r>
          </w:p>
        </w:tc>
        <w:tc>
          <w:tcPr>
            <w:tcW w:w="19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参加本单位</w:t>
            </w:r>
          </w:p>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072"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298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7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9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072"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298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7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9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072"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2986"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7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c>
          <w:tcPr>
            <w:tcW w:w="1995" w:type="dxa"/>
            <w:noWrap w:val="0"/>
            <w:vAlign w:val="center"/>
          </w:tcPr>
          <w:p>
            <w:pPr>
              <w:spacing w:line="360" w:lineRule="auto"/>
              <w:contextualSpacing/>
              <w:jc w:val="center"/>
              <w:rPr>
                <w:rFonts w:hint="eastAsia" w:ascii="宋体" w:hAnsi="宋体" w:eastAsia="宋体" w:cs="Times New Roman"/>
                <w:color w:val="000000" w:themeColor="text1"/>
                <w:sz w:val="24"/>
                <w:szCs w:val="20"/>
                <w:highlight w:val="none"/>
                <w14:textFill>
                  <w14:solidFill>
                    <w14:schemeClr w14:val="tx1"/>
                  </w14:solidFill>
                </w14:textFill>
              </w:rPr>
            </w:pPr>
          </w:p>
        </w:tc>
      </w:tr>
    </w:tbl>
    <w:p>
      <w:pPr>
        <w:spacing w:line="360" w:lineRule="auto"/>
        <w:contextualSpacing/>
        <w:jc w:val="left"/>
        <w:rPr>
          <w:rFonts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p>
    <w:p>
      <w:pPr>
        <w:spacing w:line="360" w:lineRule="auto"/>
        <w:contextualSpacing/>
        <w:jc w:val="left"/>
        <w:rPr>
          <w:rFonts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1</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在填写时，如本表格不适合供应商的实际情况，可根据本表格式自行制表填写。</w:t>
      </w:r>
    </w:p>
    <w:p>
      <w:pPr>
        <w:spacing w:line="360" w:lineRule="auto"/>
        <w:contextualSpacing/>
        <w:jc w:val="left"/>
        <w:rPr>
          <w:rFonts w:hint="eastAsia" w:ascii="宋体" w:hAnsi="宋体" w:eastAsia="宋体" w:cs="Times New Roman"/>
          <w:color w:val="000000" w:themeColor="text1"/>
          <w:sz w:val="24"/>
          <w:szCs w:val="20"/>
          <w:highlight w:val="none"/>
          <w14:textFill>
            <w14:solidFill>
              <w14:schemeClr w14:val="tx1"/>
            </w14:solidFill>
          </w14:textFill>
        </w:rPr>
      </w:pPr>
      <w:r>
        <w:rPr>
          <w:rFonts w:ascii="宋体" w:hAnsi="宋体" w:eastAsia="宋体" w:cs="Times New Roman"/>
          <w:color w:val="000000" w:themeColor="text1"/>
          <w:sz w:val="24"/>
          <w:szCs w:val="20"/>
          <w:highlight w:val="none"/>
          <w14:textFill>
            <w14:solidFill>
              <w14:schemeClr w14:val="tx1"/>
            </w14:solidFill>
          </w14:textFill>
        </w:rPr>
        <w:t>2.</w:t>
      </w:r>
      <w:r>
        <w:rPr>
          <w:rFonts w:hint="eastAsia" w:ascii="宋体" w:hAnsi="宋体" w:eastAsia="宋体" w:cs="Times New Roman"/>
          <w:color w:val="000000" w:themeColor="text1"/>
          <w:sz w:val="24"/>
          <w:szCs w:val="20"/>
          <w:highlight w:val="none"/>
          <w14:textFill>
            <w14:solidFill>
              <w14:schemeClr w14:val="tx1"/>
            </w14:solidFill>
          </w14:textFill>
        </w:rPr>
        <w:t>供应商应当附本表所列证书的复印件并加盖供应商电子签章。</w:t>
      </w:r>
    </w:p>
    <w:p>
      <w:pPr>
        <w:spacing w:line="360" w:lineRule="auto"/>
        <w:contextualSpacing/>
        <w:rPr>
          <w:rFonts w:hint="eastAsia" w:ascii="宋体" w:hAnsi="宋体" w:eastAsia="宋体" w:cs="Times New Roman"/>
          <w:color w:val="000000" w:themeColor="text1"/>
          <w:spacing w:val="20"/>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highlight w:val="none"/>
          <w14:textFill>
            <w14:solidFill>
              <w14:schemeClr w14:val="tx1"/>
            </w14:solidFill>
          </w14:textFill>
        </w:rPr>
        <w:t>法定代表人或者委托代理人</w:t>
      </w:r>
      <w:r>
        <w:rPr>
          <w:rFonts w:hint="eastAsia" w:ascii="宋体" w:hAnsi="宋体" w:eastAsia="宋体" w:cs="Times New Roman"/>
          <w:color w:val="000000" w:themeColor="text1"/>
          <w:spacing w:val="20"/>
          <w:sz w:val="24"/>
          <w:highlight w:val="none"/>
          <w14:textFill>
            <w14:solidFill>
              <w14:schemeClr w14:val="tx1"/>
            </w14:solidFill>
          </w14:textFill>
        </w:rPr>
        <w:t>签字：</w:t>
      </w:r>
      <w:r>
        <w:rPr>
          <w:rFonts w:hint="eastAsia" w:ascii="宋体" w:hAnsi="宋体" w:eastAsia="宋体" w:cs="Times New Roman"/>
          <w:color w:val="000000" w:themeColor="text1"/>
          <w:spacing w:val="20"/>
          <w:sz w:val="24"/>
          <w:highlight w:val="none"/>
          <w:u w:val="single"/>
          <w14:textFill>
            <w14:solidFill>
              <w14:schemeClr w14:val="tx1"/>
            </w14:solidFill>
          </w14:textFill>
        </w:rPr>
        <w:t xml:space="preserve">        </w:t>
      </w:r>
    </w:p>
    <w:p>
      <w:pPr>
        <w:spacing w:line="360" w:lineRule="auto"/>
        <w:contextualSpacing/>
        <w:jc w:val="left"/>
        <w:rPr>
          <w:rFonts w:hint="eastAsia" w:ascii="宋体" w:hAnsi="宋体" w:eastAsia="宋体" w:cs="Times New Roman"/>
          <w:color w:val="000000" w:themeColor="text1"/>
          <w:spacing w:val="20"/>
          <w:sz w:val="24"/>
          <w:highlight w:val="none"/>
          <w14:textFill>
            <w14:solidFill>
              <w14:schemeClr w14:val="tx1"/>
            </w14:solidFill>
          </w14:textFill>
        </w:rPr>
      </w:pPr>
      <w:r>
        <w:rPr>
          <w:rFonts w:hint="eastAsia" w:ascii="宋体" w:hAnsi="宋体" w:eastAsia="宋体" w:cs="Times New Roman"/>
          <w:color w:val="000000" w:themeColor="text1"/>
          <w:spacing w:val="20"/>
          <w:sz w:val="24"/>
          <w:highlight w:val="none"/>
          <w:u w:val="single"/>
          <w14:textFill>
            <w14:solidFill>
              <w14:schemeClr w14:val="tx1"/>
            </w14:solidFill>
          </w14:textFill>
        </w:rPr>
        <w:t>投标人</w:t>
      </w:r>
      <w:r>
        <w:rPr>
          <w:rFonts w:hint="eastAsia" w:ascii="宋体" w:hAnsi="宋体" w:eastAsia="宋体" w:cs="Times New Roman"/>
          <w:color w:val="000000" w:themeColor="text1"/>
          <w:spacing w:val="20"/>
          <w:sz w:val="24"/>
          <w:highlight w:val="none"/>
          <w:u w:val="single"/>
          <w:lang w:eastAsia="zh-CN"/>
          <w14:textFill>
            <w14:solidFill>
              <w14:schemeClr w14:val="tx1"/>
            </w14:solidFill>
          </w14:textFill>
        </w:rPr>
        <w:t>名称</w:t>
      </w:r>
      <w:r>
        <w:rPr>
          <w:rFonts w:hint="eastAsia" w:ascii="宋体" w:hAnsi="宋体" w:eastAsia="宋体" w:cs="Times New Roman"/>
          <w:color w:val="000000" w:themeColor="text1"/>
          <w:spacing w:val="20"/>
          <w:sz w:val="24"/>
          <w:highlight w:val="none"/>
          <w:u w:val="single"/>
          <w14:textFill>
            <w14:solidFill>
              <w14:schemeClr w14:val="tx1"/>
            </w14:solidFill>
          </w14:textFill>
        </w:rPr>
        <w:t>（</w:t>
      </w:r>
      <w:r>
        <w:rPr>
          <w:rFonts w:hint="eastAsia" w:ascii="宋体" w:hAnsi="宋体" w:eastAsia="宋体" w:cs="Times New Roman"/>
          <w:color w:val="000000" w:themeColor="text1"/>
          <w:spacing w:val="20"/>
          <w:sz w:val="24"/>
          <w:highlight w:val="none"/>
          <w:u w:val="single"/>
          <w:lang w:val="zh-CN"/>
          <w14:textFill>
            <w14:solidFill>
              <w14:schemeClr w14:val="tx1"/>
            </w14:solidFill>
          </w14:textFill>
        </w:rPr>
        <w:t>加盖电子签章</w:t>
      </w:r>
      <w:r>
        <w:rPr>
          <w:rFonts w:hint="eastAsia" w:ascii="宋体" w:hAnsi="宋体" w:eastAsia="宋体" w:cs="Times New Roman"/>
          <w:color w:val="000000" w:themeColor="text1"/>
          <w:spacing w:val="20"/>
          <w:sz w:val="24"/>
          <w:highlight w:val="none"/>
          <w:u w:val="single"/>
          <w14:textFill>
            <w14:solidFill>
              <w14:schemeClr w14:val="tx1"/>
            </w14:solidFill>
          </w14:textFill>
        </w:rPr>
        <w:t xml:space="preserve">）：            </w:t>
      </w:r>
      <w:r>
        <w:rPr>
          <w:rFonts w:hint="eastAsia" w:ascii="宋体" w:hAnsi="宋体" w:eastAsia="宋体" w:cs="Times New Roman"/>
          <w:color w:val="000000" w:themeColor="text1"/>
          <w:spacing w:val="20"/>
          <w:sz w:val="24"/>
          <w:highlight w:val="none"/>
          <w14:textFill>
            <w14:solidFill>
              <w14:schemeClr w14:val="tx1"/>
            </w14:solidFill>
          </w14:textFill>
        </w:rPr>
        <w:t xml:space="preserve">              </w:t>
      </w:r>
    </w:p>
    <w:p>
      <w:pPr>
        <w:spacing w:line="360" w:lineRule="auto"/>
        <w:contextualSpacing/>
        <w:jc w:val="left"/>
        <w:rPr>
          <w:rFonts w:hint="eastAsia" w:ascii="宋体" w:hAnsi="宋体"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pacing w:val="20"/>
          <w:sz w:val="24"/>
          <w:highlight w:val="none"/>
          <w14:textFill>
            <w14:solidFill>
              <w14:schemeClr w14:val="tx1"/>
            </w14:solidFill>
          </w14:textFill>
        </w:rPr>
        <w:t>日 期：</w:t>
      </w:r>
      <w:r>
        <w:rPr>
          <w:rFonts w:hint="eastAsia" w:ascii="宋体" w:hAnsi="宋体" w:eastAsia="宋体" w:cs="Times New Roman"/>
          <w:color w:val="000000" w:themeColor="text1"/>
          <w:spacing w:val="20"/>
          <w:sz w:val="24"/>
          <w:highlight w:val="none"/>
          <w:u w:val="single"/>
          <w14:textFill>
            <w14:solidFill>
              <w14:schemeClr w14:val="tx1"/>
            </w14:solidFill>
          </w14:textFill>
        </w:rPr>
        <w:t xml:space="preserve">         </w:t>
      </w:r>
    </w:p>
    <w:p>
      <w:pPr>
        <w:pStyle w:val="2"/>
        <w:rPr>
          <w:rFonts w:hint="eastAsia"/>
          <w:color w:val="000000" w:themeColor="text1"/>
          <w:highlight w:val="none"/>
          <w:lang w:val="en-US" w:eastAsia="zh-CN"/>
          <w14:textFill>
            <w14:solidFill>
              <w14:schemeClr w14:val="tx1"/>
            </w14:solidFill>
          </w14:textFill>
        </w:rPr>
        <w:sectPr>
          <w:footerReference r:id="rId16" w:type="first"/>
          <w:headerReference r:id="rId13" w:type="default"/>
          <w:footerReference r:id="rId14" w:type="default"/>
          <w:footerReference r:id="rId15" w:type="even"/>
          <w:pgSz w:w="11906" w:h="16838"/>
          <w:pgMar w:top="1134" w:right="1134" w:bottom="1134" w:left="1134" w:header="720" w:footer="720" w:gutter="0"/>
          <w:cols w:space="720" w:num="1"/>
          <w:docGrid w:type="lines" w:linePitch="331" w:charSpace="0"/>
        </w:sectPr>
      </w:pPr>
    </w:p>
    <w:p>
      <w:pPr>
        <w:jc w:val="center"/>
        <w:rPr>
          <w:rFonts w:ascii="宋体" w:hAnsi="宋体" w:cs="宋体"/>
          <w:color w:val="000000" w:themeColor="text1"/>
          <w:sz w:val="24"/>
          <w:highlight w:val="none"/>
          <w14:textFill>
            <w14:solidFill>
              <w14:schemeClr w14:val="tx1"/>
            </w14:solidFill>
          </w14:textFill>
        </w:rPr>
      </w:pPr>
      <w:r>
        <w:rPr>
          <w:rFonts w:hint="eastAsia"/>
          <w:b/>
          <w:bCs/>
          <w:color w:val="000000" w:themeColor="text1"/>
          <w:sz w:val="30"/>
          <w:szCs w:val="30"/>
          <w:highlight w:val="none"/>
          <w:lang w:val="en-US" w:eastAsia="zh-CN"/>
          <w14:textFill>
            <w14:solidFill>
              <w14:schemeClr w14:val="tx1"/>
            </w14:solidFill>
          </w14:textFill>
        </w:rPr>
        <w:t>9.</w:t>
      </w:r>
      <w:r>
        <w:rPr>
          <w:rFonts w:hint="eastAsia" w:ascii="Arial" w:hAnsi="Arial"/>
          <w:b/>
          <w:bCs/>
          <w:color w:val="000000" w:themeColor="text1"/>
          <w:sz w:val="30"/>
          <w:szCs w:val="30"/>
          <w:highlight w:val="none"/>
          <w14:textFill>
            <w14:solidFill>
              <w14:schemeClr w14:val="tx1"/>
            </w14:solidFill>
          </w14:textFill>
        </w:rPr>
        <w:t>企业实力、业绩及企业信誉证明材料</w:t>
      </w:r>
    </w:p>
    <w:p>
      <w:pPr>
        <w:spacing w:after="100" w:line="360" w:lineRule="auto"/>
        <w:ind w:firstLine="480" w:firstLineChars="200"/>
        <w:jc w:val="left"/>
        <w:rPr>
          <w:rFonts w:ascii="宋体" w:hAnsi="宋体" w:cs="宋体"/>
          <w:color w:val="000000" w:themeColor="text1"/>
          <w:sz w:val="24"/>
          <w:highlight w:val="none"/>
          <w14:textFill>
            <w14:solidFill>
              <w14:schemeClr w14:val="tx1"/>
            </w14:solidFill>
          </w14:textFill>
        </w:rPr>
      </w:pPr>
    </w:p>
    <w:p>
      <w:pPr>
        <w:spacing w:before="60" w:after="60" w:line="360" w:lineRule="auto"/>
        <w:ind w:firstLine="480" w:firstLineChars="200"/>
        <w:rPr>
          <w:rFonts w:ascii="宋体" w:hAnsi="宋体" w:cs="宋体"/>
          <w:color w:val="000000" w:themeColor="text1"/>
          <w:sz w:val="24"/>
          <w:highlight w:val="none"/>
          <w14:textFill>
            <w14:solidFill>
              <w14:schemeClr w14:val="tx1"/>
            </w14:solidFill>
          </w14:textFill>
        </w:rPr>
      </w:pPr>
    </w:p>
    <w:p>
      <w:pPr>
        <w:spacing w:line="360" w:lineRule="auto"/>
        <w:ind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项目业绩证明文件复印件</w:t>
      </w:r>
    </w:p>
    <w:p>
      <w:pPr>
        <w:spacing w:line="360" w:lineRule="auto"/>
        <w:ind w:firstLine="480" w:firstLineChars="200"/>
        <w:jc w:val="center"/>
        <w:rPr>
          <w:rFonts w:ascii="宋体" w:hAnsi="宋体" w:cs="宋体"/>
          <w:color w:val="000000" w:themeColor="text1"/>
          <w:sz w:val="24"/>
          <w:highlight w:val="none"/>
          <w14:textFill>
            <w14:solidFill>
              <w14:schemeClr w14:val="tx1"/>
            </w14:solidFill>
          </w14:textFill>
        </w:rPr>
      </w:pPr>
    </w:p>
    <w:p>
      <w:pPr>
        <w:snapToGrid w:val="0"/>
        <w:spacing w:line="360" w:lineRule="auto"/>
        <w:ind w:firstLine="480" w:firstLineChars="200"/>
        <w:jc w:val="center"/>
        <w:rPr>
          <w:rFonts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企业信誉证明文件复印件</w:t>
      </w:r>
    </w:p>
    <w:p>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p>
    <w:p>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lang w:val="en-US" w:eastAsia="zh-CN"/>
          <w14:textFill>
            <w14:solidFill>
              <w14:schemeClr w14:val="tx1"/>
            </w14:solidFill>
          </w14:textFill>
        </w:rPr>
        <w:t>10.</w:t>
      </w:r>
      <w:r>
        <w:rPr>
          <w:rFonts w:hint="eastAsia"/>
          <w:b/>
          <w:bCs/>
          <w:color w:val="000000" w:themeColor="text1"/>
          <w:sz w:val="30"/>
          <w:szCs w:val="30"/>
          <w:highlight w:val="none"/>
          <w14:textFill>
            <w14:solidFill>
              <w14:schemeClr w14:val="tx1"/>
            </w14:solidFill>
          </w14:textFill>
        </w:rPr>
        <w:t>投标人认为需要提供的其他资料。</w:t>
      </w:r>
    </w:p>
    <w:p>
      <w:pPr>
        <w:snapToGrid w:val="0"/>
        <w:ind w:left="480" w:hanging="480" w:hangingChars="200"/>
        <w:rPr>
          <w:rFonts w:ascii="宋体" w:hAnsi="宋体"/>
          <w:color w:val="000000" w:themeColor="text1"/>
          <w:sz w:val="24"/>
          <w:highlight w:val="none"/>
          <w14:textFill>
            <w14:solidFill>
              <w14:schemeClr w14:val="tx1"/>
            </w14:solidFill>
          </w14:textFill>
        </w:rPr>
      </w:pPr>
    </w:p>
    <w:p>
      <w:pPr>
        <w:snapToGrid w:val="0"/>
        <w:ind w:left="480" w:hanging="480" w:hangingChars="200"/>
        <w:rPr>
          <w:rFonts w:ascii="宋体" w:hAnsi="宋体"/>
          <w:color w:val="000000" w:themeColor="text1"/>
          <w:sz w:val="24"/>
          <w:highlight w:val="none"/>
          <w14:textFill>
            <w14:solidFill>
              <w14:schemeClr w14:val="tx1"/>
            </w14:solidFill>
          </w14:textFill>
        </w:rPr>
      </w:pPr>
    </w:p>
    <w:p>
      <w:pPr>
        <w:snapToGrid w:val="0"/>
        <w:spacing w:line="360" w:lineRule="auto"/>
        <w:ind w:firstLine="4935" w:firstLineChars="2350"/>
        <w:rPr>
          <w:rFonts w:hAnsi="宋体"/>
          <w:color w:val="000000" w:themeColor="text1"/>
          <w:szCs w:val="21"/>
          <w:highlight w:val="none"/>
          <w14:textFill>
            <w14:solidFill>
              <w14:schemeClr w14:val="tx1"/>
            </w14:solidFill>
          </w14:textFill>
        </w:rPr>
      </w:pPr>
    </w:p>
    <w:p>
      <w:pPr>
        <w:snapToGrid w:val="0"/>
        <w:spacing w:line="360" w:lineRule="auto"/>
        <w:ind w:firstLine="10080" w:firstLineChars="4200"/>
        <w:rPr>
          <w:rFonts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pPr>
        <w:pStyle w:val="23"/>
        <w:snapToGrid w:val="0"/>
        <w:ind w:left="0" w:firstLine="0" w:firstLineChars="0"/>
        <w:rPr>
          <w:rFonts w:ascii="宋体" w:hAnsi="宋体"/>
          <w:color w:val="000000" w:themeColor="text1"/>
          <w:sz w:val="24"/>
          <w:highlight w:val="none"/>
          <w14:textFill>
            <w14:solidFill>
              <w14:schemeClr w14:val="tx1"/>
            </w14:solidFill>
          </w14:textFill>
        </w:rPr>
      </w:pPr>
    </w:p>
    <w:p>
      <w:pPr>
        <w:rPr>
          <w:rFonts w:hint="eastAsia"/>
          <w:b/>
          <w:color w:val="000000" w:themeColor="text1"/>
          <w:sz w:val="28"/>
          <w:szCs w:val="28"/>
          <w:highlight w:val="none"/>
          <w14:textFill>
            <w14:solidFill>
              <w14:schemeClr w14:val="tx1"/>
            </w14:solidFill>
          </w14:textFill>
        </w:rPr>
      </w:pPr>
      <w:bookmarkStart w:id="284" w:name="_Toc19686839"/>
      <w:r>
        <w:rPr>
          <w:rFonts w:hint="eastAsia"/>
          <w:b/>
          <w:color w:val="000000" w:themeColor="text1"/>
          <w:sz w:val="28"/>
          <w:szCs w:val="28"/>
          <w:highlight w:val="none"/>
          <w:lang w:eastAsia="zh-CN"/>
          <w14:textFill>
            <w14:solidFill>
              <w14:schemeClr w14:val="tx1"/>
            </w14:solidFill>
          </w14:textFill>
        </w:rPr>
        <w:t>三</w:t>
      </w:r>
      <w:r>
        <w:rPr>
          <w:rFonts w:hint="eastAsia"/>
          <w:b/>
          <w:color w:val="000000" w:themeColor="text1"/>
          <w:sz w:val="28"/>
          <w:szCs w:val="28"/>
          <w:highlight w:val="none"/>
          <w14:textFill>
            <w14:solidFill>
              <w14:schemeClr w14:val="tx1"/>
            </w14:solidFill>
          </w14:textFill>
        </w:rPr>
        <w:t>、技术文件格式</w:t>
      </w:r>
      <w:bookmarkEnd w:id="284"/>
    </w:p>
    <w:p>
      <w:pPr>
        <w:snapToGrid w:val="0"/>
        <w:spacing w:before="120" w:beforeLines="50" w:after="50"/>
        <w:ind w:left="142"/>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1. 技术文件封面格式： </w:t>
      </w:r>
    </w:p>
    <w:p>
      <w:pPr>
        <w:snapToGrid w:val="0"/>
        <w:spacing w:before="120" w:beforeLines="50" w:after="50" w:line="360" w:lineRule="auto"/>
        <w:ind w:left="142"/>
        <w:jc w:val="center"/>
        <w:rPr>
          <w:rFonts w:hint="eastAsia" w:ascii="宋体" w:hAnsi="宋体" w:eastAsia="Arial Unicode MS"/>
          <w:bCs/>
          <w:color w:val="000000" w:themeColor="text1"/>
          <w:sz w:val="48"/>
          <w:szCs w:val="48"/>
          <w:highlight w:val="none"/>
          <w14:textFill>
            <w14:solidFill>
              <w14:schemeClr w14:val="tx1"/>
            </w14:solidFill>
          </w14:textFill>
        </w:rPr>
      </w:pPr>
      <w:r>
        <w:rPr>
          <w:rFonts w:hint="eastAsia" w:ascii="宋体" w:hAnsi="宋体" w:eastAsia="Arial Unicode MS"/>
          <w:bCs/>
          <w:color w:val="000000" w:themeColor="text1"/>
          <w:sz w:val="48"/>
          <w:szCs w:val="48"/>
          <w:highlight w:val="none"/>
          <w14:textFill>
            <w14:solidFill>
              <w14:schemeClr w14:val="tx1"/>
            </w14:solidFill>
          </w14:textFill>
        </w:rPr>
        <w:t>电子投标文件</w:t>
      </w:r>
    </w:p>
    <w:p>
      <w:pPr>
        <w:snapToGrid w:val="0"/>
        <w:spacing w:before="120" w:beforeLines="50" w:after="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w:t>
      </w:r>
    </w:p>
    <w:p>
      <w:pPr>
        <w:snapToGrid w:val="0"/>
        <w:spacing w:before="120" w:beforeLines="50" w:after="50"/>
        <w:rPr>
          <w:rFonts w:hint="eastAsia" w:ascii="宋体" w:hAnsi="宋体"/>
          <w:bCs/>
          <w:color w:val="000000" w:themeColor="text1"/>
          <w:sz w:val="24"/>
          <w:szCs w:val="20"/>
          <w:highlight w:val="none"/>
          <w14:textFill>
            <w14:solidFill>
              <w14:schemeClr w14:val="tx1"/>
            </w14:solidFill>
          </w14:textFill>
        </w:rPr>
      </w:pPr>
    </w:p>
    <w:p>
      <w:pPr>
        <w:snapToGrid w:val="0"/>
        <w:spacing w:before="120" w:beforeLines="50" w:after="50" w:line="400" w:lineRule="exact"/>
        <w:ind w:firstLine="360" w:firstLineChars="150"/>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p>
    <w:p>
      <w:pPr>
        <w:snapToGrid w:val="0"/>
        <w:spacing w:before="120"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r>
        <w:rPr>
          <w:rFonts w:hint="eastAsia" w:ascii="宋体" w:hAnsi="宋体"/>
          <w:bCs/>
          <w:color w:val="000000" w:themeColor="text1"/>
          <w:sz w:val="24"/>
          <w:highlight w:val="none"/>
          <w:lang w:eastAsia="zh-CN"/>
          <w14:textFill>
            <w14:solidFill>
              <w14:schemeClr w14:val="tx1"/>
            </w14:solidFill>
          </w14:textFill>
        </w:rPr>
        <w:t>（加盖电子签章）</w:t>
      </w:r>
      <w:r>
        <w:rPr>
          <w:rFonts w:hint="eastAsia" w:ascii="宋体" w:hAnsi="宋体"/>
          <w:bCs/>
          <w:color w:val="000000" w:themeColor="text1"/>
          <w:sz w:val="24"/>
          <w:highlight w:val="none"/>
          <w14:textFill>
            <w14:solidFill>
              <w14:schemeClr w14:val="tx1"/>
            </w14:solidFill>
          </w14:textFill>
        </w:rPr>
        <w:t>：</w:t>
      </w:r>
    </w:p>
    <w:p>
      <w:pPr>
        <w:snapToGrid w:val="0"/>
        <w:spacing w:before="120"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pPr>
        <w:snapToGrid w:val="0"/>
        <w:spacing w:before="120" w:beforeLines="50" w:after="50"/>
        <w:ind w:firstLine="645"/>
        <w:jc w:val="center"/>
        <w:rPr>
          <w:rFonts w:hint="eastAsia" w:ascii="宋体" w:hAnsi="宋体"/>
          <w:color w:val="000000" w:themeColor="text1"/>
          <w:sz w:val="24"/>
          <w:szCs w:val="20"/>
          <w:highlight w:val="none"/>
          <w14:textFill>
            <w14:solidFill>
              <w14:schemeClr w14:val="tx1"/>
            </w14:solidFill>
          </w14:textFill>
        </w:rPr>
      </w:pPr>
    </w:p>
    <w:p>
      <w:pPr>
        <w:snapToGrid w:val="0"/>
        <w:spacing w:before="120" w:beforeLines="50" w:after="50"/>
        <w:ind w:left="142"/>
        <w:jc w:val="left"/>
        <w:rPr>
          <w:rFonts w:hint="eastAsia" w:ascii="宋体" w:hAnsi="宋体"/>
          <w:b/>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br w:type="page"/>
      </w:r>
      <w:r>
        <w:rPr>
          <w:rFonts w:hint="eastAsia" w:ascii="宋体" w:hAnsi="宋体"/>
          <w:b/>
          <w:bCs/>
          <w:color w:val="000000" w:themeColor="text1"/>
          <w:sz w:val="24"/>
          <w:highlight w:val="none"/>
          <w14:textFill>
            <w14:solidFill>
              <w14:schemeClr w14:val="tx1"/>
            </w14:solidFill>
          </w14:textFill>
        </w:rPr>
        <w:t>2.技术文件目录</w:t>
      </w:r>
    </w:p>
    <w:p>
      <w:pPr>
        <w:snapToGrid w:val="0"/>
        <w:spacing w:before="50" w:after="120" w:afterLines="50" w:line="280" w:lineRule="exact"/>
        <w:ind w:left="283" w:leftChars="135"/>
        <w:jc w:val="left"/>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根据招标文件规定及投标人提供的材料自行编写目录。</w:t>
      </w:r>
    </w:p>
    <w:p>
      <w:pPr>
        <w:snapToGrid w:val="0"/>
        <w:spacing w:before="120" w:beforeLines="50" w:after="50"/>
        <w:jc w:val="left"/>
        <w:rPr>
          <w:rFonts w:ascii="宋体" w:hAnsi="宋体"/>
          <w:b/>
          <w:color w:val="000000" w:themeColor="text1"/>
          <w:sz w:val="24"/>
          <w:highlight w:val="none"/>
          <w14:textFill>
            <w14:solidFill>
              <w14:schemeClr w14:val="tx1"/>
            </w14:solidFill>
          </w14:textFill>
        </w:rPr>
      </w:pPr>
    </w:p>
    <w:p>
      <w:pPr>
        <w:snapToGrid w:val="0"/>
        <w:spacing w:before="165" w:beforeLines="50" w:after="50"/>
        <w:jc w:val="left"/>
        <w:rPr>
          <w:rFonts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ascii="宋体" w:hAnsi="宋体"/>
          <w:b/>
          <w:color w:val="000000" w:themeColor="text1"/>
          <w:sz w:val="24"/>
          <w:highlight w:val="none"/>
          <w14:textFill>
            <w14:solidFill>
              <w14:schemeClr w14:val="tx1"/>
            </w14:solidFill>
          </w14:textFill>
        </w:rPr>
        <w:t xml:space="preserve"> </w:t>
      </w:r>
    </w:p>
    <w:p>
      <w:pPr>
        <w:pStyle w:val="41"/>
        <w:rPr>
          <w:rFonts w:hint="eastAsia" w:ascii="宋体" w:hAnsi="宋体"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Times New Roman"/>
          <w:b/>
          <w:bCs/>
          <w:color w:val="000000" w:themeColor="text1"/>
          <w:kern w:val="2"/>
          <w:sz w:val="24"/>
          <w:szCs w:val="24"/>
          <w:highlight w:val="none"/>
          <w:lang w:val="en-US" w:eastAsia="zh-CN" w:bidi="ar-SA"/>
          <w14:textFill>
            <w14:solidFill>
              <w14:schemeClr w14:val="tx1"/>
            </w14:solidFill>
          </w14:textFill>
        </w:rPr>
        <w:t>3.投标人根据招标文件采购需求及评标办法的相关要求编制，格式自拟。</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jc w:val="left"/>
        <w:textAlignment w:val="auto"/>
        <w:rPr>
          <w:rStyle w:val="46"/>
          <w:rFonts w:ascii="宋体" w:hAnsi="宋体" w:cs="宋体"/>
          <w:b w:val="0"/>
          <w:bCs/>
          <w:color w:val="000000" w:themeColor="text1"/>
          <w:sz w:val="21"/>
          <w:szCs w:val="21"/>
          <w:highlight w:val="none"/>
          <w14:textFill>
            <w14:solidFill>
              <w14:schemeClr w14:val="tx1"/>
            </w14:solidFill>
          </w14:textFill>
        </w:rPr>
      </w:pPr>
      <w:r>
        <w:rPr>
          <w:rStyle w:val="46"/>
          <w:rFonts w:hint="eastAsia" w:ascii="宋体" w:hAnsi="宋体" w:cs="宋体"/>
          <w:b w:val="0"/>
          <w:bCs/>
          <w:color w:val="000000" w:themeColor="text1"/>
          <w:sz w:val="21"/>
          <w:szCs w:val="21"/>
          <w:highlight w:val="none"/>
          <w:lang w:val="en-US" w:eastAsia="zh-CN"/>
          <w14:textFill>
            <w14:solidFill>
              <w14:schemeClr w14:val="tx1"/>
            </w14:solidFill>
          </w14:textFill>
        </w:rPr>
        <w:t>3.1</w:t>
      </w:r>
      <w:r>
        <w:rPr>
          <w:rStyle w:val="46"/>
          <w:rFonts w:hint="eastAsia" w:ascii="宋体" w:hAnsi="宋体" w:cs="宋体"/>
          <w:b w:val="0"/>
          <w:bCs/>
          <w:color w:val="000000" w:themeColor="text1"/>
          <w:sz w:val="21"/>
          <w:szCs w:val="21"/>
          <w:highlight w:val="none"/>
          <w14:textFill>
            <w14:solidFill>
              <w14:schemeClr w14:val="tx1"/>
            </w14:solidFill>
          </w14:textFill>
        </w:rPr>
        <w:t>项目公司组建方案</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jc w:val="left"/>
        <w:textAlignment w:val="auto"/>
        <w:rPr>
          <w:rStyle w:val="46"/>
          <w:rFonts w:ascii="宋体" w:hAnsi="宋体" w:cs="宋体"/>
          <w:b w:val="0"/>
          <w:bCs/>
          <w:color w:val="000000" w:themeColor="text1"/>
          <w:sz w:val="21"/>
          <w:szCs w:val="21"/>
          <w:highlight w:val="none"/>
          <w14:textFill>
            <w14:solidFill>
              <w14:schemeClr w14:val="tx1"/>
            </w14:solidFill>
          </w14:textFill>
        </w:rPr>
      </w:pPr>
      <w:r>
        <w:rPr>
          <w:rStyle w:val="46"/>
          <w:rFonts w:hint="eastAsia" w:ascii="宋体" w:hAnsi="宋体" w:cs="宋体"/>
          <w:b w:val="0"/>
          <w:bCs/>
          <w:color w:val="000000" w:themeColor="text1"/>
          <w:sz w:val="21"/>
          <w:szCs w:val="21"/>
          <w:highlight w:val="none"/>
          <w:lang w:val="en-US" w:eastAsia="zh-CN"/>
          <w14:textFill>
            <w14:solidFill>
              <w14:schemeClr w14:val="tx1"/>
            </w14:solidFill>
          </w14:textFill>
        </w:rPr>
        <w:t>3.2</w:t>
      </w:r>
      <w:r>
        <w:rPr>
          <w:rStyle w:val="46"/>
          <w:rFonts w:hint="eastAsia" w:ascii="宋体" w:hAnsi="宋体" w:cs="宋体"/>
          <w:b w:val="0"/>
          <w:bCs/>
          <w:color w:val="000000" w:themeColor="text1"/>
          <w:sz w:val="21"/>
          <w:szCs w:val="21"/>
          <w:highlight w:val="none"/>
          <w14:textFill>
            <w14:solidFill>
              <w14:schemeClr w14:val="tx1"/>
            </w14:solidFill>
          </w14:textFill>
        </w:rPr>
        <w:t>工程建设方案</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jc w:val="left"/>
        <w:textAlignment w:val="auto"/>
        <w:rPr>
          <w:rStyle w:val="46"/>
          <w:rFonts w:ascii="宋体" w:hAnsi="宋体" w:cs="宋体"/>
          <w:b w:val="0"/>
          <w:bCs/>
          <w:color w:val="000000" w:themeColor="text1"/>
          <w:sz w:val="21"/>
          <w:szCs w:val="21"/>
          <w:highlight w:val="none"/>
          <w14:textFill>
            <w14:solidFill>
              <w14:schemeClr w14:val="tx1"/>
            </w14:solidFill>
          </w14:textFill>
        </w:rPr>
      </w:pPr>
      <w:r>
        <w:rPr>
          <w:rStyle w:val="46"/>
          <w:rFonts w:hint="eastAsia" w:ascii="宋体" w:hAnsi="宋体" w:cs="宋体"/>
          <w:b w:val="0"/>
          <w:bCs/>
          <w:color w:val="000000" w:themeColor="text1"/>
          <w:sz w:val="21"/>
          <w:szCs w:val="21"/>
          <w:highlight w:val="none"/>
          <w:lang w:val="en-US" w:eastAsia="zh-CN"/>
          <w14:textFill>
            <w14:solidFill>
              <w14:schemeClr w14:val="tx1"/>
            </w14:solidFill>
          </w14:textFill>
        </w:rPr>
        <w:t>3.3</w:t>
      </w:r>
      <w:r>
        <w:rPr>
          <w:rStyle w:val="46"/>
          <w:rFonts w:hint="eastAsia" w:ascii="宋体" w:hAnsi="宋体" w:cs="宋体"/>
          <w:b w:val="0"/>
          <w:bCs/>
          <w:color w:val="000000" w:themeColor="text1"/>
          <w:sz w:val="21"/>
          <w:szCs w:val="21"/>
          <w:highlight w:val="none"/>
          <w14:textFill>
            <w14:solidFill>
              <w14:schemeClr w14:val="tx1"/>
            </w14:solidFill>
          </w14:textFill>
        </w:rPr>
        <w:t>运营维护方案</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jc w:val="left"/>
        <w:textAlignment w:val="auto"/>
        <w:rPr>
          <w:rStyle w:val="46"/>
          <w:rFonts w:ascii="宋体" w:hAnsi="宋体" w:cs="宋体"/>
          <w:b w:val="0"/>
          <w:bCs/>
          <w:color w:val="000000" w:themeColor="text1"/>
          <w:sz w:val="21"/>
          <w:szCs w:val="21"/>
          <w:highlight w:val="none"/>
          <w14:textFill>
            <w14:solidFill>
              <w14:schemeClr w14:val="tx1"/>
            </w14:solidFill>
          </w14:textFill>
        </w:rPr>
      </w:pPr>
      <w:r>
        <w:rPr>
          <w:rStyle w:val="46"/>
          <w:rFonts w:hint="eastAsia" w:ascii="宋体" w:hAnsi="宋体" w:cs="宋体"/>
          <w:b w:val="0"/>
          <w:bCs/>
          <w:color w:val="000000" w:themeColor="text1"/>
          <w:sz w:val="21"/>
          <w:szCs w:val="21"/>
          <w:highlight w:val="none"/>
          <w:lang w:val="en-US" w:eastAsia="zh-CN"/>
          <w14:textFill>
            <w14:solidFill>
              <w14:schemeClr w14:val="tx1"/>
            </w14:solidFill>
          </w14:textFill>
        </w:rPr>
        <w:t>3.4</w:t>
      </w:r>
      <w:r>
        <w:rPr>
          <w:rStyle w:val="46"/>
          <w:rFonts w:hint="eastAsia" w:ascii="宋体" w:hAnsi="宋体" w:cs="宋体"/>
          <w:b w:val="0"/>
          <w:bCs/>
          <w:color w:val="000000" w:themeColor="text1"/>
          <w:sz w:val="21"/>
          <w:szCs w:val="21"/>
          <w:highlight w:val="none"/>
          <w14:textFill>
            <w14:solidFill>
              <w14:schemeClr w14:val="tx1"/>
            </w14:solidFill>
          </w14:textFill>
        </w:rPr>
        <w:t>移交方案</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jc w:val="left"/>
        <w:textAlignment w:val="auto"/>
        <w:rPr>
          <w:rStyle w:val="46"/>
          <w:rFonts w:ascii="宋体" w:hAnsi="宋体" w:cs="宋体"/>
          <w:b w:val="0"/>
          <w:bCs/>
          <w:color w:val="000000" w:themeColor="text1"/>
          <w:sz w:val="21"/>
          <w:szCs w:val="21"/>
          <w:highlight w:val="none"/>
          <w14:textFill>
            <w14:solidFill>
              <w14:schemeClr w14:val="tx1"/>
            </w14:solidFill>
          </w14:textFill>
        </w:rPr>
      </w:pPr>
      <w:r>
        <w:rPr>
          <w:rStyle w:val="46"/>
          <w:rFonts w:hint="eastAsia" w:ascii="宋体" w:hAnsi="宋体" w:cs="宋体"/>
          <w:b w:val="0"/>
          <w:bCs/>
          <w:color w:val="000000" w:themeColor="text1"/>
          <w:sz w:val="21"/>
          <w:szCs w:val="21"/>
          <w:highlight w:val="none"/>
          <w:lang w:val="en-US" w:eastAsia="zh-CN"/>
          <w14:textFill>
            <w14:solidFill>
              <w14:schemeClr w14:val="tx1"/>
            </w14:solidFill>
          </w14:textFill>
        </w:rPr>
        <w:t>3.5</w:t>
      </w:r>
      <w:r>
        <w:rPr>
          <w:rStyle w:val="46"/>
          <w:rFonts w:hint="eastAsia" w:ascii="宋体" w:hAnsi="宋体" w:cs="宋体"/>
          <w:b w:val="0"/>
          <w:bCs/>
          <w:color w:val="000000" w:themeColor="text1"/>
          <w:sz w:val="21"/>
          <w:szCs w:val="21"/>
          <w:highlight w:val="none"/>
          <w14:textFill>
            <w14:solidFill>
              <w14:schemeClr w14:val="tx1"/>
            </w14:solidFill>
          </w14:textFill>
        </w:rPr>
        <w:t>投融资方案</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jc w:val="left"/>
        <w:textAlignment w:val="auto"/>
        <w:rPr>
          <w:rFonts w:ascii="宋体" w:hAnsi="宋体"/>
          <w:b w:val="0"/>
          <w:bCs/>
          <w:color w:val="000000" w:themeColor="text1"/>
          <w:sz w:val="21"/>
          <w:szCs w:val="21"/>
          <w:highlight w:val="none"/>
          <w14:textFill>
            <w14:solidFill>
              <w14:schemeClr w14:val="tx1"/>
            </w14:solidFill>
          </w14:textFill>
        </w:rPr>
        <w:sectPr>
          <w:headerReference r:id="rId17" w:type="default"/>
          <w:footerReference r:id="rId18" w:type="default"/>
          <w:pgSz w:w="11906" w:h="16838"/>
          <w:pgMar w:top="1134" w:right="1134" w:bottom="1134" w:left="1134" w:header="720" w:footer="720" w:gutter="0"/>
          <w:cols w:space="720" w:num="1"/>
          <w:docGrid w:type="lines" w:linePitch="331" w:charSpace="0"/>
        </w:sectPr>
      </w:pPr>
      <w:r>
        <w:rPr>
          <w:rStyle w:val="46"/>
          <w:rFonts w:hint="eastAsia" w:ascii="宋体" w:hAnsi="宋体" w:cs="宋体"/>
          <w:b w:val="0"/>
          <w:bCs/>
          <w:color w:val="000000" w:themeColor="text1"/>
          <w:sz w:val="21"/>
          <w:szCs w:val="21"/>
          <w:highlight w:val="none"/>
          <w:lang w:val="en-US" w:eastAsia="zh-CN"/>
          <w14:textFill>
            <w14:solidFill>
              <w14:schemeClr w14:val="tx1"/>
            </w14:solidFill>
          </w14:textFill>
        </w:rPr>
        <w:t>3.6</w:t>
      </w:r>
      <w:r>
        <w:rPr>
          <w:rStyle w:val="46"/>
          <w:rFonts w:hint="eastAsia" w:ascii="宋体" w:hAnsi="宋体" w:cs="宋体"/>
          <w:b w:val="0"/>
          <w:bCs/>
          <w:color w:val="000000" w:themeColor="text1"/>
          <w:sz w:val="21"/>
          <w:szCs w:val="21"/>
          <w:highlight w:val="none"/>
          <w14:textFill>
            <w14:solidFill>
              <w14:schemeClr w14:val="tx1"/>
            </w14:solidFill>
          </w14:textFill>
        </w:rPr>
        <w:t>投标人认为需要提供的其他资料</w:t>
      </w:r>
      <w:r>
        <w:rPr>
          <w:rStyle w:val="46"/>
          <w:rFonts w:ascii="宋体" w:hAnsi="宋体" w:cs="宋体"/>
          <w:b w:val="0"/>
          <w:bCs/>
          <w:color w:val="000000" w:themeColor="text1"/>
          <w:sz w:val="21"/>
          <w:szCs w:val="21"/>
          <w:highlight w:val="none"/>
          <w14:textFill>
            <w14:solidFill>
              <w14:schemeClr w14:val="tx1"/>
            </w14:solidFill>
          </w14:textFill>
        </w:rPr>
        <w:t xml:space="preserve">  </w:t>
      </w:r>
    </w:p>
    <w:p>
      <w:pPr>
        <w:rPr>
          <w:color w:val="000000" w:themeColor="text1"/>
          <w:highlight w:val="none"/>
          <w14:textFill>
            <w14:solidFill>
              <w14:schemeClr w14:val="tx1"/>
            </w14:solidFill>
          </w14:textFill>
        </w:rPr>
      </w:pPr>
      <w:r>
        <w:rPr>
          <w:rStyle w:val="46"/>
          <w:rFonts w:ascii="宋体" w:hAnsi="宋体" w:cs="宋体"/>
          <w:b/>
          <w:color w:val="000000" w:themeColor="text1"/>
          <w:sz w:val="24"/>
          <w:highlight w:val="none"/>
          <w14:textFill>
            <w14:solidFill>
              <w14:schemeClr w14:val="tx1"/>
            </w14:solidFill>
          </w14:textFill>
        </w:rPr>
        <w:t xml:space="preserve">  </w:t>
      </w: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hint="eastAsia" w:ascii="Times New Roman" w:hAnsi="Times New Roman"/>
          <w:b/>
          <w:color w:val="000000" w:themeColor="text1"/>
          <w:sz w:val="36"/>
          <w:highlight w:val="none"/>
          <w14:textFill>
            <w14:solidFill>
              <w14:schemeClr w14:val="tx1"/>
            </w14:solidFill>
          </w14:textFill>
        </w:rPr>
      </w:pPr>
    </w:p>
    <w:p>
      <w:pPr>
        <w:pStyle w:val="15"/>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285" w:name="_Toc18932"/>
      <w:r>
        <w:rPr>
          <w:rFonts w:hint="eastAsia" w:ascii="Times New Roman" w:hAnsi="Times New Roman"/>
          <w:b/>
          <w:color w:val="000000" w:themeColor="text1"/>
          <w:sz w:val="36"/>
          <w:highlight w:val="none"/>
          <w14:textFill>
            <w14:solidFill>
              <w14:schemeClr w14:val="tx1"/>
            </w14:solidFill>
          </w14:textFill>
        </w:rPr>
        <w:t>第七章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质疑、投诉证明</w:t>
      </w:r>
      <w:r>
        <w:rPr>
          <w:rFonts w:hint="eastAsia" w:ascii="Times New Roman" w:hAnsi="Times New Roman"/>
          <w:b/>
          <w:color w:val="000000" w:themeColor="text1"/>
          <w:sz w:val="36"/>
          <w:highlight w:val="none"/>
          <w:lang w:eastAsia="zh-CN"/>
          <w14:textFill>
            <w14:solidFill>
              <w14:schemeClr w14:val="tx1"/>
            </w14:solidFill>
          </w14:textFill>
        </w:rPr>
        <w:t>等其他</w:t>
      </w:r>
      <w:r>
        <w:rPr>
          <w:rFonts w:hint="eastAsia" w:ascii="Times New Roman" w:hAnsi="Times New Roman"/>
          <w:b/>
          <w:color w:val="000000" w:themeColor="text1"/>
          <w:sz w:val="36"/>
          <w:highlight w:val="none"/>
          <w14:textFill>
            <w14:solidFill>
              <w14:schemeClr w14:val="tx1"/>
            </w14:solidFill>
          </w14:textFill>
        </w:rPr>
        <w:t>材料格式</w:t>
      </w:r>
      <w:bookmarkEnd w:id="285"/>
    </w:p>
    <w:p>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sectPr>
          <w:headerReference r:id="rId19" w:type="default"/>
          <w:footerReference r:id="rId20" w:type="default"/>
          <w:pgSz w:w="11906" w:h="16838"/>
          <w:pgMar w:top="1134" w:right="1134" w:bottom="1134" w:left="1134" w:header="720" w:footer="720" w:gutter="0"/>
          <w:cols w:space="720" w:num="1"/>
          <w:docGrid w:type="lines" w:linePitch="331" w:charSpace="0"/>
        </w:sectPr>
      </w:pPr>
    </w:p>
    <w:p>
      <w:pPr>
        <w:widowControl/>
        <w:shd w:val="clear" w:color="auto" w:fill="FFFFFF"/>
        <w:spacing w:line="260" w:lineRule="exact"/>
        <w:jc w:val="left"/>
        <w:rPr>
          <w:rFonts w:ascii="宋体" w:hAnsi="宋体"/>
          <w:b/>
          <w:bCs/>
          <w:color w:val="000000" w:themeColor="text1"/>
          <w:sz w:val="28"/>
          <w:szCs w:val="28"/>
          <w:highlight w:val="none"/>
          <w14:textFill>
            <w14:solidFill>
              <w14:schemeClr w14:val="tx1"/>
            </w14:solidFill>
          </w14:textFill>
        </w:rPr>
      </w:pPr>
    </w:p>
    <w:p>
      <w:pPr>
        <w:pStyle w:val="5"/>
        <w:jc w:val="center"/>
        <w:rPr>
          <w:rFonts w:ascii="宋体" w:hAnsi="宋体"/>
          <w:b w:val="0"/>
          <w:bCs w:val="0"/>
          <w:color w:val="000000" w:themeColor="text1"/>
          <w:highlight w:val="none"/>
          <w14:textFill>
            <w14:solidFill>
              <w14:schemeClr w14:val="tx1"/>
            </w14:solidFill>
          </w14:textFill>
        </w:rPr>
      </w:pPr>
      <w:bookmarkStart w:id="286" w:name="_Toc15128"/>
      <w:bookmarkStart w:id="287" w:name="_Toc28181"/>
      <w:bookmarkStart w:id="288" w:name="_Toc24802"/>
      <w:bookmarkStart w:id="289" w:name="_Toc4335"/>
      <w:bookmarkStart w:id="290" w:name="_Toc31463"/>
      <w:bookmarkStart w:id="291" w:name="_Toc26615"/>
      <w:r>
        <w:rPr>
          <w:rFonts w:hint="eastAsia" w:ascii="宋体" w:hAnsi="宋体"/>
          <w:b w:val="0"/>
          <w:bCs w:val="0"/>
          <w:color w:val="000000" w:themeColor="text1"/>
          <w:highlight w:val="none"/>
          <w:lang w:val="en-US" w:eastAsia="zh-CN"/>
          <w14:textFill>
            <w14:solidFill>
              <w14:schemeClr w14:val="tx1"/>
            </w14:solidFill>
          </w14:textFill>
        </w:rPr>
        <w:t>1.</w:t>
      </w:r>
      <w:r>
        <w:rPr>
          <w:rFonts w:hint="eastAsia" w:ascii="宋体" w:hAnsi="宋体"/>
          <w:b w:val="0"/>
          <w:bCs w:val="0"/>
          <w:color w:val="000000" w:themeColor="text1"/>
          <w:highlight w:val="none"/>
          <w14:textFill>
            <w14:solidFill>
              <w14:schemeClr w14:val="tx1"/>
            </w14:solidFill>
          </w14:textFill>
        </w:rPr>
        <w:t>质疑函（格式）</w:t>
      </w:r>
      <w:bookmarkEnd w:id="286"/>
      <w:bookmarkEnd w:id="287"/>
      <w:bookmarkEnd w:id="288"/>
      <w:bookmarkEnd w:id="289"/>
      <w:bookmarkEnd w:id="290"/>
      <w:bookmarkEnd w:id="291"/>
    </w:p>
    <w:p>
      <w:pPr>
        <w:jc w:val="center"/>
        <w:rPr>
          <w:rFonts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pPr>
        <w:adjustRightInd w:val="0"/>
        <w:snapToGrid w:val="0"/>
        <w:spacing w:before="331" w:beforeLines="100"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一、质疑供应商基本信息</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质疑供应商：</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地址：</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邮编：</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授权代表：</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地址： </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邮编：</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二、质疑项目基本情况</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质疑项目的名称：</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质疑项目的编号：</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包号：</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项目实施机构</w:t>
      </w:r>
      <w:r>
        <w:rPr>
          <w:rFonts w:hint="eastAsia" w:ascii="宋体" w:hAnsi="宋体" w:eastAsia="宋体" w:cs="宋体"/>
          <w:color w:val="000000" w:themeColor="text1"/>
          <w:sz w:val="21"/>
          <w:szCs w:val="21"/>
          <w:highlight w:val="none"/>
          <w14:textFill>
            <w14:solidFill>
              <w14:schemeClr w14:val="tx1"/>
            </w14:solidFill>
          </w14:textFill>
        </w:rPr>
        <w:t>名称：</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采购文件获取日期：</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三、质疑事项具体内容</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质疑事项1：</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事实依据：</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法律依据：</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质疑事项2</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adjustRightInd w:val="0"/>
        <w:snapToGrid w:val="0"/>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四、与质疑事项相关的质疑请求</w:t>
      </w:r>
    </w:p>
    <w:p>
      <w:pPr>
        <w:adjustRightInd w:val="0"/>
        <w:snapToGrid w:val="0"/>
        <w:spacing w:line="360" w:lineRule="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请求：</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签字(签章)：                   公章：                      </w:t>
      </w:r>
    </w:p>
    <w:p>
      <w:pP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日期：    </w:t>
      </w: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adjustRightInd w:val="0"/>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p>
    <w:p>
      <w:pPr>
        <w:jc w:val="center"/>
        <w:rPr>
          <w:rFonts w:hint="eastAsia" w:ascii="宋体" w:hAnsi="宋体" w:eastAsia="宋体" w:cs="宋体"/>
          <w:b/>
          <w:bCs/>
          <w:color w:val="000000" w:themeColor="text1"/>
          <w:sz w:val="21"/>
          <w:szCs w:val="21"/>
          <w:highlight w:val="none"/>
          <w14:textFill>
            <w14:solidFill>
              <w14:schemeClr w14:val="tx1"/>
            </w14:solidFill>
          </w14:textFill>
        </w:rPr>
      </w:pPr>
    </w:p>
    <w:p>
      <w:pPr>
        <w:jc w:val="center"/>
        <w:rPr>
          <w:rFonts w:hint="eastAsia" w:ascii="宋体" w:hAnsi="宋体" w:eastAsia="宋体" w:cs="宋体"/>
          <w:b/>
          <w:bCs/>
          <w:color w:val="000000" w:themeColor="text1"/>
          <w:sz w:val="21"/>
          <w:szCs w:val="21"/>
          <w:highlight w:val="none"/>
          <w14:textFill>
            <w14:solidFill>
              <w14:schemeClr w14:val="tx1"/>
            </w14:solidFill>
          </w14:textFill>
        </w:rPr>
      </w:pPr>
    </w:p>
    <w:p>
      <w:pPr>
        <w:jc w:val="center"/>
        <w:rPr>
          <w:rFonts w:hint="eastAsia" w:ascii="宋体" w:hAnsi="宋体" w:eastAsia="宋体" w:cs="宋体"/>
          <w:b/>
          <w:bCs/>
          <w:color w:val="000000" w:themeColor="text1"/>
          <w:sz w:val="21"/>
          <w:szCs w:val="21"/>
          <w:highlight w:val="none"/>
          <w14:textFill>
            <w14:solidFill>
              <w14:schemeClr w14:val="tx1"/>
            </w14:solidFill>
          </w14:textFill>
        </w:rPr>
      </w:pPr>
    </w:p>
    <w:p>
      <w:pPr>
        <w:jc w:val="center"/>
        <w:rPr>
          <w:rFonts w:hint="eastAsia" w:ascii="宋体" w:hAnsi="宋体" w:eastAsia="宋体" w:cs="宋体"/>
          <w:b/>
          <w:bCs/>
          <w:color w:val="000000" w:themeColor="text1"/>
          <w:sz w:val="21"/>
          <w:szCs w:val="21"/>
          <w:highlight w:val="none"/>
          <w14:textFill>
            <w14:solidFill>
              <w14:schemeClr w14:val="tx1"/>
            </w14:solidFill>
          </w14:textFill>
        </w:rPr>
      </w:pPr>
    </w:p>
    <w:p>
      <w:pPr>
        <w:jc w:val="center"/>
        <w:rPr>
          <w:rFonts w:hint="eastAsia" w:ascii="宋体" w:hAnsi="宋体" w:eastAsia="宋体" w:cs="宋体"/>
          <w:b/>
          <w:bCs/>
          <w:color w:val="000000" w:themeColor="text1"/>
          <w:sz w:val="21"/>
          <w:szCs w:val="21"/>
          <w:highlight w:val="none"/>
          <w14:textFill>
            <w14:solidFill>
              <w14:schemeClr w14:val="tx1"/>
            </w14:solidFill>
          </w14:textFill>
        </w:rPr>
      </w:pPr>
    </w:p>
    <w:p>
      <w:pPr>
        <w:jc w:val="center"/>
        <w:rPr>
          <w:rFonts w:hint="eastAsia" w:ascii="宋体" w:hAnsi="宋体" w:eastAsia="宋体" w:cs="宋体"/>
          <w:b/>
          <w:bCs/>
          <w:color w:val="000000" w:themeColor="text1"/>
          <w:sz w:val="21"/>
          <w:szCs w:val="21"/>
          <w:highlight w:val="none"/>
          <w14:textFill>
            <w14:solidFill>
              <w14:schemeClr w14:val="tx1"/>
            </w14:solidFill>
          </w14:textFill>
        </w:rPr>
      </w:pPr>
    </w:p>
    <w:p>
      <w:pPr>
        <w:pStyle w:val="19"/>
        <w:rPr>
          <w:rFonts w:hint="eastAsia"/>
          <w:color w:val="000000" w:themeColor="text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质疑函制作说明：</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1.供应商提出质疑时，应提交质疑函和必要的证明材料。</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2.质疑供应商若委托代理人进行质疑的，质疑函应按要求列明“授权代表”的有关内容，并在附件中提交由质疑</w:t>
      </w:r>
      <w:r>
        <w:rPr>
          <w:rFonts w:hint="eastAsia" w:ascii="宋体" w:hAnsi="宋体" w:eastAsia="宋体" w:cs="宋体"/>
          <w:color w:val="000000" w:themeColor="text1"/>
          <w:kern w:val="0"/>
          <w:sz w:val="21"/>
          <w:szCs w:val="21"/>
          <w:highlight w:val="none"/>
          <w14:textFill>
            <w14:solidFill>
              <w14:schemeClr w14:val="tx1"/>
            </w14:solidFill>
          </w14:textFill>
        </w:rPr>
        <w:t>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3.质疑供应商若对项目的某一分包进行质疑，质疑函中应列明具体分包号。</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4.质疑函的质疑事项应具体、明确，并有必要的事实依据和法律依据。</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5.质疑函的质疑请求应与质疑事项相关。</w:t>
      </w:r>
    </w:p>
    <w:p>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p>
    <w:p>
      <w:pPr>
        <w:snapToGrid w:val="0"/>
        <w:spacing w:before="50" w:after="165" w:afterLines="50" w:line="360" w:lineRule="auto"/>
        <w:ind w:firstLine="420" w:firstLineChars="200"/>
        <w:jc w:val="left"/>
        <w:rPr>
          <w:rFonts w:hint="eastAsia" w:ascii="宋体" w:hAnsi="宋体" w:eastAsia="宋体" w:cs="宋体"/>
          <w:color w:val="000000" w:themeColor="text1"/>
          <w:kern w:val="0"/>
          <w:sz w:val="21"/>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pPr>
        <w:pStyle w:val="5"/>
        <w:jc w:val="center"/>
        <w:rPr>
          <w:rFonts w:ascii="宋体" w:hAnsi="宋体"/>
          <w:b w:val="0"/>
          <w:bCs w:val="0"/>
          <w:color w:val="000000" w:themeColor="text1"/>
          <w:highlight w:val="none"/>
          <w14:textFill>
            <w14:solidFill>
              <w14:schemeClr w14:val="tx1"/>
            </w14:solidFill>
          </w14:textFill>
        </w:rPr>
      </w:pPr>
      <w:bookmarkStart w:id="292" w:name="_Toc16971"/>
      <w:bookmarkStart w:id="293" w:name="_Toc32490"/>
      <w:bookmarkStart w:id="294" w:name="_Toc28966"/>
      <w:bookmarkStart w:id="295" w:name="_Toc21005"/>
      <w:bookmarkStart w:id="296" w:name="_Toc7831"/>
      <w:bookmarkStart w:id="297" w:name="_Toc29989"/>
      <w:r>
        <w:rPr>
          <w:rFonts w:hint="eastAsia" w:ascii="宋体" w:hAnsi="宋体"/>
          <w:b w:val="0"/>
          <w:bCs w:val="0"/>
          <w:color w:val="000000" w:themeColor="text1"/>
          <w:highlight w:val="none"/>
          <w:lang w:val="en-US" w:eastAsia="zh-CN"/>
          <w14:textFill>
            <w14:solidFill>
              <w14:schemeClr w14:val="tx1"/>
            </w14:solidFill>
          </w14:textFill>
        </w:rPr>
        <w:t>2.</w:t>
      </w:r>
      <w:r>
        <w:rPr>
          <w:rFonts w:hint="eastAsia" w:ascii="宋体" w:hAnsi="宋体"/>
          <w:b w:val="0"/>
          <w:bCs w:val="0"/>
          <w:color w:val="000000" w:themeColor="text1"/>
          <w:highlight w:val="none"/>
          <w14:textFill>
            <w14:solidFill>
              <w14:schemeClr w14:val="tx1"/>
            </w14:solidFill>
          </w14:textFill>
        </w:rPr>
        <w:t>投诉书（格式）</w:t>
      </w:r>
      <w:bookmarkEnd w:id="292"/>
      <w:bookmarkEnd w:id="293"/>
      <w:bookmarkEnd w:id="294"/>
      <w:bookmarkEnd w:id="295"/>
      <w:bookmarkEnd w:id="296"/>
      <w:bookmarkEnd w:id="297"/>
    </w:p>
    <w:p>
      <w:pPr>
        <w:pStyle w:val="5"/>
        <w:jc w:val="center"/>
        <w:rPr>
          <w:rFonts w:hint="eastAsia" w:ascii="宋体" w:hAnsi="宋体"/>
          <w:b w:val="0"/>
          <w:bCs w:val="0"/>
          <w:color w:val="000000" w:themeColor="text1"/>
          <w:highlight w:val="none"/>
          <w14:textFill>
            <w14:solidFill>
              <w14:schemeClr w14:val="tx1"/>
            </w14:solidFill>
          </w14:textFill>
        </w:rPr>
      </w:pPr>
      <w:bookmarkStart w:id="298" w:name="_Toc4295"/>
      <w:bookmarkStart w:id="299" w:name="_Toc15295"/>
      <w:bookmarkStart w:id="300" w:name="_Toc14170"/>
      <w:r>
        <w:rPr>
          <w:rFonts w:hint="eastAsia" w:ascii="宋体" w:hAnsi="宋体"/>
          <w:b w:val="0"/>
          <w:bCs w:val="0"/>
          <w:color w:val="000000" w:themeColor="text1"/>
          <w:highlight w:val="none"/>
          <w14:textFill>
            <w14:solidFill>
              <w14:schemeClr w14:val="tx1"/>
            </w14:solidFill>
          </w14:textFill>
        </w:rPr>
        <w:t>投诉书范本</w:t>
      </w:r>
      <w:bookmarkEnd w:id="298"/>
      <w:bookmarkEnd w:id="299"/>
      <w:bookmarkEnd w:id="300"/>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一、投诉相关主体基本情况</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投诉人：</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邮编：</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tabs>
          <w:tab w:val="left" w:pos="6510"/>
        </w:tabs>
        <w:kinsoku/>
        <w:wordWrap/>
        <w:overflowPunct/>
        <w:topLinePunct w:val="0"/>
        <w:autoSpaceDE/>
        <w:autoSpaceDN/>
        <w:bidi w:val="0"/>
        <w:adjustRightInd/>
        <w:spacing w:line="440" w:lineRule="exact"/>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法定代表人/主要负责人：</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val="0"/>
        <w:keepLines w:val="0"/>
        <w:pageBreakBefore w:val="0"/>
        <w:tabs>
          <w:tab w:val="left" w:pos="6510"/>
        </w:tabs>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授权代表：</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邮编：</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被投诉人1：</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邮编：</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被投诉人2</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相关供应商：</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地     址：</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邮编：</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二、投诉项目基本情况</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采购项目名称：</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采购项目编号：</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包号：</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项目实施机构</w:t>
      </w:r>
      <w:r>
        <w:rPr>
          <w:rFonts w:hint="eastAsia" w:ascii="宋体" w:hAnsi="宋体" w:eastAsia="宋体" w:cs="宋体"/>
          <w:color w:val="000000" w:themeColor="text1"/>
          <w:sz w:val="21"/>
          <w:szCs w:val="21"/>
          <w:highlight w:val="none"/>
          <w14:textFill>
            <w14:solidFill>
              <w14:schemeClr w14:val="tx1"/>
            </w14:solidFill>
          </w14:textFill>
        </w:rPr>
        <w:t>名称：</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代理机构名称：</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采购文件公告:</w:t>
      </w:r>
      <w:r>
        <w:rPr>
          <w:rFonts w:hint="eastAsia" w:ascii="宋体" w:hAnsi="宋体" w:eastAsia="宋体" w:cs="宋体"/>
          <w:color w:val="000000" w:themeColor="text1"/>
          <w:sz w:val="21"/>
          <w:szCs w:val="21"/>
          <w:highlight w:val="none"/>
          <w:u w:val="dotted"/>
          <w14:textFill>
            <w14:solidFill>
              <w14:schemeClr w14:val="tx1"/>
            </w14:solidFill>
          </w14:textFill>
        </w:rPr>
        <w:t xml:space="preserve">是/否 </w:t>
      </w:r>
      <w:r>
        <w:rPr>
          <w:rFonts w:hint="eastAsia" w:ascii="宋体" w:hAnsi="宋体" w:eastAsia="宋体" w:cs="宋体"/>
          <w:color w:val="000000" w:themeColor="text1"/>
          <w:sz w:val="21"/>
          <w:szCs w:val="21"/>
          <w:highlight w:val="none"/>
          <w14:textFill>
            <w14:solidFill>
              <w14:schemeClr w14:val="tx1"/>
            </w14:solidFill>
          </w14:textFill>
        </w:rPr>
        <w:t>公告期限：</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采购结果公告:</w:t>
      </w:r>
      <w:r>
        <w:rPr>
          <w:rFonts w:hint="eastAsia" w:ascii="宋体" w:hAnsi="宋体" w:eastAsia="宋体" w:cs="宋体"/>
          <w:color w:val="000000" w:themeColor="text1"/>
          <w:sz w:val="21"/>
          <w:szCs w:val="21"/>
          <w:highlight w:val="none"/>
          <w:u w:val="dotted"/>
          <w14:textFill>
            <w14:solidFill>
              <w14:schemeClr w14:val="tx1"/>
            </w14:solidFill>
          </w14:textFill>
        </w:rPr>
        <w:t xml:space="preserve">是/否 </w:t>
      </w:r>
      <w:r>
        <w:rPr>
          <w:rFonts w:hint="eastAsia" w:ascii="宋体" w:hAnsi="宋体" w:eastAsia="宋体" w:cs="宋体"/>
          <w:color w:val="000000" w:themeColor="text1"/>
          <w:sz w:val="21"/>
          <w:szCs w:val="21"/>
          <w:highlight w:val="none"/>
          <w14:textFill>
            <w14:solidFill>
              <w14:schemeClr w14:val="tx1"/>
            </w14:solidFill>
          </w14:textFill>
        </w:rPr>
        <w:t>公告期限：</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三、质疑基本情况</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投诉人于</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日,向</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提出质疑，质疑事项为：</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ind w:firstLine="315" w:firstLineChars="15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dotted"/>
          <w:lang w:eastAsia="zh-CN"/>
          <w14:textFill>
            <w14:solidFill>
              <w14:schemeClr w14:val="tx1"/>
            </w14:solidFill>
          </w14:textFill>
        </w:rPr>
        <w:t>项目实施机构</w:t>
      </w:r>
      <w:r>
        <w:rPr>
          <w:rFonts w:hint="eastAsia" w:ascii="宋体" w:hAnsi="宋体" w:eastAsia="宋体" w:cs="宋体"/>
          <w:color w:val="000000" w:themeColor="text1"/>
          <w:sz w:val="21"/>
          <w:szCs w:val="21"/>
          <w:highlight w:val="none"/>
          <w:u w:val="dotted"/>
          <w14:textFill>
            <w14:solidFill>
              <w14:schemeClr w14:val="tx1"/>
            </w14:solidFill>
          </w14:textFill>
        </w:rPr>
        <w:t>/代理机构</w:t>
      </w:r>
      <w:r>
        <w:rPr>
          <w:rFonts w:hint="eastAsia" w:ascii="宋体" w:hAnsi="宋体" w:eastAsia="宋体" w:cs="宋体"/>
          <w:color w:val="000000" w:themeColor="text1"/>
          <w:sz w:val="21"/>
          <w:szCs w:val="21"/>
          <w:highlight w:val="none"/>
          <w14:textFill>
            <w14:solidFill>
              <w14:schemeClr w14:val="tx1"/>
            </w14:solidFill>
          </w14:textFill>
        </w:rPr>
        <w:t>于</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日,就质疑事项作出了答复/没有在法定期限内作出答复。</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四、投诉事项具体内容</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投诉事项 1：</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事实依据：</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法律依据：</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投诉事项2</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dotted"/>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五、与投诉事项相关的投诉请求</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请求：</w:t>
      </w:r>
      <w:r>
        <w:rPr>
          <w:rFonts w:hint="eastAsia" w:ascii="宋体" w:hAnsi="宋体" w:eastAsia="宋体" w:cs="宋体"/>
          <w:color w:val="000000" w:themeColor="text1"/>
          <w:sz w:val="21"/>
          <w:szCs w:val="21"/>
          <w:highlight w:val="none"/>
          <w:u w:val="dotted"/>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签字(签章)：                   公章：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日期：    </w:t>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p>
    <w:p>
      <w:pP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br w:type="page"/>
      </w: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投诉书制作说明：</w:t>
      </w:r>
    </w:p>
    <w:p>
      <w:pPr>
        <w:keepNext w:val="0"/>
        <w:keepLines w:val="0"/>
        <w:pageBreakBefore w:val="0"/>
        <w:widowControl/>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1.投诉人提起投诉时，应当提交投诉书和必要的证明材料，并按照被投诉人和与投诉事项有关的供应商数量提供投诉书副本。</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2.投诉人若委托代理人进行投诉的，投诉书应按照要求列明“授权代表”的有关内容，并在附件中提交由</w:t>
      </w:r>
      <w:r>
        <w:rPr>
          <w:rFonts w:hint="eastAsia" w:ascii="宋体" w:hAnsi="宋体" w:eastAsia="宋体" w:cs="宋体"/>
          <w:color w:val="000000" w:themeColor="text1"/>
          <w:kern w:val="0"/>
          <w:sz w:val="21"/>
          <w:szCs w:val="21"/>
          <w:highlight w:val="none"/>
          <w14:textFill>
            <w14:solidFill>
              <w14:schemeClr w14:val="tx1"/>
            </w14:solidFill>
          </w14:textFill>
        </w:rPr>
        <w:t>投诉人签署的授权委托书。授权委托书应当载明代理人的姓名或者名称、代理事项、具体权限、期限和相关事项。</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3.投诉人若对项目的某一分包进行投诉，投诉书应列明具体分包号。</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4.投诉书应简要列明质疑事项，质疑函、质疑答复等作为附件材料提供。</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5.投诉书的投诉事项应具体、明确，并有必要的事实依据和法律依据。</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6.投诉书的投诉请求应与投诉事项相关。</w:t>
      </w:r>
    </w:p>
    <w:p>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keepNext w:val="0"/>
        <w:keepLines w:val="0"/>
        <w:pageBreakBefore w:val="0"/>
        <w:kinsoku/>
        <w:wordWrap/>
        <w:overflowPunct/>
        <w:topLinePunct w:val="0"/>
        <w:autoSpaceDE/>
        <w:autoSpaceDN/>
        <w:bidi w:val="0"/>
        <w:adjustRightInd/>
        <w:snapToGrid w:val="0"/>
        <w:spacing w:before="50" w:after="165" w:afterLines="50" w:line="440" w:lineRule="exact"/>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5"/>
        <w:jc w:val="center"/>
        <w:rPr>
          <w:rFonts w:hint="eastAsia" w:ascii="宋体" w:hAnsi="宋体"/>
          <w:b w:val="0"/>
          <w:bCs w:val="0"/>
          <w:color w:val="000000" w:themeColor="text1"/>
          <w:highlight w:val="none"/>
          <w:lang w:val="en-US" w:eastAsia="zh-CN"/>
          <w14:textFill>
            <w14:solidFill>
              <w14:schemeClr w14:val="tx1"/>
            </w14:solidFill>
          </w14:textFill>
        </w:rPr>
      </w:pPr>
      <w:bookmarkStart w:id="301" w:name="_Toc1404"/>
      <w:bookmarkStart w:id="302" w:name="_Toc19368"/>
      <w:bookmarkStart w:id="303" w:name="_Toc24106"/>
      <w:bookmarkStart w:id="304" w:name="_Toc618"/>
      <w:bookmarkStart w:id="305" w:name="_Toc796"/>
      <w:r>
        <w:rPr>
          <w:rFonts w:hint="eastAsia" w:ascii="宋体" w:hAnsi="宋体"/>
          <w:b w:val="0"/>
          <w:bCs w:val="0"/>
          <w:color w:val="000000" w:themeColor="text1"/>
          <w:highlight w:val="none"/>
          <w:lang w:val="en-US" w:eastAsia="zh-CN"/>
          <w14:textFill>
            <w14:solidFill>
              <w14:schemeClr w14:val="tx1"/>
            </w14:solidFill>
          </w14:textFill>
        </w:rPr>
        <w:t>3.其他文书、文件格式</w:t>
      </w:r>
      <w:bookmarkEnd w:id="301"/>
      <w:bookmarkEnd w:id="302"/>
      <w:bookmarkEnd w:id="303"/>
      <w:bookmarkEnd w:id="304"/>
      <w:bookmarkEnd w:id="305"/>
    </w:p>
    <w:p>
      <w:pPr>
        <w:snapToGrid w:val="0"/>
        <w:spacing w:before="120" w:beforeLines="50" w:after="50"/>
        <w:jc w:val="left"/>
        <w:rPr>
          <w:rFonts w:hint="eastAsia"/>
          <w:color w:val="000000" w:themeColor="text1"/>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中小企业声明函格式</w:t>
      </w:r>
    </w:p>
    <w:p>
      <w:pPr>
        <w:rPr>
          <w:rFonts w:hint="eastAsia"/>
          <w:color w:val="000000" w:themeColor="text1"/>
          <w:highlight w:val="none"/>
          <w14:textFill>
            <w14:solidFill>
              <w14:schemeClr w14:val="tx1"/>
            </w14:solidFill>
          </w14:textFill>
        </w:rPr>
      </w:pPr>
    </w:p>
    <w:p>
      <w:pPr>
        <w:jc w:val="center"/>
        <w:rPr>
          <w:rFonts w:hint="eastAsia" w:ascii="Arial Unicode MS" w:hAnsi="Arial Unicode MS" w:eastAsia="Arial Unicode MS" w:cs="Arial Unicode MS"/>
          <w:color w:val="000000" w:themeColor="text1"/>
          <w:sz w:val="44"/>
          <w:szCs w:val="44"/>
          <w:highlight w:val="none"/>
          <w14:textFill>
            <w14:solidFill>
              <w14:schemeClr w14:val="tx1"/>
            </w14:solidFill>
          </w14:textFill>
        </w:rPr>
      </w:pPr>
      <w:r>
        <w:rPr>
          <w:rFonts w:hint="eastAsia" w:ascii="Arial Unicode MS" w:hAnsi="Arial Unicode MS" w:eastAsia="Arial Unicode MS" w:cs="Arial Unicode MS"/>
          <w:color w:val="000000" w:themeColor="text1"/>
          <w:sz w:val="44"/>
          <w:szCs w:val="44"/>
          <w:highlight w:val="none"/>
          <w14:textFill>
            <w14:solidFill>
              <w14:schemeClr w14:val="tx1"/>
            </w14:solidFill>
          </w14:textFill>
        </w:rPr>
        <w:t>中小企业声明函（服务）</w:t>
      </w:r>
    </w:p>
    <w:p>
      <w:pPr>
        <w:spacing w:before="2" w:line="500" w:lineRule="exact"/>
        <w:rPr>
          <w:rFonts w:ascii="宋体" w:hAnsi="宋体" w:cs="宋体"/>
          <w:b/>
          <w:bCs/>
          <w:color w:val="000000" w:themeColor="text1"/>
          <w:sz w:val="24"/>
          <w:highlight w:val="none"/>
          <w14:textFill>
            <w14:solidFill>
              <w14:schemeClr w14:val="tx1"/>
            </w14:solidFill>
          </w14:textFill>
        </w:rPr>
      </w:pPr>
    </w:p>
    <w:p>
      <w:pPr>
        <w:pStyle w:val="2"/>
        <w:spacing w:line="500" w:lineRule="exact"/>
        <w:ind w:right="142"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r>
        <w:rPr>
          <w:rFonts w:ascii="宋体" w:hAnsi="宋体"/>
          <w:color w:val="000000" w:themeColor="text1"/>
          <w:highlight w:val="none"/>
          <w:u w:val="single"/>
          <w14:textFill>
            <w14:solidFill>
              <w14:schemeClr w14:val="tx1"/>
            </w14:solidFill>
          </w14:textFill>
        </w:rPr>
        <w:t>（单位名称）</w:t>
      </w:r>
      <w:r>
        <w:rPr>
          <w:rFonts w:ascii="宋体" w:hAnsi="宋体"/>
          <w:color w:val="000000" w:themeColor="text1"/>
          <w:highlight w:val="none"/>
          <w14:textFill>
            <w14:solidFill>
              <w14:schemeClr w14:val="tx1"/>
            </w14:solidFill>
          </w14:textFill>
        </w:rPr>
        <w:t>的</w:t>
      </w:r>
      <w:r>
        <w:rPr>
          <w:rFonts w:ascii="宋体" w:hAnsi="宋体"/>
          <w:color w:val="000000" w:themeColor="text1"/>
          <w:highlight w:val="none"/>
          <w:u w:val="single"/>
          <w14:textFill>
            <w14:solidFill>
              <w14:schemeClr w14:val="tx1"/>
            </w14:solidFill>
          </w14:textFill>
        </w:rPr>
        <w:t>（项目名称）</w:t>
      </w:r>
      <w:r>
        <w:rPr>
          <w:rFonts w:ascii="宋体" w:hAnsi="宋体"/>
          <w:color w:val="000000" w:themeColor="text1"/>
          <w:highlight w:val="none"/>
          <w14:textFill>
            <w14:solidFill>
              <w14:schemeClr w14:val="tx1"/>
            </w14:solidFill>
          </w14:textFill>
        </w:rPr>
        <w:t>采购活动，</w:t>
      </w:r>
      <w:r>
        <w:rPr>
          <w:rFonts w:hint="eastAsia" w:ascii="宋体" w:hAnsi="宋体"/>
          <w:color w:val="000000" w:themeColor="text1"/>
          <w:highlight w:val="none"/>
          <w14:textFill>
            <w14:solidFill>
              <w14:schemeClr w14:val="tx1"/>
            </w14:solidFill>
          </w14:textFill>
        </w:rPr>
        <w:t>服务全部由符合政策要求的中小企业承接。相关企业（含联合体中的中小企业、签订分包意向协议的中小企业）的具体情况如下：</w:t>
      </w:r>
    </w:p>
    <w:p>
      <w:pPr>
        <w:tabs>
          <w:tab w:val="left" w:pos="1384"/>
          <w:tab w:val="left" w:pos="4562"/>
          <w:tab w:val="left" w:pos="6803"/>
        </w:tabs>
        <w:spacing w:before="13" w:line="500" w:lineRule="exact"/>
        <w:ind w:right="142" w:firstLine="686" w:firstLineChars="286"/>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（采购文件中明确的所属</w:t>
      </w:r>
      <w:r>
        <w:rPr>
          <w:rFonts w:hint="eastAsia" w:ascii="宋体" w:hAnsi="宋体"/>
          <w:color w:val="000000" w:themeColor="text1"/>
          <w:sz w:val="24"/>
          <w:highlight w:val="none"/>
          <w:u w:val="single"/>
          <w14:textFill>
            <w14:solidFill>
              <w14:schemeClr w14:val="tx1"/>
            </w14:solidFill>
          </w14:textFill>
        </w:rPr>
        <w:t>行</w:t>
      </w:r>
      <w:r>
        <w:rPr>
          <w:rFonts w:ascii="宋体" w:hAnsi="宋体"/>
          <w:color w:val="000000" w:themeColor="text1"/>
          <w:sz w:val="24"/>
          <w:highlight w:val="none"/>
          <w:u w:val="single"/>
          <w14:textFill>
            <w14:solidFill>
              <w14:schemeClr w14:val="tx1"/>
            </w14:solidFill>
          </w14:textFill>
        </w:rPr>
        <w:t>业）</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承接企业为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（中型企业、</w:t>
      </w:r>
      <w:r>
        <w:rPr>
          <w:rFonts w:hint="eastAsia" w:ascii="宋体" w:hAnsi="宋体"/>
          <w:color w:val="000000" w:themeColor="text1"/>
          <w:sz w:val="24"/>
          <w:highlight w:val="none"/>
          <w:u w:val="single"/>
          <w14:textFill>
            <w14:solidFill>
              <w14:schemeClr w14:val="tx1"/>
            </w14:solidFill>
          </w14:textFill>
        </w:rPr>
        <w:t>小型企业、微型企业）</w:t>
      </w:r>
      <w:r>
        <w:rPr>
          <w:rFonts w:hint="eastAsia" w:ascii="宋体" w:hAnsi="宋体"/>
          <w:color w:val="000000" w:themeColor="text1"/>
          <w:sz w:val="24"/>
          <w:highlight w:val="none"/>
          <w14:textFill>
            <w14:solidFill>
              <w14:schemeClr w14:val="tx1"/>
            </w14:solidFill>
          </w14:textFill>
        </w:rPr>
        <w:t>；</w:t>
      </w:r>
    </w:p>
    <w:p>
      <w:pPr>
        <w:tabs>
          <w:tab w:val="left" w:pos="1065"/>
          <w:tab w:val="left" w:pos="4262"/>
          <w:tab w:val="left" w:pos="6477"/>
        </w:tabs>
        <w:spacing w:before="20" w:line="500" w:lineRule="exact"/>
        <w:ind w:right="84" w:firstLine="686" w:firstLineChars="286"/>
        <w:rPr>
          <w:rFonts w:ascii="宋体" w:hAnsi="宋体"/>
          <w:color w:val="000000" w:themeColor="text1"/>
          <w:sz w:val="24"/>
          <w:highlight w:val="none"/>
          <w:u w:val="singl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u w:val="single"/>
          <w14:textFill>
            <w14:solidFill>
              <w14:schemeClr w14:val="tx1"/>
            </w14:solidFill>
          </w14:textFill>
        </w:rPr>
        <w:t>（标的名称）</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（采购文件中明确的所属</w:t>
      </w:r>
      <w:r>
        <w:rPr>
          <w:rFonts w:hint="eastAsia" w:ascii="宋体" w:hAnsi="宋体"/>
          <w:color w:val="000000" w:themeColor="text1"/>
          <w:sz w:val="24"/>
          <w:highlight w:val="none"/>
          <w:u w:val="single"/>
          <w14:textFill>
            <w14:solidFill>
              <w14:schemeClr w14:val="tx1"/>
            </w14:solidFill>
          </w14:textFill>
        </w:rPr>
        <w:t>行业</w:t>
      </w:r>
      <w:r>
        <w:rPr>
          <w:rFonts w:ascii="宋体" w:hAnsi="宋体"/>
          <w:color w:val="000000" w:themeColor="text1"/>
          <w:sz w:val="24"/>
          <w:highlight w:val="none"/>
          <w:u w:val="single"/>
          <w14:textFill>
            <w14:solidFill>
              <w14:schemeClr w14:val="tx1"/>
            </w14:solidFill>
          </w14:textFill>
        </w:rPr>
        <w:t>）</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承接企业为</w:t>
      </w:r>
      <w:r>
        <w:rPr>
          <w:rFonts w:hint="eastAsia" w:ascii="宋体" w:hAnsi="宋体"/>
          <w:color w:val="000000" w:themeColor="text1"/>
          <w:sz w:val="24"/>
          <w:highlight w:val="none"/>
          <w:u w:val="single"/>
          <w14:textFill>
            <w14:solidFill>
              <w14:schemeClr w14:val="tx1"/>
            </w14:solidFill>
          </w14:textFill>
        </w:rPr>
        <w:t>（企业名称）</w:t>
      </w:r>
      <w:r>
        <w:rPr>
          <w:rFonts w:hint="eastAsia" w:ascii="宋体" w:hAnsi="宋体"/>
          <w:color w:val="000000" w:themeColor="text1"/>
          <w:sz w:val="24"/>
          <w:highlight w:val="none"/>
          <w14:textFill>
            <w14:solidFill>
              <w14:schemeClr w14:val="tx1"/>
            </w14:solidFill>
          </w14:textFill>
        </w:rPr>
        <w:t>，从业人员</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人，营业收入为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万元，资产总额为</w:t>
      </w:r>
      <w:r>
        <w:rPr>
          <w:rFonts w:hint="eastAsia" w:ascii="宋体" w:hAnsi="宋体"/>
          <w:color w:val="000000" w:themeColor="text1"/>
          <w:sz w:val="24"/>
          <w:highlight w:val="none"/>
          <w:u w:val="single"/>
          <w14:textFill>
            <w14:solidFill>
              <w14:schemeClr w14:val="tx1"/>
            </w14:solidFill>
          </w14:textFill>
        </w:rPr>
        <w:t xml:space="preserve"> </w:t>
      </w:r>
      <w:r>
        <w:rPr>
          <w:rFonts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万元</w:t>
      </w:r>
      <w:r>
        <w:rPr>
          <w:rFonts w:ascii="宋体" w:hAnsi="宋体"/>
          <w:color w:val="000000" w:themeColor="text1"/>
          <w:sz w:val="24"/>
          <w:highlight w:val="none"/>
          <w14:textFill>
            <w14:solidFill>
              <w14:schemeClr w14:val="tx1"/>
            </w14:solidFill>
          </w14:textFill>
        </w:rPr>
        <w:t>，属于</w:t>
      </w:r>
      <w:r>
        <w:rPr>
          <w:rFonts w:ascii="宋体" w:hAnsi="宋体"/>
          <w:color w:val="000000" w:themeColor="text1"/>
          <w:sz w:val="24"/>
          <w:highlight w:val="none"/>
          <w:u w:val="single"/>
          <w14:textFill>
            <w14:solidFill>
              <w14:schemeClr w14:val="tx1"/>
            </w14:solidFill>
          </w14:textFill>
        </w:rPr>
        <w:t>（中型企业、</w:t>
      </w:r>
      <w:r>
        <w:rPr>
          <w:rFonts w:hint="eastAsia" w:ascii="宋体" w:hAnsi="宋体"/>
          <w:color w:val="000000" w:themeColor="text1"/>
          <w:sz w:val="24"/>
          <w:highlight w:val="none"/>
          <w:u w:val="single"/>
          <w14:textFill>
            <w14:solidFill>
              <w14:schemeClr w14:val="tx1"/>
            </w14:solidFill>
          </w14:textFill>
        </w:rPr>
        <w:t>小型企业、微型企业）</w:t>
      </w:r>
      <w:r>
        <w:rPr>
          <w:rFonts w:hint="eastAsia" w:ascii="宋体" w:hAnsi="宋体"/>
          <w:color w:val="000000" w:themeColor="text1"/>
          <w:sz w:val="24"/>
          <w:highlight w:val="none"/>
          <w14:textFill>
            <w14:solidFill>
              <w14:schemeClr w14:val="tx1"/>
            </w14:solidFill>
          </w14:textFill>
        </w:rPr>
        <w:t>；</w:t>
      </w:r>
    </w:p>
    <w:p>
      <w:pPr>
        <w:pStyle w:val="2"/>
        <w:spacing w:before="34" w:line="500" w:lineRule="exact"/>
        <w:ind w:left="765" w:right="142" w:hanging="5"/>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 </w:t>
      </w:r>
    </w:p>
    <w:p>
      <w:pPr>
        <w:pStyle w:val="2"/>
        <w:spacing w:before="34" w:line="500" w:lineRule="exact"/>
        <w:ind w:right="142" w:firstLine="420" w:firstLineChars="200"/>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pPr>
        <w:pStyle w:val="2"/>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本企业对上述声明内容的真实性负责。如有虚假，将依法承担相应责任。</w:t>
      </w:r>
    </w:p>
    <w:p>
      <w:pPr>
        <w:pStyle w:val="2"/>
        <w:spacing w:before="56" w:line="500" w:lineRule="exact"/>
        <w:ind w:left="3960" w:right="1808"/>
        <w:rPr>
          <w:rFonts w:ascii="宋体" w:hAnsi="宋体"/>
          <w:color w:val="000000" w:themeColor="text1"/>
          <w:highlight w:val="none"/>
          <w14:textFill>
            <w14:solidFill>
              <w14:schemeClr w14:val="tx1"/>
            </w14:solidFill>
          </w14:textFill>
        </w:rPr>
      </w:pPr>
      <w:r>
        <w:rPr>
          <w:rFonts w:ascii="宋体" w:hAnsi="宋体"/>
          <w:color w:val="000000" w:themeColor="text1"/>
          <w:kern w:val="24"/>
          <w:highlight w:val="none"/>
          <w14:textFill>
            <w14:solidFill>
              <w14:schemeClr w14:val="tx1"/>
            </w14:solidFill>
          </w14:textFill>
        </w:rPr>
        <w:t>企业名称（</w:t>
      </w:r>
      <w:r>
        <w:rPr>
          <w:rFonts w:hint="eastAsia" w:ascii="宋体" w:hAnsi="宋体"/>
          <w:color w:val="000000" w:themeColor="text1"/>
          <w:spacing w:val="6"/>
          <w:sz w:val="24"/>
          <w:highlight w:val="none"/>
          <w:lang w:eastAsia="zh-CN"/>
          <w14:textFill>
            <w14:solidFill>
              <w14:schemeClr w14:val="tx1"/>
            </w14:solidFill>
          </w14:textFill>
        </w:rPr>
        <w:t>盖章</w:t>
      </w:r>
      <w:r>
        <w:rPr>
          <w:rFonts w:hint="eastAsia" w:ascii="宋体" w:hAnsi="宋体"/>
          <w:color w:val="000000" w:themeColor="text1"/>
          <w:spacing w:val="6"/>
          <w:sz w:val="24"/>
          <w:highlight w:val="none"/>
          <w:lang w:val="en-US" w:eastAsia="zh-CN"/>
          <w14:textFill>
            <w14:solidFill>
              <w14:schemeClr w14:val="tx1"/>
            </w14:solidFill>
          </w14:textFill>
        </w:rPr>
        <w:t>/</w:t>
      </w:r>
      <w:r>
        <w:rPr>
          <w:rFonts w:hint="eastAsia" w:ascii="宋体" w:hAnsi="宋体"/>
          <w:color w:val="000000" w:themeColor="text1"/>
          <w:spacing w:val="6"/>
          <w:sz w:val="24"/>
          <w:highlight w:val="none"/>
          <w14:textFill>
            <w14:solidFill>
              <w14:schemeClr w14:val="tx1"/>
            </w14:solidFill>
          </w14:textFill>
        </w:rPr>
        <w:t>电子签章</w:t>
      </w:r>
      <w:r>
        <w:rPr>
          <w:rFonts w:ascii="宋体" w:hAnsi="宋体"/>
          <w:color w:val="000000" w:themeColor="text1"/>
          <w:kern w:val="24"/>
          <w:highlight w:val="none"/>
          <w14:textFill>
            <w14:solidFill>
              <w14:schemeClr w14:val="tx1"/>
            </w14:solidFill>
          </w14:textFill>
        </w:rPr>
        <w:t>）：</w:t>
      </w:r>
      <w:r>
        <w:rPr>
          <w:rFonts w:ascii="宋体" w:hAnsi="宋体"/>
          <w:color w:val="000000" w:themeColor="text1"/>
          <w:highlight w:val="none"/>
          <w14:textFill>
            <w14:solidFill>
              <w14:schemeClr w14:val="tx1"/>
            </w14:solidFill>
          </w14:textFill>
        </w:rPr>
        <w:t xml:space="preserve"> </w:t>
      </w:r>
    </w:p>
    <w:p>
      <w:pPr>
        <w:pStyle w:val="2"/>
        <w:spacing w:before="56" w:line="500" w:lineRule="exact"/>
        <w:ind w:left="3960" w:right="1808"/>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日 期：</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pacing w:val="6"/>
          <w:sz w:val="21"/>
          <w:szCs w:val="2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color w:val="000000" w:themeColor="text1"/>
          <w:sz w:val="24"/>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r>
        <w:rPr>
          <w:color w:val="000000" w:themeColor="text1"/>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残疾人福利性单位声明函格式</w:t>
      </w:r>
    </w:p>
    <w:p>
      <w:pPr>
        <w:spacing w:line="588" w:lineRule="exact"/>
        <w:jc w:val="center"/>
        <w:rPr>
          <w:rFonts w:hint="eastAsia" w:ascii="仿宋_GB2312" w:eastAsia="仿宋_GB2312"/>
          <w:b/>
          <w:color w:val="000000" w:themeColor="text1"/>
          <w:spacing w:val="6"/>
          <w:sz w:val="32"/>
          <w:szCs w:val="32"/>
          <w:highlight w:val="none"/>
          <w14:textFill>
            <w14:solidFill>
              <w14:schemeClr w14:val="tx1"/>
            </w14:solidFill>
          </w14:textFill>
        </w:rPr>
      </w:pPr>
      <w:bookmarkStart w:id="306" w:name="OLE_LINK14"/>
      <w:bookmarkStart w:id="307" w:name="OLE_LINK13"/>
    </w:p>
    <w:p>
      <w:pPr>
        <w:spacing w:line="588" w:lineRule="exact"/>
        <w:jc w:val="center"/>
        <w:rPr>
          <w:rFonts w:hint="eastAsia" w:ascii="Arial Unicode MS" w:hAnsi="Arial Unicode MS" w:eastAsia="Arial Unicode MS" w:cs="Arial Unicode MS"/>
          <w:bCs/>
          <w:color w:val="000000" w:themeColor="text1"/>
          <w:spacing w:val="6"/>
          <w:sz w:val="44"/>
          <w:szCs w:val="44"/>
          <w:highlight w:val="none"/>
          <w14:textFill>
            <w14:solidFill>
              <w14:schemeClr w14:val="tx1"/>
            </w14:solidFill>
          </w14:textFill>
        </w:rPr>
      </w:pPr>
      <w:r>
        <w:rPr>
          <w:rFonts w:hint="eastAsia" w:ascii="Arial Unicode MS" w:hAnsi="Arial Unicode MS" w:eastAsia="Arial Unicode MS" w:cs="Arial Unicode MS"/>
          <w:bCs/>
          <w:color w:val="000000" w:themeColor="text1"/>
          <w:spacing w:val="6"/>
          <w:sz w:val="44"/>
          <w:szCs w:val="44"/>
          <w:highlight w:val="none"/>
          <w14:textFill>
            <w14:solidFill>
              <w14:schemeClr w14:val="tx1"/>
            </w14:solidFill>
          </w14:textFill>
        </w:rPr>
        <w:t>残疾人福利性单位声明函</w:t>
      </w:r>
    </w:p>
    <w:bookmarkEnd w:id="306"/>
    <w:bookmarkEnd w:id="307"/>
    <w:p>
      <w:pPr>
        <w:spacing w:line="588" w:lineRule="exact"/>
        <w:rPr>
          <w:rFonts w:ascii="仿宋_GB2312" w:eastAsia="仿宋_GB2312"/>
          <w:b/>
          <w:color w:val="000000" w:themeColor="text1"/>
          <w:spacing w:val="6"/>
          <w:sz w:val="30"/>
          <w:szCs w:val="30"/>
          <w:highlight w:val="none"/>
          <w14:textFill>
            <w14:solidFill>
              <w14:schemeClr w14:val="tx1"/>
            </w14:solidFill>
          </w14:textFill>
        </w:rPr>
      </w:pPr>
    </w:p>
    <w:p>
      <w:pPr>
        <w:spacing w:line="360" w:lineRule="auto"/>
        <w:ind w:firstLine="504" w:firstLineChars="200"/>
        <w:contextualSpacing/>
        <w:rPr>
          <w:rFonts w:ascii="宋体" w:hAns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color w:val="000000" w:themeColor="text1"/>
          <w:sz w:val="24"/>
          <w:highlight w:val="none"/>
          <w14:textFill>
            <w14:solidFill>
              <w14:schemeClr w14:val="tx1"/>
            </w14:solidFill>
          </w14:textFill>
        </w:rPr>
        <w:t>〔2017〕 141</w:t>
      </w:r>
      <w:r>
        <w:rPr>
          <w:rFonts w:hint="eastAsia" w:ascii="宋体" w:hAnsi="宋体"/>
          <w:color w:val="000000" w:themeColor="text1"/>
          <w:spacing w:val="6"/>
          <w:sz w:val="24"/>
          <w:highlight w:val="none"/>
          <w14:textFill>
            <w14:solidFill>
              <w14:schemeClr w14:val="tx1"/>
            </w14:solidFill>
          </w14:textFill>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000000" w:themeColor="text1"/>
          <w:spacing w:val="-6"/>
          <w:sz w:val="24"/>
          <w:highlight w:val="none"/>
          <w14:textFill>
            <w14:solidFill>
              <w14:schemeClr w14:val="tx1"/>
            </w14:solidFill>
          </w14:textFill>
        </w:rPr>
        <w:t>疾人福利性单位制造的货物（不包括使用非残疾人福利性单位注册商标的货物）。</w:t>
      </w:r>
    </w:p>
    <w:p>
      <w:pPr>
        <w:spacing w:line="360" w:lineRule="auto"/>
        <w:ind w:firstLine="504" w:firstLineChars="200"/>
        <w:contextualSpacing/>
        <w:rPr>
          <w:rFonts w:ascii="宋体" w:hAns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本单位对上述声明的真实性负责。如有虚假，将依法承担相应责任。</w:t>
      </w:r>
    </w:p>
    <w:p>
      <w:pPr>
        <w:spacing w:line="360" w:lineRule="auto"/>
        <w:ind w:firstLine="504" w:firstLineChars="200"/>
        <w:contextualSpacing/>
        <w:rPr>
          <w:rFonts w:ascii="宋体" w:hAnsi="宋体"/>
          <w:color w:val="000000" w:themeColor="text1"/>
          <w:spacing w:val="6"/>
          <w:sz w:val="24"/>
          <w:highlight w:val="none"/>
          <w14:textFill>
            <w14:solidFill>
              <w14:schemeClr w14:val="tx1"/>
            </w14:solidFill>
          </w14:textFill>
        </w:rPr>
      </w:pPr>
    </w:p>
    <w:p>
      <w:pPr>
        <w:spacing w:line="360" w:lineRule="auto"/>
        <w:ind w:firstLine="504" w:firstLineChars="200"/>
        <w:contextualSpacing/>
        <w:rPr>
          <w:rFonts w:ascii="宋体" w:hAnsi="宋体"/>
          <w:color w:val="000000" w:themeColor="text1"/>
          <w:spacing w:val="6"/>
          <w:sz w:val="24"/>
          <w:highlight w:val="none"/>
          <w14:textFill>
            <w14:solidFill>
              <w14:schemeClr w14:val="tx1"/>
            </w14:solidFill>
          </w14:textFill>
        </w:rPr>
      </w:pPr>
    </w:p>
    <w:p>
      <w:pPr>
        <w:tabs>
          <w:tab w:val="left" w:pos="4860"/>
        </w:tabs>
        <w:spacing w:line="360" w:lineRule="auto"/>
        <w:ind w:right="1560" w:firstLine="504" w:firstLineChars="200"/>
        <w:contextualSpacing/>
        <w:jc w:val="center"/>
        <w:rPr>
          <w:rFonts w:ascii="宋体" w:hAns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单位名称（</w:t>
      </w:r>
      <w:r>
        <w:rPr>
          <w:rFonts w:hint="eastAsia" w:ascii="宋体" w:hAnsi="宋体"/>
          <w:color w:val="000000" w:themeColor="text1"/>
          <w:spacing w:val="6"/>
          <w:sz w:val="24"/>
          <w:highlight w:val="none"/>
          <w:lang w:eastAsia="zh-CN"/>
          <w14:textFill>
            <w14:solidFill>
              <w14:schemeClr w14:val="tx1"/>
            </w14:solidFill>
          </w14:textFill>
        </w:rPr>
        <w:t>盖章</w:t>
      </w:r>
      <w:r>
        <w:rPr>
          <w:rFonts w:hint="eastAsia" w:ascii="宋体" w:hAnsi="宋体"/>
          <w:color w:val="000000" w:themeColor="text1"/>
          <w:spacing w:val="6"/>
          <w:sz w:val="24"/>
          <w:highlight w:val="none"/>
          <w:lang w:val="en-US" w:eastAsia="zh-CN"/>
          <w14:textFill>
            <w14:solidFill>
              <w14:schemeClr w14:val="tx1"/>
            </w14:solidFill>
          </w14:textFill>
        </w:rPr>
        <w:t>/</w:t>
      </w:r>
      <w:r>
        <w:rPr>
          <w:rFonts w:hint="eastAsia" w:ascii="宋体" w:hAnsi="宋体"/>
          <w:color w:val="000000" w:themeColor="text1"/>
          <w:spacing w:val="6"/>
          <w:sz w:val="24"/>
          <w:highlight w:val="none"/>
          <w14:textFill>
            <w14:solidFill>
              <w14:schemeClr w14:val="tx1"/>
            </w14:solidFill>
          </w14:textFill>
        </w:rPr>
        <w:t>电子签章）：</w:t>
      </w:r>
    </w:p>
    <w:p>
      <w:pPr>
        <w:tabs>
          <w:tab w:val="left" w:pos="4860"/>
        </w:tabs>
        <w:spacing w:line="360" w:lineRule="auto"/>
        <w:ind w:right="1560" w:firstLine="504" w:firstLineChars="200"/>
        <w:contextualSpacing/>
        <w:jc w:val="center"/>
        <w:rPr>
          <w:rFonts w:ascii="宋体" w:hAnsi="宋体"/>
          <w:color w:val="000000" w:themeColor="text1"/>
          <w:spacing w:val="6"/>
          <w:sz w:val="24"/>
          <w:highlight w:val="none"/>
          <w14:textFill>
            <w14:solidFill>
              <w14:schemeClr w14:val="tx1"/>
            </w14:solidFill>
          </w14:textFill>
        </w:rPr>
      </w:pPr>
      <w:r>
        <w:rPr>
          <w:rFonts w:hint="eastAsia" w:ascii="宋体" w:hAnsi="宋体"/>
          <w:color w:val="000000" w:themeColor="text1"/>
          <w:spacing w:val="6"/>
          <w:sz w:val="24"/>
          <w:highlight w:val="none"/>
          <w14:textFill>
            <w14:solidFill>
              <w14:schemeClr w14:val="tx1"/>
            </w14:solidFill>
          </w14:textFill>
        </w:rPr>
        <w:t>日  期：</w:t>
      </w:r>
    </w:p>
    <w:p>
      <w:pPr>
        <w:spacing w:line="360" w:lineRule="auto"/>
        <w:contextualSpacing/>
        <w:rPr>
          <w:rFonts w:ascii="宋体" w:hAnsi="宋体"/>
          <w:color w:val="000000" w:themeColor="text1"/>
          <w:sz w:val="24"/>
          <w:highlight w:val="none"/>
          <w14:textFill>
            <w14:solidFill>
              <w14:schemeClr w14:val="tx1"/>
            </w14:solidFill>
          </w14:textFill>
        </w:rPr>
      </w:pPr>
    </w:p>
    <w:p>
      <w:pPr>
        <w:spacing w:line="360" w:lineRule="auto"/>
        <w:contextualSpacing/>
        <w:rPr>
          <w:rFonts w:hint="eastAsia" w:ascii="宋体" w:hAnsi="宋体"/>
          <w:color w:val="000000" w:themeColor="text1"/>
          <w:sz w:val="24"/>
          <w:highlight w:val="none"/>
          <w14:textFill>
            <w14:solidFill>
              <w14:schemeClr w14:val="tx1"/>
            </w14:solidFill>
          </w14:textFill>
        </w:rPr>
      </w:pPr>
    </w:p>
    <w:p>
      <w:pPr>
        <w:spacing w:line="360" w:lineRule="auto"/>
        <w:contextualSpacing/>
        <w:rPr>
          <w:rFonts w:ascii="宋体" w:hAnsi="宋体"/>
          <w:color w:val="000000" w:themeColor="text1"/>
          <w:sz w:val="24"/>
          <w:highlight w:val="none"/>
          <w14:textFill>
            <w14:solidFill>
              <w14:schemeClr w14:val="tx1"/>
            </w14:solidFill>
          </w14:textFill>
        </w:rPr>
      </w:pPr>
    </w:p>
    <w:p>
      <w:pPr>
        <w:spacing w:line="360" w:lineRule="auto"/>
        <w:contextualSpacing/>
        <w:rPr>
          <w:rFonts w:ascii="宋体" w:hAnsi="宋体"/>
          <w:color w:val="000000"/>
          <w:sz w:val="24"/>
          <w:highlight w:val="none"/>
        </w:rPr>
      </w:pPr>
      <w:r>
        <w:rPr>
          <w:rFonts w:hint="eastAsia" w:ascii="宋体" w:hAnsi="宋体"/>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w:t>
      </w:r>
      <w:r>
        <w:rPr>
          <w:rFonts w:hint="eastAsia" w:ascii="宋体" w:hAnsi="宋体"/>
          <w:color w:val="000000"/>
          <w:sz w:val="24"/>
          <w:highlight w:val="none"/>
        </w:rPr>
        <w:t>接受社会监督。</w:t>
      </w:r>
    </w:p>
    <w:p>
      <w:pPr>
        <w:pStyle w:val="19"/>
        <w:rPr>
          <w:rFonts w:hint="default" w:eastAsia="宋体"/>
          <w:highlight w:val="none"/>
          <w:lang w:val="en-US" w:eastAsia="zh-CN"/>
        </w:rPr>
      </w:pPr>
    </w:p>
    <w:sectPr>
      <w:headerReference r:id="rId21" w:type="default"/>
      <w:footerReference r:id="rId22" w:type="default"/>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97D3462-1429-4FD2-B38A-DDAF8DABDA34}"/>
  </w:font>
  <w:font w:name="黑体">
    <w:panose1 w:val="02010609060101010101"/>
    <w:charset w:val="86"/>
    <w:family w:val="auto"/>
    <w:pitch w:val="default"/>
    <w:sig w:usb0="800002BF" w:usb1="38CF7CFA" w:usb2="00000016" w:usb3="00000000" w:csb0="00040001" w:csb1="00000000"/>
    <w:embedRegular r:id="rId2" w:fontKey="{3957ACB2-500C-420B-BC08-443FCF370B1B}"/>
  </w:font>
  <w:font w:name="Courier New">
    <w:panose1 w:val="02070309020205020404"/>
    <w:charset w:val="01"/>
    <w:family w:val="modern"/>
    <w:pitch w:val="default"/>
    <w:sig w:usb0="E0002AFF" w:usb1="C0007843" w:usb2="00000009" w:usb3="00000000" w:csb0="400001FF" w:csb1="FFFF0000"/>
    <w:embedRegular r:id="rId3" w:fontKey="{572CDA7C-15E6-43D4-A6F2-76449DD04EA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C6973D93-0937-48B8-9EB8-B5A471261D48}"/>
  </w:font>
  <w:font w:name="仿宋_GB2312">
    <w:panose1 w:val="02010609030101010101"/>
    <w:charset w:val="86"/>
    <w:family w:val="modern"/>
    <w:pitch w:val="default"/>
    <w:sig w:usb0="00000001" w:usb1="080E0000" w:usb2="00000000" w:usb3="00000000" w:csb0="00040000" w:csb1="00000000"/>
    <w:embedRegular r:id="rId5" w:fontKey="{DFDA1E3A-094E-48D3-AC2C-A35AC173463D}"/>
  </w:font>
  <w:font w:name="仿宋">
    <w:panose1 w:val="02010609060101010101"/>
    <w:charset w:val="86"/>
    <w:family w:val="modern"/>
    <w:pitch w:val="default"/>
    <w:sig w:usb0="800002BF" w:usb1="38CF7CFA" w:usb2="00000016" w:usb3="00000000" w:csb0="00040001" w:csb1="00000000"/>
    <w:embedRegular r:id="rId6" w:fontKey="{4BC1BEF1-B625-4FBE-AF4E-EE3476D76A72}"/>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auto"/>
    <w:pitch w:val="default"/>
    <w:sig w:usb0="FFFFFFFF" w:usb1="E9FFFFFF" w:usb2="0000003F" w:usb3="00000000" w:csb0="603F01FF" w:csb1="FFFF0000"/>
    <w:embedRegular r:id="rId7" w:fontKey="{0DEC0BD3-0B5E-44A8-A042-1D1AC808A9FC}"/>
  </w:font>
  <w:font w:name="华文新魏">
    <w:panose1 w:val="02010800040101010101"/>
    <w:charset w:val="86"/>
    <w:family w:val="auto"/>
    <w:pitch w:val="default"/>
    <w:sig w:usb0="00000001" w:usb1="080F0000" w:usb2="00000000" w:usb3="00000000" w:csb0="00040000" w:csb1="00000000"/>
    <w:embedRegular r:id="rId8" w:fontKey="{DD2A0BE2-5634-4C57-B2C3-ACE7B4589910}"/>
  </w:font>
  <w:font w:name="Cambria Math">
    <w:panose1 w:val="02040503050406030204"/>
    <w:charset w:val="00"/>
    <w:family w:val="roman"/>
    <w:pitch w:val="default"/>
    <w:sig w:usb0="E00002FF" w:usb1="420024FF" w:usb2="00000000" w:usb3="00000000" w:csb0="2000019F" w:csb1="00000000"/>
    <w:embedRegular r:id="rId9" w:fontKey="{43D54275-F3E6-4089-A1C4-FBF72E41BB26}"/>
  </w:font>
  <w:font w:name="Wingdings 2">
    <w:panose1 w:val="05020102010507070707"/>
    <w:charset w:val="00"/>
    <w:family w:val="auto"/>
    <w:pitch w:val="default"/>
    <w:sig w:usb0="00000000" w:usb1="00000000" w:usb2="00000000" w:usb3="00000000" w:csb0="80000000" w:csb1="00000000"/>
    <w:embedRegular r:id="rId10" w:fontKey="{F0EB53EF-A9CA-41DA-92A8-D1B9C16B2486}"/>
  </w:font>
  <w:font w:name="Helvetica Neue">
    <w:altName w:val="微软雅黑"/>
    <w:panose1 w:val="00000000000000000000"/>
    <w:charset w:val="00"/>
    <w:family w:val="auto"/>
    <w:pitch w:val="default"/>
    <w:sig w:usb0="00000000" w:usb1="00000000" w:usb2="00000010" w:usb3="00000000" w:csb0="00000001" w:csb1="00000000"/>
  </w:font>
  <w:font w:name="微软雅黑">
    <w:panose1 w:val="020B0503020204020204"/>
    <w:charset w:val="86"/>
    <w:family w:val="auto"/>
    <w:pitch w:val="default"/>
    <w:sig w:usb0="80000287" w:usb1="280F3C52" w:usb2="00000016" w:usb3="00000000" w:csb0="0004001F" w:csb1="00000000"/>
    <w:embedRegular r:id="rId11" w:fontKey="{B69C601D-D34E-4295-97BA-4CF3DA6EB88F}"/>
  </w:font>
  <w:font w:name="TimesNewRomanPSMT">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1</w:t>
    </w:r>
    <w:r>
      <w:fldChar w:fldCharType="end"/>
    </w:r>
  </w:p>
  <w:p>
    <w:pPr>
      <w:pStyle w:val="1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19"/>
                          </w:pPr>
                          <w:r>
                            <w:fldChar w:fldCharType="begin"/>
                          </w:r>
                          <w:r>
                            <w:instrText xml:space="preserve"> PAGE  \* MERGEFORMAT </w:instrText>
                          </w:r>
                          <w:r>
                            <w:fldChar w:fldCharType="separate"/>
                          </w:r>
                          <w:r>
                            <w:t>72</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5X5J0AAAAAMBAAAPAAAAAAAAAAEAIAAAACIAAABkcnMvZG93&#10;bnJldi54bWxQSwECFAAUAAAACACHTuJAXfoLY88BAACXAwAADgAAAAAAAAABACAAAAAfAQAAZHJz&#10;L2Uyb0RvYy54bWxQSwUGAAAAAAYABgBZAQAAYA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72</w:t>
                    </w:r>
                    <w:r>
                      <w:fldChar w:fldCharType="end"/>
                    </w:r>
                  </w:p>
                </w:txbxContent>
              </v:textbox>
            </v:shape>
          </w:pict>
        </mc:Fallback>
      </mc:AlternateContent>
    </w:r>
  </w:p>
  <w:p>
    <w:pPr>
      <w:pStyle w:val="19"/>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81</w:t>
    </w:r>
    <w:r>
      <w:fldChar w:fldCharType="end"/>
    </w:r>
  </w:p>
  <w:p>
    <w:pPr>
      <w:pStyle w:val="19"/>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84</w: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pPr>
                            <w:pStyle w:val="19"/>
                          </w:pPr>
                          <w:r>
                            <w:fldChar w:fldCharType="begin"/>
                          </w:r>
                          <w:r>
                            <w:instrText xml:space="preserve"> PAGE  \* MERGEFORMAT </w:instrText>
                          </w:r>
                          <w:r>
                            <w:fldChar w:fldCharType="separate"/>
                          </w:r>
                          <w:r>
                            <w:t>57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5X5J0AAAAAMBAAAPAAAAAAAAAAEAIAAAACIAAABkcnMvZG93bnJldi54bWxQ&#10;SwECFAAUAAAACACHTuJA5d8FscYBAACLAwAADgAAAAAAAAABACAAAAAfAQAAZHJzL2Uyb0RvYy54&#10;bWxQSwUGAAAAAAYABgBZAQAAVw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57</w:t>
                    </w:r>
                    <w:r>
                      <w:fldChar w:fldCharType="end"/>
                    </w:r>
                  </w:p>
                </w:txbxContent>
              </v:textbox>
            </v:shape>
          </w:pict>
        </mc:Fallback>
      </mc:AlternateContent>
    </w:r>
    <w:r>
      <w:rPr>
        <w:rFonts w:hint="eastAsia"/>
      </w:rPr>
      <w:t xml:space="preserve">   </w:t>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 PAGE   \* MERGEFORMAT </w:instrText>
    </w:r>
    <w:r>
      <w:fldChar w:fldCharType="separate"/>
    </w:r>
    <w:r>
      <w:rPr>
        <w:lang w:val="zh-CN"/>
      </w:rPr>
      <w:t>81</w:t>
    </w:r>
    <w: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19"/>
                          </w:pPr>
                          <w:r>
                            <w:fldChar w:fldCharType="begin"/>
                          </w:r>
                          <w:r>
                            <w:instrText xml:space="preserve"> PAGE  \* MERGEFORMAT </w:instrText>
                          </w:r>
                          <w:r>
                            <w:fldChar w:fldCharType="separate"/>
                          </w:r>
                          <w:r>
                            <w:t>67</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&#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5X5J0AAAAAMBAAAPAAAAAAAAAAEAIAAAACIAAABk&#10;cnMvZG93bnJldi54bWxQSwECFAAUAAAACACHTuJA5dkoMw4CAAAQBAAADgAAAAAAAAABACAAAAAf&#10;AQAAZHJzL2Uyb0RvYy54bWxQSwUGAAAAAAYABgBZAQAAnw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67</w:t>
                    </w:r>
                    <w:r>
                      <w:fldChar w:fldCharType="end"/>
                    </w:r>
                  </w:p>
                </w:txbxContent>
              </v:textbox>
            </v:shape>
          </w:pict>
        </mc:Fallback>
      </mc:AlternateContent>
    </w:r>
  </w:p>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7"/>
      </w:rPr>
    </w:pPr>
    <w:r>
      <w:fldChar w:fldCharType="begin"/>
    </w:r>
    <w:r>
      <w:rPr>
        <w:rStyle w:val="37"/>
      </w:rPr>
      <w:instrText xml:space="preserve">PAGE  </w:instrText>
    </w:r>
    <w:r>
      <w:fldChar w:fldCharType="end"/>
    </w:r>
  </w:p>
  <w:p>
    <w:pPr>
      <w:pStyle w:val="1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7"/>
      </w:rPr>
    </w:pPr>
    <w:r>
      <w:fldChar w:fldCharType="begin"/>
    </w:r>
    <w:r>
      <w:rPr>
        <w:rStyle w:val="37"/>
      </w:rPr>
      <w:instrText xml:space="preserve">PAGE  </w:instrText>
    </w:r>
    <w:r>
      <w:fldChar w:fldCharType="separate"/>
    </w:r>
    <w:r>
      <w:rPr>
        <w:rStyle w:val="37"/>
      </w:rPr>
      <w:t>122</w:t>
    </w:r>
    <w:r>
      <w:fldChar w:fldCharType="end"/>
    </w:r>
  </w:p>
  <w:p>
    <w:pPr>
      <w:pStyle w:val="19"/>
      <w:ind w:right="360"/>
      <w:jc w:val="both"/>
    </w:pPr>
    <w:r>
      <w:rPr>
        <w:rFonts w:hint="eastAsia"/>
      </w:rPr>
      <w:t>121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19"/>
                          </w:pPr>
                          <w:r>
                            <w:fldChar w:fldCharType="begin"/>
                          </w:r>
                          <w:r>
                            <w:instrText xml:space="preserve"> PAGE  \* MERGEFORMAT </w:instrText>
                          </w:r>
                          <w:r>
                            <w:fldChar w:fldCharType="separate"/>
                          </w:r>
                          <w:r>
                            <w:t>69</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&#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V+SdAAAAADAQAADwAAAAAAAAABACAAAAAiAAAA&#10;ZHJzL2Rvd25yZXYueG1sUEsBAhQAFAAAAAgAh07iQIckdt0PAgAAEAQAAA4AAAAAAAAAAQAgAAAA&#10;HwEAAGRycy9lMm9Eb2MueG1sUEsFBgAAAAAGAAYAWQEAAKA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69</w:t>
                    </w:r>
                    <w:r>
                      <w:fldChar w:fldCharType="end"/>
                    </w:r>
                  </w:p>
                </w:txbxContent>
              </v:textbox>
            </v:shape>
          </w:pict>
        </mc:Fallback>
      </mc:AlternateContent>
    </w:r>
  </w:p>
  <w:p>
    <w:pPr>
      <w:pStyle w:val="1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7"/>
      </w:rPr>
    </w:pPr>
    <w:r>
      <w:fldChar w:fldCharType="begin"/>
    </w:r>
    <w:r>
      <w:rPr>
        <w:rStyle w:val="37"/>
      </w:rPr>
      <w:instrText xml:space="preserve">PAGE  </w:instrText>
    </w:r>
    <w:r>
      <w:fldChar w:fldCharType="end"/>
    </w:r>
  </w:p>
  <w:p>
    <w:pPr>
      <w:pStyle w:val="1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7"/>
      </w:rPr>
    </w:pPr>
    <w:r>
      <w:fldChar w:fldCharType="begin"/>
    </w:r>
    <w:r>
      <w:rPr>
        <w:rStyle w:val="37"/>
      </w:rPr>
      <w:instrText xml:space="preserve">PAGE  </w:instrText>
    </w:r>
    <w:r>
      <w:fldChar w:fldCharType="separate"/>
    </w:r>
    <w:r>
      <w:rPr>
        <w:rStyle w:val="37"/>
      </w:rPr>
      <w:t>122</w:t>
    </w:r>
    <w:r>
      <w:fldChar w:fldCharType="end"/>
    </w:r>
  </w:p>
  <w:p>
    <w:pPr>
      <w:pStyle w:val="19"/>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enter" w:pos="0"/>
        <w:tab w:val="clear" w:pos="415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8"/>
    <w:multiLevelType w:val="multilevel"/>
    <w:tmpl w:val="00000008"/>
    <w:lvl w:ilvl="0" w:tentative="0">
      <w:start w:val="1"/>
      <w:numFmt w:val="decimal"/>
      <w:lvlText w:val="（%1）"/>
      <w:lvlJc w:val="left"/>
      <w:pPr>
        <w:tabs>
          <w:tab w:val="left" w:pos="1140"/>
        </w:tabs>
        <w:ind w:left="1140" w:hanging="72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446AB02"/>
    <w:multiLevelType w:val="singleLevel"/>
    <w:tmpl w:val="0446AB02"/>
    <w:lvl w:ilvl="0" w:tentative="0">
      <w:start w:val="3"/>
      <w:numFmt w:val="decimal"/>
      <w:suff w:val="nothing"/>
      <w:lvlText w:val="%1、"/>
      <w:lvlJc w:val="left"/>
    </w:lvl>
  </w:abstractNum>
  <w:abstractNum w:abstractNumId="3">
    <w:nsid w:val="07F334E0"/>
    <w:multiLevelType w:val="multilevel"/>
    <w:tmpl w:val="07F334E0"/>
    <w:lvl w:ilvl="0" w:tentative="0">
      <w:start w:val="1"/>
      <w:numFmt w:val="chineseCountingThousand"/>
      <w:suff w:val="nothing"/>
      <w:lvlText w:val="%1、"/>
      <w:lvlJc w:val="left"/>
      <w:pPr>
        <w:ind w:left="0" w:firstLine="400"/>
      </w:pPr>
      <w:rPr>
        <w:rFonts w:hint="default" w:ascii="Times New Roman" w:hAnsi="Times New Roman" w:eastAsia="宋体"/>
        <w:b/>
        <w:i w:val="0"/>
        <w:sz w:val="24"/>
      </w:rPr>
    </w:lvl>
    <w:lvl w:ilvl="1" w:tentative="0">
      <w:start w:val="1"/>
      <w:numFmt w:val="chineseCountingThousand"/>
      <w:pStyle w:val="51"/>
      <w:suff w:val="nothing"/>
      <w:lvlText w:val="（%2）"/>
      <w:lvlJc w:val="left"/>
      <w:pPr>
        <w:ind w:left="0" w:firstLine="400"/>
      </w:pPr>
      <w:rPr>
        <w:rFonts w:hint="default" w:ascii="Times New Roman" w:hAnsi="Times New Roman" w:eastAsia="宋体"/>
        <w:b w:val="0"/>
        <w:i w:val="0"/>
        <w:sz w:val="24"/>
      </w:rPr>
    </w:lvl>
    <w:lvl w:ilvl="2" w:tentative="0">
      <w:start w:val="1"/>
      <w:numFmt w:val="decimal"/>
      <w:suff w:val="nothing"/>
      <w:lvlText w:val="%3．"/>
      <w:lvlJc w:val="left"/>
      <w:pPr>
        <w:ind w:left="168" w:firstLine="400"/>
      </w:pPr>
      <w:rPr>
        <w:rFonts w:hint="default" w:ascii="Times New Roman" w:hAnsi="Times New Roman" w:eastAsia="宋体"/>
        <w:b w:val="0"/>
        <w:i w:val="0"/>
        <w:sz w:val="24"/>
      </w:rPr>
    </w:lvl>
    <w:lvl w:ilvl="3" w:tentative="0">
      <w:start w:val="1"/>
      <w:numFmt w:val="decimal"/>
      <w:suff w:val="nothing"/>
      <w:lvlText w:val="（%4）"/>
      <w:lvlJc w:val="left"/>
      <w:pPr>
        <w:ind w:left="0" w:firstLine="400"/>
      </w:pPr>
      <w:rPr>
        <w:rFonts w:hint="default" w:ascii="Times New Roman" w:hAnsi="Times New Roman" w:eastAsia="宋体"/>
        <w:b w:val="0"/>
        <w:i w:val="0"/>
        <w:sz w:val="24"/>
      </w:rPr>
    </w:lvl>
    <w:lvl w:ilvl="4" w:tentative="0">
      <w:start w:val="1"/>
      <w:numFmt w:val="lowerLetter"/>
      <w:suff w:val="nothing"/>
      <w:lvlText w:val="（%5）"/>
      <w:lvlJc w:val="left"/>
      <w:pPr>
        <w:ind w:left="0" w:firstLine="400"/>
      </w:pPr>
      <w:rPr>
        <w:rFonts w:hint="default" w:ascii="Times New Roman" w:hAnsi="Times New Roman" w:eastAsia="宋体" w:cs="Times New Roman"/>
        <w:b w:val="0"/>
        <w:bCs w:val="0"/>
        <w:i w:val="0"/>
        <w:iCs w:val="0"/>
        <w:caps w:val="0"/>
        <w:smallCaps w:val="0"/>
        <w:strike w:val="0"/>
        <w:dstrike w:val="0"/>
        <w:vanish w:val="0"/>
        <w:color w:val="000000"/>
        <w:spacing w:val="0"/>
        <w:position w:val="0"/>
        <w:sz w:val="24"/>
        <w:u w:val="none"/>
        <w:vertAlign w:val="baseline"/>
      </w:rPr>
    </w:lvl>
    <w:lvl w:ilvl="5" w:tentative="0">
      <w:start w:val="1"/>
      <w:numFmt w:val="decimal"/>
      <w:lvlText w:val="%1.%2.%3.%4.%5.%6"/>
      <w:lvlJc w:val="left"/>
      <w:pPr>
        <w:tabs>
          <w:tab w:val="left" w:pos="1134"/>
        </w:tabs>
        <w:ind w:left="0" w:firstLine="400"/>
      </w:pPr>
      <w:rPr>
        <w:rFonts w:hint="eastAsia"/>
      </w:rPr>
    </w:lvl>
    <w:lvl w:ilvl="6" w:tentative="0">
      <w:start w:val="1"/>
      <w:numFmt w:val="decimal"/>
      <w:lvlText w:val="%1.%2.%3.%4.%5.%6.%7"/>
      <w:lvlJc w:val="left"/>
      <w:pPr>
        <w:tabs>
          <w:tab w:val="left" w:pos="1134"/>
        </w:tabs>
        <w:ind w:left="0" w:firstLine="400"/>
      </w:pPr>
      <w:rPr>
        <w:rFonts w:hint="eastAsia"/>
      </w:rPr>
    </w:lvl>
    <w:lvl w:ilvl="7" w:tentative="0">
      <w:start w:val="1"/>
      <w:numFmt w:val="decimal"/>
      <w:lvlText w:val="%1.%2.%3.%4.%5.%6.%7.%8"/>
      <w:lvlJc w:val="left"/>
      <w:pPr>
        <w:tabs>
          <w:tab w:val="left" w:pos="1134"/>
        </w:tabs>
        <w:ind w:left="0" w:firstLine="400"/>
      </w:pPr>
      <w:rPr>
        <w:rFonts w:hint="eastAsia"/>
      </w:rPr>
    </w:lvl>
    <w:lvl w:ilvl="8" w:tentative="0">
      <w:start w:val="1"/>
      <w:numFmt w:val="decimal"/>
      <w:lvlText w:val="%1.%2.%3.%4.%5.%6.%7.%8.%9"/>
      <w:lvlJc w:val="left"/>
      <w:pPr>
        <w:tabs>
          <w:tab w:val="left" w:pos="1134"/>
        </w:tabs>
        <w:ind w:left="0" w:firstLine="400"/>
      </w:pPr>
      <w:rPr>
        <w:rFonts w:hint="eastAsia"/>
      </w:rPr>
    </w:lvl>
  </w:abstractNum>
  <w:abstractNum w:abstractNumId="4">
    <w:nsid w:val="1022567D"/>
    <w:multiLevelType w:val="singleLevel"/>
    <w:tmpl w:val="1022567D"/>
    <w:lvl w:ilvl="0" w:tentative="0">
      <w:start w:val="1"/>
      <w:numFmt w:val="decimal"/>
      <w:suff w:val="nothing"/>
      <w:lvlText w:val="（%1）"/>
      <w:lvlJc w:val="left"/>
    </w:lvl>
  </w:abstractNum>
  <w:abstractNum w:abstractNumId="5">
    <w:nsid w:val="41C02039"/>
    <w:multiLevelType w:val="singleLevel"/>
    <w:tmpl w:val="41C02039"/>
    <w:lvl w:ilvl="0" w:tentative="0">
      <w:start w:val="1"/>
      <w:numFmt w:val="decimal"/>
      <w:lvlText w:val="%1."/>
      <w:lvlJc w:val="left"/>
      <w:pPr>
        <w:tabs>
          <w:tab w:val="left" w:pos="312"/>
        </w:tabs>
      </w:pPr>
    </w:lvl>
  </w:abstractNum>
  <w:abstractNum w:abstractNumId="6">
    <w:nsid w:val="5FABD14B"/>
    <w:multiLevelType w:val="singleLevel"/>
    <w:tmpl w:val="5FABD14B"/>
    <w:lvl w:ilvl="0" w:tentative="0">
      <w:start w:val="1"/>
      <w:numFmt w:val="decimal"/>
      <w:suff w:val="nothing"/>
      <w:lvlText w:val="（%1）"/>
      <w:lvlJc w:val="left"/>
    </w:lvl>
  </w:abstractNum>
  <w:abstractNum w:abstractNumId="7">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3"/>
  </w:num>
  <w:num w:numId="2">
    <w:abstractNumId w:val="4"/>
  </w:num>
  <w:num w:numId="3">
    <w:abstractNumId w:val="5"/>
  </w:num>
  <w:num w:numId="4">
    <w:abstractNumId w:val="6"/>
  </w:num>
  <w:num w:numId="5">
    <w:abstractNumId w:val="2"/>
  </w:num>
  <w:num w:numId="6">
    <w:abstractNumId w:val="7"/>
  </w:num>
  <w:num w:numId="7">
    <w:abstractNumId w:val="1"/>
    <w:lvlOverride w:ilvl="0">
      <w:startOverride w:val="1"/>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ViNzkzZjc0M2IwZjdjYjIzY2Q1ZTM3ODY4ZTE0YjIifQ=="/>
    <w:docVar w:name="KSO_WPS_MARK_KEY" w:val="bfec8575-b220-4387-b13c-fec107c6d1d2"/>
  </w:docVars>
  <w:rsids>
    <w:rsidRoot w:val="583454B2"/>
    <w:rsid w:val="00003856"/>
    <w:rsid w:val="00004673"/>
    <w:rsid w:val="000143E8"/>
    <w:rsid w:val="0002607E"/>
    <w:rsid w:val="00040B0D"/>
    <w:rsid w:val="000441B0"/>
    <w:rsid w:val="00044D3A"/>
    <w:rsid w:val="00045C47"/>
    <w:rsid w:val="00077149"/>
    <w:rsid w:val="000966D9"/>
    <w:rsid w:val="000A0A17"/>
    <w:rsid w:val="000C2EEA"/>
    <w:rsid w:val="000F662C"/>
    <w:rsid w:val="001639D0"/>
    <w:rsid w:val="00165B41"/>
    <w:rsid w:val="00167A87"/>
    <w:rsid w:val="00191841"/>
    <w:rsid w:val="00192DCF"/>
    <w:rsid w:val="001B3163"/>
    <w:rsid w:val="001B6C6E"/>
    <w:rsid w:val="001C2EF6"/>
    <w:rsid w:val="001C4D89"/>
    <w:rsid w:val="001C532E"/>
    <w:rsid w:val="001D5213"/>
    <w:rsid w:val="001D5CFF"/>
    <w:rsid w:val="001E21F3"/>
    <w:rsid w:val="00222603"/>
    <w:rsid w:val="002422DA"/>
    <w:rsid w:val="00245976"/>
    <w:rsid w:val="0025185B"/>
    <w:rsid w:val="003262EA"/>
    <w:rsid w:val="003435DC"/>
    <w:rsid w:val="003F5131"/>
    <w:rsid w:val="00496F9A"/>
    <w:rsid w:val="004A5035"/>
    <w:rsid w:val="004A7948"/>
    <w:rsid w:val="004B3850"/>
    <w:rsid w:val="004C015F"/>
    <w:rsid w:val="004F4D55"/>
    <w:rsid w:val="0050342A"/>
    <w:rsid w:val="00517709"/>
    <w:rsid w:val="00526066"/>
    <w:rsid w:val="005509A2"/>
    <w:rsid w:val="00563BF6"/>
    <w:rsid w:val="005C6A24"/>
    <w:rsid w:val="00603F0B"/>
    <w:rsid w:val="00623734"/>
    <w:rsid w:val="0064446E"/>
    <w:rsid w:val="00657994"/>
    <w:rsid w:val="00675002"/>
    <w:rsid w:val="00690DB7"/>
    <w:rsid w:val="006B5377"/>
    <w:rsid w:val="00701F8C"/>
    <w:rsid w:val="00702F07"/>
    <w:rsid w:val="00702F13"/>
    <w:rsid w:val="00722801"/>
    <w:rsid w:val="007250AE"/>
    <w:rsid w:val="007548FC"/>
    <w:rsid w:val="00763A07"/>
    <w:rsid w:val="00767A89"/>
    <w:rsid w:val="00774653"/>
    <w:rsid w:val="00782F54"/>
    <w:rsid w:val="00784E29"/>
    <w:rsid w:val="0078785A"/>
    <w:rsid w:val="007909BA"/>
    <w:rsid w:val="007931AB"/>
    <w:rsid w:val="00796232"/>
    <w:rsid w:val="007F70ED"/>
    <w:rsid w:val="007F7764"/>
    <w:rsid w:val="008420DC"/>
    <w:rsid w:val="008450AC"/>
    <w:rsid w:val="0084662F"/>
    <w:rsid w:val="008A4B4A"/>
    <w:rsid w:val="008A615C"/>
    <w:rsid w:val="008E0BA5"/>
    <w:rsid w:val="008F1DD2"/>
    <w:rsid w:val="008F6C26"/>
    <w:rsid w:val="00911ECA"/>
    <w:rsid w:val="00956D55"/>
    <w:rsid w:val="009836DE"/>
    <w:rsid w:val="00990D8D"/>
    <w:rsid w:val="009A00B5"/>
    <w:rsid w:val="009A56CD"/>
    <w:rsid w:val="009C08BF"/>
    <w:rsid w:val="009F6E99"/>
    <w:rsid w:val="00A23272"/>
    <w:rsid w:val="00A350E0"/>
    <w:rsid w:val="00A4291F"/>
    <w:rsid w:val="00A4642E"/>
    <w:rsid w:val="00A51A1B"/>
    <w:rsid w:val="00A61254"/>
    <w:rsid w:val="00A64782"/>
    <w:rsid w:val="00A6788D"/>
    <w:rsid w:val="00A71D96"/>
    <w:rsid w:val="00A76E83"/>
    <w:rsid w:val="00A827B1"/>
    <w:rsid w:val="00A9418F"/>
    <w:rsid w:val="00AE4D51"/>
    <w:rsid w:val="00AF2A79"/>
    <w:rsid w:val="00B07128"/>
    <w:rsid w:val="00B20F0E"/>
    <w:rsid w:val="00B33610"/>
    <w:rsid w:val="00B35DCD"/>
    <w:rsid w:val="00B60138"/>
    <w:rsid w:val="00B7125C"/>
    <w:rsid w:val="00B82634"/>
    <w:rsid w:val="00B93399"/>
    <w:rsid w:val="00B93D27"/>
    <w:rsid w:val="00BB4C2C"/>
    <w:rsid w:val="00BC4754"/>
    <w:rsid w:val="00BF5146"/>
    <w:rsid w:val="00C2249E"/>
    <w:rsid w:val="00C22751"/>
    <w:rsid w:val="00C25253"/>
    <w:rsid w:val="00C52EA2"/>
    <w:rsid w:val="00C63B78"/>
    <w:rsid w:val="00C652A2"/>
    <w:rsid w:val="00CA05E3"/>
    <w:rsid w:val="00CA20D0"/>
    <w:rsid w:val="00CA447C"/>
    <w:rsid w:val="00CF2614"/>
    <w:rsid w:val="00CF562E"/>
    <w:rsid w:val="00D011F1"/>
    <w:rsid w:val="00D132D8"/>
    <w:rsid w:val="00D270B8"/>
    <w:rsid w:val="00D633C6"/>
    <w:rsid w:val="00DB4D57"/>
    <w:rsid w:val="00DC1B9C"/>
    <w:rsid w:val="00DC7833"/>
    <w:rsid w:val="00DE244A"/>
    <w:rsid w:val="00E1219C"/>
    <w:rsid w:val="00E226AE"/>
    <w:rsid w:val="00E27285"/>
    <w:rsid w:val="00E40BC7"/>
    <w:rsid w:val="00E42E96"/>
    <w:rsid w:val="00E443BB"/>
    <w:rsid w:val="00E46ED1"/>
    <w:rsid w:val="00EC54DD"/>
    <w:rsid w:val="00EC66FA"/>
    <w:rsid w:val="00F24219"/>
    <w:rsid w:val="00F44A1F"/>
    <w:rsid w:val="00F57817"/>
    <w:rsid w:val="00F70C8B"/>
    <w:rsid w:val="00F731F1"/>
    <w:rsid w:val="00F80BE7"/>
    <w:rsid w:val="0173420B"/>
    <w:rsid w:val="01E46F97"/>
    <w:rsid w:val="01F6536E"/>
    <w:rsid w:val="02D1729F"/>
    <w:rsid w:val="049820AD"/>
    <w:rsid w:val="05126A65"/>
    <w:rsid w:val="0553053D"/>
    <w:rsid w:val="05BE78F1"/>
    <w:rsid w:val="05D93464"/>
    <w:rsid w:val="07DF54AA"/>
    <w:rsid w:val="08EF046F"/>
    <w:rsid w:val="0DD5694A"/>
    <w:rsid w:val="0FC208DA"/>
    <w:rsid w:val="10017156"/>
    <w:rsid w:val="102969A7"/>
    <w:rsid w:val="104B010C"/>
    <w:rsid w:val="10960B33"/>
    <w:rsid w:val="11173879"/>
    <w:rsid w:val="114C6D99"/>
    <w:rsid w:val="11EE7CA1"/>
    <w:rsid w:val="11F76766"/>
    <w:rsid w:val="126A239A"/>
    <w:rsid w:val="12CA6FFE"/>
    <w:rsid w:val="131A421F"/>
    <w:rsid w:val="131E288C"/>
    <w:rsid w:val="133B4CD1"/>
    <w:rsid w:val="15B50D11"/>
    <w:rsid w:val="15C636CC"/>
    <w:rsid w:val="16200702"/>
    <w:rsid w:val="180B7D87"/>
    <w:rsid w:val="186A6402"/>
    <w:rsid w:val="18EE236F"/>
    <w:rsid w:val="19212A90"/>
    <w:rsid w:val="19CC03D7"/>
    <w:rsid w:val="19D42268"/>
    <w:rsid w:val="1A381F10"/>
    <w:rsid w:val="1ABF3A91"/>
    <w:rsid w:val="1AF208C0"/>
    <w:rsid w:val="1BC240BC"/>
    <w:rsid w:val="1C1B506B"/>
    <w:rsid w:val="1C5F1F3F"/>
    <w:rsid w:val="1CDB6B83"/>
    <w:rsid w:val="1D676A65"/>
    <w:rsid w:val="1D7D6F2F"/>
    <w:rsid w:val="1F9779DA"/>
    <w:rsid w:val="1F9A2D26"/>
    <w:rsid w:val="1FE6100A"/>
    <w:rsid w:val="21F54A46"/>
    <w:rsid w:val="22315562"/>
    <w:rsid w:val="23331568"/>
    <w:rsid w:val="236C2A0F"/>
    <w:rsid w:val="24AD7352"/>
    <w:rsid w:val="272B46EB"/>
    <w:rsid w:val="27BF160E"/>
    <w:rsid w:val="282E040B"/>
    <w:rsid w:val="288A2CA6"/>
    <w:rsid w:val="28BC7E86"/>
    <w:rsid w:val="292F13B9"/>
    <w:rsid w:val="2AE20F6E"/>
    <w:rsid w:val="2C640656"/>
    <w:rsid w:val="2D757E51"/>
    <w:rsid w:val="2E0D3E8C"/>
    <w:rsid w:val="2E22524C"/>
    <w:rsid w:val="2E9B6172"/>
    <w:rsid w:val="2F4773E5"/>
    <w:rsid w:val="2FAF1ED5"/>
    <w:rsid w:val="2FB30646"/>
    <w:rsid w:val="30463E55"/>
    <w:rsid w:val="30E4648A"/>
    <w:rsid w:val="31997D9D"/>
    <w:rsid w:val="31A45D7F"/>
    <w:rsid w:val="32594B1A"/>
    <w:rsid w:val="32BD313E"/>
    <w:rsid w:val="332726C2"/>
    <w:rsid w:val="332753F9"/>
    <w:rsid w:val="33CD3A69"/>
    <w:rsid w:val="33FD3D09"/>
    <w:rsid w:val="34173EB6"/>
    <w:rsid w:val="3420341E"/>
    <w:rsid w:val="34E45EB7"/>
    <w:rsid w:val="350348E9"/>
    <w:rsid w:val="35827E2D"/>
    <w:rsid w:val="36107446"/>
    <w:rsid w:val="36262931"/>
    <w:rsid w:val="366510CF"/>
    <w:rsid w:val="383565D3"/>
    <w:rsid w:val="383E7CE9"/>
    <w:rsid w:val="38A42BAB"/>
    <w:rsid w:val="38F67EE1"/>
    <w:rsid w:val="391F38CB"/>
    <w:rsid w:val="39955245"/>
    <w:rsid w:val="39C9450F"/>
    <w:rsid w:val="3A170938"/>
    <w:rsid w:val="3A1B2D0F"/>
    <w:rsid w:val="3A611B76"/>
    <w:rsid w:val="3AA24AA5"/>
    <w:rsid w:val="3AFB3AC8"/>
    <w:rsid w:val="3B6567D9"/>
    <w:rsid w:val="3B707B20"/>
    <w:rsid w:val="3D206D9B"/>
    <w:rsid w:val="3D6C0625"/>
    <w:rsid w:val="3E432676"/>
    <w:rsid w:val="3E950B40"/>
    <w:rsid w:val="3F04352C"/>
    <w:rsid w:val="3F5E1222"/>
    <w:rsid w:val="40FF1B92"/>
    <w:rsid w:val="411E20D8"/>
    <w:rsid w:val="41945318"/>
    <w:rsid w:val="42BD5291"/>
    <w:rsid w:val="4349399B"/>
    <w:rsid w:val="44250EC8"/>
    <w:rsid w:val="455E05D0"/>
    <w:rsid w:val="48580943"/>
    <w:rsid w:val="48682051"/>
    <w:rsid w:val="48934824"/>
    <w:rsid w:val="48E704DA"/>
    <w:rsid w:val="49C567C5"/>
    <w:rsid w:val="49D95AC7"/>
    <w:rsid w:val="4BE774AB"/>
    <w:rsid w:val="4C756280"/>
    <w:rsid w:val="4DD95204"/>
    <w:rsid w:val="5097497C"/>
    <w:rsid w:val="509B35E4"/>
    <w:rsid w:val="50C61639"/>
    <w:rsid w:val="50FE0E69"/>
    <w:rsid w:val="52E91153"/>
    <w:rsid w:val="536B68AB"/>
    <w:rsid w:val="53D04928"/>
    <w:rsid w:val="54EF7CE5"/>
    <w:rsid w:val="55026D58"/>
    <w:rsid w:val="55180A04"/>
    <w:rsid w:val="55F32F6F"/>
    <w:rsid w:val="569D65EC"/>
    <w:rsid w:val="57016C0B"/>
    <w:rsid w:val="572E5E71"/>
    <w:rsid w:val="57C45327"/>
    <w:rsid w:val="583454B2"/>
    <w:rsid w:val="58A24917"/>
    <w:rsid w:val="59703415"/>
    <w:rsid w:val="597415F7"/>
    <w:rsid w:val="5A2B60C7"/>
    <w:rsid w:val="5A5A57AD"/>
    <w:rsid w:val="5A9C018E"/>
    <w:rsid w:val="5C516E32"/>
    <w:rsid w:val="5D126F5D"/>
    <w:rsid w:val="5E425A07"/>
    <w:rsid w:val="5EC200EC"/>
    <w:rsid w:val="5F300033"/>
    <w:rsid w:val="5F33550C"/>
    <w:rsid w:val="6055005A"/>
    <w:rsid w:val="60911000"/>
    <w:rsid w:val="61167EDF"/>
    <w:rsid w:val="615F10FE"/>
    <w:rsid w:val="61E81E59"/>
    <w:rsid w:val="641E31EC"/>
    <w:rsid w:val="64B07456"/>
    <w:rsid w:val="6515459D"/>
    <w:rsid w:val="65434337"/>
    <w:rsid w:val="65C77F93"/>
    <w:rsid w:val="66C34AFC"/>
    <w:rsid w:val="67FB2C6D"/>
    <w:rsid w:val="688A7913"/>
    <w:rsid w:val="6A214DEE"/>
    <w:rsid w:val="6A7774B8"/>
    <w:rsid w:val="6B7132E2"/>
    <w:rsid w:val="6CB4334D"/>
    <w:rsid w:val="6D9F0E62"/>
    <w:rsid w:val="6DDA4737"/>
    <w:rsid w:val="6E793BEF"/>
    <w:rsid w:val="6EA877DF"/>
    <w:rsid w:val="6F441389"/>
    <w:rsid w:val="70F21B2A"/>
    <w:rsid w:val="71B20B0F"/>
    <w:rsid w:val="71BF540E"/>
    <w:rsid w:val="73174060"/>
    <w:rsid w:val="73396BF8"/>
    <w:rsid w:val="73B10882"/>
    <w:rsid w:val="74DE3F34"/>
    <w:rsid w:val="763B166C"/>
    <w:rsid w:val="76A11DBB"/>
    <w:rsid w:val="775C313C"/>
    <w:rsid w:val="77AF6661"/>
    <w:rsid w:val="795A084C"/>
    <w:rsid w:val="79EA04AD"/>
    <w:rsid w:val="7AA53BCD"/>
    <w:rsid w:val="7B6B15E4"/>
    <w:rsid w:val="7C6F36FA"/>
    <w:rsid w:val="7CA93949"/>
    <w:rsid w:val="7E2C1645"/>
    <w:rsid w:val="7E5F5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7"/>
    <w:qFormat/>
    <w:uiPriority w:val="9"/>
    <w:pPr>
      <w:keepNext/>
      <w:keepLines/>
      <w:spacing w:before="340" w:after="330" w:line="578" w:lineRule="auto"/>
      <w:outlineLvl w:val="0"/>
    </w:pPr>
    <w:rPr>
      <w:rFonts w:ascii="Times New Roman" w:hAnsi="Times New Roman" w:eastAsia="宋体"/>
      <w:b/>
      <w:bCs/>
      <w:kern w:val="44"/>
      <w:sz w:val="36"/>
      <w:szCs w:val="44"/>
    </w:rPr>
  </w:style>
  <w:style w:type="paragraph" w:styleId="5">
    <w:name w:val="heading 2"/>
    <w:basedOn w:val="1"/>
    <w:next w:val="1"/>
    <w:link w:val="61"/>
    <w:qFormat/>
    <w:uiPriority w:val="9"/>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62"/>
    <w:qFormat/>
    <w:uiPriority w:val="9"/>
    <w:pPr>
      <w:keepNext/>
      <w:keepLines/>
      <w:spacing w:line="600" w:lineRule="exact"/>
      <w:ind w:firstLine="643" w:firstLineChars="200"/>
      <w:outlineLvl w:val="2"/>
    </w:pPr>
    <w:rPr>
      <w:b/>
      <w:bCs/>
      <w:sz w:val="32"/>
      <w:szCs w:val="32"/>
    </w:rPr>
  </w:style>
  <w:style w:type="paragraph" w:styleId="7">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paragraph" w:styleId="8">
    <w:name w:val="heading 5"/>
    <w:basedOn w:val="1"/>
    <w:next w:val="3"/>
    <w:qFormat/>
    <w:uiPriority w:val="9"/>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0"/>
    <w:pPr>
      <w:spacing w:after="120"/>
    </w:pPr>
  </w:style>
  <w:style w:type="paragraph" w:styleId="3">
    <w:name w:val="Normal Indent"/>
    <w:basedOn w:val="1"/>
    <w:next w:val="1"/>
    <w:qFormat/>
    <w:uiPriority w:val="0"/>
    <w:pPr>
      <w:ind w:firstLine="420"/>
    </w:pPr>
    <w:rPr>
      <w:szCs w:val="20"/>
    </w:rPr>
  </w:style>
  <w:style w:type="paragraph" w:styleId="9">
    <w:name w:val="toc 7"/>
    <w:basedOn w:val="1"/>
    <w:next w:val="1"/>
    <w:unhideWhenUsed/>
    <w:qFormat/>
    <w:uiPriority w:val="39"/>
    <w:pPr>
      <w:ind w:left="2520" w:leftChars="1200"/>
    </w:pPr>
    <w:rPr>
      <w:rFonts w:ascii="Calibri" w:hAnsi="Calibri"/>
      <w:szCs w:val="22"/>
    </w:rPr>
  </w:style>
  <w:style w:type="paragraph" w:styleId="10">
    <w:name w:val="Document Map"/>
    <w:basedOn w:val="1"/>
    <w:link w:val="63"/>
    <w:unhideWhenUsed/>
    <w:qFormat/>
    <w:uiPriority w:val="99"/>
    <w:pPr>
      <w:widowControl/>
      <w:jc w:val="left"/>
    </w:pPr>
    <w:rPr>
      <w:rFonts w:ascii="宋体"/>
      <w:kern w:val="0"/>
      <w:sz w:val="18"/>
      <w:szCs w:val="18"/>
    </w:rPr>
  </w:style>
  <w:style w:type="paragraph" w:styleId="11">
    <w:name w:val="annotation text"/>
    <w:basedOn w:val="1"/>
    <w:link w:val="67"/>
    <w:qFormat/>
    <w:uiPriority w:val="99"/>
    <w:pPr>
      <w:jc w:val="left"/>
    </w:pPr>
  </w:style>
  <w:style w:type="paragraph" w:styleId="12">
    <w:name w:val="Body Text Indent"/>
    <w:basedOn w:val="1"/>
    <w:link w:val="69"/>
    <w:qFormat/>
    <w:uiPriority w:val="0"/>
    <w:pPr>
      <w:spacing w:line="200" w:lineRule="exact"/>
      <w:ind w:firstLine="301"/>
    </w:pPr>
    <w:rPr>
      <w:rFonts w:ascii="宋体" w:hAnsi="Courier New"/>
      <w:spacing w:val="-4"/>
      <w:sz w:val="18"/>
      <w:szCs w:val="20"/>
    </w:rPr>
  </w:style>
  <w:style w:type="paragraph" w:styleId="13">
    <w:name w:val="toc 5"/>
    <w:basedOn w:val="1"/>
    <w:next w:val="1"/>
    <w:unhideWhenUsed/>
    <w:qFormat/>
    <w:uiPriority w:val="39"/>
    <w:pPr>
      <w:ind w:left="1680" w:leftChars="800"/>
    </w:pPr>
    <w:rPr>
      <w:rFonts w:ascii="Calibri" w:hAnsi="Calibri"/>
      <w:szCs w:val="22"/>
    </w:rPr>
  </w:style>
  <w:style w:type="paragraph" w:styleId="14">
    <w:name w:val="toc 3"/>
    <w:basedOn w:val="1"/>
    <w:next w:val="1"/>
    <w:unhideWhenUsed/>
    <w:qFormat/>
    <w:uiPriority w:val="39"/>
    <w:pPr>
      <w:jc w:val="left"/>
    </w:pPr>
    <w:rPr>
      <w:rFonts w:ascii="Calibri" w:hAnsi="Calibri"/>
      <w:smallCaps/>
      <w:sz w:val="22"/>
      <w:szCs w:val="22"/>
    </w:rPr>
  </w:style>
  <w:style w:type="paragraph" w:styleId="15">
    <w:name w:val="Plain Text"/>
    <w:basedOn w:val="1"/>
    <w:next w:val="1"/>
    <w:link w:val="65"/>
    <w:qFormat/>
    <w:uiPriority w:val="0"/>
    <w:rPr>
      <w:rFonts w:ascii="宋体" w:hAnsi="Courier New"/>
    </w:rPr>
  </w:style>
  <w:style w:type="paragraph" w:styleId="16">
    <w:name w:val="toc 8"/>
    <w:basedOn w:val="1"/>
    <w:next w:val="1"/>
    <w:unhideWhenUsed/>
    <w:qFormat/>
    <w:uiPriority w:val="39"/>
    <w:pPr>
      <w:ind w:left="2940" w:leftChars="1400"/>
    </w:pPr>
    <w:rPr>
      <w:rFonts w:ascii="Calibri" w:hAnsi="Calibri"/>
      <w:szCs w:val="22"/>
    </w:rPr>
  </w:style>
  <w:style w:type="paragraph" w:styleId="17">
    <w:name w:val="Date"/>
    <w:basedOn w:val="1"/>
    <w:next w:val="1"/>
    <w:link w:val="66"/>
    <w:unhideWhenUsed/>
    <w:qFormat/>
    <w:uiPriority w:val="99"/>
    <w:pPr>
      <w:widowControl/>
      <w:ind w:left="100" w:leftChars="2500"/>
      <w:jc w:val="left"/>
    </w:pPr>
    <w:rPr>
      <w:kern w:val="0"/>
      <w:sz w:val="24"/>
    </w:rPr>
  </w:style>
  <w:style w:type="paragraph" w:styleId="18">
    <w:name w:val="Balloon Text"/>
    <w:basedOn w:val="1"/>
    <w:link w:val="56"/>
    <w:qFormat/>
    <w:uiPriority w:val="99"/>
    <w:rPr>
      <w:sz w:val="18"/>
      <w:szCs w:val="18"/>
    </w:rPr>
  </w:style>
  <w:style w:type="paragraph" w:styleId="19">
    <w:name w:val="footer"/>
    <w:basedOn w:val="1"/>
    <w:next w:val="1"/>
    <w:link w:val="59"/>
    <w:qFormat/>
    <w:uiPriority w:val="99"/>
    <w:pPr>
      <w:tabs>
        <w:tab w:val="center" w:pos="4153"/>
        <w:tab w:val="right" w:pos="8306"/>
      </w:tabs>
      <w:snapToGrid w:val="0"/>
      <w:jc w:val="left"/>
    </w:pPr>
    <w:rPr>
      <w:sz w:val="18"/>
      <w:szCs w:val="18"/>
    </w:rPr>
  </w:style>
  <w:style w:type="paragraph" w:styleId="20">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360" w:after="360"/>
      <w:jc w:val="left"/>
    </w:pPr>
    <w:rPr>
      <w:rFonts w:ascii="Calibri" w:hAnsi="Calibri"/>
      <w:b/>
      <w:bCs/>
      <w:caps/>
      <w:sz w:val="22"/>
      <w:szCs w:val="22"/>
      <w:u w:val="single"/>
    </w:rPr>
  </w:style>
  <w:style w:type="paragraph" w:styleId="22">
    <w:name w:val="toc 4"/>
    <w:basedOn w:val="1"/>
    <w:next w:val="1"/>
    <w:unhideWhenUsed/>
    <w:qFormat/>
    <w:uiPriority w:val="39"/>
    <w:pPr>
      <w:ind w:left="1260" w:leftChars="600"/>
    </w:pPr>
    <w:rPr>
      <w:rFonts w:ascii="Calibri" w:hAnsi="Calibri"/>
      <w:szCs w:val="22"/>
    </w:rPr>
  </w:style>
  <w:style w:type="paragraph" w:styleId="23">
    <w:name w:val="List"/>
    <w:basedOn w:val="1"/>
    <w:qFormat/>
    <w:uiPriority w:val="0"/>
    <w:pPr>
      <w:ind w:left="200" w:hanging="200" w:hangingChars="200"/>
    </w:pPr>
    <w:rPr>
      <w:sz w:val="28"/>
    </w:rPr>
  </w:style>
  <w:style w:type="paragraph" w:styleId="24">
    <w:name w:val="toc 6"/>
    <w:basedOn w:val="1"/>
    <w:next w:val="1"/>
    <w:unhideWhenUsed/>
    <w:qFormat/>
    <w:uiPriority w:val="39"/>
    <w:pPr>
      <w:ind w:left="2100" w:leftChars="1000"/>
    </w:pPr>
    <w:rPr>
      <w:rFonts w:ascii="Calibri" w:hAnsi="Calibri"/>
      <w:szCs w:val="22"/>
    </w:rPr>
  </w:style>
  <w:style w:type="paragraph" w:styleId="25">
    <w:name w:val="toc 2"/>
    <w:basedOn w:val="1"/>
    <w:next w:val="1"/>
    <w:qFormat/>
    <w:uiPriority w:val="39"/>
    <w:pPr>
      <w:jc w:val="left"/>
    </w:pPr>
    <w:rPr>
      <w:rFonts w:ascii="Calibri" w:hAnsi="Calibri"/>
      <w:b/>
      <w:bCs/>
      <w:smallCaps/>
      <w:sz w:val="22"/>
      <w:szCs w:val="22"/>
    </w:rPr>
  </w:style>
  <w:style w:type="paragraph" w:styleId="26">
    <w:name w:val="toc 9"/>
    <w:basedOn w:val="1"/>
    <w:next w:val="1"/>
    <w:unhideWhenUsed/>
    <w:qFormat/>
    <w:uiPriority w:val="39"/>
    <w:pPr>
      <w:ind w:left="3360" w:leftChars="1600"/>
    </w:pPr>
    <w:rPr>
      <w:rFonts w:ascii="Calibri" w:hAnsi="Calibri"/>
      <w:szCs w:val="22"/>
    </w:rPr>
  </w:style>
  <w:style w:type="paragraph" w:styleId="27">
    <w:name w:val="Body Text 2"/>
    <w:basedOn w:val="1"/>
    <w:qFormat/>
    <w:uiPriority w:val="0"/>
    <w:pPr>
      <w:spacing w:after="120" w:line="480" w:lineRule="auto"/>
    </w:pPr>
    <w:rPr>
      <w:rFonts w:ascii="Calibri" w:hAnsi="Calibri"/>
      <w:kern w:val="0"/>
      <w:sz w:val="20"/>
      <w:szCs w:val="22"/>
    </w:rPr>
  </w:style>
  <w:style w:type="paragraph" w:styleId="28">
    <w:name w:val="Normal (Web)"/>
    <w:basedOn w:val="1"/>
    <w:unhideWhenUsed/>
    <w:qFormat/>
    <w:uiPriority w:val="99"/>
    <w:pPr>
      <w:widowControl/>
      <w:spacing w:before="75" w:after="75"/>
      <w:jc w:val="left"/>
    </w:pPr>
    <w:rPr>
      <w:kern w:val="0"/>
      <w:sz w:val="24"/>
    </w:rPr>
  </w:style>
  <w:style w:type="paragraph" w:styleId="29">
    <w:name w:val="annotation subject"/>
    <w:basedOn w:val="11"/>
    <w:next w:val="11"/>
    <w:link w:val="68"/>
    <w:unhideWhenUsed/>
    <w:qFormat/>
    <w:uiPriority w:val="99"/>
    <w:pPr>
      <w:widowControl/>
    </w:pPr>
    <w:rPr>
      <w:b/>
      <w:bCs/>
      <w:kern w:val="0"/>
      <w:sz w:val="24"/>
    </w:rPr>
  </w:style>
  <w:style w:type="paragraph" w:styleId="30">
    <w:name w:val="Body Text First Indent"/>
    <w:basedOn w:val="2"/>
    <w:qFormat/>
    <w:uiPriority w:val="0"/>
    <w:pPr>
      <w:ind w:firstLine="420" w:firstLineChars="100"/>
      <w:jc w:val="left"/>
    </w:pPr>
    <w:rPr>
      <w:szCs w:val="22"/>
    </w:rPr>
  </w:style>
  <w:style w:type="paragraph" w:styleId="31">
    <w:name w:val="Body Text First Indent 2"/>
    <w:basedOn w:val="12"/>
    <w:link w:val="70"/>
    <w:qFormat/>
    <w:uiPriority w:val="0"/>
    <w:pPr>
      <w:widowControl/>
      <w:spacing w:after="120" w:line="240" w:lineRule="auto"/>
      <w:ind w:left="420" w:leftChars="200" w:firstLine="420"/>
      <w:jc w:val="left"/>
    </w:pPr>
    <w:rPr>
      <w:rFonts w:ascii="Times New Roman" w:hAnsi="宋体"/>
      <w:spacing w:val="0"/>
      <w:kern w:val="0"/>
      <w:sz w:val="21"/>
      <w:szCs w:val="24"/>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Accent 3"/>
    <w:basedOn w:val="32"/>
    <w:unhideWhenUsed/>
    <w:qFormat/>
    <w:uiPriority w:val="60"/>
    <w:rPr>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character" w:styleId="36">
    <w:name w:val="Strong"/>
    <w:qFormat/>
    <w:uiPriority w:val="22"/>
    <w:rPr>
      <w:b/>
    </w:rPr>
  </w:style>
  <w:style w:type="character" w:styleId="37">
    <w:name w:val="page number"/>
    <w:basedOn w:val="35"/>
    <w:qFormat/>
    <w:uiPriority w:val="99"/>
  </w:style>
  <w:style w:type="character" w:styleId="38">
    <w:name w:val="FollowedHyperlink"/>
    <w:unhideWhenUsed/>
    <w:qFormat/>
    <w:uiPriority w:val="99"/>
    <w:rPr>
      <w:color w:val="800080"/>
      <w:u w:val="single"/>
    </w:rPr>
  </w:style>
  <w:style w:type="character" w:styleId="39">
    <w:name w:val="Hyperlink"/>
    <w:qFormat/>
    <w:uiPriority w:val="99"/>
    <w:rPr>
      <w:color w:val="0000FF"/>
      <w:u w:val="single"/>
    </w:rPr>
  </w:style>
  <w:style w:type="character" w:styleId="40">
    <w:name w:val="annotation reference"/>
    <w:unhideWhenUsed/>
    <w:qFormat/>
    <w:uiPriority w:val="99"/>
    <w:rPr>
      <w:sz w:val="21"/>
      <w:szCs w:val="21"/>
    </w:rPr>
  </w:style>
  <w:style w:type="paragraph" w:customStyle="1" w:styleId="41">
    <w:name w:val="表格文字"/>
    <w:basedOn w:val="1"/>
    <w:next w:val="2"/>
    <w:qFormat/>
    <w:uiPriority w:val="99"/>
    <w:pPr>
      <w:adjustRightInd w:val="0"/>
      <w:spacing w:line="420" w:lineRule="atLeast"/>
      <w:jc w:val="left"/>
      <w:textAlignment w:val="baseline"/>
    </w:pPr>
    <w:rPr>
      <w:kern w:val="0"/>
    </w:rPr>
  </w:style>
  <w:style w:type="paragraph" w:customStyle="1" w:styleId="42">
    <w:name w:val="样式1"/>
    <w:basedOn w:val="1"/>
    <w:next w:val="15"/>
    <w:qFormat/>
    <w:uiPriority w:val="0"/>
    <w:rPr>
      <w:rFonts w:ascii="Calibri" w:hAnsi="Calibri"/>
    </w:rPr>
  </w:style>
  <w:style w:type="paragraph" w:customStyle="1" w:styleId="43">
    <w:name w:val="样式2"/>
    <w:basedOn w:val="15"/>
    <w:qFormat/>
    <w:uiPriority w:val="0"/>
    <w:rPr>
      <w:rFonts w:hAnsi="宋体"/>
    </w:rPr>
  </w:style>
  <w:style w:type="paragraph" w:customStyle="1" w:styleId="44">
    <w:name w:val="1."/>
    <w:basedOn w:val="15"/>
    <w:qFormat/>
    <w:uiPriority w:val="0"/>
    <w:pPr>
      <w:spacing w:line="300" w:lineRule="auto"/>
      <w:ind w:left="2" w:leftChars="1" w:firstLine="422" w:firstLineChars="200"/>
    </w:pPr>
    <w:rPr>
      <w:rFonts w:hAnsi="宋体"/>
      <w:b/>
      <w:color w:val="000000"/>
      <w:szCs w:val="21"/>
    </w:rPr>
  </w:style>
  <w:style w:type="paragraph" w:styleId="45">
    <w:name w:val="List Paragraph"/>
    <w:basedOn w:val="1"/>
    <w:qFormat/>
    <w:uiPriority w:val="34"/>
    <w:pPr>
      <w:ind w:firstLine="420" w:firstLineChars="200"/>
    </w:pPr>
  </w:style>
  <w:style w:type="character" w:customStyle="1" w:styleId="46">
    <w:name w:val="NormalCharacter"/>
    <w:qFormat/>
    <w:uiPriority w:val="0"/>
  </w:style>
  <w:style w:type="paragraph" w:customStyle="1" w:styleId="47">
    <w:name w:val="正文2"/>
    <w:basedOn w:val="1"/>
    <w:link w:val="58"/>
    <w:qFormat/>
    <w:uiPriority w:val="0"/>
    <w:pPr>
      <w:adjustRightInd w:val="0"/>
      <w:spacing w:before="156" w:line="360" w:lineRule="auto"/>
      <w:ind w:firstLine="510" w:firstLineChars="200"/>
    </w:pPr>
    <w:rPr>
      <w:sz w:val="24"/>
      <w:szCs w:val="20"/>
    </w:rPr>
  </w:style>
  <w:style w:type="paragraph" w:customStyle="1" w:styleId="48">
    <w:name w:val="表格内容"/>
    <w:basedOn w:val="1"/>
    <w:unhideWhenUsed/>
    <w:qFormat/>
    <w:uiPriority w:val="0"/>
    <w:pPr>
      <w:adjustRightInd w:val="0"/>
      <w:snapToGrid w:val="0"/>
      <w:spacing w:line="360" w:lineRule="auto"/>
    </w:pPr>
    <w:rPr>
      <w:rFonts w:ascii="Calibri" w:hAnsi="Calibri"/>
      <w:sz w:val="24"/>
    </w:rPr>
  </w:style>
  <w:style w:type="paragraph" w:customStyle="1" w:styleId="49">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50">
    <w:name w:val="UserStyle_119"/>
    <w:basedOn w:val="1"/>
    <w:qFormat/>
    <w:uiPriority w:val="0"/>
    <w:pPr>
      <w:widowControl/>
      <w:spacing w:before="120" w:after="120" w:line="360" w:lineRule="auto"/>
      <w:ind w:firstLine="560" w:firstLineChars="200"/>
    </w:pPr>
    <w:rPr>
      <w:kern w:val="0"/>
      <w:sz w:val="28"/>
      <w:szCs w:val="28"/>
    </w:rPr>
  </w:style>
  <w:style w:type="paragraph" w:customStyle="1" w:styleId="51">
    <w:name w:val="02 二级标题"/>
    <w:basedOn w:val="1"/>
    <w:qFormat/>
    <w:uiPriority w:val="0"/>
    <w:pPr>
      <w:widowControl/>
      <w:numPr>
        <w:ilvl w:val="1"/>
        <w:numId w:val="1"/>
      </w:numPr>
      <w:spacing w:beforeLines="50" w:afterLines="50" w:line="360" w:lineRule="auto"/>
      <w:outlineLvl w:val="1"/>
    </w:pPr>
    <w:rPr>
      <w:rFonts w:ascii="Calibri" w:hAnsi="Calibri"/>
      <w:sz w:val="24"/>
    </w:rPr>
  </w:style>
  <w:style w:type="paragraph" w:customStyle="1" w:styleId="52">
    <w:name w:val="正文1"/>
    <w:basedOn w:val="53"/>
    <w:next w:val="1"/>
    <w:qFormat/>
    <w:uiPriority w:val="99"/>
    <w:pPr>
      <w:spacing w:line="440" w:lineRule="exact"/>
    </w:pPr>
    <w:rPr>
      <w:rFonts w:ascii="仿宋_GB2312" w:hAnsi="宋体"/>
      <w:sz w:val="24"/>
      <w:szCs w:val="24"/>
    </w:rPr>
  </w:style>
  <w:style w:type="paragraph" w:customStyle="1" w:styleId="53">
    <w:name w:val="正文1234"/>
    <w:basedOn w:val="1"/>
    <w:qFormat/>
    <w:uiPriority w:val="0"/>
    <w:pPr>
      <w:spacing w:line="360" w:lineRule="auto"/>
      <w:ind w:firstLine="560" w:firstLineChars="200"/>
    </w:pPr>
    <w:rPr>
      <w:kern w:val="0"/>
      <w:sz w:val="28"/>
      <w:szCs w:val="28"/>
    </w:rPr>
  </w:style>
  <w:style w:type="paragraph" w:customStyle="1" w:styleId="54">
    <w:name w:val="CM24"/>
    <w:basedOn w:val="55"/>
    <w:next w:val="55"/>
    <w:qFormat/>
    <w:uiPriority w:val="99"/>
    <w:pPr>
      <w:spacing w:line="568" w:lineRule="atLeast"/>
    </w:pPr>
    <w:rPr>
      <w:rFonts w:ascii="仿宋_GB2312" w:hAnsi="等线" w:eastAsia="仿宋_GB2312" w:cs="Times New Roman"/>
      <w:color w:val="auto"/>
    </w:rPr>
  </w:style>
  <w:style w:type="paragraph" w:customStyle="1" w:styleId="55">
    <w:name w:val="Default"/>
    <w:qFormat/>
    <w:uiPriority w:val="0"/>
    <w:pPr>
      <w:widowControl w:val="0"/>
      <w:autoSpaceDE w:val="0"/>
      <w:autoSpaceDN w:val="0"/>
      <w:adjustRightInd w:val="0"/>
    </w:pPr>
    <w:rPr>
      <w:rFonts w:ascii="宋体" w:hAnsi="Calibri" w:eastAsia="宋体" w:cs="宋体"/>
      <w:color w:val="000000"/>
      <w:kern w:val="2"/>
      <w:sz w:val="24"/>
      <w:szCs w:val="24"/>
      <w:lang w:val="en-US" w:eastAsia="zh-CN" w:bidi="ar-SA"/>
    </w:rPr>
  </w:style>
  <w:style w:type="character" w:customStyle="1" w:styleId="56">
    <w:name w:val="批注框文本 Char"/>
    <w:basedOn w:val="35"/>
    <w:link w:val="18"/>
    <w:qFormat/>
    <w:uiPriority w:val="99"/>
    <w:rPr>
      <w:kern w:val="2"/>
      <w:sz w:val="18"/>
      <w:szCs w:val="18"/>
    </w:rPr>
  </w:style>
  <w:style w:type="character" w:customStyle="1" w:styleId="57">
    <w:name w:val="标题 1 Char"/>
    <w:basedOn w:val="35"/>
    <w:link w:val="4"/>
    <w:qFormat/>
    <w:uiPriority w:val="9"/>
    <w:rPr>
      <w:rFonts w:ascii="Times New Roman" w:hAnsi="Times New Roman" w:eastAsia="宋体"/>
      <w:b/>
      <w:bCs/>
      <w:kern w:val="44"/>
      <w:sz w:val="36"/>
      <w:szCs w:val="44"/>
    </w:rPr>
  </w:style>
  <w:style w:type="character" w:customStyle="1" w:styleId="58">
    <w:name w:val="正文2 Char Char"/>
    <w:link w:val="47"/>
    <w:qFormat/>
    <w:uiPriority w:val="0"/>
    <w:rPr>
      <w:kern w:val="2"/>
      <w:sz w:val="24"/>
    </w:rPr>
  </w:style>
  <w:style w:type="character" w:customStyle="1" w:styleId="59">
    <w:name w:val="页脚 Char"/>
    <w:link w:val="19"/>
    <w:qFormat/>
    <w:uiPriority w:val="99"/>
    <w:rPr>
      <w:kern w:val="2"/>
      <w:sz w:val="18"/>
      <w:szCs w:val="18"/>
    </w:rPr>
  </w:style>
  <w:style w:type="character" w:customStyle="1" w:styleId="60">
    <w:name w:val="页眉 Char"/>
    <w:link w:val="20"/>
    <w:qFormat/>
    <w:uiPriority w:val="99"/>
    <w:rPr>
      <w:kern w:val="2"/>
      <w:sz w:val="18"/>
      <w:szCs w:val="18"/>
    </w:rPr>
  </w:style>
  <w:style w:type="character" w:customStyle="1" w:styleId="61">
    <w:name w:val="标题 2 Char"/>
    <w:link w:val="5"/>
    <w:qFormat/>
    <w:uiPriority w:val="9"/>
    <w:rPr>
      <w:rFonts w:ascii="Arial" w:hAnsi="Arial" w:eastAsia="黑体"/>
      <w:b/>
      <w:bCs/>
      <w:kern w:val="2"/>
      <w:sz w:val="32"/>
      <w:szCs w:val="32"/>
    </w:rPr>
  </w:style>
  <w:style w:type="character" w:customStyle="1" w:styleId="62">
    <w:name w:val="标题 3 Char"/>
    <w:link w:val="6"/>
    <w:qFormat/>
    <w:uiPriority w:val="9"/>
    <w:rPr>
      <w:b/>
      <w:bCs/>
      <w:kern w:val="2"/>
      <w:sz w:val="32"/>
      <w:szCs w:val="32"/>
    </w:rPr>
  </w:style>
  <w:style w:type="character" w:customStyle="1" w:styleId="63">
    <w:name w:val="文档结构图 Char"/>
    <w:basedOn w:val="35"/>
    <w:link w:val="10"/>
    <w:qFormat/>
    <w:uiPriority w:val="99"/>
    <w:rPr>
      <w:rFonts w:ascii="宋体"/>
      <w:sz w:val="18"/>
      <w:szCs w:val="18"/>
    </w:rPr>
  </w:style>
  <w:style w:type="character" w:customStyle="1" w:styleId="64">
    <w:name w:val="批注文字 Char"/>
    <w:semiHidden/>
    <w:qFormat/>
    <w:uiPriority w:val="99"/>
    <w:rPr>
      <w:rFonts w:ascii="Times New Roman" w:hAnsi="Times New Roman" w:cs="Times New Roman"/>
      <w:kern w:val="0"/>
      <w:sz w:val="24"/>
      <w:szCs w:val="24"/>
    </w:rPr>
  </w:style>
  <w:style w:type="character" w:customStyle="1" w:styleId="65">
    <w:name w:val="纯文本 Char"/>
    <w:link w:val="15"/>
    <w:qFormat/>
    <w:uiPriority w:val="0"/>
    <w:rPr>
      <w:rFonts w:ascii="宋体" w:hAnsi="Courier New"/>
      <w:kern w:val="2"/>
      <w:sz w:val="21"/>
      <w:szCs w:val="24"/>
    </w:rPr>
  </w:style>
  <w:style w:type="character" w:customStyle="1" w:styleId="66">
    <w:name w:val="日期 Char"/>
    <w:basedOn w:val="35"/>
    <w:link w:val="17"/>
    <w:qFormat/>
    <w:uiPriority w:val="99"/>
    <w:rPr>
      <w:sz w:val="24"/>
      <w:szCs w:val="24"/>
    </w:rPr>
  </w:style>
  <w:style w:type="character" w:customStyle="1" w:styleId="67">
    <w:name w:val="批注文字 Char1"/>
    <w:basedOn w:val="35"/>
    <w:link w:val="11"/>
    <w:qFormat/>
    <w:uiPriority w:val="99"/>
    <w:rPr>
      <w:kern w:val="2"/>
      <w:sz w:val="21"/>
      <w:szCs w:val="24"/>
    </w:rPr>
  </w:style>
  <w:style w:type="character" w:customStyle="1" w:styleId="68">
    <w:name w:val="批注主题 Char"/>
    <w:basedOn w:val="67"/>
    <w:link w:val="29"/>
    <w:qFormat/>
    <w:uiPriority w:val="99"/>
    <w:rPr>
      <w:b/>
      <w:bCs/>
      <w:kern w:val="2"/>
      <w:sz w:val="24"/>
      <w:szCs w:val="24"/>
    </w:rPr>
  </w:style>
  <w:style w:type="character" w:customStyle="1" w:styleId="69">
    <w:name w:val="正文文本缩进 Char"/>
    <w:basedOn w:val="35"/>
    <w:link w:val="12"/>
    <w:qFormat/>
    <w:uiPriority w:val="0"/>
    <w:rPr>
      <w:rFonts w:ascii="宋体" w:hAnsi="Courier New"/>
      <w:spacing w:val="-4"/>
      <w:kern w:val="2"/>
      <w:sz w:val="18"/>
    </w:rPr>
  </w:style>
  <w:style w:type="character" w:customStyle="1" w:styleId="70">
    <w:name w:val="正文首行缩进 2 Char"/>
    <w:basedOn w:val="69"/>
    <w:link w:val="31"/>
    <w:qFormat/>
    <w:uiPriority w:val="0"/>
    <w:rPr>
      <w:rFonts w:ascii="宋体" w:hAnsi="宋体"/>
      <w:spacing w:val="-4"/>
      <w:kern w:val="2"/>
      <w:sz w:val="21"/>
      <w:szCs w:val="24"/>
    </w:rPr>
  </w:style>
  <w:style w:type="character" w:customStyle="1" w:styleId="71">
    <w:name w:val="03标题3 Char"/>
    <w:link w:val="72"/>
    <w:qFormat/>
    <w:uiPriority w:val="0"/>
    <w:rPr>
      <w:rFonts w:ascii="宋体" w:hAnsi="宋体"/>
      <w:b/>
      <w:color w:val="C00000"/>
      <w:kern w:val="44"/>
      <w:sz w:val="24"/>
      <w:szCs w:val="21"/>
    </w:rPr>
  </w:style>
  <w:style w:type="paragraph" w:customStyle="1" w:styleId="72">
    <w:name w:val="03标题3"/>
    <w:next w:val="73"/>
    <w:link w:val="71"/>
    <w:qFormat/>
    <w:uiPriority w:val="0"/>
    <w:pPr>
      <w:spacing w:line="560" w:lineRule="exact"/>
      <w:ind w:firstLine="200" w:firstLineChars="200"/>
      <w:outlineLvl w:val="2"/>
    </w:pPr>
    <w:rPr>
      <w:rFonts w:ascii="宋体" w:hAnsi="宋体" w:eastAsia="宋体" w:cs="Times New Roman"/>
      <w:b/>
      <w:color w:val="C00000"/>
      <w:kern w:val="44"/>
      <w:sz w:val="24"/>
      <w:szCs w:val="21"/>
      <w:lang w:val="en-US" w:eastAsia="zh-CN" w:bidi="ar-SA"/>
    </w:rPr>
  </w:style>
  <w:style w:type="paragraph" w:customStyle="1" w:styleId="73">
    <w:name w:val="05正文"/>
    <w:basedOn w:val="1"/>
    <w:link w:val="74"/>
    <w:qFormat/>
    <w:uiPriority w:val="0"/>
    <w:pPr>
      <w:spacing w:line="560" w:lineRule="exact"/>
      <w:ind w:firstLine="200" w:firstLineChars="200"/>
    </w:pPr>
    <w:rPr>
      <w:rFonts w:ascii="宋体" w:hAnsi="宋体"/>
      <w:sz w:val="24"/>
      <w:szCs w:val="21"/>
    </w:rPr>
  </w:style>
  <w:style w:type="character" w:customStyle="1" w:styleId="74">
    <w:name w:val="05正文 Char"/>
    <w:link w:val="73"/>
    <w:qFormat/>
    <w:uiPriority w:val="0"/>
    <w:rPr>
      <w:rFonts w:ascii="宋体" w:hAnsi="宋体"/>
      <w:kern w:val="2"/>
      <w:sz w:val="24"/>
      <w:szCs w:val="21"/>
    </w:rPr>
  </w:style>
  <w:style w:type="character" w:customStyle="1" w:styleId="75">
    <w:name w:val="02标题2 Char"/>
    <w:link w:val="76"/>
    <w:qFormat/>
    <w:uiPriority w:val="0"/>
    <w:rPr>
      <w:rFonts w:ascii="黑体" w:hAnsi="黑体" w:eastAsia="黑体"/>
      <w:b/>
      <w:color w:val="0000FF"/>
      <w:kern w:val="44"/>
      <w:sz w:val="24"/>
      <w:szCs w:val="21"/>
    </w:rPr>
  </w:style>
  <w:style w:type="paragraph" w:customStyle="1" w:styleId="76">
    <w:name w:val="02标题2"/>
    <w:next w:val="73"/>
    <w:link w:val="75"/>
    <w:qFormat/>
    <w:uiPriority w:val="0"/>
    <w:pPr>
      <w:spacing w:line="560" w:lineRule="exact"/>
      <w:ind w:firstLine="200" w:firstLineChars="200"/>
      <w:outlineLvl w:val="1"/>
    </w:pPr>
    <w:rPr>
      <w:rFonts w:ascii="黑体" w:hAnsi="黑体" w:eastAsia="黑体" w:cs="Times New Roman"/>
      <w:b/>
      <w:color w:val="0000FF"/>
      <w:kern w:val="44"/>
      <w:sz w:val="24"/>
      <w:szCs w:val="21"/>
      <w:lang w:val="en-US" w:eastAsia="zh-CN" w:bidi="ar-SA"/>
    </w:rPr>
  </w:style>
  <w:style w:type="character" w:customStyle="1" w:styleId="77">
    <w:name w:val="未处理的提及1"/>
    <w:unhideWhenUsed/>
    <w:qFormat/>
    <w:uiPriority w:val="99"/>
    <w:rPr>
      <w:color w:val="605E5C"/>
      <w:shd w:val="clear" w:color="auto" w:fill="E1DFDD"/>
    </w:rPr>
  </w:style>
  <w:style w:type="character" w:customStyle="1" w:styleId="78">
    <w:name w:val="表 Char"/>
    <w:link w:val="79"/>
    <w:qFormat/>
    <w:uiPriority w:val="0"/>
    <w:rPr>
      <w:rFonts w:ascii="宋体" w:hAnsi="宋体"/>
      <w:kern w:val="2"/>
    </w:rPr>
  </w:style>
  <w:style w:type="paragraph" w:customStyle="1" w:styleId="79">
    <w:name w:val="表"/>
    <w:basedOn w:val="1"/>
    <w:link w:val="78"/>
    <w:qFormat/>
    <w:uiPriority w:val="0"/>
    <w:pPr>
      <w:jc w:val="center"/>
    </w:pPr>
    <w:rPr>
      <w:rFonts w:ascii="宋体" w:hAnsi="宋体"/>
      <w:sz w:val="20"/>
      <w:szCs w:val="20"/>
    </w:rPr>
  </w:style>
  <w:style w:type="character" w:customStyle="1" w:styleId="80">
    <w:name w:val="zh正文 Char"/>
    <w:link w:val="81"/>
    <w:qFormat/>
    <w:uiPriority w:val="0"/>
    <w:rPr>
      <w:rFonts w:ascii="宋体" w:hAnsi="宋体"/>
      <w:kern w:val="2"/>
      <w:sz w:val="28"/>
    </w:rPr>
  </w:style>
  <w:style w:type="paragraph" w:customStyle="1" w:styleId="81">
    <w:name w:val="zh正文"/>
    <w:basedOn w:val="1"/>
    <w:link w:val="80"/>
    <w:qFormat/>
    <w:uiPriority w:val="0"/>
    <w:pPr>
      <w:spacing w:line="360" w:lineRule="exact"/>
      <w:ind w:firstLine="560" w:firstLineChars="200"/>
    </w:pPr>
    <w:rPr>
      <w:rFonts w:ascii="宋体" w:hAnsi="宋体"/>
      <w:sz w:val="28"/>
      <w:szCs w:val="20"/>
    </w:rPr>
  </w:style>
  <w:style w:type="character" w:customStyle="1" w:styleId="82">
    <w:name w:val="未处理的提及2"/>
    <w:unhideWhenUsed/>
    <w:qFormat/>
    <w:uiPriority w:val="99"/>
    <w:rPr>
      <w:color w:val="605E5C"/>
      <w:shd w:val="clear" w:color="auto" w:fill="E1DFDD"/>
    </w:rPr>
  </w:style>
  <w:style w:type="character" w:customStyle="1" w:styleId="83">
    <w:name w:val="15表格 Char"/>
    <w:link w:val="84"/>
    <w:qFormat/>
    <w:uiPriority w:val="0"/>
    <w:rPr>
      <w:rFonts w:ascii="宋体" w:hAnsi="宋体"/>
      <w:kern w:val="2"/>
      <w:sz w:val="21"/>
    </w:rPr>
  </w:style>
  <w:style w:type="paragraph" w:customStyle="1" w:styleId="84">
    <w:name w:val="15表格"/>
    <w:basedOn w:val="1"/>
    <w:link w:val="83"/>
    <w:qFormat/>
    <w:uiPriority w:val="0"/>
    <w:pPr>
      <w:spacing w:line="240" w:lineRule="atLeast"/>
      <w:jc w:val="center"/>
    </w:pPr>
    <w:rPr>
      <w:rFonts w:ascii="宋体" w:hAnsi="宋体"/>
      <w:szCs w:val="20"/>
    </w:rPr>
  </w:style>
  <w:style w:type="character" w:customStyle="1" w:styleId="85">
    <w:name w:val="font21"/>
    <w:qFormat/>
    <w:uiPriority w:val="0"/>
    <w:rPr>
      <w:rFonts w:hint="eastAsia" w:ascii="宋体" w:hAnsi="宋体" w:eastAsia="宋体" w:cs="宋体"/>
      <w:color w:val="000000"/>
      <w:sz w:val="21"/>
      <w:szCs w:val="21"/>
      <w:u w:val="none"/>
    </w:rPr>
  </w:style>
  <w:style w:type="paragraph" w:customStyle="1" w:styleId="86">
    <w:name w:val="列出段落2"/>
    <w:basedOn w:val="1"/>
    <w:qFormat/>
    <w:uiPriority w:val="34"/>
    <w:pPr>
      <w:widowControl/>
      <w:ind w:firstLine="420" w:firstLineChars="200"/>
      <w:jc w:val="left"/>
    </w:pPr>
    <w:rPr>
      <w:kern w:val="0"/>
      <w:sz w:val="24"/>
    </w:rPr>
  </w:style>
  <w:style w:type="paragraph" w:customStyle="1" w:styleId="87">
    <w:name w:val="列出段落1"/>
    <w:basedOn w:val="1"/>
    <w:qFormat/>
    <w:uiPriority w:val="34"/>
    <w:pPr>
      <w:widowControl/>
      <w:ind w:firstLine="420" w:firstLineChars="200"/>
      <w:jc w:val="left"/>
    </w:pPr>
    <w:rPr>
      <w:kern w:val="0"/>
      <w:sz w:val="24"/>
    </w:rPr>
  </w:style>
  <w:style w:type="paragraph" w:customStyle="1" w:styleId="88">
    <w:name w:val="修订1"/>
    <w:semiHidden/>
    <w:qFormat/>
    <w:uiPriority w:val="99"/>
    <w:rPr>
      <w:rFonts w:ascii="Times New Roman" w:hAnsi="Times New Roman" w:eastAsia="宋体" w:cs="Times New Roman"/>
      <w:sz w:val="24"/>
      <w:szCs w:val="24"/>
      <w:lang w:val="en-US" w:eastAsia="zh-CN" w:bidi="ar-SA"/>
    </w:rPr>
  </w:style>
  <w:style w:type="paragraph" w:customStyle="1" w:styleId="89">
    <w:name w:val="表的文字"/>
    <w:basedOn w:val="1"/>
    <w:qFormat/>
    <w:uiPriority w:val="0"/>
    <w:pPr>
      <w:jc w:val="center"/>
    </w:pPr>
    <w:rPr>
      <w:rFonts w:ascii="Calibri" w:hAnsi="Calibri"/>
      <w:sz w:val="18"/>
      <w:szCs w:val="21"/>
    </w:rPr>
  </w:style>
  <w:style w:type="paragraph" w:customStyle="1" w:styleId="90">
    <w:name w:val="Revision"/>
    <w:semiHidden/>
    <w:qFormat/>
    <w:uiPriority w:val="99"/>
    <w:rPr>
      <w:rFonts w:ascii="Times New Roman" w:hAnsi="Times New Roman" w:eastAsia="宋体" w:cs="Times New Roman"/>
      <w:sz w:val="24"/>
      <w:szCs w:val="24"/>
      <w:lang w:val="en-US" w:eastAsia="zh-CN" w:bidi="ar-SA"/>
    </w:rPr>
  </w:style>
  <w:style w:type="paragraph" w:customStyle="1" w:styleId="91">
    <w:name w:val="TOC 标题2"/>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92">
    <w:name w:val="TOC 标题1"/>
    <w:basedOn w:val="4"/>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table" w:customStyle="1" w:styleId="93">
    <w:name w:val="网格型15"/>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4">
    <w:name w:val="网格型151"/>
    <w:basedOn w:val="32"/>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5">
    <w:name w:val="网格型1"/>
    <w:basedOn w:val="32"/>
    <w:qFormat/>
    <w:uiPriority w:val="59"/>
    <w:pPr>
      <w:spacing w:after="160" w:line="259"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
    <w:name w:val="UserStyle_11"/>
    <w:basedOn w:val="1"/>
    <w:qFormat/>
    <w:uiPriority w:val="0"/>
    <w:pPr>
      <w:spacing w:before="25" w:after="25"/>
    </w:pPr>
    <w:rPr>
      <w:rFonts w:ascii="Calibri" w:hAnsi="Calibri"/>
      <w:spacing w:val="10"/>
    </w:rPr>
  </w:style>
  <w:style w:type="paragraph" w:customStyle="1" w:styleId="97">
    <w:name w:val="BodyText1I"/>
    <w:basedOn w:val="98"/>
    <w:qFormat/>
    <w:uiPriority w:val="0"/>
    <w:pPr>
      <w:ind w:firstLine="420" w:firstLineChars="100"/>
    </w:pPr>
  </w:style>
  <w:style w:type="paragraph" w:customStyle="1" w:styleId="98">
    <w:name w:val="BodyText"/>
    <w:basedOn w:val="1"/>
    <w:next w:val="1"/>
    <w:qFormat/>
    <w:uiPriority w:val="0"/>
    <w:rPr>
      <w:rFonts w:ascii="仿宋_GB2312" w:eastAsia="仿宋_GB2312"/>
    </w:rPr>
  </w:style>
  <w:style w:type="paragraph" w:customStyle="1" w:styleId="99">
    <w:name w:val="UserStyle_41"/>
    <w:qFormat/>
    <w:uiPriority w:val="0"/>
    <w:pPr>
      <w:snapToGrid w:val="0"/>
      <w:jc w:val="center"/>
    </w:pPr>
    <w:rPr>
      <w:rFonts w:ascii="Times New Roman" w:hAnsi="Times New Roman" w:eastAsia="仿宋" w:cs="Times New Roman"/>
      <w:color w:val="000000"/>
      <w:sz w:val="24"/>
      <w:szCs w:val="21"/>
      <w:lang w:val="en-US" w:eastAsia="zh-CN" w:bidi="ar-SA"/>
    </w:rPr>
  </w:style>
  <w:style w:type="paragraph" w:customStyle="1" w:styleId="100">
    <w:name w:val="179"/>
    <w:basedOn w:val="1"/>
    <w:qFormat/>
    <w:uiPriority w:val="0"/>
    <w:pPr>
      <w:ind w:firstLine="420" w:firstLineChars="200"/>
    </w:pPr>
    <w:rPr>
      <w:rFonts w:ascii="Calibri" w:hAnsi="Calibri"/>
      <w:kern w:val="2"/>
    </w:rPr>
  </w:style>
  <w:style w:type="table" w:customStyle="1" w:styleId="101">
    <w:name w:val="Plain Table 2"/>
    <w:basedOn w:val="32"/>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02">
    <w:name w:val="Heading2"/>
    <w:basedOn w:val="1"/>
    <w:next w:val="1"/>
    <w:qFormat/>
    <w:uiPriority w:val="0"/>
    <w:pPr>
      <w:keepNext/>
      <w:keepLines/>
      <w:spacing w:before="260" w:after="260" w:line="416" w:lineRule="auto"/>
    </w:pPr>
    <w:rPr>
      <w:rFonts w:ascii="Cambria" w:hAnsi="Cambria"/>
      <w:sz w:val="32"/>
      <w:szCs w:val="32"/>
    </w:rPr>
  </w:style>
  <w:style w:type="paragraph" w:customStyle="1" w:styleId="103">
    <w:name w:val="UserStyle_38"/>
    <w:basedOn w:val="1"/>
    <w:qFormat/>
    <w:uiPriority w:val="0"/>
    <w:pPr>
      <w:spacing w:line="360" w:lineRule="auto"/>
      <w:ind w:firstLine="200" w:firstLineChars="200"/>
      <w:jc w:val="both"/>
    </w:pPr>
    <w:rPr>
      <w:rFonts w:ascii="仿宋_GB2312" w:hAnsi="Calibri" w:eastAsia="仿宋_GB2312"/>
      <w:kern w:val="2"/>
      <w:sz w:val="32"/>
      <w:szCs w:val="32"/>
    </w:rPr>
  </w:style>
  <w:style w:type="paragraph" w:customStyle="1" w:styleId="104">
    <w:name w:val="BodyText1I2"/>
    <w:basedOn w:val="105"/>
    <w:qFormat/>
    <w:uiPriority w:val="0"/>
    <w:pPr>
      <w:ind w:firstLine="420"/>
    </w:pPr>
    <w:rPr>
      <w:rFonts w:hAnsi="宋体"/>
      <w:sz w:val="21"/>
    </w:rPr>
  </w:style>
  <w:style w:type="paragraph" w:customStyle="1" w:styleId="105">
    <w:name w:val="BodyTextIndent"/>
    <w:basedOn w:val="1"/>
    <w:qFormat/>
    <w:uiPriority w:val="0"/>
    <w:pPr>
      <w:spacing w:after="120"/>
      <w:ind w:left="420" w:leftChars="200"/>
    </w:pPr>
  </w:style>
  <w:style w:type="paragraph" w:customStyle="1" w:styleId="106">
    <w:name w:val="UserStyle_14"/>
    <w:basedOn w:val="1"/>
    <w:qFormat/>
    <w:uiPriority w:val="0"/>
    <w:pPr>
      <w:spacing w:line="560" w:lineRule="exact"/>
      <w:ind w:firstLine="200" w:firstLineChars="200"/>
      <w:jc w:val="both"/>
    </w:pPr>
    <w:rPr>
      <w:rFonts w:ascii="宋体" w:hAnsi="宋体"/>
      <w:kern w:val="2"/>
      <w:szCs w:val="21"/>
    </w:rPr>
  </w:style>
  <w:style w:type="paragraph" w:customStyle="1" w:styleId="107">
    <w:name w:val="表头"/>
    <w:basedOn w:val="1"/>
    <w:qFormat/>
    <w:uiPriority w:val="0"/>
    <w:pPr>
      <w:keepNext/>
      <w:jc w:val="center"/>
    </w:pPr>
    <w:rPr>
      <w:b/>
    </w:rPr>
  </w:style>
  <w:style w:type="paragraph" w:customStyle="1" w:styleId="108">
    <w:name w:val="Table Paragraph"/>
    <w:basedOn w:val="1"/>
    <w:qFormat/>
    <w:uiPriority w:val="1"/>
    <w:pPr>
      <w:jc w:val="left"/>
    </w:pPr>
    <w:rPr>
      <w:rFonts w:ascii="Calibri" w:hAnsi="Calibri" w:eastAsia="宋体" w:cs="Times New Roman"/>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jpe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header" Target="header1.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86</Pages>
  <Words>45036</Words>
  <Characters>48422</Characters>
  <Lines>393</Lines>
  <Paragraphs>110</Paragraphs>
  <TotalTime>81</TotalTime>
  <ScaleCrop>false</ScaleCrop>
  <LinksUpToDate>false</LinksUpToDate>
  <CharactersWithSpaces>53033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2021-12-24T14:46:00Z</dcterms:created>
  <dc:creator>圆润的我</dc:creator>
  <cp:lastModifiedBy>Administrator</cp:lastModifiedBy>
  <cp:lastPrinted>2022-02-17T02:13:00Z</cp:lastPrinted>
  <dcterms:modified xsi:type="dcterms:W3CDTF">2023-01-18T03:33:17Z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5B97FA1EE0FD480C95C8791BE333E76F</vt:lpwstr>
  </property>
</Properties>
</file>