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宋体" w:eastAsia="方正小标宋简体"/>
          <w:color w:val="auto"/>
          <w:sz w:val="52"/>
          <w:szCs w:val="52"/>
          <w:highlight w:val="none"/>
        </w:rPr>
      </w:pPr>
    </w:p>
    <w:p>
      <w:pPr>
        <w:pStyle w:val="24"/>
        <w:jc w:val="center"/>
        <w:rPr>
          <w:rFonts w:hint="eastAsia" w:ascii="黑体" w:hAnsi="黑体" w:eastAsia="黑体"/>
          <w:color w:val="auto"/>
          <w:spacing w:val="30"/>
          <w:kern w:val="52"/>
          <w:sz w:val="64"/>
          <w:szCs w:val="64"/>
          <w:highlight w:val="none"/>
          <w:lang w:eastAsia="zh-CN"/>
        </w:rPr>
      </w:pPr>
      <w:r>
        <w:rPr>
          <w:rFonts w:hint="eastAsia" w:ascii="黑体" w:hAnsi="黑体" w:eastAsia="黑体"/>
          <w:color w:val="auto"/>
          <w:spacing w:val="30"/>
          <w:kern w:val="52"/>
          <w:sz w:val="64"/>
          <w:szCs w:val="64"/>
          <w:highlight w:val="none"/>
          <w:lang w:eastAsia="zh-CN"/>
        </w:rPr>
        <w:t>广西国泰招标咨询有限公司</w:t>
      </w:r>
    </w:p>
    <w:p>
      <w:pPr>
        <w:pStyle w:val="24"/>
        <w:jc w:val="center"/>
        <w:rPr>
          <w:rFonts w:hint="eastAsia" w:ascii="黑体" w:hAnsi="黑体" w:eastAsia="黑体"/>
          <w:color w:val="auto"/>
          <w:spacing w:val="28"/>
          <w:sz w:val="64"/>
          <w:szCs w:val="64"/>
          <w:highlight w:val="none"/>
        </w:rPr>
      </w:pPr>
      <w:r>
        <w:rPr>
          <w:rFonts w:ascii="黑体" w:hAnsi="黑体" w:eastAsia="黑体"/>
          <w:b/>
          <w:color w:val="auto"/>
          <w:spacing w:val="-18"/>
          <w:sz w:val="64"/>
          <w:szCs w:val="64"/>
          <w:highlight w:val="none"/>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99060</wp:posOffset>
                </wp:positionV>
                <wp:extent cx="5486400" cy="0"/>
                <wp:effectExtent l="0" t="0" r="0" b="0"/>
                <wp:wrapNone/>
                <wp:docPr id="1" name="Line 2"/>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27pt;margin-top:7.8pt;height:0pt;width:432pt;z-index:251660288;mso-width-relative:page;mso-height-relative:page;" filled="f" stroked="t" coordsize="21600,21600" o:gfxdata="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hQAKNYAAAAIAQAADwAAAAAAAAAB&#10;ACAAAAAiAAAAZHJzL2Rvd25yZXYueG1sUEsBAhQAFAAAAAgAh07iQDPL187ZAQAA2gMAAA4AAAAA&#10;AAAAAQAgAAAAJQEAAGRycy9lMm9Eb2MueG1sUEsFBgAAAAAGAAYAWQEAAHAFAAAAAA==&#10;">
                <v:fill on="f" focussize="0,0"/>
                <v:stroke weight="1pt" color="#000000" joinstyle="round"/>
                <v:imagedata o:title=""/>
                <o:lock v:ext="edit" aspectratio="f"/>
              </v:line>
            </w:pict>
          </mc:Fallback>
        </mc:AlternateContent>
      </w:r>
    </w:p>
    <w:p>
      <w:pPr>
        <w:snapToGrid w:val="0"/>
        <w:spacing w:before="156" w:beforeLines="50" w:line="360" w:lineRule="auto"/>
        <w:jc w:val="center"/>
        <w:rPr>
          <w:rFonts w:hint="eastAsia" w:ascii="黑体" w:hAnsi="黑体" w:eastAsia="黑体"/>
          <w:color w:val="auto"/>
          <w:sz w:val="120"/>
          <w:szCs w:val="120"/>
          <w:highlight w:val="none"/>
        </w:rPr>
      </w:pPr>
      <w:r>
        <w:rPr>
          <w:rFonts w:hint="eastAsia" w:ascii="黑体" w:hAnsi="黑体" w:eastAsia="黑体"/>
          <w:color w:val="auto"/>
          <w:sz w:val="120"/>
          <w:szCs w:val="120"/>
          <w:highlight w:val="none"/>
        </w:rPr>
        <w:t>招 标 文 件</w:t>
      </w: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项目名称：</w:t>
      </w:r>
      <w:r>
        <w:rPr>
          <w:rFonts w:hint="eastAsia" w:ascii="仿宋_GB2312" w:hAnsi="宋体" w:eastAsia="仿宋_GB2312"/>
          <w:b/>
          <w:bCs/>
          <w:color w:val="auto"/>
          <w:w w:val="95"/>
          <w:sz w:val="30"/>
          <w:szCs w:val="30"/>
          <w:highlight w:val="none"/>
          <w:lang w:eastAsia="zh-CN"/>
        </w:rPr>
        <w:t>2023-2024劳务服务采购</w:t>
      </w: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项目编号：GXZC2023-G3-003804-GTZB</w:t>
      </w: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 购 人：广西壮族自治区自然资源调查监测院</w:t>
      </w:r>
    </w:p>
    <w:p>
      <w:pPr>
        <w:pStyle w:val="24"/>
        <w:snapToGrid w:val="0"/>
        <w:spacing w:line="360" w:lineRule="auto"/>
        <w:ind w:firstLine="1977" w:firstLineChars="691"/>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采购代理机构：</w:t>
      </w:r>
      <w:r>
        <w:rPr>
          <w:rFonts w:hint="eastAsia" w:ascii="仿宋_GB2312" w:hAnsi="宋体" w:eastAsia="仿宋_GB2312"/>
          <w:b/>
          <w:bCs/>
          <w:color w:val="auto"/>
          <w:w w:val="95"/>
          <w:sz w:val="30"/>
          <w:szCs w:val="30"/>
          <w:highlight w:val="none"/>
          <w:lang w:eastAsia="zh-CN"/>
        </w:rPr>
        <w:t>广西国泰招标咨询有限公司</w:t>
      </w:r>
    </w:p>
    <w:p>
      <w:pPr>
        <w:pStyle w:val="24"/>
        <w:snapToGrid w:val="0"/>
        <w:spacing w:line="360" w:lineRule="auto"/>
        <w:ind w:firstLine="1977" w:firstLineChars="691"/>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 xml:space="preserve"> </w:t>
      </w:r>
    </w:p>
    <w:p>
      <w:pPr>
        <w:pStyle w:val="24"/>
        <w:snapToGrid w:val="0"/>
        <w:spacing w:line="360" w:lineRule="auto"/>
        <w:ind w:firstLine="1125" w:firstLineChars="393"/>
        <w:rPr>
          <w:rFonts w:hint="eastAsia" w:ascii="仿宋_GB2312" w:hAnsi="宋体" w:eastAsia="仿宋_GB2312"/>
          <w:b/>
          <w:bCs/>
          <w:color w:val="auto"/>
          <w:w w:val="95"/>
          <w:sz w:val="30"/>
          <w:szCs w:val="30"/>
          <w:highlight w:val="none"/>
        </w:rPr>
      </w:pPr>
    </w:p>
    <w:p>
      <w:pPr>
        <w:pStyle w:val="24"/>
        <w:snapToGrid w:val="0"/>
        <w:spacing w:line="360" w:lineRule="auto"/>
        <w:jc w:val="center"/>
        <w:rPr>
          <w:rFonts w:hint="eastAsia" w:ascii="仿宋_GB2312" w:eastAsia="仿宋_GB2312"/>
          <w:color w:val="auto"/>
          <w:szCs w:val="20"/>
          <w:highlight w:val="none"/>
        </w:rPr>
      </w:pPr>
      <w:r>
        <w:rPr>
          <w:rFonts w:hint="eastAsia" w:ascii="仿宋_GB2312" w:hAnsi="宋体" w:eastAsia="仿宋_GB2312"/>
          <w:b/>
          <w:bCs/>
          <w:color w:val="auto"/>
          <w:w w:val="95"/>
          <w:sz w:val="30"/>
          <w:szCs w:val="30"/>
          <w:highlight w:val="none"/>
        </w:rPr>
        <w:t>202</w:t>
      </w:r>
      <w:r>
        <w:rPr>
          <w:rFonts w:ascii="仿宋_GB2312" w:hAnsi="宋体" w:eastAsia="仿宋_GB2312"/>
          <w:b/>
          <w:bCs/>
          <w:color w:val="auto"/>
          <w:w w:val="95"/>
          <w:sz w:val="30"/>
          <w:szCs w:val="30"/>
          <w:highlight w:val="none"/>
        </w:rPr>
        <w:t>3</w:t>
      </w:r>
      <w:r>
        <w:rPr>
          <w:rFonts w:hint="eastAsia" w:ascii="仿宋_GB2312" w:hAnsi="宋体" w:eastAsia="仿宋_GB2312"/>
          <w:b/>
          <w:bCs/>
          <w:color w:val="auto"/>
          <w:w w:val="95"/>
          <w:sz w:val="30"/>
          <w:szCs w:val="30"/>
          <w:highlight w:val="none"/>
        </w:rPr>
        <w:t>年</w:t>
      </w:r>
      <w:r>
        <w:rPr>
          <w:rFonts w:hint="eastAsia" w:ascii="仿宋_GB2312" w:hAnsi="宋体" w:eastAsia="仿宋_GB2312"/>
          <w:b/>
          <w:bCs/>
          <w:color w:val="auto"/>
          <w:w w:val="95"/>
          <w:sz w:val="30"/>
          <w:szCs w:val="30"/>
          <w:highlight w:val="none"/>
          <w:lang w:val="en-US" w:eastAsia="zh-CN"/>
        </w:rPr>
        <w:t>10</w:t>
      </w:r>
      <w:r>
        <w:rPr>
          <w:rFonts w:hint="eastAsia" w:ascii="仿宋_GB2312" w:hAnsi="宋体" w:eastAsia="仿宋_GB2312"/>
          <w:b/>
          <w:bCs/>
          <w:color w:val="auto"/>
          <w:w w:val="95"/>
          <w:sz w:val="30"/>
          <w:szCs w:val="30"/>
          <w:highlight w:val="none"/>
        </w:rPr>
        <w:t>月</w:t>
      </w:r>
      <w:r>
        <w:rPr>
          <w:rFonts w:hint="eastAsia" w:ascii="仿宋_GB2312" w:hAnsi="宋体" w:eastAsia="仿宋_GB2312"/>
          <w:b/>
          <w:bCs/>
          <w:color w:val="auto"/>
          <w:w w:val="95"/>
          <w:sz w:val="30"/>
          <w:szCs w:val="30"/>
          <w:highlight w:val="none"/>
          <w:lang w:val="en-US" w:eastAsia="zh-CN"/>
        </w:rPr>
        <w:t>23</w:t>
      </w:r>
      <w:r>
        <w:rPr>
          <w:rFonts w:hint="eastAsia" w:ascii="仿宋_GB2312" w:hAnsi="宋体" w:eastAsia="仿宋_GB2312"/>
          <w:b/>
          <w:bCs/>
          <w:color w:val="auto"/>
          <w:w w:val="95"/>
          <w:sz w:val="30"/>
          <w:szCs w:val="30"/>
          <w:highlight w:val="none"/>
        </w:rPr>
        <w:t>日</w:t>
      </w:r>
    </w:p>
    <w:p>
      <w:pPr>
        <w:pStyle w:val="18"/>
        <w:kinsoku w:val="0"/>
        <w:overflowPunct w:val="0"/>
        <w:rPr>
          <w:rFonts w:hint="eastAsia"/>
          <w:color w:val="auto"/>
          <w:sz w:val="40"/>
          <w:highlight w:val="none"/>
        </w:rPr>
      </w:pPr>
    </w:p>
    <w:p>
      <w:pPr>
        <w:pStyle w:val="24"/>
        <w:spacing w:before="120" w:after="120" w:line="360" w:lineRule="auto"/>
        <w:jc w:val="center"/>
        <w:rPr>
          <w:rFonts w:hint="eastAsia" w:ascii="仿宋_GB2312" w:hAnsi="宋体" w:eastAsia="仿宋_GB2312"/>
          <w:color w:val="auto"/>
          <w:highlight w:val="none"/>
        </w:rPr>
      </w:pPr>
      <w:r>
        <w:rPr>
          <w:rFonts w:ascii="Arial" w:hAnsi="Arial" w:eastAsia="黑体"/>
          <w:bCs/>
          <w:color w:val="auto"/>
          <w:sz w:val="32"/>
          <w:szCs w:val="32"/>
          <w:highlight w:val="none"/>
        </w:rPr>
        <w:br w:type="page"/>
      </w: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pStyle w:val="25"/>
        <w:ind w:firstLine="280"/>
        <w:rPr>
          <w:b w:val="0"/>
          <w:bCs w:val="0"/>
          <w:caps w:val="0"/>
          <w:color w:val="auto"/>
          <w:sz w:val="28"/>
          <w:szCs w:val="28"/>
          <w:highlight w:val="none"/>
          <w:lang w:val="en-US" w:eastAsia="zh-CN"/>
        </w:rPr>
      </w:pPr>
      <w:r>
        <w:rPr>
          <w:b w:val="0"/>
          <w:color w:val="auto"/>
          <w:sz w:val="28"/>
          <w:szCs w:val="28"/>
          <w:highlight w:val="none"/>
        </w:rPr>
        <w:fldChar w:fldCharType="begin"/>
      </w:r>
      <w:r>
        <w:rPr>
          <w:b w:val="0"/>
          <w:color w:val="auto"/>
          <w:sz w:val="28"/>
          <w:szCs w:val="28"/>
          <w:highlight w:val="none"/>
        </w:rPr>
        <w:instrText xml:space="preserve"> </w:instrText>
      </w:r>
      <w:r>
        <w:rPr>
          <w:rFonts w:hint="eastAsia"/>
          <w:b w:val="0"/>
          <w:color w:val="auto"/>
          <w:sz w:val="28"/>
          <w:szCs w:val="28"/>
          <w:highlight w:val="none"/>
        </w:rPr>
        <w:instrText xml:space="preserve">TOC \o "1-2" \h \z \u</w:instrText>
      </w:r>
      <w:r>
        <w:rPr>
          <w:b w:val="0"/>
          <w:color w:val="auto"/>
          <w:sz w:val="28"/>
          <w:szCs w:val="28"/>
          <w:highlight w:val="none"/>
        </w:rPr>
        <w:instrText xml:space="preserve"> </w:instrText>
      </w:r>
      <w:r>
        <w:rPr>
          <w:b w:val="0"/>
          <w:color w:val="auto"/>
          <w:sz w:val="28"/>
          <w:szCs w:val="28"/>
          <w:highlight w:val="none"/>
        </w:rPr>
        <w:fldChar w:fldCharType="separate"/>
      </w: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"_Toc74320800"</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第一章</w:t>
      </w:r>
      <w:r>
        <w:rPr>
          <w:rStyle w:val="52"/>
          <w:color w:val="auto"/>
          <w:sz w:val="28"/>
          <w:szCs w:val="28"/>
          <w:highlight w:val="none"/>
        </w:rPr>
        <w:t xml:space="preserve"> </w:t>
      </w:r>
      <w:r>
        <w:rPr>
          <w:rStyle w:val="52"/>
          <w:rFonts w:hint="eastAsia"/>
          <w:color w:val="auto"/>
          <w:sz w:val="28"/>
          <w:szCs w:val="28"/>
          <w:highlight w:val="none"/>
          <w:lang w:val="en-US" w:eastAsia="zh-CN"/>
        </w:rPr>
        <w:t xml:space="preserve"> </w:t>
      </w:r>
      <w:r>
        <w:rPr>
          <w:rStyle w:val="52"/>
          <w:rFonts w:hint="eastAsia"/>
          <w:color w:val="auto"/>
          <w:sz w:val="28"/>
          <w:szCs w:val="28"/>
          <w:highlight w:val="none"/>
        </w:rPr>
        <w:t>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_Toc74320800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25"/>
        <w:ind w:firstLine="281"/>
        <w:rPr>
          <w:b w:val="0"/>
          <w:bCs w:val="0"/>
          <w:caps w:val="0"/>
          <w:color w:val="auto"/>
          <w:sz w:val="28"/>
          <w:szCs w:val="28"/>
          <w:highlight w:val="none"/>
          <w:lang w:val="en-US" w:eastAsia="zh-CN"/>
        </w:rPr>
      </w:pP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"_Toc74320801"</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第二章</w:t>
      </w:r>
      <w:r>
        <w:rPr>
          <w:rStyle w:val="52"/>
          <w:color w:val="auto"/>
          <w:sz w:val="28"/>
          <w:szCs w:val="28"/>
          <w:highlight w:val="none"/>
        </w:rPr>
        <w:t xml:space="preserve">  </w:t>
      </w:r>
      <w:r>
        <w:rPr>
          <w:rStyle w:val="52"/>
          <w:rFonts w:hint="eastAsia"/>
          <w:color w:val="auto"/>
          <w:sz w:val="28"/>
          <w:szCs w:val="28"/>
          <w:highlight w:val="none"/>
        </w:rPr>
        <w:t>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_Toc74320801 \h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25"/>
        <w:ind w:firstLine="281"/>
        <w:rPr>
          <w:b w:val="0"/>
          <w:bCs w:val="0"/>
          <w:caps w:val="0"/>
          <w:color w:val="auto"/>
          <w:sz w:val="28"/>
          <w:szCs w:val="28"/>
          <w:highlight w:val="none"/>
          <w:lang w:val="en-US" w:eastAsia="zh-CN"/>
        </w:rPr>
      </w:pP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"_Toc74320802"</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第三章</w:t>
      </w:r>
      <w:r>
        <w:rPr>
          <w:rStyle w:val="52"/>
          <w:color w:val="auto"/>
          <w:sz w:val="28"/>
          <w:szCs w:val="28"/>
          <w:highlight w:val="none"/>
        </w:rPr>
        <w:t xml:space="preserve">  </w:t>
      </w:r>
      <w:r>
        <w:rPr>
          <w:rStyle w:val="52"/>
          <w:rFonts w:hint="eastAsia"/>
          <w:color w:val="auto"/>
          <w:sz w:val="28"/>
          <w:szCs w:val="28"/>
          <w:highlight w:val="none"/>
        </w:rPr>
        <w:t>投标人须</w:t>
      </w:r>
      <w:bookmarkStart w:id="0" w:name="_Hlt79572744"/>
      <w:bookmarkStart w:id="1" w:name="_Hlt79572745"/>
      <w:r>
        <w:rPr>
          <w:rStyle w:val="52"/>
          <w:rFonts w:hint="eastAsia"/>
          <w:color w:val="auto"/>
          <w:sz w:val="28"/>
          <w:szCs w:val="28"/>
          <w:highlight w:val="none"/>
        </w:rPr>
        <w:t>知</w:t>
      </w:r>
      <w:bookmarkEnd w:id="0"/>
      <w:bookmarkEnd w:id="1"/>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_Toc74320802 \h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color w:val="auto"/>
          <w:sz w:val="28"/>
          <w:szCs w:val="28"/>
          <w:highlight w:val="none"/>
        </w:rPr>
        <w:fldChar w:fldCharType="end"/>
      </w:r>
    </w:p>
    <w:p>
      <w:pPr>
        <w:pStyle w:val="25"/>
        <w:ind w:firstLine="281"/>
        <w:rPr>
          <w:b w:val="0"/>
          <w:bCs w:val="0"/>
          <w:caps w:val="0"/>
          <w:color w:val="auto"/>
          <w:sz w:val="28"/>
          <w:szCs w:val="28"/>
          <w:highlight w:val="none"/>
          <w:lang w:val="en-US" w:eastAsia="zh-CN"/>
        </w:rPr>
      </w:pP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"_Toc74320803"</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第四章</w:t>
      </w:r>
      <w:r>
        <w:rPr>
          <w:rStyle w:val="52"/>
          <w:color w:val="auto"/>
          <w:sz w:val="28"/>
          <w:szCs w:val="28"/>
          <w:highlight w:val="none"/>
        </w:rPr>
        <w:t xml:space="preserve">  </w:t>
      </w:r>
      <w:r>
        <w:rPr>
          <w:rStyle w:val="52"/>
          <w:rFonts w:hint="eastAsia"/>
          <w:color w:val="auto"/>
          <w:sz w:val="28"/>
          <w:szCs w:val="28"/>
          <w:highlight w:val="none"/>
        </w:rPr>
        <w:t>评标方</w:t>
      </w:r>
      <w:bookmarkStart w:id="2" w:name="_Hlt82186273"/>
      <w:bookmarkStart w:id="3" w:name="_Hlt82186274"/>
      <w:r>
        <w:rPr>
          <w:rStyle w:val="52"/>
          <w:rFonts w:hint="eastAsia"/>
          <w:color w:val="auto"/>
          <w:sz w:val="28"/>
          <w:szCs w:val="28"/>
          <w:highlight w:val="none"/>
        </w:rPr>
        <w:t>法</w:t>
      </w:r>
      <w:bookmarkEnd w:id="2"/>
      <w:bookmarkEnd w:id="3"/>
      <w:r>
        <w:rPr>
          <w:rStyle w:val="52"/>
          <w:rFonts w:hint="eastAsia"/>
          <w:color w:val="auto"/>
          <w:sz w:val="28"/>
          <w:szCs w:val="28"/>
          <w:highlight w:val="none"/>
        </w:rPr>
        <w:t>及评标标准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_Toc74320803 \h </w:instrText>
      </w:r>
      <w:r>
        <w:rPr>
          <w:color w:val="auto"/>
          <w:sz w:val="28"/>
          <w:szCs w:val="28"/>
          <w:highlight w:val="none"/>
        </w:rPr>
        <w:fldChar w:fldCharType="separate"/>
      </w:r>
      <w:r>
        <w:rPr>
          <w:color w:val="auto"/>
          <w:sz w:val="28"/>
          <w:szCs w:val="28"/>
          <w:highlight w:val="none"/>
        </w:rPr>
        <w:t>25</w:t>
      </w:r>
      <w:r>
        <w:rPr>
          <w:color w:val="auto"/>
          <w:sz w:val="28"/>
          <w:szCs w:val="28"/>
          <w:highlight w:val="none"/>
        </w:rPr>
        <w:fldChar w:fldCharType="end"/>
      </w:r>
      <w:r>
        <w:rPr>
          <w:color w:val="auto"/>
          <w:sz w:val="28"/>
          <w:szCs w:val="28"/>
          <w:highlight w:val="none"/>
        </w:rPr>
        <w:fldChar w:fldCharType="end"/>
      </w:r>
    </w:p>
    <w:p>
      <w:pPr>
        <w:pStyle w:val="25"/>
        <w:ind w:firstLine="281"/>
        <w:rPr>
          <w:b w:val="0"/>
          <w:bCs w:val="0"/>
          <w:caps w:val="0"/>
          <w:color w:val="auto"/>
          <w:sz w:val="28"/>
          <w:szCs w:val="28"/>
          <w:highlight w:val="none"/>
          <w:lang w:val="en-US" w:eastAsia="zh-CN"/>
        </w:rPr>
      </w:pP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"_Toc74320804"</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第五章</w:t>
      </w:r>
      <w:r>
        <w:rPr>
          <w:rStyle w:val="52"/>
          <w:color w:val="auto"/>
          <w:sz w:val="28"/>
          <w:szCs w:val="28"/>
          <w:highlight w:val="none"/>
        </w:rPr>
        <w:t xml:space="preserve">  </w:t>
      </w:r>
      <w:r>
        <w:rPr>
          <w:rStyle w:val="52"/>
          <w:rFonts w:hint="eastAsia"/>
          <w:color w:val="auto"/>
          <w:sz w:val="28"/>
          <w:szCs w:val="28"/>
          <w:highlight w:val="none"/>
        </w:rPr>
        <w:t>拟签订的合同文本</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_Toc74320804 \h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25"/>
        <w:ind w:firstLine="281"/>
        <w:rPr>
          <w:b w:val="0"/>
          <w:bCs w:val="0"/>
          <w:caps w:val="0"/>
          <w:color w:val="auto"/>
          <w:sz w:val="28"/>
          <w:szCs w:val="28"/>
          <w:highlight w:val="none"/>
          <w:lang w:val="en-US" w:eastAsia="zh-CN"/>
        </w:rPr>
      </w:pPr>
      <w:r>
        <w:rPr>
          <w:color w:val="auto"/>
          <w:sz w:val="28"/>
          <w:szCs w:val="28"/>
          <w:highlight w:val="none"/>
        </w:rPr>
        <w:fldChar w:fldCharType="begin"/>
      </w:r>
      <w:r>
        <w:rPr>
          <w:rStyle w:val="52"/>
          <w:color w:val="auto"/>
          <w:sz w:val="28"/>
          <w:szCs w:val="28"/>
          <w:highlight w:val="none"/>
        </w:rPr>
        <w:instrText xml:space="preserve"> </w:instrText>
      </w:r>
      <w:r>
        <w:rPr>
          <w:color w:val="auto"/>
          <w:sz w:val="28"/>
          <w:szCs w:val="28"/>
          <w:highlight w:val="none"/>
        </w:rPr>
        <w:instrText xml:space="preserve">HYPERLINK \l "_Toc74320805"</w:instrText>
      </w:r>
      <w:r>
        <w:rPr>
          <w:rStyle w:val="52"/>
          <w:color w:val="auto"/>
          <w:sz w:val="28"/>
          <w:szCs w:val="28"/>
          <w:highlight w:val="none"/>
        </w:rPr>
        <w:instrText xml:space="preserve"> </w:instrText>
      </w:r>
      <w:r>
        <w:rPr>
          <w:color w:val="auto"/>
          <w:sz w:val="28"/>
          <w:szCs w:val="28"/>
          <w:highlight w:val="none"/>
        </w:rPr>
        <w:fldChar w:fldCharType="separate"/>
      </w:r>
      <w:r>
        <w:rPr>
          <w:rStyle w:val="52"/>
          <w:rFonts w:hint="eastAsia"/>
          <w:color w:val="auto"/>
          <w:sz w:val="28"/>
          <w:szCs w:val="28"/>
          <w:highlight w:val="none"/>
        </w:rPr>
        <w:t>第六章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_Toc74320805 \h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color w:val="auto"/>
          <w:sz w:val="28"/>
          <w:szCs w:val="28"/>
          <w:highlight w:val="none"/>
        </w:rPr>
        <w:fldChar w:fldCharType="end"/>
      </w:r>
    </w:p>
    <w:p>
      <w:pPr>
        <w:spacing w:before="156" w:beforeLines="50" w:line="480" w:lineRule="exact"/>
        <w:rPr>
          <w:rFonts w:hint="eastAsia" w:ascii="宋体" w:hAnsi="宋体"/>
          <w:color w:val="auto"/>
          <w:sz w:val="28"/>
          <w:szCs w:val="28"/>
          <w:highlight w:val="none"/>
        </w:rPr>
      </w:pPr>
      <w:r>
        <w:rPr>
          <w:rFonts w:ascii="宋体" w:hAnsi="宋体"/>
          <w:b/>
          <w:color w:val="auto"/>
          <w:sz w:val="28"/>
          <w:szCs w:val="28"/>
          <w:highlight w:val="none"/>
        </w:rPr>
        <w:fldChar w:fldCharType="end"/>
      </w:r>
    </w:p>
    <w:p>
      <w:pPr>
        <w:spacing w:before="156"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56" w:beforeLines="50" w:line="480" w:lineRule="exact"/>
        <w:rPr>
          <w:rFonts w:hint="eastAsia" w:ascii="仿宋_GB2312" w:hAnsi="宋体" w:eastAsia="仿宋_GB2312"/>
          <w:color w:val="auto"/>
          <w:sz w:val="30"/>
          <w:highlight w:val="none"/>
        </w:rPr>
      </w:pPr>
    </w:p>
    <w:p>
      <w:pPr>
        <w:spacing w:before="156" w:beforeLines="50" w:line="480" w:lineRule="exact"/>
        <w:rPr>
          <w:rFonts w:hint="eastAsia" w:ascii="仿宋_GB2312" w:hAnsi="宋体" w:eastAsia="仿宋_GB2312"/>
          <w:color w:val="auto"/>
          <w:sz w:val="30"/>
          <w:highlight w:val="none"/>
        </w:rPr>
      </w:pPr>
    </w:p>
    <w:p>
      <w:pPr>
        <w:pStyle w:val="16"/>
        <w:rPr>
          <w:rFonts w:hint="eastAsia" w:ascii="宋体" w:hAnsi="宋体" w:cs="宋体"/>
          <w:b/>
          <w:bCs/>
          <w:color w:val="auto"/>
          <w:highlight w:val="none"/>
        </w:rPr>
      </w:pPr>
      <w:bookmarkStart w:id="4" w:name="_Toc254970630"/>
      <w:bookmarkStart w:id="5" w:name="_Toc254970489"/>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sectPr>
          <w:footerReference r:id="rId6" w:type="first"/>
          <w:footerReference r:id="rId4" w:type="default"/>
          <w:headerReference r:id="rId3" w:type="even"/>
          <w:footerReference r:id="rId5" w:type="even"/>
          <w:pgSz w:w="11906" w:h="16838"/>
          <w:pgMar w:top="1247" w:right="1247" w:bottom="1247" w:left="1247" w:header="851" w:footer="992" w:gutter="0"/>
          <w:pgNumType w:start="1"/>
          <w:cols w:space="720" w:num="1"/>
          <w:titlePg/>
          <w:docGrid w:type="lines" w:linePitch="312" w:charSpace="0"/>
        </w:sectPr>
      </w:pPr>
      <w:bookmarkStart w:id="6" w:name="_Toc74320800"/>
    </w:p>
    <w:p>
      <w:pPr>
        <w:pStyle w:val="3"/>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r>
        <w:rPr>
          <w:rFonts w:hint="eastAsia"/>
          <w:color w:val="auto"/>
          <w:highlight w:val="none"/>
        </w:rPr>
        <w:t>第一章</w:t>
      </w:r>
      <w:bookmarkEnd w:id="4"/>
      <w:bookmarkEnd w:id="5"/>
      <w:bookmarkStart w:id="7" w:name="_Toc28359001"/>
      <w:bookmarkStart w:id="8" w:name="_Toc35393789"/>
      <w:r>
        <w:rPr>
          <w:rFonts w:hint="eastAsia"/>
          <w:color w:val="auto"/>
          <w:highlight w:val="none"/>
        </w:rPr>
        <w:t xml:space="preserve"> 招标公告</w:t>
      </w:r>
      <w:bookmarkEnd w:id="6"/>
      <w:bookmarkEnd w:id="7"/>
      <w:bookmarkEnd w:id="8"/>
    </w:p>
    <w:p>
      <w:pPr>
        <w:pStyle w:val="3"/>
        <w:tabs>
          <w:tab w:val="left" w:pos="0"/>
          <w:tab w:val="left" w:pos="3165"/>
          <w:tab w:val="center" w:pos="4153"/>
        </w:tabs>
        <w:autoSpaceDE w:val="0"/>
        <w:autoSpaceDN w:val="0"/>
        <w:adjustRightInd w:val="0"/>
        <w:spacing w:before="0" w:after="0" w:line="500" w:lineRule="exact"/>
        <w:jc w:val="center"/>
        <w:rPr>
          <w:rFonts w:hint="eastAsia"/>
          <w:b w:val="0"/>
          <w:color w:val="auto"/>
          <w:sz w:val="32"/>
          <w:szCs w:val="32"/>
          <w:highlight w:val="none"/>
          <w:lang w:eastAsia="zh-CN"/>
        </w:rPr>
      </w:pPr>
      <w:r>
        <w:rPr>
          <w:rFonts w:hint="eastAsia" w:ascii="宋体" w:hAnsi="Courier New" w:eastAsia="宋体" w:cs="Times New Roman"/>
          <w:b/>
          <w:bCs/>
          <w:color w:val="auto"/>
          <w:kern w:val="2"/>
          <w:sz w:val="32"/>
          <w:szCs w:val="32"/>
          <w:highlight w:val="none"/>
          <w:lang w:eastAsia="zh-CN"/>
        </w:rPr>
        <w:t>广西国泰招标咨询有限公司</w:t>
      </w:r>
    </w:p>
    <w:p>
      <w:pPr>
        <w:pStyle w:val="3"/>
        <w:tabs>
          <w:tab w:val="left" w:pos="0"/>
          <w:tab w:val="left" w:pos="3165"/>
          <w:tab w:val="center" w:pos="4153"/>
        </w:tabs>
        <w:autoSpaceDE w:val="0"/>
        <w:autoSpaceDN w:val="0"/>
        <w:adjustRightInd w:val="0"/>
        <w:spacing w:before="0" w:after="0" w:line="500" w:lineRule="exact"/>
        <w:jc w:val="center"/>
        <w:rPr>
          <w:rFonts w:hint="eastAsia" w:ascii="宋体" w:hAnsi="Courier New"/>
          <w:bCs w:val="0"/>
          <w:color w:val="auto"/>
          <w:kern w:val="2"/>
          <w:sz w:val="32"/>
          <w:szCs w:val="32"/>
          <w:highlight w:val="none"/>
        </w:rPr>
      </w:pPr>
      <w:r>
        <w:rPr>
          <w:rFonts w:hint="eastAsia" w:ascii="宋体" w:hAnsi="Courier New"/>
          <w:bCs w:val="0"/>
          <w:color w:val="auto"/>
          <w:kern w:val="2"/>
          <w:sz w:val="32"/>
          <w:szCs w:val="32"/>
          <w:highlight w:val="none"/>
          <w:lang w:eastAsia="zh-CN"/>
        </w:rPr>
        <w:t>2023-2024劳务服务采购</w:t>
      </w:r>
      <w:r>
        <w:rPr>
          <w:rFonts w:hint="eastAsia" w:ascii="宋体" w:hAnsi="Courier New"/>
          <w:bCs w:val="0"/>
          <w:color w:val="auto"/>
          <w:kern w:val="2"/>
          <w:sz w:val="32"/>
          <w:szCs w:val="32"/>
          <w:highlight w:val="none"/>
        </w:rPr>
        <w:t>（</w:t>
      </w:r>
      <w:r>
        <w:rPr>
          <w:rFonts w:hint="eastAsia" w:ascii="宋体" w:hAnsi="Courier New"/>
          <w:bCs w:val="0"/>
          <w:color w:val="auto"/>
          <w:kern w:val="2"/>
          <w:sz w:val="32"/>
          <w:szCs w:val="32"/>
          <w:highlight w:val="none"/>
          <w:lang w:eastAsia="zh-CN"/>
        </w:rPr>
        <w:t>GXZC2023-G3-003804-GTZB</w:t>
      </w:r>
      <w:r>
        <w:rPr>
          <w:rFonts w:hint="eastAsia" w:ascii="宋体" w:hAnsi="Courier New"/>
          <w:bCs w:val="0"/>
          <w:color w:val="auto"/>
          <w:kern w:val="2"/>
          <w:sz w:val="32"/>
          <w:szCs w:val="32"/>
          <w:highlight w:val="none"/>
        </w:rPr>
        <w:t>）</w:t>
      </w:r>
    </w:p>
    <w:p>
      <w:pPr>
        <w:pStyle w:val="3"/>
        <w:tabs>
          <w:tab w:val="left" w:pos="0"/>
          <w:tab w:val="left" w:pos="3165"/>
          <w:tab w:val="center" w:pos="4153"/>
        </w:tabs>
        <w:autoSpaceDE w:val="0"/>
        <w:autoSpaceDN w:val="0"/>
        <w:adjustRightInd w:val="0"/>
        <w:spacing w:before="0" w:after="0" w:line="500" w:lineRule="exact"/>
        <w:jc w:val="center"/>
        <w:rPr>
          <w:rFonts w:hint="eastAsia" w:ascii="宋体" w:hAnsi="Courier New"/>
          <w:bCs w:val="0"/>
          <w:color w:val="auto"/>
          <w:kern w:val="2"/>
          <w:sz w:val="32"/>
          <w:szCs w:val="32"/>
          <w:highlight w:val="none"/>
        </w:rPr>
      </w:pPr>
      <w:r>
        <w:rPr>
          <w:rFonts w:hint="eastAsia" w:ascii="宋体" w:hAnsi="Courier New"/>
          <w:bCs w:val="0"/>
          <w:color w:val="auto"/>
          <w:kern w:val="2"/>
          <w:sz w:val="32"/>
          <w:szCs w:val="32"/>
          <w:highlight w:val="none"/>
        </w:rPr>
        <w:t>招标公告</w:t>
      </w:r>
    </w:p>
    <w:p>
      <w:pPr>
        <w:spacing w:line="360" w:lineRule="auto"/>
        <w:rPr>
          <w:rFonts w:ascii="宋体" w:hAnsi="宋体"/>
          <w:color w:val="auto"/>
          <w:szCs w:val="21"/>
          <w:highlight w:val="none"/>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s="Arial"/>
          <w:bCs/>
          <w:color w:val="auto"/>
          <w:szCs w:val="21"/>
          <w:highlight w:val="none"/>
          <w:lang w:eastAsia="zh-CN"/>
        </w:rPr>
        <w:t>2023-2024劳务服务采购</w:t>
      </w:r>
      <w:r>
        <w:rPr>
          <w:rFonts w:hint="eastAsia" w:ascii="宋体" w:hAnsi="宋体"/>
          <w:color w:val="auto"/>
          <w:szCs w:val="21"/>
          <w:highlight w:val="none"/>
        </w:rPr>
        <w:t>招标项目的潜在投标人应在“政采云”平台（</w:t>
      </w:r>
      <w:r>
        <w:rPr>
          <w:rFonts w:ascii="宋体" w:hAnsi="宋体"/>
          <w:color w:val="auto"/>
          <w:szCs w:val="21"/>
          <w:highlight w:val="none"/>
        </w:rPr>
        <w:fldChar w:fldCharType="begin"/>
      </w:r>
      <w:r>
        <w:rPr>
          <w:rFonts w:ascii="宋体" w:hAnsi="宋体"/>
          <w:color w:val="auto"/>
          <w:szCs w:val="21"/>
          <w:highlight w:val="none"/>
        </w:rPr>
        <w:instrText xml:space="preserve"> HYPERLINK "</w:instrText>
      </w:r>
      <w:r>
        <w:rPr>
          <w:rFonts w:hint="eastAsia" w:ascii="宋体" w:hAnsi="宋体"/>
          <w:color w:val="auto"/>
          <w:szCs w:val="21"/>
          <w:highlight w:val="none"/>
        </w:rPr>
        <w:instrText xml:space="preserve">https://www.zcygov.cn/）获取（下载）招标文件，并于</w:instrText>
      </w:r>
      <w:r>
        <w:rPr>
          <w:rFonts w:hint="eastAsia" w:ascii="宋体" w:hAnsi="宋体" w:cs="Arial"/>
          <w:bCs/>
          <w:color w:val="auto"/>
          <w:szCs w:val="21"/>
          <w:highlight w:val="none"/>
        </w:rPr>
        <w:instrText xml:space="preserve">20</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Style w:val="52"/>
          <w:rFonts w:hint="eastAsia" w:ascii="宋体" w:hAnsi="宋体"/>
          <w:color w:val="auto"/>
          <w:szCs w:val="21"/>
          <w:highlight w:val="none"/>
        </w:rPr>
        <w:t>https://www.zcygov.cn/）获取（下载）招标文件，并于</w:t>
      </w:r>
      <w:r>
        <w:rPr>
          <w:rStyle w:val="52"/>
          <w:rFonts w:hint="eastAsia" w:ascii="宋体" w:hAnsi="宋体" w:cs="Arial"/>
          <w:bCs/>
          <w:color w:val="auto"/>
          <w:szCs w:val="21"/>
          <w:highlight w:val="none"/>
        </w:rPr>
        <w:t>20</w:t>
      </w:r>
      <w:r>
        <w:rPr>
          <w:rFonts w:ascii="宋体" w:hAnsi="宋体"/>
          <w:color w:val="auto"/>
          <w:szCs w:val="21"/>
          <w:highlight w:val="none"/>
        </w:rPr>
        <w:fldChar w:fldCharType="end"/>
      </w:r>
      <w:r>
        <w:rPr>
          <w:rFonts w:hint="eastAsia" w:ascii="宋体" w:hAnsi="宋体" w:cs="Arial"/>
          <w:bCs/>
          <w:color w:val="auto"/>
          <w:szCs w:val="21"/>
          <w:highlight w:val="none"/>
          <w:lang w:val="en-US" w:eastAsia="zh-CN"/>
        </w:rPr>
        <w:t>23</w:t>
      </w:r>
      <w:r>
        <w:rPr>
          <w:rFonts w:hint="eastAsia" w:ascii="宋体" w:hAnsi="宋体" w:cs="Arial"/>
          <w:bCs/>
          <w:color w:val="auto"/>
          <w:szCs w:val="21"/>
          <w:highlight w:val="none"/>
        </w:rPr>
        <w:t>年</w:t>
      </w:r>
      <w:r>
        <w:rPr>
          <w:rFonts w:hint="eastAsia" w:ascii="宋体" w:hAnsi="宋体" w:cs="Arial"/>
          <w:bCs/>
          <w:color w:val="auto"/>
          <w:szCs w:val="21"/>
          <w:highlight w:val="none"/>
          <w:lang w:val="en-US" w:eastAsia="zh-CN"/>
        </w:rPr>
        <w:t>11</w:t>
      </w:r>
      <w:r>
        <w:rPr>
          <w:rFonts w:hint="eastAsia" w:ascii="宋体" w:hAnsi="宋体" w:cs="Arial"/>
          <w:bCs/>
          <w:color w:val="auto"/>
          <w:szCs w:val="21"/>
          <w:highlight w:val="none"/>
        </w:rPr>
        <w:t>月</w:t>
      </w:r>
      <w:r>
        <w:rPr>
          <w:rFonts w:hint="eastAsia" w:ascii="宋体" w:hAnsi="宋体" w:cs="Arial"/>
          <w:bCs/>
          <w:color w:val="auto"/>
          <w:szCs w:val="21"/>
          <w:highlight w:val="none"/>
          <w:lang w:val="en-US" w:eastAsia="zh-CN"/>
        </w:rPr>
        <w:t>14</w:t>
      </w:r>
      <w:r>
        <w:rPr>
          <w:rFonts w:hint="eastAsia" w:ascii="宋体" w:hAnsi="宋体" w:cs="Arial"/>
          <w:bCs/>
          <w:color w:val="auto"/>
          <w:szCs w:val="21"/>
          <w:highlight w:val="none"/>
        </w:rPr>
        <w:t>日9时00分（北京时间）</w:t>
      </w:r>
      <w:r>
        <w:rPr>
          <w:rFonts w:hint="eastAsia" w:ascii="宋体" w:hAnsi="宋体"/>
          <w:bCs/>
          <w:color w:val="auto"/>
          <w:szCs w:val="21"/>
          <w:highlight w:val="none"/>
        </w:rPr>
        <w:t>前递交投标</w:t>
      </w:r>
      <w:r>
        <w:rPr>
          <w:rFonts w:ascii="宋体" w:hAnsi="宋体"/>
          <w:bCs/>
          <w:color w:val="auto"/>
          <w:szCs w:val="21"/>
          <w:highlight w:val="none"/>
        </w:rPr>
        <w:t>文件</w:t>
      </w:r>
      <w:r>
        <w:rPr>
          <w:rFonts w:hint="eastAsia" w:ascii="宋体" w:hAnsi="宋体"/>
          <w:color w:val="auto"/>
          <w:szCs w:val="21"/>
          <w:highlight w:val="none"/>
        </w:rPr>
        <w:t>。</w:t>
      </w:r>
    </w:p>
    <w:p>
      <w:pPr>
        <w:spacing w:line="360" w:lineRule="auto"/>
        <w:rPr>
          <w:rFonts w:ascii="宋体" w:hAnsi="宋体"/>
          <w:color w:val="auto"/>
          <w:szCs w:val="21"/>
          <w:highlight w:val="none"/>
        </w:rPr>
      </w:pPr>
    </w:p>
    <w:p>
      <w:pPr>
        <w:spacing w:line="360" w:lineRule="auto"/>
        <w:rPr>
          <w:rFonts w:ascii="黑体" w:hAnsi="黑体" w:eastAsia="黑体"/>
          <w:b/>
          <w:bCs/>
          <w:color w:val="auto"/>
          <w:sz w:val="24"/>
          <w:highlight w:val="none"/>
        </w:rPr>
      </w:pPr>
      <w:bookmarkStart w:id="9" w:name="_Toc28359002"/>
      <w:bookmarkStart w:id="10" w:name="_Toc35393790"/>
      <w:bookmarkStart w:id="11" w:name="_Toc35393621"/>
      <w:bookmarkStart w:id="12" w:name="_Toc28359079"/>
      <w:bookmarkStart w:id="13" w:name="_Hlk24379207"/>
      <w:r>
        <w:rPr>
          <w:rFonts w:hint="eastAsia" w:ascii="黑体" w:hAnsi="黑体" w:eastAsia="黑体"/>
          <w:b/>
          <w:bCs/>
          <w:color w:val="auto"/>
          <w:sz w:val="24"/>
          <w:highlight w:val="none"/>
        </w:rPr>
        <w:t>一、项目基本情况</w:t>
      </w:r>
      <w:bookmarkEnd w:id="9"/>
      <w:bookmarkEnd w:id="10"/>
      <w:bookmarkEnd w:id="11"/>
      <w:bookmarkEnd w:id="1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lang w:eastAsia="zh-CN"/>
        </w:rPr>
        <w:t>GXZC2023-G3-003804-GTZB</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s="Arial"/>
          <w:bCs/>
          <w:color w:val="auto"/>
          <w:szCs w:val="21"/>
          <w:highlight w:val="none"/>
          <w:lang w:eastAsia="zh-CN"/>
        </w:rPr>
        <w:t>2023-2024劳务服务采购</w:t>
      </w:r>
    </w:p>
    <w:bookmarkEnd w:id="13"/>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预算金额：1374.75万元。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最高限价：1374.75万元。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采购需求：</w:t>
      </w:r>
      <w:r>
        <w:rPr>
          <w:rFonts w:hint="eastAsia" w:ascii="宋体" w:hAnsi="宋体"/>
          <w:color w:val="auto"/>
          <w:szCs w:val="21"/>
          <w:highlight w:val="none"/>
          <w:lang w:eastAsia="zh-CN"/>
        </w:rPr>
        <w:t>2023-2024劳务服务采购</w:t>
      </w:r>
      <w:r>
        <w:rPr>
          <w:rFonts w:hint="eastAsia" w:ascii="宋体" w:hAnsi="宋体"/>
          <w:color w:val="auto"/>
          <w:szCs w:val="21"/>
          <w:highlight w:val="none"/>
        </w:rPr>
        <w:t>1项，派遣具备自然资源调查监测、大地测量、工程测量、海洋测绘、基础数据生产更新、三维数据采集与生产、摄影测量与遥感、国土规划、信息技术服务等相关专业技能的人员协助采购人开展相关工作。</w:t>
      </w:r>
      <w:bookmarkStart w:id="14" w:name="_Toc28359003"/>
      <w:bookmarkStart w:id="15" w:name="_Toc35393622"/>
      <w:bookmarkStart w:id="16" w:name="_Toc35393791"/>
      <w:bookmarkStart w:id="17" w:name="_Toc28359080"/>
      <w:r>
        <w:rPr>
          <w:rFonts w:hint="eastAsia" w:ascii="宋体" w:hAnsi="宋体"/>
          <w:color w:val="auto"/>
          <w:szCs w:val="21"/>
          <w:highlight w:val="none"/>
        </w:rPr>
        <w:t>具体内容以招标文件第二章</w:t>
      </w:r>
      <w:r>
        <w:rPr>
          <w:rFonts w:hint="eastAsia"/>
          <w:color w:val="auto"/>
          <w:highlight w:val="none"/>
        </w:rPr>
        <w:t>采购需求</w:t>
      </w:r>
      <w:r>
        <w:rPr>
          <w:rFonts w:hint="eastAsia" w:ascii="宋体" w:hAnsi="宋体"/>
          <w:color w:val="auto"/>
          <w:szCs w:val="21"/>
          <w:highlight w:val="none"/>
        </w:rPr>
        <w:t>为准。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合同履行期限：详见招标文件。</w:t>
      </w:r>
    </w:p>
    <w:p>
      <w:pPr>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本项目不接受联合体投标。</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二、申请人的资格要求：</w:t>
      </w:r>
      <w:bookmarkEnd w:id="14"/>
      <w:bookmarkEnd w:id="15"/>
      <w:bookmarkEnd w:id="16"/>
      <w:bookmarkEnd w:id="17"/>
    </w:p>
    <w:p>
      <w:pPr>
        <w:spacing w:line="360" w:lineRule="auto"/>
        <w:ind w:firstLine="420" w:firstLineChars="200"/>
        <w:rPr>
          <w:rFonts w:hint="eastAsia" w:ascii="宋体" w:hAnsi="宋体" w:eastAsia="宋体"/>
          <w:color w:val="auto"/>
          <w:szCs w:val="21"/>
          <w:highlight w:val="none"/>
          <w:lang w:eastAsia="zh-CN"/>
        </w:rPr>
      </w:pPr>
      <w:bookmarkStart w:id="18" w:name="_Hlk51746371"/>
      <w:r>
        <w:rPr>
          <w:rFonts w:hint="eastAsia" w:ascii="宋体" w:hAnsi="宋体"/>
          <w:color w:val="auto"/>
          <w:szCs w:val="21"/>
          <w:highlight w:val="none"/>
        </w:rPr>
        <w:t>1、满足《中华人民共和国政府采购法》第二十二条规定</w:t>
      </w:r>
      <w:r>
        <w:rPr>
          <w:rFonts w:hint="eastAsia" w:ascii="宋体" w:hAnsi="宋体"/>
          <w:color w:val="auto"/>
          <w:szCs w:val="21"/>
          <w:highlight w:val="none"/>
          <w:lang w:eastAsia="zh-CN"/>
        </w:rPr>
        <w:t>。</w:t>
      </w:r>
    </w:p>
    <w:p>
      <w:pPr>
        <w:spacing w:line="360" w:lineRule="auto"/>
        <w:ind w:firstLine="420" w:firstLineChars="200"/>
        <w:rPr>
          <w:rFonts w:hint="eastAsia" w:ascii="宋体" w:hAnsi="宋体"/>
          <w:color w:val="auto"/>
          <w:szCs w:val="21"/>
          <w:highlight w:val="none"/>
          <w:u w:val="single"/>
        </w:rPr>
      </w:pPr>
      <w:bookmarkStart w:id="19" w:name="_Toc28359004"/>
      <w:bookmarkStart w:id="20" w:name="_Toc28359081"/>
      <w:r>
        <w:rPr>
          <w:rFonts w:ascii="宋体" w:hAnsi="宋体"/>
          <w:color w:val="auto"/>
          <w:szCs w:val="21"/>
          <w:highlight w:val="none"/>
        </w:rPr>
        <w:t>2</w:t>
      </w:r>
      <w:r>
        <w:rPr>
          <w:rFonts w:hint="eastAsia" w:ascii="宋体" w:hAnsi="宋体"/>
          <w:color w:val="auto"/>
          <w:szCs w:val="21"/>
          <w:highlight w:val="none"/>
        </w:rPr>
        <w:t>、落实政府采购政策需满足的资格要求：专门面向小微企业采购，供应商应为小微企业或监狱企业或残疾人福利性单位。</w:t>
      </w:r>
    </w:p>
    <w:p>
      <w:pP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3、本项目的特定资格要求：供应商具备有效的劳务派遣经营许可证。</w:t>
      </w:r>
    </w:p>
    <w:bookmarkEnd w:id="18"/>
    <w:p>
      <w:pPr>
        <w:spacing w:line="360" w:lineRule="auto"/>
        <w:rPr>
          <w:rFonts w:ascii="黑体" w:hAnsi="黑体" w:eastAsia="黑体"/>
          <w:b/>
          <w:bCs/>
          <w:color w:val="auto"/>
          <w:sz w:val="24"/>
          <w:highlight w:val="none"/>
        </w:rPr>
      </w:pPr>
      <w:bookmarkStart w:id="21" w:name="_Toc35393792"/>
      <w:bookmarkStart w:id="22" w:name="_Toc35393623"/>
      <w:r>
        <w:rPr>
          <w:rFonts w:hint="eastAsia" w:ascii="黑体" w:hAnsi="黑体" w:eastAsia="黑体"/>
          <w:b/>
          <w:bCs/>
          <w:color w:val="auto"/>
          <w:sz w:val="24"/>
          <w:highlight w:val="none"/>
        </w:rPr>
        <w:t>三、获取招标文件</w:t>
      </w:r>
      <w:bookmarkEnd w:id="19"/>
      <w:bookmarkEnd w:id="20"/>
      <w:bookmarkEnd w:id="21"/>
      <w:bookmarkEnd w:id="22"/>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时间：</w:t>
      </w:r>
      <w:r>
        <w:rPr>
          <w:rFonts w:hint="eastAsia" w:ascii="宋体" w:hAnsi="宋体" w:cs="Arial"/>
          <w:color w:val="auto"/>
          <w:highlight w:val="none"/>
        </w:rPr>
        <w:t>202</w:t>
      </w:r>
      <w:r>
        <w:rPr>
          <w:rFonts w:hint="eastAsia" w:ascii="宋体" w:hAnsi="宋体" w:cs="Arial"/>
          <w:color w:val="auto"/>
          <w:highlight w:val="none"/>
          <w:lang w:val="en-US" w:eastAsia="zh-CN"/>
        </w:rPr>
        <w:t>3</w:t>
      </w:r>
      <w:r>
        <w:rPr>
          <w:rFonts w:hint="eastAsia" w:ascii="宋体" w:hAnsi="宋体" w:cs="Arial"/>
          <w:color w:val="auto"/>
          <w:highlight w:val="none"/>
        </w:rPr>
        <w:t>年</w:t>
      </w:r>
      <w:r>
        <w:rPr>
          <w:rFonts w:hint="eastAsia" w:ascii="宋体" w:hAnsi="宋体" w:cs="Arial"/>
          <w:color w:val="auto"/>
          <w:highlight w:val="none"/>
          <w:lang w:val="en-US" w:eastAsia="zh-CN"/>
        </w:rPr>
        <w:t>10</w:t>
      </w:r>
      <w:r>
        <w:rPr>
          <w:rFonts w:hint="eastAsia" w:ascii="宋体" w:hAnsi="宋体" w:cs="Arial"/>
          <w:color w:val="auto"/>
          <w:highlight w:val="none"/>
        </w:rPr>
        <w:t>月</w:t>
      </w:r>
      <w:r>
        <w:rPr>
          <w:rFonts w:hint="eastAsia" w:ascii="宋体" w:hAnsi="宋体" w:cs="Arial"/>
          <w:color w:val="auto"/>
          <w:highlight w:val="none"/>
          <w:lang w:val="en-US" w:eastAsia="zh-CN"/>
        </w:rPr>
        <w:t>23</w:t>
      </w:r>
      <w:r>
        <w:rPr>
          <w:rFonts w:hint="eastAsia" w:ascii="宋体" w:hAnsi="宋体" w:cs="Arial"/>
          <w:color w:val="auto"/>
          <w:highlight w:val="none"/>
        </w:rPr>
        <w:t>日</w:t>
      </w:r>
      <w:r>
        <w:rPr>
          <w:rFonts w:hint="eastAsia" w:ascii="宋体" w:hAnsi="宋体" w:cs="Arial"/>
          <w:color w:val="auto"/>
          <w:szCs w:val="21"/>
          <w:highlight w:val="none"/>
        </w:rPr>
        <w:t>至</w:t>
      </w:r>
      <w:r>
        <w:rPr>
          <w:rFonts w:hint="eastAsia" w:ascii="宋体" w:hAnsi="宋体" w:cs="Arial"/>
          <w:color w:val="auto"/>
          <w:highlight w:val="none"/>
        </w:rPr>
        <w:t>202</w:t>
      </w:r>
      <w:r>
        <w:rPr>
          <w:rFonts w:hint="eastAsia" w:ascii="宋体" w:hAnsi="宋体" w:cs="Arial"/>
          <w:color w:val="auto"/>
          <w:highlight w:val="none"/>
          <w:lang w:val="en-US" w:eastAsia="zh-CN"/>
        </w:rPr>
        <w:t>3</w:t>
      </w:r>
      <w:r>
        <w:rPr>
          <w:rFonts w:hint="eastAsia" w:ascii="宋体" w:hAnsi="宋体" w:cs="Arial"/>
          <w:color w:val="auto"/>
          <w:highlight w:val="none"/>
        </w:rPr>
        <w:t>年</w:t>
      </w:r>
      <w:r>
        <w:rPr>
          <w:rFonts w:hint="eastAsia" w:ascii="宋体" w:hAnsi="宋体" w:cs="Arial"/>
          <w:color w:val="auto"/>
          <w:highlight w:val="none"/>
          <w:lang w:val="en-US" w:eastAsia="zh-CN"/>
        </w:rPr>
        <w:t>10</w:t>
      </w:r>
      <w:r>
        <w:rPr>
          <w:rFonts w:hint="eastAsia" w:ascii="宋体" w:hAnsi="宋体" w:cs="Arial"/>
          <w:color w:val="auto"/>
          <w:highlight w:val="none"/>
        </w:rPr>
        <w:t>月</w:t>
      </w:r>
      <w:r>
        <w:rPr>
          <w:rFonts w:hint="eastAsia" w:ascii="宋体" w:hAnsi="宋体" w:cs="Arial"/>
          <w:color w:val="auto"/>
          <w:highlight w:val="none"/>
          <w:lang w:val="en-US" w:eastAsia="zh-CN"/>
        </w:rPr>
        <w:t>30</w:t>
      </w:r>
      <w:r>
        <w:rPr>
          <w:rFonts w:hint="eastAsia" w:ascii="宋体" w:hAnsi="宋体" w:cs="Arial"/>
          <w:color w:val="auto"/>
          <w:highlight w:val="none"/>
        </w:rPr>
        <w:t>日</w:t>
      </w:r>
      <w:r>
        <w:rPr>
          <w:rFonts w:hint="eastAsia" w:ascii="宋体" w:hAnsi="宋体" w:cs="Arial"/>
          <w:color w:val="auto"/>
          <w:szCs w:val="21"/>
          <w:highlight w:val="none"/>
        </w:rPr>
        <w:t>，每天上午00:00-12:00；下午1</w:t>
      </w:r>
      <w:r>
        <w:rPr>
          <w:rFonts w:hint="eastAsia" w:ascii="宋体" w:hAnsi="宋体" w:cs="Arial"/>
          <w:color w:val="auto"/>
          <w:highlight w:val="none"/>
        </w:rPr>
        <w:t>2</w:t>
      </w:r>
      <w:r>
        <w:rPr>
          <w:rFonts w:hint="eastAsia" w:ascii="宋体" w:hAnsi="宋体" w:cs="Arial"/>
          <w:color w:val="auto"/>
          <w:szCs w:val="21"/>
          <w:highlight w:val="none"/>
        </w:rPr>
        <w:t>:</w:t>
      </w:r>
      <w:r>
        <w:rPr>
          <w:rFonts w:hint="eastAsia" w:ascii="宋体" w:hAnsi="宋体" w:cs="Arial"/>
          <w:color w:val="auto"/>
          <w:highlight w:val="none"/>
        </w:rPr>
        <w:t>00</w:t>
      </w:r>
      <w:r>
        <w:rPr>
          <w:rFonts w:hint="eastAsia" w:ascii="宋体" w:hAnsi="宋体" w:cs="Arial"/>
          <w:color w:val="auto"/>
          <w:szCs w:val="21"/>
          <w:highlight w:val="none"/>
        </w:rPr>
        <w:t>-23:</w:t>
      </w:r>
      <w:r>
        <w:rPr>
          <w:rFonts w:hint="eastAsia" w:ascii="宋体" w:hAnsi="宋体" w:cs="Arial"/>
          <w:color w:val="auto"/>
          <w:highlight w:val="none"/>
        </w:rPr>
        <w:t>59</w:t>
      </w:r>
      <w:r>
        <w:rPr>
          <w:rFonts w:hint="eastAsia" w:ascii="宋体" w:hAnsi="宋体" w:cs="Arial"/>
          <w:color w:val="auto"/>
          <w:szCs w:val="21"/>
          <w:highlight w:val="none"/>
        </w:rPr>
        <w:t>（北京时间，</w:t>
      </w:r>
      <w:r>
        <w:rPr>
          <w:rFonts w:ascii="宋体" w:hAnsi="宋体" w:cs="Arial"/>
          <w:color w:val="auto"/>
          <w:szCs w:val="21"/>
          <w:highlight w:val="none"/>
        </w:rPr>
        <w:t>法定节假日</w:t>
      </w:r>
      <w:r>
        <w:rPr>
          <w:rFonts w:hint="eastAsia" w:ascii="宋体" w:hAnsi="宋体" w:cs="Arial"/>
          <w:color w:val="auto"/>
          <w:szCs w:val="21"/>
          <w:highlight w:val="none"/>
        </w:rPr>
        <w:t>除外）。</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地点：“政采云”平台（http：//www.zcygov.cn）</w:t>
      </w:r>
    </w:p>
    <w:p>
      <w:pPr>
        <w:spacing w:line="360" w:lineRule="auto"/>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方式：网上下载。本项目不发放纸质文件，供应商应自行在</w:t>
      </w:r>
      <w:r>
        <w:rPr>
          <w:rFonts w:hint="eastAsia" w:ascii="宋体" w:hAnsi="宋体" w:cs="宋体"/>
          <w:bCs/>
          <w:color w:val="auto"/>
          <w:kern w:val="0"/>
          <w:szCs w:val="21"/>
          <w:highlight w:val="none"/>
        </w:rPr>
        <w:fldChar w:fldCharType="begin"/>
      </w:r>
      <w:r>
        <w:rPr>
          <w:rFonts w:hint="eastAsia" w:ascii="宋体" w:hAnsi="宋体" w:cs="宋体"/>
          <w:bCs/>
          <w:color w:val="auto"/>
          <w:kern w:val="0"/>
          <w:szCs w:val="21"/>
          <w:highlight w:val="none"/>
        </w:rPr>
        <w:instrText xml:space="preserve"> HYPERLINK "" </w:instrText>
      </w:r>
      <w:r>
        <w:rPr>
          <w:rFonts w:hint="eastAsia" w:ascii="宋体" w:hAnsi="宋体" w:cs="宋体"/>
          <w:bCs/>
          <w:color w:val="auto"/>
          <w:kern w:val="0"/>
          <w:szCs w:val="21"/>
          <w:highlight w:val="none"/>
        </w:rPr>
        <w:fldChar w:fldCharType="separate"/>
      </w:r>
      <w:r>
        <w:rPr>
          <w:rFonts w:hint="eastAsia" w:ascii="宋体" w:hAnsi="宋体" w:cs="宋体"/>
          <w:bCs/>
          <w:color w:val="auto"/>
          <w:kern w:val="0"/>
          <w:szCs w:val="21"/>
          <w:highlight w:val="none"/>
        </w:rPr>
        <w:fldChar w:fldCharType="end"/>
      </w:r>
      <w:r>
        <w:rPr>
          <w:rFonts w:hint="eastAsia" w:ascii="宋体" w:hAnsi="宋体" w:cs="宋体"/>
          <w:bCs/>
          <w:color w:val="auto"/>
          <w:kern w:val="0"/>
          <w:szCs w:val="21"/>
          <w:highlight w:val="none"/>
        </w:rPr>
        <w:t>“政采云”平台（http：//www.zcygov.cn）下载招标文件（操作路径：登录“政采云”平台-项目采购-获取采购文件-找到本项目-点击“申请获取采购文件”），电子投标文件制作需要基于“政采云”平台获取的招标文件编制。</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售价：0元。</w:t>
      </w:r>
    </w:p>
    <w:p>
      <w:pPr>
        <w:spacing w:line="360" w:lineRule="auto"/>
        <w:rPr>
          <w:rFonts w:ascii="黑体" w:hAnsi="黑体" w:eastAsia="黑体"/>
          <w:b/>
          <w:bCs/>
          <w:color w:val="auto"/>
          <w:sz w:val="24"/>
          <w:highlight w:val="none"/>
        </w:rPr>
      </w:pPr>
      <w:bookmarkStart w:id="23" w:name="_Toc28359082"/>
      <w:bookmarkStart w:id="24" w:name="_Toc28359005"/>
      <w:bookmarkStart w:id="25" w:name="_Toc35393793"/>
      <w:bookmarkStart w:id="26" w:name="_Toc35393624"/>
      <w:r>
        <w:rPr>
          <w:rFonts w:hint="eastAsia" w:ascii="黑体" w:hAnsi="黑体" w:eastAsia="黑体"/>
          <w:b/>
          <w:bCs/>
          <w:color w:val="auto"/>
          <w:sz w:val="24"/>
          <w:highlight w:val="none"/>
        </w:rPr>
        <w:t>四、提交投标文件</w:t>
      </w:r>
      <w:bookmarkEnd w:id="23"/>
      <w:bookmarkEnd w:id="24"/>
      <w:r>
        <w:rPr>
          <w:rFonts w:hint="eastAsia" w:ascii="黑体" w:hAnsi="黑体" w:eastAsia="黑体"/>
          <w:b/>
          <w:bCs/>
          <w:color w:val="auto"/>
          <w:sz w:val="24"/>
          <w:highlight w:val="none"/>
        </w:rPr>
        <w:t>截止时间、开标时间和地点</w:t>
      </w:r>
      <w:bookmarkEnd w:id="25"/>
      <w:bookmarkEnd w:id="26"/>
    </w:p>
    <w:p>
      <w:pPr>
        <w:spacing w:line="360" w:lineRule="auto"/>
        <w:ind w:firstLine="420" w:firstLineChars="200"/>
        <w:rPr>
          <w:rFonts w:ascii="宋体" w:hAnsi="宋体"/>
          <w:color w:val="auto"/>
          <w:szCs w:val="21"/>
          <w:highlight w:val="none"/>
        </w:rPr>
      </w:pPr>
      <w:bookmarkStart w:id="27" w:name="_Toc35393625"/>
      <w:bookmarkStart w:id="28" w:name="_Toc35393794"/>
      <w:bookmarkStart w:id="29" w:name="_Toc28359007"/>
      <w:bookmarkStart w:id="30" w:name="_Toc28359084"/>
      <w:r>
        <w:rPr>
          <w:rFonts w:hint="eastAsia" w:ascii="宋体" w:hAnsi="宋体"/>
          <w:color w:val="auto"/>
          <w:szCs w:val="21"/>
          <w:highlight w:val="none"/>
        </w:rPr>
        <w:t>1、</w:t>
      </w:r>
      <w:r>
        <w:rPr>
          <w:rFonts w:hint="eastAsia" w:ascii="宋体" w:hAnsi="宋体" w:cs="宋体"/>
          <w:color w:val="auto"/>
          <w:szCs w:val="21"/>
          <w:highlight w:val="none"/>
          <w:lang w:bidi="ar"/>
        </w:rPr>
        <w:t>截止时间</w:t>
      </w:r>
      <w:r>
        <w:rPr>
          <w:rFonts w:hint="eastAsia" w:ascii="宋体" w:hAnsi="宋体"/>
          <w:color w:val="auto"/>
          <w:szCs w:val="21"/>
          <w:highlight w:val="none"/>
        </w:rPr>
        <w:t>：202</w:t>
      </w:r>
      <w:r>
        <w:rPr>
          <w:rFonts w:hint="eastAsia" w:ascii="宋体" w:hAnsi="宋体"/>
          <w:color w:val="auto"/>
          <w:szCs w:val="21"/>
          <w:highlight w:val="none"/>
          <w:lang w:val="en-US" w:eastAsia="zh-CN"/>
        </w:rPr>
        <w:t>3</w:t>
      </w:r>
      <w:r>
        <w:rPr>
          <w:rFonts w:hint="eastAsia" w:ascii="宋体" w:hAnsi="宋体"/>
          <w:color w:val="auto"/>
          <w:szCs w:val="21"/>
          <w:highlight w:val="none"/>
        </w:rPr>
        <w:t>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14</w:t>
      </w:r>
      <w:r>
        <w:rPr>
          <w:rFonts w:hint="eastAsia" w:ascii="宋体" w:hAnsi="宋体"/>
          <w:color w:val="auto"/>
          <w:szCs w:val="21"/>
          <w:highlight w:val="none"/>
        </w:rPr>
        <w:t>日9时00分（北京时间）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2、地点：</w:t>
      </w:r>
      <w:r>
        <w:rPr>
          <w:rFonts w:hint="eastAsia" w:ascii="宋体" w:hAnsi="宋体" w:cs="宋体"/>
          <w:color w:val="auto"/>
          <w:szCs w:val="21"/>
          <w:highlight w:val="none"/>
          <w:lang w:bidi="ar"/>
        </w:rPr>
        <w:t>本项目将在“政采云”平台电子开标大厅解密、开标。</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7"/>
      <w:bookmarkEnd w:id="28"/>
      <w:bookmarkEnd w:id="29"/>
      <w:bookmarkEnd w:id="30"/>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31" w:name="_Toc35393795"/>
      <w:bookmarkStart w:id="32" w:name="_Toc35393626"/>
      <w:r>
        <w:rPr>
          <w:rFonts w:hint="eastAsia" w:ascii="黑体" w:hAnsi="黑体" w:eastAsia="黑体"/>
          <w:b/>
          <w:bCs/>
          <w:color w:val="auto"/>
          <w:sz w:val="24"/>
          <w:highlight w:val="none"/>
        </w:rPr>
        <w:t>六、其他补充事宜</w:t>
      </w:r>
      <w:bookmarkEnd w:id="31"/>
      <w:bookmarkEnd w:id="32"/>
    </w:p>
    <w:p>
      <w:pPr>
        <w:spacing w:line="360" w:lineRule="auto"/>
        <w:ind w:firstLine="420" w:firstLineChars="200"/>
        <w:rPr>
          <w:rFonts w:hint="eastAsia" w:ascii="宋体" w:hAnsi="宋体" w:cs="宋体"/>
          <w:color w:val="auto"/>
          <w:kern w:val="0"/>
          <w:szCs w:val="21"/>
          <w:highlight w:val="none"/>
        </w:rPr>
      </w:pPr>
      <w:bookmarkStart w:id="33" w:name="_Hlk37429674"/>
      <w:r>
        <w:rPr>
          <w:rFonts w:hint="eastAsia" w:ascii="宋体" w:hAnsi="宋体" w:cs="宋体"/>
          <w:color w:val="auto"/>
          <w:kern w:val="0"/>
          <w:szCs w:val="21"/>
          <w:highlight w:val="none"/>
        </w:rPr>
        <w:t>1、投标保证金（人民币）：</w:t>
      </w:r>
      <w:r>
        <w:rPr>
          <w:rFonts w:hint="eastAsia" w:ascii="宋体" w:hAnsi="宋体" w:cs="Arial"/>
          <w:b/>
          <w:color w:val="auto"/>
          <w:szCs w:val="21"/>
          <w:highlight w:val="none"/>
          <w:lang w:val="en-US" w:eastAsia="zh-CN"/>
        </w:rPr>
        <w:t>5000.00</w:t>
      </w:r>
      <w:r>
        <w:rPr>
          <w:rFonts w:hint="eastAsia" w:ascii="宋体" w:hAnsi="宋体" w:cs="Arial"/>
          <w:b/>
          <w:color w:val="auto"/>
          <w:szCs w:val="21"/>
          <w:highlight w:val="none"/>
        </w:rPr>
        <w:t>元</w:t>
      </w:r>
      <w:r>
        <w:rPr>
          <w:rFonts w:hint="eastAsia" w:ascii="宋体" w:hAnsi="宋体" w:cs="Arial"/>
          <w:color w:val="auto"/>
          <w:szCs w:val="21"/>
          <w:highlight w:val="none"/>
        </w:rPr>
        <w:t>；</w:t>
      </w:r>
      <w:r>
        <w:rPr>
          <w:rFonts w:hint="eastAsia" w:ascii="宋体" w:hAnsi="宋体" w:cs="Arial"/>
          <w:b/>
          <w:color w:val="auto"/>
          <w:szCs w:val="21"/>
          <w:highlight w:val="none"/>
        </w:rPr>
        <w:t>投标保证金必须足额交纳。</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4、网上查询地址：中国政府采购网（www.ccgp.gov.cn）、广西政府采购网（zfcg.gxzf.gov.cn）。</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5、本项目需要落实的政府采购政策：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（2）政府采购促进残疾人就业政策。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（3）政府采购支持监狱企业发展。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（4）扶持不发达地区和少数民族地区政策</w:t>
      </w:r>
    </w:p>
    <w:p>
      <w:pPr>
        <w:widowControl/>
        <w:spacing w:line="360" w:lineRule="auto"/>
        <w:ind w:firstLine="420" w:firstLineChars="200"/>
        <w:rPr>
          <w:rFonts w:hint="eastAsia" w:ascii="宋体" w:hAnsi="宋体" w:cs="宋体"/>
          <w:color w:val="auto"/>
          <w:szCs w:val="21"/>
          <w:highlight w:val="none"/>
          <w:lang w:bidi="ar"/>
        </w:rPr>
      </w:pPr>
      <w:r>
        <w:rPr>
          <w:rFonts w:hint="eastAsia" w:ascii="宋体" w:hAnsi="宋体" w:cs="宋体"/>
          <w:color w:val="auto"/>
          <w:szCs w:val="21"/>
          <w:highlight w:val="none"/>
          <w:lang w:bidi="ar"/>
        </w:rPr>
        <w:t>6、投标注意事项：</w:t>
      </w:r>
    </w:p>
    <w:p>
      <w:pPr>
        <w:widowControl/>
        <w:spacing w:line="360" w:lineRule="auto"/>
        <w:ind w:firstLine="420" w:firstLineChars="200"/>
        <w:rPr>
          <w:rFonts w:hint="eastAsia" w:ascii="宋体" w:hAnsi="宋体" w:cs="宋体"/>
          <w:bCs/>
          <w:color w:val="auto"/>
          <w:szCs w:val="21"/>
          <w:highlight w:val="none"/>
        </w:rPr>
      </w:pPr>
      <w:r>
        <w:rPr>
          <w:rFonts w:hint="eastAsia" w:ascii="宋体" w:hAnsi="宋体" w:cs="宋体"/>
          <w:color w:val="auto"/>
          <w:szCs w:val="21"/>
          <w:highlight w:val="none"/>
          <w:lang w:bidi="ar"/>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highlight w:val="none"/>
          <w:lang w:bidi="ar"/>
        </w:rPr>
        <w:t>供应商在“政采云”平台提交电子版投标文件时，请填写参加远程开标活动经办人联系方式。</w:t>
      </w:r>
    </w:p>
    <w:p>
      <w:pPr>
        <w:widowControl/>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（2）供应商应及时熟悉掌握电子标系统操作指南（见政采云电子卖场首页右上角—服务中心—帮助文档—项目采购）：</w:t>
      </w:r>
      <w:r>
        <w:rPr>
          <w:rFonts w:hint="eastAsia" w:ascii="宋体" w:hAnsi="宋体" w:eastAsia="宋体" w:cs="宋体"/>
          <w:color w:val="auto"/>
          <w:szCs w:val="21"/>
          <w:highlight w:val="none"/>
          <w:lang w:bidi="ar"/>
        </w:rPr>
        <w:fldChar w:fldCharType="begin"/>
      </w:r>
      <w:r>
        <w:rPr>
          <w:rFonts w:hint="eastAsia" w:ascii="宋体" w:hAnsi="宋体" w:eastAsia="宋体" w:cs="宋体"/>
          <w:color w:val="auto"/>
          <w:szCs w:val="21"/>
          <w:highlight w:val="none"/>
          <w:lang w:bidi="ar"/>
        </w:rPr>
        <w:instrText xml:space="preserve"> HYPERLINK "https://service.zcygov.cn/#/knowledges/tree?tag=AG1DtGwBFdiHxlNdhY0r" </w:instrText>
      </w:r>
      <w:r>
        <w:rPr>
          <w:rFonts w:hint="eastAsia" w:ascii="宋体" w:hAnsi="宋体" w:eastAsia="宋体" w:cs="宋体"/>
          <w:color w:val="auto"/>
          <w:szCs w:val="21"/>
          <w:highlight w:val="none"/>
          <w:lang w:bidi="ar"/>
        </w:rPr>
        <w:fldChar w:fldCharType="separate"/>
      </w:r>
      <w:r>
        <w:rPr>
          <w:rFonts w:hint="eastAsia" w:ascii="宋体" w:hAnsi="宋体" w:eastAsia="宋体" w:cs="宋体"/>
          <w:color w:val="auto"/>
          <w:szCs w:val="21"/>
          <w:highlight w:val="none"/>
          <w:lang w:bidi="ar"/>
        </w:rPr>
        <w:t>https://service.zcygov.cn/#/knowledges/tree?tag=AG1DtGwBFdiHxlNdhY0r</w:t>
      </w:r>
      <w:r>
        <w:rPr>
          <w:rFonts w:hint="eastAsia" w:ascii="宋体" w:hAnsi="宋体" w:eastAsia="宋体" w:cs="宋体"/>
          <w:color w:val="auto"/>
          <w:szCs w:val="21"/>
          <w:highlight w:val="none"/>
          <w:lang w:bidi="ar"/>
        </w:rPr>
        <w:fldChar w:fldCharType="end"/>
      </w:r>
      <w:r>
        <w:rPr>
          <w:rFonts w:hint="eastAsia" w:ascii="宋体" w:hAnsi="宋体" w:eastAsia="宋体" w:cs="宋体"/>
          <w:color w:val="auto"/>
          <w:szCs w:val="21"/>
          <w:highlight w:val="none"/>
          <w:lang w:bidi="ar"/>
        </w:rPr>
        <w:t>；及时完成CA申领和绑定（见广西壮族自治区政府采购网—办事服务—下载专区-政采云CA证书办理操作指南）。</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（4）为确保网上操作合法、有效和安全，请投标人确保在电子投标过程中能够对相关数据电文进行加密和使用电子签章，妥善保管CA数字证书并使用有效的CA数字证书参与整个采购活动。</w:t>
      </w:r>
    </w:p>
    <w:p>
      <w:pPr>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lang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7、CA证书在线解密：供应商投标时，需携带制作投标文件时用来加密的有效数字证书（CA认证）登录“政采云”平台电子开标大厅现场按规定时间对加密的投标文件进行解密，否则后果自负。</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8、若对项目采购电子交易系统操作有疑问，可登录“政采云”平台（https://www.zcygov.cn/），点击右侧咨询小采，获取采小蜜智能服务管家帮助，或拨打政采云服务热线95763获取热线服务帮助。</w:t>
      </w:r>
    </w:p>
    <w:bookmarkEnd w:id="33"/>
    <w:p>
      <w:pPr>
        <w:spacing w:line="360" w:lineRule="auto"/>
        <w:rPr>
          <w:rFonts w:ascii="黑体" w:hAnsi="黑体" w:eastAsia="黑体"/>
          <w:b/>
          <w:bCs/>
          <w:color w:val="auto"/>
          <w:sz w:val="24"/>
          <w:highlight w:val="none"/>
        </w:rPr>
      </w:pPr>
      <w:bookmarkStart w:id="34" w:name="_Toc28359008"/>
      <w:bookmarkStart w:id="35" w:name="_Toc28359085"/>
      <w:bookmarkStart w:id="36" w:name="_Toc35393627"/>
      <w:bookmarkStart w:id="37" w:name="_Toc35393796"/>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采购人：广西壮族自治区自然资源调查监测院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地址：广西南宁市良庆区冬花路21号</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联系人：耿工      联系电话：0771- </w:t>
      </w:r>
      <w:r>
        <w:rPr>
          <w:rFonts w:ascii="宋体" w:hAnsi="宋体" w:cs="宋体"/>
          <w:color w:val="auto"/>
          <w:szCs w:val="21"/>
          <w:highlight w:val="none"/>
        </w:rPr>
        <w:t>5606371</w:t>
      </w:r>
      <w:r>
        <w:rPr>
          <w:rFonts w:hint="eastAsia"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名 称：广西国泰招标咨询有限公司</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地　址：广西南宁市民族大道141号中鼎万象东方大厦D区六层D607</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联系方式：</w:t>
      </w:r>
      <w:bookmarkStart w:id="38" w:name="_Toc28359010"/>
      <w:bookmarkStart w:id="39" w:name="_Toc28359087"/>
      <w:r>
        <w:rPr>
          <w:rFonts w:hint="eastAsia" w:ascii="宋体" w:hAnsi="宋体" w:cs="宋体"/>
          <w:color w:val="auto"/>
          <w:szCs w:val="21"/>
          <w:highlight w:val="none"/>
        </w:rPr>
        <w:t>　联系人：黄工</w:t>
      </w:r>
      <w:r>
        <w:rPr>
          <w:rFonts w:hint="eastAsia" w:ascii="宋体" w:hAnsi="宋体" w:cs="宋体"/>
          <w:color w:val="auto"/>
          <w:szCs w:val="21"/>
          <w:highlight w:val="none"/>
          <w:lang w:eastAsia="zh-CN"/>
        </w:rPr>
        <w:t>、李工</w:t>
      </w:r>
      <w:r>
        <w:rPr>
          <w:rFonts w:hint="eastAsia" w:ascii="宋体" w:hAnsi="宋体" w:cs="宋体"/>
          <w:color w:val="auto"/>
          <w:szCs w:val="21"/>
          <w:highlight w:val="none"/>
        </w:rPr>
        <w:t>；联系电话：0771-2023496</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3.项目联系方式</w:t>
      </w:r>
      <w:bookmarkEnd w:id="38"/>
      <w:bookmarkEnd w:id="39"/>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项目联系人：黄工</w:t>
      </w:r>
      <w:r>
        <w:rPr>
          <w:rFonts w:hint="eastAsia" w:ascii="宋体" w:hAnsi="宋体" w:cs="宋体"/>
          <w:color w:val="auto"/>
          <w:szCs w:val="21"/>
          <w:highlight w:val="none"/>
          <w:lang w:eastAsia="zh-CN"/>
        </w:rPr>
        <w:t>、李工</w:t>
      </w:r>
      <w:r>
        <w:rPr>
          <w:rFonts w:hint="eastAsia"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电　话：0771-2023496　  </w:t>
      </w:r>
    </w:p>
    <w:p>
      <w:pPr>
        <w:spacing w:line="380" w:lineRule="exact"/>
        <w:ind w:firstLine="6405" w:firstLineChars="3050"/>
        <w:rPr>
          <w:rFonts w:hint="eastAsia" w:ascii="宋体" w:hAnsi="宋体"/>
          <w:color w:val="auto"/>
          <w:szCs w:val="21"/>
          <w:highlight w:val="none"/>
        </w:rPr>
      </w:pPr>
      <w:r>
        <w:rPr>
          <w:rFonts w:hint="eastAsia" w:ascii="宋体" w:hAnsi="宋体" w:cs="Arial"/>
          <w:color w:val="auto"/>
          <w:szCs w:val="21"/>
          <w:highlight w:val="none"/>
        </w:rPr>
        <w:t>广西国泰招标咨询有限公司</w:t>
      </w:r>
    </w:p>
    <w:p>
      <w:pPr>
        <w:snapToGrid w:val="0"/>
        <w:spacing w:line="380" w:lineRule="exact"/>
        <w:ind w:left="238"/>
        <w:rPr>
          <w:rFonts w:ascii="宋体" w:hAnsi="宋体"/>
          <w:color w:val="auto"/>
          <w:szCs w:val="21"/>
          <w:highlight w:val="none"/>
        </w:rPr>
      </w:pPr>
      <w:r>
        <w:rPr>
          <w:rFonts w:hint="eastAsia"/>
          <w:color w:val="auto"/>
          <w:highlight w:val="none"/>
        </w:rPr>
        <w:t xml:space="preserve">                                                           </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20</w:t>
      </w:r>
      <w:r>
        <w:rPr>
          <w:rFonts w:hint="eastAsia" w:ascii="宋体" w:hAnsi="宋体"/>
          <w:color w:val="auto"/>
          <w:highlight w:val="none"/>
          <w:lang w:val="en-US" w:eastAsia="zh-CN"/>
        </w:rPr>
        <w:t>23</w:t>
      </w:r>
      <w:r>
        <w:rPr>
          <w:rFonts w:hint="eastAsia" w:ascii="宋体" w:hAnsi="宋体"/>
          <w:color w:val="auto"/>
          <w:highlight w:val="none"/>
        </w:rPr>
        <w:t>年</w:t>
      </w:r>
      <w:r>
        <w:rPr>
          <w:rFonts w:hint="eastAsia" w:ascii="宋体" w:hAnsi="宋体"/>
          <w:color w:val="auto"/>
          <w:highlight w:val="none"/>
          <w:lang w:val="en-US" w:eastAsia="zh-CN"/>
        </w:rPr>
        <w:t>10</w:t>
      </w:r>
      <w:r>
        <w:rPr>
          <w:rFonts w:hint="eastAsia" w:ascii="宋体" w:hAnsi="宋体"/>
          <w:color w:val="auto"/>
          <w:highlight w:val="none"/>
        </w:rPr>
        <w:t>月</w:t>
      </w:r>
      <w:r>
        <w:rPr>
          <w:rFonts w:hint="eastAsia" w:ascii="宋体" w:hAnsi="宋体"/>
          <w:color w:val="auto"/>
          <w:highlight w:val="none"/>
          <w:lang w:val="en-US" w:eastAsia="zh-CN"/>
        </w:rPr>
        <w:t>23</w:t>
      </w:r>
      <w:r>
        <w:rPr>
          <w:rFonts w:hint="eastAsia" w:ascii="宋体" w:hAnsi="宋体"/>
          <w:color w:val="auto"/>
          <w:highlight w:val="none"/>
        </w:rPr>
        <w:t>日</w:t>
      </w:r>
    </w:p>
    <w:p>
      <w:pPr>
        <w:snapToGrid w:val="0"/>
        <w:spacing w:line="320" w:lineRule="exact"/>
        <w:rPr>
          <w:rFonts w:hint="eastAsia" w:ascii="仿宋_GB2312" w:hAnsi="宋体" w:eastAsia="仿宋_GB2312"/>
          <w:color w:val="auto"/>
          <w:sz w:val="24"/>
          <w:szCs w:val="20"/>
          <w:highlight w:val="none"/>
        </w:rPr>
      </w:pPr>
      <w:r>
        <w:rPr>
          <w:rFonts w:ascii="仿宋_GB2312" w:hAnsi="宋体" w:eastAsia="仿宋_GB2312"/>
          <w:color w:val="auto"/>
          <w:sz w:val="24"/>
          <w:szCs w:val="20"/>
          <w:highlight w:val="none"/>
        </w:rPr>
        <w:br w:type="page"/>
      </w:r>
      <w:bookmarkStart w:id="161" w:name="_GoBack"/>
      <w:bookmarkEnd w:id="161"/>
    </w:p>
    <w:p>
      <w:pPr>
        <w:pStyle w:val="3"/>
        <w:jc w:val="center"/>
        <w:rPr>
          <w:rFonts w:hint="eastAsia"/>
          <w:color w:val="auto"/>
          <w:highlight w:val="none"/>
        </w:rPr>
      </w:pPr>
      <w:bookmarkStart w:id="40" w:name="_Toc74320801"/>
      <w:r>
        <w:rPr>
          <w:rFonts w:hint="eastAsia"/>
          <w:color w:val="auto"/>
          <w:highlight w:val="none"/>
        </w:rPr>
        <w:t>第二章  采购需求</w:t>
      </w:r>
      <w:bookmarkEnd w:id="40"/>
    </w:p>
    <w:p>
      <w:pPr>
        <w:spacing w:line="360" w:lineRule="auto"/>
        <w:jc w:val="left"/>
        <w:rPr>
          <w:rFonts w:ascii="宋体" w:hAnsi="宋体" w:cs="宋体"/>
          <w:b/>
          <w:color w:val="auto"/>
          <w:szCs w:val="21"/>
          <w:highlight w:val="none"/>
        </w:rPr>
      </w:pPr>
      <w:bookmarkStart w:id="41" w:name="_Toc254970631"/>
      <w:bookmarkStart w:id="42" w:name="_Toc254970490"/>
      <w:r>
        <w:rPr>
          <w:rFonts w:hint="eastAsia" w:ascii="宋体" w:hAnsi="宋体" w:cs="宋体"/>
          <w:b/>
          <w:color w:val="auto"/>
          <w:szCs w:val="21"/>
          <w:highlight w:val="none"/>
        </w:rPr>
        <w:t>说明：</w:t>
      </w:r>
    </w:p>
    <w:p>
      <w:pPr>
        <w:spacing w:line="360" w:lineRule="exact"/>
        <w:ind w:left="-10" w:leftChars="-5" w:right="2" w:rightChars="1" w:firstLine="422" w:firstLineChars="200"/>
        <w:rPr>
          <w:rFonts w:hint="eastAsia" w:hAnsi="宋体"/>
          <w:b/>
          <w:bCs/>
          <w:color w:val="auto"/>
          <w:highlight w:val="none"/>
        </w:rPr>
      </w:pPr>
      <w:r>
        <w:rPr>
          <w:rFonts w:hint="eastAsia" w:hAnsi="宋体"/>
          <w:b/>
          <w:bCs/>
          <w:color w:val="auto"/>
          <w:highlight w:val="none"/>
        </w:rPr>
        <w:t>1、采购需求中如出现品牌、型号或者生产厂家等均仅起参考作用，不属于指定品牌、型号或者生产厂家的情形，投标人可参照或者选用其他相当的品牌、型号或者生产供应商替代。但投标人的产品实质上应相当于或优于本需求</w:t>
      </w:r>
      <w:r>
        <w:rPr>
          <w:rFonts w:hAnsi="宋体"/>
          <w:b/>
          <w:bCs/>
          <w:color w:val="auto"/>
          <w:highlight w:val="none"/>
        </w:rPr>
        <w:t>中</w:t>
      </w:r>
      <w:r>
        <w:rPr>
          <w:rFonts w:hint="eastAsia" w:hAnsi="宋体"/>
          <w:b/>
          <w:bCs/>
          <w:color w:val="auto"/>
          <w:highlight w:val="none"/>
        </w:rPr>
        <w:t>的技术要求。</w:t>
      </w:r>
    </w:p>
    <w:p>
      <w:pPr>
        <w:spacing w:line="360" w:lineRule="exact"/>
        <w:ind w:left="-10" w:leftChars="-5" w:right="2" w:rightChars="1" w:firstLine="422" w:firstLineChars="200"/>
        <w:rPr>
          <w:rFonts w:hint="eastAsia" w:hAnsi="宋体"/>
          <w:b/>
          <w:bCs/>
          <w:color w:val="auto"/>
          <w:highlight w:val="none"/>
        </w:rPr>
      </w:pPr>
      <w:r>
        <w:rPr>
          <w:rFonts w:hint="eastAsia" w:hAnsi="宋体"/>
          <w:b/>
          <w:bCs/>
          <w:color w:val="auto"/>
          <w:highlight w:val="none"/>
        </w:rPr>
        <w:t>2、</w:t>
      </w:r>
      <w:r>
        <w:rPr>
          <w:rFonts w:hAnsi="宋体"/>
          <w:b/>
          <w:bCs/>
          <w:color w:val="auto"/>
          <w:highlight w:val="none"/>
        </w:rPr>
        <w:t>根据《财政部 发展改革委 生态环境部 市场监管总局关于调整优化节能产品、环境标志产品政府采购执行机制的通知》（财库〔2019〕9 号）和《关于印发节能产品政府采购品目清单的通知》（财库〔2019〕19 号）的规定，采购需求</w:t>
      </w:r>
      <w:r>
        <w:rPr>
          <w:rFonts w:hint="eastAsia" w:hAnsi="宋体"/>
          <w:b/>
          <w:bCs/>
          <w:color w:val="auto"/>
          <w:highlight w:val="none"/>
        </w:rPr>
        <w:t>中如有货物产品，且货物</w:t>
      </w:r>
      <w:r>
        <w:rPr>
          <w:rFonts w:hAnsi="宋体"/>
          <w:b/>
          <w:bCs/>
          <w:color w:val="auto"/>
          <w:highlight w:val="none"/>
        </w:rPr>
        <w:t>产品属于节能产品政府采购品目清单内标注“★”的（详见本章后附的节能产品政府采购品目清单），投标人的投标货物必须使用政府强制采购的节能产品，否则投标文件作无效处理。</w:t>
      </w:r>
    </w:p>
    <w:p>
      <w:pPr>
        <w:spacing w:line="360" w:lineRule="exact"/>
        <w:ind w:left="-10" w:leftChars="-5" w:right="2" w:rightChars="1" w:firstLine="422" w:firstLineChars="200"/>
        <w:rPr>
          <w:rFonts w:hint="eastAsia" w:hAnsi="宋体"/>
          <w:b/>
          <w:bCs/>
          <w:color w:val="auto"/>
          <w:highlight w:val="none"/>
        </w:rPr>
      </w:pPr>
      <w:r>
        <w:rPr>
          <w:rFonts w:hint="eastAsia" w:hAnsi="宋体"/>
          <w:b/>
          <w:bCs/>
          <w:color w:val="auto"/>
          <w:highlight w:val="none"/>
        </w:rPr>
        <w:t>3、如投标人投标产品存在侵犯他人的知识产权或者专利成果行为的，由投标人自行承担相应法律责任。</w:t>
      </w:r>
    </w:p>
    <w:p>
      <w:pPr>
        <w:spacing w:line="360" w:lineRule="exact"/>
        <w:ind w:left="-10" w:leftChars="-5" w:right="2" w:rightChars="1" w:firstLine="422" w:firstLineChars="200"/>
        <w:rPr>
          <w:rFonts w:hint="eastAsia" w:hAnsi="宋体"/>
          <w:b/>
          <w:bCs/>
          <w:color w:val="auto"/>
          <w:highlight w:val="none"/>
        </w:rPr>
      </w:pPr>
      <w:r>
        <w:rPr>
          <w:rFonts w:hint="eastAsia" w:hAnsi="宋体"/>
          <w:b/>
          <w:bCs/>
          <w:color w:val="auto"/>
          <w:highlight w:val="none"/>
        </w:rPr>
        <w:t>4、“实质性要求”是指招标文件中已经指明不满足则投标无效的条款，或者不能负偏离的条款，或者采购需求中带“▲”的条款。</w:t>
      </w:r>
    </w:p>
    <w:p>
      <w:pPr>
        <w:spacing w:line="360" w:lineRule="auto"/>
        <w:ind w:firstLine="310" w:firstLineChars="147"/>
        <w:jc w:val="left"/>
        <w:rPr>
          <w:rFonts w:hint="eastAsia" w:ascii="宋体" w:hAnsi="宋体" w:cs="Arial"/>
          <w:bCs/>
          <w:color w:val="auto"/>
          <w:szCs w:val="21"/>
          <w:highlight w:val="none"/>
          <w:u w:val="single"/>
        </w:rPr>
      </w:pPr>
      <w:r>
        <w:rPr>
          <w:rFonts w:hint="eastAsia" w:ascii="宋体" w:hAnsi="宋体"/>
          <w:b/>
          <w:color w:val="auto"/>
          <w:szCs w:val="21"/>
          <w:highlight w:val="none"/>
        </w:rPr>
        <w:t xml:space="preserve"> </w:t>
      </w:r>
    </w:p>
    <w:bookmarkEnd w:id="41"/>
    <w:bookmarkEnd w:id="42"/>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75"/>
        <w:gridCol w:w="20"/>
        <w:gridCol w:w="848"/>
        <w:gridCol w:w="782"/>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keepNext w:val="0"/>
              <w:keepLines w:val="0"/>
              <w:suppressLineNumbers w:val="0"/>
              <w:tabs>
                <w:tab w:val="left" w:pos="180"/>
                <w:tab w:val="left" w:pos="1620"/>
              </w:tabs>
              <w:spacing w:before="0" w:beforeAutospacing="0" w:after="0" w:afterAutospacing="0" w:line="320" w:lineRule="exact"/>
              <w:ind w:left="0" w:right="0"/>
              <w:jc w:val="center"/>
              <w:rPr>
                <w:rFonts w:hint="default" w:ascii="宋体" w:hAnsi="宋体" w:cs="Times New Roman"/>
                <w:color w:val="auto"/>
                <w:highlight w:val="none"/>
              </w:rPr>
            </w:pPr>
            <w:r>
              <w:rPr>
                <w:rFonts w:hint="eastAsia" w:ascii="宋体" w:hAnsi="宋体" w:cs="宋体"/>
                <w:color w:val="auto"/>
                <w:szCs w:val="21"/>
                <w:highlight w:val="none"/>
              </w:rPr>
              <w:t>序号</w:t>
            </w:r>
          </w:p>
        </w:tc>
        <w:tc>
          <w:tcPr>
            <w:tcW w:w="1275" w:type="dxa"/>
            <w:noWrap/>
            <w:vAlign w:val="center"/>
          </w:tcPr>
          <w:p>
            <w:pPr>
              <w:keepNext w:val="0"/>
              <w:keepLines w:val="0"/>
              <w:suppressLineNumbers w:val="0"/>
              <w:tabs>
                <w:tab w:val="left" w:pos="180"/>
                <w:tab w:val="left" w:pos="1620"/>
              </w:tabs>
              <w:spacing w:before="0" w:beforeAutospacing="0" w:after="0" w:afterAutospacing="0" w:line="320" w:lineRule="exact"/>
              <w:ind w:left="0" w:right="0"/>
              <w:jc w:val="center"/>
              <w:rPr>
                <w:rFonts w:hint="default" w:ascii="宋体" w:hAnsi="宋体" w:cs="Times New Roman"/>
                <w:color w:val="auto"/>
                <w:highlight w:val="none"/>
              </w:rPr>
            </w:pPr>
            <w:r>
              <w:rPr>
                <w:rFonts w:hint="eastAsia" w:ascii="宋体" w:hAnsi="宋体" w:cs="宋体"/>
                <w:color w:val="auto"/>
                <w:szCs w:val="21"/>
                <w:highlight w:val="none"/>
              </w:rPr>
              <w:t>标的的名称</w:t>
            </w:r>
          </w:p>
        </w:tc>
        <w:tc>
          <w:tcPr>
            <w:tcW w:w="868" w:type="dxa"/>
            <w:gridSpan w:val="2"/>
            <w:noWrap/>
            <w:vAlign w:val="top"/>
          </w:tcPr>
          <w:p>
            <w:pPr>
              <w:keepNext w:val="0"/>
              <w:keepLines w:val="0"/>
              <w:suppressLineNumbers w:val="0"/>
              <w:tabs>
                <w:tab w:val="left" w:pos="180"/>
                <w:tab w:val="left" w:pos="1620"/>
              </w:tabs>
              <w:spacing w:before="0" w:beforeAutospacing="0" w:after="0" w:afterAutospacing="0" w:line="320" w:lineRule="exac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数量及</w:t>
            </w:r>
          </w:p>
          <w:p>
            <w:pPr>
              <w:keepNext w:val="0"/>
              <w:keepLines w:val="0"/>
              <w:suppressLineNumbers w:val="0"/>
              <w:tabs>
                <w:tab w:val="left" w:pos="180"/>
                <w:tab w:val="left" w:pos="1620"/>
              </w:tabs>
              <w:spacing w:before="0" w:beforeAutospacing="0" w:after="0" w:afterAutospacing="0" w:line="320" w:lineRule="exact"/>
              <w:ind w:left="0" w:right="0"/>
              <w:jc w:val="center"/>
              <w:rPr>
                <w:rFonts w:hint="default" w:ascii="宋体" w:hAnsi="宋体" w:cs="Times New Roman"/>
                <w:color w:val="auto"/>
                <w:highlight w:val="none"/>
              </w:rPr>
            </w:pPr>
            <w:r>
              <w:rPr>
                <w:rFonts w:hint="eastAsia" w:ascii="宋体" w:hAnsi="宋体" w:cs="宋体"/>
                <w:color w:val="auto"/>
                <w:szCs w:val="21"/>
                <w:highlight w:val="none"/>
              </w:rPr>
              <w:t>单位</w:t>
            </w:r>
          </w:p>
        </w:tc>
        <w:tc>
          <w:tcPr>
            <w:tcW w:w="782" w:type="dxa"/>
            <w:noWrap/>
            <w:vAlign w:val="center"/>
          </w:tcPr>
          <w:p>
            <w:pPr>
              <w:keepNext w:val="0"/>
              <w:keepLines w:val="0"/>
              <w:suppressLineNumbers w:val="0"/>
              <w:tabs>
                <w:tab w:val="left" w:pos="180"/>
                <w:tab w:val="left" w:pos="1620"/>
              </w:tabs>
              <w:spacing w:before="0" w:beforeAutospacing="0" w:after="0" w:afterAutospacing="0" w:line="320" w:lineRule="exact"/>
              <w:ind w:left="0" w:right="0"/>
              <w:jc w:val="center"/>
              <w:rPr>
                <w:rFonts w:hint="eastAsia" w:ascii="宋体" w:hAnsi="宋体" w:cs="Times New Roman"/>
                <w:color w:val="auto"/>
                <w:highlight w:val="none"/>
              </w:rPr>
            </w:pPr>
            <w:r>
              <w:rPr>
                <w:rFonts w:hint="eastAsia" w:ascii="宋体" w:hAnsi="宋体" w:cs="Arial"/>
                <w:color w:val="auto"/>
                <w:szCs w:val="21"/>
                <w:highlight w:val="none"/>
              </w:rPr>
              <w:t>所属行业</w:t>
            </w:r>
          </w:p>
        </w:tc>
        <w:tc>
          <w:tcPr>
            <w:tcW w:w="5666" w:type="dxa"/>
            <w:noWrap/>
            <w:vAlign w:val="center"/>
          </w:tcPr>
          <w:p>
            <w:pPr>
              <w:keepNext w:val="0"/>
              <w:keepLines w:val="0"/>
              <w:suppressLineNumbers w:val="0"/>
              <w:tabs>
                <w:tab w:val="left" w:pos="180"/>
                <w:tab w:val="left" w:pos="1620"/>
              </w:tabs>
              <w:spacing w:before="0" w:beforeAutospacing="0" w:after="0" w:afterAutospacing="0" w:line="320" w:lineRule="exact"/>
              <w:ind w:left="0" w:right="0"/>
              <w:jc w:val="center"/>
              <w:rPr>
                <w:rFonts w:hint="default" w:ascii="宋体" w:hAnsi="宋体" w:cs="Times New Roman"/>
                <w:color w:val="auto"/>
                <w:highlight w:val="none"/>
              </w:rPr>
            </w:pPr>
            <w:r>
              <w:rPr>
                <w:rFonts w:hint="eastAsia" w:ascii="宋体" w:hAnsi="宋体" w:cs="Times New Roman"/>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1</w:t>
            </w:r>
          </w:p>
        </w:tc>
        <w:tc>
          <w:tcPr>
            <w:tcW w:w="1275" w:type="dxa"/>
            <w:noWrap/>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highlight w:val="none"/>
                <w:lang w:eastAsia="zh-CN"/>
              </w:rPr>
            </w:pPr>
            <w:r>
              <w:rPr>
                <w:rFonts w:hint="eastAsia" w:ascii="宋体" w:hAnsi="宋体" w:cs="Times New Roman"/>
                <w:color w:val="auto"/>
                <w:highlight w:val="none"/>
                <w:lang w:eastAsia="zh-CN"/>
              </w:rPr>
              <w:t>2023-2024劳务服务采购</w:t>
            </w:r>
          </w:p>
        </w:tc>
        <w:tc>
          <w:tcPr>
            <w:tcW w:w="868" w:type="dxa"/>
            <w:gridSpan w:val="2"/>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default" w:ascii="宋体" w:hAnsi="宋体" w:cs="Times New Roman"/>
                <w:color w:val="auto"/>
                <w:highlight w:val="none"/>
              </w:rPr>
              <w:t>1项</w:t>
            </w:r>
          </w:p>
        </w:tc>
        <w:tc>
          <w:tcPr>
            <w:tcW w:w="782" w:type="dxa"/>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eastAsia" w:ascii="宋体" w:hAnsi="宋体" w:cs="Times New Roman"/>
                <w:color w:val="auto"/>
                <w:highlight w:val="none"/>
              </w:rPr>
              <w:t>其他未列明行业</w:t>
            </w:r>
          </w:p>
        </w:tc>
        <w:tc>
          <w:tcPr>
            <w:tcW w:w="5666" w:type="dxa"/>
            <w:noWrap/>
            <w:vAlign w:val="center"/>
          </w:tcPr>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rPr>
              <w:t>▲一、任务量及服务费结算</w:t>
            </w:r>
          </w:p>
          <w:p>
            <w:pPr>
              <w:keepNext w:val="0"/>
              <w:keepLines w:val="0"/>
              <w:suppressLineNumbers w:val="0"/>
              <w:spacing w:before="0" w:beforeAutospacing="0" w:after="0" w:afterAutospacing="0" w:line="400" w:lineRule="exact"/>
              <w:ind w:left="0" w:right="0" w:firstLine="420" w:firstLineChars="200"/>
              <w:rPr>
                <w:rFonts w:hint="default" w:ascii="Times New Roman" w:hAnsi="Times New Roman" w:cs="Times New Roman"/>
                <w:color w:val="auto"/>
                <w:highlight w:val="none"/>
              </w:rPr>
            </w:pPr>
            <w:r>
              <w:rPr>
                <w:rFonts w:hint="eastAsia" w:ascii="Times New Roman" w:hAnsi="Times New Roman" w:cs="Times New Roman"/>
                <w:color w:val="auto"/>
                <w:highlight w:val="none"/>
              </w:rPr>
              <w:t>此次</w:t>
            </w:r>
            <w:r>
              <w:rPr>
                <w:rFonts w:hint="eastAsia" w:cs="Times New Roman"/>
                <w:color w:val="auto"/>
                <w:highlight w:val="none"/>
                <w:lang w:eastAsia="zh-CN"/>
              </w:rPr>
              <w:t>2023-2024劳务服务采购</w:t>
            </w:r>
            <w:r>
              <w:rPr>
                <w:rFonts w:hint="eastAsia" w:ascii="Times New Roman" w:hAnsi="Times New Roman" w:cs="Times New Roman"/>
                <w:color w:val="auto"/>
                <w:highlight w:val="none"/>
              </w:rPr>
              <w:t>涉及</w:t>
            </w:r>
            <w:r>
              <w:rPr>
                <w:rFonts w:hint="default" w:ascii="Times New Roman" w:hAnsi="Times New Roman" w:cs="Times New Roman"/>
                <w:color w:val="auto"/>
                <w:highlight w:val="none"/>
              </w:rPr>
              <w:t>1项工作内容，</w:t>
            </w:r>
            <w:r>
              <w:rPr>
                <w:rFonts w:hint="eastAsia" w:ascii="Times New Roman" w:hAnsi="Times New Roman" w:cs="Times New Roman"/>
                <w:color w:val="auto"/>
                <w:highlight w:val="none"/>
              </w:rPr>
              <w:t>派遣具备自然资源调查监测、大地测量、工程测量、海洋测绘、基础数据生产更新、三维数据采集与生产、摄影测量与遥感、国土规划、信息技术服务等相关专业技能的人员协助采购人开展相关工作。劳务派遣服务费限额为人民币1374.75万元。劳务派遣服务管理费结算金额＝具体任务量金额×劳务派遣服务管理费率。</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rPr>
              <w:t>▲二、报价要求</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本项目按劳务派遣服务管理费率进行报价，</w:t>
            </w:r>
            <w:r>
              <w:rPr>
                <w:rFonts w:hint="eastAsia" w:ascii="Times New Roman" w:hAnsi="Times New Roman" w:cs="Times New Roman"/>
                <w:color w:val="auto"/>
                <w:highlight w:val="none"/>
              </w:rPr>
              <w:t>劳务派遣服务管理费率＜</w:t>
            </w:r>
            <w:r>
              <w:rPr>
                <w:rFonts w:hint="default" w:ascii="Times New Roman" w:hAnsi="Times New Roman" w:cs="Times New Roman"/>
                <w:color w:val="auto"/>
                <w:highlight w:val="none"/>
              </w:rPr>
              <w:t>4%</w:t>
            </w:r>
            <w:r>
              <w:rPr>
                <w:rFonts w:hint="eastAsia" w:ascii="Times New Roman" w:hAnsi="Times New Roman" w:cs="Times New Roman"/>
                <w:color w:val="auto"/>
                <w:highlight w:val="none"/>
              </w:rPr>
              <w:t>为有效报价。[报价须包含：管理费（含税）、残疾人保障金、80万保额的雇主责任险等相关费用。]</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rPr>
              <w:t>三、</w:t>
            </w:r>
            <w:bookmarkStart w:id="43" w:name="_Toc246996921"/>
            <w:bookmarkStart w:id="44" w:name="_Toc144974500"/>
            <w:bookmarkStart w:id="45" w:name="_Toc152042308"/>
            <w:bookmarkStart w:id="46" w:name="_Toc246996178"/>
            <w:bookmarkStart w:id="47" w:name="_Toc247085692"/>
            <w:bookmarkStart w:id="48" w:name="_Toc179632549"/>
            <w:bookmarkStart w:id="49" w:name="_Toc338934828"/>
            <w:bookmarkStart w:id="50" w:name="_Toc152045532"/>
            <w:r>
              <w:rPr>
                <w:rFonts w:hint="eastAsia" w:ascii="Times New Roman" w:hAnsi="Times New Roman" w:cs="Times New Roman"/>
                <w:color w:val="auto"/>
                <w:highlight w:val="none"/>
              </w:rPr>
              <w:t>技术要求</w:t>
            </w:r>
            <w:bookmarkEnd w:id="43"/>
            <w:bookmarkEnd w:id="44"/>
            <w:bookmarkEnd w:id="45"/>
            <w:bookmarkEnd w:id="46"/>
            <w:bookmarkEnd w:id="47"/>
            <w:bookmarkEnd w:id="48"/>
            <w:bookmarkEnd w:id="49"/>
            <w:bookmarkEnd w:id="50"/>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1、工作目标</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依据采购人的需求，整合已有资源，完成采购人交予的任务。</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2、具体工作内容</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在符合相关法律法规、规范的前提下，</w:t>
            </w:r>
            <w:r>
              <w:rPr>
                <w:rFonts w:hint="eastAsia" w:ascii="Times New Roman" w:hAnsi="Times New Roman" w:cs="Times New Roman"/>
                <w:color w:val="auto"/>
                <w:highlight w:val="none"/>
              </w:rPr>
              <w:t>由采购人与中标人在承接具体项目时，根据项目的实际情况再另行确定。</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rPr>
              <w:t>四、其他要求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Times New Roman" w:hAnsi="Times New Roman" w:cs="Times New Roman"/>
                <w:color w:val="auto"/>
                <w:highlight w:val="none"/>
              </w:rPr>
            </w:pPr>
            <w:r>
              <w:rPr>
                <w:rFonts w:hint="eastAsia" w:ascii="Times New Roman" w:hAnsi="Times New Roman" w:cs="Times New Roman"/>
                <w:color w:val="auto"/>
                <w:highlight w:val="none"/>
              </w:rPr>
              <w:t>▲</w:t>
            </w:r>
            <w:r>
              <w:rPr>
                <w:rFonts w:hint="default" w:ascii="Times New Roman" w:hAnsi="Times New Roman" w:cs="Times New Roman"/>
                <w:color w:val="auto"/>
                <w:highlight w:val="none"/>
              </w:rPr>
              <w:t>1、中标人不得以各种理由不提供服务，否则采购人有权单方面取消合同，并在采购人建立的信用档案中登记其不诚信行为，同时上报相关行政主管部门，依法处理。违约中标人不得参加本</w:t>
            </w:r>
            <w:r>
              <w:rPr>
                <w:rFonts w:hint="eastAsia" w:ascii="Times New Roman" w:hAnsi="Times New Roman" w:cs="Times New Roman"/>
                <w:color w:val="auto"/>
                <w:highlight w:val="none"/>
              </w:rPr>
              <w:t>项目重新组织的采购活动，已支付的代理服务费不予退还。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firstLine="42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kern w:val="2"/>
                <w:sz w:val="21"/>
                <w:szCs w:val="24"/>
                <w:highlight w:val="none"/>
                <w:lang w:val="en-US" w:eastAsia="zh-CN" w:bidi="ar-SA"/>
              </w:rPr>
              <w:t>2、</w:t>
            </w:r>
            <w:r>
              <w:rPr>
                <w:rFonts w:hint="default" w:ascii="Times New Roman" w:hAnsi="Times New Roman" w:cs="Times New Roman"/>
                <w:color w:val="auto"/>
                <w:highlight w:val="none"/>
              </w:rPr>
              <w:t>拟派遣的劳务人员须满足采购人工作要求（包括技术水平、身体状况等），符合相关法律法规、规范要求。</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20" w:firstLineChars="200"/>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3、中标人应当将劳务派遣协议的内容告知被派遣劳动者。</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firstLine="420" w:firstLineChars="20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kern w:val="2"/>
                <w:sz w:val="21"/>
                <w:szCs w:val="20"/>
                <w:highlight w:val="none"/>
                <w:lang w:val="en-US" w:eastAsia="zh-CN" w:bidi="ar-SA"/>
              </w:rPr>
              <w:t>4、</w:t>
            </w:r>
            <w:r>
              <w:rPr>
                <w:rFonts w:hint="eastAsia" w:ascii="Times New Roman" w:hAnsi="Times New Roman" w:eastAsia="宋体" w:cs="Times New Roman"/>
                <w:color w:val="auto"/>
                <w:kern w:val="2"/>
                <w:sz w:val="21"/>
                <w:szCs w:val="24"/>
                <w:highlight w:val="none"/>
                <w:lang w:val="en-US" w:eastAsia="zh-CN" w:bidi="ar-SA"/>
              </w:rPr>
              <w:t>中标人不得克扣用工单位按照劳务派遣协议支付给被派遣劳动者的劳动报酬，劳务派遣公司仅按中标比例收取相应的管理费。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42" w:type="dxa"/>
            <w:gridSpan w:val="6"/>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eastAsia" w:ascii="宋体" w:hAnsi="宋体" w:cs="Times New Roman"/>
                <w:b/>
                <w:bCs/>
                <w:color w:val="auto"/>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946" w:type="dxa"/>
            <w:gridSpan w:val="3"/>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eastAsia" w:ascii="宋体" w:hAnsi="宋体" w:cs="Times New Roman"/>
                <w:color w:val="auto"/>
                <w:highlight w:val="none"/>
              </w:rPr>
              <w:t>▲合同履行期限</w:t>
            </w:r>
            <w:r>
              <w:rPr>
                <w:rFonts w:hint="eastAsia" w:ascii="宋体" w:hAnsi="宋体" w:cs="Times New Roman"/>
                <w:color w:val="auto"/>
                <w:highlight w:val="none"/>
                <w:lang w:eastAsia="zh-CN"/>
              </w:rPr>
              <w:t>（</w:t>
            </w:r>
            <w:r>
              <w:rPr>
                <w:rFonts w:hint="eastAsia" w:ascii="宋体" w:hAnsi="宋体" w:cs="Times New Roman"/>
                <w:color w:val="auto"/>
                <w:highlight w:val="none"/>
              </w:rPr>
              <w:t>服务期限</w:t>
            </w:r>
            <w:r>
              <w:rPr>
                <w:rFonts w:hint="eastAsia" w:ascii="宋体" w:hAnsi="宋体" w:cs="Times New Roman"/>
                <w:color w:val="auto"/>
                <w:highlight w:val="none"/>
                <w:lang w:eastAsia="zh-CN"/>
              </w:rPr>
              <w:t>）</w:t>
            </w:r>
            <w:r>
              <w:rPr>
                <w:rFonts w:hint="eastAsia" w:ascii="宋体" w:hAnsi="宋体" w:cs="Times New Roman"/>
                <w:color w:val="auto"/>
                <w:highlight w:val="none"/>
              </w:rPr>
              <w:t>及地点</w:t>
            </w:r>
          </w:p>
        </w:tc>
        <w:tc>
          <w:tcPr>
            <w:tcW w:w="7296" w:type="dxa"/>
            <w:gridSpan w:val="3"/>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1、</w:t>
            </w:r>
            <w:r>
              <w:rPr>
                <w:rFonts w:hint="eastAsia" w:ascii="宋体" w:hAnsi="宋体" w:cs="Times New Roman"/>
                <w:color w:val="auto"/>
                <w:highlight w:val="none"/>
              </w:rPr>
              <w:t>合同履行期限</w:t>
            </w:r>
            <w:r>
              <w:rPr>
                <w:rFonts w:hint="eastAsia" w:ascii="宋体" w:hAnsi="宋体" w:cs="Times New Roman"/>
                <w:color w:val="auto"/>
                <w:highlight w:val="none"/>
                <w:lang w:eastAsia="zh-CN"/>
              </w:rPr>
              <w:t>（</w:t>
            </w:r>
            <w:r>
              <w:rPr>
                <w:rFonts w:hint="eastAsia" w:ascii="宋体" w:hAnsi="宋体" w:cs="Times New Roman"/>
                <w:color w:val="auto"/>
                <w:highlight w:val="none"/>
              </w:rPr>
              <w:t>服务期限</w:t>
            </w:r>
            <w:r>
              <w:rPr>
                <w:rFonts w:hint="eastAsia" w:ascii="宋体" w:hAnsi="宋体" w:cs="Times New Roman"/>
                <w:color w:val="auto"/>
                <w:highlight w:val="none"/>
                <w:lang w:eastAsia="zh-CN"/>
              </w:rPr>
              <w:t>）</w:t>
            </w:r>
            <w:r>
              <w:rPr>
                <w:rFonts w:hint="default" w:ascii="宋体" w:hAnsi="宋体" w:cs="Times New Roman"/>
                <w:color w:val="auto"/>
                <w:highlight w:val="none"/>
              </w:rPr>
              <w:t>：自合同签订之日起至</w:t>
            </w:r>
            <w:r>
              <w:rPr>
                <w:rFonts w:hint="eastAsia" w:ascii="宋体" w:hAnsi="宋体" w:cs="Times New Roman"/>
                <w:color w:val="auto"/>
                <w:highlight w:val="none"/>
              </w:rPr>
              <w:t>20</w:t>
            </w:r>
            <w:r>
              <w:rPr>
                <w:rFonts w:hint="default" w:ascii="宋体" w:hAnsi="宋体" w:cs="Times New Roman"/>
                <w:color w:val="auto"/>
                <w:highlight w:val="none"/>
              </w:rPr>
              <w:t>24</w:t>
            </w:r>
            <w:r>
              <w:rPr>
                <w:rFonts w:hint="eastAsia" w:ascii="宋体" w:hAnsi="宋体" w:cs="Times New Roman"/>
                <w:color w:val="auto"/>
                <w:highlight w:val="none"/>
              </w:rPr>
              <w:t>年；</w:t>
            </w:r>
          </w:p>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2、地点：广西区范围内由采购人指定。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46" w:type="dxa"/>
            <w:gridSpan w:val="3"/>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eastAsia" w:ascii="宋体" w:hAnsi="宋体" w:cs="Times New Roman"/>
                <w:color w:val="auto"/>
                <w:highlight w:val="none"/>
              </w:rPr>
              <w:t>▲付款方式</w:t>
            </w:r>
          </w:p>
        </w:tc>
        <w:tc>
          <w:tcPr>
            <w:tcW w:w="7296" w:type="dxa"/>
            <w:gridSpan w:val="3"/>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eastAsia" w:ascii="宋体" w:hAnsi="宋体" w:cs="Times New Roman"/>
                <w:color w:val="auto"/>
                <w:highlight w:val="none"/>
              </w:rPr>
              <w:t>劳务人员自中标人派遣至</w:t>
            </w:r>
            <w:r>
              <w:rPr>
                <w:rFonts w:hint="eastAsia" w:ascii="宋体" w:hAnsi="宋体" w:cs="Times New Roman"/>
                <w:color w:val="auto"/>
                <w:highlight w:val="none"/>
                <w:lang w:eastAsia="zh-CN"/>
              </w:rPr>
              <w:t>采购人</w:t>
            </w:r>
            <w:r>
              <w:rPr>
                <w:rFonts w:hint="eastAsia" w:ascii="宋体" w:hAnsi="宋体" w:cs="Times New Roman"/>
                <w:color w:val="auto"/>
                <w:highlight w:val="none"/>
              </w:rPr>
              <w:t>指定服务地点工作后，采购人根据劳务人员工作的完成情况和采购人实行的质量管理规定，按任务完成进度与中标人进行结算。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46" w:type="dxa"/>
            <w:gridSpan w:val="3"/>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eastAsia" w:ascii="宋体" w:hAnsi="宋体" w:cs="Times New Roman"/>
                <w:color w:val="auto"/>
                <w:highlight w:val="none"/>
              </w:rPr>
              <w:t>验收要求</w:t>
            </w:r>
          </w:p>
        </w:tc>
        <w:tc>
          <w:tcPr>
            <w:tcW w:w="7296" w:type="dxa"/>
            <w:gridSpan w:val="3"/>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eastAsia" w:ascii="宋体" w:hAnsi="宋体" w:cs="Times New Roman"/>
                <w:color w:val="auto"/>
                <w:highlight w:val="none"/>
              </w:rPr>
              <w:t>中标人派遣的劳务人员必须有相应的工作技能，能完成相应的工作。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46" w:type="dxa"/>
            <w:gridSpan w:val="3"/>
            <w:noWrap/>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highlight w:val="none"/>
              </w:rPr>
            </w:pPr>
            <w:r>
              <w:rPr>
                <w:rFonts w:hint="eastAsia" w:ascii="宋体" w:hAnsi="宋体" w:cs="Times New Roman"/>
                <w:color w:val="auto"/>
                <w:highlight w:val="none"/>
              </w:rPr>
              <w:t>▲其他要求</w:t>
            </w:r>
          </w:p>
        </w:tc>
        <w:tc>
          <w:tcPr>
            <w:tcW w:w="7296" w:type="dxa"/>
            <w:gridSpan w:val="3"/>
            <w:noWrap/>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1、投标人须在投标文件中提供详细的服务及作业方案，以供评标。</w:t>
            </w:r>
          </w:p>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2、投标人要严格遵守采购人提出的各项保密制度。</w:t>
            </w:r>
          </w:p>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3、</w:t>
            </w:r>
            <w:r>
              <w:rPr>
                <w:rFonts w:hint="eastAsia" w:ascii="宋体" w:hAnsi="宋体" w:cs="Times New Roman"/>
                <w:color w:val="auto"/>
                <w:highlight w:val="none"/>
              </w:rPr>
              <w:t>劳务派遣服务管理费率应在＜</w:t>
            </w:r>
            <w:r>
              <w:rPr>
                <w:rFonts w:hint="default" w:ascii="宋体" w:hAnsi="宋体" w:cs="Times New Roman"/>
                <w:color w:val="auto"/>
                <w:highlight w:val="none"/>
              </w:rPr>
              <w:t>4%</w:t>
            </w:r>
            <w:r>
              <w:rPr>
                <w:rFonts w:hint="eastAsia" w:ascii="宋体" w:hAnsi="宋体" w:cs="Times New Roman"/>
                <w:color w:val="auto"/>
                <w:highlight w:val="none"/>
              </w:rPr>
              <w:t>以下。</w:t>
            </w:r>
          </w:p>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4、</w:t>
            </w:r>
            <w:r>
              <w:rPr>
                <w:rFonts w:hint="eastAsia" w:ascii="宋体" w:hAnsi="宋体" w:cs="Times New Roman"/>
                <w:color w:val="auto"/>
                <w:highlight w:val="none"/>
              </w:rPr>
              <w:t>服务响应时间不能超过</w:t>
            </w:r>
            <w:r>
              <w:rPr>
                <w:rFonts w:hint="default" w:ascii="宋体" w:hAnsi="宋体" w:cs="Times New Roman"/>
                <w:color w:val="auto"/>
                <w:highlight w:val="none"/>
              </w:rPr>
              <w:t>5</w:t>
            </w:r>
            <w:r>
              <w:rPr>
                <w:rFonts w:hint="eastAsia" w:ascii="宋体" w:hAnsi="宋体" w:cs="Times New Roman"/>
                <w:color w:val="auto"/>
                <w:highlight w:val="none"/>
              </w:rPr>
              <w:t>个工作日。</w:t>
            </w:r>
          </w:p>
          <w:p>
            <w:pPr>
              <w:keepNext w:val="0"/>
              <w:keepLines w:val="0"/>
              <w:suppressLineNumbers w:val="0"/>
              <w:spacing w:before="0" w:beforeAutospacing="0" w:after="0" w:afterAutospacing="0" w:line="400" w:lineRule="exact"/>
              <w:ind w:left="0" w:right="0"/>
              <w:rPr>
                <w:rFonts w:hint="default" w:ascii="宋体" w:hAnsi="宋体" w:cs="Times New Roman"/>
                <w:color w:val="auto"/>
                <w:highlight w:val="none"/>
              </w:rPr>
            </w:pPr>
            <w:r>
              <w:rPr>
                <w:rFonts w:hint="default" w:ascii="宋体" w:hAnsi="宋体" w:cs="Times New Roman"/>
                <w:color w:val="auto"/>
                <w:highlight w:val="none"/>
              </w:rPr>
              <w:t>5、最终以实际提供的人员</w:t>
            </w:r>
            <w:r>
              <w:rPr>
                <w:rFonts w:hint="eastAsia" w:ascii="宋体" w:hAnsi="宋体" w:cs="Times New Roman"/>
                <w:color w:val="auto"/>
                <w:highlight w:val="none"/>
              </w:rPr>
              <w:t>、工作量、成果质量情况</w:t>
            </w:r>
            <w:r>
              <w:rPr>
                <w:rFonts w:hint="default" w:ascii="宋体" w:hAnsi="宋体" w:cs="Times New Roman"/>
                <w:color w:val="auto"/>
                <w:highlight w:val="none"/>
              </w:rPr>
              <w:t>和服务天数</w:t>
            </w:r>
            <w:r>
              <w:rPr>
                <w:rFonts w:hint="eastAsia" w:ascii="宋体" w:hAnsi="宋体" w:cs="Times New Roman"/>
                <w:color w:val="auto"/>
                <w:highlight w:val="none"/>
              </w:rPr>
              <w:t>等</w:t>
            </w:r>
            <w:r>
              <w:rPr>
                <w:rFonts w:hint="default" w:ascii="宋体" w:hAnsi="宋体" w:cs="Times New Roman"/>
                <w:color w:val="auto"/>
                <w:highlight w:val="none"/>
              </w:rPr>
              <w:t>进行结算。</w:t>
            </w:r>
          </w:p>
        </w:tc>
      </w:tr>
    </w:tbl>
    <w:p>
      <w:pPr>
        <w:spacing w:line="428" w:lineRule="exact"/>
        <w:rPr>
          <w:rFonts w:ascii="宋体" w:hAnsi="宋体" w:cs="宋体"/>
          <w:color w:val="auto"/>
          <w:sz w:val="20"/>
          <w:szCs w:val="20"/>
          <w:highlight w:val="none"/>
        </w:rPr>
      </w:pPr>
      <w:r>
        <w:rPr>
          <w:color w:val="auto"/>
          <w:highlight w:val="none"/>
        </w:rPr>
        <w:br w:type="page"/>
      </w:r>
    </w:p>
    <w:p>
      <w:pPr>
        <w:pStyle w:val="3"/>
        <w:jc w:val="center"/>
        <w:rPr>
          <w:rFonts w:hint="eastAsia"/>
          <w:color w:val="auto"/>
          <w:highlight w:val="none"/>
        </w:rPr>
      </w:pPr>
      <w:bookmarkStart w:id="51" w:name="_Toc74320802"/>
      <w:r>
        <w:rPr>
          <w:rFonts w:hint="eastAsia"/>
          <w:color w:val="auto"/>
          <w:highlight w:val="none"/>
        </w:rPr>
        <w:t>第三章  投标人须知</w:t>
      </w:r>
      <w:bookmarkEnd w:id="51"/>
    </w:p>
    <w:p>
      <w:pPr>
        <w:jc w:val="center"/>
        <w:rPr>
          <w:rFonts w:hint="eastAsia"/>
          <w:color w:val="auto"/>
          <w:sz w:val="36"/>
          <w:szCs w:val="36"/>
          <w:highlight w:val="none"/>
        </w:rPr>
      </w:pPr>
      <w:bookmarkStart w:id="52" w:name="_Toc254970526"/>
      <w:bookmarkStart w:id="53" w:name="_Toc254970667"/>
      <w:r>
        <w:rPr>
          <w:rFonts w:hint="eastAsia"/>
          <w:b/>
          <w:bCs/>
          <w:color w:val="auto"/>
          <w:sz w:val="36"/>
          <w:szCs w:val="36"/>
          <w:highlight w:val="none"/>
        </w:rPr>
        <w:t>投标人须知前附表</w:t>
      </w:r>
      <w:bookmarkEnd w:id="52"/>
      <w:bookmarkEnd w:id="53"/>
    </w:p>
    <w:p>
      <w:pPr>
        <w:jc w:val="center"/>
        <w:rPr>
          <w:rFonts w:hint="eastAsia"/>
          <w:color w:val="auto"/>
          <w:sz w:val="36"/>
          <w:szCs w:val="36"/>
          <w:highlight w:val="none"/>
        </w:rPr>
      </w:pP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条款号</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3</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highlight w:val="none"/>
              </w:rPr>
            </w:pPr>
            <w:bookmarkStart w:id="54" w:name="_9.2"/>
            <w:bookmarkEnd w:id="54"/>
            <w:bookmarkStart w:id="55" w:name="_8.1"/>
            <w:bookmarkEnd w:id="55"/>
            <w:bookmarkStart w:id="56" w:name="_5"/>
            <w:bookmarkEnd w:id="56"/>
            <w:r>
              <w:rPr>
                <w:rFonts w:hint="eastAsia" w:ascii="宋体" w:hAnsi="宋体" w:cs="Times New Roman"/>
                <w:color w:val="auto"/>
                <w:szCs w:val="21"/>
                <w:highlight w:val="none"/>
              </w:rPr>
              <w:t>6.1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default" w:ascii="宋体" w:hAnsi="宋体" w:cs="Times New Roman"/>
                <w:color w:val="auto"/>
                <w:szCs w:val="21"/>
                <w:highlight w:val="none"/>
              </w:rPr>
              <w:t>6.2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bookmarkStart w:id="57" w:name="_Hlk54105293"/>
            <w:r>
              <w:rPr>
                <w:rFonts w:hint="eastAsia" w:ascii="宋体" w:hAnsi="宋体" w:cs="Times New Roman"/>
                <w:color w:val="auto"/>
                <w:szCs w:val="21"/>
                <w:highlight w:val="none"/>
              </w:rPr>
              <w:t>如接受联合体投标，</w:t>
            </w:r>
            <w:bookmarkEnd w:id="57"/>
            <w:r>
              <w:rPr>
                <w:rFonts w:hint="eastAsia" w:ascii="宋体" w:hAnsi="宋体" w:cs="Times New Roman"/>
                <w:color w:val="auto"/>
                <w:szCs w:val="21"/>
                <w:highlight w:val="none"/>
              </w:rPr>
              <w:t>联合体投标要求如下：</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1、两个以上供应商可以组成一个投标联合体，以一个投标人的身份共同参加投标，联合体投标人的名称应统一按“XXX 公司与 XXX 公司的联合体”的规则填写。</w:t>
            </w:r>
            <w:r>
              <w:rPr>
                <w:rFonts w:hint="eastAsia" w:ascii="宋体" w:hAnsi="宋体" w:cs="Times New Roman"/>
                <w:color w:val="auto"/>
                <w:szCs w:val="21"/>
                <w:highlight w:val="none"/>
              </w:rPr>
              <w:tab/>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3、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r>
              <w:rPr>
                <w:rFonts w:hint="eastAsia" w:ascii="宋体" w:hAnsi="宋体" w:cs="Times New Roman"/>
                <w:color w:val="auto"/>
                <w:szCs w:val="21"/>
                <w:highlight w:val="none"/>
              </w:rPr>
              <w:tab/>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4、以联合体形式参加政府采购活动的，联合体各方不得再单独参加或者与其他投标人另外组成联合体参加同一合同项下的政府采购活动，否则与之相关的投标文件作废。</w:t>
            </w:r>
            <w:r>
              <w:rPr>
                <w:rFonts w:hint="eastAsia" w:ascii="宋体" w:hAnsi="宋体" w:cs="Times New Roman"/>
                <w:color w:val="auto"/>
                <w:szCs w:val="21"/>
                <w:highlight w:val="none"/>
              </w:rPr>
              <w:tab/>
            </w:r>
            <w:r>
              <w:rPr>
                <w:rFonts w:hint="eastAsia" w:ascii="宋体" w:hAnsi="宋体" w:cs="Times New Roman"/>
                <w:color w:val="auto"/>
                <w:szCs w:val="21"/>
                <w:highlight w:val="none"/>
              </w:rPr>
              <w:tab/>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5、联合体中有同类资质的投标人按照联合体分工承担相同工作的，应当按照资质等级较低的投标人确定资质等级。</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6、联合体投标业绩、履约能力按照联合体各方其中较高的一方认定并计算（招标文件另有规定的除外）。</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7、联合体各方均应按照招标文件的规定提交资格证明文件。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highlight w:val="none"/>
              </w:rPr>
            </w:pPr>
            <w:r>
              <w:rPr>
                <w:rFonts w:hint="eastAsia" w:ascii="宋体" w:hAnsi="宋体" w:cs="Times New Roman"/>
                <w:color w:val="auto"/>
                <w:szCs w:val="21"/>
                <w:highlight w:val="none"/>
              </w:rPr>
              <w:t>7.2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u w:val="single"/>
              </w:rPr>
            </w:pPr>
            <w:r>
              <w:rPr>
                <w:rFonts w:hint="eastAsia" w:ascii="宋体" w:hAnsi="宋体" w:cs="Times New Roman"/>
                <w:color w:val="auto"/>
                <w:szCs w:val="21"/>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5"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1</w:t>
            </w:r>
            <w:r>
              <w:rPr>
                <w:rFonts w:hint="default" w:ascii="宋体" w:hAnsi="宋体" w:cs="Times New Roman"/>
                <w:color w:val="auto"/>
                <w:szCs w:val="21"/>
                <w:highlight w:val="none"/>
              </w:rPr>
              <w:t>1.</w:t>
            </w:r>
            <w:r>
              <w:rPr>
                <w:rFonts w:hint="eastAsia" w:ascii="宋体" w:hAnsi="宋体" w:cs="Times New Roman"/>
                <w:color w:val="auto"/>
                <w:szCs w:val="21"/>
                <w:highlight w:val="none"/>
              </w:rPr>
              <w:t>5</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default" w:ascii="宋体" w:hAnsi="宋体" w:cs="Times New Roman"/>
                <w:color w:val="auto"/>
                <w:szCs w:val="21"/>
                <w:highlight w:val="none"/>
              </w:rPr>
              <w:fldChar w:fldCharType="begin"/>
            </w:r>
            <w:r>
              <w:rPr>
                <w:rFonts w:hint="default" w:ascii="宋体" w:hAnsi="宋体" w:cs="Times New Roman"/>
                <w:color w:val="auto"/>
                <w:szCs w:val="21"/>
                <w:highlight w:val="none"/>
              </w:rPr>
              <w:instrText xml:space="preserve"> </w:instrText>
            </w:r>
            <w:r>
              <w:rPr>
                <w:rFonts w:hint="eastAsia" w:ascii="宋体" w:hAnsi="宋体" w:cs="Times New Roman"/>
                <w:color w:val="auto"/>
                <w:szCs w:val="21"/>
                <w:highlight w:val="none"/>
              </w:rPr>
              <w:instrText xml:space="preserve">eq \o\ac(□,</w:instrText>
            </w:r>
            <w:r>
              <w:rPr>
                <w:rFonts w:hint="eastAsia" w:ascii="宋体" w:hAnsi="宋体" w:cs="Times New Roman"/>
                <w:color w:val="auto"/>
                <w:sz w:val="14"/>
                <w:szCs w:val="21"/>
                <w:highlight w:val="none"/>
              </w:rPr>
              <w:instrText xml:space="preserve">√</w:instrText>
            </w:r>
            <w:r>
              <w:rPr>
                <w:rFonts w:hint="eastAsia" w:ascii="宋体" w:hAnsi="宋体" w:cs="Times New Roman"/>
                <w:color w:val="auto"/>
                <w:szCs w:val="21"/>
                <w:highlight w:val="none"/>
              </w:rPr>
              <w:instrText xml:space="preserve">)</w:instrText>
            </w:r>
            <w:r>
              <w:rPr>
                <w:rFonts w:hint="default" w:ascii="宋体" w:hAnsi="宋体" w:cs="Times New Roman"/>
                <w:color w:val="auto"/>
                <w:szCs w:val="21"/>
                <w:highlight w:val="none"/>
              </w:rPr>
              <w:fldChar w:fldCharType="end"/>
            </w:r>
            <w:r>
              <w:rPr>
                <w:rFonts w:hint="eastAsia" w:ascii="宋体" w:hAnsi="宋体" w:cs="Times New Roman"/>
                <w:color w:val="auto"/>
                <w:szCs w:val="21"/>
                <w:highlight w:val="none"/>
              </w:rPr>
              <w:t>本项目不组织现场考察。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895"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default" w:ascii="宋体" w:hAnsi="宋体" w:cs="Times New Roman"/>
                <w:color w:val="auto"/>
                <w:szCs w:val="21"/>
                <w:highlight w:val="none"/>
              </w:rPr>
              <w:fldChar w:fldCharType="begin"/>
            </w:r>
            <w:r>
              <w:rPr>
                <w:rFonts w:hint="default" w:ascii="宋体" w:hAnsi="宋体" w:cs="Times New Roman"/>
                <w:color w:val="auto"/>
                <w:szCs w:val="21"/>
                <w:highlight w:val="none"/>
              </w:rPr>
              <w:instrText xml:space="preserve"> </w:instrText>
            </w:r>
            <w:r>
              <w:rPr>
                <w:rFonts w:hint="eastAsia" w:ascii="宋体" w:hAnsi="宋体" w:cs="Times New Roman"/>
                <w:color w:val="auto"/>
                <w:szCs w:val="21"/>
                <w:highlight w:val="none"/>
              </w:rPr>
              <w:instrText xml:space="preserve">eq \o\ac(□,</w:instrText>
            </w:r>
            <w:r>
              <w:rPr>
                <w:rFonts w:hint="eastAsia" w:ascii="宋体" w:hAnsi="宋体" w:cs="Times New Roman"/>
                <w:color w:val="auto"/>
                <w:sz w:val="14"/>
                <w:szCs w:val="21"/>
                <w:highlight w:val="none"/>
              </w:rPr>
              <w:instrText xml:space="preserve">√</w:instrText>
            </w:r>
            <w:r>
              <w:rPr>
                <w:rFonts w:hint="eastAsia" w:ascii="宋体" w:hAnsi="宋体" w:cs="Times New Roman"/>
                <w:color w:val="auto"/>
                <w:szCs w:val="21"/>
                <w:highlight w:val="none"/>
              </w:rPr>
              <w:instrText xml:space="preserve">)</w:instrText>
            </w:r>
            <w:r>
              <w:rPr>
                <w:rFonts w:hint="default" w:ascii="宋体" w:hAnsi="宋体" w:cs="Times New Roman"/>
                <w:color w:val="auto"/>
                <w:szCs w:val="21"/>
                <w:highlight w:val="none"/>
              </w:rPr>
              <w:fldChar w:fldCharType="end"/>
            </w:r>
            <w:r>
              <w:rPr>
                <w:rFonts w:hint="eastAsia" w:ascii="宋体" w:hAnsi="宋体" w:cs="Times New Roman"/>
                <w:color w:val="auto"/>
                <w:szCs w:val="21"/>
                <w:highlight w:val="none"/>
              </w:rPr>
              <w:t>本项目不组织召开开标前答疑会。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58" w:name="_13.1"/>
            <w:bookmarkEnd w:id="58"/>
            <w:r>
              <w:rPr>
                <w:rFonts w:hint="eastAsia" w:ascii="宋体" w:hAnsi="宋体" w:cs="Times New Roman"/>
                <w:color w:val="auto"/>
                <w:szCs w:val="21"/>
                <w:highlight w:val="none"/>
              </w:rPr>
              <w:t>13.</w:t>
            </w:r>
            <w:bookmarkStart w:id="59" w:name="_Hlt19632543"/>
            <w:r>
              <w:rPr>
                <w:rFonts w:hint="eastAsia" w:ascii="宋体" w:hAnsi="宋体" w:cs="Times New Roman"/>
                <w:color w:val="auto"/>
                <w:szCs w:val="21"/>
                <w:highlight w:val="none"/>
              </w:rPr>
              <w:t>1</w:t>
            </w:r>
            <w:bookmarkEnd w:id="59"/>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Courier New"/>
                <w:b/>
                <w:color w:val="auto"/>
                <w:szCs w:val="21"/>
                <w:highlight w:val="none"/>
              </w:rPr>
            </w:pPr>
            <w:r>
              <w:rPr>
                <w:rFonts w:hint="eastAsia" w:ascii="宋体" w:hAnsi="宋体" w:cs="Courier New"/>
                <w:b/>
                <w:color w:val="auto"/>
                <w:szCs w:val="21"/>
                <w:highlight w:val="none"/>
              </w:rPr>
              <w:t>报价文件：</w:t>
            </w:r>
          </w:p>
          <w:p>
            <w:pPr>
              <w:keepNext w:val="0"/>
              <w:keepLines w:val="0"/>
              <w:suppressLineNumbers w:val="0"/>
              <w:tabs>
                <w:tab w:val="left" w:pos="459"/>
              </w:tabs>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1、投标函（格式后附）；</w:t>
            </w:r>
            <w:r>
              <w:rPr>
                <w:rFonts w:hint="eastAsia" w:ascii="宋体" w:hAnsi="宋体" w:cs="Times New Roman"/>
                <w:b/>
                <w:color w:val="auto"/>
                <w:szCs w:val="21"/>
                <w:highlight w:val="none"/>
              </w:rPr>
              <w:t>（必须提供，否则按无效投标处理）</w:t>
            </w:r>
          </w:p>
          <w:p>
            <w:pPr>
              <w:keepNext w:val="0"/>
              <w:keepLines w:val="0"/>
              <w:suppressLineNumbers w:val="0"/>
              <w:tabs>
                <w:tab w:val="left" w:pos="459"/>
              </w:tabs>
              <w:snapToGrid w:val="0"/>
              <w:spacing w:before="0" w:beforeAutospacing="0" w:after="0" w:afterAutospacing="0" w:line="400" w:lineRule="exact"/>
              <w:ind w:left="0" w:right="0"/>
              <w:jc w:val="left"/>
              <w:rPr>
                <w:rFonts w:hint="eastAsia" w:ascii="宋体" w:hAnsi="宋体" w:cs="Times New Roman"/>
                <w:color w:val="auto"/>
                <w:szCs w:val="21"/>
                <w:highlight w:val="none"/>
              </w:rPr>
            </w:pPr>
            <w:bookmarkStart w:id="60" w:name="_Hlk71299233"/>
            <w:r>
              <w:rPr>
                <w:rFonts w:hint="eastAsia" w:ascii="宋体" w:hAnsi="宋体" w:cs="Times New Roman"/>
                <w:color w:val="auto"/>
                <w:szCs w:val="21"/>
                <w:highlight w:val="none"/>
              </w:rPr>
              <w:t>2、开标一览表</w:t>
            </w:r>
            <w:bookmarkEnd w:id="60"/>
            <w:r>
              <w:rPr>
                <w:rFonts w:hint="eastAsia" w:ascii="宋体" w:hAnsi="宋体" w:cs="Times New Roman"/>
                <w:color w:val="auto"/>
                <w:szCs w:val="21"/>
                <w:highlight w:val="none"/>
              </w:rPr>
              <w:t>（格式后附）； （</w:t>
            </w:r>
            <w:r>
              <w:rPr>
                <w:rFonts w:hint="eastAsia" w:ascii="宋体" w:hAnsi="宋体" w:cs="Times New Roman"/>
                <w:b/>
                <w:color w:val="auto"/>
                <w:szCs w:val="21"/>
                <w:highlight w:val="none"/>
              </w:rPr>
              <w:t>必须提供，否则按无效投标处理</w:t>
            </w:r>
            <w:r>
              <w:rPr>
                <w:rFonts w:hint="eastAsia" w:ascii="宋体" w:hAnsi="宋体" w:cs="Times New Roman"/>
                <w:color w:val="auto"/>
                <w:szCs w:val="21"/>
                <w:highlight w:val="none"/>
              </w:rPr>
              <w:t>）</w:t>
            </w:r>
          </w:p>
          <w:p>
            <w:pPr>
              <w:keepNext w:val="0"/>
              <w:keepLines w:val="0"/>
              <w:suppressLineNumbers w:val="0"/>
              <w:tabs>
                <w:tab w:val="left" w:pos="459"/>
              </w:tabs>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3、投标人针对报价需要说明的其他文件和说明（格式自拟）。</w:t>
            </w:r>
          </w:p>
          <w:p>
            <w:pPr>
              <w:keepNext w:val="0"/>
              <w:keepLines w:val="0"/>
              <w:suppressLineNumbers w:val="0"/>
              <w:snapToGrid w:val="0"/>
              <w:spacing w:before="0" w:beforeAutospacing="0" w:after="0" w:afterAutospacing="0" w:line="400" w:lineRule="exact"/>
              <w:ind w:left="0" w:right="0" w:firstLine="420"/>
              <w:jc w:val="left"/>
              <w:rPr>
                <w:rFonts w:hint="eastAsia" w:ascii="宋体" w:hAnsi="宋体" w:cs="Times New Roman"/>
                <w:color w:val="auto"/>
                <w:szCs w:val="21"/>
                <w:highlight w:val="none"/>
              </w:rPr>
            </w:pPr>
            <w:r>
              <w:rPr>
                <w:rFonts w:hint="eastAsia" w:ascii="宋体" w:hAnsi="宋体" w:cs="Times New Roman"/>
                <w:b/>
                <w:bCs/>
                <w:color w:val="auto"/>
                <w:szCs w:val="21"/>
                <w:highlight w:val="none"/>
              </w:rPr>
              <w:t>注：投标函、开标一览表必须由法定代表人或者委托代理人在规定签章处逐一签字并加盖投标人公章，否则按无效投标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rPr>
            </w:pPr>
            <w:bookmarkStart w:id="61" w:name="_13.2"/>
            <w:bookmarkEnd w:id="61"/>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Courier New"/>
                <w:b/>
                <w:color w:val="auto"/>
                <w:szCs w:val="21"/>
                <w:highlight w:val="none"/>
              </w:rPr>
            </w:pPr>
            <w:r>
              <w:rPr>
                <w:rFonts w:hint="eastAsia" w:ascii="宋体" w:hAnsi="宋体" w:cs="Courier New"/>
                <w:b/>
                <w:color w:val="auto"/>
                <w:szCs w:val="21"/>
                <w:highlight w:val="none"/>
              </w:rPr>
              <w:t>资格证明文件:</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b/>
                <w:color w:val="auto"/>
                <w:szCs w:val="21"/>
                <w:highlight w:val="none"/>
              </w:rPr>
            </w:pPr>
            <w:r>
              <w:rPr>
                <w:rFonts w:hint="eastAsia" w:ascii="宋体" w:hAnsi="宋体" w:cs="宋体"/>
                <w:color w:val="auto"/>
                <w:szCs w:val="21"/>
                <w:highlight w:val="none"/>
              </w:rPr>
              <w:t>1、供应商为法人或者其他组织的，</w:t>
            </w:r>
            <w:r>
              <w:rPr>
                <w:rFonts w:hint="eastAsia" w:ascii="宋体" w:hAnsi="宋体" w:cs="Times New Roman"/>
                <w:color w:val="auto"/>
                <w:szCs w:val="21"/>
                <w:highlight w:val="none"/>
              </w:rPr>
              <w:t>证明文件为其营业执照复印件（如营业执照或者事业单位法人证书或者执业许可证等）；供应商为自然人的，证明文件为其身份证复印件；</w:t>
            </w:r>
            <w:r>
              <w:rPr>
                <w:rFonts w:hint="eastAsia" w:ascii="宋体" w:hAnsi="宋体" w:cs="Times New Roman"/>
                <w:b/>
                <w:color w:val="auto"/>
                <w:szCs w:val="21"/>
                <w:highlight w:val="none"/>
              </w:rPr>
              <w:t>（必须提供，否则投标文件按无效响应处理</w:t>
            </w:r>
            <w:r>
              <w:rPr>
                <w:rFonts w:hint="default" w:ascii="宋体" w:hAnsi="宋体" w:cs="Times New Roman"/>
                <w:b/>
                <w:color w:val="auto"/>
                <w:szCs w:val="21"/>
                <w:highlight w:val="none"/>
              </w:rPr>
              <w:t>）</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2、投标人依法缴纳税收的相关材料（近6个月内任意一个月的依法缴纳税收的凭据复印件；依法免税的供应商，必须提供相应文件证明其依法免税。刚成立企业提供依法缴纳税收承诺书；如依法免税的，应提供的相应文件证明其依法免税。）；</w:t>
            </w:r>
            <w:r>
              <w:rPr>
                <w:rFonts w:hint="eastAsia" w:ascii="宋体" w:hAnsi="宋体" w:cs="宋体"/>
                <w:b/>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3、投标人依法缴纳社会保障资金的相关材料[近6个月内任意一个月的依法缴纳社会保障资金的缴费凭证（专用收据或者社会保险缴纳清单）复印件；刚成立企业提供依法缴纳社会保障资金承诺函；如依法不需要缴纳社会保障资金的，应提供的相应文件证明其依法不需要缴纳社会保障资金。]；</w:t>
            </w:r>
            <w:r>
              <w:rPr>
                <w:rFonts w:hint="eastAsia" w:ascii="宋体" w:hAnsi="宋体" w:cs="宋体"/>
                <w:b/>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4、投标人财务状况报告（202</w:t>
            </w:r>
            <w:r>
              <w:rPr>
                <w:rFonts w:hint="default" w:ascii="宋体" w:hAnsi="宋体" w:cs="宋体"/>
                <w:color w:val="auto"/>
                <w:szCs w:val="21"/>
                <w:highlight w:val="none"/>
              </w:rPr>
              <w:t>2</w:t>
            </w:r>
            <w:r>
              <w:rPr>
                <w:rFonts w:hint="eastAsia" w:ascii="宋体" w:hAnsi="宋体" w:cs="宋体"/>
                <w:color w:val="auto"/>
                <w:szCs w:val="21"/>
                <w:highlight w:val="none"/>
              </w:rPr>
              <w:t>年度财务报表复印件或者银行出具的资信证明；投标人属于成立</w:t>
            </w:r>
            <w:r>
              <w:rPr>
                <w:rFonts w:hint="default" w:ascii="宋体" w:hAnsi="宋体" w:cs="宋体"/>
                <w:color w:val="auto"/>
                <w:szCs w:val="21"/>
                <w:highlight w:val="none"/>
              </w:rPr>
              <w:t>时间</w:t>
            </w:r>
            <w:r>
              <w:rPr>
                <w:rFonts w:hint="eastAsia" w:ascii="宋体" w:hAnsi="宋体" w:cs="宋体"/>
                <w:color w:val="auto"/>
                <w:szCs w:val="21"/>
                <w:highlight w:val="none"/>
              </w:rPr>
              <w:t>在规定年度之后</w:t>
            </w:r>
            <w:r>
              <w:rPr>
                <w:rFonts w:hint="default" w:ascii="宋体" w:hAnsi="宋体" w:cs="宋体"/>
                <w:color w:val="auto"/>
                <w:szCs w:val="21"/>
                <w:highlight w:val="none"/>
              </w:rPr>
              <w:t>的</w:t>
            </w:r>
            <w:r>
              <w:rPr>
                <w:rFonts w:hint="eastAsia" w:ascii="宋体" w:hAnsi="宋体" w:cs="宋体"/>
                <w:color w:val="auto"/>
                <w:szCs w:val="21"/>
                <w:highlight w:val="none"/>
              </w:rPr>
              <w:t>法人或其他组织</w:t>
            </w:r>
            <w:r>
              <w:rPr>
                <w:rFonts w:hint="default" w:ascii="宋体" w:hAnsi="宋体" w:cs="宋体"/>
                <w:color w:val="auto"/>
                <w:szCs w:val="21"/>
                <w:highlight w:val="none"/>
              </w:rPr>
              <w:t>，需提供成立</w:t>
            </w:r>
            <w:r>
              <w:rPr>
                <w:rFonts w:hint="eastAsia" w:ascii="宋体" w:hAnsi="宋体" w:cs="宋体"/>
                <w:color w:val="auto"/>
                <w:szCs w:val="21"/>
                <w:highlight w:val="none"/>
              </w:rPr>
              <w:t>之日起至投标截止时间前</w:t>
            </w:r>
            <w:r>
              <w:rPr>
                <w:rFonts w:hint="default" w:ascii="宋体" w:hAnsi="宋体" w:cs="宋体"/>
                <w:color w:val="auto"/>
                <w:szCs w:val="21"/>
                <w:highlight w:val="none"/>
              </w:rPr>
              <w:t>的月报表</w:t>
            </w:r>
            <w:r>
              <w:rPr>
                <w:rFonts w:hint="eastAsia" w:ascii="宋体" w:hAnsi="宋体" w:cs="宋体"/>
                <w:color w:val="auto"/>
                <w:szCs w:val="21"/>
                <w:highlight w:val="none"/>
              </w:rPr>
              <w:t>或银行出具的资信证明；资信证明应在有效期内，未注明有效期的，银行出具时间至投标截止时间不超过一年）；</w:t>
            </w:r>
            <w:r>
              <w:rPr>
                <w:rFonts w:hint="eastAsia" w:ascii="宋体" w:hAnsi="宋体" w:cs="宋体"/>
                <w:b/>
                <w:color w:val="auto"/>
                <w:szCs w:val="21"/>
                <w:highlight w:val="none"/>
              </w:rPr>
              <w:t>（除自然人外必须提供，否则按无效投标处理）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5、投标人直接控股、管理关系信息表（格式后附）；</w:t>
            </w:r>
            <w:r>
              <w:rPr>
                <w:rFonts w:hint="eastAsia" w:ascii="宋体" w:hAnsi="宋体" w:cs="宋体"/>
                <w:b/>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color w:val="auto"/>
                <w:szCs w:val="21"/>
                <w:highlight w:val="none"/>
              </w:rPr>
            </w:pPr>
            <w:r>
              <w:rPr>
                <w:rFonts w:hint="eastAsia" w:ascii="宋体" w:hAnsi="宋体" w:cs="宋体"/>
                <w:color w:val="auto"/>
                <w:szCs w:val="21"/>
                <w:highlight w:val="none"/>
              </w:rPr>
              <w:t>8、</w:t>
            </w:r>
            <w:r>
              <w:rPr>
                <w:rFonts w:hint="eastAsia" w:ascii="宋体" w:hAnsi="宋体" w:cs="Times New Roman"/>
                <w:color w:val="auto"/>
                <w:szCs w:val="21"/>
                <w:highlight w:val="none"/>
              </w:rPr>
              <w:t>具备有效的劳务派遣经营许可证</w:t>
            </w:r>
            <w:r>
              <w:rPr>
                <w:rFonts w:hint="eastAsia" w:ascii="宋体" w:hAnsi="宋体" w:cs="宋体"/>
                <w:color w:val="auto"/>
                <w:szCs w:val="21"/>
                <w:highlight w:val="none"/>
              </w:rPr>
              <w:t>复印件；</w:t>
            </w:r>
            <w:r>
              <w:rPr>
                <w:rFonts w:hint="eastAsia" w:ascii="宋体" w:hAnsi="宋体" w:cs="宋体"/>
                <w:b/>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b/>
                <w:bCs/>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eastAsia="zh-CN"/>
              </w:rPr>
              <w:t>中小</w:t>
            </w:r>
            <w:r>
              <w:rPr>
                <w:rFonts w:hint="eastAsia" w:ascii="宋体" w:hAnsi="宋体" w:cs="宋体"/>
                <w:color w:val="auto"/>
                <w:szCs w:val="21"/>
                <w:highlight w:val="none"/>
              </w:rPr>
              <w:t>企业声明函或残疾人福利性单位声明函或监狱企业证明文件。</w:t>
            </w:r>
            <w:r>
              <w:rPr>
                <w:rFonts w:hint="eastAsia" w:ascii="宋体" w:hAnsi="宋体" w:cs="宋体"/>
                <w:b/>
                <w:bCs/>
                <w:color w:val="auto"/>
                <w:szCs w:val="21"/>
                <w:highlight w:val="none"/>
              </w:rPr>
              <w:t>（必须提供，否则按无效投标处理）</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w:t>
            </w:r>
            <w:r>
              <w:rPr>
                <w:rFonts w:hint="eastAsia" w:ascii="宋体" w:hAnsi="宋体" w:cs="宋体"/>
                <w:color w:val="auto"/>
                <w:szCs w:val="21"/>
                <w:highlight w:val="none"/>
              </w:rPr>
              <w:t>除招标文件规定必须提供以外，投标人认为需要提供的其他证明材料。</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b/>
                <w:bCs/>
                <w:color w:val="auto"/>
                <w:szCs w:val="21"/>
                <w:highlight w:val="none"/>
              </w:rPr>
            </w:pPr>
            <w:r>
              <w:rPr>
                <w:rFonts w:hint="eastAsia" w:ascii="宋体" w:hAnsi="宋体" w:cs="Times New Roman"/>
                <w:b/>
                <w:bCs/>
                <w:color w:val="auto"/>
                <w:szCs w:val="21"/>
                <w:highlight w:val="none"/>
              </w:rPr>
              <w:t>注：</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Courier New"/>
                <w:b/>
                <w:color w:val="auto"/>
                <w:szCs w:val="21"/>
                <w:highlight w:val="none"/>
              </w:rPr>
            </w:pPr>
            <w:r>
              <w:rPr>
                <w:rFonts w:hint="eastAsia" w:ascii="宋体" w:hAnsi="宋体" w:cs="Times New Roman"/>
                <w:b/>
                <w:bCs/>
                <w:color w:val="auto"/>
                <w:szCs w:val="21"/>
                <w:highlight w:val="none"/>
              </w:rPr>
              <w:t>1、以上标明“必须提供”的材料属于复印件的，必须加盖投标人公章，否则按无效投标</w:t>
            </w:r>
            <w:r>
              <w:rPr>
                <w:rFonts w:hint="eastAsia" w:ascii="宋体" w:hAnsi="宋体" w:cs="Courier New"/>
                <w:b/>
                <w:color w:val="auto"/>
                <w:szCs w:val="21"/>
                <w:highlight w:val="none"/>
              </w:rPr>
              <w:t>处理。</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b/>
                <w:bCs/>
                <w:color w:val="auto"/>
                <w:szCs w:val="21"/>
                <w:highlight w:val="none"/>
              </w:rPr>
            </w:pPr>
            <w:r>
              <w:rPr>
                <w:rFonts w:hint="eastAsia" w:ascii="宋体" w:hAnsi="宋体" w:cs="Courier New"/>
                <w:b/>
                <w:color w:val="auto"/>
                <w:szCs w:val="21"/>
                <w:highlight w:val="none"/>
              </w:rPr>
              <w:t>2、</w:t>
            </w:r>
            <w:r>
              <w:rPr>
                <w:rFonts w:hint="eastAsia" w:ascii="宋体" w:hAnsi="宋体" w:cs="Times New Roman"/>
                <w:b/>
                <w:bCs/>
                <w:color w:val="auto"/>
                <w:szCs w:val="21"/>
                <w:highlight w:val="none"/>
              </w:rPr>
              <w:t>投标声明必须由法定代表人在规定签章处签字并加盖投标人公章，否则按无效投标处理。</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b/>
                <w:bCs/>
                <w:color w:val="auto"/>
                <w:szCs w:val="21"/>
                <w:highlight w:val="none"/>
              </w:rPr>
            </w:pPr>
            <w:r>
              <w:rPr>
                <w:rFonts w:hint="eastAsia" w:ascii="宋体" w:hAnsi="宋体" w:cs="Times New Roman"/>
                <w:b/>
                <w:bCs/>
                <w:color w:val="auto"/>
                <w:szCs w:val="21"/>
                <w:highlight w:val="none"/>
              </w:rPr>
              <w:t>3、投标人直接控股、管理关系信息表必须由法定代表人或者委托代理人在规定签章处签字并加盖投标人公章，否则按无效投标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b/>
                <w:bCs/>
                <w:color w:val="auto"/>
                <w:szCs w:val="21"/>
                <w:highlight w:val="none"/>
              </w:rPr>
            </w:pPr>
            <w:r>
              <w:rPr>
                <w:rFonts w:hint="eastAsia" w:ascii="宋体" w:hAnsi="宋体" w:cs="Times New Roman"/>
                <w:b/>
                <w:bCs/>
                <w:color w:val="auto"/>
                <w:szCs w:val="21"/>
                <w:highlight w:val="none"/>
              </w:rPr>
              <w:t>4、联合体投标时，第1-5项资格证明文件联合体各方均必须分别提供，联合体各方分别盖章和签字，否则按无效投标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b/>
                <w:bCs/>
                <w:color w:val="auto"/>
                <w:szCs w:val="21"/>
                <w:highlight w:val="none"/>
              </w:rPr>
            </w:pPr>
            <w:r>
              <w:rPr>
                <w:rFonts w:hint="eastAsia" w:ascii="宋体" w:hAnsi="宋体" w:cs="Times New Roman"/>
                <w:b/>
                <w:bCs/>
                <w:color w:val="auto"/>
                <w:szCs w:val="21"/>
                <w:highlight w:val="none"/>
              </w:rPr>
              <w:t>5、分公司参加投标的，应当取得总公司授权，否则按无效投标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rPr>
            </w:pPr>
            <w:bookmarkStart w:id="62" w:name="_13.3"/>
            <w:bookmarkEnd w:id="62"/>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Courier New"/>
                <w:b/>
                <w:color w:val="auto"/>
                <w:szCs w:val="21"/>
                <w:highlight w:val="none"/>
              </w:rPr>
            </w:pPr>
            <w:r>
              <w:rPr>
                <w:rFonts w:hint="eastAsia" w:ascii="宋体" w:hAnsi="宋体" w:cs="Courier New"/>
                <w:b/>
                <w:color w:val="auto"/>
                <w:szCs w:val="21"/>
                <w:highlight w:val="none"/>
              </w:rPr>
              <w:t>商务文件：</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1、无串通投标行为的承诺函（格式后附）；（</w:t>
            </w:r>
            <w:r>
              <w:rPr>
                <w:rFonts w:hint="eastAsia" w:ascii="宋体" w:hAnsi="宋体" w:cs="Times New Roman"/>
                <w:b/>
                <w:color w:val="auto"/>
                <w:szCs w:val="21"/>
                <w:highlight w:val="none"/>
              </w:rPr>
              <w:t>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2、投标保证金提交凭证；（</w:t>
            </w:r>
            <w:r>
              <w:rPr>
                <w:rFonts w:hint="eastAsia" w:ascii="Times New Roman" w:hAnsi="Times New Roman" w:cs="Times New Roman"/>
                <w:b/>
                <w:bCs/>
                <w:color w:val="auto"/>
                <w:highlight w:val="none"/>
              </w:rPr>
              <w:t>必须提供</w:t>
            </w:r>
            <w:r>
              <w:rPr>
                <w:rFonts w:hint="eastAsia" w:ascii="宋体" w:hAnsi="宋体" w:cs="Times New Roman"/>
                <w:b/>
                <w:color w:val="auto"/>
                <w:szCs w:val="21"/>
                <w:highlight w:val="none"/>
              </w:rPr>
              <w:t>，否则按无效投标处理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default" w:ascii="宋体" w:hAnsi="宋体" w:cs="Times New Roman"/>
                <w:color w:val="auto"/>
                <w:szCs w:val="21"/>
                <w:highlight w:val="none"/>
              </w:rPr>
            </w:pPr>
            <w:r>
              <w:rPr>
                <w:rFonts w:hint="eastAsia" w:ascii="宋体" w:hAnsi="宋体" w:cs="Times New Roman"/>
                <w:color w:val="auto"/>
                <w:szCs w:val="21"/>
                <w:highlight w:val="none"/>
              </w:rPr>
              <w:t>3、法定代表人身份证明及法定代表人有效身份证正反面复印件（格式后附）；（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cs="Times New Roman"/>
                <w:b/>
                <w:color w:val="auto"/>
                <w:szCs w:val="21"/>
                <w:highlight w:val="none"/>
              </w:rPr>
              <w:t>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default" w:ascii="宋体" w:hAnsi="宋体" w:cs="Times New Roman"/>
                <w:color w:val="auto"/>
                <w:szCs w:val="21"/>
                <w:highlight w:val="none"/>
              </w:rPr>
            </w:pPr>
            <w:r>
              <w:rPr>
                <w:rFonts w:hint="eastAsia" w:ascii="宋体" w:hAnsi="宋体" w:cs="Times New Roman"/>
                <w:color w:val="auto"/>
                <w:szCs w:val="21"/>
                <w:highlight w:val="none"/>
              </w:rPr>
              <w:t>4、授权委托书及委托代理人有效身份证正反面复印件（格式后附）；（</w:t>
            </w:r>
            <w:r>
              <w:rPr>
                <w:rFonts w:hint="eastAsia" w:ascii="宋体" w:hAnsi="宋体" w:cs="Times New Roman"/>
                <w:b/>
                <w:color w:val="auto"/>
                <w:szCs w:val="21"/>
                <w:highlight w:val="none"/>
              </w:rPr>
              <w:t>委托时必须提供，否则按无效投标处理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rPr>
              <w:t>5、商务要求偏离表（格式后附）；（</w:t>
            </w:r>
            <w:r>
              <w:rPr>
                <w:rFonts w:hint="eastAsia" w:ascii="宋体" w:hAnsi="宋体" w:cs="Times New Roman"/>
                <w:b/>
                <w:color w:val="auto"/>
                <w:szCs w:val="21"/>
                <w:highlight w:val="none"/>
              </w:rPr>
              <w:t>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default" w:ascii="宋体" w:hAnsi="宋体" w:cs="Times New Roman"/>
                <w:color w:val="auto"/>
                <w:szCs w:val="21"/>
                <w:highlight w:val="none"/>
              </w:rPr>
              <w:t>6</w:t>
            </w:r>
            <w:r>
              <w:rPr>
                <w:rFonts w:hint="eastAsia" w:ascii="宋体" w:hAnsi="宋体" w:cs="Times New Roman"/>
                <w:color w:val="auto"/>
                <w:szCs w:val="21"/>
                <w:highlight w:val="none"/>
              </w:rPr>
              <w:t>、售后服务承诺（格式自拟）；（</w:t>
            </w:r>
            <w:r>
              <w:rPr>
                <w:rFonts w:hint="eastAsia" w:ascii="宋体" w:hAnsi="宋体" w:cs="Times New Roman"/>
                <w:b/>
                <w:color w:val="auto"/>
                <w:szCs w:val="21"/>
                <w:highlight w:val="none"/>
              </w:rPr>
              <w:t>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default" w:ascii="宋体" w:hAnsi="宋体" w:cs="Times New Roman"/>
                <w:color w:val="auto"/>
                <w:szCs w:val="21"/>
                <w:highlight w:val="none"/>
              </w:rPr>
              <w:t>7</w:t>
            </w:r>
            <w:r>
              <w:rPr>
                <w:rFonts w:hint="eastAsia" w:ascii="宋体" w:hAnsi="宋体" w:cs="Times New Roman"/>
                <w:color w:val="auto"/>
                <w:szCs w:val="21"/>
                <w:highlight w:val="none"/>
              </w:rPr>
              <w:t>、投标人情况介绍（格式自拟）；</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default" w:ascii="宋体" w:hAnsi="宋体" w:cs="Times New Roman"/>
                <w:color w:val="auto"/>
                <w:szCs w:val="21"/>
                <w:highlight w:val="none"/>
              </w:rPr>
              <w:t>8</w:t>
            </w:r>
            <w:r>
              <w:rPr>
                <w:rFonts w:hint="eastAsia" w:ascii="宋体" w:hAnsi="宋体" w:cs="Times New Roman"/>
                <w:color w:val="auto"/>
                <w:szCs w:val="21"/>
                <w:highlight w:val="none"/>
              </w:rPr>
              <w:t>、联合体协议书（格式后附）；（</w:t>
            </w:r>
            <w:r>
              <w:rPr>
                <w:rFonts w:hint="eastAsia" w:ascii="宋体" w:hAnsi="宋体" w:cs="Times New Roman"/>
                <w:b/>
                <w:color w:val="auto"/>
                <w:szCs w:val="21"/>
                <w:highlight w:val="none"/>
              </w:rPr>
              <w:t>联合体投标时必须提供，否则按无效投标处理</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b/>
                <w:bCs/>
                <w:color w:val="auto"/>
                <w:szCs w:val="21"/>
                <w:highlight w:val="none"/>
              </w:rPr>
            </w:pPr>
            <w:r>
              <w:rPr>
                <w:rFonts w:hint="default" w:ascii="宋体" w:hAnsi="宋体" w:cs="Times New Roman"/>
                <w:color w:val="auto"/>
                <w:szCs w:val="21"/>
                <w:highlight w:val="none"/>
              </w:rPr>
              <w:t>9</w:t>
            </w:r>
            <w:r>
              <w:rPr>
                <w:rFonts w:hint="eastAsia" w:ascii="宋体" w:hAnsi="宋体" w:cs="Times New Roman"/>
                <w:color w:val="auto"/>
                <w:szCs w:val="21"/>
                <w:highlight w:val="none"/>
              </w:rPr>
              <w:t>、除招标文件规定必须提供以外，投标人认为需要提供的其他证明材料（格式自拟）。（投标人根据“第二章 采购需求”及“第四章 评标方法及评标标准”提供有关证明材料）。</w:t>
            </w:r>
          </w:p>
          <w:p>
            <w:pPr>
              <w:keepNext w:val="0"/>
              <w:keepLines w:val="0"/>
              <w:suppressLineNumbers w:val="0"/>
              <w:snapToGrid w:val="0"/>
              <w:spacing w:before="0" w:beforeAutospacing="0" w:after="0" w:afterAutospacing="0" w:line="400" w:lineRule="exact"/>
              <w:ind w:left="0" w:right="0" w:firstLine="422" w:firstLineChars="200"/>
              <w:jc w:val="left"/>
              <w:rPr>
                <w:rFonts w:hint="eastAsia" w:ascii="宋体" w:hAnsi="宋体" w:cs="Times New Roman"/>
                <w:color w:val="auto"/>
                <w:szCs w:val="21"/>
                <w:highlight w:val="none"/>
              </w:rPr>
            </w:pPr>
            <w:r>
              <w:rPr>
                <w:rFonts w:hint="eastAsia" w:ascii="宋体" w:hAnsi="宋体" w:cs="Times New Roman"/>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rPr>
            </w:pPr>
            <w:bookmarkStart w:id="63" w:name="_13.4"/>
            <w:bookmarkEnd w:id="63"/>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Courier New"/>
                <w:b/>
                <w:color w:val="auto"/>
                <w:szCs w:val="21"/>
                <w:highlight w:val="none"/>
              </w:rPr>
            </w:pPr>
            <w:r>
              <w:rPr>
                <w:rFonts w:hint="eastAsia" w:ascii="宋体" w:hAnsi="宋体" w:cs="Courier New"/>
                <w:b/>
                <w:color w:val="auto"/>
                <w:szCs w:val="21"/>
                <w:highlight w:val="none"/>
              </w:rPr>
              <w:t>技术文件：</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default" w:ascii="宋体" w:hAnsi="宋体" w:cs="Times New Roman"/>
                <w:color w:val="auto"/>
                <w:szCs w:val="21"/>
                <w:highlight w:val="none"/>
              </w:rPr>
              <w:t>1</w:t>
            </w:r>
            <w:r>
              <w:rPr>
                <w:rFonts w:hint="eastAsia" w:ascii="宋体" w:hAnsi="宋体" w:cs="Times New Roman"/>
                <w:color w:val="auto"/>
                <w:szCs w:val="21"/>
                <w:highlight w:val="none"/>
              </w:rPr>
              <w:t>、技术要求偏离表（格式后附）；</w:t>
            </w:r>
            <w:r>
              <w:rPr>
                <w:rFonts w:hint="eastAsia" w:ascii="宋体" w:hAnsi="宋体" w:cs="Times New Roman"/>
                <w:b/>
                <w:bCs/>
                <w:color w:val="auto"/>
                <w:szCs w:val="21"/>
                <w:highlight w:val="none"/>
              </w:rPr>
              <w:t>（必须提供，否则按无效投标处理）</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default" w:ascii="宋体" w:hAnsi="宋体" w:cs="Times New Roman"/>
                <w:color w:val="auto"/>
                <w:szCs w:val="21"/>
                <w:highlight w:val="none"/>
              </w:rPr>
              <w:t>2</w:t>
            </w:r>
            <w:r>
              <w:rPr>
                <w:rFonts w:hint="eastAsia" w:ascii="宋体" w:hAnsi="宋体" w:cs="Times New Roman"/>
                <w:color w:val="auto"/>
                <w:szCs w:val="21"/>
                <w:highlight w:val="none"/>
              </w:rPr>
              <w:t>、</w:t>
            </w:r>
            <w:r>
              <w:rPr>
                <w:rFonts w:hint="eastAsia" w:ascii="宋体" w:hAnsi="宋体" w:cs="Times New Roman"/>
                <w:color w:val="auto"/>
                <w:szCs w:val="21"/>
                <w:highlight w:val="none"/>
                <w:lang w:eastAsia="zh-CN"/>
              </w:rPr>
              <w:t>劳务</w:t>
            </w:r>
            <w:r>
              <w:rPr>
                <w:rFonts w:hint="eastAsia" w:ascii="宋体" w:hAnsi="宋体" w:cs="Times New Roman"/>
                <w:color w:val="auto"/>
                <w:szCs w:val="21"/>
                <w:highlight w:val="none"/>
              </w:rPr>
              <w:t>服务方案（格式自拟）；</w:t>
            </w:r>
          </w:p>
          <w:p>
            <w:pPr>
              <w:keepNext w:val="0"/>
              <w:keepLines w:val="0"/>
              <w:suppressLineNumbers w:val="0"/>
              <w:snapToGrid w:val="0"/>
              <w:spacing w:before="0" w:beforeAutospacing="0" w:after="0" w:afterAutospacing="0" w:line="400" w:lineRule="exact"/>
              <w:ind w:left="0" w:right="0"/>
              <w:jc w:val="left"/>
              <w:rPr>
                <w:rFonts w:hint="eastAsia" w:ascii="宋体" w:hAnsi="宋体" w:eastAsia="宋体" w:cs="Times New Roman"/>
                <w:color w:val="auto"/>
                <w:szCs w:val="21"/>
                <w:highlight w:val="none"/>
                <w:lang w:eastAsia="zh-CN"/>
              </w:rPr>
            </w:pPr>
            <w:r>
              <w:rPr>
                <w:rFonts w:hint="default" w:ascii="宋体" w:hAnsi="宋体" w:cs="Times New Roman"/>
                <w:color w:val="auto"/>
                <w:szCs w:val="21"/>
                <w:highlight w:val="none"/>
              </w:rPr>
              <w:t>3</w:t>
            </w:r>
            <w:r>
              <w:rPr>
                <w:rFonts w:hint="eastAsia" w:ascii="宋体" w:hAnsi="宋体" w:cs="Times New Roman"/>
                <w:color w:val="auto"/>
                <w:szCs w:val="21"/>
                <w:highlight w:val="none"/>
              </w:rPr>
              <w:t>、</w:t>
            </w:r>
            <w:r>
              <w:rPr>
                <w:rFonts w:hint="eastAsia" w:ascii="宋体" w:hAnsi="宋体" w:cs="Courier New"/>
                <w:bCs/>
                <w:color w:val="auto"/>
                <w:szCs w:val="21"/>
                <w:highlight w:val="none"/>
              </w:rPr>
              <w:t>劳务实施管理方案</w:t>
            </w:r>
            <w:r>
              <w:rPr>
                <w:rFonts w:hint="eastAsia" w:ascii="宋体" w:hAnsi="宋体" w:cs="Times New Roman"/>
                <w:color w:val="auto"/>
                <w:szCs w:val="21"/>
                <w:highlight w:val="none"/>
              </w:rPr>
              <w:t>（格式自拟）</w:t>
            </w:r>
            <w:r>
              <w:rPr>
                <w:rFonts w:hint="eastAsia" w:ascii="宋体" w:hAnsi="宋体" w:cs="Times New Roman"/>
                <w:color w:val="auto"/>
                <w:szCs w:val="21"/>
                <w:highlight w:val="none"/>
                <w:lang w:eastAsia="zh-CN"/>
              </w:rPr>
              <w:t>；</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项目实施人员一览表（格式后附）；</w:t>
            </w:r>
            <w:r>
              <w:rPr>
                <w:rFonts w:hint="eastAsia" w:ascii="宋体" w:hAnsi="宋体" w:cs="Times New Roman"/>
                <w:b/>
                <w:bCs/>
                <w:color w:val="auto"/>
                <w:szCs w:val="21"/>
                <w:highlight w:val="none"/>
              </w:rPr>
              <w:t>（必须提供）</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、投标人对本项目的合理化建议和改进措施（格式自拟）；</w:t>
            </w:r>
          </w:p>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、除招标文件规定必须提供以外，投标人需要说明的其他文件和说明（格式自拟）。</w:t>
            </w:r>
          </w:p>
          <w:p>
            <w:pPr>
              <w:keepNext w:val="0"/>
              <w:keepLines w:val="0"/>
              <w:suppressLineNumbers w:val="0"/>
              <w:snapToGrid w:val="0"/>
              <w:spacing w:before="0" w:beforeAutospacing="0" w:after="0" w:afterAutospacing="0" w:line="400" w:lineRule="exact"/>
              <w:ind w:left="0" w:right="0" w:firstLine="316" w:firstLineChars="150"/>
              <w:jc w:val="left"/>
              <w:rPr>
                <w:rFonts w:hint="eastAsia" w:ascii="宋体" w:hAnsi="宋体" w:cs="Times New Roman"/>
                <w:b/>
                <w:bCs/>
                <w:color w:val="auto"/>
                <w:szCs w:val="21"/>
                <w:highlight w:val="none"/>
              </w:rPr>
            </w:pPr>
            <w:r>
              <w:rPr>
                <w:rFonts w:hint="eastAsia" w:ascii="宋体" w:hAnsi="宋体" w:cs="Times New Roman"/>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64" w:name="_13.5"/>
            <w:bookmarkEnd w:id="64"/>
            <w:bookmarkStart w:id="65" w:name="_16.2"/>
            <w:bookmarkEnd w:id="65"/>
            <w:r>
              <w:rPr>
                <w:rFonts w:hint="eastAsia" w:ascii="宋体" w:hAnsi="宋体" w:cs="Times New Roman"/>
                <w:color w:val="auto"/>
                <w:szCs w:val="21"/>
                <w:highlight w:val="none"/>
              </w:rPr>
              <w:t>16</w:t>
            </w:r>
            <w:bookmarkStart w:id="66" w:name="_Hlt19693759"/>
            <w:bookmarkStart w:id="67" w:name="_Hlt19693758"/>
            <w:bookmarkStart w:id="68" w:name="_Hlt19194067"/>
            <w:bookmarkStart w:id="69" w:name="_Hlt19194066"/>
            <w:r>
              <w:rPr>
                <w:rFonts w:hint="eastAsia" w:ascii="宋体" w:hAnsi="宋体" w:cs="Times New Roman"/>
                <w:color w:val="auto"/>
                <w:szCs w:val="21"/>
                <w:highlight w:val="none"/>
              </w:rPr>
              <w:t>.</w:t>
            </w:r>
            <w:bookmarkEnd w:id="66"/>
            <w:bookmarkEnd w:id="67"/>
            <w:bookmarkEnd w:id="68"/>
            <w:bookmarkEnd w:id="69"/>
            <w:r>
              <w:rPr>
                <w:rFonts w:hint="eastAsia" w:ascii="宋体" w:hAnsi="宋体" w:cs="Times New Roman"/>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宋体" w:hAnsi="宋体" w:cs="Times New Roman"/>
                <w:b/>
                <w:color w:val="auto"/>
                <w:szCs w:val="21"/>
                <w:highlight w:val="none"/>
              </w:rPr>
            </w:pPr>
            <w:r>
              <w:rPr>
                <w:rFonts w:hint="eastAsia" w:ascii="宋体" w:hAnsi="宋体" w:cs="Times New Roman"/>
                <w:color w:val="auto"/>
                <w:szCs w:val="21"/>
                <w:highlight w:val="none"/>
              </w:rPr>
              <w:t>投标报价是履行合同的最终价格，即满足全部采购需求所应提供的服务的价格；包括投标服务的成本、运输（含保险）（如有）、技术服务、培训、税费等所有费用。（采购需求另有约定的，从其约定。）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0" w:name="_17.1"/>
            <w:bookmarkEnd w:id="70"/>
            <w:r>
              <w:rPr>
                <w:rFonts w:hint="eastAsia" w:ascii="宋体" w:hAnsi="宋体" w:cs="Times New Roman"/>
                <w:color w:val="auto"/>
                <w:szCs w:val="21"/>
                <w:highlight w:val="none"/>
              </w:rPr>
              <w:t>17.</w:t>
            </w:r>
            <w:r>
              <w:rPr>
                <w:rFonts w:hint="default" w:ascii="宋体" w:hAnsi="宋体" w:cs="Times New Roman"/>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投标有效期：投标截止之日起60天内。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1" w:name="_18"/>
            <w:bookmarkEnd w:id="71"/>
            <w:r>
              <w:rPr>
                <w:rFonts w:hint="eastAsia" w:ascii="宋体" w:hAnsi="宋体" w:cs="Times New Roman"/>
                <w:color w:val="auto"/>
                <w:szCs w:val="21"/>
                <w:highlight w:val="none"/>
              </w:rPr>
              <w:t>18</w:t>
            </w:r>
            <w:r>
              <w:rPr>
                <w:rFonts w:hint="default" w:ascii="宋体" w:hAnsi="宋体" w:cs="Times New Roman"/>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default" w:ascii="宋体" w:hAnsi="宋体" w:cs="Times New Roman"/>
                <w:color w:val="auto"/>
                <w:szCs w:val="21"/>
                <w:highlight w:val="none"/>
              </w:rPr>
              <w:fldChar w:fldCharType="begin"/>
            </w:r>
            <w:r>
              <w:rPr>
                <w:rFonts w:hint="default" w:ascii="宋体" w:hAnsi="宋体" w:cs="Times New Roman"/>
                <w:color w:val="auto"/>
                <w:szCs w:val="21"/>
                <w:highlight w:val="none"/>
              </w:rPr>
              <w:instrText xml:space="preserve"> </w:instrText>
            </w:r>
            <w:r>
              <w:rPr>
                <w:rFonts w:hint="eastAsia" w:ascii="宋体" w:hAnsi="宋体" w:cs="Times New Roman"/>
                <w:color w:val="auto"/>
                <w:szCs w:val="21"/>
                <w:highlight w:val="none"/>
              </w:rPr>
              <w:instrText xml:space="preserve">eq \o\ac(□,</w:instrText>
            </w:r>
            <w:r>
              <w:rPr>
                <w:rFonts w:hint="eastAsia" w:ascii="宋体" w:hAnsi="宋体" w:cs="Times New Roman"/>
                <w:color w:val="auto"/>
                <w:sz w:val="14"/>
                <w:szCs w:val="21"/>
                <w:highlight w:val="none"/>
              </w:rPr>
              <w:instrText xml:space="preserve">√</w:instrText>
            </w:r>
            <w:r>
              <w:rPr>
                <w:rFonts w:hint="eastAsia" w:ascii="宋体" w:hAnsi="宋体" w:cs="Times New Roman"/>
                <w:color w:val="auto"/>
                <w:szCs w:val="21"/>
                <w:highlight w:val="none"/>
              </w:rPr>
              <w:instrText xml:space="preserve">)</w:instrText>
            </w:r>
            <w:r>
              <w:rPr>
                <w:rFonts w:hint="default" w:ascii="宋体" w:hAnsi="宋体" w:cs="Times New Roman"/>
                <w:color w:val="auto"/>
                <w:szCs w:val="21"/>
                <w:highlight w:val="none"/>
              </w:rPr>
              <w:fldChar w:fldCharType="end"/>
            </w:r>
            <w:r>
              <w:rPr>
                <w:rFonts w:hint="eastAsia" w:ascii="宋体" w:hAnsi="宋体" w:cs="Times New Roman"/>
                <w:color w:val="auto"/>
                <w:szCs w:val="21"/>
                <w:highlight w:val="none"/>
              </w:rPr>
              <w:t>本项目收取投标保证金，具体规定如下：</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宋体"/>
                <w:color w:val="auto"/>
                <w:kern w:val="0"/>
                <w:szCs w:val="21"/>
                <w:highlight w:val="none"/>
              </w:rPr>
              <w:t>投标保证金人民币</w:t>
            </w:r>
            <w:r>
              <w:rPr>
                <w:rFonts w:hint="default"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5000</w:t>
            </w:r>
            <w:r>
              <w:rPr>
                <w:rFonts w:hint="default"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rPr>
              <w:t>.00</w:t>
            </w:r>
            <w:r>
              <w:rPr>
                <w:rFonts w:hint="eastAsia" w:ascii="宋体" w:hAnsi="宋体" w:cs="宋体"/>
                <w:color w:val="auto"/>
                <w:kern w:val="0"/>
                <w:szCs w:val="21"/>
                <w:highlight w:val="none"/>
              </w:rPr>
              <w:t>元。</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宋体"/>
                <w:color w:val="auto"/>
                <w:kern w:val="0"/>
                <w:szCs w:val="21"/>
                <w:highlight w:val="none"/>
              </w:rPr>
              <w:t>投标保证金的交纳方式：银行转账、支票、汇票、本票或者金融、担保机构出具的保函，禁止采用现钞方式。采用银行转账方式的，在投标截止时间前交至指定账户并且到账（开户银行：</w:t>
            </w:r>
            <w:r>
              <w:rPr>
                <w:rFonts w:hint="eastAsia" w:ascii="宋体" w:hAnsi="宋体" w:cs="宋体"/>
                <w:color w:val="auto"/>
                <w:kern w:val="0"/>
                <w:szCs w:val="21"/>
                <w:highlight w:val="none"/>
                <w:u w:val="single"/>
              </w:rPr>
              <w:t xml:space="preserve"> 广西北部湾银行股份有限公司南宁分行</w:t>
            </w:r>
            <w:r>
              <w:rPr>
                <w:rFonts w:hint="eastAsia" w:ascii="宋体" w:hAnsi="宋体" w:cs="宋体"/>
                <w:color w:val="auto"/>
                <w:kern w:val="0"/>
                <w:szCs w:val="21"/>
                <w:highlight w:val="none"/>
              </w:rPr>
              <w:t>，开户名称：</w:t>
            </w:r>
            <w:r>
              <w:rPr>
                <w:rFonts w:hint="eastAsia" w:ascii="宋体" w:hAnsi="宋体" w:cs="宋体"/>
                <w:color w:val="auto"/>
                <w:kern w:val="0"/>
                <w:szCs w:val="21"/>
                <w:highlight w:val="none"/>
                <w:u w:val="single"/>
              </w:rPr>
              <w:t xml:space="preserve"> 广西国泰招标咨询有限公司</w:t>
            </w:r>
            <w:r>
              <w:rPr>
                <w:rFonts w:hint="eastAsia" w:ascii="宋体" w:hAnsi="宋体" w:cs="宋体"/>
                <w:color w:val="auto"/>
                <w:kern w:val="0"/>
                <w:szCs w:val="21"/>
                <w:highlight w:val="none"/>
              </w:rPr>
              <w:t>，银行账号：</w:t>
            </w:r>
            <w:r>
              <w:rPr>
                <w:rFonts w:hint="eastAsia" w:ascii="宋体" w:hAnsi="宋体" w:cs="宋体"/>
                <w:color w:val="auto"/>
                <w:kern w:val="0"/>
                <w:szCs w:val="21"/>
                <w:highlight w:val="none"/>
                <w:u w:val="single"/>
              </w:rPr>
              <w:t xml:space="preserve"> 0101012090615711</w:t>
            </w:r>
            <w:r>
              <w:rPr>
                <w:rFonts w:hint="eastAsia" w:ascii="宋体" w:hAnsi="宋体" w:cs="宋体"/>
                <w:color w:val="auto"/>
                <w:kern w:val="0"/>
                <w:szCs w:val="21"/>
                <w:highlight w:val="none"/>
              </w:rPr>
              <w:t>）；采用支票、汇票、本票或者保函等方式的，在投标截止时间前，投标人必须递交支票、汇票、本票或者保函原件。否则视为无效投标保证金。</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相关要求：</w:t>
            </w:r>
          </w:p>
          <w:p>
            <w:pPr>
              <w:pStyle w:val="16"/>
              <w:keepNext w:val="0"/>
              <w:keepLines w:val="0"/>
              <w:suppressLineNumbers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1、投标保证金采用银行转账交纳方式的，在投标截止时间前交至指定账户并且到账，投标人应将银行转账底单的复印件作为投标保证金提交凭证，</w:t>
            </w:r>
            <w:r>
              <w:rPr>
                <w:rFonts w:hint="default" w:ascii="宋体" w:hAnsi="宋体" w:cs="Times New Roman"/>
                <w:color w:val="auto"/>
                <w:szCs w:val="21"/>
                <w:highlight w:val="none"/>
              </w:rPr>
              <w:t>放置于</w:t>
            </w:r>
            <w:r>
              <w:rPr>
                <w:rFonts w:hint="eastAsia" w:ascii="宋体" w:hAnsi="宋体" w:cs="Times New Roman"/>
                <w:color w:val="auto"/>
                <w:szCs w:val="21"/>
                <w:highlight w:val="none"/>
              </w:rPr>
              <w:t>商务文件</w:t>
            </w:r>
            <w:r>
              <w:rPr>
                <w:rFonts w:hint="default" w:ascii="宋体" w:hAnsi="宋体" w:cs="Times New Roman"/>
                <w:color w:val="auto"/>
                <w:szCs w:val="21"/>
                <w:highlight w:val="none"/>
              </w:rPr>
              <w:t>中</w:t>
            </w:r>
            <w:r>
              <w:rPr>
                <w:rFonts w:hint="eastAsia" w:ascii="宋体" w:hAnsi="宋体" w:cs="Times New Roman"/>
                <w:color w:val="auto"/>
                <w:szCs w:val="21"/>
                <w:highlight w:val="none"/>
              </w:rPr>
              <w:t>，</w:t>
            </w:r>
            <w:r>
              <w:rPr>
                <w:rFonts w:hint="eastAsia" w:ascii="宋体" w:hAnsi="宋体" w:cs="Times New Roman"/>
                <w:b/>
                <w:color w:val="auto"/>
                <w:szCs w:val="21"/>
                <w:highlight w:val="none"/>
              </w:rPr>
              <w:t>否则投标无效</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2、投标保证金采用支票、汇票、本票或者金融、担保机构出具的保函交纳方式的，投标人应将支票、汇票、本票或者金融、担保机构出具的保函的复印件作为投标保证金提交凭证，放置于商务文件中，</w:t>
            </w:r>
            <w:r>
              <w:rPr>
                <w:rFonts w:hint="eastAsia" w:ascii="宋体" w:hAnsi="宋体" w:cs="Times New Roman"/>
                <w:b/>
                <w:color w:val="auto"/>
                <w:szCs w:val="21"/>
                <w:highlight w:val="none"/>
              </w:rPr>
              <w:t>否则投标无效</w:t>
            </w:r>
            <w:r>
              <w:rPr>
                <w:rFonts w:hint="eastAsia" w:ascii="宋体" w:hAnsi="宋体" w:cs="Times New Roman"/>
                <w:color w:val="auto"/>
                <w:szCs w:val="21"/>
                <w:highlight w:val="none"/>
              </w:rPr>
              <w:t>。</w:t>
            </w:r>
            <w:r>
              <w:rPr>
                <w:rFonts w:hint="eastAsia" w:ascii="宋体" w:hAnsi="宋体" w:cs="Times New Roman"/>
                <w:b/>
                <w:color w:val="auto"/>
                <w:szCs w:val="21"/>
                <w:highlight w:val="none"/>
              </w:rPr>
              <w:t>投标人必须在投标截止时间前将支票、汇票、本票或者金融、担保机构出具的保函原件提交给采购代理机构，由采购代理机构向投标人出具回执，并妥善保管。</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宋体"/>
                <w:color w:val="auto"/>
                <w:szCs w:val="21"/>
                <w:highlight w:val="none"/>
              </w:rPr>
              <w:t>3、投标人为联合体的，可以由联合体中的一方或者多方共同交纳投标保证金，其交纳的保证金对联合体各方均具有约束力。</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 xml:space="preserve">备注： </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1、投标保证金在投标截止时间后提交的，或者不按规定交纳方式交纳的，或者未足额交纳的（包含保函额度不足的），视为无效投标保证金。</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2、投标人采用现钞方式或者从个人账户（自然人投标除外）转出的投标保证金，视为无效投标保证金。</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3、支票、汇票或者本票出现无效或者背书情形的，视为无效投标保证金。</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4、保函有效期低于投标有效期的，视为无效投标保证金。</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b/>
                <w:color w:val="auto"/>
                <w:szCs w:val="21"/>
                <w:highlight w:val="none"/>
              </w:rPr>
              <w:t>5、采用金融、担保机构出具保函的，必须为无条件保函，否则视为无效投标保证金。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2" w:name="_19.2"/>
            <w:bookmarkEnd w:id="72"/>
            <w:r>
              <w:rPr>
                <w:rFonts w:hint="eastAsia" w:ascii="宋体" w:hAnsi="宋体" w:cs="Times New Roman"/>
                <w:color w:val="auto"/>
                <w:szCs w:val="21"/>
                <w:highlight w:val="none"/>
              </w:rPr>
              <w:t>19.2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Times New Roman" w:hAnsi="宋体" w:cs="Times New Roman"/>
                <w:color w:val="auto"/>
                <w:szCs w:val="21"/>
                <w:highlight w:val="none"/>
              </w:rPr>
              <w:t>投标文件应按报价文件、资格证明文件、商务文件、技术文件分别编制，</w:t>
            </w:r>
            <w:r>
              <w:rPr>
                <w:rFonts w:hint="eastAsia" w:ascii="宋体" w:hAnsi="宋体" w:cs="宋体"/>
                <w:color w:val="auto"/>
                <w:szCs w:val="21"/>
                <w:highlight w:val="none"/>
                <w:lang w:bidi="ar"/>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20.1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Times New Roman" w:hAnsi="宋体" w:cs="Times New Roman"/>
                <w:color w:val="auto"/>
                <w:szCs w:val="21"/>
                <w:highlight w:val="none"/>
              </w:rPr>
            </w:pPr>
            <w:r>
              <w:rPr>
                <w:rFonts w:hint="eastAsia" w:ascii="宋体" w:hAnsi="宋体" w:cs="Times New Roman"/>
                <w:color w:val="auto"/>
                <w:szCs w:val="21"/>
                <w:highlight w:val="none"/>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3" w:name="_21.1"/>
            <w:bookmarkEnd w:id="73"/>
            <w:r>
              <w:rPr>
                <w:rFonts w:hint="eastAsia" w:ascii="宋体" w:hAnsi="宋体" w:cs="Times New Roman"/>
                <w:color w:val="auto"/>
                <w:szCs w:val="21"/>
                <w:highlight w:val="none"/>
              </w:rPr>
              <w:t>21.1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u w:val="single"/>
              </w:rPr>
            </w:pPr>
            <w:r>
              <w:rPr>
                <w:rFonts w:hint="eastAsia" w:ascii="宋体" w:hAnsi="宋体" w:cs="Times New Roman"/>
                <w:color w:val="auto"/>
                <w:szCs w:val="21"/>
                <w:highlight w:val="none"/>
              </w:rPr>
              <w:t>1、投标截止时间：详见招标公告</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4" w:name="_23"/>
            <w:bookmarkEnd w:id="74"/>
            <w:r>
              <w:rPr>
                <w:rFonts w:hint="eastAsia" w:ascii="宋体" w:hAnsi="宋体" w:cs="Times New Roman"/>
                <w:color w:val="auto"/>
                <w:szCs w:val="21"/>
                <w:highlight w:val="none"/>
              </w:rPr>
              <w:t>23</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1、开标时间：详见招标公告</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bCs/>
                <w:color w:val="auto"/>
                <w:szCs w:val="21"/>
                <w:highlight w:val="none"/>
              </w:rPr>
              <w:t>24.2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bCs/>
                <w:color w:val="auto"/>
                <w:szCs w:val="21"/>
                <w:highlight w:val="none"/>
              </w:rPr>
              <w:t>“政采云”平台按开标时间自动提取所有投标文件。采购代理机构依托“政采云”平台向各投标人发出电子加密投标文件【开始解密】通知，由投标人进行投标文件解密。</w:t>
            </w:r>
            <w:r>
              <w:rPr>
                <w:rFonts w:hint="eastAsia" w:ascii="宋体" w:hAnsi="宋体" w:cs="Times New Roman"/>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cs="Times New Roman"/>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cs="Times New Roman"/>
                <w:b/>
                <w:bCs/>
                <w:color w:val="auto"/>
                <w:szCs w:val="21"/>
                <w:highlight w:val="none"/>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5" w:name="_25.3"/>
            <w:bookmarkEnd w:id="75"/>
            <w:r>
              <w:rPr>
                <w:rFonts w:hint="eastAsia" w:ascii="宋体" w:hAnsi="宋体" w:cs="Times New Roman"/>
                <w:color w:val="auto"/>
                <w:szCs w:val="21"/>
                <w:highlight w:val="none"/>
              </w:rPr>
              <w:t>25.3（3）</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采购人或者采购代理机构在资格审查结束前，对投标人进行信用查询。</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查询渠道：</w:t>
            </w:r>
            <w:r>
              <w:rPr>
                <w:rFonts w:hint="default" w:ascii="宋体" w:hAnsi="宋体" w:cs="Times New Roman"/>
                <w:color w:val="auto"/>
                <w:szCs w:val="21"/>
                <w:highlight w:val="none"/>
              </w:rPr>
              <w:t>“信用中国”网站（www.creditchina.gov.cn）、中国政府采购网（</w:t>
            </w:r>
            <w:r>
              <w:rPr>
                <w:rFonts w:hint="default" w:ascii="宋体" w:hAnsi="宋体" w:cs="Times New Roman"/>
                <w:color w:val="auto"/>
                <w:szCs w:val="21"/>
                <w:highlight w:val="none"/>
              </w:rPr>
              <w:fldChar w:fldCharType="begin"/>
            </w:r>
            <w:r>
              <w:rPr>
                <w:rFonts w:hint="default" w:ascii="宋体" w:hAnsi="宋体" w:cs="Times New Roman"/>
                <w:color w:val="auto"/>
                <w:szCs w:val="21"/>
                <w:highlight w:val="none"/>
              </w:rPr>
              <w:instrText xml:space="preserve"> HYPERLINK "http://www.ccgp.gov.cn" </w:instrText>
            </w:r>
            <w:r>
              <w:rPr>
                <w:rFonts w:hint="default" w:ascii="宋体" w:hAnsi="宋体" w:cs="Times New Roman"/>
                <w:color w:val="auto"/>
                <w:szCs w:val="21"/>
                <w:highlight w:val="none"/>
              </w:rPr>
              <w:fldChar w:fldCharType="separate"/>
            </w:r>
            <w:r>
              <w:rPr>
                <w:rStyle w:val="52"/>
                <w:rFonts w:hint="default" w:ascii="宋体" w:hAnsi="宋体" w:cs="Times New Roman"/>
                <w:color w:val="auto"/>
                <w:szCs w:val="21"/>
                <w:highlight w:val="none"/>
              </w:rPr>
              <w:t>www.ccgp.gov.cn</w:t>
            </w:r>
            <w:r>
              <w:rPr>
                <w:rFonts w:hint="default" w:ascii="宋体" w:hAnsi="宋体" w:cs="Times New Roman"/>
                <w:color w:val="auto"/>
                <w:szCs w:val="21"/>
                <w:highlight w:val="none"/>
              </w:rPr>
              <w:fldChar w:fldCharType="end"/>
            </w:r>
            <w:r>
              <w:rPr>
                <w:rFonts w:hint="default" w:ascii="宋体" w:hAnsi="宋体" w:cs="Times New Roman"/>
                <w:color w:val="auto"/>
                <w:szCs w:val="21"/>
                <w:highlight w:val="none"/>
              </w:rPr>
              <w:t>）</w:t>
            </w:r>
            <w:r>
              <w:rPr>
                <w:rFonts w:hint="eastAsia" w:ascii="宋体" w:hAnsi="宋体" w:cs="Times New Roman"/>
                <w:color w:val="auto"/>
                <w:szCs w:val="21"/>
                <w:highlight w:val="none"/>
              </w:rPr>
              <w:t>。</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信用查询截止时点：</w:t>
            </w:r>
            <w:r>
              <w:rPr>
                <w:rFonts w:hint="default" w:ascii="宋体" w:hAnsi="宋体" w:cs="宋体"/>
                <w:color w:val="auto"/>
                <w:szCs w:val="21"/>
                <w:highlight w:val="none"/>
              </w:rPr>
              <w:t>资格审查结束前</w:t>
            </w:r>
            <w:r>
              <w:rPr>
                <w:rFonts w:hint="eastAsia" w:ascii="宋体" w:hAnsi="宋体" w:cs="宋体"/>
                <w:color w:val="auto"/>
                <w:szCs w:val="21"/>
                <w:highlight w:val="none"/>
              </w:rPr>
              <w:t>。</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查询记录和证据留存方式：</w:t>
            </w:r>
            <w:r>
              <w:rPr>
                <w:rFonts w:hint="eastAsia" w:ascii="宋体" w:hAnsi="宋体" w:cs="宋体"/>
                <w:color w:val="auto"/>
                <w:szCs w:val="21"/>
                <w:highlight w:val="none"/>
              </w:rPr>
              <w:t>将查询网站中的查询记录截图并作为评审资料保存。</w:t>
            </w:r>
          </w:p>
          <w:p>
            <w:pPr>
              <w:keepNext w:val="0"/>
              <w:keepLines w:val="0"/>
              <w:suppressLineNumbers w:val="0"/>
              <w:snapToGrid w:val="0"/>
              <w:spacing w:before="0" w:beforeAutospacing="0" w:after="0" w:afterAutospacing="0" w:line="400" w:lineRule="exact"/>
              <w:ind w:left="0" w:right="0"/>
              <w:rPr>
                <w:rFonts w:hint="eastAsia" w:ascii="宋体" w:hAnsi="宋体" w:cs="Times New Roman"/>
                <w:b/>
                <w:color w:val="auto"/>
                <w:szCs w:val="21"/>
                <w:highlight w:val="none"/>
              </w:rPr>
            </w:pPr>
            <w:r>
              <w:rPr>
                <w:rFonts w:hint="eastAsia" w:ascii="宋体" w:hAnsi="宋体" w:cs="Times New Roman"/>
                <w:color w:val="auto"/>
                <w:szCs w:val="21"/>
                <w:highlight w:val="none"/>
              </w:rPr>
              <w:t>信用信息使用规则：根据财政部《关于在政府采购活动中查询及使用信用记录有关问题的通知》（财库〔2016〕125号）的规定，</w:t>
            </w:r>
            <w:r>
              <w:rPr>
                <w:rFonts w:hint="eastAsia" w:ascii="宋体" w:hAnsi="宋体" w:cs="宋体"/>
                <w:color w:val="auto"/>
                <w:szCs w:val="21"/>
                <w:highlight w:val="none"/>
                <w:lang w:bidi="ar"/>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6" w:name="_26"/>
            <w:bookmarkEnd w:id="76"/>
            <w:r>
              <w:rPr>
                <w:rFonts w:hint="eastAsia" w:ascii="宋体" w:hAnsi="宋体" w:cs="Times New Roman"/>
                <w:color w:val="auto"/>
                <w:szCs w:val="21"/>
                <w:highlight w:val="none"/>
              </w:rPr>
              <w:t>26</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评标委员会的人数：7人</w:t>
            </w:r>
            <w:r>
              <w:rPr>
                <w:rFonts w:hint="eastAsia" w:ascii="Times New Roman" w:hAnsi="宋体"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7" w:name="_28.3"/>
            <w:bookmarkEnd w:id="77"/>
            <w:r>
              <w:rPr>
                <w:rFonts w:hint="default" w:ascii="宋体" w:hAnsi="宋体" w:cs="Times New Roman"/>
                <w:color w:val="auto"/>
                <w:szCs w:val="21"/>
                <w:highlight w:val="none"/>
              </w:rPr>
              <w:t>29.1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8" w:name="_29.2.2（2）"/>
            <w:bookmarkEnd w:id="78"/>
            <w:r>
              <w:rPr>
                <w:rFonts w:hint="eastAsia" w:ascii="宋体" w:hAnsi="宋体" w:cs="Times New Roman"/>
                <w:color w:val="auto"/>
                <w:szCs w:val="21"/>
                <w:highlight w:val="none"/>
              </w:rPr>
              <w:t>29</w:t>
            </w:r>
            <w:r>
              <w:rPr>
                <w:rFonts w:hint="default" w:ascii="宋体" w:hAnsi="宋体" w:cs="Times New Roman"/>
                <w:color w:val="auto"/>
                <w:szCs w:val="21"/>
                <w:highlight w:val="none"/>
              </w:rPr>
              <w:t>.2</w:t>
            </w:r>
          </w:p>
        </w:tc>
        <w:tc>
          <w:tcPr>
            <w:tcW w:w="8708"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default" w:ascii="宋体" w:hAnsi="宋体" w:cs="Times New Roman"/>
                <w:color w:val="auto"/>
                <w:szCs w:val="21"/>
                <w:highlight w:val="none"/>
              </w:rPr>
            </w:pPr>
            <w:r>
              <w:rPr>
                <w:rFonts w:hint="eastAsia" w:ascii="宋体" w:hAnsi="宋体" w:cs="宋体"/>
                <w:color w:val="auto"/>
                <w:szCs w:val="21"/>
                <w:highlight w:val="none"/>
              </w:rPr>
              <w:t>商务要求</w:t>
            </w:r>
            <w:r>
              <w:rPr>
                <w:rFonts w:hint="eastAsia" w:ascii="宋体" w:hAnsi="宋体" w:cs="Times New Roman"/>
                <w:color w:val="auto"/>
                <w:szCs w:val="21"/>
                <w:highlight w:val="none"/>
              </w:rPr>
              <w:t>评审中允许负偏离的条款数为</w:t>
            </w:r>
            <w:r>
              <w:rPr>
                <w:rFonts w:hint="eastAsia" w:ascii="宋体" w:hAnsi="宋体" w:cs="Times New Roman"/>
                <w:color w:val="auto"/>
                <w:szCs w:val="21"/>
                <w:highlight w:val="none"/>
                <w:u w:val="single"/>
              </w:rPr>
              <w:t xml:space="preserve"> 1 </w:t>
            </w:r>
            <w:r>
              <w:rPr>
                <w:rFonts w:hint="eastAsia" w:ascii="宋体" w:hAnsi="宋体" w:cs="Times New Roman"/>
                <w:color w:val="auto"/>
                <w:szCs w:val="21"/>
                <w:highlight w:val="none"/>
              </w:rPr>
              <w:t>项。</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宋体"/>
                <w:color w:val="auto"/>
                <w:szCs w:val="21"/>
                <w:highlight w:val="none"/>
              </w:rPr>
              <w:t>技术要求</w:t>
            </w:r>
            <w:r>
              <w:rPr>
                <w:rFonts w:hint="eastAsia" w:ascii="宋体" w:hAnsi="宋体" w:cs="Times New Roman"/>
                <w:color w:val="auto"/>
                <w:szCs w:val="21"/>
                <w:highlight w:val="none"/>
              </w:rPr>
              <w:t>评审中允许负偏离的条款数为</w:t>
            </w:r>
            <w:r>
              <w:rPr>
                <w:rFonts w:hint="eastAsia" w:ascii="宋体" w:hAnsi="宋体" w:cs="Times New Roman"/>
                <w:color w:val="auto"/>
                <w:szCs w:val="21"/>
                <w:highlight w:val="none"/>
                <w:u w:val="single"/>
              </w:rPr>
              <w:t xml:space="preserve"> 1 </w:t>
            </w:r>
            <w:r>
              <w:rPr>
                <w:rFonts w:hint="eastAsia" w:ascii="宋体" w:hAnsi="宋体" w:cs="Times New Roman"/>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p>
        </w:tc>
        <w:tc>
          <w:tcPr>
            <w:tcW w:w="8708" w:type="dxa"/>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宋体"/>
                <w:color w:val="auto"/>
                <w:szCs w:val="21"/>
                <w:highlight w:val="none"/>
                <w:u w:val="single"/>
              </w:rPr>
            </w:pPr>
            <w:r>
              <w:rPr>
                <w:rFonts w:hint="default" w:ascii="Times New Roman" w:hAnsi="宋体" w:cs="Times New Roman"/>
                <w:color w:val="auto"/>
                <w:highlight w:val="none"/>
              </w:rPr>
              <w:t>中标候选人推荐数量</w:t>
            </w:r>
            <w:r>
              <w:rPr>
                <w:rFonts w:hint="eastAsia" w:ascii="Times New Roman" w:hAnsi="宋体" w:cs="Times New Roman"/>
                <w:color w:val="auto"/>
                <w:highlight w:val="none"/>
              </w:rPr>
              <w:t>：3家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30</w:t>
            </w:r>
            <w:r>
              <w:rPr>
                <w:rFonts w:hint="default" w:ascii="宋体" w:hAnsi="宋体" w:cs="Times New Roman"/>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采用综合评分法的采购项目，采购人确定中标人时，出现中标候选人并列的情形，采购人按以下的方式确定中标人：按综合评分中服务水平、履约能力得分高低依次确定。</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采用最低评标价法的采购项目，采购人确定中标人时，出现中标候选人并列的情形，采购人按以下的方式确定中标人：</w:t>
            </w:r>
            <w:r>
              <w:rPr>
                <w:rFonts w:hint="eastAsia" w:ascii="宋体" w:hAnsi="宋体" w:cs="宋体"/>
                <w:color w:val="auto"/>
                <w:szCs w:val="21"/>
                <w:highlight w:val="none"/>
              </w:rPr>
              <w:t>按</w:t>
            </w:r>
            <w:r>
              <w:rPr>
                <w:rFonts w:hint="eastAsia" w:ascii="宋体" w:hAnsi="Courier New" w:cs="Times New Roman"/>
                <w:color w:val="auto"/>
                <w:szCs w:val="21"/>
                <w:highlight w:val="none"/>
              </w:rPr>
              <w:t>服务水平</w:t>
            </w:r>
            <w:r>
              <w:rPr>
                <w:rFonts w:hint="default" w:ascii="宋体" w:hAnsi="Courier New" w:cs="Times New Roman"/>
                <w:color w:val="auto"/>
                <w:szCs w:val="21"/>
                <w:highlight w:val="none"/>
              </w:rPr>
              <w:t>技术指标高优先、</w:t>
            </w:r>
            <w:r>
              <w:rPr>
                <w:rFonts w:hint="eastAsia" w:ascii="宋体" w:hAnsi="Courier New" w:cs="Times New Roman"/>
                <w:color w:val="auto"/>
                <w:szCs w:val="21"/>
                <w:highlight w:val="none"/>
              </w:rPr>
              <w:t>服务方案好</w:t>
            </w:r>
            <w:r>
              <w:rPr>
                <w:rFonts w:hint="default" w:ascii="宋体" w:hAnsi="Courier New" w:cs="Times New Roman"/>
                <w:color w:val="auto"/>
                <w:szCs w:val="21"/>
                <w:highlight w:val="none"/>
              </w:rPr>
              <w:t>优先、</w:t>
            </w:r>
            <w:r>
              <w:rPr>
                <w:rFonts w:hint="eastAsia" w:ascii="宋体" w:hAnsi="Courier New" w:cs="Times New Roman"/>
                <w:color w:val="auto"/>
                <w:szCs w:val="21"/>
                <w:highlight w:val="none"/>
              </w:rPr>
              <w:t>拟投入人员多</w:t>
            </w:r>
            <w:r>
              <w:rPr>
                <w:rFonts w:hint="default" w:ascii="宋体" w:hAnsi="Courier New" w:cs="Times New Roman"/>
                <w:color w:val="auto"/>
                <w:szCs w:val="21"/>
                <w:highlight w:val="none"/>
              </w:rPr>
              <w:t>优先、</w:t>
            </w:r>
            <w:r>
              <w:rPr>
                <w:rFonts w:hint="eastAsia" w:ascii="宋体" w:hAnsi="Courier New" w:cs="Times New Roman"/>
                <w:color w:val="auto"/>
                <w:szCs w:val="21"/>
                <w:highlight w:val="none"/>
              </w:rPr>
              <w:t>履约能力</w:t>
            </w:r>
            <w:r>
              <w:rPr>
                <w:rFonts w:hint="default" w:ascii="宋体" w:hAnsi="Courier New" w:cs="Times New Roman"/>
                <w:color w:val="auto"/>
                <w:szCs w:val="21"/>
                <w:highlight w:val="none"/>
              </w:rPr>
              <w:t>优先的</w:t>
            </w:r>
            <w:r>
              <w:rPr>
                <w:rFonts w:hint="eastAsia" w:ascii="宋体" w:hAnsi="宋体" w:cs="宋体"/>
                <w:color w:val="auto"/>
                <w:szCs w:val="21"/>
                <w:highlight w:val="none"/>
              </w:rPr>
              <w:t>顺序依次确定。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79" w:name="_39.1"/>
            <w:bookmarkEnd w:id="79"/>
            <w:r>
              <w:rPr>
                <w:rFonts w:hint="eastAsia" w:ascii="宋体" w:hAnsi="宋体" w:cs="Times New Roman"/>
                <w:color w:val="auto"/>
                <w:szCs w:val="21"/>
                <w:highlight w:val="none"/>
              </w:rPr>
              <w:t>35</w:t>
            </w:r>
            <w:r>
              <w:rPr>
                <w:rFonts w:hint="default" w:ascii="宋体" w:hAnsi="宋体" w:cs="Times New Roman"/>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宋体"/>
                <w:color w:val="auto"/>
                <w:kern w:val="0"/>
                <w:szCs w:val="21"/>
                <w:highlight w:val="none"/>
              </w:rPr>
            </w:pPr>
            <w:r>
              <w:rPr>
                <w:rFonts w:hint="eastAsia" w:ascii="宋体" w:hAnsi="宋体" w:cs="Times New Roman"/>
                <w:color w:val="auto"/>
                <w:szCs w:val="21"/>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80" w:name="_40.1"/>
            <w:bookmarkEnd w:id="80"/>
            <w:r>
              <w:rPr>
                <w:rFonts w:hint="eastAsia" w:ascii="宋体" w:hAnsi="宋体" w:cs="Times New Roman"/>
                <w:color w:val="auto"/>
                <w:szCs w:val="21"/>
                <w:highlight w:val="none"/>
              </w:rPr>
              <w:t>36.1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签订合同携带的证明材料： </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1、委托代理人负责签订合同的，须携带授权委托书及委托代理人身份证原件等其他资格证件。</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宋体" w:hAnsi="宋体" w:cs="Times New Roman"/>
                <w:color w:val="auto"/>
                <w:szCs w:val="21"/>
                <w:highlight w:val="none"/>
              </w:rPr>
              <w:t>2、法定代表人负责签订合同的，须携带法定代表人</w:t>
            </w:r>
            <w:r>
              <w:rPr>
                <w:rFonts w:hint="default" w:ascii="宋体" w:hAnsi="宋体" w:cs="Times New Roman"/>
                <w:color w:val="auto"/>
                <w:szCs w:val="21"/>
                <w:highlight w:val="none"/>
              </w:rPr>
              <w:t>身份证明原件</w:t>
            </w:r>
            <w:r>
              <w:rPr>
                <w:rFonts w:hint="eastAsia" w:ascii="宋体" w:hAnsi="宋体" w:cs="Times New Roman"/>
                <w:color w:val="auto"/>
                <w:szCs w:val="21"/>
                <w:highlight w:val="none"/>
              </w:rPr>
              <w:t>及</w:t>
            </w:r>
            <w:r>
              <w:rPr>
                <w:rFonts w:hint="default" w:ascii="宋体" w:hAnsi="宋体" w:cs="Times New Roman"/>
                <w:color w:val="auto"/>
                <w:szCs w:val="21"/>
                <w:highlight w:val="none"/>
              </w:rPr>
              <w:t>身份证原件</w:t>
            </w:r>
            <w:r>
              <w:rPr>
                <w:rFonts w:hint="eastAsia" w:ascii="宋体" w:hAnsi="宋体" w:cs="Times New Roman"/>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eastAsia" w:ascii="宋体" w:hAnsi="宋体" w:cs="Times New Roman"/>
                <w:color w:val="auto"/>
                <w:szCs w:val="21"/>
                <w:highlight w:val="none"/>
              </w:rPr>
              <w:t>3</w:t>
            </w:r>
            <w:r>
              <w:rPr>
                <w:rFonts w:hint="default" w:ascii="宋体" w:hAnsi="宋体" w:cs="Times New Roman"/>
                <w:color w:val="auto"/>
                <w:szCs w:val="21"/>
                <w:highlight w:val="none"/>
              </w:rPr>
              <w:t>8.2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接收质疑函方式：以纸质书面形式</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质疑联系部门及联系方式：</w:t>
            </w:r>
            <w:r>
              <w:rPr>
                <w:rFonts w:hint="eastAsia" w:ascii="宋体" w:hAnsi="宋体" w:cs="Times New Roman"/>
                <w:color w:val="auto"/>
                <w:szCs w:val="21"/>
                <w:highlight w:val="none"/>
                <w:lang w:eastAsia="zh-CN"/>
              </w:rPr>
              <w:t>广西国泰招标咨询有限公司</w:t>
            </w:r>
            <w:r>
              <w:rPr>
                <w:rFonts w:hint="eastAsia" w:ascii="宋体" w:hAnsi="宋体" w:cs="Times New Roman"/>
                <w:color w:val="auto"/>
                <w:szCs w:val="21"/>
                <w:highlight w:val="none"/>
              </w:rPr>
              <w:t>，质疑联系人：</w:t>
            </w:r>
            <w:r>
              <w:rPr>
                <w:rFonts w:hint="eastAsia" w:ascii="宋体" w:hAnsi="宋体" w:cs="Times New Roman"/>
                <w:color w:val="auto"/>
                <w:szCs w:val="21"/>
                <w:highlight w:val="none"/>
                <w:lang w:eastAsia="zh-CN"/>
              </w:rPr>
              <w:t>黄工</w:t>
            </w:r>
            <w:r>
              <w:rPr>
                <w:rFonts w:hint="eastAsia" w:ascii="宋体" w:hAnsi="宋体" w:cs="Times New Roman"/>
                <w:color w:val="auto"/>
                <w:szCs w:val="21"/>
                <w:highlight w:val="none"/>
              </w:rPr>
              <w:t xml:space="preserve">  </w:t>
            </w:r>
          </w:p>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联系电话：0771-2023</w:t>
            </w:r>
            <w:r>
              <w:rPr>
                <w:rFonts w:hint="eastAsia" w:ascii="宋体" w:hAnsi="宋体" w:cs="Times New Roman"/>
                <w:color w:val="auto"/>
                <w:szCs w:val="21"/>
                <w:highlight w:val="none"/>
                <w:lang w:val="en-US" w:eastAsia="zh-CN"/>
              </w:rPr>
              <w:t>496</w:t>
            </w:r>
            <w:r>
              <w:rPr>
                <w:rFonts w:hint="eastAsia" w:ascii="宋体" w:hAnsi="宋体" w:cs="Times New Roman"/>
                <w:color w:val="auto"/>
                <w:szCs w:val="21"/>
                <w:highlight w:val="none"/>
              </w:rPr>
              <w:t>，</w:t>
            </w:r>
            <w:r>
              <w:rPr>
                <w:rFonts w:hint="default" w:ascii="宋体" w:hAnsi="宋体" w:cs="Times New Roman"/>
                <w:color w:val="auto"/>
                <w:szCs w:val="21"/>
                <w:highlight w:val="none"/>
              </w:rPr>
              <w:t>通讯地址</w:t>
            </w:r>
            <w:r>
              <w:rPr>
                <w:rFonts w:hint="eastAsia" w:ascii="宋体" w:hAnsi="宋体" w:cs="Helvetica"/>
                <w:color w:val="auto"/>
                <w:szCs w:val="21"/>
                <w:highlight w:val="none"/>
              </w:rPr>
              <w:t>：广西南宁市民族大道141号中鼎万象东方大厦D区六层D607</w:t>
            </w:r>
            <w:r>
              <w:rPr>
                <w:rFonts w:hint="eastAsia" w:ascii="宋体" w:hAnsi="宋体" w:cs="Times New Roman"/>
                <w:color w:val="auto"/>
                <w:szCs w:val="21"/>
                <w:highlight w:val="none"/>
              </w:rPr>
              <w:t xml:space="preserve"> </w:t>
            </w:r>
            <w:r>
              <w:rPr>
                <w:rFonts w:hint="default" w:ascii="宋体" w:hAnsi="宋体" w:cs="Times New Roman"/>
                <w:color w:val="auto"/>
                <w:szCs w:val="21"/>
                <w:highlight w:val="none"/>
              </w:rPr>
              <w:t xml:space="preserve">    </w:t>
            </w:r>
            <w:r>
              <w:rPr>
                <w:rFonts w:hint="eastAsia" w:ascii="宋体" w:hAnsi="宋体" w:cs="Times New Roman"/>
                <w:color w:val="auto"/>
                <w:szCs w:val="21"/>
                <w:highlight w:val="none"/>
              </w:rPr>
              <w:t xml:space="preserve"> </w:t>
            </w:r>
          </w:p>
          <w:p>
            <w:pPr>
              <w:keepNext w:val="0"/>
              <w:keepLines w:val="0"/>
              <w:suppressLineNumbers w:val="0"/>
              <w:autoSpaceDE w:val="0"/>
              <w:autoSpaceDN w:val="0"/>
              <w:snapToGrid w:val="0"/>
              <w:spacing w:before="0" w:beforeAutospacing="0" w:after="0" w:afterAutospacing="0" w:line="400" w:lineRule="exact"/>
              <w:ind w:left="0" w:right="0"/>
              <w:textAlignment w:val="bottom"/>
              <w:rPr>
                <w:rFonts w:hint="eastAsia" w:ascii="宋体" w:hAnsi="宋体" w:cs="Times New Roman"/>
                <w:color w:val="auto"/>
                <w:szCs w:val="21"/>
                <w:highlight w:val="none"/>
              </w:rPr>
            </w:pPr>
            <w:r>
              <w:rPr>
                <w:rFonts w:hint="eastAsia" w:ascii="Times New Roman" w:hAnsi="宋体" w:cs="Times New Roman"/>
                <w:color w:val="auto"/>
                <w:highlight w:val="none"/>
              </w:rPr>
              <w:t>现场提交质疑办理业务时间：工作日，</w:t>
            </w:r>
            <w:r>
              <w:rPr>
                <w:rFonts w:hint="eastAsia" w:ascii="宋体" w:hAnsi="宋体" w:cs="Arial"/>
                <w:color w:val="auto"/>
                <w:szCs w:val="21"/>
                <w:highlight w:val="none"/>
              </w:rPr>
              <w:t>上午8:00-12:00；下午1</w:t>
            </w:r>
            <w:r>
              <w:rPr>
                <w:rFonts w:hint="eastAsia" w:ascii="宋体" w:hAnsi="宋体" w:cs="Arial"/>
                <w:color w:val="auto"/>
                <w:highlight w:val="none"/>
              </w:rPr>
              <w:t>5</w:t>
            </w:r>
            <w:r>
              <w:rPr>
                <w:rFonts w:hint="eastAsia" w:ascii="宋体" w:hAnsi="宋体" w:cs="Arial"/>
                <w:color w:val="auto"/>
                <w:szCs w:val="21"/>
                <w:highlight w:val="none"/>
              </w:rPr>
              <w:t>:</w:t>
            </w:r>
            <w:r>
              <w:rPr>
                <w:rFonts w:hint="eastAsia" w:ascii="宋体" w:hAnsi="宋体" w:cs="Arial"/>
                <w:color w:val="auto"/>
                <w:highlight w:val="none"/>
              </w:rPr>
              <w:t>00</w:t>
            </w:r>
            <w:r>
              <w:rPr>
                <w:rFonts w:hint="eastAsia" w:ascii="宋体" w:hAnsi="宋体" w:cs="Arial"/>
                <w:color w:val="auto"/>
                <w:szCs w:val="21"/>
                <w:highlight w:val="none"/>
              </w:rPr>
              <w:t>-1</w:t>
            </w:r>
            <w:r>
              <w:rPr>
                <w:rFonts w:hint="eastAsia" w:ascii="宋体" w:hAnsi="宋体" w:cs="Arial"/>
                <w:color w:val="auto"/>
                <w:highlight w:val="none"/>
              </w:rPr>
              <w:t>8</w:t>
            </w:r>
            <w:r>
              <w:rPr>
                <w:rFonts w:hint="eastAsia" w:ascii="宋体" w:hAnsi="宋体" w:cs="Arial"/>
                <w:color w:val="auto"/>
                <w:szCs w:val="21"/>
                <w:highlight w:val="none"/>
              </w:rPr>
              <w:t>:</w:t>
            </w:r>
            <w:r>
              <w:rPr>
                <w:rFonts w:hint="eastAsia" w:ascii="宋体" w:hAnsi="宋体" w:cs="Arial"/>
                <w:color w:val="auto"/>
                <w:highlight w:val="none"/>
              </w:rPr>
              <w:t>0</w:t>
            </w:r>
            <w:r>
              <w:rPr>
                <w:rFonts w:hint="eastAsia" w:ascii="宋体" w:hAnsi="宋体" w:cs="Arial"/>
                <w:color w:val="auto"/>
                <w:szCs w:val="21"/>
                <w:highlight w:val="none"/>
              </w:rPr>
              <w:t>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highlight w:val="none"/>
              </w:rPr>
            </w:pPr>
            <w:bookmarkStart w:id="81" w:name="_41"/>
            <w:bookmarkEnd w:id="81"/>
            <w:bookmarkStart w:id="82" w:name="_42"/>
            <w:bookmarkEnd w:id="82"/>
            <w:bookmarkStart w:id="83" w:name="_Hlt17709148"/>
            <w:r>
              <w:rPr>
                <w:rFonts w:hint="eastAsia" w:ascii="宋体" w:hAnsi="宋体" w:cs="Times New Roman"/>
                <w:color w:val="auto"/>
                <w:szCs w:val="21"/>
                <w:highlight w:val="none"/>
              </w:rPr>
              <w:t>3</w:t>
            </w:r>
            <w:bookmarkEnd w:id="83"/>
            <w:r>
              <w:rPr>
                <w:rFonts w:hint="default" w:ascii="宋体" w:hAnsi="宋体" w:cs="Times New Roman"/>
                <w:color w:val="auto"/>
                <w:szCs w:val="21"/>
                <w:highlight w:val="none"/>
              </w:rPr>
              <w:t>9.1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1、采购代理服务费支付方式：本项目的招标代理服务费按以下收费标准向中标人收取，领取中标通知书前，中标人应向采购代理机构一次付清招标代理服务费，否则采购代理机构有权不予以办理。</w:t>
            </w:r>
          </w:p>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2、2、采购代理服务费收取标准：</w:t>
            </w:r>
          </w:p>
          <w:p>
            <w:pPr>
              <w:pStyle w:val="24"/>
              <w:keepNext w:val="0"/>
              <w:keepLines w:val="0"/>
              <w:suppressLineNumbers w:val="0"/>
              <w:snapToGrid w:val="0"/>
              <w:spacing w:before="0" w:beforeAutospacing="0" w:after="0" w:afterAutospacing="0" w:line="400" w:lineRule="exact"/>
              <w:ind w:left="0" w:right="0"/>
              <w:rPr>
                <w:rFonts w:hint="default" w:hAnsi="宋体" w:cs="宋体"/>
                <w:color w:val="auto"/>
                <w:sz w:val="21"/>
                <w:highlight w:val="none"/>
              </w:rPr>
            </w:pPr>
            <w:r>
              <w:rPr>
                <w:rFonts w:hint="eastAsia" w:hAnsi="宋体" w:cs="宋体"/>
                <w:color w:val="auto"/>
                <w:sz w:val="21"/>
                <w:highlight w:val="none"/>
              </w:rPr>
              <w:t>固定采购代理服务费为</w:t>
            </w:r>
            <w:r>
              <w:rPr>
                <w:rFonts w:hint="eastAsia" w:hAnsi="宋体" w:cs="宋体"/>
                <w:color w:val="auto"/>
                <w:sz w:val="21"/>
                <w:highlight w:val="none"/>
                <w:u w:val="single"/>
                <w:lang w:eastAsia="zh-CN"/>
              </w:rPr>
              <w:t>壹万伍仟元整</w:t>
            </w:r>
            <w:r>
              <w:rPr>
                <w:rFonts w:hint="eastAsia" w:hAnsi="宋体" w:cs="宋体"/>
                <w:color w:val="auto"/>
                <w:sz w:val="21"/>
                <w:highlight w:val="none"/>
                <w:u w:val="single"/>
              </w:rPr>
              <w:t>（￥</w:t>
            </w:r>
            <w:r>
              <w:rPr>
                <w:rFonts w:hint="eastAsia" w:hAnsi="宋体" w:cs="宋体"/>
                <w:color w:val="auto"/>
                <w:sz w:val="21"/>
                <w:highlight w:val="none"/>
                <w:u w:val="single"/>
                <w:lang w:val="en-US" w:eastAsia="zh-CN"/>
              </w:rPr>
              <w:t>15000</w:t>
            </w:r>
            <w:r>
              <w:rPr>
                <w:rFonts w:hint="default" w:hAnsi="宋体" w:cs="宋体"/>
                <w:color w:val="auto"/>
                <w:sz w:val="21"/>
                <w:highlight w:val="none"/>
                <w:u w:val="single"/>
              </w:rPr>
              <w:t xml:space="preserve"> </w:t>
            </w:r>
            <w:r>
              <w:rPr>
                <w:rFonts w:hint="eastAsia" w:hAnsi="宋体" w:cs="宋体"/>
                <w:color w:val="auto"/>
                <w:sz w:val="21"/>
                <w:highlight w:val="none"/>
                <w:u w:val="single"/>
              </w:rPr>
              <w:t>.00）。</w:t>
            </w:r>
          </w:p>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3、代理服务费缴费账户信息：</w:t>
            </w:r>
          </w:p>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开户名称：广西国泰招标咨询有限公司南宁第五分公司</w:t>
            </w:r>
          </w:p>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开户银行：广西北部湾银行股份有限公司南宁市云景支行</w:t>
            </w:r>
          </w:p>
          <w:p>
            <w:pPr>
              <w:pStyle w:val="24"/>
              <w:keepNext w:val="0"/>
              <w:keepLines w:val="0"/>
              <w:suppressLineNumbers w:val="0"/>
              <w:snapToGrid w:val="0"/>
              <w:spacing w:before="0" w:beforeAutospacing="0" w:after="0" w:afterAutospacing="0" w:line="400" w:lineRule="exact"/>
              <w:ind w:left="0" w:right="0"/>
              <w:rPr>
                <w:rFonts w:hint="eastAsia" w:hAnsi="宋体" w:cs="宋体"/>
                <w:color w:val="auto"/>
                <w:sz w:val="21"/>
                <w:highlight w:val="none"/>
              </w:rPr>
            </w:pPr>
            <w:r>
              <w:rPr>
                <w:rFonts w:hint="eastAsia" w:hAnsi="宋体" w:cs="宋体"/>
                <w:color w:val="auto"/>
                <w:sz w:val="21"/>
                <w:highlight w:val="none"/>
              </w:rPr>
              <w:t>银行账号：805022302700001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default" w:ascii="宋体" w:hAnsi="宋体" w:cs="Times New Roman"/>
                <w:color w:val="auto"/>
                <w:szCs w:val="21"/>
                <w:highlight w:val="none"/>
              </w:rPr>
              <w:t>40.1</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cs="Times New Roman"/>
                <w:color w:val="auto"/>
                <w:szCs w:val="21"/>
                <w:highlight w:val="none"/>
              </w:rPr>
            </w:pPr>
            <w:r>
              <w:rPr>
                <w:rFonts w:hint="eastAsia" w:ascii="宋体" w:hAnsi="宋体" w:cs="Times New Roman"/>
                <w:color w:val="auto"/>
                <w:szCs w:val="21"/>
                <w:highlight w:val="none"/>
              </w:rPr>
              <w:t>解释：</w:t>
            </w:r>
            <w:r>
              <w:rPr>
                <w:rFonts w:hint="default" w:ascii="宋体" w:hAnsi="宋体" w:cs="Times New Roman"/>
                <w:color w:val="auto"/>
                <w:szCs w:val="21"/>
                <w:highlight w:val="none"/>
              </w:rPr>
              <w:t>构成本招标文件的各个组成文件应互为解释，互为说明；除招标文件中有特别规定外，仅适用于招标投标阶段的规定，按</w:t>
            </w:r>
            <w:r>
              <w:rPr>
                <w:rFonts w:hint="eastAsia" w:ascii="宋体" w:hAnsi="宋体" w:cs="Times New Roman"/>
                <w:color w:val="auto"/>
                <w:szCs w:val="21"/>
                <w:highlight w:val="none"/>
              </w:rPr>
              <w:t>更正公告（澄清公告）</w:t>
            </w:r>
            <w:r>
              <w:rPr>
                <w:rFonts w:hint="default" w:ascii="宋体" w:hAnsi="宋体" w:cs="Times New Roman"/>
                <w:color w:val="auto"/>
                <w:szCs w:val="21"/>
                <w:highlight w:val="none"/>
              </w:rPr>
              <w:t>、招标公告、</w:t>
            </w:r>
            <w:r>
              <w:rPr>
                <w:rFonts w:hint="eastAsia" w:ascii="宋体" w:hAnsi="宋体" w:cs="Times New Roman"/>
                <w:color w:val="auto"/>
                <w:szCs w:val="21"/>
                <w:highlight w:val="none"/>
              </w:rPr>
              <w:t>采购需求、</w:t>
            </w:r>
            <w:r>
              <w:rPr>
                <w:rFonts w:hint="default" w:ascii="宋体" w:hAnsi="宋体" w:cs="Times New Roman"/>
                <w:color w:val="auto"/>
                <w:szCs w:val="21"/>
                <w:highlight w:val="none"/>
              </w:rPr>
              <w:t>投标人须知、</w:t>
            </w:r>
            <w:r>
              <w:rPr>
                <w:rFonts w:hint="eastAsia" w:ascii="宋体" w:hAnsi="宋体" w:cs="Times New Roman"/>
                <w:color w:val="auto"/>
                <w:szCs w:val="21"/>
                <w:highlight w:val="none"/>
              </w:rPr>
              <w:t>评标方法及评标标准</w:t>
            </w:r>
            <w:r>
              <w:rPr>
                <w:rFonts w:hint="default" w:ascii="宋体" w:hAnsi="宋体" w:cs="Times New Roman"/>
                <w:color w:val="auto"/>
                <w:szCs w:val="21"/>
                <w:highlight w:val="none"/>
              </w:rPr>
              <w:t>、</w:t>
            </w:r>
            <w:r>
              <w:rPr>
                <w:rFonts w:hint="eastAsia" w:ascii="宋体" w:hAnsi="宋体" w:cs="Times New Roman"/>
                <w:color w:val="auto"/>
                <w:szCs w:val="21"/>
                <w:highlight w:val="none"/>
              </w:rPr>
              <w:t>拟签订的合同文本、</w:t>
            </w:r>
            <w:r>
              <w:rPr>
                <w:rFonts w:hint="default" w:ascii="宋体" w:hAnsi="宋体" w:cs="Times New Roman"/>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s="Times New Roman"/>
                <w:color w:val="auto"/>
                <w:szCs w:val="21"/>
                <w:highlight w:val="none"/>
              </w:rPr>
              <w:t>更正公告（澄清公告）</w:t>
            </w:r>
            <w:r>
              <w:rPr>
                <w:rFonts w:hint="default" w:ascii="宋体" w:hAnsi="宋体" w:cs="Times New Roman"/>
                <w:color w:val="auto"/>
                <w:szCs w:val="21"/>
                <w:highlight w:val="none"/>
              </w:rPr>
              <w:t>与同步更新的招标文件不一致时以</w:t>
            </w:r>
            <w:r>
              <w:rPr>
                <w:rFonts w:hint="eastAsia" w:ascii="宋体" w:hAnsi="宋体" w:cs="Times New Roman"/>
                <w:color w:val="auto"/>
                <w:szCs w:val="21"/>
                <w:highlight w:val="none"/>
              </w:rPr>
              <w:t>更正公告（澄清公告）</w:t>
            </w:r>
            <w:r>
              <w:rPr>
                <w:rFonts w:hint="default" w:ascii="宋体" w:hAnsi="宋体" w:cs="Times New Roman"/>
                <w:color w:val="auto"/>
                <w:szCs w:val="21"/>
                <w:highlight w:val="none"/>
              </w:rPr>
              <w:t>为准。按本款前述规定仍不能形成结论的，由</w:t>
            </w:r>
            <w:r>
              <w:rPr>
                <w:rFonts w:hint="eastAsia" w:ascii="宋体" w:hAnsi="宋体" w:cs="Times New Roman"/>
                <w:color w:val="auto"/>
                <w:szCs w:val="21"/>
                <w:highlight w:val="none"/>
              </w:rPr>
              <w:t>采购</w:t>
            </w:r>
            <w:r>
              <w:rPr>
                <w:rFonts w:hint="default" w:ascii="宋体" w:hAnsi="宋体" w:cs="Times New Roman"/>
                <w:color w:val="auto"/>
                <w:szCs w:val="21"/>
                <w:highlight w:val="none"/>
              </w:rPr>
              <w:t>人</w:t>
            </w:r>
            <w:r>
              <w:rPr>
                <w:rFonts w:hint="eastAsia" w:ascii="宋体" w:hAnsi="宋体" w:cs="Times New Roman"/>
                <w:color w:val="auto"/>
                <w:szCs w:val="21"/>
                <w:highlight w:val="none"/>
              </w:rPr>
              <w:t>或者采购代理机构</w:t>
            </w:r>
            <w:r>
              <w:rPr>
                <w:rFonts w:hint="default" w:ascii="宋体" w:hAnsi="宋体" w:cs="Times New Roman"/>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center"/>
              <w:rPr>
                <w:rFonts w:hint="eastAsia" w:ascii="宋体" w:hAnsi="宋体" w:cs="Times New Roman"/>
                <w:color w:val="auto"/>
                <w:szCs w:val="21"/>
                <w:highlight w:val="none"/>
              </w:rPr>
            </w:pPr>
            <w:r>
              <w:rPr>
                <w:rFonts w:hint="default" w:ascii="宋体" w:hAnsi="宋体" w:cs="Times New Roman"/>
                <w:color w:val="auto"/>
                <w:szCs w:val="21"/>
                <w:highlight w:val="none"/>
              </w:rPr>
              <w:t>40.2</w:t>
            </w:r>
          </w:p>
        </w:tc>
        <w:tc>
          <w:tcPr>
            <w:tcW w:w="8708"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suppressLineNumbers w:val="0"/>
              <w:snapToGrid w:val="0"/>
              <w:spacing w:before="0" w:beforeAutospacing="0" w:after="0" w:afterAutospacing="0" w:line="400" w:lineRule="exact"/>
              <w:ind w:left="0" w:right="0"/>
              <w:rPr>
                <w:rFonts w:hint="eastAsia" w:hAnsi="宋体" w:cs="宋体"/>
                <w:bCs/>
                <w:color w:val="auto"/>
                <w:sz w:val="21"/>
                <w:highlight w:val="none"/>
              </w:rPr>
            </w:pPr>
            <w:r>
              <w:rPr>
                <w:rFonts w:hint="eastAsia" w:hAnsi="宋体" w:cs="宋体"/>
                <w:bCs/>
                <w:color w:val="auto"/>
                <w:sz w:val="21"/>
                <w:highlight w:val="none"/>
              </w:rPr>
              <w:t>1、本招标文件中描述投标人的“公章”是指根据我国对公章的管理规定，用投标人法定主体行为名称制作的印章</w:t>
            </w:r>
            <w:r>
              <w:rPr>
                <w:rFonts w:hint="eastAsia" w:hAnsi="宋体" w:cs="宋体"/>
                <w:color w:val="auto"/>
                <w:sz w:val="21"/>
                <w:highlight w:val="none"/>
              </w:rPr>
              <w:t>（含电子印章）</w:t>
            </w:r>
            <w:r>
              <w:rPr>
                <w:rFonts w:hint="eastAsia" w:hAnsi="宋体" w:cs="宋体"/>
                <w:bCs/>
                <w:color w:val="auto"/>
                <w:sz w:val="21"/>
                <w:highlight w:val="none"/>
              </w:rPr>
              <w:t>，除本招标文件有特殊规定外，投标人的财务章、部门章、分公司章、工会章、合同章、投标专用章、业务专用章及银行的转账章、现金收讫章、现金付讫章等其他形式印章均不能代替公章。</w:t>
            </w:r>
          </w:p>
          <w:p>
            <w:pPr>
              <w:pStyle w:val="24"/>
              <w:keepNext w:val="0"/>
              <w:keepLines w:val="0"/>
              <w:suppressLineNumbers w:val="0"/>
              <w:snapToGrid w:val="0"/>
              <w:spacing w:before="0" w:beforeAutospacing="0" w:after="0" w:afterAutospacing="0" w:line="400" w:lineRule="exact"/>
              <w:ind w:left="0" w:right="0"/>
              <w:rPr>
                <w:rFonts w:hint="eastAsia" w:hAnsi="宋体" w:cs="宋体"/>
                <w:bCs/>
                <w:color w:val="auto"/>
                <w:sz w:val="21"/>
                <w:highlight w:val="none"/>
              </w:rPr>
            </w:pPr>
            <w:r>
              <w:rPr>
                <w:rFonts w:hint="eastAsia" w:hAnsi="宋体" w:cs="宋体"/>
                <w:bCs/>
                <w:color w:val="auto"/>
                <w:sz w:val="21"/>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4"/>
              <w:keepNext w:val="0"/>
              <w:keepLines w:val="0"/>
              <w:suppressLineNumbers w:val="0"/>
              <w:snapToGrid w:val="0"/>
              <w:spacing w:before="0" w:beforeAutospacing="0" w:after="0" w:afterAutospacing="0" w:line="400" w:lineRule="exact"/>
              <w:ind w:left="0" w:right="0"/>
              <w:rPr>
                <w:rFonts w:hint="eastAsia" w:hAnsi="宋体" w:cs="宋体"/>
                <w:bCs/>
                <w:color w:val="auto"/>
                <w:sz w:val="21"/>
                <w:highlight w:val="none"/>
              </w:rPr>
            </w:pPr>
            <w:r>
              <w:rPr>
                <w:rFonts w:hint="eastAsia" w:hAnsi="宋体" w:cs="宋体"/>
                <w:bCs/>
                <w:color w:val="auto"/>
                <w:sz w:val="21"/>
                <w:highlight w:val="none"/>
              </w:rPr>
              <w:t>3、本招标文件中描述投标人的“签字”是指投标人的法定代表人或者委托代理人</w:t>
            </w:r>
            <w:r>
              <w:rPr>
                <w:rFonts w:hint="eastAsia" w:hAnsi="宋体" w:cs="宋体"/>
                <w:color w:val="auto"/>
                <w:sz w:val="21"/>
                <w:highlight w:val="none"/>
              </w:rPr>
              <w:t>在文件规定签署处签名（含电子签名）的行为，私章、印鉴等其他形式均不能代替签字</w:t>
            </w:r>
            <w:r>
              <w:rPr>
                <w:rFonts w:hint="eastAsia" w:hAnsi="宋体" w:cs="宋体"/>
                <w:bCs/>
                <w:color w:val="auto"/>
                <w:sz w:val="21"/>
                <w:highlight w:val="none"/>
              </w:rPr>
              <w:t>。</w:t>
            </w:r>
          </w:p>
          <w:p>
            <w:pPr>
              <w:pStyle w:val="24"/>
              <w:keepNext w:val="0"/>
              <w:keepLines w:val="0"/>
              <w:suppressLineNumbers w:val="0"/>
              <w:snapToGrid w:val="0"/>
              <w:spacing w:before="0" w:beforeAutospacing="0" w:after="0" w:afterAutospacing="0" w:line="400" w:lineRule="exact"/>
              <w:ind w:left="0" w:right="0"/>
              <w:rPr>
                <w:rFonts w:hint="eastAsia" w:hAnsi="宋体" w:cs="宋体"/>
                <w:bCs/>
                <w:color w:val="auto"/>
                <w:sz w:val="21"/>
                <w:highlight w:val="none"/>
              </w:rPr>
            </w:pPr>
            <w:r>
              <w:rPr>
                <w:rFonts w:hint="eastAsia" w:hAnsi="宋体" w:cs="宋体"/>
                <w:bCs/>
                <w:color w:val="auto"/>
                <w:sz w:val="21"/>
                <w:highlight w:val="none"/>
              </w:rPr>
              <w:t>4、自然人投标的，招标文件规定盖公章处由自然人摁手指指印。</w:t>
            </w:r>
          </w:p>
          <w:p>
            <w:pPr>
              <w:keepNext w:val="0"/>
              <w:keepLines w:val="0"/>
              <w:suppressLineNumbers w:val="0"/>
              <w:spacing w:before="0" w:beforeAutospacing="0" w:after="0" w:afterAutospacing="0" w:line="400" w:lineRule="exact"/>
              <w:ind w:left="0" w:right="0"/>
              <w:jc w:val="left"/>
              <w:rPr>
                <w:rFonts w:hint="eastAsia" w:ascii="宋体" w:hAnsi="宋体" w:cs="Times New Roman"/>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hint="eastAsia" w:ascii="宋体" w:hAnsi="宋体"/>
          <w:color w:val="auto"/>
          <w:sz w:val="24"/>
          <w:szCs w:val="20"/>
          <w:highlight w:val="none"/>
        </w:rPr>
      </w:pPr>
    </w:p>
    <w:p>
      <w:pPr>
        <w:snapToGrid w:val="0"/>
        <w:rPr>
          <w:rFonts w:hint="eastAsia" w:ascii="宋体" w:hAnsi="宋体"/>
          <w:color w:val="auto"/>
          <w:sz w:val="24"/>
          <w:szCs w:val="20"/>
          <w:highlight w:val="none"/>
        </w:rPr>
      </w:pPr>
    </w:p>
    <w:p>
      <w:pPr>
        <w:pStyle w:val="5"/>
        <w:keepNext w:val="0"/>
        <w:keepLines w:val="0"/>
        <w:jc w:val="center"/>
        <w:rPr>
          <w:rFonts w:hint="eastAsia"/>
          <w:color w:val="auto"/>
          <w:highlight w:val="none"/>
        </w:rPr>
      </w:pPr>
      <w:r>
        <w:rPr>
          <w:color w:val="auto"/>
          <w:highlight w:val="none"/>
        </w:rPr>
        <w:br w:type="page"/>
      </w:r>
      <w:r>
        <w:rPr>
          <w:rFonts w:hint="eastAsia"/>
          <w:color w:val="auto"/>
          <w:highlight w:val="none"/>
        </w:rPr>
        <w:t>投标人须知正文</w:t>
      </w:r>
    </w:p>
    <w:p>
      <w:pPr>
        <w:pStyle w:val="5"/>
        <w:keepNext w:val="0"/>
        <w:keepLines w:val="0"/>
        <w:jc w:val="center"/>
        <w:rPr>
          <w:rFonts w:hint="eastAsia"/>
          <w:color w:val="auto"/>
          <w:highlight w:val="none"/>
        </w:rPr>
      </w:pPr>
      <w:r>
        <w:rPr>
          <w:rFonts w:hint="eastAsia"/>
          <w:color w:val="auto"/>
          <w:highlight w:val="none"/>
        </w:rPr>
        <w:t>一、总  则</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84" w:name="_Toc254970668"/>
      <w:bookmarkStart w:id="85" w:name="_Toc254970527"/>
      <w:r>
        <w:rPr>
          <w:rFonts w:hint="eastAsia" w:ascii="黑体" w:hAnsi="黑体" w:eastAsia="黑体"/>
          <w:color w:val="auto"/>
          <w:sz w:val="24"/>
          <w:highlight w:val="none"/>
        </w:rPr>
        <w:t>1.适用范围</w:t>
      </w:r>
      <w:bookmarkEnd w:id="84"/>
      <w:bookmarkEnd w:id="85"/>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86" w:name="_Toc254970528"/>
      <w:bookmarkStart w:id="87" w:name="_Toc254970669"/>
      <w:r>
        <w:rPr>
          <w:rFonts w:hint="eastAsia" w:ascii="黑体" w:hAnsi="黑体" w:eastAsia="黑体"/>
          <w:color w:val="auto"/>
          <w:sz w:val="24"/>
          <w:highlight w:val="none"/>
        </w:rPr>
        <w:t>2.定义</w:t>
      </w:r>
      <w:bookmarkEnd w:id="86"/>
      <w:bookmarkEnd w:id="87"/>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2"/>
        <w:spacing w:line="360" w:lineRule="auto"/>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2.5“货物”是指各种形态和种类的物品，包括原材料、燃料、设备、产品等；“服务”是指除货物和工程以外的其他政府采购对象。</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bookmarkStart w:id="88" w:name="_Toc254970529"/>
      <w:bookmarkStart w:id="89" w:name="_Toc254970670"/>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88"/>
      <w:bookmarkEnd w:id="89"/>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投标人的资格要求详见“投标人须知前附表”。</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0" w:name="_Toc254970671"/>
      <w:bookmarkStart w:id="91" w:name="_Toc254970530"/>
      <w:r>
        <w:rPr>
          <w:rFonts w:hint="eastAsia" w:ascii="黑体" w:hAnsi="黑体" w:eastAsia="黑体"/>
          <w:color w:val="auto"/>
          <w:sz w:val="24"/>
          <w:highlight w:val="none"/>
        </w:rPr>
        <w:t>4.投标委托</w:t>
      </w:r>
      <w:bookmarkEnd w:id="90"/>
      <w:bookmarkEnd w:id="91"/>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2" w:name="_5.投标费用"/>
      <w:bookmarkEnd w:id="92"/>
      <w:bookmarkStart w:id="93" w:name="_Toc254970531"/>
      <w:bookmarkStart w:id="94" w:name="_Toc254970672"/>
      <w:r>
        <w:rPr>
          <w:rFonts w:hint="eastAsia" w:ascii="黑体" w:hAnsi="黑体" w:eastAsia="黑体"/>
          <w:color w:val="auto"/>
          <w:sz w:val="24"/>
          <w:highlight w:val="none"/>
        </w:rPr>
        <w:t>5.投标费用</w:t>
      </w:r>
      <w:bookmarkEnd w:id="93"/>
      <w:bookmarkEnd w:id="94"/>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7"/>
        <w:keepNext w:val="0"/>
        <w:keepLines w:val="0"/>
        <w:spacing w:before="0" w:after="0" w:line="360" w:lineRule="auto"/>
        <w:ind w:firstLine="424" w:firstLineChars="202"/>
        <w:rPr>
          <w:rFonts w:hint="eastAsia" w:ascii="黑体" w:hAnsi="黑体" w:eastAsia="黑体"/>
          <w:color w:val="auto"/>
          <w:sz w:val="24"/>
          <w:highlight w:val="none"/>
        </w:rPr>
      </w:pPr>
      <w:r>
        <w:rPr>
          <w:rFonts w:hint="eastAsia" w:ascii="宋体" w:hAnsi="宋体"/>
          <w:b w:val="0"/>
          <w:bCs/>
          <w:color w:val="auto"/>
          <w:sz w:val="21"/>
          <w:szCs w:val="21"/>
          <w:highlight w:val="none"/>
        </w:rPr>
        <w:t>6.3</w:t>
      </w:r>
      <w:r>
        <w:rPr>
          <w:rFonts w:ascii="宋体" w:hAnsi="宋体"/>
          <w:b w:val="0"/>
          <w:bCs/>
          <w:color w:val="auto"/>
          <w:sz w:val="21"/>
          <w:szCs w:val="21"/>
          <w:highlight w:val="none"/>
        </w:rPr>
        <w:t xml:space="preserve"> </w:t>
      </w:r>
      <w:bookmarkStart w:id="95" w:name="_Hlk65857072"/>
      <w:r>
        <w:rPr>
          <w:rFonts w:hint="eastAsia" w:ascii="宋体" w:hAnsi="宋体"/>
          <w:b w:val="0"/>
          <w:bCs/>
          <w:color w:val="auto"/>
          <w:sz w:val="21"/>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int="eastAsia" w:ascii="宋体" w:hAnsi="宋体"/>
          <w:b w:val="0"/>
          <w:bCs/>
          <w:color w:val="auto"/>
          <w:sz w:val="21"/>
          <w:szCs w:val="21"/>
          <w:highlight w:val="none"/>
          <w:lang w:val="en-US" w:eastAsia="zh-CN"/>
        </w:rPr>
        <w:t>4</w:t>
      </w:r>
      <w:r>
        <w:rPr>
          <w:rFonts w:hint="eastAsia" w:ascii="宋体" w:hAnsi="宋体"/>
          <w:b w:val="0"/>
          <w:bCs/>
          <w:color w:val="auto"/>
          <w:sz w:val="21"/>
          <w:szCs w:val="21"/>
          <w:highlight w:val="none"/>
        </w:rPr>
        <w:t>%-</w:t>
      </w:r>
      <w:r>
        <w:rPr>
          <w:rFonts w:hint="eastAsia" w:ascii="宋体" w:hAnsi="宋体"/>
          <w:b w:val="0"/>
          <w:bCs/>
          <w:color w:val="auto"/>
          <w:sz w:val="21"/>
          <w:szCs w:val="21"/>
          <w:highlight w:val="none"/>
          <w:lang w:val="en-US" w:eastAsia="zh-CN"/>
        </w:rPr>
        <w:t>6</w:t>
      </w:r>
      <w:r>
        <w:rPr>
          <w:rFonts w:hint="eastAsia" w:ascii="宋体" w:hAnsi="宋体"/>
          <w:b w:val="0"/>
          <w:bCs/>
          <w:color w:val="auto"/>
          <w:sz w:val="21"/>
          <w:szCs w:val="21"/>
          <w:highlight w:val="none"/>
        </w:rPr>
        <w:t>%的扣除，用扣除后的价格参加评审。</w:t>
      </w:r>
      <w:bookmarkEnd w:id="95"/>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96" w:name="_Toc254970532"/>
      <w:bookmarkStart w:id="97" w:name="_Toc254970673"/>
      <w:r>
        <w:rPr>
          <w:rFonts w:hint="eastAsia" w:ascii="黑体" w:hAnsi="黑体" w:eastAsia="黑体"/>
          <w:color w:val="auto"/>
          <w:sz w:val="24"/>
          <w:highlight w:val="none"/>
        </w:rPr>
        <w:t>8.特别说明</w:t>
      </w:r>
      <w:bookmarkEnd w:id="96"/>
      <w:bookmarkEnd w:id="97"/>
    </w:p>
    <w:p>
      <w:pPr>
        <w:pStyle w:val="7"/>
        <w:keepNext w:val="0"/>
        <w:keepLines w:val="0"/>
        <w:spacing w:before="0" w:after="0" w:line="360" w:lineRule="auto"/>
        <w:ind w:firstLine="315" w:firstLineChars="150"/>
        <w:rPr>
          <w:rFonts w:hint="eastAsia" w:ascii="宋体" w:hAnsi="宋体"/>
          <w:b w:val="0"/>
          <w:color w:val="auto"/>
          <w:sz w:val="21"/>
          <w:szCs w:val="21"/>
          <w:highlight w:val="none"/>
        </w:rPr>
      </w:pPr>
      <w:bookmarkStart w:id="98" w:name="_8.1提供相同品牌产品且通过资格审查、符合性审查的不同投标人参加同一合"/>
      <w:bookmarkEnd w:id="98"/>
      <w:r>
        <w:rPr>
          <w:rFonts w:hint="eastAsia" w:ascii="宋体" w:hAnsi="宋体"/>
          <w:b w:val="0"/>
          <w:color w:val="auto"/>
          <w:sz w:val="21"/>
          <w:szCs w:val="21"/>
          <w:highlight w:val="none"/>
        </w:rPr>
        <w:t>8.1如果本招标文件要求提供投标人或制造商的资格、信誉、荣誉、业绩与企业认证等材料的，资格、信誉、荣誉、业绩与企业认证等必须为投标人或者制造商所拥有或自身获得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8.2投标人应仔细阅读招标文件的所有内容，按照招标文件的要求提交投标文件，并对所提供的全部资料的真实性承担法律责任。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8.3投标人在投标活动中提供任何虚假材料，将报监管部门查处；中标后发现的，中标人须依法赔偿采购人，且民事赔偿并不免除违法投标人的行政与刑事责任。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2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1</w:t>
      </w:r>
      <w:r>
        <w:rPr>
          <w:rFonts w:hAnsi="宋体"/>
          <w:color w:val="auto"/>
          <w:kern w:val="2"/>
          <w:sz w:val="21"/>
          <w:highlight w:val="none"/>
        </w:rPr>
        <w:t>）参加采购活动前3年内与</w:t>
      </w:r>
      <w:r>
        <w:rPr>
          <w:rFonts w:hint="eastAsia" w:hAnsi="宋体"/>
          <w:color w:val="auto"/>
          <w:kern w:val="2"/>
          <w:sz w:val="21"/>
          <w:highlight w:val="none"/>
        </w:rPr>
        <w:t>供应商</w:t>
      </w:r>
      <w:r>
        <w:rPr>
          <w:rFonts w:hAnsi="宋体"/>
          <w:color w:val="auto"/>
          <w:kern w:val="2"/>
          <w:sz w:val="21"/>
          <w:highlight w:val="none"/>
        </w:rPr>
        <w:t>存在劳动关系；</w:t>
      </w:r>
    </w:p>
    <w:p>
      <w:pPr>
        <w:pStyle w:val="2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2</w:t>
      </w:r>
      <w:r>
        <w:rPr>
          <w:rFonts w:hAnsi="宋体"/>
          <w:color w:val="auto"/>
          <w:kern w:val="2"/>
          <w:sz w:val="21"/>
          <w:highlight w:val="none"/>
        </w:rPr>
        <w:t>）参加采购活动前3年内担任</w:t>
      </w:r>
      <w:r>
        <w:rPr>
          <w:rFonts w:hint="eastAsia" w:hAnsi="宋体"/>
          <w:color w:val="auto"/>
          <w:kern w:val="2"/>
          <w:sz w:val="21"/>
          <w:highlight w:val="none"/>
        </w:rPr>
        <w:t>供应商</w:t>
      </w:r>
      <w:r>
        <w:rPr>
          <w:rFonts w:hAnsi="宋体"/>
          <w:color w:val="auto"/>
          <w:kern w:val="2"/>
          <w:sz w:val="21"/>
          <w:highlight w:val="none"/>
        </w:rPr>
        <w:t>的董事、监事；</w:t>
      </w:r>
    </w:p>
    <w:p>
      <w:pPr>
        <w:pStyle w:val="2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3</w:t>
      </w:r>
      <w:r>
        <w:rPr>
          <w:rFonts w:hAnsi="宋体"/>
          <w:color w:val="auto"/>
          <w:kern w:val="2"/>
          <w:sz w:val="21"/>
          <w:highlight w:val="none"/>
        </w:rPr>
        <w:t>）参加采购活动前3年内是</w:t>
      </w:r>
      <w:r>
        <w:rPr>
          <w:rFonts w:hint="eastAsia" w:hAnsi="宋体"/>
          <w:color w:val="auto"/>
          <w:kern w:val="2"/>
          <w:sz w:val="21"/>
          <w:highlight w:val="none"/>
        </w:rPr>
        <w:t>供应商</w:t>
      </w:r>
      <w:r>
        <w:rPr>
          <w:rFonts w:hAnsi="宋体"/>
          <w:color w:val="auto"/>
          <w:kern w:val="2"/>
          <w:sz w:val="21"/>
          <w:highlight w:val="none"/>
        </w:rPr>
        <w:t>的控股股东或者实际控制人；</w:t>
      </w:r>
    </w:p>
    <w:p>
      <w:pPr>
        <w:pStyle w:val="2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4</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的法定代表人或者负责人有夫妻、直系血亲、三代以内旁系血亲或者近姻亲关系；</w:t>
      </w:r>
    </w:p>
    <w:p>
      <w:pPr>
        <w:pStyle w:val="24"/>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5</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有其他可能影响政府采购活动公平、公正进行的关系。</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供应商</w:t>
      </w:r>
      <w:r>
        <w:rPr>
          <w:rFonts w:hAnsi="宋体"/>
          <w:color w:val="auto"/>
          <w:kern w:val="2"/>
          <w:sz w:val="21"/>
          <w:highlight w:val="none"/>
        </w:rPr>
        <w:t>认为采购人员及相关人员与其他</w:t>
      </w:r>
      <w:r>
        <w:rPr>
          <w:rFonts w:hint="eastAsia" w:hAnsi="宋体"/>
          <w:color w:val="auto"/>
          <w:kern w:val="2"/>
          <w:sz w:val="21"/>
          <w:highlight w:val="none"/>
        </w:rPr>
        <w:t>供应商</w:t>
      </w:r>
      <w:r>
        <w:rPr>
          <w:rFonts w:hAnsi="宋体"/>
          <w:color w:val="auto"/>
          <w:kern w:val="2"/>
          <w:sz w:val="21"/>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 xml:space="preserve">（1）不同投标人的投标文件由同一单位或者个人编制； </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（2）不同投标人委托同一单位或者个人办理投标事宜；</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（3）不同的投标人的投标文件载明的项目管理员为同一个人；</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（4）不同投标人的投标文件异常一致或者投标报价呈规律性差异；</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（5）不同投标人的投标文件相互混装；</w:t>
      </w:r>
    </w:p>
    <w:p>
      <w:pPr>
        <w:pStyle w:val="24"/>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（6）不同投标人的投标保证金从同一单位或者个人账户转出。</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（1）供应商直接或者间接从采购人或者采购代理机构处获得其他供应商的相关信息并修改其投标文件或者响应文件；</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（2）供应商按照采购人或者采购代理机构的授意撤换、修改投标文件或者响应文件；</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（3）供应商之间协商报价、技术方案等投标文件或者响应文件的实质性内容；</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（4）属于同一集团、协会、商会等组织成员的供应商按照该组织要求协同参加政府采购活动；</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24"/>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（6）供应商之间商定部分供应商放弃参加政府采购活动或者放弃中标；</w:t>
      </w:r>
    </w:p>
    <w:p>
      <w:pPr>
        <w:pStyle w:val="24"/>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（7）供应商与采购人或者采购代理机构之间、供应商相互之间，为谋求特定供应商中标或者排斥其他供应商的其他串通行为。</w:t>
      </w:r>
    </w:p>
    <w:p>
      <w:pPr>
        <w:pStyle w:val="24"/>
        <w:snapToGrid w:val="0"/>
        <w:spacing w:line="360" w:lineRule="auto"/>
        <w:ind w:left="2" w:leftChars="1" w:firstLine="422" w:firstLineChars="200"/>
        <w:rPr>
          <w:rFonts w:hint="eastAsia" w:hAnsi="宋体"/>
          <w:b/>
          <w:color w:val="auto"/>
          <w:kern w:val="2"/>
          <w:sz w:val="21"/>
          <w:highlight w:val="none"/>
        </w:rPr>
      </w:pPr>
    </w:p>
    <w:p>
      <w:pPr>
        <w:pStyle w:val="5"/>
        <w:keepNext w:val="0"/>
        <w:keepLines w:val="0"/>
        <w:jc w:val="center"/>
        <w:rPr>
          <w:rFonts w:hint="eastAsia"/>
          <w:color w:val="auto"/>
          <w:highlight w:val="none"/>
        </w:rPr>
      </w:pPr>
      <w:bookmarkStart w:id="99" w:name="_Toc254970675"/>
      <w:bookmarkStart w:id="100" w:name="_Toc254970534"/>
      <w:r>
        <w:rPr>
          <w:rFonts w:hint="eastAsia"/>
          <w:color w:val="auto"/>
          <w:highlight w:val="none"/>
        </w:rPr>
        <w:t>二、招标文件</w:t>
      </w:r>
      <w:bookmarkEnd w:id="99"/>
      <w:bookmarkEnd w:id="100"/>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7"/>
        <w:keepNext w:val="0"/>
        <w:keepLines w:val="0"/>
        <w:numPr>
          <w:ilvl w:val="0"/>
          <w:numId w:val="0"/>
        </w:numPr>
        <w:spacing w:before="0" w:after="0" w:line="360" w:lineRule="auto"/>
        <w:ind w:firstLine="420" w:firstLineChars="200"/>
        <w:rPr>
          <w:rFonts w:hint="eastAsia" w:ascii="宋体" w:hAnsi="宋体"/>
          <w:color w:val="auto"/>
          <w:highlight w:val="none"/>
        </w:rPr>
      </w:pPr>
      <w:r>
        <w:rPr>
          <w:rFonts w:hint="eastAsia" w:ascii="宋体" w:hAnsi="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11.3采购人和采购代理机构可以视采购具体情况，变更投标截止时间和开标时间，并</w:t>
      </w:r>
      <w:r>
        <w:rPr>
          <w:rFonts w:hint="eastAsia" w:ascii="宋体" w:hAnsi="宋体"/>
          <w:color w:val="auto"/>
          <w:szCs w:val="21"/>
          <w:highlight w:val="none"/>
        </w:rPr>
        <w:t>在原公告发布媒体上发布更正公告。</w:t>
      </w:r>
    </w:p>
    <w:p>
      <w:pPr>
        <w:spacing w:line="360" w:lineRule="auto"/>
        <w:ind w:firstLine="420" w:firstLineChars="200"/>
        <w:rPr>
          <w:rFonts w:hint="eastAsia" w:hAnsi="宋体"/>
          <w:color w:val="auto"/>
          <w:highlight w:val="none"/>
        </w:rPr>
      </w:pPr>
      <w:r>
        <w:rPr>
          <w:rFonts w:hint="eastAsia" w:ascii="宋体" w:hAnsi="宋体"/>
          <w:color w:val="auto"/>
          <w:szCs w:val="21"/>
          <w:highlight w:val="none"/>
        </w:rPr>
        <w:t>11.4招标文件澄清、答复、修改、补充的内容为招标文件的组成部分。</w:t>
      </w:r>
      <w:r>
        <w:rPr>
          <w:rFonts w:hint="eastAsia" w:ascii="宋体" w:hAnsi="宋体"/>
          <w:b/>
          <w:color w:val="auto"/>
          <w:szCs w:val="21"/>
          <w:highlight w:val="none"/>
        </w:rPr>
        <w:t>当招标文件与招标文件的澄清、答复、修改、补充通知就同一内容的表述不一致时，以最后发出的文件为准。</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w:t>
      </w:r>
      <w:r>
        <w:rPr>
          <w:rFonts w:hAnsi="宋体"/>
          <w:color w:val="auto"/>
          <w:sz w:val="21"/>
          <w:highlight w:val="none"/>
        </w:rPr>
        <w:t>1.</w:t>
      </w:r>
      <w:bookmarkStart w:id="101" w:name="_Hlk53134511"/>
      <w:r>
        <w:rPr>
          <w:rFonts w:hint="eastAsia" w:hAnsi="宋体"/>
          <w:color w:val="auto"/>
          <w:sz w:val="21"/>
          <w:highlight w:val="none"/>
        </w:rPr>
        <w:t>5采购人或者采购代理机构可以在招标文件提供期限截止后，组织已获取招标文件的潜在投标人现场考察或者召开开标前答疑会，具体详见“投标人须知前附表”。</w:t>
      </w:r>
    </w:p>
    <w:p>
      <w:pPr>
        <w:pStyle w:val="24"/>
        <w:snapToGrid w:val="0"/>
        <w:spacing w:line="360" w:lineRule="auto"/>
        <w:ind w:firstLine="420" w:firstLineChars="200"/>
        <w:rPr>
          <w:rFonts w:hint="eastAsia" w:hAnsi="宋体"/>
          <w:color w:val="auto"/>
          <w:sz w:val="21"/>
          <w:highlight w:val="none"/>
        </w:rPr>
      </w:pPr>
    </w:p>
    <w:bookmarkEnd w:id="101"/>
    <w:p>
      <w:pPr>
        <w:pStyle w:val="5"/>
        <w:keepNext w:val="0"/>
        <w:keepLines w:val="0"/>
        <w:jc w:val="center"/>
        <w:rPr>
          <w:rFonts w:hint="eastAsia"/>
          <w:color w:val="auto"/>
          <w:highlight w:val="none"/>
        </w:rPr>
      </w:pPr>
      <w:bookmarkStart w:id="102" w:name="_Toc254970535"/>
      <w:bookmarkStart w:id="103" w:name="_Toc254970676"/>
      <w:r>
        <w:rPr>
          <w:rFonts w:hint="eastAsia"/>
          <w:color w:val="auto"/>
          <w:highlight w:val="none"/>
        </w:rPr>
        <w:t>三、投标文件的编制</w:t>
      </w:r>
      <w:bookmarkEnd w:id="102"/>
      <w:bookmarkEnd w:id="103"/>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04" w:name="_Toc254970677"/>
      <w:bookmarkStart w:id="105" w:name="_Toc254970536"/>
      <w:r>
        <w:rPr>
          <w:rFonts w:hint="eastAsia" w:ascii="黑体" w:hAnsi="黑体" w:eastAsia="黑体"/>
          <w:color w:val="auto"/>
          <w:sz w:val="24"/>
          <w:highlight w:val="none"/>
        </w:rPr>
        <w:t>12.投标文件的编制原则</w:t>
      </w:r>
    </w:p>
    <w:p>
      <w:pPr>
        <w:snapToGrid w:val="0"/>
        <w:spacing w:line="360" w:lineRule="auto"/>
        <w:ind w:firstLine="420"/>
        <w:jc w:val="left"/>
        <w:rPr>
          <w:rFonts w:hint="eastAsia"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104"/>
      <w:bookmarkEnd w:id="105"/>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06" w:name="_13.1报价文件:_具体材料见“投标人须知前附表”。"/>
      <w:bookmarkEnd w:id="106"/>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07" w:name="_13.2资格证明文件：具体材料见“投标人须知前附表”。"/>
      <w:bookmarkEnd w:id="107"/>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08" w:name="_13.3商务文件:_具体材料见“投标人须知前附表”。"/>
      <w:bookmarkEnd w:id="108"/>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09" w:name="_13.4技术文件：具体材料见“投标人须知前附表”。"/>
      <w:bookmarkEnd w:id="109"/>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bookmarkStart w:id="110" w:name="_13.5投标文件电子版：具体材料见“投标人须知前附表”。"/>
      <w:bookmarkEnd w:id="110"/>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11" w:name="_Toc254970537"/>
      <w:bookmarkStart w:id="112" w:name="_Toc254970678"/>
      <w:r>
        <w:rPr>
          <w:rFonts w:hint="eastAsia" w:ascii="黑体" w:hAnsi="黑体" w:eastAsia="黑体"/>
          <w:color w:val="auto"/>
          <w:sz w:val="24"/>
          <w:highlight w:val="none"/>
        </w:rPr>
        <w:t>14.投标文件的语言及计量</w:t>
      </w:r>
      <w:bookmarkEnd w:id="111"/>
      <w:bookmarkEnd w:id="112"/>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pStyle w:val="24"/>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13" w:name="_Toc254970538"/>
      <w:bookmarkStart w:id="114" w:name="_Toc254970679"/>
      <w:r>
        <w:rPr>
          <w:rFonts w:hint="eastAsia" w:ascii="黑体" w:hAnsi="黑体" w:eastAsia="黑体"/>
          <w:color w:val="auto"/>
          <w:sz w:val="24"/>
          <w:highlight w:val="none"/>
        </w:rPr>
        <w:t>16.投标报价</w:t>
      </w:r>
      <w:bookmarkEnd w:id="113"/>
      <w:bookmarkEnd w:id="114"/>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7"/>
        <w:keepNext w:val="0"/>
        <w:keepLines w:val="0"/>
        <w:spacing w:before="0" w:after="0" w:line="360" w:lineRule="auto"/>
        <w:ind w:left="420" w:leftChars="200"/>
        <w:rPr>
          <w:rFonts w:hint="eastAsia" w:ascii="宋体" w:hAnsi="宋体"/>
          <w:b w:val="0"/>
          <w:color w:val="auto"/>
          <w:sz w:val="21"/>
          <w:szCs w:val="21"/>
          <w:highlight w:val="none"/>
        </w:rPr>
      </w:pPr>
      <w:bookmarkStart w:id="115" w:name="_16.2投标报价具体定义见投标人须知前附表。"/>
      <w:bookmarkEnd w:id="115"/>
      <w:r>
        <w:rPr>
          <w:rFonts w:hint="eastAsia" w:ascii="宋体" w:hAnsi="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bookmarkStart w:id="116" w:name="_17.1投标有效期应按“投标人须知中的前附表”规定的期限。"/>
      <w:bookmarkEnd w:id="116"/>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17.2</w:t>
      </w:r>
      <w:bookmarkStart w:id="117" w:name="_Toc254970681"/>
      <w:bookmarkStart w:id="118" w:name="_Toc254970540"/>
      <w:r>
        <w:rPr>
          <w:rFonts w:hint="eastAsia" w:ascii="宋体" w:hAnsi="宋体"/>
          <w:b w:val="0"/>
          <w:color w:val="auto"/>
          <w:sz w:val="21"/>
          <w:szCs w:val="21"/>
          <w:highlight w:val="none"/>
        </w:rPr>
        <w:t xml:space="preserve"> 投标有效期应按规定的期限作出承诺，具体详见“投标人须知前附表”。</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bookmarkEnd w:id="117"/>
      <w:bookmarkEnd w:id="118"/>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19" w:name="_18.投标保证金"/>
      <w:bookmarkEnd w:id="119"/>
      <w:bookmarkStart w:id="120" w:name="_Toc254970682"/>
      <w:bookmarkStart w:id="121" w:name="_Toc254970541"/>
      <w:r>
        <w:rPr>
          <w:rFonts w:hint="eastAsia" w:ascii="黑体" w:hAnsi="黑体" w:eastAsia="黑体"/>
          <w:color w:val="auto"/>
          <w:sz w:val="24"/>
          <w:highlight w:val="none"/>
        </w:rPr>
        <w:t>18.投标保证金</w:t>
      </w:r>
      <w:bookmarkEnd w:id="120"/>
      <w:bookmarkEnd w:id="121"/>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未中标人的投标保证金自中标通知书发出之日起</w:t>
      </w:r>
      <w:r>
        <w:rPr>
          <w:rFonts w:hint="eastAsia" w:ascii="宋体" w:hAnsi="宋体"/>
          <w:b w:val="0"/>
          <w:color w:val="auto"/>
          <w:sz w:val="21"/>
          <w:szCs w:val="21"/>
          <w:highlight w:val="none"/>
          <w:lang w:val="en-US" w:eastAsia="zh-CN"/>
        </w:rPr>
        <w:t>4</w:t>
      </w:r>
      <w:r>
        <w:rPr>
          <w:rFonts w:hint="eastAsia" w:ascii="宋体" w:hAnsi="宋体"/>
          <w:b w:val="0"/>
          <w:color w:val="auto"/>
          <w:sz w:val="21"/>
          <w:szCs w:val="21"/>
          <w:highlight w:val="none"/>
        </w:rPr>
        <w:t>个工作日内退还；中标人的投标保证金自政府采购合同签订之日起</w:t>
      </w:r>
      <w:r>
        <w:rPr>
          <w:rFonts w:hint="eastAsia" w:ascii="宋体" w:hAnsi="宋体"/>
          <w:b w:val="0"/>
          <w:color w:val="auto"/>
          <w:sz w:val="21"/>
          <w:szCs w:val="21"/>
          <w:highlight w:val="none"/>
          <w:lang w:val="en-US" w:eastAsia="zh-CN"/>
        </w:rPr>
        <w:t>4</w:t>
      </w:r>
      <w:r>
        <w:rPr>
          <w:rFonts w:hint="eastAsia" w:ascii="宋体" w:hAnsi="宋体"/>
          <w:b w:val="0"/>
          <w:color w:val="auto"/>
          <w:sz w:val="21"/>
          <w:szCs w:val="21"/>
          <w:highlight w:val="none"/>
        </w:rPr>
        <w:t xml:space="preserve">个工作日内退还。 </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22" w:name="_Toc254970542"/>
      <w:bookmarkStart w:id="123" w:name="_Toc254970683"/>
      <w:r>
        <w:rPr>
          <w:rFonts w:hint="eastAsia" w:ascii="黑体" w:hAnsi="黑体" w:eastAsia="黑体"/>
          <w:color w:val="auto"/>
          <w:sz w:val="24"/>
          <w:highlight w:val="none"/>
        </w:rPr>
        <w:t>19.投标文件的</w:t>
      </w:r>
      <w:bookmarkEnd w:id="122"/>
      <w:bookmarkEnd w:id="123"/>
      <w:r>
        <w:rPr>
          <w:rFonts w:hint="eastAsia" w:ascii="黑体" w:hAnsi="黑体" w:eastAsia="黑体"/>
          <w:color w:val="auto"/>
          <w:sz w:val="24"/>
          <w:highlight w:val="none"/>
        </w:rPr>
        <w:t>编制</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bookmarkStart w:id="124" w:name="_19.2投标文件应按报价文件、资格证明文件、商务文件、技术文件分别编制"/>
      <w:bookmarkEnd w:id="124"/>
      <w:r>
        <w:rPr>
          <w:rFonts w:hint="eastAsia" w:ascii="宋体" w:hAnsi="宋体"/>
          <w:b w:val="0"/>
          <w:color w:val="auto"/>
          <w:sz w:val="21"/>
          <w:szCs w:val="21"/>
          <w:highlight w:val="none"/>
        </w:rPr>
        <w:t>19.2投标文件应按报价文件、资格证明文件、商务文件、技术文件分别编制电子文件，并按“政采云”平台的要求编制、加密、上传。</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19.</w:t>
      </w:r>
      <w:bookmarkStart w:id="125" w:name="_Hlk65832616"/>
      <w:r>
        <w:rPr>
          <w:rFonts w:hint="eastAsia" w:ascii="宋体" w:hAnsi="宋体"/>
          <w:b w:val="0"/>
          <w:color w:val="auto"/>
          <w:sz w:val="21"/>
          <w:szCs w:val="21"/>
          <w:highlight w:val="none"/>
        </w:rPr>
        <w:t>3投标文件须由投标人在规定位置盖公章并签字</w:t>
      </w:r>
      <w:bookmarkStart w:id="126" w:name="_Hlk65832569"/>
      <w:r>
        <w:rPr>
          <w:rFonts w:hint="eastAsia" w:ascii="宋体" w:hAnsi="宋体"/>
          <w:b w:val="0"/>
          <w:color w:val="auto"/>
          <w:sz w:val="21"/>
          <w:szCs w:val="21"/>
          <w:highlight w:val="none"/>
        </w:rPr>
        <w:t>（具体以投标人须知前附表或投标文件格式规定为准）</w:t>
      </w:r>
      <w:bookmarkEnd w:id="125"/>
      <w:bookmarkEnd w:id="126"/>
      <w:r>
        <w:rPr>
          <w:rFonts w:hint="eastAsia" w:ascii="宋体" w:hAnsi="宋体"/>
          <w:b w:val="0"/>
          <w:color w:val="auto"/>
          <w:sz w:val="21"/>
          <w:szCs w:val="21"/>
          <w:highlight w:val="none"/>
        </w:rPr>
        <w:t>，</w:t>
      </w:r>
      <w:r>
        <w:rPr>
          <w:rFonts w:hint="eastAsia" w:ascii="宋体" w:hAnsi="宋体"/>
          <w:bCs/>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20.投标文件的加密、解密</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20.1电子投标文件编制完成后，投标人应按“政采云”平台的要求进行加密，并在规定时间内解密，否则，由此产生的后果由投标人自行负责。</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bookmarkStart w:id="127" w:name="_21.1投标人必须在“投标人须知中的前附表”规定的投标文件接收时间和投"/>
      <w:bookmarkEnd w:id="127"/>
      <w:r>
        <w:rPr>
          <w:rFonts w:hint="eastAsia" w:ascii="宋体" w:hAnsi="宋体"/>
          <w:b w:val="0"/>
          <w:color w:val="auto"/>
          <w:sz w:val="21"/>
          <w:szCs w:val="21"/>
          <w:highlight w:val="none"/>
        </w:rPr>
        <w:t>21.1投标人必须在“投标人须知前附表”规定的投标文件接收时间和投标地点提交投标文件。</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7"/>
        <w:keepNext w:val="0"/>
        <w:keepLines w:val="0"/>
        <w:numPr>
          <w:ilvl w:val="0"/>
          <w:numId w:val="0"/>
        </w:numPr>
        <w:spacing w:before="0" w:after="0" w:line="360" w:lineRule="auto"/>
        <w:ind w:firstLine="420" w:firstLineChars="200"/>
        <w:jc w:val="left"/>
        <w:rPr>
          <w:rFonts w:hint="eastAsia" w:ascii="宋体" w:hAnsi="宋体"/>
          <w:b w:val="0"/>
          <w:color w:val="auto"/>
          <w:sz w:val="21"/>
          <w:szCs w:val="21"/>
          <w:highlight w:val="none"/>
        </w:rPr>
      </w:pPr>
      <w:r>
        <w:rPr>
          <w:rFonts w:hint="eastAsia" w:ascii="宋体" w:hAnsi="宋体"/>
          <w:b w:val="0"/>
          <w:color w:val="auto"/>
          <w:sz w:val="21"/>
          <w:szCs w:val="21"/>
          <w:highlight w:val="none"/>
        </w:rPr>
        <w:t>21.3未在规定时间内上传或者未按“政采云”平台的要求编制、加密的电子投标文件，“政采云”平台将拒收。</w:t>
      </w:r>
    </w:p>
    <w:p>
      <w:pPr>
        <w:pStyle w:val="2"/>
        <w:rPr>
          <w:rFonts w:hint="eastAsia"/>
          <w:color w:val="auto"/>
          <w:highlight w:val="none"/>
        </w:rPr>
      </w:pPr>
      <w:r>
        <w:rPr>
          <w:rFonts w:hint="eastAsia" w:ascii="宋体" w:hAnsi="宋体"/>
          <w:color w:val="auto"/>
          <w:szCs w:val="21"/>
          <w:highlight w:val="none"/>
        </w:rPr>
        <w:t>21.4电子投标文件提交方式见“招标公告”中“四、提交投标文件截止时间、开标时间和地点”</w:t>
      </w:r>
    </w:p>
    <w:p>
      <w:pPr>
        <w:pStyle w:val="2"/>
        <w:rPr>
          <w:rFonts w:hint="eastAsia"/>
          <w:color w:val="auto"/>
          <w:highlight w:val="none"/>
        </w:rPr>
      </w:pP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hint="eastAsia" w:ascii="宋体" w:hAnsi="宋体"/>
          <w:color w:val="auto"/>
          <w:szCs w:val="21"/>
          <w:highlight w:val="none"/>
        </w:rPr>
      </w:pPr>
      <w:bookmarkStart w:id="128" w:name="_Toc254970543"/>
      <w:bookmarkStart w:id="129" w:name="_Toc254970684"/>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bookmarkEnd w:id="128"/>
    <w:bookmarkEnd w:id="129"/>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22.</w:t>
      </w:r>
      <w:r>
        <w:rPr>
          <w:rFonts w:ascii="宋体" w:hAnsi="宋体"/>
          <w:color w:val="auto"/>
          <w:szCs w:val="21"/>
          <w:highlight w:val="none"/>
        </w:rPr>
        <w:t>2</w:t>
      </w:r>
      <w:r>
        <w:rPr>
          <w:rFonts w:hint="eastAsia" w:ascii="宋体" w:hAnsi="宋体"/>
          <w:color w:val="auto"/>
          <w:szCs w:val="21"/>
          <w:highlight w:val="none"/>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2.3</w:t>
      </w:r>
      <w:r>
        <w:rPr>
          <w:rFonts w:hint="eastAsia" w:ascii="宋体" w:hAnsi="宋体" w:cs="宋体"/>
          <w:color w:val="auto"/>
          <w:szCs w:val="21"/>
          <w:highlight w:val="none"/>
        </w:rPr>
        <w:t xml:space="preserve"> 投标人在投标截止时间后书面通知采购人、采购代理机构撤销投标文件的，将根据本须知正文1</w:t>
      </w:r>
      <w:r>
        <w:rPr>
          <w:rFonts w:ascii="宋体" w:hAnsi="宋体" w:cs="宋体"/>
          <w:color w:val="auto"/>
          <w:szCs w:val="21"/>
          <w:highlight w:val="none"/>
        </w:rPr>
        <w:t>8</w:t>
      </w:r>
      <w:r>
        <w:rPr>
          <w:rFonts w:hint="eastAsia" w:ascii="宋体" w:hAnsi="宋体" w:cs="宋体"/>
          <w:color w:val="auto"/>
          <w:szCs w:val="21"/>
          <w:highlight w:val="none"/>
        </w:rPr>
        <w:t>.4的规定不予退还其投标保证金。</w:t>
      </w:r>
    </w:p>
    <w:p>
      <w:pPr>
        <w:pStyle w:val="19"/>
        <w:snapToGrid w:val="0"/>
        <w:spacing w:line="360" w:lineRule="auto"/>
        <w:ind w:firstLine="739"/>
        <w:rPr>
          <w:rFonts w:hint="eastAsia" w:ascii="宋体" w:hAnsi="宋体" w:eastAsia="宋体"/>
          <w:snapToGrid w:val="0"/>
          <w:color w:val="auto"/>
          <w:sz w:val="21"/>
          <w:szCs w:val="21"/>
          <w:highlight w:val="none"/>
        </w:rPr>
      </w:pPr>
    </w:p>
    <w:p>
      <w:pPr>
        <w:pStyle w:val="5"/>
        <w:keepNext w:val="0"/>
        <w:keepLines w:val="0"/>
        <w:jc w:val="center"/>
        <w:rPr>
          <w:rFonts w:hint="eastAsia"/>
          <w:color w:val="auto"/>
          <w:highlight w:val="none"/>
        </w:rPr>
      </w:pPr>
      <w:bookmarkStart w:id="130" w:name="_Toc254970685"/>
      <w:bookmarkStart w:id="131" w:name="_Toc254970544"/>
      <w:r>
        <w:rPr>
          <w:rFonts w:hint="eastAsia"/>
          <w:color w:val="auto"/>
          <w:highlight w:val="none"/>
        </w:rPr>
        <w:t>四、开    标</w:t>
      </w:r>
      <w:bookmarkEnd w:id="130"/>
      <w:bookmarkEnd w:id="131"/>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32" w:name="_23.开标时间和地点"/>
      <w:bookmarkEnd w:id="132"/>
      <w:r>
        <w:rPr>
          <w:rFonts w:hint="eastAsia" w:ascii="黑体" w:hAnsi="黑体" w:eastAsia="黑体"/>
          <w:color w:val="auto"/>
          <w:sz w:val="24"/>
          <w:highlight w:val="none"/>
        </w:rPr>
        <w:t>23.开标时间和地点</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23.1开标时间及地点详见“投标人须知前附表”。</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采购代理机构将按照招标文件规定的时间通过“政采云”平台组织线上开标活动、开启投标文件，所有供应商均应当准时在线参加。投标人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4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（解密异常情况处理：详见本章29.4 电子交易活动的中止）</w:t>
      </w:r>
    </w:p>
    <w:p>
      <w:pPr>
        <w:autoSpaceDE w:val="0"/>
        <w:autoSpaceDN w:val="0"/>
        <w:adjustRightInd w:val="0"/>
        <w:spacing w:line="44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（2）电子唱标。投标文件解密结束，各投标供应商报价均在“政采云”平台远程不见面开标大厅展示；</w:t>
      </w:r>
    </w:p>
    <w:p>
      <w:pPr>
        <w:autoSpaceDE w:val="0"/>
        <w:autoSpaceDN w:val="0"/>
        <w:adjustRightInd w:val="0"/>
        <w:spacing w:line="44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（3）开标过程由采购代理机构如实记录，并电子留痕，由参加电子开标的各投标人代表对电子开标记录在开标记录。</w:t>
      </w:r>
    </w:p>
    <w:p>
      <w:pPr>
        <w:autoSpaceDE w:val="0"/>
        <w:autoSpaceDN w:val="0"/>
        <w:adjustRightInd w:val="0"/>
        <w:spacing w:line="44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4）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autoSpaceDE w:val="0"/>
        <w:autoSpaceDN w:val="0"/>
        <w:adjustRightIn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特别说明：如遇“政采云”平台电子化开标或评审程序调整的，按调整后执行。</w:t>
      </w:r>
    </w:p>
    <w:p>
      <w:pPr>
        <w:pStyle w:val="24"/>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五、资格审查</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numPr>
          <w:ilvl w:val="0"/>
          <w:numId w:val="0"/>
        </w:numPr>
        <w:spacing w:before="0" w:after="0" w:line="360" w:lineRule="auto"/>
        <w:ind w:firstLine="422" w:firstLineChars="200"/>
        <w:rPr>
          <w:rFonts w:hint="eastAsia" w:ascii="宋体" w:hAnsi="宋体"/>
          <w:color w:val="auto"/>
          <w:sz w:val="21"/>
          <w:szCs w:val="21"/>
          <w:highlight w:val="none"/>
        </w:rPr>
      </w:pPr>
      <w:bookmarkStart w:id="133" w:name="_25.3_投标人有下列情形之一的，资格审查不通过而导致其投标无效："/>
      <w:bookmarkEnd w:id="133"/>
      <w:r>
        <w:rPr>
          <w:rFonts w:hint="eastAsia" w:ascii="宋体" w:hAnsi="宋体"/>
          <w:color w:val="auto"/>
          <w:sz w:val="21"/>
          <w:szCs w:val="21"/>
          <w:highlight w:val="none"/>
        </w:rPr>
        <w:t>25.3 投标人有下列情形之一的，资格审查不通过，作无效投标处理：</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（1）未按招标文件规定的方式获取本招标文件的投标人；</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（2）不具备招标文件中规定的资格要求的；</w:t>
      </w:r>
    </w:p>
    <w:p>
      <w:pPr>
        <w:pStyle w:val="24"/>
        <w:snapToGrid w:val="0"/>
        <w:spacing w:line="360" w:lineRule="auto"/>
        <w:ind w:firstLine="422" w:firstLineChars="200"/>
        <w:rPr>
          <w:rFonts w:hAnsi="宋体"/>
          <w:b/>
          <w:color w:val="auto"/>
          <w:sz w:val="21"/>
          <w:highlight w:val="none"/>
        </w:rPr>
      </w:pPr>
      <w:r>
        <w:rPr>
          <w:rFonts w:hint="eastAsia" w:hAnsi="宋体"/>
          <w:b/>
          <w:color w:val="auto"/>
          <w:sz w:val="21"/>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5</w:t>
      </w:r>
      <w:r>
        <w:rPr>
          <w:rFonts w:hint="eastAsia" w:hAnsi="宋体"/>
          <w:b/>
          <w:color w:val="auto"/>
          <w:sz w:val="21"/>
          <w:highlight w:val="none"/>
        </w:rPr>
        <w:t>）投标文件中的资格证明文件缺少任一项“投标人须知前附表”资格证明文件规定“必须提供”的文件资料的；</w:t>
      </w:r>
    </w:p>
    <w:p>
      <w:pPr>
        <w:pStyle w:val="24"/>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6</w:t>
      </w:r>
      <w:r>
        <w:rPr>
          <w:rFonts w:hint="eastAsia" w:hAnsi="宋体"/>
          <w:b/>
          <w:color w:val="auto"/>
          <w:sz w:val="21"/>
          <w:highlight w:val="none"/>
        </w:rPr>
        <w:t>）投标文件中的资格证明文件出现任一项不符合“投标人须知前附表”资格证明文件规定“必须提供”的文件资料要求或者无效的。</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4"/>
        <w:snapToGrid w:val="0"/>
        <w:spacing w:line="360" w:lineRule="auto"/>
        <w:ind w:left="689" w:leftChars="228" w:hanging="210" w:hangingChars="100"/>
        <w:rPr>
          <w:rFonts w:hint="eastAsia" w:hAnsi="宋体"/>
          <w:color w:val="auto"/>
          <w:sz w:val="21"/>
          <w:highlight w:val="none"/>
        </w:rPr>
      </w:pPr>
    </w:p>
    <w:p>
      <w:pPr>
        <w:pStyle w:val="5"/>
        <w:keepNext w:val="0"/>
        <w:keepLines w:val="0"/>
        <w:jc w:val="center"/>
        <w:rPr>
          <w:rFonts w:hint="eastAsia"/>
          <w:color w:val="auto"/>
          <w:highlight w:val="none"/>
        </w:rPr>
      </w:pPr>
      <w:r>
        <w:rPr>
          <w:rFonts w:hint="eastAsia"/>
          <w:color w:val="auto"/>
          <w:highlight w:val="none"/>
        </w:rPr>
        <w:t>六、评   标</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34" w:name="_26.组建评标委员会"/>
      <w:bookmarkEnd w:id="134"/>
      <w:r>
        <w:rPr>
          <w:rFonts w:hint="eastAsia" w:ascii="黑体" w:hAnsi="黑体" w:eastAsia="黑体"/>
          <w:color w:val="auto"/>
          <w:sz w:val="24"/>
          <w:highlight w:val="none"/>
        </w:rPr>
        <w:t>26.组建评标委员会</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评标委员会由采购人代表和评审专家组成，具体人数详见“投标人须知前附表”，其中评审专家不得少于成员总数的三分之二。</w:t>
      </w:r>
    </w:p>
    <w:p>
      <w:pPr>
        <w:pStyle w:val="24"/>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参加过采购项目前期咨询论证的专家，不得参加该采购项目的评审活动。</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评标委员会以</w:t>
      </w:r>
      <w:r>
        <w:rPr>
          <w:rFonts w:hint="eastAsia" w:hAnsi="宋体" w:cs="宋体"/>
          <w:color w:val="auto"/>
          <w:sz w:val="21"/>
          <w:highlight w:val="none"/>
        </w:rPr>
        <w:t>“第四章 评标方法和评标标准”</w:t>
      </w:r>
      <w:r>
        <w:rPr>
          <w:rFonts w:hint="eastAsia" w:hAnsi="宋体"/>
          <w:color w:val="auto"/>
          <w:sz w:val="21"/>
          <w:highlight w:val="none"/>
        </w:rPr>
        <w:t>为依据对投标文件进行评审，</w:t>
      </w:r>
      <w:r>
        <w:rPr>
          <w:rFonts w:hAnsi="宋体"/>
          <w:color w:val="auto"/>
          <w:sz w:val="21"/>
          <w:highlight w:val="none"/>
        </w:rPr>
        <w:t>没有规定的方法、评审因素和标准，不作为评标依据。</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28.2</w:t>
      </w:r>
      <w:bookmarkStart w:id="135" w:name="_28.3评标方法。本项目将按须知前附表规定的评标办法进行评标，具体评标"/>
      <w:bookmarkEnd w:id="135"/>
      <w:r>
        <w:rPr>
          <w:rFonts w:hint="eastAsia" w:hAnsi="宋体"/>
          <w:color w:val="auto"/>
          <w:sz w:val="21"/>
          <w:highlight w:val="none"/>
        </w:rPr>
        <w:t>评委表决。评标委员会成员对需要共同认定的事项存在争议的，应当按照少数服从多数的原则作出结论。</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28.</w:t>
      </w:r>
      <w:r>
        <w:rPr>
          <w:rFonts w:hAnsi="宋体"/>
          <w:color w:val="auto"/>
          <w:sz w:val="21"/>
          <w:highlight w:val="none"/>
        </w:rPr>
        <w:t>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8.4</w:t>
      </w:r>
      <w:r>
        <w:rPr>
          <w:rFonts w:hint="eastAsia" w:hAnsi="宋体"/>
          <w:color w:val="auto"/>
          <w:sz w:val="21"/>
          <w:highlight w:val="none"/>
        </w:rPr>
        <w:t>评标过程的监控。本项目评标过程实行全程录音、录像监控，</w:t>
      </w:r>
      <w:r>
        <w:rPr>
          <w:rFonts w:hint="eastAsia" w:hAnsi="宋体"/>
          <w:b/>
          <w:bCs/>
          <w:color w:val="auto"/>
          <w:sz w:val="21"/>
          <w:highlight w:val="none"/>
        </w:rPr>
        <w:t>投标人在评标过程中所进行的试图影响评标结果的不公正活动，可能导致其投标无效</w:t>
      </w:r>
      <w:r>
        <w:rPr>
          <w:rFonts w:hint="eastAsia" w:hAnsi="宋体"/>
          <w:color w:val="auto"/>
          <w:sz w:val="21"/>
          <w:highlight w:val="none"/>
        </w:rPr>
        <w:t>。</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2</w:t>
      </w:r>
      <w:r>
        <w:rPr>
          <w:rFonts w:hAnsi="宋体"/>
          <w:color w:val="auto"/>
          <w:sz w:val="21"/>
          <w:highlight w:val="none"/>
        </w:rPr>
        <w:t>9.1</w:t>
      </w:r>
      <w:r>
        <w:rPr>
          <w:rFonts w:hint="eastAsia" w:hAnsi="宋体"/>
          <w:color w:val="auto"/>
          <w:sz w:val="21"/>
          <w:highlight w:val="none"/>
        </w:rPr>
        <w:t>本项目的评标方法详见“投标人须知前附表”。</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9.2</w:t>
      </w:r>
      <w:r>
        <w:rPr>
          <w:rFonts w:hAnsi="宋体" w:cs="宋体"/>
          <w:color w:val="auto"/>
          <w:sz w:val="21"/>
          <w:highlight w:val="none"/>
        </w:rPr>
        <w:t xml:space="preserve"> </w:t>
      </w:r>
      <w:r>
        <w:rPr>
          <w:rFonts w:hAnsi="宋体"/>
          <w:color w:val="auto"/>
          <w:sz w:val="21"/>
          <w:highlight w:val="none"/>
        </w:rPr>
        <w:t>中标候选人推荐数量详见</w:t>
      </w:r>
      <w:r>
        <w:rPr>
          <w:rFonts w:hint="eastAsia" w:hAnsi="宋体"/>
          <w:color w:val="auto"/>
          <w:sz w:val="21"/>
          <w:highlight w:val="none"/>
        </w:rPr>
        <w:t>“投标人须知前附表”。</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9.</w:t>
      </w:r>
      <w:r>
        <w:rPr>
          <w:rFonts w:hint="eastAsia" w:hAnsi="宋体"/>
          <w:color w:val="auto"/>
          <w:sz w:val="21"/>
          <w:highlight w:val="none"/>
        </w:rPr>
        <w:t>3</w:t>
      </w:r>
      <w:r>
        <w:rPr>
          <w:rFonts w:hAnsi="宋体"/>
          <w:color w:val="auto"/>
          <w:sz w:val="21"/>
          <w:highlight w:val="none"/>
        </w:rPr>
        <w:t>评标委员会</w:t>
      </w:r>
      <w:r>
        <w:rPr>
          <w:rFonts w:hint="eastAsia" w:hAnsi="宋体"/>
          <w:color w:val="auto"/>
          <w:sz w:val="21"/>
          <w:highlight w:val="none"/>
        </w:rPr>
        <w:t>将</w:t>
      </w:r>
      <w:r>
        <w:rPr>
          <w:rFonts w:hAnsi="宋体"/>
          <w:color w:val="auto"/>
          <w:sz w:val="21"/>
          <w:highlight w:val="none"/>
        </w:rPr>
        <w:t>按照</w:t>
      </w:r>
      <w:r>
        <w:rPr>
          <w:rFonts w:hint="eastAsia" w:hAnsi="宋体"/>
          <w:color w:val="auto"/>
          <w:sz w:val="21"/>
          <w:highlight w:val="none"/>
        </w:rPr>
        <w:t>“第四章 评标方法和评标标准”</w:t>
      </w:r>
      <w:r>
        <w:rPr>
          <w:rFonts w:hAnsi="宋体"/>
          <w:color w:val="auto"/>
          <w:sz w:val="21"/>
          <w:highlight w:val="none"/>
        </w:rPr>
        <w:t>规定的方法、评审因素、标准和程序对投标文件进行评审。</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29.4电子交易活动的中止。采购过程中出现以下情形，导致电子交易平台无法正常运行，或者无法保证电子交易的公平、公正和安全时，采购代理机构可中止电子交易活动：</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 xml:space="preserve">（1）电子交易平台发生故障而无法登录访问的； </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（2）电子交易平台应用或数据库出现错误，不能进行正常操作的；</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（3）电子交易平台发现严重安全漏洞，有潜在泄密危险的；</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 xml:space="preserve">（4）病毒发作导致不能进行正常操作的； </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（4）其他无法保证电子交易的公平、公正和安全的情况。</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24"/>
        <w:snapToGrid w:val="0"/>
        <w:spacing w:line="360" w:lineRule="auto"/>
        <w:rPr>
          <w:rFonts w:hint="eastAsia" w:hAnsi="宋体"/>
          <w:color w:val="auto"/>
          <w:sz w:val="21"/>
          <w:highlight w:val="none"/>
        </w:rPr>
      </w:pPr>
    </w:p>
    <w:p>
      <w:pPr>
        <w:pStyle w:val="5"/>
        <w:keepNext w:val="0"/>
        <w:keepLines w:val="0"/>
        <w:jc w:val="center"/>
        <w:rPr>
          <w:rFonts w:hint="eastAsia"/>
          <w:color w:val="auto"/>
          <w:highlight w:val="none"/>
        </w:rPr>
      </w:pPr>
      <w:bookmarkStart w:id="136" w:name="_Toc254970687"/>
      <w:bookmarkStart w:id="137" w:name="_Toc254970546"/>
      <w:r>
        <w:rPr>
          <w:rFonts w:hint="eastAsia"/>
          <w:color w:val="auto"/>
          <w:highlight w:val="none"/>
        </w:rPr>
        <w:t>七、</w:t>
      </w:r>
      <w:bookmarkEnd w:id="136"/>
      <w:bookmarkEnd w:id="137"/>
      <w:r>
        <w:rPr>
          <w:rFonts w:hint="eastAsia"/>
          <w:color w:val="auto"/>
          <w:highlight w:val="none"/>
        </w:rPr>
        <w:t>中标和合同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30.3出现下列情形之一的，应予废标：</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废标后，采购人应当将废标理由通知所有投标人。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w:t>
      </w:r>
      <w:r>
        <w:rPr>
          <w:rFonts w:hint="eastAsia" w:ascii="宋体" w:hAnsi="宋体" w:cs="Courier New"/>
          <w:color w:val="auto"/>
          <w:szCs w:val="21"/>
          <w:highlight w:val="none"/>
        </w:rPr>
        <w:t>4 中标人拒绝签订政府采购合同（包括但不限于放弃中标、因不可抗力不能履行合同而放弃签订合同），采购人可以按照评审报告推荐的中标候选人名单排序，确定下一候选人为中标供应商，也可以重新开展政府采购活动。</w:t>
      </w:r>
      <w:r>
        <w:rPr>
          <w:rFonts w:ascii="宋体" w:hAnsi="宋体" w:cs="Courier New"/>
          <w:color w:val="auto"/>
          <w:szCs w:val="21"/>
          <w:highlight w:val="none"/>
        </w:rPr>
        <w:t>拒绝签订政府采购合同的</w:t>
      </w:r>
      <w:r>
        <w:rPr>
          <w:rFonts w:hint="eastAsia" w:ascii="宋体" w:hAnsi="宋体" w:cs="Courier New"/>
          <w:color w:val="auto"/>
          <w:szCs w:val="21"/>
          <w:highlight w:val="none"/>
        </w:rPr>
        <w:t>中标人</w:t>
      </w:r>
      <w:r>
        <w:rPr>
          <w:rFonts w:ascii="宋体" w:hAnsi="宋体" w:cs="Courier New"/>
          <w:color w:val="auto"/>
          <w:szCs w:val="21"/>
          <w:highlight w:val="none"/>
        </w:rPr>
        <w:t>不得参加对该项目重新开展的采购活动。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highlight w:val="none"/>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bookmarkStart w:id="138" w:name="_39.1中标人须于签订合同前按本须知前附表规定的金额转账或电汇到指定账"/>
      <w:bookmarkEnd w:id="138"/>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7"/>
        <w:keepNext w:val="0"/>
        <w:keepLines w:val="0"/>
        <w:spacing w:before="0" w:after="0" w:line="360" w:lineRule="auto"/>
        <w:ind w:firstLine="316" w:firstLineChars="150"/>
        <w:rPr>
          <w:rFonts w:hint="eastAsia"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bCs/>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before="0" w:after="0" w:line="360" w:lineRule="auto"/>
        <w:ind w:firstLine="315" w:firstLineChars="150"/>
        <w:rPr>
          <w:rFonts w:hint="eastAsia" w:ascii="宋体" w:hAnsi="宋体"/>
          <w:b w:val="0"/>
          <w:bCs/>
          <w:color w:val="auto"/>
          <w:sz w:val="21"/>
          <w:szCs w:val="21"/>
          <w:highlight w:val="none"/>
        </w:rPr>
      </w:pPr>
      <w:bookmarkStart w:id="139" w:name="_40.1投标人接到中标通知书后，按须知前附表规定向采购人出示相关资格证"/>
      <w:bookmarkEnd w:id="139"/>
      <w:r>
        <w:rPr>
          <w:rFonts w:hint="eastAsia" w:ascii="宋体" w:hAnsi="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w:t>
      </w:r>
      <w:r>
        <w:rPr>
          <w:rFonts w:hint="eastAsia" w:ascii="宋体" w:hAnsi="宋体"/>
          <w:b w:val="0"/>
          <w:bCs/>
          <w:color w:val="auto"/>
          <w:sz w:val="21"/>
          <w:szCs w:val="21"/>
          <w:highlight w:val="none"/>
        </w:rPr>
        <w:t>如中标人为联合体的，</w:t>
      </w:r>
      <w:r>
        <w:rPr>
          <w:rFonts w:ascii="宋体" w:hAnsi="宋体"/>
          <w:b w:val="0"/>
          <w:bCs/>
          <w:color w:val="auto"/>
          <w:sz w:val="21"/>
          <w:szCs w:val="21"/>
          <w:highlight w:val="none"/>
        </w:rPr>
        <w:t>联合体各方应当共同与采购人签订采购合同，就采购合同约定的事项对采购人承担连带责任。</w:t>
      </w:r>
    </w:p>
    <w:p>
      <w:pPr>
        <w:pStyle w:val="7"/>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36.2签订合同时间：按中标通知书规定的时间与采购人签订合同（最长不能超过25日）。</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40" w:name="_41.政府采购合同公告"/>
      <w:bookmarkEnd w:id="140"/>
      <w:r>
        <w:rPr>
          <w:rFonts w:hint="eastAsia" w:ascii="黑体" w:hAnsi="黑体" w:eastAsia="黑体"/>
          <w:color w:val="auto"/>
          <w:sz w:val="24"/>
          <w:highlight w:val="none"/>
        </w:rPr>
        <w:t>37.政府采购合同公告</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采购人或者受托采购代理机构应当自政府采购合同签订之日起2个工作日内，将政府采购合同在省级以上人民政府财政部门指定的媒体上公告，</w:t>
      </w:r>
      <w:r>
        <w:rPr>
          <w:rFonts w:hAnsi="宋体"/>
          <w:color w:val="auto"/>
          <w:sz w:val="21"/>
          <w:highlight w:val="none"/>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2"/>
        <w:spacing w:line="360" w:lineRule="auto"/>
        <w:rPr>
          <w:rFonts w:hint="eastAsia"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7"/>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4"/>
        <w:snapToGrid w:val="0"/>
        <w:spacing w:line="360" w:lineRule="auto"/>
        <w:ind w:firstLine="420" w:firstLineChars="200"/>
        <w:rPr>
          <w:rFonts w:hAnsi="宋体"/>
          <w:color w:val="auto"/>
          <w:sz w:val="21"/>
          <w:highlight w:val="none"/>
        </w:rPr>
      </w:pPr>
      <w:r>
        <w:rPr>
          <w:rFonts w:hAnsi="宋体"/>
          <w:color w:val="auto"/>
          <w:sz w:val="21"/>
          <w:highlight w:val="none"/>
        </w:rPr>
        <w:t>（</w:t>
      </w:r>
      <w:r>
        <w:rPr>
          <w:rFonts w:hint="eastAsia" w:hAnsi="宋体"/>
          <w:color w:val="auto"/>
          <w:sz w:val="21"/>
          <w:highlight w:val="none"/>
        </w:rPr>
        <w:t>1</w:t>
      </w:r>
      <w:r>
        <w:rPr>
          <w:rFonts w:hAnsi="宋体"/>
          <w:color w:val="auto"/>
          <w:sz w:val="21"/>
          <w:highlight w:val="none"/>
        </w:rPr>
        <w:t>）对可以质疑的</w:t>
      </w:r>
      <w:r>
        <w:rPr>
          <w:rFonts w:hint="eastAsia" w:hAnsi="宋体"/>
          <w:color w:val="auto"/>
          <w:sz w:val="21"/>
          <w:highlight w:val="none"/>
        </w:rPr>
        <w:t>招标</w:t>
      </w:r>
      <w:r>
        <w:rPr>
          <w:rFonts w:hAnsi="宋体"/>
          <w:color w:val="auto"/>
          <w:sz w:val="21"/>
          <w:highlight w:val="none"/>
        </w:rPr>
        <w:t>文件提出质疑的，为收到</w:t>
      </w:r>
      <w:r>
        <w:rPr>
          <w:rFonts w:hint="eastAsia" w:hAnsi="宋体"/>
          <w:color w:val="auto"/>
          <w:sz w:val="21"/>
          <w:highlight w:val="none"/>
        </w:rPr>
        <w:t>招标</w:t>
      </w:r>
      <w:r>
        <w:rPr>
          <w:rFonts w:hAnsi="宋体"/>
          <w:color w:val="auto"/>
          <w:sz w:val="21"/>
          <w:highlight w:val="none"/>
        </w:rPr>
        <w:t>文件之日</w:t>
      </w:r>
      <w:r>
        <w:rPr>
          <w:rFonts w:hint="eastAsia" w:hAnsi="宋体"/>
          <w:color w:val="auto"/>
          <w:sz w:val="21"/>
          <w:highlight w:val="none"/>
        </w:rPr>
        <w:t>或者招标文件公告期限届满之日</w:t>
      </w:r>
      <w:r>
        <w:rPr>
          <w:rFonts w:hAnsi="宋体"/>
          <w:color w:val="auto"/>
          <w:sz w:val="21"/>
          <w:highlight w:val="none"/>
        </w:rPr>
        <w:t>；</w:t>
      </w:r>
    </w:p>
    <w:p>
      <w:pPr>
        <w:pStyle w:val="24"/>
        <w:snapToGrid w:val="0"/>
        <w:spacing w:line="360" w:lineRule="auto"/>
        <w:ind w:firstLine="420" w:firstLineChars="200"/>
        <w:rPr>
          <w:rFonts w:hint="eastAsia" w:hAnsi="宋体"/>
          <w:color w:val="auto"/>
          <w:sz w:val="21"/>
          <w:highlight w:val="none"/>
        </w:rPr>
      </w:pPr>
      <w:r>
        <w:rPr>
          <w:rFonts w:hAnsi="宋体"/>
          <w:color w:val="auto"/>
          <w:sz w:val="21"/>
          <w:highlight w:val="none"/>
        </w:rPr>
        <w:t>（</w:t>
      </w:r>
      <w:r>
        <w:rPr>
          <w:rFonts w:hint="eastAsia" w:hAnsi="宋体"/>
          <w:color w:val="auto"/>
          <w:sz w:val="21"/>
          <w:highlight w:val="none"/>
        </w:rPr>
        <w:t>2</w:t>
      </w:r>
      <w:r>
        <w:rPr>
          <w:rFonts w:hAnsi="宋体"/>
          <w:color w:val="auto"/>
          <w:sz w:val="21"/>
          <w:highlight w:val="none"/>
        </w:rPr>
        <w:t>）对</w:t>
      </w:r>
      <w:r>
        <w:rPr>
          <w:rFonts w:hint="eastAsia" w:hAnsi="宋体"/>
          <w:color w:val="auto"/>
          <w:sz w:val="21"/>
          <w:highlight w:val="none"/>
        </w:rPr>
        <w:t>采购</w:t>
      </w:r>
      <w:r>
        <w:rPr>
          <w:rFonts w:hAnsi="宋体"/>
          <w:color w:val="auto"/>
          <w:sz w:val="21"/>
          <w:highlight w:val="none"/>
        </w:rPr>
        <w:t>过程提出质疑的，为各采购程序环节结束之日；</w:t>
      </w:r>
    </w:p>
    <w:p>
      <w:pPr>
        <w:pStyle w:val="24"/>
        <w:snapToGrid w:val="0"/>
        <w:spacing w:line="360" w:lineRule="auto"/>
        <w:ind w:firstLine="420" w:firstLineChars="200"/>
        <w:rPr>
          <w:rFonts w:hint="eastAsia" w:hAnsi="宋体"/>
          <w:bCs/>
          <w:color w:val="auto"/>
          <w:sz w:val="21"/>
          <w:highlight w:val="none"/>
        </w:rPr>
      </w:pPr>
      <w:r>
        <w:rPr>
          <w:rFonts w:hAnsi="宋体"/>
          <w:color w:val="auto"/>
          <w:sz w:val="21"/>
          <w:highlight w:val="none"/>
        </w:rPr>
        <w:t>（</w:t>
      </w:r>
      <w:r>
        <w:rPr>
          <w:rFonts w:hint="eastAsia" w:hAnsi="宋体"/>
          <w:color w:val="auto"/>
          <w:sz w:val="21"/>
          <w:highlight w:val="none"/>
        </w:rPr>
        <w:t>3</w:t>
      </w:r>
      <w:r>
        <w:rPr>
          <w:rFonts w:hAnsi="宋体"/>
          <w:color w:val="auto"/>
          <w:sz w:val="21"/>
          <w:highlight w:val="none"/>
        </w:rPr>
        <w:t>）对中标结果提出质疑的，为中标结果公告期限届满之日。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bCs/>
          <w:color w:val="auto"/>
          <w:sz w:val="21"/>
          <w:highlight w:val="none"/>
        </w:rPr>
        <w:t>供应商提出质疑应当提交质疑函和必要的证明材料</w:t>
      </w:r>
      <w:r>
        <w:rPr>
          <w:rFonts w:hint="eastAsia" w:hAnsi="宋体"/>
          <w:bCs/>
          <w:color w:val="auto"/>
          <w:sz w:val="21"/>
          <w:highlight w:val="none"/>
        </w:rPr>
        <w:t>，</w:t>
      </w:r>
      <w:r>
        <w:rPr>
          <w:rFonts w:hAnsi="宋体"/>
          <w:bCs/>
          <w:color w:val="auto"/>
          <w:sz w:val="21"/>
          <w:highlight w:val="none"/>
        </w:rPr>
        <w:t>针对同一采购程序环节的质疑</w:t>
      </w:r>
      <w:r>
        <w:rPr>
          <w:rFonts w:hint="eastAsia" w:hAnsi="宋体"/>
          <w:bCs/>
          <w:color w:val="auto"/>
          <w:sz w:val="21"/>
          <w:highlight w:val="none"/>
        </w:rPr>
        <w:t>必须</w:t>
      </w:r>
      <w:r>
        <w:rPr>
          <w:rFonts w:hAnsi="宋体"/>
          <w:bCs/>
          <w:color w:val="auto"/>
          <w:sz w:val="21"/>
          <w:highlight w:val="none"/>
        </w:rPr>
        <w:t>在法定质疑期内一次性提出。质疑函应当包括下列内容</w:t>
      </w:r>
      <w:r>
        <w:rPr>
          <w:rFonts w:hint="eastAsia" w:hAnsi="宋体"/>
          <w:bCs/>
          <w:color w:val="auto"/>
          <w:sz w:val="21"/>
          <w:highlight w:val="none"/>
        </w:rPr>
        <w:t>（质疑函格式后附）</w:t>
      </w:r>
      <w:r>
        <w:rPr>
          <w:rFonts w:hAnsi="宋体"/>
          <w:bCs/>
          <w:color w:val="auto"/>
          <w:sz w:val="21"/>
          <w:highlight w:val="none"/>
        </w:rPr>
        <w:t>：</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1</w:t>
      </w:r>
      <w:r>
        <w:rPr>
          <w:rFonts w:hAnsi="宋体"/>
          <w:bCs/>
          <w:color w:val="auto"/>
          <w:sz w:val="21"/>
          <w:highlight w:val="none"/>
        </w:rPr>
        <w:t>）供应商的姓名或者名称、地址、邮编、联系人及联系电话；</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2</w:t>
      </w:r>
      <w:r>
        <w:rPr>
          <w:rFonts w:hAnsi="宋体"/>
          <w:bCs/>
          <w:color w:val="auto"/>
          <w:sz w:val="21"/>
          <w:highlight w:val="none"/>
        </w:rPr>
        <w:t>）质疑项目的名称、编号；</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3</w:t>
      </w:r>
      <w:r>
        <w:rPr>
          <w:rFonts w:hAnsi="宋体"/>
          <w:bCs/>
          <w:color w:val="auto"/>
          <w:sz w:val="21"/>
          <w:highlight w:val="none"/>
        </w:rPr>
        <w:t>）具体、明确的质疑事项和与质疑事项相关的请求；</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4</w:t>
      </w:r>
      <w:r>
        <w:rPr>
          <w:rFonts w:hAnsi="宋体"/>
          <w:bCs/>
          <w:color w:val="auto"/>
          <w:sz w:val="21"/>
          <w:highlight w:val="none"/>
        </w:rPr>
        <w:t>）事实依据；</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5</w:t>
      </w:r>
      <w:r>
        <w:rPr>
          <w:rFonts w:hAnsi="宋体"/>
          <w:bCs/>
          <w:color w:val="auto"/>
          <w:sz w:val="21"/>
          <w:highlight w:val="none"/>
        </w:rPr>
        <w:t>）必要的法律依据；</w:t>
      </w:r>
    </w:p>
    <w:p>
      <w:pPr>
        <w:pStyle w:val="24"/>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6</w:t>
      </w:r>
      <w:r>
        <w:rPr>
          <w:rFonts w:hAnsi="宋体"/>
          <w:bCs/>
          <w:color w:val="auto"/>
          <w:sz w:val="21"/>
          <w:highlight w:val="none"/>
        </w:rPr>
        <w:t>）提出质疑的日期。</w:t>
      </w:r>
    </w:p>
    <w:p>
      <w:pPr>
        <w:pStyle w:val="24"/>
        <w:snapToGrid w:val="0"/>
        <w:spacing w:line="360" w:lineRule="auto"/>
        <w:ind w:firstLine="420" w:firstLineChars="200"/>
        <w:rPr>
          <w:rFonts w:hint="eastAsia" w:hAnsi="宋体"/>
          <w:bCs/>
          <w:color w:val="auto"/>
          <w:sz w:val="21"/>
          <w:highlight w:val="none"/>
        </w:rPr>
      </w:pPr>
      <w:r>
        <w:rPr>
          <w:rFonts w:hAnsi="宋体"/>
          <w:bCs/>
          <w:color w:val="auto"/>
          <w:sz w:val="21"/>
          <w:highlight w:val="none"/>
        </w:rPr>
        <w:t>供应商为自然人的，应当由本人签字；供应商为法人或者其他组织的，应当由法定代表人、主要负责人，或者其委托代理人签字或者盖章，并加盖公章</w:t>
      </w:r>
      <w:r>
        <w:rPr>
          <w:rFonts w:hint="eastAsia" w:hAnsi="宋体"/>
          <w:bCs/>
          <w:color w:val="auto"/>
          <w:sz w:val="21"/>
          <w:highlight w:val="none"/>
        </w:rPr>
        <w:t>。</w:t>
      </w:r>
    </w:p>
    <w:p>
      <w:pPr>
        <w:pStyle w:val="7"/>
        <w:keepNext w:val="0"/>
        <w:keepLines w:val="0"/>
        <w:snapToGrid w:val="0"/>
        <w:spacing w:before="0" w:after="0" w:line="360" w:lineRule="auto"/>
        <w:ind w:firstLine="420" w:firstLineChars="200"/>
        <w:rPr>
          <w:rFonts w:hint="eastAsia" w:ascii="宋体" w:hAns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4"/>
        <w:snapToGrid w:val="0"/>
        <w:spacing w:line="360" w:lineRule="auto"/>
        <w:rPr>
          <w:rFonts w:hint="eastAsia" w:hAnsi="宋体"/>
          <w:bCs/>
          <w:color w:val="auto"/>
          <w:sz w:val="21"/>
          <w:highlight w:val="none"/>
        </w:rPr>
      </w:pPr>
      <w:r>
        <w:rPr>
          <w:rFonts w:hint="eastAsia" w:hAnsi="宋体"/>
          <w:bCs/>
          <w:color w:val="auto"/>
          <w:sz w:val="21"/>
          <w:highlight w:val="none"/>
        </w:rPr>
        <w:t>　　（1）对招标文件提出的质疑，依法通过澄清或者修改可以继续开展采购活动的，澄清或者修改招标文件后继续开展采购活动；否则应当修改招标文件后重新开展采购活动。</w:t>
      </w:r>
    </w:p>
    <w:p>
      <w:pPr>
        <w:pStyle w:val="24"/>
        <w:snapToGrid w:val="0"/>
        <w:spacing w:line="360" w:lineRule="auto"/>
        <w:rPr>
          <w:rFonts w:hint="eastAsia" w:hAnsi="宋体"/>
          <w:bCs/>
          <w:color w:val="auto"/>
          <w:sz w:val="21"/>
          <w:highlight w:val="none"/>
        </w:rPr>
      </w:pPr>
      <w:r>
        <w:rPr>
          <w:rFonts w:hint="eastAsia" w:hAnsi="宋体"/>
          <w:bCs/>
          <w:color w:val="auto"/>
          <w:sz w:val="21"/>
          <w:highlight w:val="none"/>
        </w:rPr>
        <w:t>　　（2）对采购过程、中标结果提出的质疑，合格供应商符合法定数量时，可以从合格的中标候选人中另行确定中标供应商的，应当依法另行确定中标供应商；否则应当重新开展采购活动。</w:t>
      </w:r>
    </w:p>
    <w:p>
      <w:pPr>
        <w:pStyle w:val="24"/>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24"/>
        <w:snapToGrid w:val="0"/>
        <w:spacing w:line="360" w:lineRule="auto"/>
        <w:ind w:firstLine="420" w:firstLineChars="200"/>
        <w:rPr>
          <w:rFonts w:hint="eastAsia" w:hAnsi="宋体"/>
          <w:color w:val="auto"/>
          <w:sz w:val="21"/>
          <w:highlight w:val="none"/>
        </w:rPr>
      </w:pPr>
      <w:r>
        <w:rPr>
          <w:rFonts w:hAnsi="宋体"/>
          <w:color w:val="auto"/>
          <w:sz w:val="21"/>
          <w:highlight w:val="none"/>
        </w:rPr>
        <w:t>38</w:t>
      </w:r>
      <w:r>
        <w:rPr>
          <w:rFonts w:hint="eastAsia" w:hAnsi="宋体"/>
          <w:color w:val="auto"/>
          <w:sz w:val="21"/>
          <w:highlight w:val="none"/>
        </w:rPr>
        <w:t>.</w:t>
      </w:r>
      <w:r>
        <w:rPr>
          <w:rFonts w:hAnsi="宋体"/>
          <w:color w:val="auto"/>
          <w:sz w:val="21"/>
          <w:highlight w:val="none"/>
        </w:rPr>
        <w:t>5</w:t>
      </w:r>
      <w:r>
        <w:rPr>
          <w:rFonts w:hint="eastAsia" w:hAnsi="宋体"/>
          <w:color w:val="auto"/>
          <w:sz w:val="21"/>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bookmarkStart w:id="141" w:name="_八、其他事项"/>
      <w:bookmarkEnd w:id="141"/>
    </w:p>
    <w:p>
      <w:pPr>
        <w:pStyle w:val="24"/>
        <w:snapToGrid w:val="0"/>
        <w:spacing w:line="360" w:lineRule="auto"/>
        <w:ind w:firstLine="400" w:firstLineChars="200"/>
        <w:rPr>
          <w:rFonts w:hint="eastAsia"/>
          <w:color w:val="auto"/>
          <w:highlight w:val="none"/>
        </w:rPr>
      </w:pPr>
    </w:p>
    <w:p>
      <w:pPr>
        <w:pStyle w:val="5"/>
        <w:keepNext w:val="0"/>
        <w:keepLines w:val="0"/>
        <w:jc w:val="center"/>
        <w:rPr>
          <w:rFonts w:hint="eastAsia"/>
          <w:color w:val="auto"/>
          <w:highlight w:val="none"/>
        </w:rPr>
      </w:pPr>
      <w:r>
        <w:rPr>
          <w:rFonts w:hint="eastAsia"/>
          <w:color w:val="auto"/>
          <w:highlight w:val="none"/>
        </w:rPr>
        <w:t>八、其他事项</w:t>
      </w:r>
    </w:p>
    <w:p>
      <w:pPr>
        <w:pStyle w:val="7"/>
        <w:keepNext w:val="0"/>
        <w:keepLines w:val="0"/>
        <w:spacing w:before="0" w:after="0" w:line="360" w:lineRule="auto"/>
        <w:ind w:left="420" w:leftChars="200"/>
        <w:rPr>
          <w:rFonts w:hint="eastAsia" w:ascii="黑体" w:hAnsi="黑体" w:eastAsia="黑体"/>
          <w:color w:val="auto"/>
          <w:sz w:val="24"/>
          <w:highlight w:val="none"/>
        </w:rPr>
      </w:pPr>
      <w:bookmarkStart w:id="142" w:name="_42.代理服务费"/>
      <w:bookmarkEnd w:id="142"/>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w:t>
      </w:r>
      <w:r>
        <w:rPr>
          <w:rFonts w:hAnsi="宋体"/>
          <w:color w:val="auto"/>
          <w:sz w:val="21"/>
          <w:highlight w:val="none"/>
        </w:rPr>
        <w:t>9</w:t>
      </w:r>
      <w:r>
        <w:rPr>
          <w:rFonts w:hint="eastAsia" w:hAnsi="宋体"/>
          <w:color w:val="auto"/>
          <w:sz w:val="21"/>
          <w:highlight w:val="none"/>
        </w:rPr>
        <w:t>.1代理服务收取标准及缴费账户详见“投标人须知前附表”，投标人为联合体的，可以由联合体中的一方或者多方共同交纳代理服务费。</w:t>
      </w:r>
    </w:p>
    <w:p>
      <w:pPr>
        <w:spacing w:line="360" w:lineRule="auto"/>
        <w:ind w:firstLine="420" w:firstLineChars="200"/>
        <w:rPr>
          <w:rFonts w:ascii="宋体" w:hAnsi="宋体" w:cs="宋体"/>
          <w:color w:val="auto"/>
          <w:szCs w:val="21"/>
          <w:highlight w:val="none"/>
        </w:rPr>
      </w:pPr>
      <w:r>
        <w:rPr>
          <w:rFonts w:hint="eastAsia" w:ascii="宋体" w:hAnsi="宋体" w:eastAsia="宋体" w:cs="宋体"/>
          <w:color w:val="auto"/>
          <w:szCs w:val="21"/>
          <w:highlight w:val="none"/>
        </w:rPr>
        <w:t>39.2</w:t>
      </w:r>
      <w:r>
        <w:rPr>
          <w:rFonts w:hint="eastAsia" w:ascii="宋体" w:hAnsi="宋体" w:cs="宋体"/>
          <w:color w:val="auto"/>
          <w:szCs w:val="21"/>
          <w:highlight w:val="none"/>
        </w:rPr>
        <w:t>代理服务费交纳</w:t>
      </w:r>
      <w:r>
        <w:rPr>
          <w:rFonts w:ascii="宋体" w:hAnsi="宋体" w:cs="宋体"/>
          <w:color w:val="auto"/>
          <w:szCs w:val="21"/>
          <w:highlight w:val="none"/>
        </w:rPr>
        <w:t>银行帐号信息</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开户名称：广西国泰招标咨询有限公司南宁第五分公司</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开户银行：广西北部湾银行股份有限公司南宁市云景支行</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银行账号：805022302700001</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40.1本招标文件解释规则详见“投标人须知前附表”。</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40.2 其他事项详见“投标人须知前附表”。</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40.3</w:t>
      </w:r>
      <w:bookmarkStart w:id="143" w:name="_Hlk65857140"/>
      <w:r>
        <w:rPr>
          <w:rFonts w:hint="eastAsia" w:hAnsi="宋体" w:cs="宋体"/>
          <w:color w:val="auto"/>
          <w:sz w:val="21"/>
          <w:highlight w:val="none"/>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（1）在货物采购项目中，货物由中小企业制造，即货物由中小企业生产且使用该中小企业商号或者注册商标，不对其中涉及的工程承建商和服务的承接商作出要求；</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（2）在工程采购项目中，工程由中小企业承建，即工程施工单位为中小企业，不对其中涉及的货物的制造商和服务的承接商作出要求；</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4"/>
        <w:spacing w:before="120" w:after="120"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依据本招标文件规定享受扶持政策获得政府采购合同的，小微企业不得将合同分包给大中型企业，中型企业不得将合同分包给大型企业。</w:t>
      </w:r>
      <w:bookmarkEnd w:id="143"/>
    </w:p>
    <w:p>
      <w:pPr>
        <w:pStyle w:val="18"/>
        <w:ind w:left="479" w:leftChars="114" w:hanging="240" w:hangingChars="100"/>
        <w:rPr>
          <w:rFonts w:hint="eastAsia" w:hAnsi="宋体"/>
          <w:color w:val="auto"/>
          <w:highlight w:val="none"/>
        </w:rPr>
      </w:pPr>
      <w:r>
        <w:rPr>
          <w:rFonts w:hAnsi="宋体"/>
          <w:color w:val="auto"/>
          <w:highlight w:val="none"/>
        </w:rPr>
        <w:br w:type="page"/>
      </w:r>
    </w:p>
    <w:p>
      <w:pPr>
        <w:pStyle w:val="3"/>
        <w:jc w:val="center"/>
        <w:rPr>
          <w:rFonts w:hint="eastAsia"/>
          <w:color w:val="auto"/>
          <w:highlight w:val="none"/>
        </w:rPr>
      </w:pPr>
      <w:bookmarkStart w:id="144" w:name="_Toc254970548"/>
      <w:bookmarkStart w:id="145" w:name="_Toc330456896"/>
      <w:bookmarkStart w:id="146" w:name="_Toc254970689"/>
      <w:bookmarkStart w:id="147" w:name="_Toc74320803"/>
      <w:r>
        <w:rPr>
          <w:rFonts w:hint="eastAsia"/>
          <w:color w:val="auto"/>
          <w:highlight w:val="none"/>
        </w:rPr>
        <w:t>第四章  评标方法及评标标准</w:t>
      </w:r>
      <w:bookmarkEnd w:id="144"/>
      <w:bookmarkEnd w:id="145"/>
      <w:bookmarkEnd w:id="146"/>
      <w:bookmarkEnd w:id="147"/>
    </w:p>
    <w:p>
      <w:pPr>
        <w:pStyle w:val="24"/>
        <w:spacing w:before="120" w:after="120"/>
        <w:outlineLvl w:val="0"/>
        <w:rPr>
          <w:rFonts w:hint="eastAsia" w:hAnsi="宋体"/>
          <w:b/>
          <w:color w:val="auto"/>
          <w:highlight w:val="none"/>
        </w:rPr>
      </w:pPr>
      <w:bookmarkStart w:id="148" w:name="_Toc254970549"/>
      <w:bookmarkStart w:id="149" w:name="_Toc254970690"/>
    </w:p>
    <w:bookmarkEnd w:id="148"/>
    <w:bookmarkEnd w:id="149"/>
    <w:p>
      <w:pPr>
        <w:pStyle w:val="24"/>
        <w:spacing w:before="120" w:after="120"/>
        <w:outlineLvl w:val="0"/>
        <w:rPr>
          <w:rFonts w:hint="eastAsia" w:hAnsi="宋体"/>
          <w:bCs/>
          <w:color w:val="auto"/>
          <w:sz w:val="32"/>
          <w:szCs w:val="32"/>
          <w:highlight w:val="none"/>
        </w:rPr>
      </w:pPr>
    </w:p>
    <w:p>
      <w:pPr>
        <w:spacing w:before="156" w:beforeLines="50" w:after="156" w:afterLines="50" w:line="400" w:lineRule="exact"/>
        <w:rPr>
          <w:rFonts w:hint="eastAsia" w:ascii="宋体" w:hAnsi="宋体"/>
          <w:b/>
          <w:color w:val="auto"/>
          <w:sz w:val="24"/>
          <w:highlight w:val="none"/>
        </w:rPr>
      </w:pPr>
    </w:p>
    <w:p>
      <w:pPr>
        <w:pStyle w:val="24"/>
        <w:spacing w:line="360" w:lineRule="exact"/>
        <w:rPr>
          <w:rFonts w:hint="eastAsia" w:hAnsi="宋体"/>
          <w:b/>
          <w:color w:val="auto"/>
          <w:sz w:val="24"/>
          <w:highlight w:val="none"/>
        </w:rPr>
      </w:pPr>
    </w:p>
    <w:p>
      <w:pPr>
        <w:pStyle w:val="5"/>
        <w:keepNext w:val="0"/>
        <w:keepLines w:val="0"/>
        <w:jc w:val="center"/>
        <w:rPr>
          <w:color w:val="auto"/>
          <w:sz w:val="30"/>
          <w:szCs w:val="30"/>
          <w:highlight w:val="none"/>
        </w:rPr>
      </w:pPr>
      <w:r>
        <w:rPr>
          <w:color w:val="auto"/>
          <w:sz w:val="30"/>
          <w:szCs w:val="30"/>
          <w:highlight w:val="none"/>
        </w:rPr>
        <w:br w:type="page"/>
      </w:r>
      <w:r>
        <w:rPr>
          <w:rFonts w:hint="eastAsia"/>
          <w:color w:val="auto"/>
          <w:sz w:val="30"/>
          <w:szCs w:val="30"/>
          <w:highlight w:val="none"/>
        </w:rPr>
        <w:t>一、评标方法</w:t>
      </w:r>
    </w:p>
    <w:p>
      <w:pPr>
        <w:pStyle w:val="24"/>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24"/>
        <w:spacing w:line="360" w:lineRule="auto"/>
        <w:ind w:firstLine="420"/>
        <w:rPr>
          <w:rFonts w:hAnsi="宋体"/>
          <w:color w:val="auto"/>
          <w:sz w:val="21"/>
          <w:highlight w:val="none"/>
        </w:rPr>
      </w:pPr>
      <w:r>
        <w:rPr>
          <w:rFonts w:hint="eastAsia" w:hAnsi="宋体"/>
          <w:color w:val="auto"/>
          <w:sz w:val="21"/>
          <w:highlight w:val="none"/>
        </w:rPr>
        <w:t>最低评标价法，是指投标文件满足招标文件全部实质性要求，且投标报价最低的投标人为中标候选人的评标方法。</w:t>
      </w:r>
    </w:p>
    <w:p>
      <w:pPr>
        <w:pStyle w:val="5"/>
        <w:keepNext w:val="0"/>
        <w:keepLines w:val="0"/>
        <w:jc w:val="center"/>
        <w:rPr>
          <w:rFonts w:hint="eastAsia"/>
          <w:color w:val="auto"/>
          <w:sz w:val="30"/>
          <w:szCs w:val="30"/>
          <w:highlight w:val="none"/>
        </w:rPr>
      </w:pPr>
      <w:r>
        <w:rPr>
          <w:rFonts w:hint="eastAsia"/>
          <w:color w:val="auto"/>
          <w:sz w:val="30"/>
          <w:szCs w:val="30"/>
          <w:highlight w:val="none"/>
        </w:rPr>
        <w:t>二、评标程序</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24"/>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未提供“投标人须知前附表”第13.1条规定中“必须提供”的文件资料的；</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2"/>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（1）技术要求评审允许负偏离的条款数超过“投标人须知前附表”规定项数的；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（2）投标文件未提供“投标人须知前附表”第13.</w:t>
      </w:r>
      <w:r>
        <w:rPr>
          <w:rFonts w:ascii="宋体" w:hAnsi="宋体" w:eastAsia="宋体"/>
          <w:b/>
          <w:color w:val="auto"/>
          <w:kern w:val="2"/>
          <w:sz w:val="21"/>
          <w:szCs w:val="21"/>
          <w:highlight w:val="none"/>
        </w:rPr>
        <w:t>1</w:t>
      </w:r>
      <w:r>
        <w:rPr>
          <w:rFonts w:hint="eastAsia" w:ascii="宋体" w:hAnsi="宋体" w:eastAsia="宋体"/>
          <w:b/>
          <w:color w:val="auto"/>
          <w:kern w:val="2"/>
          <w:sz w:val="21"/>
          <w:szCs w:val="21"/>
          <w:highlight w:val="none"/>
        </w:rPr>
        <w:t>条规定中“必须提供”的文件资料的；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（3）虚假投标，或者出现其他情形而导致被评标委员会认定无效的；</w:t>
      </w:r>
    </w:p>
    <w:p>
      <w:pPr>
        <w:pStyle w:val="19"/>
        <w:snapToGrid w:val="0"/>
        <w:spacing w:line="360" w:lineRule="auto"/>
        <w:ind w:firstLine="413" w:firstLineChars="196"/>
        <w:rPr>
          <w:rFonts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（4）</w:t>
      </w:r>
      <w:bookmarkStart w:id="150" w:name="_Hlk71706244"/>
      <w:r>
        <w:rPr>
          <w:rFonts w:hint="eastAsia" w:ascii="宋体" w:hAnsi="宋体" w:eastAsia="宋体"/>
          <w:b/>
          <w:color w:val="auto"/>
          <w:kern w:val="2"/>
          <w:sz w:val="21"/>
          <w:szCs w:val="21"/>
          <w:highlight w:val="none"/>
        </w:rPr>
        <w:t>招标文件未载明允许提供备选（替代）投标方案或明确不允许提供备选（替代）投标方案时，投标人提供了备选（替代）投标方案的；</w:t>
      </w:r>
      <w:bookmarkEnd w:id="150"/>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（5）未响应招标文件实质性要求的。</w:t>
      </w:r>
    </w:p>
    <w:p>
      <w:pPr>
        <w:pStyle w:val="19"/>
        <w:snapToGrid w:val="0"/>
        <w:spacing w:line="360" w:lineRule="auto"/>
        <w:ind w:firstLine="413" w:firstLineChars="196"/>
        <w:rPr>
          <w:rFonts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2.4通过符合性审查的投标人不足3家，评标委员会不得继续评标，并出具评标报告。</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24"/>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24"/>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7"/>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hint="eastAsia"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jc w:val="center"/>
        <w:rPr>
          <w:rFonts w:hint="eastAsia"/>
          <w:color w:val="auto"/>
          <w:highlight w:val="none"/>
        </w:rPr>
      </w:pPr>
      <w:r>
        <w:rPr>
          <w:color w:val="auto"/>
          <w:highlight w:val="none"/>
        </w:rPr>
        <w:br w:type="page"/>
      </w:r>
      <w:r>
        <w:rPr>
          <w:rFonts w:ascii="宋体" w:hAnsi="宋体" w:cs="宋体"/>
          <w:b/>
          <w:bCs/>
          <w:color w:val="auto"/>
          <w:sz w:val="32"/>
          <w:szCs w:val="32"/>
          <w:highlight w:val="none"/>
        </w:rPr>
        <w:t>三</w:t>
      </w:r>
      <w:r>
        <w:rPr>
          <w:rFonts w:hint="eastAsia" w:ascii="宋体" w:hAnsi="宋体" w:cs="宋体"/>
          <w:b/>
          <w:bCs/>
          <w:color w:val="auto"/>
          <w:sz w:val="32"/>
          <w:szCs w:val="32"/>
          <w:highlight w:val="none"/>
        </w:rPr>
        <w:t>、评标标准</w:t>
      </w:r>
    </w:p>
    <w:p>
      <w:pPr>
        <w:pStyle w:val="5"/>
        <w:keepNext w:val="0"/>
        <w:keepLines w:val="0"/>
        <w:jc w:val="center"/>
        <w:rPr>
          <w:rFonts w:hint="eastAsia"/>
          <w:color w:val="auto"/>
          <w:highlight w:val="none"/>
        </w:rPr>
      </w:pPr>
      <w:r>
        <w:rPr>
          <w:rFonts w:hint="eastAsia"/>
          <w:color w:val="auto"/>
          <w:highlight w:val="none"/>
        </w:rPr>
        <w:t>综合评分法</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80"/>
        <w:gridCol w:w="709"/>
        <w:gridCol w:w="1559"/>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0" w:type="dxa"/>
            <w:noWrap w:val="0"/>
            <w:vAlign w:val="center"/>
          </w:tcPr>
          <w:p>
            <w:pPr>
              <w:keepNext w:val="0"/>
              <w:keepLines w:val="0"/>
              <w:suppressLineNumbers w:val="0"/>
              <w:adjustRightInd w:val="0"/>
              <w:spacing w:before="0" w:beforeAutospacing="0" w:after="0" w:afterAutospacing="0" w:line="410" w:lineRule="exact"/>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序号</w:t>
            </w:r>
          </w:p>
        </w:tc>
        <w:tc>
          <w:tcPr>
            <w:tcW w:w="1280" w:type="dxa"/>
            <w:noWrap w:val="0"/>
            <w:vAlign w:val="center"/>
          </w:tcPr>
          <w:p>
            <w:pPr>
              <w:keepNext w:val="0"/>
              <w:keepLines w:val="0"/>
              <w:suppressLineNumbers w:val="0"/>
              <w:adjustRightInd w:val="0"/>
              <w:spacing w:before="0" w:beforeAutospacing="0" w:after="0" w:afterAutospacing="0" w:line="410" w:lineRule="exact"/>
              <w:ind w:left="0" w:right="0"/>
              <w:jc w:val="center"/>
              <w:textAlignment w:val="baseline"/>
              <w:rPr>
                <w:rFonts w:hint="eastAsia" w:ascii="宋体" w:hAnsi="宋体" w:cs="Times New Roman"/>
                <w:color w:val="auto"/>
                <w:szCs w:val="21"/>
                <w:highlight w:val="none"/>
              </w:rPr>
            </w:pPr>
            <w:r>
              <w:rPr>
                <w:rFonts w:hint="eastAsia" w:ascii="宋体" w:hAnsi="宋体" w:cs="Times New Roman"/>
                <w:b/>
                <w:color w:val="auto"/>
                <w:szCs w:val="21"/>
                <w:highlight w:val="none"/>
              </w:rPr>
              <w:t>评审因素</w:t>
            </w:r>
          </w:p>
        </w:tc>
        <w:tc>
          <w:tcPr>
            <w:tcW w:w="709" w:type="dxa"/>
            <w:noWrap w:val="0"/>
            <w:vAlign w:val="center"/>
          </w:tcPr>
          <w:p>
            <w:pPr>
              <w:keepNext w:val="0"/>
              <w:keepLines w:val="0"/>
              <w:suppressLineNumbers w:val="0"/>
              <w:adjustRightInd w:val="0"/>
              <w:spacing w:before="0" w:beforeAutospacing="0" w:after="0" w:afterAutospacing="0" w:line="410" w:lineRule="exact"/>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分值</w:t>
            </w:r>
          </w:p>
        </w:tc>
        <w:tc>
          <w:tcPr>
            <w:tcW w:w="6969" w:type="dxa"/>
            <w:gridSpan w:val="2"/>
            <w:noWrap w:val="0"/>
            <w:vAlign w:val="center"/>
          </w:tcPr>
          <w:p>
            <w:pPr>
              <w:keepNext w:val="0"/>
              <w:keepLines w:val="0"/>
              <w:suppressLineNumbers w:val="0"/>
              <w:adjustRightInd w:val="0"/>
              <w:spacing w:before="0" w:beforeAutospacing="0" w:after="0" w:afterAutospacing="0" w:line="410" w:lineRule="exact"/>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1</w:t>
            </w:r>
          </w:p>
        </w:tc>
        <w:tc>
          <w:tcPr>
            <w:tcW w:w="1280"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投标报价</w:t>
            </w:r>
          </w:p>
        </w:tc>
        <w:tc>
          <w:tcPr>
            <w:tcW w:w="709"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 w:val="21"/>
                <w:szCs w:val="21"/>
                <w:highlight w:val="none"/>
              </w:rPr>
            </w:pPr>
            <w:r>
              <w:rPr>
                <w:rFonts w:hint="eastAsia" w:ascii="宋体" w:hAnsi="宋体" w:cs="Times New Roman"/>
                <w:b/>
                <w:color w:val="auto"/>
                <w:sz w:val="21"/>
                <w:szCs w:val="21"/>
                <w:highlight w:val="none"/>
              </w:rPr>
              <w:t>10分</w:t>
            </w:r>
          </w:p>
        </w:tc>
        <w:tc>
          <w:tcPr>
            <w:tcW w:w="6969" w:type="dxa"/>
            <w:gridSpan w:val="2"/>
            <w:noWrap w:val="0"/>
            <w:vAlign w:val="center"/>
          </w:tcPr>
          <w:p>
            <w:pPr>
              <w:pStyle w:val="24"/>
              <w:keepNext w:val="0"/>
              <w:keepLines w:val="0"/>
              <w:suppressLineNumbers w:val="0"/>
              <w:spacing w:before="0" w:beforeAutospacing="0" w:after="0" w:afterAutospacing="0" w:line="420" w:lineRule="exact"/>
              <w:ind w:left="0" w:right="0"/>
              <w:outlineLvl w:val="0"/>
              <w:rPr>
                <w:rFonts w:hint="eastAsia" w:hAnsi="宋体" w:cs="Times New Roman"/>
                <w:b/>
                <w:color w:val="auto"/>
                <w:sz w:val="21"/>
                <w:szCs w:val="21"/>
                <w:highlight w:val="none"/>
              </w:rPr>
            </w:pPr>
            <w:r>
              <w:rPr>
                <w:rFonts w:hint="eastAsia" w:hAnsi="宋体" w:cs="Times New Roman"/>
                <w:b/>
                <w:color w:val="auto"/>
                <w:sz w:val="21"/>
                <w:szCs w:val="21"/>
                <w:highlight w:val="none"/>
                <w:lang w:eastAsia="zh-CN"/>
              </w:rPr>
              <w:t>一、</w:t>
            </w:r>
            <w:r>
              <w:rPr>
                <w:rFonts w:hint="eastAsia" w:hAnsi="宋体" w:cs="Times New Roman"/>
                <w:b/>
                <w:color w:val="auto"/>
                <w:sz w:val="21"/>
                <w:szCs w:val="21"/>
                <w:highlight w:val="none"/>
              </w:rPr>
              <w:t>投标报价分（满分10分）</w:t>
            </w:r>
          </w:p>
          <w:p>
            <w:pPr>
              <w:pStyle w:val="24"/>
              <w:keepNext w:val="0"/>
              <w:keepLines w:val="0"/>
              <w:suppressLineNumbers w:val="0"/>
              <w:spacing w:before="0" w:beforeAutospacing="0" w:after="0" w:afterAutospacing="0" w:line="420" w:lineRule="exact"/>
              <w:ind w:left="0" w:right="0" w:firstLine="420" w:firstLineChars="200"/>
              <w:rPr>
                <w:rFonts w:hint="eastAsia" w:hAnsi="宋体" w:cs="Times New Roman"/>
                <w:bCs/>
                <w:color w:val="auto"/>
                <w:sz w:val="21"/>
                <w:szCs w:val="21"/>
                <w:highlight w:val="none"/>
              </w:rPr>
            </w:pPr>
            <w:r>
              <w:rPr>
                <w:rFonts w:hint="eastAsia" w:cs="Times New Roman"/>
                <w:color w:val="auto"/>
                <w:sz w:val="21"/>
                <w:szCs w:val="21"/>
                <w:highlight w:val="none"/>
              </w:rPr>
              <w:t>1、</w:t>
            </w:r>
            <w:r>
              <w:rPr>
                <w:rFonts w:hint="eastAsia" w:hAnsi="宋体" w:cs="Times New Roman"/>
                <w:bCs/>
                <w:color w:val="auto"/>
                <w:sz w:val="21"/>
                <w:szCs w:val="21"/>
                <w:highlight w:val="none"/>
              </w:rPr>
              <w:t>投标报价</w:t>
            </w:r>
            <w:r>
              <w:rPr>
                <w:rFonts w:hint="default" w:hAnsi="宋体" w:cs="Times New Roman"/>
                <w:bCs/>
                <w:color w:val="auto"/>
                <w:sz w:val="21"/>
                <w:szCs w:val="21"/>
                <w:highlight w:val="none"/>
              </w:rPr>
              <w:t>分采用低价优先法计算，满足</w:t>
            </w:r>
            <w:r>
              <w:rPr>
                <w:rFonts w:hint="eastAsia" w:hAnsi="宋体" w:cs="Times New Roman"/>
                <w:bCs/>
                <w:color w:val="auto"/>
                <w:sz w:val="21"/>
                <w:szCs w:val="21"/>
                <w:highlight w:val="none"/>
                <w:lang w:eastAsia="zh-CN"/>
              </w:rPr>
              <w:t>采购</w:t>
            </w:r>
            <w:r>
              <w:rPr>
                <w:rFonts w:hint="default" w:hAnsi="宋体" w:cs="Times New Roman"/>
                <w:bCs/>
                <w:color w:val="auto"/>
                <w:sz w:val="21"/>
                <w:szCs w:val="21"/>
                <w:highlight w:val="none"/>
              </w:rPr>
              <w:t>文件要求且最低的</w:t>
            </w:r>
            <w:r>
              <w:rPr>
                <w:rFonts w:hint="eastAsia" w:hAnsi="宋体" w:cs="Times New Roman"/>
                <w:bCs/>
                <w:color w:val="auto"/>
                <w:sz w:val="21"/>
                <w:szCs w:val="21"/>
                <w:highlight w:val="none"/>
              </w:rPr>
              <w:t>有效投标人的</w:t>
            </w:r>
            <w:r>
              <w:rPr>
                <w:rFonts w:hint="eastAsia" w:hAnsi="宋体" w:cs="Times New Roman"/>
                <w:bCs/>
                <w:color w:val="auto"/>
                <w:sz w:val="21"/>
                <w:szCs w:val="21"/>
                <w:highlight w:val="none"/>
                <w:lang w:eastAsia="zh-CN"/>
              </w:rPr>
              <w:t>投标费率</w:t>
            </w:r>
            <w:r>
              <w:rPr>
                <w:rFonts w:hint="default" w:hAnsi="宋体" w:cs="Times New Roman"/>
                <w:bCs/>
                <w:color w:val="auto"/>
                <w:sz w:val="21"/>
                <w:szCs w:val="21"/>
                <w:highlight w:val="none"/>
              </w:rPr>
              <w:t>为评标基准价，其</w:t>
            </w:r>
            <w:r>
              <w:rPr>
                <w:rFonts w:hint="eastAsia" w:hAnsi="宋体" w:cs="Times New Roman"/>
                <w:bCs/>
                <w:color w:val="auto"/>
                <w:sz w:val="21"/>
                <w:szCs w:val="21"/>
                <w:highlight w:val="none"/>
              </w:rPr>
              <w:t>投标报价</w:t>
            </w:r>
            <w:r>
              <w:rPr>
                <w:rFonts w:hint="default" w:hAnsi="宋体" w:cs="Times New Roman"/>
                <w:bCs/>
                <w:color w:val="auto"/>
                <w:sz w:val="21"/>
                <w:szCs w:val="21"/>
                <w:highlight w:val="none"/>
              </w:rPr>
              <w:t>分为满分。</w:t>
            </w:r>
          </w:p>
          <w:p>
            <w:pPr>
              <w:pStyle w:val="24"/>
              <w:keepNext w:val="0"/>
              <w:keepLines w:val="0"/>
              <w:suppressLineNumbers w:val="0"/>
              <w:spacing w:before="0" w:beforeAutospacing="0" w:after="0" w:afterAutospacing="0" w:line="420" w:lineRule="exact"/>
              <w:ind w:left="0" w:right="0" w:firstLine="420" w:firstLineChars="200"/>
              <w:rPr>
                <w:rFonts w:hint="default" w:hAnsi="宋体" w:cs="Times New Roman"/>
                <w:bCs/>
                <w:color w:val="auto"/>
                <w:sz w:val="21"/>
                <w:szCs w:val="21"/>
                <w:highlight w:val="none"/>
              </w:rPr>
            </w:pPr>
            <w:r>
              <w:rPr>
                <w:rFonts w:hint="eastAsia" w:hAnsi="宋体" w:cs="Times New Roman"/>
                <w:bCs/>
                <w:color w:val="auto"/>
                <w:sz w:val="21"/>
                <w:szCs w:val="21"/>
                <w:highlight w:val="none"/>
              </w:rPr>
              <w:t>2、</w:t>
            </w:r>
            <w:r>
              <w:rPr>
                <w:rFonts w:hint="default" w:hAnsi="宋体" w:cs="Times New Roman"/>
                <w:bCs/>
                <w:color w:val="auto"/>
                <w:sz w:val="21"/>
                <w:szCs w:val="21"/>
                <w:highlight w:val="none"/>
              </w:rPr>
              <w:t>其他投标人的价格分统一按照下列公式计算：</w:t>
            </w:r>
          </w:p>
          <w:p>
            <w:pPr>
              <w:pStyle w:val="24"/>
              <w:keepNext w:val="0"/>
              <w:keepLines w:val="0"/>
              <w:suppressLineNumbers w:val="0"/>
              <w:spacing w:before="0" w:beforeAutospacing="0" w:after="0" w:afterAutospacing="0" w:line="420" w:lineRule="exact"/>
              <w:ind w:left="0" w:right="0"/>
              <w:rPr>
                <w:rFonts w:hint="eastAsia" w:hAnsi="宋体" w:cs="Courier New"/>
                <w:bCs/>
                <w:color w:val="auto"/>
                <w:kern w:val="2"/>
                <w:sz w:val="21"/>
                <w:szCs w:val="21"/>
                <w:highlight w:val="none"/>
              </w:rPr>
            </w:pPr>
            <w:r>
              <w:rPr>
                <w:rFonts w:hint="eastAsia" w:hAnsi="宋体" w:cs="Times New Roman"/>
                <w:bCs/>
                <w:color w:val="auto"/>
                <w:sz w:val="21"/>
                <w:szCs w:val="21"/>
                <w:highlight w:val="none"/>
              </w:rPr>
              <w:t>某有效投标人的投标报价</w:t>
            </w:r>
            <w:r>
              <w:rPr>
                <w:rFonts w:hint="default" w:hAnsi="宋体" w:cs="Times New Roman"/>
                <w:bCs/>
                <w:color w:val="auto"/>
                <w:sz w:val="21"/>
                <w:szCs w:val="21"/>
                <w:highlight w:val="none"/>
              </w:rPr>
              <w:t>分=</w:t>
            </w:r>
            <w:r>
              <w:rPr>
                <w:rFonts w:hint="eastAsia" w:hAnsi="宋体" w:cs="Times New Roman"/>
                <w:bCs/>
                <w:color w:val="auto"/>
                <w:sz w:val="21"/>
                <w:szCs w:val="21"/>
                <w:highlight w:val="none"/>
              </w:rPr>
              <w:t>（</w:t>
            </w:r>
            <w:r>
              <w:rPr>
                <w:rFonts w:hint="default" w:hAnsi="宋体" w:cs="Times New Roman"/>
                <w:bCs/>
                <w:color w:val="auto"/>
                <w:sz w:val="21"/>
                <w:szCs w:val="21"/>
                <w:highlight w:val="none"/>
              </w:rPr>
              <w:t>评标基准价／</w:t>
            </w:r>
            <w:r>
              <w:rPr>
                <w:rFonts w:hint="eastAsia" w:hAnsi="宋体" w:cs="Times New Roman"/>
                <w:bCs/>
                <w:color w:val="auto"/>
                <w:sz w:val="21"/>
                <w:szCs w:val="21"/>
                <w:highlight w:val="none"/>
              </w:rPr>
              <w:t>某有效投标人</w:t>
            </w:r>
            <w:r>
              <w:rPr>
                <w:rFonts w:hint="eastAsia" w:hAnsi="宋体" w:cs="Times New Roman"/>
                <w:bCs/>
                <w:color w:val="auto"/>
                <w:sz w:val="21"/>
                <w:szCs w:val="21"/>
                <w:highlight w:val="none"/>
                <w:lang w:eastAsia="zh-CN"/>
              </w:rPr>
              <w:t>投标费率</w:t>
            </w:r>
            <w:r>
              <w:rPr>
                <w:rFonts w:hint="eastAsia" w:hAnsi="宋体" w:cs="Times New Roman"/>
                <w:bCs/>
                <w:color w:val="auto"/>
                <w:sz w:val="21"/>
                <w:szCs w:val="21"/>
                <w:highlight w:val="none"/>
              </w:rPr>
              <w:t>）</w:t>
            </w:r>
            <w:r>
              <w:rPr>
                <w:rFonts w:hint="default" w:hAnsi="宋体" w:cs="Times New Roman"/>
                <w:bCs/>
                <w:color w:val="auto"/>
                <w:sz w:val="21"/>
                <w:szCs w:val="21"/>
                <w:highlight w:val="none"/>
              </w:rPr>
              <w:t>×</w:t>
            </w:r>
            <w:r>
              <w:rPr>
                <w:rFonts w:hint="eastAsia" w:hAnsi="宋体" w:cs="Times New Roman"/>
                <w:bCs/>
                <w:color w:val="auto"/>
                <w:sz w:val="21"/>
                <w:szCs w:val="21"/>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restart"/>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2</w:t>
            </w:r>
          </w:p>
        </w:tc>
        <w:tc>
          <w:tcPr>
            <w:tcW w:w="1280" w:type="dxa"/>
            <w:vMerge w:val="restart"/>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技术分</w:t>
            </w:r>
          </w:p>
        </w:tc>
        <w:tc>
          <w:tcPr>
            <w:tcW w:w="709" w:type="dxa"/>
            <w:vMerge w:val="restart"/>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70分</w:t>
            </w:r>
          </w:p>
        </w:tc>
        <w:tc>
          <w:tcPr>
            <w:tcW w:w="1559"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cs="Times New Roman"/>
                <w:color w:val="auto"/>
                <w:highlight w:val="none"/>
              </w:rPr>
            </w:pPr>
            <w:r>
              <w:rPr>
                <w:rFonts w:hint="eastAsia" w:ascii="Times New Roman" w:hAnsi="Times New Roman" w:cs="Times New Roman"/>
                <w:b/>
                <w:bCs/>
                <w:color w:val="auto"/>
                <w:highlight w:val="none"/>
              </w:rPr>
              <w:t>劳务服务方案分（30分）</w:t>
            </w:r>
          </w:p>
        </w:tc>
        <w:tc>
          <w:tcPr>
            <w:tcW w:w="54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各评委按照分档标准打分确定档次和相应分值，不满足一档要求的不得分。（满分30分）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一档（10分）：劳务服务方案基本符合项目需求；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二档（20分）：劳务服务方案符合项目需求，在人员的安排、质量保障方面设计全面；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三档（30分）：劳务服务方案完全符合项目需求，在工人员的安排、质量保障、特殊情况处置、人员安全保障等情况有合理的安排及充分的考虑。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1280"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709"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155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Cs/>
                <w:color w:val="auto"/>
                <w:szCs w:val="21"/>
                <w:highlight w:val="none"/>
              </w:rPr>
            </w:pPr>
            <w:r>
              <w:rPr>
                <w:rFonts w:hint="eastAsia" w:ascii="宋体" w:hAnsi="宋体" w:cs="Courier New"/>
                <w:b/>
                <w:bCs w:val="0"/>
                <w:color w:val="auto"/>
                <w:szCs w:val="21"/>
                <w:highlight w:val="none"/>
              </w:rPr>
              <w:t>劳务实施管理方案分（25分）</w:t>
            </w:r>
          </w:p>
        </w:tc>
        <w:tc>
          <w:tcPr>
            <w:tcW w:w="54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各评委按照分档标准打分确定档次和相应分值，不满足一档要求的不得分。（满分25分）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一档（5分）：管理方案总体合理，服务响应时间为5天，各阶段进度安排及保障措施基本满足项目要求，拟投入人员配置简单；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二档（15分）：管理方案合理，服务响应时间为3-5天（不包含5天），各阶段进度安排及保障措施完善，拟投入人员配置合理；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三档（25分）：管理方案科学合理，可行性强，有良好的本地服务保障，服务响应时间为3天以内（不包含3天），各阶段进度安排及保障措施完善，拟投入人员配置合理，完全符合采购项目需要。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0"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1280"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709" w:type="dxa"/>
            <w:vMerge w:val="continue"/>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p>
        </w:tc>
        <w:tc>
          <w:tcPr>
            <w:tcW w:w="155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Cs/>
                <w:color w:val="auto"/>
                <w:szCs w:val="21"/>
                <w:highlight w:val="none"/>
              </w:rPr>
            </w:pPr>
            <w:r>
              <w:rPr>
                <w:rFonts w:hint="eastAsia" w:ascii="宋体" w:hAnsi="宋体" w:cs="Times New Roman"/>
                <w:b/>
                <w:bCs w:val="0"/>
                <w:color w:val="auto"/>
                <w:szCs w:val="21"/>
                <w:highlight w:val="none"/>
              </w:rPr>
              <w:t>拟投入人员分（15分）</w:t>
            </w:r>
          </w:p>
        </w:tc>
        <w:tc>
          <w:tcPr>
            <w:tcW w:w="54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（1）拟投入的项目负责人具有测绘专业高级工程师职称的得5分；满分5分（以职称证为准，提供加盖投标单位公章的职称证复印件）。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（2）拟投入的劳务派遣人员具有测绘专业工程师职称的，5～7人的得2分，8人及以上得5分；满分5分（以职称证为准，提供加盖投标单位公章的职称证复印件）。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 xml:space="preserve">（3）拟投入的劳务派遣人员具有测绘专业助理工程师职称的，15～20人的得2分，20人及以上的得5分；满分5分（以职称证为准，提供加盖投标单位公章的职称证复印件）。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cs="Times New Roman"/>
                <w:bCs/>
                <w:color w:val="auto"/>
                <w:szCs w:val="21"/>
                <w:highlight w:val="none"/>
              </w:rPr>
            </w:pPr>
            <w:r>
              <w:rPr>
                <w:rFonts w:hint="eastAsia" w:ascii="宋体" w:hAnsi="宋体" w:cs="Times New Roman"/>
                <w:bCs/>
                <w:color w:val="auto"/>
                <w:szCs w:val="21"/>
                <w:highlight w:val="none"/>
              </w:rPr>
              <w:t>备注：①拟投入人员专业须为采购人业务专业范围内，如投入人员需替换，必须经项目承担单位同意批准，但替换的人员资质、资格必须与原投标拟投入人员的资格相等或优于。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730"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3</w:t>
            </w:r>
          </w:p>
        </w:tc>
        <w:tc>
          <w:tcPr>
            <w:tcW w:w="1280"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商务分</w:t>
            </w:r>
          </w:p>
        </w:tc>
        <w:tc>
          <w:tcPr>
            <w:tcW w:w="709" w:type="dxa"/>
            <w:noWrap w:val="0"/>
            <w:vAlign w:val="center"/>
          </w:tcPr>
          <w:p>
            <w:pPr>
              <w:keepNext w:val="0"/>
              <w:keepLines w:val="0"/>
              <w:suppressLineNumbers w:val="0"/>
              <w:adjustRightInd w:val="0"/>
              <w:spacing w:before="0" w:beforeAutospacing="0" w:after="0" w:afterAutospacing="0" w:line="360" w:lineRule="auto"/>
              <w:ind w:left="0" w:right="0"/>
              <w:jc w:val="center"/>
              <w:textAlignment w:val="baseline"/>
              <w:rPr>
                <w:rFonts w:hint="eastAsia" w:ascii="宋体" w:hAnsi="宋体" w:cs="Times New Roman"/>
                <w:b/>
                <w:color w:val="auto"/>
                <w:szCs w:val="21"/>
                <w:highlight w:val="none"/>
              </w:rPr>
            </w:pPr>
            <w:r>
              <w:rPr>
                <w:rFonts w:hint="eastAsia" w:ascii="宋体" w:hAnsi="宋体" w:cs="Times New Roman"/>
                <w:b/>
                <w:color w:val="auto"/>
                <w:szCs w:val="21"/>
                <w:highlight w:val="none"/>
              </w:rPr>
              <w:t>20分</w:t>
            </w:r>
          </w:p>
        </w:tc>
        <w:tc>
          <w:tcPr>
            <w:tcW w:w="6969" w:type="dxa"/>
            <w:gridSpan w:val="2"/>
            <w:noWrap w:val="0"/>
            <w:vAlign w:val="center"/>
          </w:tcPr>
          <w:p>
            <w:pPr>
              <w:pStyle w:val="24"/>
              <w:keepNext w:val="0"/>
              <w:keepLines w:val="0"/>
              <w:suppressLineNumbers w:val="0"/>
              <w:spacing w:before="0" w:beforeAutospacing="0" w:after="0" w:afterAutospacing="0" w:line="420" w:lineRule="exact"/>
              <w:ind w:left="0" w:right="0" w:firstLine="420" w:firstLineChars="200"/>
              <w:jc w:val="left"/>
              <w:rPr>
                <w:rFonts w:hint="eastAsia" w:hAnsi="宋体" w:cs="Times New Roman"/>
                <w:bCs/>
                <w:color w:val="auto"/>
                <w:kern w:val="2"/>
                <w:sz w:val="21"/>
                <w:highlight w:val="none"/>
              </w:rPr>
            </w:pPr>
            <w:r>
              <w:rPr>
                <w:rFonts w:hint="eastAsia" w:hAnsi="宋体" w:cs="Times New Roman"/>
                <w:bCs/>
                <w:color w:val="auto"/>
                <w:kern w:val="2"/>
                <w:sz w:val="21"/>
                <w:highlight w:val="none"/>
              </w:rPr>
              <w:t>（1）投标人自2020年（含）以来有相关</w:t>
            </w:r>
            <w:r>
              <w:rPr>
                <w:rFonts w:hint="eastAsia" w:hAnsi="宋体" w:cs="Times New Roman"/>
                <w:bCs/>
                <w:color w:val="auto"/>
                <w:kern w:val="2"/>
                <w:sz w:val="21"/>
                <w:highlight w:val="none"/>
                <w:lang w:eastAsia="zh-CN"/>
              </w:rPr>
              <w:t>类似</w:t>
            </w:r>
            <w:r>
              <w:rPr>
                <w:rFonts w:hint="eastAsia" w:hAnsi="宋体" w:cs="Times New Roman"/>
                <w:bCs/>
                <w:color w:val="auto"/>
                <w:kern w:val="2"/>
                <w:sz w:val="21"/>
                <w:highlight w:val="none"/>
              </w:rPr>
              <w:t>成功案例，每提供一例得</w:t>
            </w:r>
            <w:r>
              <w:rPr>
                <w:rFonts w:hint="eastAsia" w:hAnsi="宋体" w:cs="Times New Roman"/>
                <w:bCs/>
                <w:color w:val="auto"/>
                <w:kern w:val="2"/>
                <w:sz w:val="21"/>
                <w:highlight w:val="none"/>
                <w:lang w:val="en-US" w:eastAsia="zh-CN"/>
              </w:rPr>
              <w:t>2</w:t>
            </w:r>
            <w:r>
              <w:rPr>
                <w:rFonts w:hint="eastAsia" w:hAnsi="宋体" w:cs="Times New Roman"/>
                <w:bCs/>
                <w:color w:val="auto"/>
                <w:kern w:val="2"/>
                <w:sz w:val="21"/>
                <w:highlight w:val="none"/>
              </w:rPr>
              <w:t>分；满分1</w:t>
            </w:r>
            <w:r>
              <w:rPr>
                <w:rFonts w:hint="eastAsia" w:hAnsi="宋体" w:cs="Times New Roman"/>
                <w:bCs/>
                <w:color w:val="auto"/>
                <w:kern w:val="2"/>
                <w:sz w:val="21"/>
                <w:highlight w:val="none"/>
                <w:lang w:val="en-US" w:eastAsia="zh-CN"/>
              </w:rPr>
              <w:t>6</w:t>
            </w:r>
            <w:r>
              <w:rPr>
                <w:rFonts w:hint="eastAsia" w:hAnsi="宋体" w:cs="Times New Roman"/>
                <w:bCs/>
                <w:color w:val="auto"/>
                <w:kern w:val="2"/>
                <w:sz w:val="21"/>
                <w:highlight w:val="none"/>
              </w:rPr>
              <w:t>分。（</w:t>
            </w:r>
            <w:r>
              <w:rPr>
                <w:rFonts w:hint="eastAsia" w:hAnsi="宋体" w:cs="Times New Roman"/>
                <w:bCs/>
                <w:color w:val="auto"/>
                <w:kern w:val="2"/>
                <w:sz w:val="21"/>
                <w:highlight w:val="none"/>
                <w:lang w:eastAsia="zh-CN"/>
              </w:rPr>
              <w:t>类似</w:t>
            </w:r>
            <w:r>
              <w:rPr>
                <w:rFonts w:hint="eastAsia" w:hAnsi="宋体" w:cs="Times New Roman"/>
                <w:bCs/>
                <w:color w:val="auto"/>
                <w:kern w:val="2"/>
                <w:sz w:val="21"/>
                <w:highlight w:val="none"/>
              </w:rPr>
              <w:t>成功案例以服务合同或协议复印件、用户评价为准，不提供不计份）。</w:t>
            </w:r>
          </w:p>
          <w:p>
            <w:pPr>
              <w:pStyle w:val="24"/>
              <w:keepNext w:val="0"/>
              <w:keepLines w:val="0"/>
              <w:suppressLineNumbers w:val="0"/>
              <w:spacing w:before="0" w:beforeAutospacing="0" w:after="0" w:afterAutospacing="0" w:line="420" w:lineRule="exact"/>
              <w:ind w:left="0" w:right="0" w:firstLine="420" w:firstLineChars="200"/>
              <w:jc w:val="left"/>
              <w:rPr>
                <w:rFonts w:hint="eastAsia" w:hAnsi="宋体" w:cs="Times New Roman"/>
                <w:bCs/>
                <w:color w:val="auto"/>
                <w:highlight w:val="none"/>
              </w:rPr>
            </w:pPr>
            <w:r>
              <w:rPr>
                <w:rFonts w:hint="eastAsia" w:hAnsi="宋体" w:cs="Times New Roman"/>
                <w:bCs/>
                <w:color w:val="auto"/>
                <w:kern w:val="2"/>
                <w:sz w:val="21"/>
                <w:highlight w:val="none"/>
              </w:rPr>
              <w:t>（2）投标人通过ISO14001环境管理体系认证的，得1分；投标人通过ISO 45001:2018职业健康与安全管理体系认证的，得1分；投标人通过ISO9001质量管理体系认证的，得1分；投标人通过GB/T31950-2015诚信管理体系认证证书，得1分；满分</w:t>
            </w:r>
            <w:r>
              <w:rPr>
                <w:rFonts w:hint="eastAsia" w:hAnsi="宋体" w:cs="Times New Roman"/>
                <w:bCs/>
                <w:color w:val="auto"/>
                <w:kern w:val="2"/>
                <w:sz w:val="21"/>
                <w:highlight w:val="none"/>
                <w:lang w:val="en-US" w:eastAsia="zh-CN"/>
              </w:rPr>
              <w:t>4</w:t>
            </w:r>
            <w:r>
              <w:rPr>
                <w:rFonts w:hint="eastAsia" w:hAnsi="宋体" w:cs="Times New Roman"/>
                <w:bCs/>
                <w:color w:val="auto"/>
                <w:kern w:val="2"/>
                <w:sz w:val="21"/>
                <w:highlight w:val="none"/>
              </w:rPr>
              <w:t>分（以上材料提供复印件，并加盖单位印章）。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8" w:type="dxa"/>
            <w:gridSpan w:val="5"/>
            <w:noWrap w:val="0"/>
            <w:vAlign w:val="center"/>
          </w:tcPr>
          <w:p>
            <w:pPr>
              <w:pStyle w:val="24"/>
              <w:keepNext w:val="0"/>
              <w:keepLines w:val="0"/>
              <w:suppressLineNumbers w:val="0"/>
              <w:spacing w:before="0" w:beforeAutospacing="0" w:after="0" w:afterAutospacing="0" w:line="360" w:lineRule="auto"/>
              <w:ind w:left="0" w:right="0"/>
              <w:rPr>
                <w:rFonts w:hint="eastAsia" w:hAnsi="宋体" w:cs="Courier New"/>
                <w:bCs/>
                <w:color w:val="auto"/>
                <w:kern w:val="2"/>
                <w:sz w:val="21"/>
                <w:highlight w:val="none"/>
              </w:rPr>
            </w:pPr>
            <w:r>
              <w:rPr>
                <w:rFonts w:hint="eastAsia" w:hAnsi="宋体" w:cs="Courier New"/>
                <w:b/>
                <w:bCs/>
                <w:color w:val="auto"/>
                <w:kern w:val="2"/>
                <w:sz w:val="21"/>
                <w:highlight w:val="none"/>
              </w:rPr>
              <w:t>总得分=1+2+3。</w:t>
            </w:r>
          </w:p>
        </w:tc>
      </w:tr>
    </w:tbl>
    <w:p>
      <w:pPr>
        <w:pStyle w:val="24"/>
        <w:spacing w:line="360" w:lineRule="auto"/>
        <w:ind w:firstLine="420"/>
        <w:rPr>
          <w:rFonts w:hint="eastAsia" w:hAnsi="宋体"/>
          <w:bCs/>
          <w:color w:val="auto"/>
          <w:sz w:val="21"/>
          <w:highlight w:val="none"/>
        </w:rPr>
      </w:pPr>
      <w:r>
        <w:rPr>
          <w:rFonts w:hint="eastAsia" w:hAnsi="宋体"/>
          <w:bCs/>
          <w:color w:val="auto"/>
          <w:sz w:val="21"/>
          <w:highlight w:val="none"/>
        </w:rPr>
        <w:t>注：1.计分方法按四舍五入取至百分位；</w:t>
      </w:r>
    </w:p>
    <w:p>
      <w:pPr>
        <w:pStyle w:val="24"/>
        <w:spacing w:line="360" w:lineRule="auto"/>
        <w:ind w:firstLine="420"/>
        <w:rPr>
          <w:rFonts w:hAnsi="宋体"/>
          <w:bCs/>
          <w:color w:val="auto"/>
          <w:sz w:val="21"/>
          <w:highlight w:val="none"/>
        </w:rPr>
      </w:pPr>
      <w:r>
        <w:rPr>
          <w:rFonts w:hint="eastAsia" w:hAnsi="宋体"/>
          <w:bCs/>
          <w:color w:val="auto"/>
          <w:sz w:val="21"/>
          <w:highlight w:val="none"/>
        </w:rPr>
        <w:t xml:space="preserve">    2.因落实政府采购政策进行价格调整的，以调整后的价格计算评标基准价和投标报价。</w:t>
      </w:r>
    </w:p>
    <w:p>
      <w:pPr>
        <w:spacing w:line="360" w:lineRule="auto"/>
        <w:ind w:firstLine="420" w:firstLineChars="200"/>
        <w:rPr>
          <w:rFonts w:hint="eastAsia" w:ascii="宋体" w:hAnsi="宋体" w:cs="宋体"/>
          <w:color w:val="auto"/>
          <w:szCs w:val="21"/>
          <w:highlight w:val="none"/>
        </w:rPr>
      </w:pPr>
      <w:r>
        <w:rPr>
          <w:color w:val="auto"/>
          <w:highlight w:val="none"/>
        </w:rPr>
        <w:br w:type="page"/>
      </w:r>
    </w:p>
    <w:p>
      <w:pPr>
        <w:pStyle w:val="5"/>
        <w:keepNext w:val="0"/>
        <w:keepLines w:val="0"/>
        <w:jc w:val="center"/>
        <w:rPr>
          <w:color w:val="auto"/>
          <w:sz w:val="30"/>
          <w:szCs w:val="30"/>
          <w:highlight w:val="none"/>
        </w:rPr>
      </w:pPr>
      <w:r>
        <w:rPr>
          <w:rFonts w:hint="eastAsia"/>
          <w:color w:val="auto"/>
          <w:sz w:val="30"/>
          <w:szCs w:val="30"/>
          <w:highlight w:val="none"/>
        </w:rPr>
        <w:t>四、中标候选人推荐原则</w:t>
      </w:r>
    </w:p>
    <w:p>
      <w:pPr>
        <w:pStyle w:val="24"/>
        <w:spacing w:line="360" w:lineRule="auto"/>
        <w:contextualSpacing/>
        <w:rPr>
          <w:rFonts w:hint="eastAsia" w:hAnsi="宋体"/>
          <w:b/>
          <w:bCs/>
          <w:color w:val="auto"/>
          <w:sz w:val="24"/>
          <w:szCs w:val="24"/>
          <w:highlight w:val="none"/>
        </w:rPr>
      </w:pPr>
      <w:r>
        <w:rPr>
          <w:rFonts w:hint="eastAsia" w:hAnsi="宋体"/>
          <w:b/>
          <w:bCs/>
          <w:color w:val="auto"/>
          <w:sz w:val="24"/>
          <w:szCs w:val="24"/>
          <w:highlight w:val="none"/>
        </w:rPr>
        <w:t>（一）综合评分法</w:t>
      </w:r>
    </w:p>
    <w:p>
      <w:pPr>
        <w:pStyle w:val="24"/>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评标委员会将根据总得分由高到低排列次序并推荐中标候选人。</w:t>
      </w:r>
      <w:r>
        <w:rPr>
          <w:rFonts w:hAnsi="宋体"/>
          <w:color w:val="auto"/>
          <w:sz w:val="21"/>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pStyle w:val="24"/>
        <w:spacing w:line="360" w:lineRule="auto"/>
        <w:ind w:firstLine="420" w:firstLineChars="200"/>
        <w:contextualSpacing/>
        <w:rPr>
          <w:rFonts w:hint="eastAsia" w:hAnsi="宋体"/>
          <w:color w:val="auto"/>
          <w:sz w:val="21"/>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pStyle w:val="4"/>
        <w:keepNext w:val="0"/>
        <w:keepLines w:val="0"/>
        <w:jc w:val="center"/>
        <w:rPr>
          <w:rFonts w:hint="eastAsia"/>
          <w:color w:val="auto"/>
          <w:highlight w:val="none"/>
        </w:rPr>
      </w:pPr>
      <w:r>
        <w:rPr>
          <w:color w:val="auto"/>
          <w:highlight w:val="none"/>
        </w:rPr>
        <w:br w:type="page"/>
      </w: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4"/>
        <w:keepNext w:val="0"/>
        <w:keepLines w:val="0"/>
        <w:jc w:val="center"/>
        <w:rPr>
          <w:rFonts w:hint="eastAsia"/>
          <w:color w:val="auto"/>
          <w:highlight w:val="none"/>
        </w:rPr>
      </w:pPr>
    </w:p>
    <w:p>
      <w:pPr>
        <w:pStyle w:val="3"/>
        <w:jc w:val="center"/>
        <w:rPr>
          <w:rFonts w:hint="eastAsia"/>
          <w:color w:val="auto"/>
          <w:highlight w:val="none"/>
        </w:rPr>
      </w:pPr>
      <w:bookmarkStart w:id="151" w:name="_Toc74320804"/>
      <w:r>
        <w:rPr>
          <w:rFonts w:hint="eastAsia"/>
          <w:color w:val="auto"/>
          <w:highlight w:val="none"/>
        </w:rPr>
        <w:t>第五章  拟签订的合同文本</w:t>
      </w:r>
      <w:bookmarkEnd w:id="151"/>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left"/>
        <w:rPr>
          <w:rFonts w:hint="eastAsia" w:ascii="宋体" w:hAnsi="宋体"/>
          <w:color w:val="auto"/>
          <w:szCs w:val="21"/>
          <w:highlight w:val="none"/>
        </w:rPr>
      </w:pPr>
      <w:bookmarkStart w:id="152" w:name="_Hlk55381736"/>
      <w:r>
        <w:rPr>
          <w:rFonts w:hint="eastAsia" w:ascii="宋体" w:hAnsi="宋体"/>
          <w:b/>
          <w:color w:val="auto"/>
          <w:sz w:val="32"/>
          <w:szCs w:val="32"/>
          <w:highlight w:val="none"/>
        </w:rPr>
        <w:t xml:space="preserve"> </w:t>
      </w:r>
    </w:p>
    <w:p>
      <w:pPr>
        <w:snapToGrid w:val="0"/>
        <w:spacing w:line="400" w:lineRule="exact"/>
        <w:jc w:val="center"/>
        <w:rPr>
          <w:rFonts w:hint="eastAsia" w:ascii="仿宋_GB2312" w:hAnsi="华文中宋" w:eastAsia="仿宋_GB2312"/>
          <w:b/>
          <w:bCs/>
          <w:color w:val="auto"/>
          <w:sz w:val="32"/>
          <w:szCs w:val="32"/>
          <w:highlight w:val="none"/>
        </w:rPr>
      </w:pPr>
    </w:p>
    <w:p>
      <w:pPr>
        <w:snapToGrid w:val="0"/>
        <w:spacing w:line="400" w:lineRule="exact"/>
        <w:jc w:val="center"/>
        <w:rPr>
          <w:rFonts w:hint="eastAsia" w:ascii="宋体" w:hAnsi="宋体"/>
          <w:b/>
          <w:bCs/>
          <w:color w:val="auto"/>
          <w:sz w:val="32"/>
          <w:szCs w:val="32"/>
          <w:highlight w:val="none"/>
        </w:rPr>
      </w:pPr>
    </w:p>
    <w:p>
      <w:pPr>
        <w:snapToGrid w:val="0"/>
        <w:spacing w:line="400" w:lineRule="exact"/>
        <w:jc w:val="center"/>
        <w:rPr>
          <w:rFonts w:hint="eastAsia" w:ascii="宋体" w:hAnsi="宋体"/>
          <w:b/>
          <w:bCs/>
          <w:color w:val="auto"/>
          <w:sz w:val="32"/>
          <w:szCs w:val="32"/>
          <w:highlight w:val="none"/>
        </w:rPr>
      </w:pPr>
    </w:p>
    <w:p>
      <w:pPr>
        <w:snapToGrid w:val="0"/>
        <w:spacing w:line="400" w:lineRule="exact"/>
        <w:jc w:val="center"/>
        <w:rPr>
          <w:rFonts w:hint="eastAsia" w:ascii="宋体" w:hAnsi="宋体"/>
          <w:b/>
          <w:bCs/>
          <w:color w:val="auto"/>
          <w:sz w:val="32"/>
          <w:szCs w:val="32"/>
          <w:highlight w:val="none"/>
        </w:rPr>
      </w:pPr>
    </w:p>
    <w:p>
      <w:pPr>
        <w:rPr>
          <w:rFonts w:hint="eastAsia" w:ascii="宋体" w:hAnsi="宋体"/>
          <w:b/>
          <w:bCs/>
          <w:color w:val="auto"/>
          <w:sz w:val="32"/>
          <w:szCs w:val="32"/>
          <w:highlight w:val="none"/>
        </w:rPr>
      </w:pPr>
      <w:r>
        <w:rPr>
          <w:rFonts w:hint="eastAsia" w:ascii="宋体" w:hAnsi="宋体"/>
          <w:b/>
          <w:bCs/>
          <w:color w:val="auto"/>
          <w:sz w:val="32"/>
          <w:szCs w:val="32"/>
          <w:highlight w:val="none"/>
        </w:rPr>
        <w:br w:type="page"/>
      </w:r>
    </w:p>
    <w:p>
      <w:pPr>
        <w:snapToGrid w:val="0"/>
        <w:spacing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《广西壮族自治区政府采购合同》</w:t>
      </w:r>
    </w:p>
    <w:p>
      <w:pPr>
        <w:snapToGrid w:val="0"/>
        <w:jc w:val="left"/>
        <w:rPr>
          <w:rFonts w:hint="eastAsia" w:ascii="宋体" w:hAnsi="宋体"/>
          <w:bCs/>
          <w:color w:val="auto"/>
          <w:szCs w:val="21"/>
          <w:highlight w:val="none"/>
        </w:rPr>
      </w:pPr>
    </w:p>
    <w:p>
      <w:pPr>
        <w:snapToGrid w:val="0"/>
        <w:spacing w:line="40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lang w:bidi="ar"/>
        </w:rPr>
        <w:t>合同编号：</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采购计划文号：</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项目名称：</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项目编号：</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签</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订</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地</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点：广西南宁市</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签</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订</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时</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间：</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年</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月</w:t>
      </w:r>
      <w:r>
        <w:rPr>
          <w:rFonts w:hint="eastAsia" w:ascii="宋体" w:hAnsi="宋体"/>
          <w:color w:val="auto"/>
          <w:szCs w:val="21"/>
          <w:highlight w:val="none"/>
          <w:lang w:bidi="ar"/>
        </w:rPr>
        <w:t xml:space="preserve">   </w:t>
      </w:r>
      <w:r>
        <w:rPr>
          <w:rFonts w:hint="eastAsia" w:ascii="宋体" w:hAnsi="宋体" w:cs="宋体"/>
          <w:color w:val="auto"/>
          <w:szCs w:val="21"/>
          <w:highlight w:val="none"/>
          <w:lang w:bidi="ar"/>
        </w:rPr>
        <w:t>日</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甲方（采购人）：</w:t>
      </w:r>
      <w:r>
        <w:rPr>
          <w:rFonts w:hint="eastAsia" w:ascii="宋体" w:hAnsi="宋体" w:cs="宋体"/>
          <w:color w:val="auto"/>
          <w:szCs w:val="21"/>
          <w:highlight w:val="none"/>
          <w:u w:val="single"/>
          <w:lang w:bidi="ar"/>
        </w:rPr>
        <w:t>广西壮族自治区自然资源调查监测院</w:t>
      </w:r>
    </w:p>
    <w:p>
      <w:pPr>
        <w:snapToGrid w:val="0"/>
        <w:spacing w:line="40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lang w:bidi="ar"/>
        </w:rPr>
        <w:t>乙方（劳务派遣方）：</w:t>
      </w:r>
      <w:r>
        <w:rPr>
          <w:rFonts w:hint="eastAsia" w:ascii="宋体" w:hAnsi="宋体" w:cs="宋体"/>
          <w:color w:val="auto"/>
          <w:szCs w:val="21"/>
          <w:highlight w:val="none"/>
          <w:u w:val="single"/>
          <w:lang w:bidi="ar"/>
        </w:rPr>
        <w:t xml:space="preserve">              </w:t>
      </w:r>
      <w:r>
        <w:rPr>
          <w:rFonts w:hint="eastAsia" w:ascii="宋体" w:hAnsi="宋体"/>
          <w:color w:val="auto"/>
          <w:szCs w:val="21"/>
          <w:highlight w:val="none"/>
          <w:u w:val="single"/>
          <w:lang w:bidi="ar"/>
        </w:rPr>
        <w:t xml:space="preserve"> </w:t>
      </w:r>
    </w:p>
    <w:p>
      <w:pPr>
        <w:snapToGrid w:val="0"/>
        <w:spacing w:line="400" w:lineRule="exact"/>
        <w:ind w:firstLine="420" w:firstLineChars="200"/>
        <w:rPr>
          <w:rFonts w:hint="eastAsia" w:ascii="宋体"/>
          <w:color w:val="auto"/>
          <w:szCs w:val="21"/>
          <w:highlight w:val="none"/>
        </w:rPr>
      </w:pPr>
      <w:r>
        <w:rPr>
          <w:rFonts w:hint="eastAsia" w:ascii="宋体"/>
          <w:color w:val="auto"/>
          <w:szCs w:val="21"/>
          <w:highlight w:val="none"/>
          <w:lang w:bidi="ar"/>
        </w:rPr>
        <w:t xml:space="preserve"> </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根据《中华人民共和国政府采购法》、《中华人民共和国民法典》等法律、法规规定，按照招投标文件（采购文件）规定条款和中标人承诺，建立劳务派遣合作关系。现就有关问题签订以下协议：</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一、劳务派遣人员的招录与变更</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劳务派遣人员由乙方负责按照甲方的用工条件组织招录，也可由甲方推荐。</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甲方具有独立的用工录选权，甲方派遣的人员，最终由甲方决定是否选用。</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派遣的劳务人员一经确定，甲、乙双方应拟定《劳务派遣人员清单》，并签字、盖章，作为本协议的附件。</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二、劳务派遣人员的派遣期</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乙方按照甲方要求派遣一定数量的劳务人员到甲方工作。甲方安排劳务人员的具体工作，并向乙方支付劳务服务费用，派遣期</w:t>
      </w:r>
      <w:r>
        <w:rPr>
          <w:color w:val="auto"/>
          <w:szCs w:val="21"/>
          <w:highlight w:val="none"/>
          <w:lang w:bidi="ar"/>
        </w:rPr>
        <w:t>202</w:t>
      </w:r>
      <w:r>
        <w:rPr>
          <w:rFonts w:hint="eastAsia" w:hAnsi="宋体" w:cs="宋体"/>
          <w:color w:val="auto"/>
          <w:szCs w:val="21"/>
          <w:highlight w:val="none"/>
          <w:lang w:val="en-US" w:eastAsia="zh-CN" w:bidi="ar"/>
        </w:rPr>
        <w:t>3</w:t>
      </w:r>
      <w:r>
        <w:rPr>
          <w:rFonts w:hint="eastAsia" w:ascii="宋体" w:hAnsi="宋体" w:cs="宋体"/>
          <w:color w:val="auto"/>
          <w:szCs w:val="21"/>
          <w:highlight w:val="none"/>
          <w:lang w:bidi="ar"/>
        </w:rPr>
        <w:t>年</w:t>
      </w:r>
      <w:r>
        <w:rPr>
          <w:rFonts w:hAnsi="宋体"/>
          <w:color w:val="auto"/>
          <w:szCs w:val="21"/>
          <w:highlight w:val="none"/>
          <w:u w:val="single"/>
          <w:lang w:bidi="ar"/>
        </w:rPr>
        <w:t xml:space="preserve">    </w:t>
      </w:r>
      <w:r>
        <w:rPr>
          <w:rFonts w:hint="eastAsia" w:ascii="宋体" w:hAnsi="宋体" w:cs="宋体"/>
          <w:color w:val="auto"/>
          <w:szCs w:val="21"/>
          <w:highlight w:val="none"/>
          <w:lang w:bidi="ar"/>
        </w:rPr>
        <w:t>月至</w:t>
      </w:r>
      <w:r>
        <w:rPr>
          <w:color w:val="auto"/>
          <w:szCs w:val="21"/>
          <w:highlight w:val="none"/>
          <w:lang w:bidi="ar"/>
        </w:rPr>
        <w:t>202</w:t>
      </w:r>
      <w:r>
        <w:rPr>
          <w:rFonts w:hint="eastAsia"/>
          <w:color w:val="auto"/>
          <w:szCs w:val="21"/>
          <w:highlight w:val="none"/>
          <w:lang w:val="en-US" w:eastAsia="zh-CN" w:bidi="ar"/>
        </w:rPr>
        <w:t>4</w:t>
      </w:r>
      <w:r>
        <w:rPr>
          <w:rFonts w:hint="eastAsia" w:ascii="宋体" w:hAnsi="宋体" w:cs="宋体"/>
          <w:color w:val="auto"/>
          <w:szCs w:val="21"/>
          <w:highlight w:val="none"/>
          <w:lang w:bidi="ar"/>
        </w:rPr>
        <w:t>年</w:t>
      </w:r>
      <w:r>
        <w:rPr>
          <w:rFonts w:hAnsi="宋体"/>
          <w:color w:val="auto"/>
          <w:szCs w:val="21"/>
          <w:highlight w:val="none"/>
          <w:u w:val="single"/>
          <w:lang w:bidi="ar"/>
        </w:rPr>
        <w:t xml:space="preserve">    </w:t>
      </w:r>
      <w:r>
        <w:rPr>
          <w:rFonts w:hint="eastAsia" w:ascii="宋体" w:hAnsi="宋体" w:cs="宋体"/>
          <w:color w:val="auto"/>
          <w:szCs w:val="21"/>
          <w:highlight w:val="none"/>
          <w:lang w:bidi="ar"/>
        </w:rPr>
        <w:t>月。</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三、劳务派遣协议的期限</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本协议自甲、乙双方签字并盖章之日起生效，从</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日起至</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年</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olor w:val="auto"/>
          <w:szCs w:val="21"/>
          <w:highlight w:val="none"/>
          <w:u w:val="single"/>
          <w:lang w:bidi="ar"/>
        </w:rPr>
        <w:t xml:space="preserve">    </w:t>
      </w:r>
      <w:r>
        <w:rPr>
          <w:rFonts w:hint="eastAsia" w:ascii="宋体" w:hAnsi="宋体" w:cs="宋体"/>
          <w:color w:val="auto"/>
          <w:szCs w:val="21"/>
          <w:highlight w:val="none"/>
          <w:lang w:bidi="ar"/>
        </w:rPr>
        <w:t>日止。</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四、费用及结算</w:t>
      </w:r>
    </w:p>
    <w:p>
      <w:pPr>
        <w:snapToGrid w:val="0"/>
        <w:spacing w:line="400" w:lineRule="exact"/>
        <w:ind w:firstLine="420" w:firstLineChars="200"/>
        <w:jc w:val="left"/>
        <w:rPr>
          <w:rFonts w:hint="eastAsia" w:ascii="宋体" w:hAnsi="宋体" w:eastAsia="宋体" w:cs="宋体"/>
          <w:color w:val="auto"/>
          <w:szCs w:val="21"/>
          <w:highlight w:val="none"/>
          <w:lang w:eastAsia="zh-CN" w:bidi="ar"/>
        </w:rPr>
      </w:pPr>
      <w:r>
        <w:rPr>
          <w:rFonts w:hint="eastAsia" w:ascii="宋体" w:hAnsi="宋体" w:eastAsia="宋体" w:cs="宋体"/>
          <w:color w:val="auto"/>
          <w:szCs w:val="21"/>
          <w:highlight w:val="none"/>
          <w:lang w:bidi="ar"/>
        </w:rPr>
        <w:t>（一）</w:t>
      </w:r>
      <w:r>
        <w:rPr>
          <w:rFonts w:hint="eastAsia" w:ascii="宋体" w:hAnsi="宋体" w:eastAsia="宋体" w:cs="宋体"/>
          <w:color w:val="auto"/>
          <w:szCs w:val="21"/>
          <w:highlight w:val="none"/>
          <w:lang w:eastAsia="zh-CN" w:bidi="ar"/>
        </w:rPr>
        <w:t>合同暂定金额：</w:t>
      </w:r>
      <w:r>
        <w:rPr>
          <w:rFonts w:hint="eastAsia" w:ascii="宋体" w:hAnsi="宋体" w:eastAsia="宋体" w:cs="宋体"/>
          <w:color w:val="auto"/>
          <w:highlight w:val="none"/>
          <w:lang w:eastAsia="zh-CN"/>
        </w:rPr>
        <w:t>1374.75万元</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w:t>
      </w:r>
      <w:r>
        <w:rPr>
          <w:rFonts w:hint="eastAsia" w:ascii="宋体" w:hAnsi="宋体" w:cs="宋体"/>
          <w:color w:val="auto"/>
          <w:szCs w:val="21"/>
          <w:highlight w:val="none"/>
          <w:lang w:eastAsia="zh-CN" w:bidi="ar"/>
        </w:rPr>
        <w:t>二</w:t>
      </w:r>
      <w:r>
        <w:rPr>
          <w:rFonts w:hint="eastAsia" w:ascii="宋体" w:hAnsi="宋体" w:cs="宋体"/>
          <w:color w:val="auto"/>
          <w:szCs w:val="21"/>
          <w:highlight w:val="none"/>
          <w:lang w:bidi="ar"/>
        </w:rPr>
        <w:t>）甲方向乙方支付的劳务费用包括：</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1、劳务</w:t>
      </w:r>
      <w:r>
        <w:rPr>
          <w:rFonts w:hint="eastAsia" w:ascii="宋体" w:hAnsi="宋体" w:cs="宋体"/>
          <w:color w:val="auto"/>
          <w:szCs w:val="21"/>
          <w:highlight w:val="none"/>
          <w:lang w:bidi="ar"/>
        </w:rPr>
        <w:t>派遣人员的劳务报酬及税金；</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2、</w:t>
      </w:r>
      <w:r>
        <w:rPr>
          <w:rFonts w:hint="eastAsia" w:ascii="宋体" w:hAnsi="宋体" w:cs="宋体"/>
          <w:color w:val="auto"/>
          <w:szCs w:val="21"/>
          <w:highlight w:val="none"/>
          <w:lang w:bidi="ar"/>
        </w:rPr>
        <w:t>甲方应向乙方支付的劳务派遣服务管理费。</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w:t>
      </w:r>
      <w:r>
        <w:rPr>
          <w:rFonts w:hint="eastAsia" w:ascii="宋体" w:hAnsi="宋体" w:cs="宋体"/>
          <w:color w:val="auto"/>
          <w:szCs w:val="21"/>
          <w:highlight w:val="none"/>
          <w:lang w:eastAsia="zh-CN" w:bidi="ar"/>
        </w:rPr>
        <w:t>三</w:t>
      </w:r>
      <w:r>
        <w:rPr>
          <w:rFonts w:hint="eastAsia" w:ascii="宋体" w:hAnsi="宋体" w:cs="宋体"/>
          <w:color w:val="auto"/>
          <w:szCs w:val="21"/>
          <w:highlight w:val="none"/>
          <w:lang w:bidi="ar"/>
        </w:rPr>
        <w:t>）费用的标准、支付方式和支付时间：</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1、劳务</w:t>
      </w:r>
      <w:r>
        <w:rPr>
          <w:rFonts w:hint="eastAsia" w:ascii="宋体" w:hAnsi="宋体" w:cs="宋体"/>
          <w:color w:val="auto"/>
          <w:szCs w:val="21"/>
          <w:highlight w:val="none"/>
          <w:lang w:bidi="ar"/>
        </w:rPr>
        <w:t>派遣人员的劳务报酬：劳务人员自乙方派遣至甲方指定服务地点工作后，甲方根据劳务人员工作的完成情况和甲方实行的质量管理规定，按任务完成进度与乙方进行结算。</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2、</w:t>
      </w:r>
      <w:r>
        <w:rPr>
          <w:rFonts w:hint="eastAsia" w:ascii="宋体" w:hAnsi="宋体" w:cs="宋体"/>
          <w:color w:val="auto"/>
          <w:szCs w:val="21"/>
          <w:highlight w:val="none"/>
          <w:lang w:bidi="ar"/>
        </w:rPr>
        <w:t>支付方式：甲方于每月</w:t>
      </w:r>
      <w:r>
        <w:rPr>
          <w:rFonts w:hint="eastAsia" w:ascii="宋体" w:hAnsi="宋体"/>
          <w:color w:val="auto"/>
          <w:szCs w:val="21"/>
          <w:highlight w:val="none"/>
          <w:lang w:bidi="ar"/>
        </w:rPr>
        <w:t>25日前以转账形式将上月劳务费支付给乙方（如遇到休息日或者法定节</w:t>
      </w:r>
      <w:r>
        <w:rPr>
          <w:rFonts w:hint="eastAsia" w:ascii="宋体" w:hAnsi="宋体" w:cs="宋体"/>
          <w:color w:val="auto"/>
          <w:szCs w:val="21"/>
          <w:highlight w:val="none"/>
          <w:lang w:bidi="ar"/>
        </w:rPr>
        <w:t>假日可以适当顺延但最长不能超过</w:t>
      </w:r>
      <w:r>
        <w:rPr>
          <w:rFonts w:hint="eastAsia" w:ascii="宋体" w:hAnsi="宋体"/>
          <w:color w:val="auto"/>
          <w:szCs w:val="21"/>
          <w:highlight w:val="none"/>
          <w:lang w:bidi="ar"/>
        </w:rPr>
        <w:t>5日）。</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3、乙方收到甲方支付的费用后，五个工作日内须向甲方开具正式发票，三个工作日内按照扣除劳务管理费和有个人所得税的金额发放至劳务人员个人账户。</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4、如遇有特殊情况，甲方不能按时支付劳务费用，应提前以书面形式通知乙方，并向乙方说明原因。</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5、甲方不按协议规定拨付劳务费用时，乙方可向甲方发出付款要求通知，甲方在收到乙方通知30天内仍不能按要求支付时，甲方应承担从拖欠之日起的违约责任，如超过60日仍未能支付的，乙方可单方面解除本协议，并向甲方追索所欠费用。</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五、甲方的权利</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（一）监督乙方与劳务派遣人员之间《劳动合同》的签订。</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（二）乙方的劳务派遣人员的工作地点、工作内容、工作岗位等由甲方根据工作需要确定。对于不服从甲方安排的劳务人员，甲方有权退回给乙方，并要求乙方重新派遣合格的劳务人员顶替。</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（三）甲方拥有对派遣人员进行批评、教育、处罚及奖励的权利。乙方派遣人员有下列情况之一的，甲方有权直接退返乙方，但应提前</w:t>
      </w:r>
      <w:r>
        <w:rPr>
          <w:rFonts w:hint="eastAsia" w:ascii="宋体" w:hAnsi="宋体"/>
          <w:color w:val="auto"/>
          <w:szCs w:val="21"/>
          <w:highlight w:val="none"/>
          <w:lang w:bidi="ar"/>
        </w:rPr>
        <w:t>5天以书面形式通知乙方。涉及经济处罚或经济赔偿等问题时，按照甲、乙双方相关规定进行处理。同时乙</w:t>
      </w:r>
      <w:r>
        <w:rPr>
          <w:rFonts w:hint="eastAsia" w:ascii="宋体" w:hAnsi="宋体" w:cs="宋体"/>
          <w:color w:val="auto"/>
          <w:szCs w:val="21"/>
          <w:highlight w:val="none"/>
          <w:lang w:bidi="ar"/>
        </w:rPr>
        <w:t>方有权要求甲方重新派遣符合条件的劳务人员（特殊专业工程技术人才除外）。</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1、在试用期内不能胜任</w:t>
      </w:r>
      <w:r>
        <w:rPr>
          <w:rFonts w:hint="eastAsia" w:ascii="宋体" w:hAnsi="宋体" w:cs="宋体"/>
          <w:color w:val="auto"/>
          <w:szCs w:val="21"/>
          <w:highlight w:val="none"/>
          <w:lang w:bidi="ar"/>
        </w:rPr>
        <w:t>甲方工作要求；</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2、不服从</w:t>
      </w:r>
      <w:r>
        <w:rPr>
          <w:rFonts w:hint="eastAsia" w:ascii="宋体" w:hAnsi="宋体" w:cs="宋体"/>
          <w:color w:val="auto"/>
          <w:szCs w:val="21"/>
          <w:highlight w:val="none"/>
          <w:lang w:bidi="ar"/>
        </w:rPr>
        <w:t>甲方工作安排；</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3、严重违反</w:t>
      </w:r>
      <w:r>
        <w:rPr>
          <w:rFonts w:hint="eastAsia" w:ascii="宋体" w:hAnsi="宋体" w:cs="宋体"/>
          <w:color w:val="auto"/>
          <w:szCs w:val="21"/>
          <w:highlight w:val="none"/>
          <w:lang w:bidi="ar"/>
        </w:rPr>
        <w:t>甲方劳动纪律、规章制度和工作定额任务管理；</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4、工作失职</w:t>
      </w:r>
      <w:r>
        <w:rPr>
          <w:rFonts w:hint="eastAsia" w:ascii="宋体" w:hAnsi="宋体" w:cs="宋体"/>
          <w:color w:val="auto"/>
          <w:szCs w:val="21"/>
          <w:highlight w:val="none"/>
          <w:lang w:bidi="ar"/>
        </w:rPr>
        <w:t>，给甲方造成经济损失；</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5、派遣期未满，被派遣劳务人员提出停止派遣或擅自离岗</w:t>
      </w:r>
      <w:r>
        <w:rPr>
          <w:rFonts w:hint="eastAsia" w:ascii="宋体" w:hAnsi="宋体" w:cs="宋体"/>
          <w:color w:val="auto"/>
          <w:szCs w:val="21"/>
          <w:highlight w:val="none"/>
          <w:lang w:bidi="ar"/>
        </w:rPr>
        <w:t>；</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6、被依法追究刑事责任的。</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bidi="ar"/>
        </w:rPr>
        <w:t>7、违反与甲方签订的保密协议。</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四）甲方出资对劳务派遣人员进行业务、技能培训的，甲方有权与劳务派遣人员签订培训服务合同，约定服务期及违约责任，并书面通知乙方。乙方应与劳务派遣人员签订补充协议，将培训服务合同作为劳动合同的补充协议，如劳动合同约定的期限短于服务年限的，应及时变更劳动合同的期限。在《培训服务合同》约定的服务期内，乙方不得将签订培训服务合同的劳务人员另行派遣到甲方之外的其他单位；解除《劳动合同》应征得甲方同意；甲、乙双方《劳务派遣协议》终止时《培训服务合同》仍在有效期内的，乙方应协助甲方处理劳动关系的变更或者赔偿。</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（五）因劳务派遣人员给甲方造成的经济损失，乙方应协助甲方按有关规定向劳务派遣人员索赔。</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（六）对乙方不履行协议的，甲方有权追究违约责任。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（七）法律、法规规定的其他权利。</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六、甲方的义务和责任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（一）对劳务派遣人员的职业道德规范、工作任务、安全操作、岗位技能培训、应达到的工作要求、应注意的安全事项、应遵守的各项纪律等履行告知、教育、管理、督查的义务。</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（二）为劳务派遣人员提供必需的劳动条件、劳动工具和业务用品，以及符合国家规定的劳动安全卫生设施和必要的劳动防护用品。</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（三）乙方劳务派遣人员发生工伤事故的，甲方应在事故伤害发生后</w:t>
      </w:r>
      <w:r>
        <w:rPr>
          <w:rFonts w:hint="eastAsia" w:ascii="宋体" w:hAnsi="宋体"/>
          <w:color w:val="auto"/>
          <w:szCs w:val="21"/>
          <w:highlight w:val="none"/>
          <w:lang w:bidi="ar"/>
        </w:rPr>
        <w:t>12小时内告知</w:t>
      </w:r>
      <w:r>
        <w:rPr>
          <w:rFonts w:hint="eastAsia" w:ascii="宋体" w:hAnsi="宋体" w:cs="宋体"/>
          <w:color w:val="auto"/>
          <w:szCs w:val="21"/>
          <w:highlight w:val="none"/>
          <w:lang w:bidi="ar"/>
        </w:rPr>
        <w:t>乙方，并提供工伤认定申请所需的证明材料。</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（四）按时足额支付乙方的劳务派遣服务费用。</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七、乙方的权利</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（一）依法维护劳务派遣人员的合法权益。</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（二）对甲方不履行协议的，有权追究违约责任。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（三）法律法规规定的其他权利。</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八、乙方的义务和责任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（一）乙方承诺其就签署本协议已依法取得足够的批准、授权或者相关部门的同意。</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（二）与劳务派遣人员建立劳动关系，签订劳动合同，并负责劳动合同的管理工作。</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（三）教育、督导在甲方从事工作的乙方劳务派遣人员按甲方的业务流程、规章制度、工作时间、劳动纪律等有关要求工作。</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四）按协议条款规定派遣符合条件的劳务人员到甲方指定地点工作。对于甲方按本协议第五条第二款要求停止派遣并退回劳务人员，乙方应予接收并负责处理与劳务人员之间的劳动关系，同时按照甲方要求及时派遣符合条件的劳务人员到甲方工作。</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（五）乙方劳务派遣人员在甲方工作期间因工伤亡、伤残或患职业病的，乙方接到甲方通知后，应按《工伤保险条例》妥善处理，负责办理有关手续。</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（六）对劳务人员给甲方造成的经济损失，乙方应积极协助甲方对劳务人员进行索赔。</w:t>
      </w:r>
    </w:p>
    <w:p>
      <w:pPr>
        <w:snapToGrid w:val="0"/>
        <w:spacing w:line="400" w:lineRule="exact"/>
        <w:ind w:firstLine="420" w:firstLineChars="200"/>
        <w:jc w:val="left"/>
        <w:rPr>
          <w:rFonts w:hint="eastAsia" w:ascii="宋体" w:hAnsi="宋体" w:cs="宋体"/>
          <w:color w:val="auto"/>
          <w:szCs w:val="21"/>
          <w:highlight w:val="none"/>
          <w:lang w:bidi="ar"/>
        </w:rPr>
      </w:pPr>
      <w:r>
        <w:rPr>
          <w:rFonts w:hint="eastAsia" w:ascii="宋体" w:hAnsi="宋体" w:cs="宋体"/>
          <w:color w:val="auto"/>
          <w:szCs w:val="21"/>
          <w:highlight w:val="none"/>
          <w:lang w:bidi="ar"/>
        </w:rPr>
        <w:t>（七）乙方应定期或不定期到劳务人员工作地点，了解劳务人员的思想动态、工作表现、遵纪情况。</w:t>
      </w:r>
    </w:p>
    <w:p>
      <w:pPr>
        <w:pStyle w:val="2"/>
        <w:numPr>
          <w:ilvl w:val="0"/>
          <w:numId w:val="0"/>
        </w:numPr>
        <w:ind w:left="0" w:leftChars="0" w:firstLine="420" w:firstLineChars="200"/>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（八）</w:t>
      </w:r>
      <w:r>
        <w:rPr>
          <w:rFonts w:hint="eastAsia" w:ascii="宋体" w:hAnsi="宋体" w:cs="宋体"/>
          <w:color w:val="auto"/>
          <w:szCs w:val="21"/>
          <w:highlight w:val="none"/>
          <w:lang w:bidi="ar"/>
        </w:rPr>
        <w:t>乙方</w:t>
      </w:r>
      <w:r>
        <w:rPr>
          <w:rFonts w:hint="eastAsia" w:ascii="Times New Roman" w:hAnsi="Times New Roman" w:eastAsia="宋体" w:cs="Times New Roman"/>
          <w:color w:val="auto"/>
          <w:kern w:val="2"/>
          <w:sz w:val="21"/>
          <w:szCs w:val="24"/>
          <w:highlight w:val="none"/>
          <w:lang w:val="en-US" w:eastAsia="zh-CN" w:bidi="ar-SA"/>
        </w:rPr>
        <w:t>应当将劳务派遣协议的内容告知被派遣劳动者。</w:t>
      </w:r>
    </w:p>
    <w:p>
      <w:pPr>
        <w:pStyle w:val="2"/>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（九）</w:t>
      </w:r>
      <w:r>
        <w:rPr>
          <w:rFonts w:hint="eastAsia" w:ascii="宋体" w:hAnsi="宋体" w:cs="宋体"/>
          <w:color w:val="auto"/>
          <w:szCs w:val="21"/>
          <w:highlight w:val="none"/>
          <w:lang w:bidi="ar"/>
        </w:rPr>
        <w:t>乙方</w:t>
      </w:r>
      <w:r>
        <w:rPr>
          <w:rFonts w:hint="eastAsia" w:ascii="Times New Roman" w:hAnsi="Times New Roman" w:eastAsia="宋体" w:cs="Times New Roman"/>
          <w:color w:val="auto"/>
          <w:kern w:val="2"/>
          <w:sz w:val="21"/>
          <w:szCs w:val="24"/>
          <w:highlight w:val="none"/>
          <w:lang w:val="en-US" w:eastAsia="zh-CN" w:bidi="ar-SA"/>
        </w:rPr>
        <w:t>不得克扣用工单位按照劳务派遣协议支付给被派遣劳动者的劳动报酬，劳务派遣公司仅按中标比例收取相应的管理费。</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九、保密约定</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双方合作之具体内容，以及合作过程中涉及对方的应当保密的信息皆为保密的范围，双方共同承诺保守秘密。若因此而给对方造成负面影响或损失的，双方约定按本协议中标额的</w:t>
      </w:r>
      <w:r>
        <w:rPr>
          <w:rFonts w:hint="eastAsia" w:ascii="宋体" w:hAnsi="宋体"/>
          <w:color w:val="auto"/>
          <w:szCs w:val="21"/>
          <w:highlight w:val="none"/>
          <w:lang w:bidi="ar"/>
        </w:rPr>
        <w:t>15%，由泄密方给蒙受损失的一方</w:t>
      </w:r>
      <w:r>
        <w:rPr>
          <w:rFonts w:hint="eastAsia" w:ascii="宋体" w:hAnsi="宋体" w:cs="宋体"/>
          <w:color w:val="auto"/>
          <w:szCs w:val="21"/>
          <w:highlight w:val="none"/>
          <w:lang w:bidi="ar"/>
        </w:rPr>
        <w:t>进行赔偿。</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十、违约责任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（一）乙方违反协议规定的义务，导致派遣人员的工资没有及时、足额到账，社保等费用没有及时、足额入账等相关责任由乙方全部承担，造成甲方损失的，乙方有权追偿。</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（二）甲方违反协议规定的义务，没有及时、足额支付劳务派遣服务费用的，造成乙方损失的，乙方有权追究甲方责任。</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（三）被甲方退回乙方的劳务派遣人员，符合《劳动合同法》规定应给予经济补偿的，由甲方按规定向劳务派遣人员或经乙方向派遣人员支付经济补偿金。</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十一、劳动争议的处理</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乙方劳务派遣人员在甲方服务期间所产生的与甲方有关的劳动争议和纠纷，由甲方、乙方、劳务派遣人员之间三方协商解决。三方不能解决的，任何一方可向自治区劳动行政管理部门劳动仲裁机构申诉，申请仲裁。</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十二、协议的变更、解除、终止和续订</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甲乙双方应共同遵守本协议的各项条款。在协议履行期间，未经对方同意，任何一方不得变更或解除；若一方因国家重大政策改变或不可抗力等因素不能履行协议，应及时通知对方，双方通过协商，对协议进行变更或解除。</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（二）本协议期满前三十日，甲乙双方应就本协议是否续订进行协商，如需续订，则应按协商结果办理续订协议手续。如不及时办理续订手续，协议到期后，甲方仍继续使用被派遣劳务人员，乙方可以不予接受。</w:t>
      </w:r>
    </w:p>
    <w:p>
      <w:pPr>
        <w:snapToGrid w:val="0"/>
        <w:spacing w:line="400" w:lineRule="exact"/>
        <w:ind w:firstLine="422" w:firstLineChars="200"/>
        <w:jc w:val="left"/>
        <w:rPr>
          <w:rFonts w:hint="eastAsia" w:ascii="宋体" w:hAnsi="宋体"/>
          <w:b/>
          <w:color w:val="auto"/>
          <w:szCs w:val="21"/>
          <w:highlight w:val="none"/>
        </w:rPr>
      </w:pPr>
      <w:r>
        <w:rPr>
          <w:rFonts w:hint="eastAsia" w:ascii="宋体" w:hAnsi="宋体" w:cs="宋体"/>
          <w:b/>
          <w:color w:val="auto"/>
          <w:szCs w:val="21"/>
          <w:highlight w:val="none"/>
          <w:lang w:bidi="ar"/>
        </w:rPr>
        <w:t>十三、其他</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（一）未尽事宜，法律、法规有规定的，按照相关规定办理。无规定的，由双方协商解决。经双方协商一致对本协议进行修改、补充达成的补充协议与本协议具有同等效力。</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（二）双方在履行协议时发生争议，应本着实事求是的精神友好协商解决；协商不成，可向南宁市人民法院提起诉讼。</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lang w:bidi="ar"/>
        </w:rPr>
        <w:t>（三）本协议一式</w:t>
      </w:r>
      <w:r>
        <w:rPr>
          <w:rFonts w:hint="eastAsia" w:ascii="宋体" w:hAnsi="宋体" w:cs="宋体"/>
          <w:color w:val="auto"/>
          <w:szCs w:val="21"/>
          <w:highlight w:val="none"/>
          <w:lang w:eastAsia="zh-CN" w:bidi="ar"/>
        </w:rPr>
        <w:t>伍</w:t>
      </w:r>
      <w:r>
        <w:rPr>
          <w:rFonts w:hint="eastAsia" w:ascii="宋体" w:hAnsi="宋体" w:cs="宋体"/>
          <w:color w:val="auto"/>
          <w:szCs w:val="21"/>
          <w:highlight w:val="none"/>
          <w:lang w:bidi="ar"/>
        </w:rPr>
        <w:t>份，甲乙双方各执贰份，采购代理机构</w:t>
      </w:r>
      <w:r>
        <w:rPr>
          <w:rFonts w:hint="eastAsia" w:ascii="宋体" w:hAnsi="宋体" w:cs="宋体"/>
          <w:color w:val="auto"/>
          <w:szCs w:val="21"/>
          <w:highlight w:val="none"/>
          <w:lang w:eastAsia="zh-CN" w:bidi="ar"/>
        </w:rPr>
        <w:t>壹</w:t>
      </w:r>
      <w:r>
        <w:rPr>
          <w:rFonts w:hint="eastAsia" w:ascii="宋体" w:hAnsi="宋体" w:cs="宋体"/>
          <w:color w:val="auto"/>
          <w:szCs w:val="21"/>
          <w:highlight w:val="none"/>
          <w:lang w:bidi="ar"/>
        </w:rPr>
        <w:t>份。</w:t>
      </w:r>
    </w:p>
    <w:p>
      <w:pPr>
        <w:pStyle w:val="41"/>
        <w:widowControl w:val="0"/>
        <w:snapToGrid w:val="0"/>
        <w:spacing w:before="0" w:beforeAutospacing="0" w:after="0" w:afterAutospacing="0" w:line="400" w:lineRule="exact"/>
        <w:ind w:firstLine="420" w:firstLineChars="200"/>
        <w:jc w:val="both"/>
        <w:rPr>
          <w:rFonts w:hint="eastAsia" w:cs="Courier New"/>
          <w:color w:val="auto"/>
          <w:kern w:val="2"/>
          <w:sz w:val="21"/>
          <w:szCs w:val="21"/>
          <w:highlight w:val="none"/>
        </w:rPr>
      </w:pPr>
      <w:r>
        <w:rPr>
          <w:rFonts w:hint="eastAsia" w:cs="宋体"/>
          <w:color w:val="auto"/>
          <w:kern w:val="2"/>
          <w:sz w:val="21"/>
          <w:szCs w:val="21"/>
          <w:highlight w:val="none"/>
          <w:lang w:bidi="ar"/>
        </w:rPr>
        <w:t>本合同甲乙双方签字盖章后生效，自签订之日起七个工作日内，采购代理机构应当将合同副本报广西区财政厅（政府采购监管部门）备案。</w:t>
      </w:r>
    </w:p>
    <w:p>
      <w:pPr>
        <w:spacing w:line="300" w:lineRule="auto"/>
        <w:ind w:left="420" w:hanging="420"/>
        <w:jc w:val="center"/>
        <w:rPr>
          <w:rFonts w:hint="eastAsia" w:ascii="宋体" w:cs="宋体"/>
          <w:color w:val="auto"/>
          <w:szCs w:val="21"/>
          <w:highlight w:val="none"/>
        </w:rPr>
      </w:pPr>
      <w:r>
        <w:rPr>
          <w:rFonts w:hint="eastAsia" w:ascii="宋体" w:cs="宋体"/>
          <w:color w:val="auto"/>
          <w:szCs w:val="21"/>
          <w:highlight w:val="none"/>
          <w:lang w:bidi="ar"/>
        </w:rPr>
        <w:t xml:space="preserve">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甲方（章）：</w:t>
            </w:r>
          </w:p>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p>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p>
          <w:p>
            <w:pPr>
              <w:keepNext w:val="0"/>
              <w:keepLines w:val="0"/>
              <w:suppressLineNumbers w:val="0"/>
              <w:snapToGrid w:val="0"/>
              <w:spacing w:before="0" w:beforeAutospacing="0" w:after="0" w:afterAutospacing="0" w:line="360" w:lineRule="exact"/>
              <w:ind w:left="0" w:right="0" w:firstLine="945" w:firstLineChars="450"/>
              <w:jc w:val="right"/>
              <w:rPr>
                <w:rFonts w:hint="eastAsia" w:ascii="宋体" w:hAnsi="Times New Roman" w:cs="宋体"/>
                <w:color w:val="auto"/>
                <w:szCs w:val="21"/>
                <w:highlight w:val="none"/>
              </w:rPr>
            </w:pPr>
            <w:r>
              <w:rPr>
                <w:rFonts w:hint="eastAsia" w:ascii="宋体" w:hAnsi="宋体" w:cs="宋体"/>
                <w:color w:val="auto"/>
                <w:szCs w:val="21"/>
                <w:highlight w:val="none"/>
                <w:lang w:bidi="ar"/>
              </w:rPr>
              <w:t>年   月   日</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乙方（章）：</w:t>
            </w:r>
          </w:p>
          <w:p>
            <w:pPr>
              <w:keepNext w:val="0"/>
              <w:keepLines w:val="0"/>
              <w:suppressLineNumbers w:val="0"/>
              <w:snapToGrid w:val="0"/>
              <w:spacing w:before="0" w:beforeAutospacing="0" w:after="0" w:afterAutospacing="0" w:line="360" w:lineRule="exact"/>
              <w:ind w:left="0" w:right="0"/>
              <w:jc w:val="right"/>
              <w:rPr>
                <w:rFonts w:hint="eastAsia" w:ascii="宋体" w:hAnsi="Times New Roman" w:cs="宋体"/>
                <w:color w:val="auto"/>
                <w:szCs w:val="21"/>
                <w:highlight w:val="none"/>
              </w:rPr>
            </w:pPr>
          </w:p>
          <w:p>
            <w:pPr>
              <w:keepNext w:val="0"/>
              <w:keepLines w:val="0"/>
              <w:suppressLineNumbers w:val="0"/>
              <w:snapToGrid w:val="0"/>
              <w:spacing w:before="0" w:beforeAutospacing="0" w:after="0" w:afterAutospacing="0" w:line="360" w:lineRule="exact"/>
              <w:ind w:left="0" w:right="0"/>
              <w:jc w:val="right"/>
              <w:rPr>
                <w:rFonts w:hint="eastAsia" w:ascii="宋体" w:hAnsi="Times New Roman" w:cs="宋体"/>
                <w:color w:val="auto"/>
                <w:szCs w:val="21"/>
                <w:highlight w:val="none"/>
              </w:rPr>
            </w:pPr>
          </w:p>
          <w:p>
            <w:pPr>
              <w:keepNext w:val="0"/>
              <w:keepLines w:val="0"/>
              <w:suppressLineNumbers w:val="0"/>
              <w:snapToGrid w:val="0"/>
              <w:spacing w:before="0" w:beforeAutospacing="0" w:after="0" w:afterAutospacing="0" w:line="360" w:lineRule="exact"/>
              <w:ind w:left="0" w:right="0"/>
              <w:jc w:val="right"/>
              <w:rPr>
                <w:rFonts w:hint="eastAsia" w:ascii="宋体" w:hAnsi="Times New Roman" w:cs="宋体"/>
                <w:color w:val="auto"/>
                <w:szCs w:val="21"/>
                <w:highlight w:val="none"/>
              </w:rPr>
            </w:pPr>
            <w:r>
              <w:rPr>
                <w:rFonts w:hint="eastAsia" w:ascii="宋体" w:hAnsi="宋体" w:cs="宋体"/>
                <w:color w:val="auto"/>
                <w:szCs w:val="21"/>
                <w:highlight w:val="none"/>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单位地址 :</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法定代表人：</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委托代理人：</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电话：</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电子邮箱：</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开户银行：</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账号：</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邮政编码：</w:t>
            </w:r>
          </w:p>
        </w:tc>
        <w:tc>
          <w:tcPr>
            <w:tcW w:w="4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Times New Roman" w:cs="宋体"/>
                <w:color w:val="auto"/>
                <w:szCs w:val="21"/>
                <w:highlight w:val="none"/>
              </w:rPr>
            </w:pPr>
            <w:r>
              <w:rPr>
                <w:rFonts w:hint="eastAsia" w:ascii="宋体" w:hAnsi="宋体" w:cs="宋体"/>
                <w:color w:val="auto"/>
                <w:szCs w:val="21"/>
                <w:highlight w:val="none"/>
                <w:lang w:bidi="ar"/>
              </w:rPr>
              <w:t>邮政编码：</w:t>
            </w:r>
          </w:p>
        </w:tc>
      </w:tr>
    </w:tbl>
    <w:p>
      <w:pPr>
        <w:rPr>
          <w:rFonts w:hint="eastAsia" w:ascii="宋体"/>
          <w:b/>
          <w:color w:val="auto"/>
          <w:sz w:val="30"/>
          <w:szCs w:val="30"/>
          <w:highlight w:val="none"/>
        </w:rPr>
        <w:sectPr>
          <w:footerReference r:id="rId8" w:type="first"/>
          <w:footerReference r:id="rId7" w:type="default"/>
          <w:pgSz w:w="11906" w:h="16838"/>
          <w:pgMar w:top="1247" w:right="1247" w:bottom="1247" w:left="1247" w:header="851" w:footer="992" w:gutter="0"/>
          <w:pgNumType w:fmt="decimal" w:start="1"/>
          <w:cols w:space="720" w:num="1"/>
          <w:titlePg/>
          <w:docGrid w:type="lines" w:linePitch="312" w:charSpace="0"/>
        </w:sectPr>
      </w:pPr>
    </w:p>
    <w:p>
      <w:pPr>
        <w:snapToGrid w:val="0"/>
        <w:spacing w:line="360" w:lineRule="exact"/>
        <w:jc w:val="center"/>
        <w:rPr>
          <w:rFonts w:hint="eastAsia" w:ascii="宋体" w:cs="宋体"/>
          <w:b/>
          <w:color w:val="auto"/>
          <w:sz w:val="30"/>
          <w:szCs w:val="30"/>
          <w:highlight w:val="none"/>
        </w:rPr>
      </w:pPr>
      <w:r>
        <w:rPr>
          <w:rFonts w:hint="eastAsia" w:ascii="宋体" w:hAnsi="宋体" w:cs="宋体"/>
          <w:b/>
          <w:color w:val="auto"/>
          <w:sz w:val="30"/>
          <w:szCs w:val="30"/>
          <w:highlight w:val="none"/>
          <w:lang w:bidi="ar"/>
        </w:rPr>
        <w:t>合同附件</w:t>
      </w:r>
    </w:p>
    <w:tbl>
      <w:tblPr>
        <w:tblStyle w:val="46"/>
        <w:tblW w:w="0" w:type="auto"/>
        <w:tblInd w:w="179" w:type="dxa"/>
        <w:tblLayout w:type="fixed"/>
        <w:tblCellMar>
          <w:top w:w="0" w:type="dxa"/>
          <w:left w:w="108" w:type="dxa"/>
          <w:bottom w:w="0" w:type="dxa"/>
          <w:right w:w="108" w:type="dxa"/>
        </w:tblCellMar>
      </w:tblPr>
      <w:tblGrid>
        <w:gridCol w:w="4789"/>
        <w:gridCol w:w="4857"/>
      </w:tblGrid>
      <w:tr>
        <w:trPr>
          <w:trHeight w:val="2250" w:hRule="atLeast"/>
        </w:trPr>
        <w:tc>
          <w:tcPr>
            <w:tcW w:w="9646"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r>
              <w:rPr>
                <w:rFonts w:hint="default" w:ascii="Times New Roman" w:hAnsi="宋体" w:cs="Times New Roman"/>
                <w:color w:val="auto"/>
                <w:szCs w:val="21"/>
                <w:highlight w:val="none"/>
                <w:lang w:bidi="ar"/>
              </w:rPr>
              <w:t>1</w:t>
            </w:r>
            <w:r>
              <w:rPr>
                <w:rFonts w:hint="eastAsia" w:ascii="宋体" w:hAnsi="宋体" w:cs="宋体"/>
                <w:color w:val="auto"/>
                <w:szCs w:val="21"/>
                <w:highlight w:val="none"/>
                <w:lang w:bidi="ar"/>
              </w:rPr>
              <w:t>、供应商承诺具体事项：</w:t>
            </w:r>
          </w:p>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p>
        </w:tc>
      </w:tr>
      <w:tr>
        <w:tblPrEx>
          <w:tblCellMar>
            <w:top w:w="0" w:type="dxa"/>
            <w:left w:w="108" w:type="dxa"/>
            <w:bottom w:w="0" w:type="dxa"/>
            <w:right w:w="108" w:type="dxa"/>
          </w:tblCellMar>
        </w:tblPrEx>
        <w:trPr>
          <w:trHeight w:val="2938" w:hRule="atLeast"/>
        </w:trPr>
        <w:tc>
          <w:tcPr>
            <w:tcW w:w="9646"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r>
              <w:rPr>
                <w:rFonts w:hint="default" w:ascii="Times New Roman" w:hAnsi="宋体" w:cs="Times New Roman"/>
                <w:color w:val="auto"/>
                <w:szCs w:val="21"/>
                <w:highlight w:val="none"/>
                <w:lang w:bidi="ar"/>
              </w:rPr>
              <w:t>2</w:t>
            </w:r>
            <w:r>
              <w:rPr>
                <w:rFonts w:hint="eastAsia" w:ascii="宋体" w:hAnsi="宋体" w:cs="宋体"/>
                <w:color w:val="auto"/>
                <w:szCs w:val="21"/>
                <w:highlight w:val="none"/>
                <w:lang w:bidi="ar"/>
              </w:rPr>
              <w:t>、售后服务具体事项：</w:t>
            </w:r>
          </w:p>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p>
        </w:tc>
      </w:tr>
      <w:tr>
        <w:tblPrEx>
          <w:tblCellMar>
            <w:top w:w="0" w:type="dxa"/>
            <w:left w:w="108" w:type="dxa"/>
            <w:bottom w:w="0" w:type="dxa"/>
            <w:right w:w="108" w:type="dxa"/>
          </w:tblCellMar>
        </w:tblPrEx>
        <w:trPr>
          <w:trHeight w:val="2948" w:hRule="atLeast"/>
        </w:trPr>
        <w:tc>
          <w:tcPr>
            <w:tcW w:w="9646" w:type="dxa"/>
            <w:gridSpan w:val="2"/>
            <w:tcBorders>
              <w:top w:val="single" w:color="auto" w:sz="4" w:space="0"/>
              <w:left w:val="single" w:color="auto" w:sz="4" w:space="0"/>
              <w:bottom w:val="nil"/>
              <w:right w:val="single" w:color="auto" w:sz="4" w:space="0"/>
            </w:tcBorders>
            <w:noWrap w:val="0"/>
            <w:vAlign w:val="top"/>
          </w:tcPr>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r>
              <w:rPr>
                <w:rFonts w:hint="default" w:ascii="Times New Roman" w:hAnsi="宋体" w:cs="Times New Roman"/>
                <w:color w:val="auto"/>
                <w:szCs w:val="21"/>
                <w:highlight w:val="none"/>
                <w:lang w:bidi="ar"/>
              </w:rPr>
              <w:t>3</w:t>
            </w:r>
            <w:r>
              <w:rPr>
                <w:rFonts w:hint="eastAsia" w:ascii="宋体" w:hAnsi="宋体" w:cs="宋体"/>
                <w:color w:val="auto"/>
                <w:szCs w:val="21"/>
                <w:highlight w:val="none"/>
                <w:lang w:bidi="ar"/>
              </w:rPr>
              <w:t>、其他具体事项：</w:t>
            </w:r>
          </w:p>
          <w:p>
            <w:pPr>
              <w:keepNext w:val="0"/>
              <w:keepLines w:val="0"/>
              <w:suppressLineNumbers w:val="0"/>
              <w:snapToGrid w:val="0"/>
              <w:spacing w:before="0" w:beforeAutospacing="0" w:after="0" w:afterAutospacing="0" w:line="360" w:lineRule="exact"/>
              <w:ind w:left="0" w:right="0"/>
              <w:rPr>
                <w:rFonts w:hint="default" w:ascii="Times New Roman" w:hAnsi="宋体" w:cs="Times New Roman"/>
                <w:color w:val="auto"/>
                <w:szCs w:val="21"/>
                <w:highlight w:val="none"/>
              </w:rPr>
            </w:pPr>
          </w:p>
        </w:tc>
      </w:tr>
      <w:tr>
        <w:tblPrEx>
          <w:tblCellMar>
            <w:top w:w="0" w:type="dxa"/>
            <w:left w:w="108" w:type="dxa"/>
            <w:bottom w:w="0" w:type="dxa"/>
            <w:right w:w="108" w:type="dxa"/>
          </w:tblCellMar>
        </w:tblPrEx>
        <w:trPr>
          <w:trHeight w:val="3421" w:hRule="atLeast"/>
        </w:trPr>
        <w:tc>
          <w:tcPr>
            <w:tcW w:w="4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r>
              <w:rPr>
                <w:rFonts w:hint="eastAsia" w:ascii="宋体" w:hAnsi="宋体" w:cs="宋体"/>
                <w:color w:val="auto"/>
                <w:szCs w:val="21"/>
                <w:highlight w:val="none"/>
                <w:lang w:bidi="ar"/>
              </w:rPr>
              <w:t>甲方（章）</w:t>
            </w: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宋体"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2310" w:firstLineChars="1100"/>
              <w:rPr>
                <w:rFonts w:hint="default" w:ascii="Times New Roman" w:hAnsi="宋体" w:cs="Times New Roman"/>
                <w:color w:val="auto"/>
                <w:szCs w:val="21"/>
                <w:highlight w:val="none"/>
              </w:rPr>
            </w:pPr>
            <w:r>
              <w:rPr>
                <w:rFonts w:hint="eastAsia" w:ascii="宋体" w:hAnsi="宋体" w:cs="宋体"/>
                <w:color w:val="auto"/>
                <w:szCs w:val="21"/>
                <w:highlight w:val="none"/>
                <w:lang w:bidi="ar"/>
              </w:rPr>
              <w:t>年</w:t>
            </w:r>
            <w:r>
              <w:rPr>
                <w:rFonts w:hint="eastAsia" w:ascii="Times New Roman" w:hAnsi="宋体" w:cs="宋体"/>
                <w:color w:val="auto"/>
                <w:szCs w:val="21"/>
                <w:highlight w:val="none"/>
                <w:lang w:bidi="ar"/>
              </w:rPr>
              <w:t xml:space="preserve"> </w:t>
            </w:r>
            <w:r>
              <w:rPr>
                <w:rFonts w:hint="default" w:ascii="Times New Roman" w:hAnsi="Times New Roman" w:cs="Times New Roman"/>
                <w:color w:val="auto"/>
                <w:szCs w:val="21"/>
                <w:highlight w:val="none"/>
                <w:lang w:bidi="ar"/>
              </w:rPr>
              <w:t xml:space="preserve">  </w:t>
            </w:r>
            <w:r>
              <w:rPr>
                <w:rFonts w:hint="eastAsia" w:ascii="宋体" w:hAnsi="宋体" w:cs="宋体"/>
                <w:color w:val="auto"/>
                <w:szCs w:val="21"/>
                <w:highlight w:val="none"/>
                <w:lang w:bidi="ar"/>
              </w:rPr>
              <w:t>月</w:t>
            </w:r>
            <w:r>
              <w:rPr>
                <w:rFonts w:hint="eastAsia" w:ascii="Times New Roman" w:hAnsi="宋体" w:cs="宋体"/>
                <w:color w:val="auto"/>
                <w:szCs w:val="21"/>
                <w:highlight w:val="none"/>
                <w:lang w:bidi="ar"/>
              </w:rPr>
              <w:t xml:space="preserve"> </w:t>
            </w:r>
            <w:r>
              <w:rPr>
                <w:rFonts w:hint="default" w:ascii="Times New Roman" w:hAnsi="Times New Roman" w:cs="Times New Roman"/>
                <w:color w:val="auto"/>
                <w:szCs w:val="21"/>
                <w:highlight w:val="none"/>
                <w:lang w:bidi="ar"/>
              </w:rPr>
              <w:t xml:space="preserve">  </w:t>
            </w:r>
            <w:r>
              <w:rPr>
                <w:rFonts w:hint="eastAsia" w:ascii="宋体" w:hAnsi="宋体" w:cs="宋体"/>
                <w:color w:val="auto"/>
                <w:szCs w:val="21"/>
                <w:highlight w:val="none"/>
                <w:lang w:bidi="ar"/>
              </w:rPr>
              <w:t>日</w:t>
            </w:r>
          </w:p>
        </w:tc>
        <w:tc>
          <w:tcPr>
            <w:tcW w:w="48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r>
              <w:rPr>
                <w:rFonts w:hint="eastAsia" w:ascii="宋体" w:hAnsi="宋体" w:cs="宋体"/>
                <w:color w:val="auto"/>
                <w:szCs w:val="21"/>
                <w:highlight w:val="none"/>
                <w:lang w:bidi="ar"/>
              </w:rPr>
              <w:t>乙方（章）</w:t>
            </w: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firstLine="422"/>
              <w:rPr>
                <w:rFonts w:hint="default" w:ascii="Times New Roman" w:hAnsi="Times New Roman" w:cs="Times New Roman"/>
                <w:color w:val="auto"/>
                <w:szCs w:val="21"/>
                <w:highlight w:val="none"/>
              </w:rPr>
            </w:pPr>
          </w:p>
          <w:p>
            <w:pPr>
              <w:keepNext w:val="0"/>
              <w:keepLines w:val="0"/>
              <w:suppressLineNumbers w:val="0"/>
              <w:snapToGrid w:val="0"/>
              <w:spacing w:before="0" w:beforeAutospacing="0" w:after="0" w:afterAutospacing="0" w:line="360" w:lineRule="exact"/>
              <w:ind w:left="0" w:right="0"/>
              <w:jc w:val="right"/>
              <w:rPr>
                <w:rFonts w:hint="default" w:ascii="Times New Roman" w:hAnsi="Times New Roman" w:cs="Times New Roman"/>
                <w:color w:val="auto"/>
                <w:sz w:val="10"/>
                <w:szCs w:val="10"/>
                <w:highlight w:val="none"/>
              </w:rPr>
            </w:pPr>
            <w:r>
              <w:rPr>
                <w:rFonts w:hint="eastAsia" w:ascii="宋体" w:hAnsi="宋体" w:cs="宋体"/>
                <w:color w:val="auto"/>
                <w:szCs w:val="21"/>
                <w:highlight w:val="none"/>
                <w:lang w:bidi="ar"/>
              </w:rPr>
              <w:t>年</w:t>
            </w:r>
            <w:r>
              <w:rPr>
                <w:rFonts w:hint="eastAsia" w:ascii="Times New Roman" w:hAnsi="Times New Roman" w:cs="Times New Roman"/>
                <w:color w:val="auto"/>
                <w:szCs w:val="21"/>
                <w:highlight w:val="none"/>
                <w:lang w:bidi="ar"/>
              </w:rPr>
              <w:t xml:space="preserve"> </w:t>
            </w:r>
            <w:r>
              <w:rPr>
                <w:rFonts w:hint="default" w:ascii="Times New Roman" w:hAnsi="Times New Roman" w:cs="Times New Roman"/>
                <w:color w:val="auto"/>
                <w:szCs w:val="21"/>
                <w:highlight w:val="none"/>
                <w:lang w:bidi="ar"/>
              </w:rPr>
              <w:t xml:space="preserve">  </w:t>
            </w:r>
            <w:r>
              <w:rPr>
                <w:rFonts w:hint="eastAsia" w:ascii="宋体" w:hAnsi="宋体" w:cs="宋体"/>
                <w:color w:val="auto"/>
                <w:szCs w:val="21"/>
                <w:highlight w:val="none"/>
                <w:lang w:bidi="ar"/>
              </w:rPr>
              <w:t>月</w:t>
            </w:r>
            <w:r>
              <w:rPr>
                <w:rFonts w:hint="eastAsia" w:ascii="Times New Roman" w:hAnsi="Times New Roman" w:cs="Times New Roman"/>
                <w:color w:val="auto"/>
                <w:szCs w:val="21"/>
                <w:highlight w:val="none"/>
                <w:lang w:bidi="ar"/>
              </w:rPr>
              <w:t xml:space="preserve"> </w:t>
            </w:r>
            <w:r>
              <w:rPr>
                <w:rFonts w:hint="default" w:ascii="Times New Roman" w:hAnsi="Times New Roman" w:cs="Times New Roman"/>
                <w:color w:val="auto"/>
                <w:szCs w:val="21"/>
                <w:highlight w:val="none"/>
                <w:lang w:bidi="ar"/>
              </w:rPr>
              <w:t xml:space="preserve">   </w:t>
            </w:r>
            <w:r>
              <w:rPr>
                <w:rFonts w:hint="eastAsia" w:ascii="宋体" w:hAnsi="宋体" w:cs="宋体"/>
                <w:color w:val="auto"/>
                <w:szCs w:val="21"/>
                <w:highlight w:val="none"/>
                <w:lang w:bidi="ar"/>
              </w:rPr>
              <w:t>日</w:t>
            </w:r>
          </w:p>
        </w:tc>
      </w:tr>
    </w:tbl>
    <w:p>
      <w:pPr>
        <w:snapToGrid w:val="0"/>
        <w:spacing w:line="360" w:lineRule="exact"/>
        <w:rPr>
          <w:rFonts w:hint="eastAsia" w:ascii="宋体" w:cs="宋体"/>
          <w:color w:val="auto"/>
          <w:szCs w:val="21"/>
          <w:highlight w:val="none"/>
        </w:rPr>
      </w:pPr>
      <w:r>
        <w:rPr>
          <w:rFonts w:hint="eastAsia" w:ascii="宋体" w:hAnsi="宋体" w:cs="宋体"/>
          <w:color w:val="auto"/>
          <w:szCs w:val="21"/>
          <w:highlight w:val="none"/>
          <w:lang w:bidi="ar"/>
        </w:rPr>
        <w:t>注：售后服务事项填不下时可另加附页</w:t>
      </w:r>
    </w:p>
    <w:p>
      <w:pPr>
        <w:snapToGrid w:val="0"/>
        <w:jc w:val="center"/>
        <w:rPr>
          <w:rFonts w:ascii="宋体" w:hAnsi="宋体"/>
          <w:bCs/>
          <w:color w:val="auto"/>
          <w:sz w:val="32"/>
          <w:szCs w:val="32"/>
          <w:highlight w:val="none"/>
        </w:rPr>
      </w:pPr>
    </w:p>
    <w:bookmarkEnd w:id="152"/>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3"/>
        <w:jc w:val="center"/>
        <w:rPr>
          <w:rFonts w:hint="eastAsia"/>
          <w:color w:val="auto"/>
          <w:highlight w:val="none"/>
        </w:rPr>
      </w:pPr>
      <w:bookmarkStart w:id="153" w:name="_Toc74320805"/>
      <w:r>
        <w:rPr>
          <w:rFonts w:hint="eastAsia"/>
          <w:color w:val="auto"/>
          <w:highlight w:val="none"/>
        </w:rPr>
        <w:t>第六章　投标文件格式</w:t>
      </w:r>
      <w:bookmarkEnd w:id="153"/>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120" w:beforeLines="50" w:after="50"/>
        <w:jc w:val="center"/>
        <w:outlineLvl w:val="1"/>
        <w:rPr>
          <w:rFonts w:hint="eastAsia" w:ascii="宋体" w:hAnsi="宋体"/>
          <w:color w:val="auto"/>
          <w:highlight w:val="none"/>
        </w:rPr>
      </w:pPr>
    </w:p>
    <w:p>
      <w:pPr>
        <w:rPr>
          <w:rFonts w:hint="eastAsia"/>
          <w:b/>
          <w:color w:val="auto"/>
          <w:sz w:val="28"/>
          <w:szCs w:val="28"/>
          <w:highlight w:val="none"/>
        </w:rPr>
      </w:pPr>
      <w:bookmarkStart w:id="154" w:name="_Toc19686836"/>
      <w:bookmarkStart w:id="155" w:name="_Toc254970557"/>
      <w:bookmarkStart w:id="156" w:name="_Toc254970698"/>
      <w:r>
        <w:rPr>
          <w:b/>
          <w:color w:val="auto"/>
          <w:sz w:val="28"/>
          <w:szCs w:val="28"/>
          <w:highlight w:val="none"/>
        </w:rPr>
        <w:br w:type="page"/>
      </w:r>
      <w:r>
        <w:rPr>
          <w:rFonts w:hint="eastAsia"/>
          <w:b/>
          <w:color w:val="auto"/>
          <w:sz w:val="28"/>
          <w:szCs w:val="28"/>
          <w:highlight w:val="none"/>
        </w:rPr>
        <w:t>一、报价文件格式</w:t>
      </w:r>
      <w:bookmarkEnd w:id="154"/>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line="400" w:lineRule="exact"/>
        <w:jc w:val="center"/>
        <w:rPr>
          <w:rFonts w:hint="eastAsia" w:ascii="宋体" w:hAnsi="宋体"/>
          <w:bCs/>
          <w:color w:val="auto"/>
          <w:sz w:val="32"/>
          <w:szCs w:val="32"/>
          <w:highlight w:val="none"/>
        </w:rPr>
      </w:pPr>
    </w:p>
    <w:p>
      <w:pPr>
        <w:snapToGrid w:val="0"/>
        <w:spacing w:before="120" w:beforeLines="50" w:after="50" w:line="400" w:lineRule="exact"/>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报  价  文  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2"/>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60" w:lineRule="auto"/>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440" w:lineRule="exact"/>
        <w:contextualSpacing/>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440" w:lineRule="exact"/>
        <w:ind w:firstLine="480"/>
        <w:contextualSpacing/>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据此函，我方宣布同意如下：</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9.与本投标有关的一切正式往来信函请寄：</w:t>
      </w:r>
    </w:p>
    <w:p>
      <w:pPr>
        <w:spacing w:line="440" w:lineRule="exact"/>
        <w:ind w:firstLine="480" w:firstLineChars="200"/>
        <w:contextualSpacing/>
        <w:rPr>
          <w:rFonts w:hint="eastAsia"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40" w:lineRule="exact"/>
        <w:ind w:firstLine="480" w:firstLineChars="200"/>
        <w:contextualSpacing/>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44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4"/>
        <w:spacing w:line="440" w:lineRule="exact"/>
        <w:contextualSpacing/>
        <w:jc w:val="center"/>
        <w:rPr>
          <w:rFonts w:hint="eastAsia"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4"/>
        <w:spacing w:line="440" w:lineRule="exact"/>
        <w:contextualSpacing/>
        <w:rPr>
          <w:rFonts w:hint="eastAsia"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line="440" w:lineRule="exact"/>
        <w:jc w:val="left"/>
        <w:rPr>
          <w:rFonts w:hint="eastAsia"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开标一览表（服务类格式）</w:t>
      </w:r>
    </w:p>
    <w:p>
      <w:pPr>
        <w:snapToGrid w:val="0"/>
        <w:spacing w:before="50" w:after="50"/>
        <w:jc w:val="center"/>
        <w:rPr>
          <w:rFonts w:hint="eastAsia"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hint="eastAsia" w:ascii="宋体" w:hAnsi="宋体"/>
          <w:b/>
          <w:color w:val="auto"/>
          <w:sz w:val="30"/>
          <w:szCs w:val="20"/>
          <w:highlight w:val="none"/>
        </w:rPr>
      </w:pPr>
    </w:p>
    <w:p>
      <w:pPr>
        <w:snapToGrid w:val="0"/>
        <w:spacing w:before="50" w:after="50" w:line="360" w:lineRule="auto"/>
        <w:rPr>
          <w:rFonts w:hint="eastAsia"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cs="仿宋_GB2312"/>
          <w:color w:val="auto"/>
          <w:sz w:val="24"/>
          <w:highlight w:val="none"/>
        </w:rPr>
        <w:t xml:space="preserve">                                     </w:t>
      </w:r>
      <w:r>
        <w:rPr>
          <w:rFonts w:hint="eastAsia" w:ascii="宋体" w:hAnsi="宋体"/>
          <w:color w:val="auto"/>
          <w:sz w:val="24"/>
          <w:highlight w:val="none"/>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960"/>
        <w:gridCol w:w="2573"/>
        <w:gridCol w:w="1693"/>
        <w:gridCol w:w="1459"/>
        <w:gridCol w:w="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序号</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lang w:eastAsia="zh-CN"/>
              </w:rPr>
              <w:t>标的的</w:t>
            </w:r>
            <w:r>
              <w:rPr>
                <w:rFonts w:hint="eastAsia" w:ascii="宋体" w:hAnsi="宋体" w:cs="Times New Roman"/>
                <w:color w:val="auto"/>
                <w:sz w:val="24"/>
                <w:highlight w:val="none"/>
              </w:rPr>
              <w:t>名称</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服务内容</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单位及数量</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rPr>
              <w:t>劳务派遣服务管理费率</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w:t>
            </w: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left"/>
              <w:rPr>
                <w:rFonts w:hint="eastAsia" w:ascii="宋体" w:hAnsi="宋体" w:cs="Times New Roman"/>
                <w:color w:val="auto"/>
                <w:sz w:val="24"/>
                <w:highlight w:val="none"/>
              </w:rPr>
            </w:pPr>
            <w:r>
              <w:rPr>
                <w:rFonts w:hint="eastAsia" w:ascii="宋体" w:hAnsi="宋体" w:cs="Times New Roman"/>
                <w:color w:val="auto"/>
                <w:sz w:val="24"/>
                <w:highlight w:val="none"/>
              </w:rPr>
              <w:t>1</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1项</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center"/>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jc w:val="center"/>
        </w:trPr>
        <w:tc>
          <w:tcPr>
            <w:tcW w:w="937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left"/>
              <w:rPr>
                <w:rFonts w:hint="eastAsia" w:ascii="宋体" w:hAnsi="宋体" w:cs="Times New Roman"/>
                <w:color w:val="auto"/>
                <w:sz w:val="24"/>
                <w:highlight w:val="none"/>
              </w:rPr>
            </w:pPr>
            <w:r>
              <w:rPr>
                <w:rFonts w:hint="eastAsia" w:ascii="宋体" w:hAnsi="宋体" w:cs="Times New Roman"/>
                <w:color w:val="auto"/>
                <w:sz w:val="24"/>
                <w:highlight w:val="none"/>
              </w:rPr>
              <w:t>劳务派遣服务管理费率：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937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50" w:beforeAutospacing="0" w:after="50" w:afterAutospacing="0" w:line="360" w:lineRule="auto"/>
              <w:ind w:left="0" w:right="0"/>
              <w:jc w:val="left"/>
              <w:rPr>
                <w:rFonts w:hint="eastAsia" w:ascii="宋体" w:hAnsi="宋体" w:cs="Times New Roman"/>
                <w:color w:val="auto"/>
                <w:sz w:val="24"/>
                <w:highlight w:val="none"/>
              </w:rPr>
            </w:pPr>
            <w:r>
              <w:rPr>
                <w:rFonts w:hint="eastAsia" w:ascii="宋体" w:hAnsi="宋体" w:cs="Times New Roman"/>
                <w:color w:val="auto"/>
                <w:sz w:val="24"/>
                <w:highlight w:val="none"/>
              </w:rPr>
              <w:t>合同履行期限</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服务期限</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w:t>
            </w:r>
          </w:p>
        </w:tc>
      </w:tr>
    </w:tbl>
    <w:p>
      <w:pPr>
        <w:snapToGrid w:val="0"/>
        <w:spacing w:before="50" w:after="50" w:line="360" w:lineRule="auto"/>
        <w:jc w:val="left"/>
        <w:rPr>
          <w:rFonts w:hint="eastAsia" w:ascii="宋体" w:hAnsi="宋体"/>
          <w:color w:val="auto"/>
          <w:sz w:val="24"/>
          <w:highlight w:val="none"/>
        </w:rPr>
      </w:pPr>
    </w:p>
    <w:p>
      <w:pPr>
        <w:snapToGrid w:val="0"/>
        <w:spacing w:before="50" w:after="50" w:line="360" w:lineRule="auto"/>
        <w:jc w:val="left"/>
        <w:rPr>
          <w:rFonts w:hint="eastAsia" w:ascii="宋体" w:hAnsi="宋体"/>
          <w:color w:val="auto"/>
          <w:sz w:val="24"/>
          <w:highlight w:val="none"/>
        </w:rPr>
      </w:pPr>
      <w:r>
        <w:rPr>
          <w:rFonts w:hint="eastAsia" w:ascii="宋体" w:hAnsi="宋体"/>
          <w:color w:val="auto"/>
          <w:sz w:val="24"/>
          <w:highlight w:val="none"/>
        </w:rPr>
        <w:t xml:space="preserve">法定代表人（负责人）或委托代理人签名：               </w:t>
      </w:r>
    </w:p>
    <w:p>
      <w:pPr>
        <w:snapToGrid w:val="0"/>
        <w:spacing w:before="50" w:after="50" w:line="360" w:lineRule="auto"/>
        <w:jc w:val="left"/>
        <w:rPr>
          <w:rFonts w:hint="eastAsia" w:ascii="宋体" w:hAnsi="宋体"/>
          <w:color w:val="auto"/>
          <w:sz w:val="24"/>
          <w:highlight w:val="none"/>
        </w:rPr>
      </w:pPr>
      <w:r>
        <w:rPr>
          <w:rFonts w:hint="eastAsia" w:ascii="宋体" w:hAnsi="宋体"/>
          <w:color w:val="auto"/>
          <w:sz w:val="24"/>
          <w:highlight w:val="none"/>
        </w:rPr>
        <w:t xml:space="preserve">投标人盖章：                 </w:t>
      </w:r>
    </w:p>
    <w:p>
      <w:pPr>
        <w:snapToGrid w:val="0"/>
        <w:spacing w:before="50" w:after="50" w:line="360" w:lineRule="auto"/>
        <w:jc w:val="left"/>
        <w:rPr>
          <w:rFonts w:hint="eastAsia" w:ascii="宋体" w:hAnsi="宋体"/>
          <w:color w:val="auto"/>
          <w:sz w:val="24"/>
          <w:highlight w:val="none"/>
        </w:rPr>
      </w:pPr>
      <w:r>
        <w:rPr>
          <w:rFonts w:hint="eastAsia" w:ascii="宋体" w:hAnsi="宋体"/>
          <w:color w:val="auto"/>
          <w:sz w:val="24"/>
          <w:highlight w:val="none"/>
        </w:rPr>
        <w:t xml:space="preserve">日期：                       </w:t>
      </w:r>
    </w:p>
    <w:p>
      <w:pPr>
        <w:snapToGrid w:val="0"/>
        <w:spacing w:before="50" w:after="50" w:line="360" w:lineRule="auto"/>
        <w:jc w:val="left"/>
        <w:rPr>
          <w:rFonts w:hint="eastAsia" w:ascii="宋体" w:hAnsi="宋体"/>
          <w:color w:val="auto"/>
          <w:sz w:val="24"/>
          <w:highlight w:val="none"/>
        </w:rPr>
      </w:pPr>
    </w:p>
    <w:p>
      <w:pPr>
        <w:snapToGrid w:val="0"/>
        <w:spacing w:before="50" w:after="50" w:line="360" w:lineRule="auto"/>
        <w:jc w:val="left"/>
        <w:rPr>
          <w:rFonts w:hint="eastAsia"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1.投标人的开标一览表必须加盖投标人公章并由</w:t>
      </w:r>
      <w:r>
        <w:rPr>
          <w:rFonts w:ascii="宋体" w:hAnsi="宋体"/>
          <w:color w:val="auto"/>
          <w:sz w:val="21"/>
          <w:szCs w:val="21"/>
          <w:highlight w:val="none"/>
        </w:rPr>
        <w:t>法定代表人或者委托代理人</w:t>
      </w:r>
      <w:r>
        <w:rPr>
          <w:rFonts w:hint="eastAsia" w:ascii="宋体" w:hAnsi="宋体"/>
          <w:color w:val="auto"/>
          <w:sz w:val="21"/>
          <w:szCs w:val="21"/>
          <w:highlight w:val="none"/>
        </w:rPr>
        <w:t>签字，</w:t>
      </w:r>
      <w:r>
        <w:rPr>
          <w:rFonts w:hint="eastAsia" w:ascii="宋体" w:hAnsi="宋体"/>
          <w:b/>
          <w:color w:val="auto"/>
          <w:sz w:val="21"/>
          <w:szCs w:val="21"/>
          <w:highlight w:val="none"/>
        </w:rPr>
        <w:t>否则其投标作无效标处理</w:t>
      </w:r>
      <w:r>
        <w:rPr>
          <w:rFonts w:hint="eastAsia" w:ascii="宋体" w:hAnsi="宋体"/>
          <w:color w:val="auto"/>
          <w:sz w:val="21"/>
          <w:szCs w:val="21"/>
          <w:highlight w:val="none"/>
        </w:rPr>
        <w:t>。</w:t>
      </w:r>
    </w:p>
    <w:p>
      <w:pPr>
        <w:snapToGrid w:val="0"/>
        <w:spacing w:before="50" w:after="50" w:line="360" w:lineRule="auto"/>
        <w:ind w:firstLine="420" w:firstLineChars="200"/>
        <w:jc w:val="left"/>
        <w:rPr>
          <w:rFonts w:hint="eastAsia" w:ascii="宋体" w:hAnsi="宋体"/>
          <w:b/>
          <w:color w:val="auto"/>
          <w:sz w:val="21"/>
          <w:szCs w:val="21"/>
          <w:highlight w:val="none"/>
        </w:rPr>
      </w:pPr>
      <w:r>
        <w:rPr>
          <w:rFonts w:hint="eastAsia" w:ascii="宋体" w:hAnsi="宋体"/>
          <w:bCs/>
          <w:color w:val="auto"/>
          <w:sz w:val="21"/>
          <w:szCs w:val="21"/>
          <w:highlight w:val="none"/>
        </w:rPr>
        <w:t>2.</w:t>
      </w:r>
      <w:r>
        <w:rPr>
          <w:rFonts w:hint="eastAsia" w:ascii="宋体" w:hAnsi="宋体"/>
          <w:color w:val="auto"/>
          <w:sz w:val="21"/>
          <w:szCs w:val="21"/>
          <w:highlight w:val="none"/>
        </w:rPr>
        <w:t>报价一经涂改，应在涂改处加盖投标人公章或者由法定代表人或者委托代理人签字或者盖章</w:t>
      </w:r>
      <w:r>
        <w:rPr>
          <w:rFonts w:hint="eastAsia" w:ascii="宋体" w:hAnsi="宋体"/>
          <w:b/>
          <w:color w:val="auto"/>
          <w:sz w:val="21"/>
          <w:szCs w:val="21"/>
          <w:highlight w:val="none"/>
        </w:rPr>
        <w:t>，否则其投标作无效标处理。</w:t>
      </w:r>
    </w:p>
    <w:p>
      <w:pPr>
        <w:snapToGrid w:val="0"/>
        <w:spacing w:before="50" w:after="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3.如为联合体投标，“投标人名称”处必须列明联合体各方名称，并标注联合体牵头人名称，</w:t>
      </w:r>
      <w:r>
        <w:rPr>
          <w:rFonts w:hint="eastAsia" w:ascii="宋体" w:hAnsi="宋体"/>
          <w:b/>
          <w:color w:val="auto"/>
          <w:sz w:val="21"/>
          <w:szCs w:val="21"/>
          <w:highlight w:val="none"/>
        </w:rPr>
        <w:t>否则其投标作无效标处理。</w:t>
      </w:r>
    </w:p>
    <w:p>
      <w:pPr>
        <w:snapToGrid w:val="0"/>
        <w:spacing w:before="50" w:after="50" w:line="360"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4.如为联合体投标，盖章处须加盖联合体各方公章，</w:t>
      </w:r>
      <w:r>
        <w:rPr>
          <w:rFonts w:hint="eastAsia" w:ascii="宋体" w:hAnsi="宋体"/>
          <w:b/>
          <w:color w:val="auto"/>
          <w:spacing w:val="-6"/>
          <w:sz w:val="21"/>
          <w:szCs w:val="21"/>
          <w:highlight w:val="none"/>
        </w:rPr>
        <w:t>否则其投标作无效标处理。</w:t>
      </w:r>
    </w:p>
    <w:p>
      <w:pPr>
        <w:snapToGrid w:val="0"/>
        <w:spacing w:before="50" w:after="50"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5.如有多分标，按分标分别提供开标一览表，</w:t>
      </w:r>
      <w:r>
        <w:rPr>
          <w:rFonts w:hint="eastAsia" w:ascii="宋体" w:hAnsi="宋体"/>
          <w:b/>
          <w:color w:val="auto"/>
          <w:sz w:val="21"/>
          <w:szCs w:val="21"/>
          <w:highlight w:val="none"/>
        </w:rPr>
        <w:t>否则投标无效。</w:t>
      </w:r>
    </w:p>
    <w:p>
      <w:pPr>
        <w:rPr>
          <w:rFonts w:hint="eastAsia"/>
          <w:b/>
          <w:color w:val="auto"/>
          <w:sz w:val="28"/>
          <w:szCs w:val="28"/>
          <w:highlight w:val="none"/>
        </w:rPr>
      </w:pPr>
      <w:bookmarkStart w:id="157" w:name="_Toc19686837"/>
      <w:r>
        <w:rPr>
          <w:rFonts w:hint="eastAsia"/>
          <w:b/>
          <w:color w:val="auto"/>
          <w:sz w:val="28"/>
          <w:szCs w:val="28"/>
          <w:highlight w:val="none"/>
        </w:rPr>
        <w:br w:type="page"/>
      </w:r>
      <w:r>
        <w:rPr>
          <w:rFonts w:hint="eastAsia"/>
          <w:b/>
          <w:color w:val="auto"/>
          <w:sz w:val="28"/>
          <w:szCs w:val="28"/>
          <w:highlight w:val="none"/>
        </w:rPr>
        <w:t>二、资格证明文件格式</w:t>
      </w:r>
      <w:bookmarkEnd w:id="155"/>
      <w:bookmarkEnd w:id="156"/>
      <w:bookmarkEnd w:id="157"/>
    </w:p>
    <w:p>
      <w:pPr>
        <w:numPr>
          <w:ilvl w:val="2"/>
          <w:numId w:val="5"/>
        </w:numPr>
        <w:snapToGrid w:val="0"/>
        <w:spacing w:before="120" w:beforeLines="50" w:after="50" w:line="360" w:lineRule="auto"/>
        <w:ind w:left="0" w:firstLine="0"/>
        <w:jc w:val="left"/>
        <w:rPr>
          <w:rFonts w:hint="eastAsia"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pStyle w:val="2"/>
        <w:snapToGrid w:val="0"/>
        <w:spacing w:before="50" w:after="50"/>
        <w:ind w:firstLine="540" w:firstLineChars="225"/>
        <w:rPr>
          <w:rFonts w:hint="eastAsia" w:ascii="宋体" w:hAnsi="宋体"/>
          <w:bCs/>
          <w:color w:val="auto"/>
          <w:sz w:val="24"/>
          <w:szCs w:val="24"/>
          <w:highlight w:val="none"/>
        </w:rPr>
      </w:pPr>
    </w:p>
    <w:p>
      <w:pPr>
        <w:pStyle w:val="2"/>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2"/>
        <w:snapToGrid w:val="0"/>
        <w:spacing w:before="50" w:after="50"/>
        <w:ind w:firstLine="540" w:firstLineChars="225"/>
        <w:rPr>
          <w:rFonts w:hint="eastAsia" w:ascii="宋体" w:hAnsi="宋体"/>
          <w:bCs/>
          <w:color w:val="auto"/>
          <w:sz w:val="24"/>
          <w:szCs w:val="24"/>
          <w:highlight w:val="none"/>
        </w:rPr>
      </w:pPr>
    </w:p>
    <w:p>
      <w:pPr>
        <w:pStyle w:val="2"/>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2"/>
          <w:numId w:val="5"/>
        </w:numPr>
        <w:snapToGrid w:val="0"/>
        <w:spacing w:before="120" w:beforeLines="50" w:after="50" w:line="360" w:lineRule="auto"/>
        <w:ind w:left="0" w:firstLine="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numPr>
          <w:ilvl w:val="2"/>
          <w:numId w:val="5"/>
        </w:numPr>
        <w:snapToGrid w:val="0"/>
        <w:spacing w:before="120" w:beforeLines="50" w:after="50"/>
        <w:ind w:left="0" w:firstLine="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46"/>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Cs w:val="21"/>
          <w:highlight w:val="none"/>
        </w:rPr>
      </w:pPr>
      <w:r>
        <w:rPr>
          <w:rFonts w:hint="eastAsia" w:ascii="宋体" w:hAnsi="宋体"/>
          <w:color w:val="auto"/>
          <w:sz w:val="24"/>
          <w:highlight w:val="none"/>
        </w:rPr>
        <w:t>年    月    日</w:t>
      </w:r>
    </w:p>
    <w:p>
      <w:pPr>
        <w:snapToGrid w:val="0"/>
        <w:jc w:val="center"/>
        <w:rPr>
          <w:rFonts w:hint="eastAsia" w:ascii="宋体" w:hAnsi="宋体"/>
          <w:b/>
          <w:color w:val="auto"/>
          <w:sz w:val="28"/>
          <w:szCs w:val="28"/>
          <w:highlight w:val="none"/>
        </w:rPr>
      </w:pPr>
    </w:p>
    <w:p>
      <w:pPr>
        <w:snapToGrid w:val="0"/>
        <w:spacing w:line="360" w:lineRule="auto"/>
        <w:jc w:val="center"/>
        <w:rPr>
          <w:rFonts w:hint="eastAsia" w:ascii="宋体" w:hAnsi="宋体"/>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投标人直接管理关系信息表</w:t>
      </w:r>
    </w:p>
    <w:tbl>
      <w:tblPr>
        <w:tblStyle w:val="46"/>
        <w:tblW w:w="0" w:type="auto"/>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3967" w:firstLineChars="1653"/>
        <w:rPr>
          <w:rFonts w:hint="eastAsia"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2"/>
          <w:numId w:val="5"/>
        </w:numPr>
        <w:snapToGrid w:val="0"/>
        <w:spacing w:before="120" w:beforeLines="50" w:after="50"/>
        <w:ind w:left="0" w:firstLine="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投标声明格式</w:t>
      </w:r>
    </w:p>
    <w:p>
      <w:pPr>
        <w:snapToGrid w:val="0"/>
        <w:spacing w:before="50" w:after="120" w:afterLines="50"/>
        <w:jc w:val="left"/>
        <w:rPr>
          <w:rFonts w:hint="eastAsia" w:ascii="宋体" w:hAnsi="宋体"/>
          <w:color w:val="auto"/>
          <w:highlight w:val="none"/>
        </w:rPr>
      </w:pPr>
    </w:p>
    <w:p>
      <w:pPr>
        <w:snapToGrid w:val="0"/>
        <w:spacing w:before="50" w:after="120" w:afterLines="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napToGrid w:val="0"/>
        <w:spacing w:before="50" w:after="120" w:afterLines="50"/>
        <w:jc w:val="center"/>
        <w:rPr>
          <w:rFonts w:hint="eastAsia" w:ascii="方正小标宋简体" w:hAnsi="方正小标宋简体" w:eastAsia="方正小标宋简体" w:cs="方正小标宋简体"/>
          <w:bCs/>
          <w:color w:val="auto"/>
          <w:sz w:val="44"/>
          <w:szCs w:val="44"/>
          <w:highlight w:val="none"/>
        </w:rPr>
      </w:pPr>
    </w:p>
    <w:p>
      <w:pPr>
        <w:spacing w:line="400" w:lineRule="exact"/>
        <w:contextualSpacing/>
        <w:jc w:val="left"/>
        <w:rPr>
          <w:rFonts w:hint="eastAsia"/>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注：如为联合体投标，盖章处须加盖联合体各方公章并由联合体各方法定代表人分别签字，否则投标无效。</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highlight w:val="none"/>
        </w:rPr>
      </w:pPr>
      <w:r>
        <w:rPr>
          <w:rFonts w:hint="eastAsia" w:ascii="宋体" w:hAnsi="宋体"/>
          <w:color w:val="auto"/>
          <w:sz w:val="24"/>
          <w:highlight w:val="none"/>
        </w:rPr>
        <w:t xml:space="preserve">                                                  年    月    日</w:t>
      </w:r>
    </w:p>
    <w:p>
      <w:pPr>
        <w:rPr>
          <w:rFonts w:hint="eastAsia"/>
          <w:b/>
          <w:color w:val="auto"/>
          <w:sz w:val="28"/>
          <w:szCs w:val="28"/>
          <w:highlight w:val="none"/>
        </w:rPr>
      </w:pPr>
      <w:bookmarkStart w:id="158" w:name="_Toc19686838"/>
      <w:r>
        <w:rPr>
          <w:b/>
          <w:color w:val="auto"/>
          <w:sz w:val="28"/>
          <w:szCs w:val="28"/>
          <w:highlight w:val="none"/>
        </w:rPr>
        <w:br w:type="page"/>
      </w:r>
      <w:r>
        <w:rPr>
          <w:rFonts w:hint="eastAsia"/>
          <w:b/>
          <w:color w:val="auto"/>
          <w:sz w:val="28"/>
          <w:szCs w:val="28"/>
          <w:highlight w:val="none"/>
        </w:rPr>
        <w:t>三、商务文件格式</w:t>
      </w:r>
      <w:bookmarkEnd w:id="158"/>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p>
    <w:p>
      <w:pPr>
        <w:snapToGrid w:val="0"/>
        <w:spacing w:before="120" w:beforeLines="50" w:after="50"/>
        <w:ind w:firstLine="540" w:firstLineChars="225"/>
        <w:rPr>
          <w:rFonts w:hint="eastAsia" w:ascii="宋体" w:hAnsi="宋体"/>
          <w:bCs/>
          <w:color w:val="auto"/>
          <w:sz w:val="24"/>
          <w:highlight w:val="none"/>
        </w:rPr>
      </w:pPr>
    </w:p>
    <w:p>
      <w:pPr>
        <w:snapToGrid w:val="0"/>
        <w:spacing w:before="120" w:beforeLines="50" w:after="50"/>
        <w:ind w:firstLine="540" w:firstLineChars="225"/>
        <w:rPr>
          <w:rFonts w:hint="eastAsia" w:ascii="宋体" w:hAnsi="宋体"/>
          <w:bCs/>
          <w:color w:val="auto"/>
          <w:sz w:val="24"/>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hint="eastAsia" w:ascii="宋体" w:hAnsi="宋体"/>
          <w:bCs/>
          <w:color w:val="auto"/>
          <w:sz w:val="24"/>
          <w:szCs w:val="20"/>
          <w:highlight w:val="none"/>
        </w:rPr>
      </w:pPr>
    </w:p>
    <w:p>
      <w:pPr>
        <w:pStyle w:val="2"/>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2"/>
        <w:snapToGrid w:val="0"/>
        <w:spacing w:before="50" w:after="50"/>
        <w:ind w:firstLine="540" w:firstLineChars="225"/>
        <w:rPr>
          <w:rFonts w:hint="eastAsia" w:ascii="宋体" w:hAnsi="宋体"/>
          <w:bCs/>
          <w:color w:val="auto"/>
          <w:sz w:val="24"/>
          <w:szCs w:val="24"/>
          <w:highlight w:val="none"/>
        </w:rPr>
      </w:pPr>
    </w:p>
    <w:p>
      <w:pPr>
        <w:pStyle w:val="2"/>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2"/>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ascii="微软雅黑" w:hAnsi="微软雅黑" w:eastAsia="微软雅黑"/>
          <w:b/>
          <w:bCs/>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hint="eastAsia"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4"/>
        <w:spacing w:line="440" w:lineRule="exact"/>
        <w:ind w:firstLine="6840" w:firstLineChars="2850"/>
        <w:contextualSpacing/>
        <w:rPr>
          <w:rFonts w:hint="eastAsia" w:hAnsi="宋体"/>
          <w:color w:val="auto"/>
          <w:sz w:val="24"/>
          <w:szCs w:val="24"/>
          <w:highlight w:val="none"/>
        </w:rPr>
      </w:pPr>
    </w:p>
    <w:p>
      <w:pPr>
        <w:pStyle w:val="24"/>
        <w:spacing w:line="440" w:lineRule="exact"/>
        <w:contextualSpacing/>
        <w:jc w:val="center"/>
        <w:rPr>
          <w:rFonts w:hint="eastAsia"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4"/>
        <w:spacing w:line="440" w:lineRule="exact"/>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hint="eastAsia"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方正小标宋简体" w:hAnsi="方正小标宋简体" w:eastAsia="方正小标宋简体" w:cs="方正小标宋简体"/>
          <w:bCs/>
          <w:color w:val="auto"/>
          <w:sz w:val="44"/>
          <w:szCs w:val="44"/>
          <w:highlight w:val="none"/>
        </w:rPr>
      </w:pPr>
      <w:r>
        <w:rPr>
          <w:rFonts w:ascii="方正小标宋简体" w:hAnsi="方正小标宋简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right"/>
        <w:rPr>
          <w:rFonts w:hint="eastAsia"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hint="eastAsia" w:ascii="宋体" w:hAnsi="宋体"/>
          <w:color w:val="auto"/>
          <w:sz w:val="24"/>
          <w:highlight w:val="none"/>
        </w:rPr>
      </w:pP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hint="eastAsia" w:ascii="宋体" w:hAnsi="宋体"/>
          <w:b/>
          <w:color w:val="auto"/>
          <w:sz w:val="44"/>
          <w:szCs w:val="44"/>
          <w:highlight w:val="none"/>
        </w:rPr>
      </w:pPr>
    </w:p>
    <w:p>
      <w:pPr>
        <w:spacing w:line="360" w:lineRule="auto"/>
        <w:contextualSpacing/>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pacing w:line="360" w:lineRule="auto"/>
        <w:contextualSpacing/>
        <w:jc w:val="center"/>
        <w:rPr>
          <w:rFonts w:hint="eastAsia"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（非联合体投标格式）</w:t>
      </w:r>
    </w:p>
    <w:p>
      <w:pPr>
        <w:spacing w:line="360" w:lineRule="auto"/>
        <w:contextualSpacing/>
        <w:jc w:val="center"/>
        <w:rPr>
          <w:rFonts w:hint="eastAsia" w:ascii="方正小标宋简体" w:hAnsi="方正小标宋简体" w:eastAsia="方正小标宋简体" w:cs="方正小标宋简体"/>
          <w:bCs/>
          <w:color w:val="auto"/>
          <w:sz w:val="24"/>
          <w:highlight w:val="none"/>
        </w:rPr>
      </w:pPr>
      <w:r>
        <w:rPr>
          <w:rFonts w:hint="eastAsia" w:ascii="方正小标宋简体" w:hAnsi="方正小标宋简体" w:eastAsia="方正小标宋简体" w:cs="方正小标宋简体"/>
          <w:bCs/>
          <w:color w:val="auto"/>
          <w:sz w:val="32"/>
          <w:szCs w:val="32"/>
          <w:highlight w:val="none"/>
        </w:rPr>
        <w:t>（如有委托时）</w:t>
      </w:r>
    </w:p>
    <w:p>
      <w:pPr>
        <w:spacing w:line="440" w:lineRule="exact"/>
        <w:contextualSpacing/>
        <w:jc w:val="center"/>
        <w:rPr>
          <w:rFonts w:hint="eastAsia" w:ascii="宋体" w:hAnsi="宋体"/>
          <w:b/>
          <w:color w:val="auto"/>
          <w:sz w:val="24"/>
          <w:highlight w:val="none"/>
        </w:rPr>
      </w:pPr>
    </w:p>
    <w:p>
      <w:pPr>
        <w:spacing w:line="440" w:lineRule="exact"/>
        <w:contextualSpacing/>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contextualSpacing/>
        <w:rPr>
          <w:rFonts w:hint="eastAsia"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440" w:lineRule="exact"/>
        <w:ind w:firstLine="480"/>
        <w:contextualSpacing/>
        <w:rPr>
          <w:rFonts w:hint="eastAsia"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480"/>
        <w:contextualSpacing/>
        <w:rPr>
          <w:rFonts w:hint="eastAsia"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440" w:lineRule="exact"/>
        <w:contextualSpacing/>
        <w:rPr>
          <w:rFonts w:hint="eastAsia" w:ascii="宋体" w:hAnsi="宋体"/>
          <w:color w:val="auto"/>
          <w:sz w:val="24"/>
          <w:highlight w:val="none"/>
        </w:rPr>
      </w:pPr>
    </w:p>
    <w:p>
      <w:pPr>
        <w:spacing w:line="440" w:lineRule="exact"/>
        <w:contextualSpacing/>
        <w:rPr>
          <w:rFonts w:hint="eastAsia"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40" w:lineRule="exact"/>
        <w:contextualSpacing/>
        <w:rPr>
          <w:rFonts w:hint="eastAsia"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jc w:val="center"/>
        <w:rPr>
          <w:rFonts w:hint="eastAsia" w:ascii="宋体" w:hAnsi="宋体"/>
          <w:color w:val="auto"/>
          <w:sz w:val="24"/>
          <w:highlight w:val="none"/>
        </w:rPr>
      </w:pPr>
      <w:r>
        <w:rPr>
          <w:rFonts w:hint="eastAsia" w:ascii="宋体" w:hAnsi="宋体"/>
          <w:color w:val="auto"/>
          <w:sz w:val="24"/>
          <w:highlight w:val="none"/>
        </w:rPr>
        <w:t xml:space="preserve">                                                投标人（盖公章）：</w:t>
      </w:r>
    </w:p>
    <w:p>
      <w:pPr>
        <w:spacing w:line="440" w:lineRule="exact"/>
        <w:contextualSpacing/>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59" w:name="_Hlk65851555"/>
      <w:bookmarkStart w:id="160" w:name="_Hlk65851620"/>
      <w:r>
        <w:rPr>
          <w:rFonts w:hint="eastAsia" w:ascii="宋体" w:hAnsi="宋体" w:cs="仿宋_GB2312"/>
          <w:color w:val="auto"/>
          <w:sz w:val="24"/>
          <w:highlight w:val="none"/>
        </w:rPr>
        <w:t>法定代表人必须在授权委托书上亲笔签字或者盖章，</w:t>
      </w:r>
      <w:bookmarkEnd w:id="159"/>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160"/>
    </w:p>
    <w:p>
      <w:pPr>
        <w:spacing w:line="440" w:lineRule="exact"/>
        <w:ind w:firstLine="480" w:firstLineChars="200"/>
        <w:contextualSpacing/>
        <w:jc w:val="left"/>
        <w:rPr>
          <w:rFonts w:hint="eastAsia"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snapToGrid w:val="0"/>
        <w:spacing w:before="120" w:beforeLines="50" w:after="50"/>
        <w:ind w:firstLine="566" w:firstLineChars="236"/>
        <w:jc w:val="center"/>
        <w:rPr>
          <w:rFonts w:hint="eastAsia" w:ascii="方正小标宋简体" w:hAnsi="方正小标宋简体" w:eastAsia="方正小标宋简体" w:cs="方正小标宋简体"/>
          <w:color w:val="auto"/>
          <w:sz w:val="44"/>
          <w:szCs w:val="44"/>
          <w:highlight w:val="none"/>
        </w:rPr>
      </w:pP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授权委托书</w:t>
      </w:r>
    </w:p>
    <w:p>
      <w:pPr>
        <w:snapToGrid w:val="0"/>
        <w:spacing w:before="120" w:beforeLines="50" w:after="50"/>
        <w:ind w:firstLine="755" w:firstLineChars="236"/>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（联合体投标格式）</w:t>
      </w:r>
    </w:p>
    <w:p>
      <w:pPr>
        <w:snapToGrid w:val="0"/>
        <w:spacing w:before="120" w:beforeLines="50" w:after="50"/>
        <w:ind w:firstLine="755" w:firstLineChars="236"/>
        <w:jc w:val="center"/>
        <w:rPr>
          <w:rFonts w:hint="eastAsia" w:ascii="方正小标宋简体" w:hAnsi="方正小标宋简体" w:eastAsia="方正小标宋简体" w:cs="方正小标宋简体"/>
          <w:color w:val="auto"/>
          <w:sz w:val="24"/>
          <w:highlight w:val="none"/>
        </w:rPr>
      </w:pPr>
      <w:r>
        <w:rPr>
          <w:rFonts w:hint="eastAsia" w:ascii="方正小标宋简体" w:hAnsi="方正小标宋简体" w:eastAsia="方正小标宋简体" w:cs="方正小标宋简体"/>
          <w:color w:val="auto"/>
          <w:sz w:val="32"/>
          <w:szCs w:val="32"/>
          <w:highlight w:val="none"/>
        </w:rPr>
        <w:t>（如有委托时）</w:t>
      </w:r>
    </w:p>
    <w:p>
      <w:pPr>
        <w:spacing w:line="440" w:lineRule="exact"/>
        <w:contextualSpacing/>
        <w:jc w:val="left"/>
        <w:rPr>
          <w:rFonts w:hint="eastAsia"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我方对委托代理人的签字事项负全部责任。</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440" w:lineRule="exact"/>
        <w:ind w:firstLine="566" w:firstLineChars="236"/>
        <w:contextualSpacing/>
        <w:rPr>
          <w:rFonts w:hint="eastAsia" w:ascii="宋体" w:hAnsi="宋体"/>
          <w:color w:val="auto"/>
          <w:sz w:val="24"/>
          <w:highlight w:val="none"/>
        </w:rPr>
      </w:pP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牵头人法定代表人（签字或者盖章）：</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牵头人（盖公章）：</w:t>
      </w: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日期：    年   月   日</w:t>
      </w:r>
    </w:p>
    <w:p>
      <w:pPr>
        <w:spacing w:line="440" w:lineRule="exact"/>
        <w:ind w:firstLine="566" w:firstLineChars="236"/>
        <w:contextualSpacing/>
        <w:rPr>
          <w:rFonts w:hint="eastAsia" w:ascii="宋体" w:hAnsi="宋体"/>
          <w:color w:val="auto"/>
          <w:sz w:val="24"/>
          <w:highlight w:val="none"/>
        </w:rPr>
      </w:pPr>
    </w:p>
    <w:p>
      <w:pPr>
        <w:spacing w:line="440" w:lineRule="exact"/>
        <w:ind w:firstLine="566" w:firstLineChars="236"/>
        <w:contextualSpacing/>
        <w:rPr>
          <w:rFonts w:hint="eastAsia" w:ascii="宋体" w:hAnsi="宋体"/>
          <w:color w:val="auto"/>
          <w:sz w:val="24"/>
          <w:highlight w:val="none"/>
        </w:rPr>
      </w:pPr>
      <w:r>
        <w:rPr>
          <w:rFonts w:hint="eastAsia" w:ascii="宋体" w:hAnsi="宋体"/>
          <w:color w:val="auto"/>
          <w:sz w:val="24"/>
          <w:highlight w:val="none"/>
        </w:rPr>
        <w:t>被授权人（签字）：</w:t>
      </w:r>
    </w:p>
    <w:p>
      <w:pPr>
        <w:spacing w:line="440" w:lineRule="exact"/>
        <w:ind w:firstLine="566" w:firstLineChars="236"/>
        <w:contextualSpacing/>
        <w:rPr>
          <w:rFonts w:hint="eastAsia" w:ascii="宋体" w:hAnsi="宋体" w:cs="仿宋_GB2312"/>
          <w:color w:val="auto"/>
          <w:sz w:val="32"/>
          <w:szCs w:val="32"/>
          <w:highlight w:val="none"/>
        </w:rPr>
      </w:pPr>
      <w:r>
        <w:rPr>
          <w:rFonts w:hint="eastAsia" w:ascii="宋体" w:hAnsi="宋体"/>
          <w:color w:val="auto"/>
          <w:sz w:val="24"/>
          <w:highlight w:val="none"/>
        </w:rPr>
        <w:t>日期：    年   月   日</w:t>
      </w:r>
    </w:p>
    <w:p>
      <w:pPr>
        <w:spacing w:line="440" w:lineRule="exact"/>
        <w:contextualSpacing/>
        <w:rPr>
          <w:rFonts w:hint="eastAsia" w:ascii="宋体" w:hAnsi="宋体" w:cs="仿宋_GB2312"/>
          <w:color w:val="auto"/>
          <w:sz w:val="24"/>
          <w:highlight w:val="none"/>
        </w:rPr>
      </w:pPr>
      <w:r>
        <w:rPr>
          <w:rFonts w:hint="eastAsia" w:ascii="宋体" w:hAnsi="宋体" w:cs="仿宋_GB2312"/>
          <w:color w:val="auto"/>
          <w:sz w:val="24"/>
          <w:highlight w:val="none"/>
        </w:rPr>
        <w:t>注：1. 法定代表人必须在授权委托书上亲笔签字或者盖章，委托代理人必须在授权委托书上亲笔签字，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p>
    <w:p>
      <w:pPr>
        <w:spacing w:line="440" w:lineRule="exact"/>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440" w:lineRule="exact"/>
        <w:ind w:firstLine="480" w:firstLineChars="200"/>
        <w:contextualSpacing/>
        <w:jc w:val="left"/>
        <w:rPr>
          <w:rFonts w:hint="eastAsia" w:ascii="宋体" w:hAnsi="宋体"/>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r>
        <w:rPr>
          <w:rFonts w:hint="eastAsia" w:ascii="宋体" w:hAnsi="宋体" w:cs="仿宋_GB2312"/>
          <w:color w:val="auto"/>
          <w:sz w:val="24"/>
          <w:highlight w:val="none"/>
        </w:rPr>
        <w:t>法人、其他组织投标时“我方”是指“我单位”，自然人投标时“我方”是指“本人”。</w:t>
      </w:r>
    </w:p>
    <w:p>
      <w:pPr>
        <w:snapToGrid w:val="0"/>
        <w:spacing w:before="50" w:after="120" w:afterLines="50"/>
        <w:ind w:firstLine="480" w:firstLineChars="200"/>
        <w:jc w:val="left"/>
        <w:rPr>
          <w:rFonts w:hint="eastAsia" w:ascii="宋体" w:hAnsi="宋体"/>
          <w:color w:val="auto"/>
          <w:sz w:val="24"/>
          <w:highlight w:val="none"/>
        </w:rPr>
        <w:sectPr>
          <w:footerReference r:id="rId12" w:type="first"/>
          <w:headerReference r:id="rId9" w:type="default"/>
          <w:footerReference r:id="rId10" w:type="default"/>
          <w:footerReference r:id="rId11" w:type="even"/>
          <w:pgSz w:w="11906" w:h="16838"/>
          <w:pgMar w:top="1134" w:right="1134" w:bottom="2269" w:left="1134" w:header="851" w:footer="567" w:gutter="0"/>
          <w:pgNumType w:fmt="decimal"/>
          <w:cols w:space="720" w:num="1"/>
          <w:titlePg/>
          <w:docGrid w:linePitch="312" w:charSpace="0"/>
        </w:sectPr>
      </w:pPr>
    </w:p>
    <w:p>
      <w:pPr>
        <w:rPr>
          <w:rFonts w:hint="eastAsia" w:ascii="宋体" w:hAnsi="宋体"/>
          <w:color w:val="auto"/>
          <w:sz w:val="24"/>
          <w:highlight w:val="none"/>
        </w:rPr>
      </w:pPr>
    </w:p>
    <w:p>
      <w:pPr>
        <w:rPr>
          <w:rFonts w:hint="eastAsia" w:ascii="宋体" w:hAnsi="宋体"/>
          <w:b/>
          <w:color w:val="auto"/>
          <w:sz w:val="24"/>
          <w:szCs w:val="20"/>
          <w:highlight w:val="none"/>
        </w:rPr>
      </w:pPr>
      <w:r>
        <w:rPr>
          <w:rFonts w:hint="eastAsia" w:ascii="宋体" w:hAnsi="宋体"/>
          <w:b/>
          <w:color w:val="auto"/>
          <w:sz w:val="24"/>
          <w:highlight w:val="none"/>
        </w:rPr>
        <w:t>6.商务要求偏离表格式</w:t>
      </w:r>
    </w:p>
    <w:p>
      <w:pPr>
        <w:snapToGrid w:val="0"/>
        <w:spacing w:before="50"/>
        <w:jc w:val="left"/>
        <w:rPr>
          <w:rFonts w:hint="eastAsia" w:ascii="宋体" w:hAnsi="宋体"/>
          <w:color w:val="auto"/>
          <w:sz w:val="24"/>
          <w:highlight w:val="none"/>
        </w:rPr>
      </w:pPr>
    </w:p>
    <w:p>
      <w:pPr>
        <w:pStyle w:val="24"/>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hint="eastAsia" w:ascii="宋体" w:hAnsi="宋体"/>
          <w:color w:val="auto"/>
          <w:sz w:val="24"/>
          <w:highlight w:val="none"/>
          <w:u w:val="single"/>
        </w:rPr>
      </w:pPr>
    </w:p>
    <w:tbl>
      <w:tblPr>
        <w:tblStyle w:val="46"/>
        <w:tblW w:w="0" w:type="auto"/>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b w:val="0"/>
                <w:bCs w:val="0"/>
                <w:color w:val="auto"/>
                <w:sz w:val="24"/>
                <w:highlight w:val="none"/>
                <w:lang w:eastAsia="zh-CN"/>
              </w:rPr>
            </w:pPr>
            <w:r>
              <w:rPr>
                <w:rFonts w:hint="eastAsia" w:ascii="宋体" w:hAnsi="宋体" w:cs="Times New Roman"/>
                <w:b w:val="0"/>
                <w:bCs w:val="0"/>
                <w:color w:val="auto"/>
                <w:sz w:val="24"/>
                <w:highlight w:val="none"/>
                <w:lang w:eastAsia="zh-CN"/>
              </w:rPr>
              <w:t>合同履约期限</w:t>
            </w:r>
          </w:p>
        </w:tc>
        <w:tc>
          <w:tcPr>
            <w:tcW w:w="33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Times New Roman"/>
                <w:b w:val="0"/>
                <w:bCs w:val="0"/>
                <w:color w:val="auto"/>
                <w:sz w:val="24"/>
                <w:highlight w:val="none"/>
              </w:rPr>
            </w:pPr>
            <w:r>
              <w:rPr>
                <w:rFonts w:hint="eastAsia" w:ascii="宋体" w:hAnsi="宋体" w:cs="Times New Roman"/>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rPr>
                <w:rFonts w:hint="eastAsia" w:ascii="宋体" w:hAnsi="宋体" w:cs="Times New Roman"/>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43" w:right="0"/>
              <w:jc w:val="center"/>
              <w:rPr>
                <w:rFonts w:hint="eastAsia" w:ascii="宋体" w:hAnsi="宋体" w:cs="Times New Roman"/>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43" w:right="0"/>
              <w:jc w:val="center"/>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20" w:beforeLines="50" w:beforeAutospacing="0" w:after="0" w:afterAutospacing="0"/>
              <w:ind w:left="0" w:right="0"/>
              <w:jc w:val="center"/>
              <w:rPr>
                <w:rFonts w:hint="eastAsia" w:ascii="宋体" w:hAnsi="宋体" w:cs="Times New Roman"/>
                <w:color w:val="auto"/>
                <w:sz w:val="24"/>
                <w:highlight w:val="none"/>
              </w:rPr>
            </w:pPr>
          </w:p>
        </w:tc>
      </w:tr>
    </w:tbl>
    <w:p>
      <w:pPr>
        <w:pStyle w:val="17"/>
        <w:rPr>
          <w:rFonts w:hint="eastAsia" w:ascii="宋体" w:hAnsi="宋体"/>
          <w:color w:val="auto"/>
          <w:highlight w:val="none"/>
        </w:rPr>
      </w:pPr>
      <w:r>
        <w:rPr>
          <w:rFonts w:hint="eastAsia" w:ascii="宋体" w:hAnsi="宋体"/>
          <w:color w:val="auto"/>
          <w:highlight w:val="none"/>
        </w:rPr>
        <w:t>注：</w:t>
      </w:r>
    </w:p>
    <w:p>
      <w:pPr>
        <w:pStyle w:val="19"/>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w:t>
      </w:r>
      <w:r>
        <w:rPr>
          <w:rFonts w:hint="eastAsia"/>
          <w:color w:val="auto"/>
          <w:highlight w:val="none"/>
        </w:rPr>
        <w:t xml:space="preserve"> </w:t>
      </w:r>
      <w:r>
        <w:rPr>
          <w:rFonts w:hint="eastAsia" w:ascii="宋体" w:hAnsi="宋体" w:eastAsia="宋体"/>
          <w:color w:val="auto"/>
          <w:sz w:val="24"/>
          <w:szCs w:val="24"/>
          <w:highlight w:val="none"/>
        </w:rPr>
        <w:t>说明：应对照招标文件“第二章 采购需求”中的商务要求逐条作明确的投标响应，并作出偏离说明。</w:t>
      </w:r>
    </w:p>
    <w:p>
      <w:pPr>
        <w:pStyle w:val="17"/>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7.投标人业绩证明材料</w:t>
      </w:r>
    </w:p>
    <w:p>
      <w:pPr>
        <w:pStyle w:val="34"/>
        <w:snapToGrid w:val="0"/>
        <w:ind w:left="480" w:hanging="480"/>
        <w:rPr>
          <w:rFonts w:hint="eastAsia" w:ascii="宋体" w:hAnsi="宋体"/>
          <w:color w:val="auto"/>
          <w:sz w:val="24"/>
          <w:highlight w:val="none"/>
        </w:rPr>
      </w:pPr>
    </w:p>
    <w:p>
      <w:pPr>
        <w:pStyle w:val="34"/>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合同金额</w:t>
            </w:r>
          </w:p>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（万元）</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采购人联系人及</w:t>
            </w:r>
          </w:p>
          <w:p>
            <w:pPr>
              <w:keepNext w:val="0"/>
              <w:keepLines w:val="0"/>
              <w:suppressLineNumbers w:val="0"/>
              <w:snapToGrid w:val="0"/>
              <w:spacing w:before="0" w:beforeAutospacing="0" w:after="0" w:afterAutospacing="0" w:line="240" w:lineRule="exact"/>
              <w:ind w:left="0" w:right="0"/>
              <w:jc w:val="center"/>
              <w:rPr>
                <w:rFonts w:hint="eastAsia" w:ascii="宋体" w:hAnsi="宋体" w:cs="Times New Roman"/>
                <w:color w:val="auto"/>
                <w:sz w:val="24"/>
                <w:highlight w:val="none"/>
              </w:rPr>
            </w:pPr>
            <w:r>
              <w:rPr>
                <w:rFonts w:hint="eastAsia" w:ascii="宋体" w:hAnsi="宋体" w:cs="Times New Roman"/>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Times New Roman"/>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Times New Roman"/>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Times New Roman"/>
                <w:color w:val="auto"/>
                <w:sz w:val="24"/>
                <w:highlight w:val="none"/>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cs="Times New Roman"/>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0" w:beforeAutospacing="0" w:after="0" w:afterAutospacing="0" w:line="240" w:lineRule="exact"/>
              <w:ind w:left="0" w:right="0"/>
              <w:jc w:val="left"/>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50" w:beforeAutospacing="0" w:after="120" w:afterLines="50" w:afterAutospacing="0" w:line="400" w:lineRule="exact"/>
              <w:ind w:left="0" w:right="0"/>
              <w:jc w:val="left"/>
              <w:rPr>
                <w:rFonts w:hint="eastAsia" w:ascii="宋体" w:hAnsi="宋体" w:cs="Times New Roman"/>
                <w:color w:val="auto"/>
                <w:sz w:val="24"/>
                <w:highlight w:val="none"/>
              </w:rPr>
            </w:pPr>
          </w:p>
        </w:tc>
      </w:tr>
    </w:tbl>
    <w:p>
      <w:pPr>
        <w:pStyle w:val="14"/>
        <w:spacing w:before="0" w:after="0" w:line="360" w:lineRule="auto"/>
        <w:contextualSpacing/>
        <w:rPr>
          <w:rFonts w:hint="eastAsia" w:ascii="宋体" w:hAnsi="宋体" w:eastAsia="宋体"/>
          <w:color w:val="auto"/>
          <w:sz w:val="24"/>
          <w:szCs w:val="24"/>
          <w:highlight w:val="none"/>
        </w:rPr>
      </w:pPr>
    </w:p>
    <w:p>
      <w:pPr>
        <w:pStyle w:val="14"/>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pStyle w:val="14"/>
        <w:spacing w:before="0" w:after="0" w:line="360" w:lineRule="auto"/>
        <w:contextualSpacing/>
        <w:jc w:val="left"/>
        <w:rPr>
          <w:rFonts w:hint="eastAsia"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pgNumType w:fmt="decimal"/>
          <w:cols w:space="720" w:num="1"/>
          <w:docGrid w:linePitch="312" w:charSpace="0"/>
        </w:sectPr>
      </w:pPr>
    </w:p>
    <w:p>
      <w:pPr>
        <w:rPr>
          <w:rFonts w:hint="eastAsia"/>
          <w:b/>
          <w:color w:val="auto"/>
          <w:sz w:val="28"/>
          <w:szCs w:val="28"/>
          <w:highlight w:val="none"/>
        </w:rPr>
      </w:pPr>
      <w:r>
        <w:rPr>
          <w:rFonts w:hint="eastAsia"/>
          <w:b/>
          <w:color w:val="auto"/>
          <w:sz w:val="28"/>
          <w:szCs w:val="28"/>
          <w:highlight w:val="none"/>
        </w:rPr>
        <w:t>四、技术文件格式</w:t>
      </w:r>
    </w:p>
    <w:p>
      <w:pPr>
        <w:snapToGrid w:val="0"/>
        <w:spacing w:before="120" w:beforeLines="50" w:after="50"/>
        <w:ind w:left="142"/>
        <w:jc w:val="left"/>
        <w:rPr>
          <w:rFonts w:hint="eastAsia"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hint="eastAsia"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w:t>
      </w:r>
    </w:p>
    <w:p>
      <w:pPr>
        <w:snapToGrid w:val="0"/>
        <w:spacing w:before="120" w:beforeLines="50" w:after="50"/>
        <w:ind w:firstLine="645"/>
        <w:jc w:val="center"/>
        <w:rPr>
          <w:rFonts w:hint="eastAsia" w:ascii="宋体" w:hAnsi="宋体"/>
          <w:color w:val="auto"/>
          <w:sz w:val="24"/>
          <w:highlight w:val="none"/>
        </w:rPr>
      </w:pP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ind w:firstLine="645"/>
        <w:jc w:val="center"/>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根据招标文件规定及投标人提供的材料自行编写目录。</w:t>
      </w: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技术要求偏离表格式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技术要求偏离表</w:t>
      </w:r>
    </w:p>
    <w:p>
      <w:pPr>
        <w:pStyle w:val="24"/>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24"/>
              <w:keepNext w:val="0"/>
              <w:keepLines w:val="0"/>
              <w:suppressLineNumbers w:val="0"/>
              <w:spacing w:before="0" w:beforeAutospacing="0" w:after="0" w:afterAutospacing="0" w:line="400" w:lineRule="exact"/>
              <w:ind w:left="0" w:right="0"/>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项号</w:t>
            </w:r>
          </w:p>
        </w:tc>
        <w:tc>
          <w:tcPr>
            <w:tcW w:w="2143" w:type="dxa"/>
            <w:noWrap w:val="0"/>
            <w:vAlign w:val="center"/>
          </w:tcPr>
          <w:p>
            <w:pPr>
              <w:pStyle w:val="24"/>
              <w:keepNext w:val="0"/>
              <w:keepLines w:val="0"/>
              <w:suppressLineNumbers w:val="0"/>
              <w:spacing w:before="0" w:beforeAutospacing="0" w:after="0" w:afterAutospacing="0" w:line="400" w:lineRule="exact"/>
              <w:ind w:left="0" w:right="0"/>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标的</w:t>
            </w:r>
            <w:r>
              <w:rPr>
                <w:rFonts w:hint="eastAsia" w:hAnsi="宋体" w:cs="Courier New"/>
                <w:color w:val="auto"/>
                <w:kern w:val="2"/>
                <w:sz w:val="24"/>
                <w:szCs w:val="24"/>
                <w:highlight w:val="none"/>
                <w:lang w:eastAsia="zh-CN"/>
              </w:rPr>
              <w:t>的</w:t>
            </w:r>
            <w:r>
              <w:rPr>
                <w:rFonts w:hint="eastAsia" w:hAnsi="宋体" w:cs="Courier New"/>
                <w:color w:val="auto"/>
                <w:kern w:val="2"/>
                <w:sz w:val="24"/>
                <w:szCs w:val="24"/>
                <w:highlight w:val="none"/>
              </w:rPr>
              <w:t>名称</w:t>
            </w:r>
          </w:p>
        </w:tc>
        <w:tc>
          <w:tcPr>
            <w:tcW w:w="1834" w:type="dxa"/>
            <w:noWrap w:val="0"/>
            <w:vAlign w:val="center"/>
          </w:tcPr>
          <w:p>
            <w:pPr>
              <w:pStyle w:val="24"/>
              <w:keepNext w:val="0"/>
              <w:keepLines w:val="0"/>
              <w:suppressLineNumbers w:val="0"/>
              <w:spacing w:before="0" w:beforeAutospacing="0" w:after="0" w:afterAutospacing="0" w:line="400" w:lineRule="exact"/>
              <w:ind w:left="0" w:right="0"/>
              <w:jc w:val="center"/>
              <w:rPr>
                <w:rFonts w:hint="default" w:hAnsi="宋体" w:cs="Courier New"/>
                <w:color w:val="auto"/>
                <w:kern w:val="2"/>
                <w:sz w:val="24"/>
                <w:szCs w:val="24"/>
                <w:highlight w:val="none"/>
              </w:rPr>
            </w:pPr>
            <w:r>
              <w:rPr>
                <w:rFonts w:hint="eastAsia" w:hAnsi="宋体" w:cs="Courier New"/>
                <w:color w:val="auto"/>
                <w:kern w:val="2"/>
                <w:sz w:val="24"/>
                <w:szCs w:val="24"/>
                <w:highlight w:val="none"/>
              </w:rPr>
              <w:t>技术要求</w:t>
            </w:r>
          </w:p>
        </w:tc>
        <w:tc>
          <w:tcPr>
            <w:tcW w:w="2181" w:type="dxa"/>
            <w:noWrap w:val="0"/>
            <w:vAlign w:val="center"/>
          </w:tcPr>
          <w:p>
            <w:pPr>
              <w:pStyle w:val="24"/>
              <w:keepNext w:val="0"/>
              <w:keepLines w:val="0"/>
              <w:suppressLineNumbers w:val="0"/>
              <w:spacing w:before="0" w:beforeAutospacing="0" w:after="0" w:afterAutospacing="0" w:line="400" w:lineRule="exact"/>
              <w:ind w:left="0" w:right="0"/>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投标响应</w:t>
            </w:r>
          </w:p>
        </w:tc>
        <w:tc>
          <w:tcPr>
            <w:tcW w:w="1934" w:type="dxa"/>
            <w:noWrap w:val="0"/>
            <w:vAlign w:val="center"/>
          </w:tcPr>
          <w:p>
            <w:pPr>
              <w:pStyle w:val="24"/>
              <w:keepNext w:val="0"/>
              <w:keepLines w:val="0"/>
              <w:suppressLineNumbers w:val="0"/>
              <w:spacing w:before="0" w:beforeAutospacing="0" w:after="0" w:afterAutospacing="0" w:line="400" w:lineRule="exact"/>
              <w:ind w:left="0" w:right="0"/>
              <w:jc w:val="center"/>
              <w:rPr>
                <w:rFonts w:hint="eastAsia" w:hAnsi="宋体" w:cs="Courier New"/>
                <w:color w:val="auto"/>
                <w:kern w:val="2"/>
                <w:sz w:val="24"/>
                <w:szCs w:val="24"/>
                <w:highlight w:val="none"/>
              </w:rPr>
            </w:pPr>
            <w:r>
              <w:rPr>
                <w:rFonts w:hint="eastAsia" w:hAnsi="宋体" w:cs="Courier New"/>
                <w:color w:val="auto"/>
                <w:kern w:val="2"/>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jc w:val="center"/>
              <w:rPr>
                <w:rFonts w:hint="eastAsia" w:hAnsi="宋体" w:cs="Courier New"/>
                <w:color w:val="auto"/>
                <w:kern w:val="2"/>
                <w:sz w:val="24"/>
                <w:szCs w:val="24"/>
                <w:highlight w:val="none"/>
              </w:rPr>
            </w:pPr>
          </w:p>
        </w:tc>
        <w:tc>
          <w:tcPr>
            <w:tcW w:w="2143" w:type="dxa"/>
            <w:noWrap w:val="0"/>
            <w:vAlign w:val="center"/>
          </w:tcPr>
          <w:p>
            <w:pPr>
              <w:pStyle w:val="24"/>
              <w:keepNext w:val="0"/>
              <w:keepLines w:val="0"/>
              <w:suppressLineNumbers w:val="0"/>
              <w:spacing w:before="0" w:beforeAutospacing="0" w:after="0" w:afterAutospacing="0" w:line="600" w:lineRule="exact"/>
              <w:ind w:left="0" w:right="0"/>
              <w:jc w:val="center"/>
              <w:rPr>
                <w:rFonts w:hint="eastAsia" w:hAnsi="宋体" w:cs="Courier New"/>
                <w:color w:val="auto"/>
                <w:kern w:val="2"/>
                <w:sz w:val="24"/>
                <w:szCs w:val="24"/>
                <w:highlight w:val="none"/>
              </w:rPr>
            </w:pPr>
          </w:p>
        </w:tc>
        <w:tc>
          <w:tcPr>
            <w:tcW w:w="1834" w:type="dxa"/>
            <w:noWrap w:val="0"/>
            <w:vAlign w:val="center"/>
          </w:tcPr>
          <w:p>
            <w:pPr>
              <w:pStyle w:val="24"/>
              <w:keepNext w:val="0"/>
              <w:keepLines w:val="0"/>
              <w:suppressLineNumbers w:val="0"/>
              <w:spacing w:before="0" w:beforeAutospacing="0" w:after="0" w:afterAutospacing="0" w:line="600" w:lineRule="exact"/>
              <w:ind w:left="0" w:right="0"/>
              <w:jc w:val="center"/>
              <w:rPr>
                <w:rFonts w:hint="eastAsia" w:hAnsi="宋体" w:cs="Courier New"/>
                <w:color w:val="auto"/>
                <w:kern w:val="2"/>
                <w:sz w:val="24"/>
                <w:szCs w:val="24"/>
                <w:highlight w:val="none"/>
              </w:rPr>
            </w:pPr>
          </w:p>
        </w:tc>
        <w:tc>
          <w:tcPr>
            <w:tcW w:w="2181" w:type="dxa"/>
            <w:noWrap w:val="0"/>
            <w:vAlign w:val="center"/>
          </w:tcPr>
          <w:p>
            <w:pPr>
              <w:pStyle w:val="24"/>
              <w:keepNext w:val="0"/>
              <w:keepLines w:val="0"/>
              <w:suppressLineNumbers w:val="0"/>
              <w:spacing w:before="0" w:beforeAutospacing="0" w:after="0" w:afterAutospacing="0" w:line="600" w:lineRule="exact"/>
              <w:ind w:left="0" w:right="0"/>
              <w:jc w:val="center"/>
              <w:rPr>
                <w:rFonts w:hint="eastAsia" w:hAnsi="宋体" w:cs="Courier New"/>
                <w:color w:val="auto"/>
                <w:kern w:val="2"/>
                <w:sz w:val="24"/>
                <w:szCs w:val="24"/>
                <w:highlight w:val="none"/>
              </w:rPr>
            </w:pPr>
          </w:p>
        </w:tc>
        <w:tc>
          <w:tcPr>
            <w:tcW w:w="1934" w:type="dxa"/>
            <w:noWrap w:val="0"/>
            <w:vAlign w:val="center"/>
          </w:tcPr>
          <w:p>
            <w:pPr>
              <w:pStyle w:val="24"/>
              <w:keepNext w:val="0"/>
              <w:keepLines w:val="0"/>
              <w:suppressLineNumbers w:val="0"/>
              <w:spacing w:before="0" w:beforeAutospacing="0" w:after="0" w:afterAutospacing="0" w:line="600" w:lineRule="exact"/>
              <w:ind w:left="0" w:right="0"/>
              <w:jc w:val="center"/>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43"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8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81"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9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43"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8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81"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9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43"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8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81"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9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43"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8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81"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9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43"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8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2181"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c>
          <w:tcPr>
            <w:tcW w:w="1934" w:type="dxa"/>
            <w:noWrap w:val="0"/>
            <w:vAlign w:val="top"/>
          </w:tcPr>
          <w:p>
            <w:pPr>
              <w:pStyle w:val="24"/>
              <w:keepNext w:val="0"/>
              <w:keepLines w:val="0"/>
              <w:suppressLineNumbers w:val="0"/>
              <w:spacing w:before="0" w:beforeAutospacing="0" w:after="0" w:afterAutospacing="0" w:line="600" w:lineRule="exact"/>
              <w:ind w:left="0" w:right="0"/>
              <w:rPr>
                <w:rFonts w:hint="eastAsia" w:hAnsi="宋体" w:cs="Courier New"/>
                <w:color w:val="auto"/>
                <w:kern w:val="2"/>
                <w:sz w:val="24"/>
                <w:szCs w:val="24"/>
                <w:highlight w:val="none"/>
              </w:rPr>
            </w:pPr>
          </w:p>
        </w:tc>
      </w:tr>
    </w:tbl>
    <w:p>
      <w:pPr>
        <w:pStyle w:val="17"/>
        <w:rPr>
          <w:rFonts w:hint="eastAsia" w:ascii="宋体" w:hAnsi="宋体"/>
          <w:color w:val="auto"/>
          <w:highlight w:val="none"/>
        </w:rPr>
      </w:pPr>
      <w:r>
        <w:rPr>
          <w:rFonts w:hint="eastAsia" w:ascii="宋体" w:hAnsi="宋体"/>
          <w:color w:val="auto"/>
          <w:highlight w:val="none"/>
        </w:rPr>
        <w:t>注：</w:t>
      </w:r>
    </w:p>
    <w:p>
      <w:pPr>
        <w:pStyle w:val="19"/>
        <w:spacing w:line="360" w:lineRule="auto"/>
        <w:ind w:firstLine="0" w:firstLineChars="0"/>
        <w:contextualSpacing/>
        <w:rPr>
          <w:rFonts w:hint="eastAsia" w:hAnsi="仿宋_GB2312" w:cs="仿宋_GB2312"/>
          <w:color w:val="auto"/>
          <w:szCs w:val="32"/>
          <w:highlight w:val="none"/>
        </w:rPr>
      </w:pPr>
      <w:r>
        <w:rPr>
          <w:rFonts w:hint="eastAsia" w:ascii="宋体" w:hAnsi="宋体" w:eastAsia="宋体"/>
          <w:color w:val="auto"/>
          <w:sz w:val="24"/>
          <w:szCs w:val="24"/>
          <w:highlight w:val="none"/>
        </w:rPr>
        <w:t>1.说明：应对照招标文件“第二章 采购需求”中的“技术要求”逐条作明确的投标响应，并作出偏离说明。</w:t>
      </w:r>
    </w:p>
    <w:p>
      <w:pPr>
        <w:pStyle w:val="17"/>
        <w:spacing w:line="360" w:lineRule="auto"/>
        <w:contextualSpacing/>
        <w:rPr>
          <w:rFonts w:hint="eastAsia" w:ascii="宋体" w:hAnsi="宋体"/>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hint="eastAsia" w:ascii="宋体" w:hAnsi="宋体"/>
          <w:color w:val="auto"/>
          <w:sz w:val="24"/>
          <w:highlight w:val="none"/>
        </w:rPr>
      </w:pPr>
    </w:p>
    <w:p>
      <w:pPr>
        <w:snapToGrid w:val="0"/>
        <w:spacing w:before="50" w:after="50" w:line="360" w:lineRule="auto"/>
        <w:rPr>
          <w:rFonts w:ascii="宋体" w:hAnsi="宋体"/>
          <w:color w:val="auto"/>
          <w:sz w:val="24"/>
          <w:highlight w:val="none"/>
        </w:rPr>
      </w:pP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 项目实施人员一览表格式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24"/>
        <w:rPr>
          <w:rFonts w:hint="eastAsia"/>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姓名</w:t>
            </w:r>
          </w:p>
        </w:tc>
        <w:tc>
          <w:tcPr>
            <w:tcW w:w="709"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职务</w:t>
            </w:r>
          </w:p>
        </w:tc>
        <w:tc>
          <w:tcPr>
            <w:tcW w:w="1701"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专业技术资格（职称）或者职业资格或者执业资格证或者其他证书</w:t>
            </w:r>
          </w:p>
        </w:tc>
        <w:tc>
          <w:tcPr>
            <w:tcW w:w="1420"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证书编号</w:t>
            </w:r>
          </w:p>
        </w:tc>
        <w:tc>
          <w:tcPr>
            <w:tcW w:w="1698"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参加本单位</w:t>
            </w:r>
          </w:p>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工作时间</w:t>
            </w:r>
          </w:p>
        </w:tc>
        <w:tc>
          <w:tcPr>
            <w:tcW w:w="1843"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r>
              <w:rPr>
                <w:rFonts w:hint="eastAsia" w:ascii="宋体" w:hAnsi="宋体" w:cs="Times New Roman"/>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709"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701"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420"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698"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843"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709"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701"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420"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698"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843"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709"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701"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420"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698"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c>
          <w:tcPr>
            <w:tcW w:w="1843" w:type="dxa"/>
            <w:noWrap w:val="0"/>
            <w:vAlign w:val="center"/>
          </w:tcPr>
          <w:p>
            <w:pPr>
              <w:keepNext w:val="0"/>
              <w:keepLines w:val="0"/>
              <w:suppressLineNumbers w:val="0"/>
              <w:snapToGrid w:val="0"/>
              <w:spacing w:before="50" w:beforeAutospacing="0" w:after="120" w:afterLines="50" w:afterAutospacing="0"/>
              <w:ind w:left="0" w:right="0"/>
              <w:jc w:val="center"/>
              <w:rPr>
                <w:rFonts w:hint="eastAsia" w:ascii="宋体" w:hAnsi="宋体" w:cs="Times New Roman"/>
                <w:color w:val="auto"/>
                <w:sz w:val="24"/>
                <w:szCs w:val="20"/>
                <w:highlight w:val="none"/>
              </w:rPr>
            </w:pPr>
          </w:p>
        </w:tc>
      </w:tr>
    </w:tbl>
    <w:p>
      <w:pPr>
        <w:snapToGrid w:val="0"/>
        <w:spacing w:before="50" w:after="120" w:afterLines="50"/>
        <w:jc w:val="left"/>
        <w:rPr>
          <w:rFonts w:hint="eastAsia"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hint="eastAsia"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投标人应当附本表所列证书的复印件并加盖投标人公章。</w:t>
      </w:r>
    </w:p>
    <w:p>
      <w:pPr>
        <w:spacing w:line="360" w:lineRule="auto"/>
        <w:contextualSpacing/>
        <w:rPr>
          <w:rFonts w:hint="eastAsia"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hint="eastAsia"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hint="eastAsia" w:ascii="宋体" w:hAnsi="宋体"/>
          <w:color w:val="auto"/>
          <w:sz w:val="24"/>
          <w:szCs w:val="20"/>
          <w:highlight w:val="none"/>
        </w:rPr>
      </w:pPr>
    </w:p>
    <w:p>
      <w:pPr>
        <w:snapToGrid w:val="0"/>
        <w:spacing w:before="120" w:beforeLines="50" w:after="50"/>
        <w:ind w:left="142"/>
        <w:jc w:val="left"/>
        <w:rPr>
          <w:rFonts w:hint="eastAsia"/>
          <w:b/>
          <w:color w:val="auto"/>
          <w:sz w:val="28"/>
          <w:szCs w:val="28"/>
          <w:highlight w:val="none"/>
        </w:rPr>
      </w:pPr>
      <w:r>
        <w:rPr>
          <w:rFonts w:ascii="宋体" w:hAnsi="宋体"/>
          <w:b/>
          <w:color w:val="auto"/>
          <w:sz w:val="24"/>
          <w:highlight w:val="none"/>
        </w:rPr>
        <w:br w:type="page"/>
      </w:r>
      <w:r>
        <w:rPr>
          <w:rFonts w:hint="eastAsia"/>
          <w:b/>
          <w:color w:val="auto"/>
          <w:sz w:val="28"/>
          <w:szCs w:val="28"/>
          <w:highlight w:val="none"/>
        </w:rPr>
        <w:t>五、其他文书、文件格式</w:t>
      </w:r>
    </w:p>
    <w:p>
      <w:pPr>
        <w:snapToGrid w:val="0"/>
        <w:spacing w:before="120" w:beforeLines="50" w:after="50"/>
        <w:ind w:left="142"/>
        <w:jc w:val="left"/>
        <w:rPr>
          <w:rFonts w:hint="eastAsia" w:ascii="宋体" w:hAnsi="宋体"/>
          <w:b/>
          <w:color w:val="auto"/>
          <w:spacing w:val="20"/>
          <w:sz w:val="24"/>
          <w:highlight w:val="none"/>
        </w:rPr>
      </w:pPr>
      <w:r>
        <w:rPr>
          <w:rFonts w:hint="eastAsia" w:ascii="宋体" w:hAnsi="宋体"/>
          <w:b/>
          <w:color w:val="auto"/>
          <w:spacing w:val="20"/>
          <w:sz w:val="24"/>
          <w:highlight w:val="none"/>
        </w:rPr>
        <w:t>1.联合投标协议书格式</w:t>
      </w:r>
    </w:p>
    <w:p>
      <w:pPr>
        <w:snapToGrid w:val="0"/>
        <w:spacing w:before="120" w:beforeLines="50" w:after="50"/>
        <w:ind w:left="142"/>
        <w:jc w:val="left"/>
        <w:rPr>
          <w:rFonts w:hint="eastAsia" w:ascii="宋体" w:hAnsi="宋体"/>
          <w:b/>
          <w:color w:val="auto"/>
          <w:spacing w:val="20"/>
          <w:sz w:val="24"/>
          <w:highlight w:val="none"/>
        </w:rPr>
      </w:pPr>
    </w:p>
    <w:p>
      <w:pPr>
        <w:pStyle w:val="2"/>
        <w:overflowPunct w:val="0"/>
        <w:ind w:firstLine="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联合体协议书</w:t>
      </w:r>
    </w:p>
    <w:p>
      <w:pPr>
        <w:pStyle w:val="2"/>
        <w:overflowPunct w:val="0"/>
        <w:rPr>
          <w:rFonts w:ascii="宋体" w:hAnsi="宋体"/>
          <w:color w:val="auto"/>
          <w:sz w:val="24"/>
          <w:highlight w:val="none"/>
        </w:rPr>
      </w:pPr>
    </w:p>
    <w:p>
      <w:pPr>
        <w:pStyle w:val="2"/>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2"/>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2"/>
        <w:overflowPunct w:val="0"/>
        <w:spacing w:line="360" w:lineRule="auto"/>
        <w:ind w:firstLineChars="175"/>
        <w:contextualSpacing/>
        <w:rPr>
          <w:rFonts w:ascii="宋体" w:hAnsi="宋体"/>
          <w:color w:val="auto"/>
          <w:sz w:val="24"/>
          <w:highlight w:val="none"/>
        </w:rPr>
      </w:pPr>
    </w:p>
    <w:p>
      <w:pPr>
        <w:pStyle w:val="2"/>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2"/>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2"/>
        <w:overflowPunct w:val="0"/>
        <w:spacing w:line="360" w:lineRule="auto"/>
        <w:ind w:firstLineChars="175"/>
        <w:contextualSpacing/>
        <w:rPr>
          <w:rFonts w:ascii="宋体" w:hAnsi="宋体"/>
          <w:color w:val="auto"/>
          <w:sz w:val="24"/>
          <w:highlight w:val="none"/>
        </w:rPr>
      </w:pPr>
    </w:p>
    <w:p>
      <w:pPr>
        <w:pStyle w:val="2"/>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2"/>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2"/>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2"/>
        <w:overflowPunct w:val="0"/>
        <w:spacing w:line="360" w:lineRule="auto"/>
        <w:ind w:firstLineChars="175"/>
        <w:contextualSpacing/>
        <w:rPr>
          <w:rFonts w:ascii="宋体" w:hAnsi="宋体"/>
          <w:color w:val="auto"/>
          <w:sz w:val="24"/>
          <w:highlight w:val="none"/>
        </w:rPr>
      </w:pPr>
    </w:p>
    <w:p>
      <w:pPr>
        <w:pStyle w:val="2"/>
        <w:overflowPunct w:val="0"/>
        <w:spacing w:line="360" w:lineRule="auto"/>
        <w:ind w:firstLineChars="175"/>
        <w:contextualSpacing/>
        <w:jc w:val="right"/>
        <w:rPr>
          <w:rFonts w:ascii="宋体" w:hAnsi="宋体"/>
          <w:b/>
          <w:color w:val="auto"/>
          <w:sz w:val="24"/>
          <w:highlight w:val="none"/>
        </w:rPr>
      </w:pP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rFonts w:hint="eastAsia" w:ascii="宋体" w:hAnsi="宋体"/>
          <w:b/>
          <w:color w:val="auto"/>
          <w:sz w:val="24"/>
          <w:highlight w:val="none"/>
        </w:rPr>
      </w:pPr>
      <w:r>
        <w:rPr>
          <w:rFonts w:hint="eastAsia" w:ascii="宋体" w:hAnsi="宋体"/>
          <w:b/>
          <w:color w:val="auto"/>
          <w:sz w:val="24"/>
          <w:highlight w:val="none"/>
        </w:rPr>
        <w:t xml:space="preserve"> </w:t>
      </w:r>
    </w:p>
    <w:p>
      <w:pPr>
        <w:snapToGrid w:val="0"/>
        <w:spacing w:before="120" w:beforeLines="50" w:after="50"/>
        <w:jc w:val="left"/>
        <w:rPr>
          <w:rFonts w:hint="eastAsia"/>
          <w:color w:val="auto"/>
          <w:highlight w:val="none"/>
        </w:rPr>
      </w:pPr>
      <w:r>
        <w:rPr>
          <w:rFonts w:hint="eastAsia" w:ascii="宋体" w:hAnsi="宋体"/>
          <w:b/>
          <w:color w:val="auto"/>
          <w:sz w:val="24"/>
          <w:highlight w:val="none"/>
        </w:rPr>
        <w:br w:type="page"/>
      </w:r>
      <w:r>
        <w:rPr>
          <w:rFonts w:hint="eastAsia" w:ascii="宋体" w:hAnsi="宋体"/>
          <w:b/>
          <w:color w:val="auto"/>
          <w:sz w:val="24"/>
          <w:highlight w:val="none"/>
        </w:rPr>
        <w:t>2.中小企业声明函格式</w:t>
      </w:r>
    </w:p>
    <w:p>
      <w:pPr>
        <w:rPr>
          <w:rFonts w:hint="eastAsia"/>
          <w:color w:val="auto"/>
          <w:highlight w:val="none"/>
        </w:r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中小</w:t>
      </w:r>
      <w:r>
        <w:rPr>
          <w:rFonts w:hint="eastAsia" w:ascii="方正小标宋简体" w:hAnsi="方正小标宋简体" w:eastAsia="方正小标宋简体" w:cs="方正小标宋简体"/>
          <w:color w:val="auto"/>
          <w:sz w:val="44"/>
          <w:szCs w:val="44"/>
          <w:highlight w:val="none"/>
        </w:rPr>
        <w:t>企业声明函（服务）</w:t>
      </w:r>
    </w:p>
    <w:p>
      <w:pPr>
        <w:spacing w:before="2" w:line="500" w:lineRule="exact"/>
        <w:rPr>
          <w:rFonts w:ascii="宋体" w:hAnsi="宋体" w:cs="宋体"/>
          <w:b/>
          <w:bCs/>
          <w:color w:val="auto"/>
          <w:sz w:val="27"/>
          <w:szCs w:val="27"/>
          <w:highlight w:val="none"/>
        </w:rPr>
      </w:pPr>
    </w:p>
    <w:p>
      <w:pPr>
        <w:pStyle w:val="18"/>
        <w:spacing w:line="360" w:lineRule="auto"/>
        <w:ind w:left="-426" w:leftChars="-203" w:right="142" w:firstLine="480" w:firstLineChars="200"/>
        <w:contextualSpacing/>
        <w:rPr>
          <w:rFonts w:hint="eastAsia" w:ascii="宋体" w:hAnsi="宋体"/>
          <w:color w:val="auto"/>
          <w:kern w:val="24"/>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（单位名称）</w:t>
      </w:r>
      <w:r>
        <w:rPr>
          <w:rFonts w:ascii="宋体" w:hAnsi="宋体"/>
          <w:color w:val="auto"/>
          <w:highlight w:val="none"/>
        </w:rPr>
        <w:t>的</w:t>
      </w:r>
      <w:r>
        <w:rPr>
          <w:rFonts w:ascii="宋体" w:hAnsi="宋体"/>
          <w:color w:val="auto"/>
          <w:highlight w:val="none"/>
          <w:u w:val="single"/>
        </w:rPr>
        <w:t>（项目名称）</w:t>
      </w:r>
      <w:r>
        <w:rPr>
          <w:rFonts w:ascii="宋体" w:hAnsi="宋体"/>
          <w:color w:val="auto"/>
          <w:highlight w:val="none"/>
        </w:rPr>
        <w:t>采购活动，</w:t>
      </w:r>
      <w:r>
        <w:rPr>
          <w:rFonts w:hint="eastAsia" w:ascii="宋体" w:hAnsi="宋体"/>
          <w:color w:val="auto"/>
          <w:highlight w:val="none"/>
        </w:rPr>
        <w:t>服务全部由符合政策要求的中小企业承接。相关企业（含联合体中的中小企业、签订分包意向协议的中小企业）的具体情况如下：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w:t>
      </w:r>
      <w:r>
        <w:rPr>
          <w:rFonts w:hint="eastAsia" w:ascii="宋体" w:hAnsi="宋体"/>
          <w:color w:val="auto"/>
          <w:kern w:val="24"/>
          <w:sz w:val="24"/>
          <w:highlight w:val="none"/>
          <w:u w:val="single"/>
        </w:rPr>
        <w:t>租赁和商务服务业</w:t>
      </w:r>
      <w:r>
        <w:rPr>
          <w:rFonts w:ascii="宋体" w:hAnsi="宋体"/>
          <w:color w:val="auto"/>
          <w:kern w:val="24"/>
          <w:sz w:val="24"/>
          <w:highlight w:val="none"/>
          <w:u w:val="single"/>
        </w:rPr>
        <w:t>）</w:t>
      </w:r>
      <w:r>
        <w:rPr>
          <w:rFonts w:ascii="宋体" w:hAnsi="宋体"/>
          <w:color w:val="auto"/>
          <w:kern w:val="24"/>
          <w:sz w:val="24"/>
          <w:highlight w:val="none"/>
        </w:rPr>
        <w:t>行业；</w:t>
      </w:r>
      <w:r>
        <w:rPr>
          <w:rFonts w:hint="eastAsia" w:ascii="宋体" w:hAnsi="宋体"/>
          <w:color w:val="auto"/>
          <w:kern w:val="24"/>
          <w:sz w:val="24"/>
          <w:highlight w:val="none"/>
        </w:rPr>
        <w:t>承接企业</w:t>
      </w:r>
      <w:r>
        <w:rPr>
          <w:rFonts w:ascii="宋体" w:hAnsi="宋体"/>
          <w:color w:val="auto"/>
          <w:kern w:val="24"/>
          <w:sz w:val="24"/>
          <w:highlight w:val="none"/>
        </w:rPr>
        <w:t>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w:t>
      </w:r>
      <w:r>
        <w:rPr>
          <w:rFonts w:hint="eastAsia" w:ascii="宋体" w:hAnsi="宋体"/>
          <w:color w:val="auto"/>
          <w:kern w:val="24"/>
          <w:sz w:val="24"/>
          <w:highlight w:val="none"/>
          <w:u w:val="single"/>
        </w:rPr>
        <w:t>租赁和商务服务业</w:t>
      </w:r>
      <w:r>
        <w:rPr>
          <w:rFonts w:ascii="宋体" w:hAnsi="宋体"/>
          <w:color w:val="auto"/>
          <w:kern w:val="24"/>
          <w:sz w:val="24"/>
          <w:highlight w:val="none"/>
          <w:u w:val="single"/>
        </w:rPr>
        <w:t>）</w:t>
      </w:r>
      <w:r>
        <w:rPr>
          <w:rFonts w:ascii="宋体" w:hAnsi="宋体"/>
          <w:color w:val="auto"/>
          <w:kern w:val="24"/>
          <w:sz w:val="24"/>
          <w:highlight w:val="none"/>
        </w:rPr>
        <w:t>行业；</w:t>
      </w:r>
      <w:r>
        <w:rPr>
          <w:rFonts w:hint="eastAsia" w:ascii="宋体" w:hAnsi="宋体"/>
          <w:color w:val="auto"/>
          <w:kern w:val="24"/>
          <w:sz w:val="24"/>
          <w:highlight w:val="none"/>
        </w:rPr>
        <w:t>承接企业</w:t>
      </w:r>
      <w:r>
        <w:rPr>
          <w:rFonts w:ascii="宋体" w:hAnsi="宋体"/>
          <w:color w:val="auto"/>
          <w:kern w:val="24"/>
          <w:sz w:val="24"/>
          <w:highlight w:val="none"/>
        </w:rPr>
        <w:t>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8"/>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8"/>
        <w:spacing w:line="360" w:lineRule="auto"/>
        <w:ind w:left="-405" w:leftChars="-193" w:right="142" w:firstLine="453"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8"/>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8"/>
        <w:spacing w:line="360" w:lineRule="auto"/>
        <w:ind w:left="3960" w:right="1808"/>
        <w:contextualSpacing/>
        <w:rPr>
          <w:rFonts w:hint="eastAsia" w:ascii="宋体" w:hAnsi="宋体"/>
          <w:color w:val="auto"/>
          <w:kern w:val="24"/>
          <w:highlight w:val="none"/>
        </w:rPr>
      </w:pPr>
    </w:p>
    <w:p>
      <w:pPr>
        <w:pStyle w:val="18"/>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8"/>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8"/>
        <w:spacing w:line="360" w:lineRule="auto"/>
        <w:ind w:left="3960" w:right="1808"/>
        <w:contextualSpacing/>
        <w:rPr>
          <w:rFonts w:ascii="宋体" w:hAnsi="宋体"/>
          <w:color w:val="auto"/>
          <w:kern w:val="24"/>
          <w:highlight w:val="none"/>
        </w:rPr>
      </w:pPr>
    </w:p>
    <w:p>
      <w:pPr>
        <w:pStyle w:val="18"/>
        <w:spacing w:line="360" w:lineRule="auto"/>
        <w:ind w:left="3960" w:right="1808"/>
        <w:contextualSpacing/>
        <w:rPr>
          <w:rFonts w:ascii="宋体" w:hAnsi="宋体"/>
          <w:color w:val="auto"/>
          <w:kern w:val="24"/>
          <w:highlight w:val="none"/>
        </w:rPr>
      </w:pPr>
    </w:p>
    <w:p>
      <w:pPr>
        <w:pStyle w:val="18"/>
        <w:spacing w:line="360" w:lineRule="auto"/>
        <w:ind w:left="-426" w:right="142" w:firstLine="567"/>
        <w:contextualSpacing/>
        <w:rPr>
          <w:rFonts w:hint="eastAsia"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hint="eastAsia" w:ascii="宋体" w:hAnsi="宋体"/>
          <w:b/>
          <w:color w:val="auto"/>
          <w:sz w:val="24"/>
          <w:highlight w:val="none"/>
        </w:rPr>
      </w:pPr>
    </w:p>
    <w:p>
      <w:pPr>
        <w:pStyle w:val="24"/>
        <w:jc w:val="left"/>
        <w:rPr>
          <w:rFonts w:hint="eastAsia" w:ascii="Arial Unicode MS" w:hAnsi="Arial Unicode MS" w:eastAsia="Arial Unicode MS" w:cs="Arial Unicode MS"/>
          <w:color w:val="auto"/>
          <w:sz w:val="32"/>
          <w:szCs w:val="32"/>
          <w:highlight w:val="none"/>
        </w:rPr>
      </w:pPr>
      <w:r>
        <w:rPr>
          <w:rFonts w:ascii="Arial Unicode MS" w:hAnsi="Arial Unicode MS" w:eastAsia="Arial Unicode MS" w:cs="Arial Unicode MS"/>
          <w:color w:val="auto"/>
          <w:sz w:val="32"/>
          <w:szCs w:val="32"/>
          <w:highlight w:val="none"/>
        </w:rPr>
        <w:br w:type="page"/>
      </w:r>
      <w:r>
        <w:rPr>
          <w:rFonts w:hint="eastAsia" w:ascii="Arial Unicode MS" w:hAnsi="Arial Unicode MS" w:eastAsia="Arial Unicode MS" w:cs="Arial Unicode MS"/>
          <w:color w:val="auto"/>
          <w:sz w:val="32"/>
          <w:szCs w:val="32"/>
          <w:highlight w:val="none"/>
        </w:rPr>
        <w:t>附：</w:t>
      </w:r>
    </w:p>
    <w:p>
      <w:pPr>
        <w:jc w:val="center"/>
        <w:rPr>
          <w:rFonts w:hint="eastAsia" w:ascii="宋体" w:hAnsi="宋体" w:cs="Arial Unicode MS"/>
          <w:color w:val="auto"/>
          <w:sz w:val="44"/>
          <w:szCs w:val="44"/>
          <w:highlight w:val="none"/>
        </w:rPr>
      </w:pPr>
      <w:r>
        <w:rPr>
          <w:rFonts w:hint="eastAsia" w:ascii="宋体" w:hAnsi="宋体" w:cs="Arial Unicode MS"/>
          <w:color w:val="auto"/>
          <w:sz w:val="44"/>
          <w:szCs w:val="44"/>
          <w:highlight w:val="none"/>
        </w:rPr>
        <w:t>中小微企业划型标准</w:t>
      </w:r>
    </w:p>
    <w:p>
      <w:pPr>
        <w:ind w:left="1871"/>
        <w:rPr>
          <w:rFonts w:hint="eastAsia" w:ascii="宋体" w:hAnsi="宋体" w:cs="Arial Unicode MS"/>
          <w:color w:val="auto"/>
          <w:szCs w:val="21"/>
          <w:highlight w:val="none"/>
        </w:rPr>
      </w:pPr>
    </w:p>
    <w:tbl>
      <w:tblPr>
        <w:tblStyle w:val="46"/>
        <w:tblW w:w="0" w:type="auto"/>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25" w:firstLineChars="250"/>
        <w:rPr>
          <w:rFonts w:hint="eastAsia" w:ascii="仿宋_GB2312" w:hAnsi="仿宋" w:eastAsia="仿宋_GB2312"/>
          <w:color w:val="auto"/>
          <w:szCs w:val="21"/>
          <w:highlight w:val="none"/>
        </w:rPr>
      </w:pPr>
    </w:p>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3.残疾人福利性单位声明函格式</w:t>
      </w:r>
    </w:p>
    <w:p>
      <w:pPr>
        <w:spacing w:line="588" w:lineRule="exact"/>
        <w:jc w:val="center"/>
        <w:rPr>
          <w:rFonts w:hint="eastAsia" w:ascii="仿宋_GB2312" w:eastAsia="仿宋_GB2312"/>
          <w:b/>
          <w:color w:val="auto"/>
          <w:spacing w:val="6"/>
          <w:sz w:val="32"/>
          <w:szCs w:val="32"/>
          <w:highlight w:val="none"/>
        </w:rPr>
      </w:pPr>
    </w:p>
    <w:p>
      <w:pPr>
        <w:spacing w:line="588" w:lineRule="exact"/>
        <w:jc w:val="center"/>
        <w:rPr>
          <w:rFonts w:hint="eastAsia"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p>
      <w:pPr>
        <w:spacing w:line="360" w:lineRule="auto"/>
        <w:contextualSpacing/>
        <w:rPr>
          <w:rFonts w:ascii="仿宋_GB2312" w:eastAsia="仿宋_GB2312"/>
          <w:bCs/>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4.质疑函格式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w:t>
      </w:r>
    </w:p>
    <w:p>
      <w:pPr>
        <w:pStyle w:val="24"/>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24"/>
        <w:snapToGrid w:val="0"/>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4"/>
        <w:snapToGrid w:val="0"/>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24"/>
        <w:snapToGrid w:val="0"/>
        <w:spacing w:line="360" w:lineRule="auto"/>
        <w:ind w:firstLine="480" w:firstLineChars="200"/>
        <w:rPr>
          <w:rFonts w:hint="eastAsia"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4"/>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二、质疑项目基本情况：</w:t>
      </w:r>
    </w:p>
    <w:p>
      <w:pPr>
        <w:pStyle w:val="2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w:t>
      </w:r>
    </w:p>
    <w:p>
      <w:pPr>
        <w:pStyle w:val="24"/>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24"/>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 xml:space="preserve">□采购过程   </w:t>
      </w:r>
    </w:p>
    <w:p>
      <w:pPr>
        <w:pStyle w:val="24"/>
        <w:spacing w:line="360" w:lineRule="auto"/>
        <w:ind w:left="25" w:leftChars="12" w:firstLine="352" w:firstLineChars="147"/>
        <w:rPr>
          <w:rFonts w:hint="eastAsia" w:hAnsi="宋体"/>
          <w:bCs/>
          <w:color w:val="auto"/>
          <w:sz w:val="24"/>
          <w:szCs w:val="24"/>
          <w:highlight w:val="none"/>
          <w:u w:val="single"/>
        </w:rPr>
      </w:pPr>
      <w:r>
        <w:rPr>
          <w:rFonts w:hint="eastAsia" w:hAnsi="宋体"/>
          <w:color w:val="auto"/>
          <w:sz w:val="24"/>
          <w:szCs w:val="24"/>
          <w:highlight w:val="none"/>
        </w:rPr>
        <w:t xml:space="preserve">□中标结果   </w:t>
      </w:r>
    </w:p>
    <w:p>
      <w:pPr>
        <w:pStyle w:val="24"/>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三、质疑事项具体内容</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质疑事项2</w:t>
      </w:r>
    </w:p>
    <w:p>
      <w:pPr>
        <w:pStyle w:val="24"/>
        <w:spacing w:line="360" w:lineRule="auto"/>
        <w:ind w:left="25" w:leftChars="12" w:firstLine="472" w:firstLineChars="197"/>
        <w:rPr>
          <w:rFonts w:hint="eastAsia" w:hAnsi="宋体"/>
          <w:color w:val="auto"/>
          <w:sz w:val="24"/>
          <w:szCs w:val="24"/>
          <w:highlight w:val="none"/>
        </w:rPr>
      </w:pPr>
      <w:r>
        <w:rPr>
          <w:rFonts w:hAnsi="宋体"/>
          <w:color w:val="auto"/>
          <w:sz w:val="24"/>
          <w:szCs w:val="24"/>
          <w:highlight w:val="none"/>
        </w:rPr>
        <w:t>……</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四、与质疑事项相关的质疑请求：</w:t>
      </w: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4"/>
        <w:spacing w:line="360" w:lineRule="auto"/>
        <w:ind w:left="25" w:leftChars="12" w:firstLine="352" w:firstLineChars="147"/>
        <w:rPr>
          <w:rFonts w:hint="eastAsia" w:hAnsi="宋体"/>
          <w:color w:val="auto"/>
          <w:sz w:val="24"/>
          <w:szCs w:val="24"/>
          <w:highlight w:val="none"/>
        </w:rPr>
      </w:pP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24"/>
        <w:spacing w:line="360" w:lineRule="auto"/>
        <w:ind w:left="25" w:leftChars="12" w:firstLine="352" w:firstLineChars="147"/>
        <w:rPr>
          <w:rFonts w:hint="eastAsia" w:hAnsi="宋体"/>
          <w:color w:val="auto"/>
          <w:sz w:val="24"/>
          <w:szCs w:val="24"/>
          <w:highlight w:val="none"/>
        </w:rPr>
      </w:pPr>
    </w:p>
    <w:p>
      <w:pPr>
        <w:pStyle w:val="24"/>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24"/>
        <w:snapToGrid w:val="0"/>
        <w:spacing w:line="360" w:lineRule="auto"/>
        <w:rPr>
          <w:rFonts w:hint="eastAsia" w:hAnsi="宋体"/>
          <w:b/>
          <w:color w:val="auto"/>
          <w:sz w:val="24"/>
          <w:szCs w:val="24"/>
          <w:highlight w:val="none"/>
        </w:rPr>
      </w:pPr>
    </w:p>
    <w:p>
      <w:pPr>
        <w:pStyle w:val="24"/>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24"/>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2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24"/>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4.质疑函的质疑请求应与质疑事项相关。</w:t>
      </w:r>
    </w:p>
    <w:p>
      <w:pPr>
        <w:pStyle w:val="24"/>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24"/>
        <w:snapToGrid w:val="0"/>
        <w:rPr>
          <w:rFonts w:hint="eastAsia"/>
          <w:b/>
          <w:color w:val="auto"/>
          <w:sz w:val="24"/>
          <w:szCs w:val="24"/>
          <w:highlight w:val="none"/>
        </w:rPr>
      </w:pPr>
    </w:p>
    <w:p>
      <w:pPr>
        <w:spacing w:line="360" w:lineRule="auto"/>
        <w:jc w:val="left"/>
        <w:rPr>
          <w:rFonts w:hint="eastAsia" w:ascii="宋体" w:hAnsi="宋体"/>
          <w:b/>
          <w:bCs/>
          <w:color w:val="auto"/>
          <w:sz w:val="32"/>
          <w:szCs w:val="32"/>
          <w:highlight w:val="none"/>
        </w:rPr>
      </w:pPr>
      <w:r>
        <w:rPr>
          <w:rFonts w:eastAsia="隶书"/>
          <w:color w:val="auto"/>
          <w:sz w:val="44"/>
          <w:highlight w:val="none"/>
        </w:rPr>
        <w:br w:type="page"/>
      </w:r>
      <w:r>
        <w:rPr>
          <w:rFonts w:hint="eastAsia" w:ascii="宋体" w:hAnsi="宋体"/>
          <w:b/>
          <w:color w:val="auto"/>
          <w:sz w:val="24"/>
          <w:highlight w:val="none"/>
        </w:rPr>
        <w:t>5.投诉书格式</w:t>
      </w: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w:t>
      </w:r>
    </w:p>
    <w:p>
      <w:pPr>
        <w:pStyle w:val="24"/>
        <w:snapToGrid w:val="0"/>
        <w:spacing w:line="440" w:lineRule="exact"/>
        <w:ind w:firstLine="482" w:firstLineChars="200"/>
        <w:rPr>
          <w:rFonts w:hint="eastAsia" w:hAnsi="宋体"/>
          <w:b/>
          <w:bCs/>
          <w:color w:val="auto"/>
          <w:sz w:val="24"/>
          <w:szCs w:val="24"/>
          <w:highlight w:val="none"/>
        </w:rPr>
      </w:pPr>
    </w:p>
    <w:p>
      <w:pPr>
        <w:pStyle w:val="24"/>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被投诉人1：</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被投诉人2：</w:t>
      </w:r>
    </w:p>
    <w:p>
      <w:pPr>
        <w:pStyle w:val="24"/>
        <w:snapToGrid w:val="0"/>
        <w:spacing w:line="440" w:lineRule="exact"/>
        <w:ind w:firstLine="480" w:firstLineChars="200"/>
        <w:jc w:val="left"/>
        <w:rPr>
          <w:rFonts w:hint="eastAsia" w:hAnsi="宋体"/>
          <w:bCs/>
          <w:color w:val="auto"/>
          <w:sz w:val="24"/>
          <w:szCs w:val="24"/>
          <w:highlight w:val="none"/>
        </w:rPr>
      </w:pPr>
      <w:r>
        <w:rPr>
          <w:rFonts w:hAnsi="宋体"/>
          <w:bCs/>
          <w:color w:val="auto"/>
          <w:sz w:val="24"/>
          <w:szCs w:val="24"/>
          <w:highlight w:val="none"/>
        </w:rPr>
        <w:t>……</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4"/>
        <w:snapToGrid w:val="0"/>
        <w:spacing w:line="440" w:lineRule="exact"/>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4"/>
        <w:snapToGrid w:val="0"/>
        <w:spacing w:line="440" w:lineRule="exact"/>
        <w:ind w:firstLine="482" w:firstLineChars="200"/>
        <w:rPr>
          <w:rFonts w:hint="eastAsia" w:hAnsi="宋体"/>
          <w:b/>
          <w:bCs/>
          <w:color w:val="auto"/>
          <w:sz w:val="24"/>
          <w:szCs w:val="24"/>
          <w:highlight w:val="none"/>
        </w:rPr>
      </w:pPr>
      <w:r>
        <w:rPr>
          <w:rFonts w:hint="eastAsia" w:hAnsi="宋体"/>
          <w:b/>
          <w:bCs/>
          <w:color w:val="auto"/>
          <w:sz w:val="24"/>
          <w:szCs w:val="24"/>
          <w:highlight w:val="none"/>
        </w:rPr>
        <w:t>二、投诉项目基本情况：</w:t>
      </w:r>
    </w:p>
    <w:p>
      <w:pPr>
        <w:pStyle w:val="24"/>
        <w:spacing w:line="440" w:lineRule="exact"/>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4"/>
        <w:spacing w:line="440" w:lineRule="exact"/>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三、质疑基本情况</w:t>
      </w:r>
    </w:p>
    <w:p>
      <w:pPr>
        <w:pStyle w:val="24"/>
        <w:spacing w:line="440" w:lineRule="exact"/>
        <w:ind w:left="25" w:leftChars="12" w:firstLine="480" w:firstLineChars="200"/>
        <w:rPr>
          <w:rFonts w:hint="eastAsia"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24"/>
        <w:spacing w:line="440" w:lineRule="exact"/>
        <w:ind w:firstLine="241"/>
        <w:rPr>
          <w:rFonts w:hint="eastAsia"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4"/>
        <w:spacing w:line="440" w:lineRule="exact"/>
        <w:ind w:firstLine="241"/>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4"/>
        <w:spacing w:line="440" w:lineRule="exact"/>
        <w:ind w:firstLine="480" w:firstLineChars="200"/>
        <w:rPr>
          <w:rFonts w:hint="eastAsia"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24"/>
        <w:spacing w:line="440" w:lineRule="exact"/>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四、投诉事项具体内容</w:t>
      </w:r>
    </w:p>
    <w:p>
      <w:pPr>
        <w:pStyle w:val="24"/>
        <w:spacing w:line="440" w:lineRule="exact"/>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24"/>
        <w:spacing w:line="440" w:lineRule="exact"/>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color w:val="auto"/>
          <w:sz w:val="24"/>
          <w:szCs w:val="24"/>
          <w:highlight w:val="none"/>
        </w:rPr>
      </w:pPr>
      <w:r>
        <w:rPr>
          <w:rFonts w:hint="eastAsia" w:hAnsi="宋体"/>
          <w:bCs/>
          <w:color w:val="auto"/>
          <w:sz w:val="24"/>
          <w:szCs w:val="24"/>
          <w:highlight w:val="none"/>
          <w:u w:val="single"/>
        </w:rPr>
        <w:t xml:space="preserve">                                                                                        </w:t>
      </w:r>
    </w:p>
    <w:p>
      <w:pPr>
        <w:pStyle w:val="24"/>
        <w:spacing w:line="440" w:lineRule="exact"/>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4"/>
        <w:spacing w:line="440" w:lineRule="exact"/>
        <w:ind w:left="25" w:leftChars="12" w:firstLine="352" w:firstLineChars="147"/>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4"/>
        <w:spacing w:line="440" w:lineRule="exact"/>
        <w:ind w:left="25" w:leftChars="12" w:firstLine="472" w:firstLineChars="197"/>
        <w:rPr>
          <w:rFonts w:hint="eastAsia"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24"/>
        <w:spacing w:line="440" w:lineRule="exact"/>
        <w:ind w:left="25" w:leftChars="12" w:firstLine="472" w:firstLineChars="197"/>
        <w:rPr>
          <w:rFonts w:hint="eastAsia" w:hAnsi="宋体"/>
          <w:bCs/>
          <w:color w:val="auto"/>
          <w:sz w:val="24"/>
          <w:szCs w:val="24"/>
          <w:highlight w:val="none"/>
        </w:rPr>
      </w:pPr>
      <w:r>
        <w:rPr>
          <w:rFonts w:hAnsi="宋体"/>
          <w:bCs/>
          <w:color w:val="auto"/>
          <w:sz w:val="24"/>
          <w:szCs w:val="24"/>
          <w:highlight w:val="none"/>
        </w:rPr>
        <w:t>……</w:t>
      </w:r>
    </w:p>
    <w:p>
      <w:pPr>
        <w:pStyle w:val="24"/>
        <w:spacing w:line="440" w:lineRule="exact"/>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五、与投诉事项相关的投诉请求：</w:t>
      </w:r>
    </w:p>
    <w:p>
      <w:pPr>
        <w:pStyle w:val="24"/>
        <w:spacing w:line="440" w:lineRule="exact"/>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4"/>
        <w:spacing w:line="440" w:lineRule="exact"/>
        <w:ind w:left="25" w:leftChars="12" w:firstLine="352" w:firstLineChars="147"/>
        <w:rPr>
          <w:rFonts w:hint="eastAsia" w:hAnsi="宋体"/>
          <w:color w:val="auto"/>
          <w:sz w:val="24"/>
          <w:szCs w:val="24"/>
          <w:highlight w:val="none"/>
        </w:rPr>
      </w:pPr>
    </w:p>
    <w:p>
      <w:pPr>
        <w:pStyle w:val="24"/>
        <w:spacing w:line="440" w:lineRule="exact"/>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24"/>
        <w:spacing w:line="440" w:lineRule="exact"/>
        <w:ind w:left="25" w:leftChars="12" w:firstLine="352" w:firstLineChars="147"/>
        <w:rPr>
          <w:rFonts w:hint="eastAsia" w:hAnsi="宋体"/>
          <w:color w:val="auto"/>
          <w:sz w:val="24"/>
          <w:szCs w:val="24"/>
          <w:highlight w:val="none"/>
        </w:rPr>
      </w:pPr>
    </w:p>
    <w:p>
      <w:pPr>
        <w:pStyle w:val="24"/>
        <w:spacing w:line="440" w:lineRule="exact"/>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24"/>
        <w:spacing w:line="440" w:lineRule="exact"/>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 xml:space="preserve">                                                                              </w:t>
      </w:r>
    </w:p>
    <w:p>
      <w:pPr>
        <w:pStyle w:val="24"/>
        <w:snapToGrid w:val="0"/>
        <w:spacing w:line="440" w:lineRule="exact"/>
        <w:rPr>
          <w:rFonts w:hint="eastAsia" w:hAnsi="宋体"/>
          <w:b/>
          <w:color w:val="auto"/>
          <w:sz w:val="24"/>
          <w:szCs w:val="24"/>
          <w:highlight w:val="none"/>
        </w:rPr>
      </w:pPr>
      <w:r>
        <w:rPr>
          <w:rFonts w:hint="eastAsia" w:hAnsi="宋体"/>
          <w:b/>
          <w:color w:val="auto"/>
          <w:sz w:val="24"/>
          <w:szCs w:val="24"/>
          <w:highlight w:val="none"/>
        </w:rPr>
        <w:t>说明：</w:t>
      </w:r>
    </w:p>
    <w:p>
      <w:pPr>
        <w:pStyle w:val="24"/>
        <w:spacing w:line="440" w:lineRule="exact"/>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24"/>
        <w:spacing w:line="440" w:lineRule="exact"/>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4"/>
        <w:spacing w:line="440" w:lineRule="exact"/>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24"/>
        <w:spacing w:line="440" w:lineRule="exact"/>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24"/>
        <w:spacing w:line="440" w:lineRule="exact"/>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5.投诉书的投诉请求应与投诉事项相关。</w:t>
      </w:r>
    </w:p>
    <w:p>
      <w:pPr>
        <w:pStyle w:val="24"/>
        <w:spacing w:line="440" w:lineRule="exact"/>
        <w:ind w:left="25" w:leftChars="12" w:firstLine="354" w:firstLineChars="147"/>
        <w:rPr>
          <w:rFonts w:hint="eastAsia"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sectPr>
      <w:footerReference r:id="rId16" w:type="first"/>
      <w:headerReference r:id="rId13" w:type="default"/>
      <w:footerReference r:id="rId14" w:type="default"/>
      <w:footerReference r:id="rId15" w:type="even"/>
      <w:pgSz w:w="11906" w:h="16838"/>
      <w:pgMar w:top="1440"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entury">
    <w:altName w:val="Bookman Old Style"/>
    <w:panose1 w:val="020406040505050203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3000509000000000000"/>
    <w:charset w:val="86"/>
    <w:family w:val="auto"/>
    <w:pitch w:val="default"/>
    <w:sig w:usb0="00000000" w:usb1="00000000" w:usb2="00000000" w:usb3="00000000" w:csb0="00040000" w:csb1="00000000"/>
  </w:font>
  <w:font w:name="Open Sans">
    <w:altName w:val="Times New Roman"/>
    <w:panose1 w:val="00000000000000000000"/>
    <w:charset w:val="00"/>
    <w:family w:val="swiss"/>
    <w:pitch w:val="default"/>
    <w:sig w:usb0="00000000" w:usb1="00000000" w:usb2="00000028" w:usb3="00000000" w:csb0="0000019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end"/>
    </w:r>
  </w:p>
  <w:p>
    <w:pPr>
      <w:pStyle w:val="3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Fonts w:cs="Open Sans"/>
      </w:rPr>
    </w:pPr>
    <w:r>
      <w:rPr>
        <w:rFonts w:cs="Open Sans"/>
      </w:rPr>
      <w:fldChar w:fldCharType="begin"/>
    </w:r>
    <w:r>
      <w:rPr>
        <w:rStyle w:val="50"/>
        <w:rFonts w:cs="Open Sans"/>
      </w:rPr>
      <w:instrText xml:space="preserve">PAGE  </w:instrText>
    </w:r>
    <w:r>
      <w:rPr>
        <w:rFonts w:cs="Open Sans"/>
      </w:rP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end"/>
    </w:r>
  </w:p>
  <w:p>
    <w:pPr>
      <w:pStyle w:val="3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both"/>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2">
    <w:nsid w:val="4C601917"/>
    <w:multiLevelType w:val="singleLevel"/>
    <w:tmpl w:val="4C601917"/>
    <w:lvl w:ilvl="0" w:tentative="0">
      <w:start w:val="1"/>
      <w:numFmt w:val="decimal"/>
      <w:suff w:val="nothing"/>
      <w:lvlText w:val="（%1）"/>
      <w:lvlJc w:val="left"/>
      <w:pPr>
        <w:ind w:left="-2"/>
      </w:pPr>
    </w:lvl>
  </w:abstractNum>
  <w:abstractNum w:abstractNumId="3">
    <w:nsid w:val="5FABD14B"/>
    <w:multiLevelType w:val="singleLevel"/>
    <w:tmpl w:val="5FABD14B"/>
    <w:lvl w:ilvl="0" w:tentative="0">
      <w:start w:val="1"/>
      <w:numFmt w:val="decimal"/>
      <w:suff w:val="nothing"/>
      <w:lvlText w:val="（%1）"/>
      <w:lvlJc w:val="left"/>
    </w:lvl>
  </w:abstractNum>
  <w:abstractNum w:abstractNumId="4">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revisionView w:markup="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Nzg2NzY5NzM5NWYzYjBlNTA3MTIyZDljZTlhZmEifQ=="/>
  </w:docVars>
  <w:rsids>
    <w:rsidRoot w:val="00172A27"/>
    <w:rsid w:val="0000010C"/>
    <w:rsid w:val="000004FE"/>
    <w:rsid w:val="00000FE0"/>
    <w:rsid w:val="00001068"/>
    <w:rsid w:val="0000114A"/>
    <w:rsid w:val="00001731"/>
    <w:rsid w:val="00001C2D"/>
    <w:rsid w:val="00001C55"/>
    <w:rsid w:val="00001CA8"/>
    <w:rsid w:val="00001FAE"/>
    <w:rsid w:val="00002291"/>
    <w:rsid w:val="00002DBF"/>
    <w:rsid w:val="00002EC0"/>
    <w:rsid w:val="00003224"/>
    <w:rsid w:val="000033B9"/>
    <w:rsid w:val="000033F5"/>
    <w:rsid w:val="0000358C"/>
    <w:rsid w:val="0000361D"/>
    <w:rsid w:val="00003BEF"/>
    <w:rsid w:val="00004130"/>
    <w:rsid w:val="0000431F"/>
    <w:rsid w:val="00004634"/>
    <w:rsid w:val="00004D8B"/>
    <w:rsid w:val="000059E2"/>
    <w:rsid w:val="000061EA"/>
    <w:rsid w:val="00006AE7"/>
    <w:rsid w:val="00006B9B"/>
    <w:rsid w:val="00006BCA"/>
    <w:rsid w:val="00006C35"/>
    <w:rsid w:val="000072B1"/>
    <w:rsid w:val="00007329"/>
    <w:rsid w:val="00007E28"/>
    <w:rsid w:val="00007E84"/>
    <w:rsid w:val="00007F72"/>
    <w:rsid w:val="00010401"/>
    <w:rsid w:val="000105A1"/>
    <w:rsid w:val="000107AD"/>
    <w:rsid w:val="00010835"/>
    <w:rsid w:val="000117D5"/>
    <w:rsid w:val="00011842"/>
    <w:rsid w:val="00012137"/>
    <w:rsid w:val="000121FF"/>
    <w:rsid w:val="00012456"/>
    <w:rsid w:val="000125B8"/>
    <w:rsid w:val="00012692"/>
    <w:rsid w:val="00012705"/>
    <w:rsid w:val="00013446"/>
    <w:rsid w:val="00013509"/>
    <w:rsid w:val="000135BC"/>
    <w:rsid w:val="000135DC"/>
    <w:rsid w:val="000136D6"/>
    <w:rsid w:val="00014085"/>
    <w:rsid w:val="00014D89"/>
    <w:rsid w:val="00014DD9"/>
    <w:rsid w:val="00014EE0"/>
    <w:rsid w:val="000151E4"/>
    <w:rsid w:val="00015577"/>
    <w:rsid w:val="000156E4"/>
    <w:rsid w:val="000159A7"/>
    <w:rsid w:val="00015FB8"/>
    <w:rsid w:val="0001609F"/>
    <w:rsid w:val="0001635B"/>
    <w:rsid w:val="00016549"/>
    <w:rsid w:val="00016814"/>
    <w:rsid w:val="00016BF7"/>
    <w:rsid w:val="0001720C"/>
    <w:rsid w:val="0001767E"/>
    <w:rsid w:val="0001776D"/>
    <w:rsid w:val="00017F31"/>
    <w:rsid w:val="00020607"/>
    <w:rsid w:val="0002103A"/>
    <w:rsid w:val="00021715"/>
    <w:rsid w:val="000217E4"/>
    <w:rsid w:val="00021852"/>
    <w:rsid w:val="00021A12"/>
    <w:rsid w:val="000223BF"/>
    <w:rsid w:val="00022622"/>
    <w:rsid w:val="00023363"/>
    <w:rsid w:val="000235F3"/>
    <w:rsid w:val="00023644"/>
    <w:rsid w:val="00023712"/>
    <w:rsid w:val="00024E3C"/>
    <w:rsid w:val="00024EB0"/>
    <w:rsid w:val="00025604"/>
    <w:rsid w:val="00025DAF"/>
    <w:rsid w:val="0002646A"/>
    <w:rsid w:val="0002651D"/>
    <w:rsid w:val="00026CFD"/>
    <w:rsid w:val="00027C8B"/>
    <w:rsid w:val="00027CD9"/>
    <w:rsid w:val="00030242"/>
    <w:rsid w:val="00030B06"/>
    <w:rsid w:val="0003183A"/>
    <w:rsid w:val="00031CDC"/>
    <w:rsid w:val="00032461"/>
    <w:rsid w:val="0003263B"/>
    <w:rsid w:val="0003282C"/>
    <w:rsid w:val="00032F6D"/>
    <w:rsid w:val="0003304A"/>
    <w:rsid w:val="0003317E"/>
    <w:rsid w:val="00033413"/>
    <w:rsid w:val="000335D5"/>
    <w:rsid w:val="000337F3"/>
    <w:rsid w:val="00033DDB"/>
    <w:rsid w:val="00034B24"/>
    <w:rsid w:val="00034C27"/>
    <w:rsid w:val="00034E2A"/>
    <w:rsid w:val="0003577F"/>
    <w:rsid w:val="00035B29"/>
    <w:rsid w:val="00036140"/>
    <w:rsid w:val="00036466"/>
    <w:rsid w:val="0003675E"/>
    <w:rsid w:val="00037F87"/>
    <w:rsid w:val="00037FA2"/>
    <w:rsid w:val="000400D0"/>
    <w:rsid w:val="00040343"/>
    <w:rsid w:val="000424B8"/>
    <w:rsid w:val="000425AC"/>
    <w:rsid w:val="000427B8"/>
    <w:rsid w:val="00042D07"/>
    <w:rsid w:val="00042F4A"/>
    <w:rsid w:val="00043AC8"/>
    <w:rsid w:val="00043BE5"/>
    <w:rsid w:val="00043C80"/>
    <w:rsid w:val="00044003"/>
    <w:rsid w:val="00044527"/>
    <w:rsid w:val="000447E8"/>
    <w:rsid w:val="00044897"/>
    <w:rsid w:val="00044ACF"/>
    <w:rsid w:val="000454F4"/>
    <w:rsid w:val="00045D1E"/>
    <w:rsid w:val="00045E69"/>
    <w:rsid w:val="00045E97"/>
    <w:rsid w:val="00045EF4"/>
    <w:rsid w:val="00046547"/>
    <w:rsid w:val="000466D7"/>
    <w:rsid w:val="00046753"/>
    <w:rsid w:val="00047254"/>
    <w:rsid w:val="00047E41"/>
    <w:rsid w:val="0005022B"/>
    <w:rsid w:val="00050450"/>
    <w:rsid w:val="00050771"/>
    <w:rsid w:val="000509BA"/>
    <w:rsid w:val="000513F3"/>
    <w:rsid w:val="00052287"/>
    <w:rsid w:val="000522E0"/>
    <w:rsid w:val="000532F4"/>
    <w:rsid w:val="000535A9"/>
    <w:rsid w:val="000536AE"/>
    <w:rsid w:val="00054C2F"/>
    <w:rsid w:val="00054CD5"/>
    <w:rsid w:val="00054D03"/>
    <w:rsid w:val="000550AC"/>
    <w:rsid w:val="0005584D"/>
    <w:rsid w:val="00055CC3"/>
    <w:rsid w:val="00055CEE"/>
    <w:rsid w:val="00055FB7"/>
    <w:rsid w:val="000566FA"/>
    <w:rsid w:val="00056A2B"/>
    <w:rsid w:val="00056DA8"/>
    <w:rsid w:val="00056E37"/>
    <w:rsid w:val="00056EE2"/>
    <w:rsid w:val="00056FE2"/>
    <w:rsid w:val="000570FB"/>
    <w:rsid w:val="000575B8"/>
    <w:rsid w:val="00060131"/>
    <w:rsid w:val="0006026B"/>
    <w:rsid w:val="00060293"/>
    <w:rsid w:val="00061341"/>
    <w:rsid w:val="00061AA1"/>
    <w:rsid w:val="00061BD3"/>
    <w:rsid w:val="00061BDA"/>
    <w:rsid w:val="000621FE"/>
    <w:rsid w:val="00062B90"/>
    <w:rsid w:val="00062C70"/>
    <w:rsid w:val="00062DD0"/>
    <w:rsid w:val="00062E6F"/>
    <w:rsid w:val="000630C7"/>
    <w:rsid w:val="0006400F"/>
    <w:rsid w:val="0006437D"/>
    <w:rsid w:val="000645DD"/>
    <w:rsid w:val="00064D7E"/>
    <w:rsid w:val="00064F65"/>
    <w:rsid w:val="00064FD0"/>
    <w:rsid w:val="0006534A"/>
    <w:rsid w:val="00065A5D"/>
    <w:rsid w:val="00065BA2"/>
    <w:rsid w:val="000661CA"/>
    <w:rsid w:val="0006668D"/>
    <w:rsid w:val="00066896"/>
    <w:rsid w:val="00067002"/>
    <w:rsid w:val="00067993"/>
    <w:rsid w:val="00067B1C"/>
    <w:rsid w:val="00067CED"/>
    <w:rsid w:val="00067F66"/>
    <w:rsid w:val="0007041A"/>
    <w:rsid w:val="00070634"/>
    <w:rsid w:val="00070883"/>
    <w:rsid w:val="00070C3F"/>
    <w:rsid w:val="0007102C"/>
    <w:rsid w:val="00071D68"/>
    <w:rsid w:val="00071FCE"/>
    <w:rsid w:val="00072661"/>
    <w:rsid w:val="00072CCC"/>
    <w:rsid w:val="0007315D"/>
    <w:rsid w:val="00073549"/>
    <w:rsid w:val="0007483E"/>
    <w:rsid w:val="000751DB"/>
    <w:rsid w:val="0007542D"/>
    <w:rsid w:val="0007578F"/>
    <w:rsid w:val="00075E43"/>
    <w:rsid w:val="00077706"/>
    <w:rsid w:val="00077878"/>
    <w:rsid w:val="000804EF"/>
    <w:rsid w:val="00080558"/>
    <w:rsid w:val="00080D9F"/>
    <w:rsid w:val="00081230"/>
    <w:rsid w:val="000814E2"/>
    <w:rsid w:val="000818C9"/>
    <w:rsid w:val="00081CBB"/>
    <w:rsid w:val="00081D42"/>
    <w:rsid w:val="000822EF"/>
    <w:rsid w:val="0008241E"/>
    <w:rsid w:val="000826F5"/>
    <w:rsid w:val="000829B1"/>
    <w:rsid w:val="00082AAB"/>
    <w:rsid w:val="0008307D"/>
    <w:rsid w:val="000831E9"/>
    <w:rsid w:val="000833BB"/>
    <w:rsid w:val="0008452D"/>
    <w:rsid w:val="0008467B"/>
    <w:rsid w:val="000850FA"/>
    <w:rsid w:val="000857A6"/>
    <w:rsid w:val="00085C12"/>
    <w:rsid w:val="00085CE5"/>
    <w:rsid w:val="00085DA0"/>
    <w:rsid w:val="00085F82"/>
    <w:rsid w:val="00086506"/>
    <w:rsid w:val="00086B6E"/>
    <w:rsid w:val="00086C2F"/>
    <w:rsid w:val="00086C64"/>
    <w:rsid w:val="000874BB"/>
    <w:rsid w:val="0008781A"/>
    <w:rsid w:val="00090951"/>
    <w:rsid w:val="00090A61"/>
    <w:rsid w:val="000918F5"/>
    <w:rsid w:val="000919B5"/>
    <w:rsid w:val="00091C1D"/>
    <w:rsid w:val="00091E08"/>
    <w:rsid w:val="00092100"/>
    <w:rsid w:val="000922D8"/>
    <w:rsid w:val="000932E7"/>
    <w:rsid w:val="0009333A"/>
    <w:rsid w:val="000933C3"/>
    <w:rsid w:val="00093459"/>
    <w:rsid w:val="00093B8B"/>
    <w:rsid w:val="000951E7"/>
    <w:rsid w:val="00095B82"/>
    <w:rsid w:val="00096098"/>
    <w:rsid w:val="000961B2"/>
    <w:rsid w:val="000969D9"/>
    <w:rsid w:val="00096F37"/>
    <w:rsid w:val="00097FE5"/>
    <w:rsid w:val="000A0354"/>
    <w:rsid w:val="000A091F"/>
    <w:rsid w:val="000A0958"/>
    <w:rsid w:val="000A0D1B"/>
    <w:rsid w:val="000A0FCC"/>
    <w:rsid w:val="000A1033"/>
    <w:rsid w:val="000A2712"/>
    <w:rsid w:val="000A2877"/>
    <w:rsid w:val="000A355D"/>
    <w:rsid w:val="000A35DA"/>
    <w:rsid w:val="000A371E"/>
    <w:rsid w:val="000A3DE5"/>
    <w:rsid w:val="000A4011"/>
    <w:rsid w:val="000A45D5"/>
    <w:rsid w:val="000A46CD"/>
    <w:rsid w:val="000A490E"/>
    <w:rsid w:val="000A529E"/>
    <w:rsid w:val="000A5B49"/>
    <w:rsid w:val="000A5FE5"/>
    <w:rsid w:val="000A6684"/>
    <w:rsid w:val="000A7194"/>
    <w:rsid w:val="000A7218"/>
    <w:rsid w:val="000A740A"/>
    <w:rsid w:val="000A7446"/>
    <w:rsid w:val="000A7E7F"/>
    <w:rsid w:val="000A7ECD"/>
    <w:rsid w:val="000B04DD"/>
    <w:rsid w:val="000B0F01"/>
    <w:rsid w:val="000B1346"/>
    <w:rsid w:val="000B1914"/>
    <w:rsid w:val="000B19DC"/>
    <w:rsid w:val="000B1B44"/>
    <w:rsid w:val="000B1CA2"/>
    <w:rsid w:val="000B202E"/>
    <w:rsid w:val="000B2293"/>
    <w:rsid w:val="000B24A4"/>
    <w:rsid w:val="000B255C"/>
    <w:rsid w:val="000B395E"/>
    <w:rsid w:val="000B39C3"/>
    <w:rsid w:val="000B3A00"/>
    <w:rsid w:val="000B4840"/>
    <w:rsid w:val="000B4D79"/>
    <w:rsid w:val="000B5627"/>
    <w:rsid w:val="000B5671"/>
    <w:rsid w:val="000B6BF0"/>
    <w:rsid w:val="000B6CE8"/>
    <w:rsid w:val="000B7DAF"/>
    <w:rsid w:val="000C006F"/>
    <w:rsid w:val="000C071C"/>
    <w:rsid w:val="000C0931"/>
    <w:rsid w:val="000C0BB4"/>
    <w:rsid w:val="000C0BEE"/>
    <w:rsid w:val="000C11BE"/>
    <w:rsid w:val="000C1CB9"/>
    <w:rsid w:val="000C2159"/>
    <w:rsid w:val="000C21BB"/>
    <w:rsid w:val="000C289B"/>
    <w:rsid w:val="000C2EB4"/>
    <w:rsid w:val="000C352F"/>
    <w:rsid w:val="000C3F01"/>
    <w:rsid w:val="000C410D"/>
    <w:rsid w:val="000C420D"/>
    <w:rsid w:val="000C4773"/>
    <w:rsid w:val="000C4944"/>
    <w:rsid w:val="000C4E24"/>
    <w:rsid w:val="000C5851"/>
    <w:rsid w:val="000C5C4A"/>
    <w:rsid w:val="000C5F01"/>
    <w:rsid w:val="000C63C4"/>
    <w:rsid w:val="000C66C1"/>
    <w:rsid w:val="000C6F0B"/>
    <w:rsid w:val="000C6F32"/>
    <w:rsid w:val="000C6FEF"/>
    <w:rsid w:val="000C7324"/>
    <w:rsid w:val="000C778C"/>
    <w:rsid w:val="000C7833"/>
    <w:rsid w:val="000C7E1B"/>
    <w:rsid w:val="000C7E73"/>
    <w:rsid w:val="000D001B"/>
    <w:rsid w:val="000D0A45"/>
    <w:rsid w:val="000D136E"/>
    <w:rsid w:val="000D14AC"/>
    <w:rsid w:val="000D15BA"/>
    <w:rsid w:val="000D15BE"/>
    <w:rsid w:val="000D252B"/>
    <w:rsid w:val="000D2BCC"/>
    <w:rsid w:val="000D2C9B"/>
    <w:rsid w:val="000D2CCB"/>
    <w:rsid w:val="000D35FD"/>
    <w:rsid w:val="000D3D2D"/>
    <w:rsid w:val="000D3D99"/>
    <w:rsid w:val="000D451B"/>
    <w:rsid w:val="000D4653"/>
    <w:rsid w:val="000D4696"/>
    <w:rsid w:val="000D4817"/>
    <w:rsid w:val="000D4D0C"/>
    <w:rsid w:val="000D4FB9"/>
    <w:rsid w:val="000D54B4"/>
    <w:rsid w:val="000D584B"/>
    <w:rsid w:val="000D5A4C"/>
    <w:rsid w:val="000D5EE9"/>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266"/>
    <w:rsid w:val="000E2A50"/>
    <w:rsid w:val="000E30F2"/>
    <w:rsid w:val="000E316B"/>
    <w:rsid w:val="000E372D"/>
    <w:rsid w:val="000E3D08"/>
    <w:rsid w:val="000E4728"/>
    <w:rsid w:val="000E4D1F"/>
    <w:rsid w:val="000E5658"/>
    <w:rsid w:val="000E5698"/>
    <w:rsid w:val="000E5723"/>
    <w:rsid w:val="000E581B"/>
    <w:rsid w:val="000E64B2"/>
    <w:rsid w:val="000E65D2"/>
    <w:rsid w:val="000E6919"/>
    <w:rsid w:val="000E6B1B"/>
    <w:rsid w:val="000E6F0C"/>
    <w:rsid w:val="000E732D"/>
    <w:rsid w:val="000F07ED"/>
    <w:rsid w:val="000F0CF2"/>
    <w:rsid w:val="000F1401"/>
    <w:rsid w:val="000F1A32"/>
    <w:rsid w:val="000F1CC2"/>
    <w:rsid w:val="000F1D15"/>
    <w:rsid w:val="000F270A"/>
    <w:rsid w:val="000F2FA3"/>
    <w:rsid w:val="000F34C8"/>
    <w:rsid w:val="000F38BC"/>
    <w:rsid w:val="000F3E2A"/>
    <w:rsid w:val="000F4D26"/>
    <w:rsid w:val="000F5639"/>
    <w:rsid w:val="000F58A4"/>
    <w:rsid w:val="000F5F99"/>
    <w:rsid w:val="000F6833"/>
    <w:rsid w:val="000F6A24"/>
    <w:rsid w:val="000F7502"/>
    <w:rsid w:val="000F7616"/>
    <w:rsid w:val="000F7DE9"/>
    <w:rsid w:val="000F7F7A"/>
    <w:rsid w:val="001002F4"/>
    <w:rsid w:val="0010050C"/>
    <w:rsid w:val="001006CB"/>
    <w:rsid w:val="001011FC"/>
    <w:rsid w:val="0010165F"/>
    <w:rsid w:val="00101AD8"/>
    <w:rsid w:val="00101E7C"/>
    <w:rsid w:val="001023DC"/>
    <w:rsid w:val="00102572"/>
    <w:rsid w:val="00102946"/>
    <w:rsid w:val="00102FBF"/>
    <w:rsid w:val="0010333D"/>
    <w:rsid w:val="0010372A"/>
    <w:rsid w:val="00103F41"/>
    <w:rsid w:val="00104662"/>
    <w:rsid w:val="00104F34"/>
    <w:rsid w:val="001053C5"/>
    <w:rsid w:val="001055AD"/>
    <w:rsid w:val="00105C14"/>
    <w:rsid w:val="001065A3"/>
    <w:rsid w:val="00106610"/>
    <w:rsid w:val="00106831"/>
    <w:rsid w:val="0010683E"/>
    <w:rsid w:val="0010691D"/>
    <w:rsid w:val="00106B33"/>
    <w:rsid w:val="00106E69"/>
    <w:rsid w:val="00110AC5"/>
    <w:rsid w:val="00110F0B"/>
    <w:rsid w:val="0011108B"/>
    <w:rsid w:val="00111136"/>
    <w:rsid w:val="00111164"/>
    <w:rsid w:val="00111761"/>
    <w:rsid w:val="00112164"/>
    <w:rsid w:val="0011241F"/>
    <w:rsid w:val="001128BF"/>
    <w:rsid w:val="00112D09"/>
    <w:rsid w:val="00112E8F"/>
    <w:rsid w:val="00112F03"/>
    <w:rsid w:val="00112F38"/>
    <w:rsid w:val="00113821"/>
    <w:rsid w:val="00114058"/>
    <w:rsid w:val="0011449E"/>
    <w:rsid w:val="001153EF"/>
    <w:rsid w:val="00115D55"/>
    <w:rsid w:val="00115E45"/>
    <w:rsid w:val="00115F85"/>
    <w:rsid w:val="0011688E"/>
    <w:rsid w:val="00116ACD"/>
    <w:rsid w:val="00116E19"/>
    <w:rsid w:val="0011718F"/>
    <w:rsid w:val="00117B7D"/>
    <w:rsid w:val="00117C3F"/>
    <w:rsid w:val="00117EFC"/>
    <w:rsid w:val="001205A8"/>
    <w:rsid w:val="00121766"/>
    <w:rsid w:val="00122451"/>
    <w:rsid w:val="0012291C"/>
    <w:rsid w:val="00122A64"/>
    <w:rsid w:val="00123694"/>
    <w:rsid w:val="0012388A"/>
    <w:rsid w:val="0012388C"/>
    <w:rsid w:val="00123AFA"/>
    <w:rsid w:val="00123C8C"/>
    <w:rsid w:val="00123E8B"/>
    <w:rsid w:val="00124405"/>
    <w:rsid w:val="00124B43"/>
    <w:rsid w:val="00124DF8"/>
    <w:rsid w:val="001253EA"/>
    <w:rsid w:val="00125B99"/>
    <w:rsid w:val="00126160"/>
    <w:rsid w:val="00126AEC"/>
    <w:rsid w:val="00126DB5"/>
    <w:rsid w:val="0012711C"/>
    <w:rsid w:val="00127178"/>
    <w:rsid w:val="00127F09"/>
    <w:rsid w:val="0013002A"/>
    <w:rsid w:val="0013085D"/>
    <w:rsid w:val="0013089C"/>
    <w:rsid w:val="00130A2D"/>
    <w:rsid w:val="00130F54"/>
    <w:rsid w:val="00131888"/>
    <w:rsid w:val="00131F17"/>
    <w:rsid w:val="0013212F"/>
    <w:rsid w:val="00132284"/>
    <w:rsid w:val="001323F9"/>
    <w:rsid w:val="0013251F"/>
    <w:rsid w:val="00133088"/>
    <w:rsid w:val="00133346"/>
    <w:rsid w:val="001335B1"/>
    <w:rsid w:val="00133B4E"/>
    <w:rsid w:val="0013410F"/>
    <w:rsid w:val="001346AF"/>
    <w:rsid w:val="00134990"/>
    <w:rsid w:val="001354D1"/>
    <w:rsid w:val="00135840"/>
    <w:rsid w:val="00135A0A"/>
    <w:rsid w:val="00135BB9"/>
    <w:rsid w:val="0013621D"/>
    <w:rsid w:val="00136354"/>
    <w:rsid w:val="00136674"/>
    <w:rsid w:val="00136B0E"/>
    <w:rsid w:val="00136C3B"/>
    <w:rsid w:val="001376AB"/>
    <w:rsid w:val="0013777C"/>
    <w:rsid w:val="00137D5F"/>
    <w:rsid w:val="00140082"/>
    <w:rsid w:val="001400C5"/>
    <w:rsid w:val="00140175"/>
    <w:rsid w:val="00140757"/>
    <w:rsid w:val="00140D07"/>
    <w:rsid w:val="00141A3A"/>
    <w:rsid w:val="00141FD4"/>
    <w:rsid w:val="001423FA"/>
    <w:rsid w:val="001427B5"/>
    <w:rsid w:val="001428CF"/>
    <w:rsid w:val="00142D0C"/>
    <w:rsid w:val="00142E3C"/>
    <w:rsid w:val="00143387"/>
    <w:rsid w:val="001439BA"/>
    <w:rsid w:val="00144013"/>
    <w:rsid w:val="001455C3"/>
    <w:rsid w:val="00145A17"/>
    <w:rsid w:val="00145BBE"/>
    <w:rsid w:val="001460B5"/>
    <w:rsid w:val="0014641F"/>
    <w:rsid w:val="001464A8"/>
    <w:rsid w:val="001467BB"/>
    <w:rsid w:val="00146CA8"/>
    <w:rsid w:val="00147884"/>
    <w:rsid w:val="00150827"/>
    <w:rsid w:val="00150B0D"/>
    <w:rsid w:val="00150E10"/>
    <w:rsid w:val="00151A32"/>
    <w:rsid w:val="00151B2C"/>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592"/>
    <w:rsid w:val="00156A6C"/>
    <w:rsid w:val="00156B10"/>
    <w:rsid w:val="001576FE"/>
    <w:rsid w:val="00157823"/>
    <w:rsid w:val="0015790D"/>
    <w:rsid w:val="00157C5E"/>
    <w:rsid w:val="00157DD3"/>
    <w:rsid w:val="0016015A"/>
    <w:rsid w:val="0016020E"/>
    <w:rsid w:val="00160503"/>
    <w:rsid w:val="00160BF6"/>
    <w:rsid w:val="00160D7C"/>
    <w:rsid w:val="00160E30"/>
    <w:rsid w:val="0016106D"/>
    <w:rsid w:val="001612E1"/>
    <w:rsid w:val="001614DB"/>
    <w:rsid w:val="0016194E"/>
    <w:rsid w:val="0016236C"/>
    <w:rsid w:val="00162625"/>
    <w:rsid w:val="001630A8"/>
    <w:rsid w:val="00163826"/>
    <w:rsid w:val="00163943"/>
    <w:rsid w:val="00163BA1"/>
    <w:rsid w:val="00163F22"/>
    <w:rsid w:val="0016417B"/>
    <w:rsid w:val="001643A6"/>
    <w:rsid w:val="0016470E"/>
    <w:rsid w:val="001649D3"/>
    <w:rsid w:val="00164E0A"/>
    <w:rsid w:val="001652D7"/>
    <w:rsid w:val="00165A5F"/>
    <w:rsid w:val="00166223"/>
    <w:rsid w:val="0016793E"/>
    <w:rsid w:val="00167D4D"/>
    <w:rsid w:val="0017054C"/>
    <w:rsid w:val="00170635"/>
    <w:rsid w:val="0017070D"/>
    <w:rsid w:val="00170837"/>
    <w:rsid w:val="00171035"/>
    <w:rsid w:val="001713B7"/>
    <w:rsid w:val="00171ADB"/>
    <w:rsid w:val="00171E2C"/>
    <w:rsid w:val="00172029"/>
    <w:rsid w:val="001733A4"/>
    <w:rsid w:val="00173AB9"/>
    <w:rsid w:val="00173EED"/>
    <w:rsid w:val="00174368"/>
    <w:rsid w:val="001744EA"/>
    <w:rsid w:val="00174731"/>
    <w:rsid w:val="00174D82"/>
    <w:rsid w:val="00174E44"/>
    <w:rsid w:val="00175053"/>
    <w:rsid w:val="001753B7"/>
    <w:rsid w:val="001757E7"/>
    <w:rsid w:val="00175873"/>
    <w:rsid w:val="00175C59"/>
    <w:rsid w:val="001760BC"/>
    <w:rsid w:val="00176674"/>
    <w:rsid w:val="00176818"/>
    <w:rsid w:val="00176B82"/>
    <w:rsid w:val="00176E3B"/>
    <w:rsid w:val="00176ECB"/>
    <w:rsid w:val="0017752D"/>
    <w:rsid w:val="0017759F"/>
    <w:rsid w:val="00177832"/>
    <w:rsid w:val="00181178"/>
    <w:rsid w:val="0018119E"/>
    <w:rsid w:val="0018152C"/>
    <w:rsid w:val="00181DBA"/>
    <w:rsid w:val="00181EEF"/>
    <w:rsid w:val="00181F3E"/>
    <w:rsid w:val="00182FE0"/>
    <w:rsid w:val="00183911"/>
    <w:rsid w:val="001845FB"/>
    <w:rsid w:val="001857FB"/>
    <w:rsid w:val="00185DA6"/>
    <w:rsid w:val="00185F64"/>
    <w:rsid w:val="00186096"/>
    <w:rsid w:val="001862FE"/>
    <w:rsid w:val="001864AC"/>
    <w:rsid w:val="00187317"/>
    <w:rsid w:val="0018772E"/>
    <w:rsid w:val="00187A94"/>
    <w:rsid w:val="0019029E"/>
    <w:rsid w:val="00190804"/>
    <w:rsid w:val="0019088F"/>
    <w:rsid w:val="00190C51"/>
    <w:rsid w:val="00192F00"/>
    <w:rsid w:val="00193ACC"/>
    <w:rsid w:val="00193BFE"/>
    <w:rsid w:val="00195322"/>
    <w:rsid w:val="0019560E"/>
    <w:rsid w:val="001958E3"/>
    <w:rsid w:val="00195FFA"/>
    <w:rsid w:val="0019601B"/>
    <w:rsid w:val="00196048"/>
    <w:rsid w:val="00196A82"/>
    <w:rsid w:val="0019769B"/>
    <w:rsid w:val="001979F9"/>
    <w:rsid w:val="00197FFE"/>
    <w:rsid w:val="001A0D25"/>
    <w:rsid w:val="001A0E14"/>
    <w:rsid w:val="001A1570"/>
    <w:rsid w:val="001A1917"/>
    <w:rsid w:val="001A1C64"/>
    <w:rsid w:val="001A1DFB"/>
    <w:rsid w:val="001A1E7F"/>
    <w:rsid w:val="001A2918"/>
    <w:rsid w:val="001A2D02"/>
    <w:rsid w:val="001A3076"/>
    <w:rsid w:val="001A3163"/>
    <w:rsid w:val="001A31A5"/>
    <w:rsid w:val="001A389C"/>
    <w:rsid w:val="001A3B75"/>
    <w:rsid w:val="001A42A3"/>
    <w:rsid w:val="001A46FB"/>
    <w:rsid w:val="001A4EC9"/>
    <w:rsid w:val="001A5944"/>
    <w:rsid w:val="001A5FB1"/>
    <w:rsid w:val="001A60E9"/>
    <w:rsid w:val="001A618F"/>
    <w:rsid w:val="001A698A"/>
    <w:rsid w:val="001A6CCC"/>
    <w:rsid w:val="001A6E3B"/>
    <w:rsid w:val="001A70C8"/>
    <w:rsid w:val="001A71C9"/>
    <w:rsid w:val="001A7429"/>
    <w:rsid w:val="001A760C"/>
    <w:rsid w:val="001A76F0"/>
    <w:rsid w:val="001A7977"/>
    <w:rsid w:val="001A799B"/>
    <w:rsid w:val="001A7AC7"/>
    <w:rsid w:val="001A7C38"/>
    <w:rsid w:val="001B02F8"/>
    <w:rsid w:val="001B2104"/>
    <w:rsid w:val="001B2279"/>
    <w:rsid w:val="001B2729"/>
    <w:rsid w:val="001B2866"/>
    <w:rsid w:val="001B2881"/>
    <w:rsid w:val="001B2B73"/>
    <w:rsid w:val="001B3675"/>
    <w:rsid w:val="001B37C8"/>
    <w:rsid w:val="001B48BA"/>
    <w:rsid w:val="001B4B2C"/>
    <w:rsid w:val="001B4F10"/>
    <w:rsid w:val="001B5154"/>
    <w:rsid w:val="001B6E30"/>
    <w:rsid w:val="001B7C83"/>
    <w:rsid w:val="001B7F9E"/>
    <w:rsid w:val="001C0206"/>
    <w:rsid w:val="001C0246"/>
    <w:rsid w:val="001C04D4"/>
    <w:rsid w:val="001C0B34"/>
    <w:rsid w:val="001C12A3"/>
    <w:rsid w:val="001C1419"/>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E48"/>
    <w:rsid w:val="001D039B"/>
    <w:rsid w:val="001D0849"/>
    <w:rsid w:val="001D1258"/>
    <w:rsid w:val="001D1AB8"/>
    <w:rsid w:val="001D26F5"/>
    <w:rsid w:val="001D286F"/>
    <w:rsid w:val="001D2C94"/>
    <w:rsid w:val="001D33D9"/>
    <w:rsid w:val="001D36F6"/>
    <w:rsid w:val="001D4303"/>
    <w:rsid w:val="001D45E5"/>
    <w:rsid w:val="001D461A"/>
    <w:rsid w:val="001D4A9D"/>
    <w:rsid w:val="001D4AAD"/>
    <w:rsid w:val="001D4E16"/>
    <w:rsid w:val="001D5AFA"/>
    <w:rsid w:val="001D652D"/>
    <w:rsid w:val="001D72D9"/>
    <w:rsid w:val="001D784A"/>
    <w:rsid w:val="001E04A4"/>
    <w:rsid w:val="001E07C5"/>
    <w:rsid w:val="001E0B45"/>
    <w:rsid w:val="001E176D"/>
    <w:rsid w:val="001E1BCE"/>
    <w:rsid w:val="001E1E05"/>
    <w:rsid w:val="001E2086"/>
    <w:rsid w:val="001E339F"/>
    <w:rsid w:val="001E3629"/>
    <w:rsid w:val="001E3E7D"/>
    <w:rsid w:val="001E40F0"/>
    <w:rsid w:val="001E4172"/>
    <w:rsid w:val="001E4F08"/>
    <w:rsid w:val="001E5490"/>
    <w:rsid w:val="001E5730"/>
    <w:rsid w:val="001E5E2E"/>
    <w:rsid w:val="001E6352"/>
    <w:rsid w:val="001E700A"/>
    <w:rsid w:val="001E70AD"/>
    <w:rsid w:val="001E7237"/>
    <w:rsid w:val="001E7AF6"/>
    <w:rsid w:val="001F01B8"/>
    <w:rsid w:val="001F0FC3"/>
    <w:rsid w:val="001F1188"/>
    <w:rsid w:val="001F1B8D"/>
    <w:rsid w:val="001F1C50"/>
    <w:rsid w:val="001F274F"/>
    <w:rsid w:val="001F289C"/>
    <w:rsid w:val="001F2BF9"/>
    <w:rsid w:val="001F3AF2"/>
    <w:rsid w:val="001F6008"/>
    <w:rsid w:val="001F604B"/>
    <w:rsid w:val="001F641B"/>
    <w:rsid w:val="001F6D4D"/>
    <w:rsid w:val="0020125C"/>
    <w:rsid w:val="0020130D"/>
    <w:rsid w:val="00201916"/>
    <w:rsid w:val="00201D06"/>
    <w:rsid w:val="00201E9F"/>
    <w:rsid w:val="00202F25"/>
    <w:rsid w:val="002035B3"/>
    <w:rsid w:val="00203929"/>
    <w:rsid w:val="00203CD6"/>
    <w:rsid w:val="00203D01"/>
    <w:rsid w:val="00204460"/>
    <w:rsid w:val="002051EA"/>
    <w:rsid w:val="00205CBC"/>
    <w:rsid w:val="00206259"/>
    <w:rsid w:val="002074B7"/>
    <w:rsid w:val="0020758D"/>
    <w:rsid w:val="00207C7B"/>
    <w:rsid w:val="00211470"/>
    <w:rsid w:val="00211922"/>
    <w:rsid w:val="0021213A"/>
    <w:rsid w:val="0021265F"/>
    <w:rsid w:val="00213232"/>
    <w:rsid w:val="00213817"/>
    <w:rsid w:val="00214428"/>
    <w:rsid w:val="002145EB"/>
    <w:rsid w:val="00214F82"/>
    <w:rsid w:val="00214FE7"/>
    <w:rsid w:val="00215033"/>
    <w:rsid w:val="00215834"/>
    <w:rsid w:val="00215CC2"/>
    <w:rsid w:val="00215D2C"/>
    <w:rsid w:val="00215D95"/>
    <w:rsid w:val="00215ED8"/>
    <w:rsid w:val="00215FAF"/>
    <w:rsid w:val="00217700"/>
    <w:rsid w:val="002177E2"/>
    <w:rsid w:val="0021783B"/>
    <w:rsid w:val="00217B43"/>
    <w:rsid w:val="00217E71"/>
    <w:rsid w:val="0022055A"/>
    <w:rsid w:val="002205F3"/>
    <w:rsid w:val="0022085B"/>
    <w:rsid w:val="00220E53"/>
    <w:rsid w:val="0022176C"/>
    <w:rsid w:val="002225D1"/>
    <w:rsid w:val="002230FA"/>
    <w:rsid w:val="002232B9"/>
    <w:rsid w:val="00223DF2"/>
    <w:rsid w:val="002249A2"/>
    <w:rsid w:val="00224C0C"/>
    <w:rsid w:val="002256C2"/>
    <w:rsid w:val="002256D0"/>
    <w:rsid w:val="00225C8E"/>
    <w:rsid w:val="00226428"/>
    <w:rsid w:val="002265A9"/>
    <w:rsid w:val="002266CB"/>
    <w:rsid w:val="00227052"/>
    <w:rsid w:val="002272D5"/>
    <w:rsid w:val="0022738E"/>
    <w:rsid w:val="00227906"/>
    <w:rsid w:val="00227934"/>
    <w:rsid w:val="00227E21"/>
    <w:rsid w:val="0023008A"/>
    <w:rsid w:val="00231D05"/>
    <w:rsid w:val="0023241A"/>
    <w:rsid w:val="002336E2"/>
    <w:rsid w:val="00233AC2"/>
    <w:rsid w:val="00233BAF"/>
    <w:rsid w:val="00233F80"/>
    <w:rsid w:val="0023423A"/>
    <w:rsid w:val="00235420"/>
    <w:rsid w:val="00235700"/>
    <w:rsid w:val="0023788D"/>
    <w:rsid w:val="00240422"/>
    <w:rsid w:val="0024065B"/>
    <w:rsid w:val="002409A6"/>
    <w:rsid w:val="00240C63"/>
    <w:rsid w:val="00240D91"/>
    <w:rsid w:val="00240EA5"/>
    <w:rsid w:val="00241132"/>
    <w:rsid w:val="00241205"/>
    <w:rsid w:val="002418C5"/>
    <w:rsid w:val="0024261D"/>
    <w:rsid w:val="00242712"/>
    <w:rsid w:val="00242DFB"/>
    <w:rsid w:val="00243807"/>
    <w:rsid w:val="002440AC"/>
    <w:rsid w:val="00244365"/>
    <w:rsid w:val="0024459A"/>
    <w:rsid w:val="002446A3"/>
    <w:rsid w:val="00244771"/>
    <w:rsid w:val="00244903"/>
    <w:rsid w:val="00244AFB"/>
    <w:rsid w:val="002453DF"/>
    <w:rsid w:val="00245A81"/>
    <w:rsid w:val="002462A5"/>
    <w:rsid w:val="00246B86"/>
    <w:rsid w:val="00247335"/>
    <w:rsid w:val="002473EF"/>
    <w:rsid w:val="002477B9"/>
    <w:rsid w:val="00247B69"/>
    <w:rsid w:val="00247CBE"/>
    <w:rsid w:val="00250A1F"/>
    <w:rsid w:val="00250ADA"/>
    <w:rsid w:val="00250F1D"/>
    <w:rsid w:val="00251FF1"/>
    <w:rsid w:val="002520BA"/>
    <w:rsid w:val="00252234"/>
    <w:rsid w:val="002528E3"/>
    <w:rsid w:val="00252944"/>
    <w:rsid w:val="00252D55"/>
    <w:rsid w:val="00252D82"/>
    <w:rsid w:val="00253006"/>
    <w:rsid w:val="00253165"/>
    <w:rsid w:val="002531EA"/>
    <w:rsid w:val="002533F5"/>
    <w:rsid w:val="00253C60"/>
    <w:rsid w:val="00253F21"/>
    <w:rsid w:val="0025429D"/>
    <w:rsid w:val="002549E9"/>
    <w:rsid w:val="00254FF6"/>
    <w:rsid w:val="00255099"/>
    <w:rsid w:val="002555C6"/>
    <w:rsid w:val="0025597E"/>
    <w:rsid w:val="00255E14"/>
    <w:rsid w:val="00255E45"/>
    <w:rsid w:val="00255FF9"/>
    <w:rsid w:val="00256590"/>
    <w:rsid w:val="00257059"/>
    <w:rsid w:val="0025712F"/>
    <w:rsid w:val="00257395"/>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EC7"/>
    <w:rsid w:val="0026491B"/>
    <w:rsid w:val="00264A36"/>
    <w:rsid w:val="00264B06"/>
    <w:rsid w:val="00264C1B"/>
    <w:rsid w:val="002657FB"/>
    <w:rsid w:val="00265D10"/>
    <w:rsid w:val="00265E2E"/>
    <w:rsid w:val="002661AB"/>
    <w:rsid w:val="0026742B"/>
    <w:rsid w:val="002674FE"/>
    <w:rsid w:val="00267E59"/>
    <w:rsid w:val="002702F6"/>
    <w:rsid w:val="00270748"/>
    <w:rsid w:val="00270CAB"/>
    <w:rsid w:val="0027117F"/>
    <w:rsid w:val="002712DC"/>
    <w:rsid w:val="00271875"/>
    <w:rsid w:val="002718FF"/>
    <w:rsid w:val="00271955"/>
    <w:rsid w:val="00272278"/>
    <w:rsid w:val="00272432"/>
    <w:rsid w:val="00272633"/>
    <w:rsid w:val="00272D36"/>
    <w:rsid w:val="00272E48"/>
    <w:rsid w:val="00272FBF"/>
    <w:rsid w:val="00273A10"/>
    <w:rsid w:val="00273A58"/>
    <w:rsid w:val="00273B96"/>
    <w:rsid w:val="00274C6E"/>
    <w:rsid w:val="00274CAB"/>
    <w:rsid w:val="00274E8A"/>
    <w:rsid w:val="002755A8"/>
    <w:rsid w:val="00275859"/>
    <w:rsid w:val="00275FCE"/>
    <w:rsid w:val="002766B8"/>
    <w:rsid w:val="0027680F"/>
    <w:rsid w:val="002777C0"/>
    <w:rsid w:val="0028076D"/>
    <w:rsid w:val="00281006"/>
    <w:rsid w:val="002815B1"/>
    <w:rsid w:val="00281893"/>
    <w:rsid w:val="00281C1F"/>
    <w:rsid w:val="00281EEA"/>
    <w:rsid w:val="00281F88"/>
    <w:rsid w:val="0028240D"/>
    <w:rsid w:val="0028288D"/>
    <w:rsid w:val="002829B7"/>
    <w:rsid w:val="00282B82"/>
    <w:rsid w:val="00282C74"/>
    <w:rsid w:val="00282E5B"/>
    <w:rsid w:val="00283995"/>
    <w:rsid w:val="00283B11"/>
    <w:rsid w:val="002841A9"/>
    <w:rsid w:val="00284313"/>
    <w:rsid w:val="00284554"/>
    <w:rsid w:val="002848AD"/>
    <w:rsid w:val="00284DE4"/>
    <w:rsid w:val="00285154"/>
    <w:rsid w:val="00285BA4"/>
    <w:rsid w:val="00285BF2"/>
    <w:rsid w:val="00285C78"/>
    <w:rsid w:val="002863CE"/>
    <w:rsid w:val="00287E20"/>
    <w:rsid w:val="0029110F"/>
    <w:rsid w:val="00291492"/>
    <w:rsid w:val="00291527"/>
    <w:rsid w:val="002916B4"/>
    <w:rsid w:val="0029199A"/>
    <w:rsid w:val="00291BBE"/>
    <w:rsid w:val="00291FEB"/>
    <w:rsid w:val="00293146"/>
    <w:rsid w:val="0029361E"/>
    <w:rsid w:val="00293D68"/>
    <w:rsid w:val="0029408A"/>
    <w:rsid w:val="0029430F"/>
    <w:rsid w:val="00294352"/>
    <w:rsid w:val="002944A0"/>
    <w:rsid w:val="002946E4"/>
    <w:rsid w:val="0029495C"/>
    <w:rsid w:val="002957D9"/>
    <w:rsid w:val="00295B52"/>
    <w:rsid w:val="00295ED9"/>
    <w:rsid w:val="00296024"/>
    <w:rsid w:val="00296293"/>
    <w:rsid w:val="002969C7"/>
    <w:rsid w:val="00296AF7"/>
    <w:rsid w:val="00297021"/>
    <w:rsid w:val="002972F9"/>
    <w:rsid w:val="00297612"/>
    <w:rsid w:val="002977CA"/>
    <w:rsid w:val="00297ED7"/>
    <w:rsid w:val="002A0007"/>
    <w:rsid w:val="002A03AA"/>
    <w:rsid w:val="002A056D"/>
    <w:rsid w:val="002A07FE"/>
    <w:rsid w:val="002A094D"/>
    <w:rsid w:val="002A0CAF"/>
    <w:rsid w:val="002A0DDB"/>
    <w:rsid w:val="002A1565"/>
    <w:rsid w:val="002A16A9"/>
    <w:rsid w:val="002A2941"/>
    <w:rsid w:val="002A2DC4"/>
    <w:rsid w:val="002A3E69"/>
    <w:rsid w:val="002A44F9"/>
    <w:rsid w:val="002A4946"/>
    <w:rsid w:val="002A49EF"/>
    <w:rsid w:val="002A4B8B"/>
    <w:rsid w:val="002A5107"/>
    <w:rsid w:val="002A535E"/>
    <w:rsid w:val="002A5DBD"/>
    <w:rsid w:val="002A6406"/>
    <w:rsid w:val="002A6432"/>
    <w:rsid w:val="002A6CF0"/>
    <w:rsid w:val="002A6FFC"/>
    <w:rsid w:val="002A7010"/>
    <w:rsid w:val="002A70BA"/>
    <w:rsid w:val="002A7A57"/>
    <w:rsid w:val="002A7BB2"/>
    <w:rsid w:val="002A7CC1"/>
    <w:rsid w:val="002A7DCB"/>
    <w:rsid w:val="002B0685"/>
    <w:rsid w:val="002B0B53"/>
    <w:rsid w:val="002B0C16"/>
    <w:rsid w:val="002B1617"/>
    <w:rsid w:val="002B1A90"/>
    <w:rsid w:val="002B1D11"/>
    <w:rsid w:val="002B273B"/>
    <w:rsid w:val="002B29AA"/>
    <w:rsid w:val="002B2A7E"/>
    <w:rsid w:val="002B2F1B"/>
    <w:rsid w:val="002B2F40"/>
    <w:rsid w:val="002B3332"/>
    <w:rsid w:val="002B34C7"/>
    <w:rsid w:val="002B3F25"/>
    <w:rsid w:val="002B5AFB"/>
    <w:rsid w:val="002B6320"/>
    <w:rsid w:val="002B66AC"/>
    <w:rsid w:val="002B6852"/>
    <w:rsid w:val="002B77E1"/>
    <w:rsid w:val="002C0656"/>
    <w:rsid w:val="002C0714"/>
    <w:rsid w:val="002C0A96"/>
    <w:rsid w:val="002C13C6"/>
    <w:rsid w:val="002C1BF4"/>
    <w:rsid w:val="002C1E0D"/>
    <w:rsid w:val="002C2266"/>
    <w:rsid w:val="002C2356"/>
    <w:rsid w:val="002C238F"/>
    <w:rsid w:val="002C276F"/>
    <w:rsid w:val="002C28EB"/>
    <w:rsid w:val="002C316C"/>
    <w:rsid w:val="002C3265"/>
    <w:rsid w:val="002C3AED"/>
    <w:rsid w:val="002C3E56"/>
    <w:rsid w:val="002C414C"/>
    <w:rsid w:val="002C49F8"/>
    <w:rsid w:val="002C4C2F"/>
    <w:rsid w:val="002C5776"/>
    <w:rsid w:val="002C5EED"/>
    <w:rsid w:val="002C66DE"/>
    <w:rsid w:val="002C7193"/>
    <w:rsid w:val="002C7699"/>
    <w:rsid w:val="002C7A49"/>
    <w:rsid w:val="002D0128"/>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78E"/>
    <w:rsid w:val="002D47AE"/>
    <w:rsid w:val="002D49FF"/>
    <w:rsid w:val="002D4A94"/>
    <w:rsid w:val="002D4AFE"/>
    <w:rsid w:val="002D65FF"/>
    <w:rsid w:val="002D6D10"/>
    <w:rsid w:val="002D71E2"/>
    <w:rsid w:val="002D7B6A"/>
    <w:rsid w:val="002E0026"/>
    <w:rsid w:val="002E08E8"/>
    <w:rsid w:val="002E0918"/>
    <w:rsid w:val="002E0BAA"/>
    <w:rsid w:val="002E0D96"/>
    <w:rsid w:val="002E0EA5"/>
    <w:rsid w:val="002E0F1C"/>
    <w:rsid w:val="002E1E19"/>
    <w:rsid w:val="002E1FAC"/>
    <w:rsid w:val="002E283F"/>
    <w:rsid w:val="002E2854"/>
    <w:rsid w:val="002E2E74"/>
    <w:rsid w:val="002E32D2"/>
    <w:rsid w:val="002E361B"/>
    <w:rsid w:val="002E37AB"/>
    <w:rsid w:val="002E3A80"/>
    <w:rsid w:val="002E41C7"/>
    <w:rsid w:val="002E51DF"/>
    <w:rsid w:val="002E57B9"/>
    <w:rsid w:val="002E6127"/>
    <w:rsid w:val="002E6885"/>
    <w:rsid w:val="002E72E4"/>
    <w:rsid w:val="002E739D"/>
    <w:rsid w:val="002F0F36"/>
    <w:rsid w:val="002F1276"/>
    <w:rsid w:val="002F1986"/>
    <w:rsid w:val="002F1E5F"/>
    <w:rsid w:val="002F2A49"/>
    <w:rsid w:val="002F3550"/>
    <w:rsid w:val="002F3B63"/>
    <w:rsid w:val="002F3C56"/>
    <w:rsid w:val="002F4271"/>
    <w:rsid w:val="002F46B0"/>
    <w:rsid w:val="002F4B17"/>
    <w:rsid w:val="002F5150"/>
    <w:rsid w:val="002F5463"/>
    <w:rsid w:val="002F58C2"/>
    <w:rsid w:val="002F5932"/>
    <w:rsid w:val="002F5C85"/>
    <w:rsid w:val="002F603B"/>
    <w:rsid w:val="002F6201"/>
    <w:rsid w:val="002F6493"/>
    <w:rsid w:val="002F724B"/>
    <w:rsid w:val="002F72BA"/>
    <w:rsid w:val="00300267"/>
    <w:rsid w:val="003004D2"/>
    <w:rsid w:val="00300D6B"/>
    <w:rsid w:val="00301380"/>
    <w:rsid w:val="00301D6A"/>
    <w:rsid w:val="00301E89"/>
    <w:rsid w:val="00302052"/>
    <w:rsid w:val="00302142"/>
    <w:rsid w:val="00302169"/>
    <w:rsid w:val="00302612"/>
    <w:rsid w:val="00303254"/>
    <w:rsid w:val="003044D9"/>
    <w:rsid w:val="003046E8"/>
    <w:rsid w:val="00304D8A"/>
    <w:rsid w:val="00305216"/>
    <w:rsid w:val="0030555B"/>
    <w:rsid w:val="003061F5"/>
    <w:rsid w:val="00306A49"/>
    <w:rsid w:val="00306D27"/>
    <w:rsid w:val="0030739C"/>
    <w:rsid w:val="00310D51"/>
    <w:rsid w:val="00311B36"/>
    <w:rsid w:val="00311C92"/>
    <w:rsid w:val="00313321"/>
    <w:rsid w:val="003133AE"/>
    <w:rsid w:val="0031371B"/>
    <w:rsid w:val="00314156"/>
    <w:rsid w:val="00314CF8"/>
    <w:rsid w:val="0031535B"/>
    <w:rsid w:val="003154DD"/>
    <w:rsid w:val="00316F76"/>
    <w:rsid w:val="003170F4"/>
    <w:rsid w:val="0032035D"/>
    <w:rsid w:val="003205E9"/>
    <w:rsid w:val="00320B28"/>
    <w:rsid w:val="0032123E"/>
    <w:rsid w:val="003216D5"/>
    <w:rsid w:val="003216FF"/>
    <w:rsid w:val="00321866"/>
    <w:rsid w:val="00321A83"/>
    <w:rsid w:val="00321C1A"/>
    <w:rsid w:val="00321F6B"/>
    <w:rsid w:val="00322389"/>
    <w:rsid w:val="003223CA"/>
    <w:rsid w:val="00322BE5"/>
    <w:rsid w:val="00322E87"/>
    <w:rsid w:val="0032312D"/>
    <w:rsid w:val="00323AA5"/>
    <w:rsid w:val="003242E4"/>
    <w:rsid w:val="0032468D"/>
    <w:rsid w:val="00324887"/>
    <w:rsid w:val="00324926"/>
    <w:rsid w:val="00324B25"/>
    <w:rsid w:val="0032522F"/>
    <w:rsid w:val="003253C4"/>
    <w:rsid w:val="0032550F"/>
    <w:rsid w:val="00325992"/>
    <w:rsid w:val="00325B74"/>
    <w:rsid w:val="0032638F"/>
    <w:rsid w:val="003263EA"/>
    <w:rsid w:val="00326B59"/>
    <w:rsid w:val="00326BD4"/>
    <w:rsid w:val="003272C6"/>
    <w:rsid w:val="00327752"/>
    <w:rsid w:val="00327C7C"/>
    <w:rsid w:val="00330009"/>
    <w:rsid w:val="003301E6"/>
    <w:rsid w:val="00330C9D"/>
    <w:rsid w:val="003310AB"/>
    <w:rsid w:val="003314D2"/>
    <w:rsid w:val="00331712"/>
    <w:rsid w:val="00331A3F"/>
    <w:rsid w:val="00332191"/>
    <w:rsid w:val="00332720"/>
    <w:rsid w:val="00332EED"/>
    <w:rsid w:val="003334A7"/>
    <w:rsid w:val="003337E8"/>
    <w:rsid w:val="00333A14"/>
    <w:rsid w:val="00333B2A"/>
    <w:rsid w:val="00333FD5"/>
    <w:rsid w:val="00334649"/>
    <w:rsid w:val="003350E9"/>
    <w:rsid w:val="003351BA"/>
    <w:rsid w:val="0033520F"/>
    <w:rsid w:val="0033596B"/>
    <w:rsid w:val="00335A93"/>
    <w:rsid w:val="0033650E"/>
    <w:rsid w:val="00336907"/>
    <w:rsid w:val="003369DF"/>
    <w:rsid w:val="00336AD1"/>
    <w:rsid w:val="00336C71"/>
    <w:rsid w:val="00336D96"/>
    <w:rsid w:val="00336DFC"/>
    <w:rsid w:val="00337230"/>
    <w:rsid w:val="003377D0"/>
    <w:rsid w:val="00337D75"/>
    <w:rsid w:val="00340020"/>
    <w:rsid w:val="00340AFD"/>
    <w:rsid w:val="00341162"/>
    <w:rsid w:val="00341866"/>
    <w:rsid w:val="00341DAF"/>
    <w:rsid w:val="00342181"/>
    <w:rsid w:val="00342B37"/>
    <w:rsid w:val="00343560"/>
    <w:rsid w:val="00343A20"/>
    <w:rsid w:val="0034402B"/>
    <w:rsid w:val="0034449E"/>
    <w:rsid w:val="003449F4"/>
    <w:rsid w:val="00344D46"/>
    <w:rsid w:val="00345337"/>
    <w:rsid w:val="003465A5"/>
    <w:rsid w:val="00346817"/>
    <w:rsid w:val="00347440"/>
    <w:rsid w:val="003475EA"/>
    <w:rsid w:val="00347A27"/>
    <w:rsid w:val="00347CD4"/>
    <w:rsid w:val="00347E2E"/>
    <w:rsid w:val="00350A55"/>
    <w:rsid w:val="00350DF8"/>
    <w:rsid w:val="00351A8A"/>
    <w:rsid w:val="0035266A"/>
    <w:rsid w:val="0035279C"/>
    <w:rsid w:val="003535D2"/>
    <w:rsid w:val="0035384D"/>
    <w:rsid w:val="00353C0B"/>
    <w:rsid w:val="00354472"/>
    <w:rsid w:val="00354AE4"/>
    <w:rsid w:val="00354B0A"/>
    <w:rsid w:val="0035551B"/>
    <w:rsid w:val="003555ED"/>
    <w:rsid w:val="00355911"/>
    <w:rsid w:val="00355BFC"/>
    <w:rsid w:val="0035636B"/>
    <w:rsid w:val="003564CC"/>
    <w:rsid w:val="00357424"/>
    <w:rsid w:val="00357BE9"/>
    <w:rsid w:val="003601A2"/>
    <w:rsid w:val="00361789"/>
    <w:rsid w:val="0036196D"/>
    <w:rsid w:val="00361A59"/>
    <w:rsid w:val="00362136"/>
    <w:rsid w:val="003627BD"/>
    <w:rsid w:val="00362997"/>
    <w:rsid w:val="00362C59"/>
    <w:rsid w:val="00363040"/>
    <w:rsid w:val="003630B7"/>
    <w:rsid w:val="00363786"/>
    <w:rsid w:val="003638A4"/>
    <w:rsid w:val="003639BF"/>
    <w:rsid w:val="00363E41"/>
    <w:rsid w:val="00363FD2"/>
    <w:rsid w:val="00364653"/>
    <w:rsid w:val="0036572E"/>
    <w:rsid w:val="00366168"/>
    <w:rsid w:val="003663D9"/>
    <w:rsid w:val="003666BF"/>
    <w:rsid w:val="00366707"/>
    <w:rsid w:val="00366FA9"/>
    <w:rsid w:val="00367B19"/>
    <w:rsid w:val="00367E49"/>
    <w:rsid w:val="003700E6"/>
    <w:rsid w:val="0037017C"/>
    <w:rsid w:val="00370490"/>
    <w:rsid w:val="00371C86"/>
    <w:rsid w:val="0037236C"/>
    <w:rsid w:val="003729DE"/>
    <w:rsid w:val="00372EA2"/>
    <w:rsid w:val="003735D3"/>
    <w:rsid w:val="0037386D"/>
    <w:rsid w:val="00373956"/>
    <w:rsid w:val="00374153"/>
    <w:rsid w:val="00374671"/>
    <w:rsid w:val="003750E0"/>
    <w:rsid w:val="00375AF1"/>
    <w:rsid w:val="00375C2F"/>
    <w:rsid w:val="00375FC5"/>
    <w:rsid w:val="003769BA"/>
    <w:rsid w:val="00377871"/>
    <w:rsid w:val="003778B2"/>
    <w:rsid w:val="00377E58"/>
    <w:rsid w:val="003805E3"/>
    <w:rsid w:val="00380618"/>
    <w:rsid w:val="0038062E"/>
    <w:rsid w:val="003806D7"/>
    <w:rsid w:val="003807F7"/>
    <w:rsid w:val="00381610"/>
    <w:rsid w:val="00381C9E"/>
    <w:rsid w:val="00381CA8"/>
    <w:rsid w:val="00382106"/>
    <w:rsid w:val="00382657"/>
    <w:rsid w:val="00382708"/>
    <w:rsid w:val="00382B82"/>
    <w:rsid w:val="003844BF"/>
    <w:rsid w:val="003854D5"/>
    <w:rsid w:val="0038552A"/>
    <w:rsid w:val="003859EA"/>
    <w:rsid w:val="0038709E"/>
    <w:rsid w:val="00387D30"/>
    <w:rsid w:val="00391753"/>
    <w:rsid w:val="00391C7F"/>
    <w:rsid w:val="00392454"/>
    <w:rsid w:val="00392C85"/>
    <w:rsid w:val="00392FD8"/>
    <w:rsid w:val="00393E11"/>
    <w:rsid w:val="00394475"/>
    <w:rsid w:val="0039517A"/>
    <w:rsid w:val="003954FE"/>
    <w:rsid w:val="00395B51"/>
    <w:rsid w:val="00396796"/>
    <w:rsid w:val="00396EC6"/>
    <w:rsid w:val="003970BA"/>
    <w:rsid w:val="0039746C"/>
    <w:rsid w:val="00397DC6"/>
    <w:rsid w:val="003A0E82"/>
    <w:rsid w:val="003A0FAC"/>
    <w:rsid w:val="003A184D"/>
    <w:rsid w:val="003A1FB7"/>
    <w:rsid w:val="003A2773"/>
    <w:rsid w:val="003A371E"/>
    <w:rsid w:val="003A3957"/>
    <w:rsid w:val="003A3E29"/>
    <w:rsid w:val="003A439B"/>
    <w:rsid w:val="003A462A"/>
    <w:rsid w:val="003A595F"/>
    <w:rsid w:val="003A5EEC"/>
    <w:rsid w:val="003A6B7A"/>
    <w:rsid w:val="003A71C5"/>
    <w:rsid w:val="003A748F"/>
    <w:rsid w:val="003A79AE"/>
    <w:rsid w:val="003A7CA3"/>
    <w:rsid w:val="003B00B6"/>
    <w:rsid w:val="003B01C4"/>
    <w:rsid w:val="003B0BB0"/>
    <w:rsid w:val="003B11A0"/>
    <w:rsid w:val="003B11EE"/>
    <w:rsid w:val="003B15F8"/>
    <w:rsid w:val="003B166F"/>
    <w:rsid w:val="003B1B60"/>
    <w:rsid w:val="003B207E"/>
    <w:rsid w:val="003B230B"/>
    <w:rsid w:val="003B23BC"/>
    <w:rsid w:val="003B28BA"/>
    <w:rsid w:val="003B28F6"/>
    <w:rsid w:val="003B2DB5"/>
    <w:rsid w:val="003B2F05"/>
    <w:rsid w:val="003B3966"/>
    <w:rsid w:val="003B39B7"/>
    <w:rsid w:val="003B4754"/>
    <w:rsid w:val="003B4EB0"/>
    <w:rsid w:val="003B5094"/>
    <w:rsid w:val="003B5F6A"/>
    <w:rsid w:val="003B6B7F"/>
    <w:rsid w:val="003B7820"/>
    <w:rsid w:val="003C01A4"/>
    <w:rsid w:val="003C0219"/>
    <w:rsid w:val="003C0941"/>
    <w:rsid w:val="003C0C12"/>
    <w:rsid w:val="003C0DCD"/>
    <w:rsid w:val="003C0E6B"/>
    <w:rsid w:val="003C16EE"/>
    <w:rsid w:val="003C1C87"/>
    <w:rsid w:val="003C1D4D"/>
    <w:rsid w:val="003C2927"/>
    <w:rsid w:val="003C2C85"/>
    <w:rsid w:val="003C2F61"/>
    <w:rsid w:val="003C345E"/>
    <w:rsid w:val="003C4409"/>
    <w:rsid w:val="003C4997"/>
    <w:rsid w:val="003C4DA5"/>
    <w:rsid w:val="003C502A"/>
    <w:rsid w:val="003C5666"/>
    <w:rsid w:val="003C60CC"/>
    <w:rsid w:val="003C64F4"/>
    <w:rsid w:val="003C6D4E"/>
    <w:rsid w:val="003C724B"/>
    <w:rsid w:val="003C73DB"/>
    <w:rsid w:val="003D0185"/>
    <w:rsid w:val="003D02CB"/>
    <w:rsid w:val="003D0382"/>
    <w:rsid w:val="003D069C"/>
    <w:rsid w:val="003D18F6"/>
    <w:rsid w:val="003D191E"/>
    <w:rsid w:val="003D1A19"/>
    <w:rsid w:val="003D2027"/>
    <w:rsid w:val="003D22A5"/>
    <w:rsid w:val="003D23A4"/>
    <w:rsid w:val="003D3414"/>
    <w:rsid w:val="003D3426"/>
    <w:rsid w:val="003D3654"/>
    <w:rsid w:val="003D3721"/>
    <w:rsid w:val="003D413A"/>
    <w:rsid w:val="003D6722"/>
    <w:rsid w:val="003D7428"/>
    <w:rsid w:val="003D77F2"/>
    <w:rsid w:val="003D78CC"/>
    <w:rsid w:val="003D7D01"/>
    <w:rsid w:val="003D7ED8"/>
    <w:rsid w:val="003E0003"/>
    <w:rsid w:val="003E0099"/>
    <w:rsid w:val="003E08C7"/>
    <w:rsid w:val="003E122B"/>
    <w:rsid w:val="003E1427"/>
    <w:rsid w:val="003E1A72"/>
    <w:rsid w:val="003E27B8"/>
    <w:rsid w:val="003E2880"/>
    <w:rsid w:val="003E28FB"/>
    <w:rsid w:val="003E2A00"/>
    <w:rsid w:val="003E382C"/>
    <w:rsid w:val="003E3D00"/>
    <w:rsid w:val="003E4487"/>
    <w:rsid w:val="003E4531"/>
    <w:rsid w:val="003E45FE"/>
    <w:rsid w:val="003E4771"/>
    <w:rsid w:val="003E52E3"/>
    <w:rsid w:val="003E541C"/>
    <w:rsid w:val="003E54A8"/>
    <w:rsid w:val="003E5833"/>
    <w:rsid w:val="003E5DA8"/>
    <w:rsid w:val="003E7109"/>
    <w:rsid w:val="003E77DC"/>
    <w:rsid w:val="003E7BC1"/>
    <w:rsid w:val="003F0453"/>
    <w:rsid w:val="003F0C9F"/>
    <w:rsid w:val="003F144A"/>
    <w:rsid w:val="003F1B02"/>
    <w:rsid w:val="003F1EFE"/>
    <w:rsid w:val="003F2240"/>
    <w:rsid w:val="003F2460"/>
    <w:rsid w:val="003F28DA"/>
    <w:rsid w:val="003F2E7B"/>
    <w:rsid w:val="003F3CD5"/>
    <w:rsid w:val="003F4473"/>
    <w:rsid w:val="003F4CF5"/>
    <w:rsid w:val="003F4E31"/>
    <w:rsid w:val="003F51EE"/>
    <w:rsid w:val="003F574E"/>
    <w:rsid w:val="003F60D6"/>
    <w:rsid w:val="003F68E9"/>
    <w:rsid w:val="003F728C"/>
    <w:rsid w:val="003F7E15"/>
    <w:rsid w:val="003F7FDA"/>
    <w:rsid w:val="00400E65"/>
    <w:rsid w:val="00400FCD"/>
    <w:rsid w:val="004013AD"/>
    <w:rsid w:val="00401E20"/>
    <w:rsid w:val="004021C0"/>
    <w:rsid w:val="004024F9"/>
    <w:rsid w:val="004028CE"/>
    <w:rsid w:val="0040313D"/>
    <w:rsid w:val="004043FA"/>
    <w:rsid w:val="00404970"/>
    <w:rsid w:val="00405181"/>
    <w:rsid w:val="0040567F"/>
    <w:rsid w:val="00405727"/>
    <w:rsid w:val="00405873"/>
    <w:rsid w:val="00405F09"/>
    <w:rsid w:val="004066F4"/>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4D7"/>
    <w:rsid w:val="00414D68"/>
    <w:rsid w:val="00414FD9"/>
    <w:rsid w:val="00415773"/>
    <w:rsid w:val="00415CAE"/>
    <w:rsid w:val="00415EE7"/>
    <w:rsid w:val="00415FD6"/>
    <w:rsid w:val="004160FA"/>
    <w:rsid w:val="0041669E"/>
    <w:rsid w:val="00416ACA"/>
    <w:rsid w:val="00416C56"/>
    <w:rsid w:val="00417294"/>
    <w:rsid w:val="004176B8"/>
    <w:rsid w:val="00417724"/>
    <w:rsid w:val="00417B99"/>
    <w:rsid w:val="00417CE0"/>
    <w:rsid w:val="004209D5"/>
    <w:rsid w:val="00420FAF"/>
    <w:rsid w:val="00421184"/>
    <w:rsid w:val="004212C1"/>
    <w:rsid w:val="004214B7"/>
    <w:rsid w:val="00421510"/>
    <w:rsid w:val="00421FB5"/>
    <w:rsid w:val="004226ED"/>
    <w:rsid w:val="00422AF4"/>
    <w:rsid w:val="004235F4"/>
    <w:rsid w:val="004236C9"/>
    <w:rsid w:val="00423CF3"/>
    <w:rsid w:val="00423E18"/>
    <w:rsid w:val="004245E4"/>
    <w:rsid w:val="00424B7C"/>
    <w:rsid w:val="0042500C"/>
    <w:rsid w:val="00425514"/>
    <w:rsid w:val="0042551C"/>
    <w:rsid w:val="004256BD"/>
    <w:rsid w:val="00425863"/>
    <w:rsid w:val="00425D02"/>
    <w:rsid w:val="00425EDC"/>
    <w:rsid w:val="00426C3E"/>
    <w:rsid w:val="00426CF3"/>
    <w:rsid w:val="004275CD"/>
    <w:rsid w:val="00427E74"/>
    <w:rsid w:val="00427FEB"/>
    <w:rsid w:val="00427FF2"/>
    <w:rsid w:val="0043013F"/>
    <w:rsid w:val="004305C0"/>
    <w:rsid w:val="00430B20"/>
    <w:rsid w:val="00430B6C"/>
    <w:rsid w:val="0043227C"/>
    <w:rsid w:val="004330B1"/>
    <w:rsid w:val="004335C0"/>
    <w:rsid w:val="004337B7"/>
    <w:rsid w:val="00433B34"/>
    <w:rsid w:val="00435121"/>
    <w:rsid w:val="00435715"/>
    <w:rsid w:val="0043571B"/>
    <w:rsid w:val="00435EE0"/>
    <w:rsid w:val="00435F29"/>
    <w:rsid w:val="0043610C"/>
    <w:rsid w:val="004366FF"/>
    <w:rsid w:val="00437D83"/>
    <w:rsid w:val="004401DD"/>
    <w:rsid w:val="00440344"/>
    <w:rsid w:val="00441264"/>
    <w:rsid w:val="00441B0F"/>
    <w:rsid w:val="00441F06"/>
    <w:rsid w:val="004425C6"/>
    <w:rsid w:val="00443D5D"/>
    <w:rsid w:val="00445CBA"/>
    <w:rsid w:val="004463CB"/>
    <w:rsid w:val="004466F7"/>
    <w:rsid w:val="00446858"/>
    <w:rsid w:val="00447304"/>
    <w:rsid w:val="004476F6"/>
    <w:rsid w:val="00447CDD"/>
    <w:rsid w:val="00450127"/>
    <w:rsid w:val="0045075F"/>
    <w:rsid w:val="004516AD"/>
    <w:rsid w:val="00451E84"/>
    <w:rsid w:val="00451EA3"/>
    <w:rsid w:val="00451F01"/>
    <w:rsid w:val="00454660"/>
    <w:rsid w:val="004546A7"/>
    <w:rsid w:val="00454831"/>
    <w:rsid w:val="004548DF"/>
    <w:rsid w:val="00456CC0"/>
    <w:rsid w:val="00457933"/>
    <w:rsid w:val="00457C78"/>
    <w:rsid w:val="0046068D"/>
    <w:rsid w:val="00460735"/>
    <w:rsid w:val="00460AD5"/>
    <w:rsid w:val="00460EB8"/>
    <w:rsid w:val="00461090"/>
    <w:rsid w:val="00461991"/>
    <w:rsid w:val="00461ACB"/>
    <w:rsid w:val="00461C43"/>
    <w:rsid w:val="00462125"/>
    <w:rsid w:val="00463216"/>
    <w:rsid w:val="0046334D"/>
    <w:rsid w:val="00463911"/>
    <w:rsid w:val="00463C95"/>
    <w:rsid w:val="00463E1C"/>
    <w:rsid w:val="00464052"/>
    <w:rsid w:val="00465153"/>
    <w:rsid w:val="00465602"/>
    <w:rsid w:val="004656A4"/>
    <w:rsid w:val="00466A4A"/>
    <w:rsid w:val="00466AFD"/>
    <w:rsid w:val="00470696"/>
    <w:rsid w:val="004713A5"/>
    <w:rsid w:val="0047162F"/>
    <w:rsid w:val="00472177"/>
    <w:rsid w:val="00472234"/>
    <w:rsid w:val="004724C9"/>
    <w:rsid w:val="00472585"/>
    <w:rsid w:val="00474130"/>
    <w:rsid w:val="00474EDD"/>
    <w:rsid w:val="00475A6C"/>
    <w:rsid w:val="004764AF"/>
    <w:rsid w:val="00476D04"/>
    <w:rsid w:val="00476F58"/>
    <w:rsid w:val="0047775E"/>
    <w:rsid w:val="00477AAE"/>
    <w:rsid w:val="00477AF6"/>
    <w:rsid w:val="00477B3B"/>
    <w:rsid w:val="00477BCB"/>
    <w:rsid w:val="004801A7"/>
    <w:rsid w:val="00480E47"/>
    <w:rsid w:val="00480F16"/>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C72"/>
    <w:rsid w:val="00487406"/>
    <w:rsid w:val="00487D3A"/>
    <w:rsid w:val="00490954"/>
    <w:rsid w:val="0049102F"/>
    <w:rsid w:val="0049277A"/>
    <w:rsid w:val="00492B38"/>
    <w:rsid w:val="00492FE4"/>
    <w:rsid w:val="00493035"/>
    <w:rsid w:val="0049330F"/>
    <w:rsid w:val="00493321"/>
    <w:rsid w:val="004936DE"/>
    <w:rsid w:val="004949B0"/>
    <w:rsid w:val="00494A50"/>
    <w:rsid w:val="0049544E"/>
    <w:rsid w:val="00495670"/>
    <w:rsid w:val="0049567B"/>
    <w:rsid w:val="0049604B"/>
    <w:rsid w:val="00496666"/>
    <w:rsid w:val="00496AC9"/>
    <w:rsid w:val="004A040E"/>
    <w:rsid w:val="004A042D"/>
    <w:rsid w:val="004A11E0"/>
    <w:rsid w:val="004A1953"/>
    <w:rsid w:val="004A1FC5"/>
    <w:rsid w:val="004A2158"/>
    <w:rsid w:val="004A29A5"/>
    <w:rsid w:val="004A3225"/>
    <w:rsid w:val="004A374A"/>
    <w:rsid w:val="004A395B"/>
    <w:rsid w:val="004A3C59"/>
    <w:rsid w:val="004A3FE2"/>
    <w:rsid w:val="004A4195"/>
    <w:rsid w:val="004A480D"/>
    <w:rsid w:val="004A4D76"/>
    <w:rsid w:val="004A5851"/>
    <w:rsid w:val="004A5A91"/>
    <w:rsid w:val="004A5B0F"/>
    <w:rsid w:val="004A5CF1"/>
    <w:rsid w:val="004A66E0"/>
    <w:rsid w:val="004A7AAE"/>
    <w:rsid w:val="004A7D49"/>
    <w:rsid w:val="004A7E52"/>
    <w:rsid w:val="004A7F21"/>
    <w:rsid w:val="004B08DB"/>
    <w:rsid w:val="004B1422"/>
    <w:rsid w:val="004B1DF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6DA4"/>
    <w:rsid w:val="004B794C"/>
    <w:rsid w:val="004B7995"/>
    <w:rsid w:val="004C02B3"/>
    <w:rsid w:val="004C098E"/>
    <w:rsid w:val="004C0BBE"/>
    <w:rsid w:val="004C0E2F"/>
    <w:rsid w:val="004C1705"/>
    <w:rsid w:val="004C222E"/>
    <w:rsid w:val="004C2561"/>
    <w:rsid w:val="004C25B4"/>
    <w:rsid w:val="004C2806"/>
    <w:rsid w:val="004C3A7A"/>
    <w:rsid w:val="004C3ADD"/>
    <w:rsid w:val="004C428E"/>
    <w:rsid w:val="004C441A"/>
    <w:rsid w:val="004C4775"/>
    <w:rsid w:val="004C483D"/>
    <w:rsid w:val="004C48A9"/>
    <w:rsid w:val="004C49B3"/>
    <w:rsid w:val="004C4D05"/>
    <w:rsid w:val="004C4FF6"/>
    <w:rsid w:val="004C590B"/>
    <w:rsid w:val="004C6017"/>
    <w:rsid w:val="004C63C7"/>
    <w:rsid w:val="004C6D39"/>
    <w:rsid w:val="004C6D98"/>
    <w:rsid w:val="004C7217"/>
    <w:rsid w:val="004C7743"/>
    <w:rsid w:val="004C77A7"/>
    <w:rsid w:val="004D039E"/>
    <w:rsid w:val="004D04A3"/>
    <w:rsid w:val="004D0C9F"/>
    <w:rsid w:val="004D15FD"/>
    <w:rsid w:val="004D1A0A"/>
    <w:rsid w:val="004D2369"/>
    <w:rsid w:val="004D2485"/>
    <w:rsid w:val="004D25D5"/>
    <w:rsid w:val="004D3A57"/>
    <w:rsid w:val="004D47FF"/>
    <w:rsid w:val="004D4D35"/>
    <w:rsid w:val="004D518F"/>
    <w:rsid w:val="004D54D7"/>
    <w:rsid w:val="004D5BB7"/>
    <w:rsid w:val="004D6053"/>
    <w:rsid w:val="004D6FA4"/>
    <w:rsid w:val="004D7034"/>
    <w:rsid w:val="004D7C23"/>
    <w:rsid w:val="004E01C6"/>
    <w:rsid w:val="004E0212"/>
    <w:rsid w:val="004E0ADC"/>
    <w:rsid w:val="004E0FB1"/>
    <w:rsid w:val="004E1043"/>
    <w:rsid w:val="004E1DCA"/>
    <w:rsid w:val="004E21B4"/>
    <w:rsid w:val="004E252B"/>
    <w:rsid w:val="004E2861"/>
    <w:rsid w:val="004E2A85"/>
    <w:rsid w:val="004E3F72"/>
    <w:rsid w:val="004E4A78"/>
    <w:rsid w:val="004E551E"/>
    <w:rsid w:val="004E584D"/>
    <w:rsid w:val="004E58F6"/>
    <w:rsid w:val="004E5E37"/>
    <w:rsid w:val="004E5E4C"/>
    <w:rsid w:val="004E5F79"/>
    <w:rsid w:val="004E623E"/>
    <w:rsid w:val="004E6589"/>
    <w:rsid w:val="004E6CF9"/>
    <w:rsid w:val="004E7152"/>
    <w:rsid w:val="004E734E"/>
    <w:rsid w:val="004E7EC0"/>
    <w:rsid w:val="004E7F48"/>
    <w:rsid w:val="004F014E"/>
    <w:rsid w:val="004F023B"/>
    <w:rsid w:val="004F0BC6"/>
    <w:rsid w:val="004F1123"/>
    <w:rsid w:val="004F12D3"/>
    <w:rsid w:val="004F1715"/>
    <w:rsid w:val="004F17DA"/>
    <w:rsid w:val="004F355B"/>
    <w:rsid w:val="004F3BD2"/>
    <w:rsid w:val="004F4372"/>
    <w:rsid w:val="004F43E0"/>
    <w:rsid w:val="004F45EB"/>
    <w:rsid w:val="004F49F4"/>
    <w:rsid w:val="004F5079"/>
    <w:rsid w:val="004F521B"/>
    <w:rsid w:val="004F52BB"/>
    <w:rsid w:val="004F5582"/>
    <w:rsid w:val="004F56B1"/>
    <w:rsid w:val="004F59B8"/>
    <w:rsid w:val="004F62A7"/>
    <w:rsid w:val="004F62F9"/>
    <w:rsid w:val="004F66B3"/>
    <w:rsid w:val="004F6FA7"/>
    <w:rsid w:val="004F72DA"/>
    <w:rsid w:val="004F7352"/>
    <w:rsid w:val="004F7889"/>
    <w:rsid w:val="0050015C"/>
    <w:rsid w:val="00500418"/>
    <w:rsid w:val="00500CCF"/>
    <w:rsid w:val="00500E62"/>
    <w:rsid w:val="00500FEC"/>
    <w:rsid w:val="005010DE"/>
    <w:rsid w:val="005011FD"/>
    <w:rsid w:val="0050164B"/>
    <w:rsid w:val="00501AA5"/>
    <w:rsid w:val="00502958"/>
    <w:rsid w:val="00502BD2"/>
    <w:rsid w:val="00502DA4"/>
    <w:rsid w:val="00503790"/>
    <w:rsid w:val="005038F3"/>
    <w:rsid w:val="00503F83"/>
    <w:rsid w:val="0050421C"/>
    <w:rsid w:val="005048FF"/>
    <w:rsid w:val="00504A9B"/>
    <w:rsid w:val="00504E9A"/>
    <w:rsid w:val="00504F83"/>
    <w:rsid w:val="005059B9"/>
    <w:rsid w:val="00505F64"/>
    <w:rsid w:val="00506DCD"/>
    <w:rsid w:val="00507325"/>
    <w:rsid w:val="00507583"/>
    <w:rsid w:val="00507C56"/>
    <w:rsid w:val="00507F13"/>
    <w:rsid w:val="005109D4"/>
    <w:rsid w:val="00510CF4"/>
    <w:rsid w:val="0051160A"/>
    <w:rsid w:val="005118BA"/>
    <w:rsid w:val="00511C56"/>
    <w:rsid w:val="00512A4D"/>
    <w:rsid w:val="00512D87"/>
    <w:rsid w:val="005130DA"/>
    <w:rsid w:val="0051328A"/>
    <w:rsid w:val="00513DDA"/>
    <w:rsid w:val="00513E19"/>
    <w:rsid w:val="005148B4"/>
    <w:rsid w:val="00514B29"/>
    <w:rsid w:val="00514E8C"/>
    <w:rsid w:val="005152B1"/>
    <w:rsid w:val="005152F0"/>
    <w:rsid w:val="0051532D"/>
    <w:rsid w:val="00515856"/>
    <w:rsid w:val="005163E6"/>
    <w:rsid w:val="00516D23"/>
    <w:rsid w:val="005172EC"/>
    <w:rsid w:val="0051740D"/>
    <w:rsid w:val="005178CE"/>
    <w:rsid w:val="00521356"/>
    <w:rsid w:val="00521CAB"/>
    <w:rsid w:val="00521DFB"/>
    <w:rsid w:val="005224EF"/>
    <w:rsid w:val="00522654"/>
    <w:rsid w:val="00522835"/>
    <w:rsid w:val="0052293D"/>
    <w:rsid w:val="00522AF4"/>
    <w:rsid w:val="00523499"/>
    <w:rsid w:val="00523BC7"/>
    <w:rsid w:val="00523C08"/>
    <w:rsid w:val="00523C10"/>
    <w:rsid w:val="00523E23"/>
    <w:rsid w:val="005245D5"/>
    <w:rsid w:val="005247FE"/>
    <w:rsid w:val="00524889"/>
    <w:rsid w:val="0052575D"/>
    <w:rsid w:val="005259FC"/>
    <w:rsid w:val="00525A53"/>
    <w:rsid w:val="005260F1"/>
    <w:rsid w:val="00526569"/>
    <w:rsid w:val="00526726"/>
    <w:rsid w:val="00526F91"/>
    <w:rsid w:val="00527256"/>
    <w:rsid w:val="00527934"/>
    <w:rsid w:val="00527B57"/>
    <w:rsid w:val="00527C8D"/>
    <w:rsid w:val="00527C9C"/>
    <w:rsid w:val="00530AC4"/>
    <w:rsid w:val="00531F7B"/>
    <w:rsid w:val="00532064"/>
    <w:rsid w:val="0053268A"/>
    <w:rsid w:val="0053309E"/>
    <w:rsid w:val="00533169"/>
    <w:rsid w:val="00533194"/>
    <w:rsid w:val="005332C8"/>
    <w:rsid w:val="00534021"/>
    <w:rsid w:val="0053464E"/>
    <w:rsid w:val="00534CBD"/>
    <w:rsid w:val="005352C8"/>
    <w:rsid w:val="005354C1"/>
    <w:rsid w:val="00535F99"/>
    <w:rsid w:val="005361DE"/>
    <w:rsid w:val="00536356"/>
    <w:rsid w:val="00536CBB"/>
    <w:rsid w:val="00536DDD"/>
    <w:rsid w:val="00537033"/>
    <w:rsid w:val="0054004B"/>
    <w:rsid w:val="00540A37"/>
    <w:rsid w:val="00540B49"/>
    <w:rsid w:val="005418DB"/>
    <w:rsid w:val="0054230B"/>
    <w:rsid w:val="005434EA"/>
    <w:rsid w:val="00544ABA"/>
    <w:rsid w:val="00544F0B"/>
    <w:rsid w:val="00545D55"/>
    <w:rsid w:val="00545FE8"/>
    <w:rsid w:val="005461AB"/>
    <w:rsid w:val="00546C6A"/>
    <w:rsid w:val="00546FBA"/>
    <w:rsid w:val="00547F04"/>
    <w:rsid w:val="00550924"/>
    <w:rsid w:val="00550D63"/>
    <w:rsid w:val="00550EF1"/>
    <w:rsid w:val="00551075"/>
    <w:rsid w:val="005513C8"/>
    <w:rsid w:val="0055236E"/>
    <w:rsid w:val="0055352C"/>
    <w:rsid w:val="005538A6"/>
    <w:rsid w:val="00554F94"/>
    <w:rsid w:val="00555161"/>
    <w:rsid w:val="005557E2"/>
    <w:rsid w:val="00555A59"/>
    <w:rsid w:val="00555DE6"/>
    <w:rsid w:val="00555EB3"/>
    <w:rsid w:val="005567F6"/>
    <w:rsid w:val="00556E29"/>
    <w:rsid w:val="00557474"/>
    <w:rsid w:val="00557DAA"/>
    <w:rsid w:val="00557DAD"/>
    <w:rsid w:val="00561138"/>
    <w:rsid w:val="00561699"/>
    <w:rsid w:val="0056194F"/>
    <w:rsid w:val="005619E1"/>
    <w:rsid w:val="00562629"/>
    <w:rsid w:val="005628FE"/>
    <w:rsid w:val="0056364B"/>
    <w:rsid w:val="0056369A"/>
    <w:rsid w:val="00563D49"/>
    <w:rsid w:val="00564191"/>
    <w:rsid w:val="00564557"/>
    <w:rsid w:val="0056458C"/>
    <w:rsid w:val="00564628"/>
    <w:rsid w:val="005648B9"/>
    <w:rsid w:val="00564A3C"/>
    <w:rsid w:val="00564F82"/>
    <w:rsid w:val="00564FF6"/>
    <w:rsid w:val="00565270"/>
    <w:rsid w:val="005653AF"/>
    <w:rsid w:val="00565501"/>
    <w:rsid w:val="00565755"/>
    <w:rsid w:val="0056601E"/>
    <w:rsid w:val="00566406"/>
    <w:rsid w:val="005664A6"/>
    <w:rsid w:val="00566538"/>
    <w:rsid w:val="0056725A"/>
    <w:rsid w:val="0056741F"/>
    <w:rsid w:val="00567647"/>
    <w:rsid w:val="0056781B"/>
    <w:rsid w:val="00567BE2"/>
    <w:rsid w:val="00570102"/>
    <w:rsid w:val="00570505"/>
    <w:rsid w:val="005712E6"/>
    <w:rsid w:val="00572942"/>
    <w:rsid w:val="005730DB"/>
    <w:rsid w:val="00573251"/>
    <w:rsid w:val="005733A8"/>
    <w:rsid w:val="005734F9"/>
    <w:rsid w:val="00573B5B"/>
    <w:rsid w:val="00573F55"/>
    <w:rsid w:val="00574070"/>
    <w:rsid w:val="00575148"/>
    <w:rsid w:val="0057540E"/>
    <w:rsid w:val="005757B6"/>
    <w:rsid w:val="005761E2"/>
    <w:rsid w:val="0058000F"/>
    <w:rsid w:val="00580557"/>
    <w:rsid w:val="0058074F"/>
    <w:rsid w:val="00580A76"/>
    <w:rsid w:val="00581042"/>
    <w:rsid w:val="00581703"/>
    <w:rsid w:val="00581B15"/>
    <w:rsid w:val="005821DD"/>
    <w:rsid w:val="00583908"/>
    <w:rsid w:val="00583C9C"/>
    <w:rsid w:val="00584757"/>
    <w:rsid w:val="00584E21"/>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E1"/>
    <w:rsid w:val="00594B8A"/>
    <w:rsid w:val="00595009"/>
    <w:rsid w:val="005954B7"/>
    <w:rsid w:val="005956A4"/>
    <w:rsid w:val="00595A05"/>
    <w:rsid w:val="00595F17"/>
    <w:rsid w:val="00595F3D"/>
    <w:rsid w:val="00595F89"/>
    <w:rsid w:val="005960C7"/>
    <w:rsid w:val="005963FB"/>
    <w:rsid w:val="00596873"/>
    <w:rsid w:val="00596BB3"/>
    <w:rsid w:val="00596BD4"/>
    <w:rsid w:val="00596FA8"/>
    <w:rsid w:val="005971A7"/>
    <w:rsid w:val="00597310"/>
    <w:rsid w:val="005977AB"/>
    <w:rsid w:val="005A01C5"/>
    <w:rsid w:val="005A02DD"/>
    <w:rsid w:val="005A0532"/>
    <w:rsid w:val="005A071C"/>
    <w:rsid w:val="005A07E7"/>
    <w:rsid w:val="005A0A57"/>
    <w:rsid w:val="005A0B9F"/>
    <w:rsid w:val="005A0DBB"/>
    <w:rsid w:val="005A0EBD"/>
    <w:rsid w:val="005A1270"/>
    <w:rsid w:val="005A1295"/>
    <w:rsid w:val="005A1FBF"/>
    <w:rsid w:val="005A1FD5"/>
    <w:rsid w:val="005A29B1"/>
    <w:rsid w:val="005A2EBF"/>
    <w:rsid w:val="005A3750"/>
    <w:rsid w:val="005A380B"/>
    <w:rsid w:val="005A4890"/>
    <w:rsid w:val="005A49D4"/>
    <w:rsid w:val="005A4D7C"/>
    <w:rsid w:val="005A51C9"/>
    <w:rsid w:val="005A5A96"/>
    <w:rsid w:val="005A5D7F"/>
    <w:rsid w:val="005A5DC0"/>
    <w:rsid w:val="005A65C3"/>
    <w:rsid w:val="005A6B6D"/>
    <w:rsid w:val="005A6ED5"/>
    <w:rsid w:val="005A6F0E"/>
    <w:rsid w:val="005A6F57"/>
    <w:rsid w:val="005A7235"/>
    <w:rsid w:val="005A795B"/>
    <w:rsid w:val="005A7BAF"/>
    <w:rsid w:val="005B05FA"/>
    <w:rsid w:val="005B0652"/>
    <w:rsid w:val="005B1213"/>
    <w:rsid w:val="005B1B55"/>
    <w:rsid w:val="005B1DBD"/>
    <w:rsid w:val="005B26B0"/>
    <w:rsid w:val="005B3EBD"/>
    <w:rsid w:val="005B3F0C"/>
    <w:rsid w:val="005B48E8"/>
    <w:rsid w:val="005B5464"/>
    <w:rsid w:val="005B564F"/>
    <w:rsid w:val="005B56D9"/>
    <w:rsid w:val="005B5BA3"/>
    <w:rsid w:val="005B5E62"/>
    <w:rsid w:val="005B6DBE"/>
    <w:rsid w:val="005B7E97"/>
    <w:rsid w:val="005B7F46"/>
    <w:rsid w:val="005C059E"/>
    <w:rsid w:val="005C07D2"/>
    <w:rsid w:val="005C09A7"/>
    <w:rsid w:val="005C0EA8"/>
    <w:rsid w:val="005C102D"/>
    <w:rsid w:val="005C132C"/>
    <w:rsid w:val="005C17FB"/>
    <w:rsid w:val="005C1833"/>
    <w:rsid w:val="005C1838"/>
    <w:rsid w:val="005C18C2"/>
    <w:rsid w:val="005C2063"/>
    <w:rsid w:val="005C244F"/>
    <w:rsid w:val="005C2767"/>
    <w:rsid w:val="005C2922"/>
    <w:rsid w:val="005C2C01"/>
    <w:rsid w:val="005C2F60"/>
    <w:rsid w:val="005C323D"/>
    <w:rsid w:val="005C3772"/>
    <w:rsid w:val="005C39C3"/>
    <w:rsid w:val="005C4229"/>
    <w:rsid w:val="005C4580"/>
    <w:rsid w:val="005C5065"/>
    <w:rsid w:val="005C52F3"/>
    <w:rsid w:val="005C564C"/>
    <w:rsid w:val="005C6234"/>
    <w:rsid w:val="005C64DC"/>
    <w:rsid w:val="005C6605"/>
    <w:rsid w:val="005C6CCB"/>
    <w:rsid w:val="005C71A0"/>
    <w:rsid w:val="005C7802"/>
    <w:rsid w:val="005C7B50"/>
    <w:rsid w:val="005D029E"/>
    <w:rsid w:val="005D0427"/>
    <w:rsid w:val="005D0776"/>
    <w:rsid w:val="005D07AE"/>
    <w:rsid w:val="005D08FD"/>
    <w:rsid w:val="005D0C83"/>
    <w:rsid w:val="005D113B"/>
    <w:rsid w:val="005D1732"/>
    <w:rsid w:val="005D2D9A"/>
    <w:rsid w:val="005D3A6E"/>
    <w:rsid w:val="005D3B21"/>
    <w:rsid w:val="005D4019"/>
    <w:rsid w:val="005D41DC"/>
    <w:rsid w:val="005D460F"/>
    <w:rsid w:val="005D4DC5"/>
    <w:rsid w:val="005D5442"/>
    <w:rsid w:val="005D5C22"/>
    <w:rsid w:val="005D5E6C"/>
    <w:rsid w:val="005D63A9"/>
    <w:rsid w:val="005D65D5"/>
    <w:rsid w:val="005D6C56"/>
    <w:rsid w:val="005D6CED"/>
    <w:rsid w:val="005D6F49"/>
    <w:rsid w:val="005D7E8A"/>
    <w:rsid w:val="005E06FA"/>
    <w:rsid w:val="005E0D09"/>
    <w:rsid w:val="005E11A5"/>
    <w:rsid w:val="005E13D4"/>
    <w:rsid w:val="005E1435"/>
    <w:rsid w:val="005E21F3"/>
    <w:rsid w:val="005E235C"/>
    <w:rsid w:val="005E3078"/>
    <w:rsid w:val="005E34C0"/>
    <w:rsid w:val="005E45F3"/>
    <w:rsid w:val="005E49CA"/>
    <w:rsid w:val="005E5384"/>
    <w:rsid w:val="005E5427"/>
    <w:rsid w:val="005E5428"/>
    <w:rsid w:val="005E5A7C"/>
    <w:rsid w:val="005E5C33"/>
    <w:rsid w:val="005E6976"/>
    <w:rsid w:val="005E703B"/>
    <w:rsid w:val="005E721A"/>
    <w:rsid w:val="005E74EC"/>
    <w:rsid w:val="005E7917"/>
    <w:rsid w:val="005E7AB6"/>
    <w:rsid w:val="005E7B1E"/>
    <w:rsid w:val="005E7CBC"/>
    <w:rsid w:val="005E7DB0"/>
    <w:rsid w:val="005F0A62"/>
    <w:rsid w:val="005F0C50"/>
    <w:rsid w:val="005F0FA8"/>
    <w:rsid w:val="005F1C5D"/>
    <w:rsid w:val="005F2317"/>
    <w:rsid w:val="005F2550"/>
    <w:rsid w:val="005F2B2D"/>
    <w:rsid w:val="005F2FD5"/>
    <w:rsid w:val="005F340A"/>
    <w:rsid w:val="005F359B"/>
    <w:rsid w:val="005F3869"/>
    <w:rsid w:val="005F3AE8"/>
    <w:rsid w:val="005F3B09"/>
    <w:rsid w:val="005F3B47"/>
    <w:rsid w:val="005F47C1"/>
    <w:rsid w:val="005F4926"/>
    <w:rsid w:val="005F4B6F"/>
    <w:rsid w:val="005F5009"/>
    <w:rsid w:val="005F5054"/>
    <w:rsid w:val="005F530F"/>
    <w:rsid w:val="005F5D2A"/>
    <w:rsid w:val="005F65D9"/>
    <w:rsid w:val="005F6768"/>
    <w:rsid w:val="005F69CF"/>
    <w:rsid w:val="005F6E39"/>
    <w:rsid w:val="005F6E58"/>
    <w:rsid w:val="005F7031"/>
    <w:rsid w:val="005F704C"/>
    <w:rsid w:val="005F7A22"/>
    <w:rsid w:val="005F7B9D"/>
    <w:rsid w:val="00600501"/>
    <w:rsid w:val="00600B0C"/>
    <w:rsid w:val="00602DFA"/>
    <w:rsid w:val="006031D1"/>
    <w:rsid w:val="006033BF"/>
    <w:rsid w:val="00603702"/>
    <w:rsid w:val="00603B4B"/>
    <w:rsid w:val="00603F20"/>
    <w:rsid w:val="006046A9"/>
    <w:rsid w:val="0060471B"/>
    <w:rsid w:val="00604F37"/>
    <w:rsid w:val="0060508A"/>
    <w:rsid w:val="006055AF"/>
    <w:rsid w:val="00605942"/>
    <w:rsid w:val="00605C9F"/>
    <w:rsid w:val="006068E8"/>
    <w:rsid w:val="00606ADB"/>
    <w:rsid w:val="006072DE"/>
    <w:rsid w:val="006075F4"/>
    <w:rsid w:val="006078A8"/>
    <w:rsid w:val="00607BAD"/>
    <w:rsid w:val="00607EC7"/>
    <w:rsid w:val="0061048A"/>
    <w:rsid w:val="00610AE7"/>
    <w:rsid w:val="00611178"/>
    <w:rsid w:val="0061148D"/>
    <w:rsid w:val="00611D01"/>
    <w:rsid w:val="006122EC"/>
    <w:rsid w:val="006124B3"/>
    <w:rsid w:val="00612611"/>
    <w:rsid w:val="0061279A"/>
    <w:rsid w:val="00612A10"/>
    <w:rsid w:val="00613009"/>
    <w:rsid w:val="006132EA"/>
    <w:rsid w:val="00613481"/>
    <w:rsid w:val="00613CA5"/>
    <w:rsid w:val="0061401C"/>
    <w:rsid w:val="0061420B"/>
    <w:rsid w:val="00614A59"/>
    <w:rsid w:val="00614BD4"/>
    <w:rsid w:val="00614D33"/>
    <w:rsid w:val="00614E7E"/>
    <w:rsid w:val="0061537D"/>
    <w:rsid w:val="0061537F"/>
    <w:rsid w:val="006156D7"/>
    <w:rsid w:val="00615CF1"/>
    <w:rsid w:val="00615DEA"/>
    <w:rsid w:val="006165A4"/>
    <w:rsid w:val="00616A60"/>
    <w:rsid w:val="00616D0C"/>
    <w:rsid w:val="00616EE6"/>
    <w:rsid w:val="006171FB"/>
    <w:rsid w:val="00617283"/>
    <w:rsid w:val="00617A2A"/>
    <w:rsid w:val="006207F4"/>
    <w:rsid w:val="00620C67"/>
    <w:rsid w:val="00621646"/>
    <w:rsid w:val="00621803"/>
    <w:rsid w:val="00621A34"/>
    <w:rsid w:val="006220F1"/>
    <w:rsid w:val="00623E46"/>
    <w:rsid w:val="00624604"/>
    <w:rsid w:val="00624D2C"/>
    <w:rsid w:val="00624F7F"/>
    <w:rsid w:val="00625142"/>
    <w:rsid w:val="00625145"/>
    <w:rsid w:val="00626768"/>
    <w:rsid w:val="00626F9D"/>
    <w:rsid w:val="00627402"/>
    <w:rsid w:val="00627403"/>
    <w:rsid w:val="00627474"/>
    <w:rsid w:val="00627CEA"/>
    <w:rsid w:val="00627E37"/>
    <w:rsid w:val="00630480"/>
    <w:rsid w:val="0063058E"/>
    <w:rsid w:val="006305F8"/>
    <w:rsid w:val="0063197B"/>
    <w:rsid w:val="006319D0"/>
    <w:rsid w:val="00631DA7"/>
    <w:rsid w:val="006327BB"/>
    <w:rsid w:val="00632B9C"/>
    <w:rsid w:val="00632F18"/>
    <w:rsid w:val="006332D7"/>
    <w:rsid w:val="0063333D"/>
    <w:rsid w:val="00634225"/>
    <w:rsid w:val="00635003"/>
    <w:rsid w:val="006351CE"/>
    <w:rsid w:val="006352FD"/>
    <w:rsid w:val="00635B15"/>
    <w:rsid w:val="00636037"/>
    <w:rsid w:val="006362E1"/>
    <w:rsid w:val="006367DA"/>
    <w:rsid w:val="00636F62"/>
    <w:rsid w:val="006370E1"/>
    <w:rsid w:val="00637382"/>
    <w:rsid w:val="006375B2"/>
    <w:rsid w:val="006375BB"/>
    <w:rsid w:val="006409EE"/>
    <w:rsid w:val="00640BF7"/>
    <w:rsid w:val="00640FFF"/>
    <w:rsid w:val="00641761"/>
    <w:rsid w:val="006419AF"/>
    <w:rsid w:val="006425FC"/>
    <w:rsid w:val="00642631"/>
    <w:rsid w:val="00642DF5"/>
    <w:rsid w:val="0064304A"/>
    <w:rsid w:val="0064380B"/>
    <w:rsid w:val="00643A4F"/>
    <w:rsid w:val="00643FF5"/>
    <w:rsid w:val="006441FD"/>
    <w:rsid w:val="00644E5A"/>
    <w:rsid w:val="00644F2C"/>
    <w:rsid w:val="00644FA4"/>
    <w:rsid w:val="00645065"/>
    <w:rsid w:val="006450DD"/>
    <w:rsid w:val="00645141"/>
    <w:rsid w:val="00645AEE"/>
    <w:rsid w:val="00646428"/>
    <w:rsid w:val="00646AFD"/>
    <w:rsid w:val="0064707F"/>
    <w:rsid w:val="006471E8"/>
    <w:rsid w:val="00647E90"/>
    <w:rsid w:val="00647FA3"/>
    <w:rsid w:val="006500F7"/>
    <w:rsid w:val="00650769"/>
    <w:rsid w:val="0065106D"/>
    <w:rsid w:val="006516B7"/>
    <w:rsid w:val="006518E4"/>
    <w:rsid w:val="006519F4"/>
    <w:rsid w:val="00651FB8"/>
    <w:rsid w:val="0065203F"/>
    <w:rsid w:val="006520D5"/>
    <w:rsid w:val="0065239B"/>
    <w:rsid w:val="00652BA0"/>
    <w:rsid w:val="00653045"/>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8D1"/>
    <w:rsid w:val="00657CCC"/>
    <w:rsid w:val="00660162"/>
    <w:rsid w:val="0066036D"/>
    <w:rsid w:val="006604FA"/>
    <w:rsid w:val="00660879"/>
    <w:rsid w:val="00660B3F"/>
    <w:rsid w:val="006610B1"/>
    <w:rsid w:val="00661639"/>
    <w:rsid w:val="00661655"/>
    <w:rsid w:val="0066174D"/>
    <w:rsid w:val="00661E36"/>
    <w:rsid w:val="0066288A"/>
    <w:rsid w:val="0066318A"/>
    <w:rsid w:val="006631D3"/>
    <w:rsid w:val="00663D0F"/>
    <w:rsid w:val="00664525"/>
    <w:rsid w:val="0066465B"/>
    <w:rsid w:val="00664C81"/>
    <w:rsid w:val="0066521A"/>
    <w:rsid w:val="0066540C"/>
    <w:rsid w:val="00665EAE"/>
    <w:rsid w:val="006661EA"/>
    <w:rsid w:val="00666909"/>
    <w:rsid w:val="00666EBC"/>
    <w:rsid w:val="00667189"/>
    <w:rsid w:val="0066749E"/>
    <w:rsid w:val="00667CCB"/>
    <w:rsid w:val="00667EFD"/>
    <w:rsid w:val="00670475"/>
    <w:rsid w:val="00670B8C"/>
    <w:rsid w:val="00670C4A"/>
    <w:rsid w:val="006712FE"/>
    <w:rsid w:val="00671F3E"/>
    <w:rsid w:val="00672482"/>
    <w:rsid w:val="00672A18"/>
    <w:rsid w:val="006735D0"/>
    <w:rsid w:val="006739E9"/>
    <w:rsid w:val="00674D52"/>
    <w:rsid w:val="00674F93"/>
    <w:rsid w:val="0067546F"/>
    <w:rsid w:val="00676287"/>
    <w:rsid w:val="00676CE4"/>
    <w:rsid w:val="00676EC2"/>
    <w:rsid w:val="00676F61"/>
    <w:rsid w:val="00676FA5"/>
    <w:rsid w:val="006771A4"/>
    <w:rsid w:val="006771AD"/>
    <w:rsid w:val="006774A8"/>
    <w:rsid w:val="00677572"/>
    <w:rsid w:val="00681156"/>
    <w:rsid w:val="00681229"/>
    <w:rsid w:val="00681514"/>
    <w:rsid w:val="0068185E"/>
    <w:rsid w:val="00681BE5"/>
    <w:rsid w:val="00681E30"/>
    <w:rsid w:val="0068379B"/>
    <w:rsid w:val="00683D98"/>
    <w:rsid w:val="00683D99"/>
    <w:rsid w:val="00684079"/>
    <w:rsid w:val="006848EE"/>
    <w:rsid w:val="0068629B"/>
    <w:rsid w:val="00686425"/>
    <w:rsid w:val="00686C12"/>
    <w:rsid w:val="00686D75"/>
    <w:rsid w:val="0068736A"/>
    <w:rsid w:val="00687D17"/>
    <w:rsid w:val="00687DBD"/>
    <w:rsid w:val="00690024"/>
    <w:rsid w:val="006903A4"/>
    <w:rsid w:val="00690CAA"/>
    <w:rsid w:val="00690EFB"/>
    <w:rsid w:val="0069137B"/>
    <w:rsid w:val="006913EC"/>
    <w:rsid w:val="006914B7"/>
    <w:rsid w:val="00691742"/>
    <w:rsid w:val="00691DEE"/>
    <w:rsid w:val="00692242"/>
    <w:rsid w:val="0069236E"/>
    <w:rsid w:val="00692704"/>
    <w:rsid w:val="00692E67"/>
    <w:rsid w:val="00693ACF"/>
    <w:rsid w:val="00693EE5"/>
    <w:rsid w:val="006944C5"/>
    <w:rsid w:val="00694B8D"/>
    <w:rsid w:val="0069532F"/>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A48"/>
    <w:rsid w:val="006A3FD6"/>
    <w:rsid w:val="006A4076"/>
    <w:rsid w:val="006A436F"/>
    <w:rsid w:val="006A4E5B"/>
    <w:rsid w:val="006A59D8"/>
    <w:rsid w:val="006A6B7B"/>
    <w:rsid w:val="006A78F8"/>
    <w:rsid w:val="006A7C26"/>
    <w:rsid w:val="006A7E27"/>
    <w:rsid w:val="006B010E"/>
    <w:rsid w:val="006B03CA"/>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BF6"/>
    <w:rsid w:val="006B6C0D"/>
    <w:rsid w:val="006B7657"/>
    <w:rsid w:val="006C166D"/>
    <w:rsid w:val="006C1818"/>
    <w:rsid w:val="006C1C4F"/>
    <w:rsid w:val="006C1F8B"/>
    <w:rsid w:val="006C2721"/>
    <w:rsid w:val="006C2BE5"/>
    <w:rsid w:val="006C377A"/>
    <w:rsid w:val="006C3868"/>
    <w:rsid w:val="006C38FF"/>
    <w:rsid w:val="006C3E6E"/>
    <w:rsid w:val="006C3EEA"/>
    <w:rsid w:val="006C3F92"/>
    <w:rsid w:val="006C43A6"/>
    <w:rsid w:val="006C4A4A"/>
    <w:rsid w:val="006C4E89"/>
    <w:rsid w:val="006C53EB"/>
    <w:rsid w:val="006C5434"/>
    <w:rsid w:val="006C5D29"/>
    <w:rsid w:val="006C650D"/>
    <w:rsid w:val="006C69A5"/>
    <w:rsid w:val="006C7740"/>
    <w:rsid w:val="006C7926"/>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2562"/>
    <w:rsid w:val="006E3023"/>
    <w:rsid w:val="006E3369"/>
    <w:rsid w:val="006E3D12"/>
    <w:rsid w:val="006E449C"/>
    <w:rsid w:val="006E4726"/>
    <w:rsid w:val="006E4E72"/>
    <w:rsid w:val="006E50D0"/>
    <w:rsid w:val="006E663E"/>
    <w:rsid w:val="006E6EDF"/>
    <w:rsid w:val="006E7319"/>
    <w:rsid w:val="006E7BA5"/>
    <w:rsid w:val="006F01E8"/>
    <w:rsid w:val="006F02D7"/>
    <w:rsid w:val="006F03EC"/>
    <w:rsid w:val="006F059F"/>
    <w:rsid w:val="006F0EBB"/>
    <w:rsid w:val="006F1E96"/>
    <w:rsid w:val="006F2D24"/>
    <w:rsid w:val="006F352A"/>
    <w:rsid w:val="006F37F7"/>
    <w:rsid w:val="006F3909"/>
    <w:rsid w:val="006F4036"/>
    <w:rsid w:val="006F428E"/>
    <w:rsid w:val="006F48E1"/>
    <w:rsid w:val="006F4FA0"/>
    <w:rsid w:val="006F5096"/>
    <w:rsid w:val="006F5160"/>
    <w:rsid w:val="006F5374"/>
    <w:rsid w:val="006F57D7"/>
    <w:rsid w:val="006F60DF"/>
    <w:rsid w:val="006F64DE"/>
    <w:rsid w:val="006F6766"/>
    <w:rsid w:val="006F68C1"/>
    <w:rsid w:val="006F6CE2"/>
    <w:rsid w:val="006F6E10"/>
    <w:rsid w:val="007014F8"/>
    <w:rsid w:val="0070150D"/>
    <w:rsid w:val="007016D2"/>
    <w:rsid w:val="007018D8"/>
    <w:rsid w:val="00701979"/>
    <w:rsid w:val="00701C6E"/>
    <w:rsid w:val="007029E8"/>
    <w:rsid w:val="00703107"/>
    <w:rsid w:val="00703138"/>
    <w:rsid w:val="00703277"/>
    <w:rsid w:val="0070356D"/>
    <w:rsid w:val="00703981"/>
    <w:rsid w:val="00703CDF"/>
    <w:rsid w:val="00703D7E"/>
    <w:rsid w:val="0070495F"/>
    <w:rsid w:val="00704B6E"/>
    <w:rsid w:val="00704F73"/>
    <w:rsid w:val="0070508D"/>
    <w:rsid w:val="0070542E"/>
    <w:rsid w:val="0070604A"/>
    <w:rsid w:val="007060D4"/>
    <w:rsid w:val="0070624C"/>
    <w:rsid w:val="00706451"/>
    <w:rsid w:val="00707E0F"/>
    <w:rsid w:val="0071068A"/>
    <w:rsid w:val="00710E19"/>
    <w:rsid w:val="00710E52"/>
    <w:rsid w:val="0071154B"/>
    <w:rsid w:val="0071174F"/>
    <w:rsid w:val="0071196A"/>
    <w:rsid w:val="00711B11"/>
    <w:rsid w:val="007131CF"/>
    <w:rsid w:val="007133C0"/>
    <w:rsid w:val="00713613"/>
    <w:rsid w:val="007137C6"/>
    <w:rsid w:val="007138FC"/>
    <w:rsid w:val="0071393D"/>
    <w:rsid w:val="00713E79"/>
    <w:rsid w:val="00714245"/>
    <w:rsid w:val="00714A14"/>
    <w:rsid w:val="00715441"/>
    <w:rsid w:val="00715739"/>
    <w:rsid w:val="0071576C"/>
    <w:rsid w:val="00715C94"/>
    <w:rsid w:val="007165F0"/>
    <w:rsid w:val="00716A09"/>
    <w:rsid w:val="007170DB"/>
    <w:rsid w:val="00717880"/>
    <w:rsid w:val="00717CA8"/>
    <w:rsid w:val="007205E7"/>
    <w:rsid w:val="007209C4"/>
    <w:rsid w:val="00720A9F"/>
    <w:rsid w:val="00721E9E"/>
    <w:rsid w:val="007227FE"/>
    <w:rsid w:val="007233C3"/>
    <w:rsid w:val="00723C95"/>
    <w:rsid w:val="007244E7"/>
    <w:rsid w:val="0072505F"/>
    <w:rsid w:val="00725B00"/>
    <w:rsid w:val="0072680C"/>
    <w:rsid w:val="00726B3D"/>
    <w:rsid w:val="00726C64"/>
    <w:rsid w:val="007310B7"/>
    <w:rsid w:val="00731237"/>
    <w:rsid w:val="00731A22"/>
    <w:rsid w:val="0073207E"/>
    <w:rsid w:val="00732523"/>
    <w:rsid w:val="0073254B"/>
    <w:rsid w:val="00732664"/>
    <w:rsid w:val="00732BA7"/>
    <w:rsid w:val="007333EA"/>
    <w:rsid w:val="00733601"/>
    <w:rsid w:val="00733A57"/>
    <w:rsid w:val="00733F36"/>
    <w:rsid w:val="007340CE"/>
    <w:rsid w:val="00734684"/>
    <w:rsid w:val="00734781"/>
    <w:rsid w:val="007349FC"/>
    <w:rsid w:val="00734B6F"/>
    <w:rsid w:val="007351A5"/>
    <w:rsid w:val="00735293"/>
    <w:rsid w:val="00735376"/>
    <w:rsid w:val="007363EA"/>
    <w:rsid w:val="00736A02"/>
    <w:rsid w:val="00736E06"/>
    <w:rsid w:val="00736E37"/>
    <w:rsid w:val="00737286"/>
    <w:rsid w:val="007373DB"/>
    <w:rsid w:val="00737847"/>
    <w:rsid w:val="00737F27"/>
    <w:rsid w:val="00737FD3"/>
    <w:rsid w:val="00740240"/>
    <w:rsid w:val="007406CB"/>
    <w:rsid w:val="007407DB"/>
    <w:rsid w:val="00740BFC"/>
    <w:rsid w:val="00740F76"/>
    <w:rsid w:val="00741037"/>
    <w:rsid w:val="007422B3"/>
    <w:rsid w:val="007424BF"/>
    <w:rsid w:val="007435F1"/>
    <w:rsid w:val="00743BC1"/>
    <w:rsid w:val="00743DDD"/>
    <w:rsid w:val="00744625"/>
    <w:rsid w:val="007446BB"/>
    <w:rsid w:val="00744AF1"/>
    <w:rsid w:val="00745882"/>
    <w:rsid w:val="00745A04"/>
    <w:rsid w:val="00745A0F"/>
    <w:rsid w:val="00745DFD"/>
    <w:rsid w:val="00746197"/>
    <w:rsid w:val="0074689C"/>
    <w:rsid w:val="00746B3F"/>
    <w:rsid w:val="00747117"/>
    <w:rsid w:val="007479C2"/>
    <w:rsid w:val="00747B0D"/>
    <w:rsid w:val="00751452"/>
    <w:rsid w:val="007521A5"/>
    <w:rsid w:val="00752E99"/>
    <w:rsid w:val="00753959"/>
    <w:rsid w:val="00753DD6"/>
    <w:rsid w:val="00754A4A"/>
    <w:rsid w:val="00755F9F"/>
    <w:rsid w:val="007566FB"/>
    <w:rsid w:val="007567A8"/>
    <w:rsid w:val="00756D6A"/>
    <w:rsid w:val="00757EE2"/>
    <w:rsid w:val="0076043F"/>
    <w:rsid w:val="00760F66"/>
    <w:rsid w:val="007611F8"/>
    <w:rsid w:val="00761200"/>
    <w:rsid w:val="00761931"/>
    <w:rsid w:val="00761BD1"/>
    <w:rsid w:val="007627BA"/>
    <w:rsid w:val="0076291E"/>
    <w:rsid w:val="00762C76"/>
    <w:rsid w:val="00762D81"/>
    <w:rsid w:val="0076317B"/>
    <w:rsid w:val="007643D5"/>
    <w:rsid w:val="00765366"/>
    <w:rsid w:val="00765914"/>
    <w:rsid w:val="0076614D"/>
    <w:rsid w:val="0076624C"/>
    <w:rsid w:val="0076627D"/>
    <w:rsid w:val="00766304"/>
    <w:rsid w:val="00767A28"/>
    <w:rsid w:val="00767DD2"/>
    <w:rsid w:val="00770264"/>
    <w:rsid w:val="0077082B"/>
    <w:rsid w:val="00770E60"/>
    <w:rsid w:val="00771324"/>
    <w:rsid w:val="00771C8F"/>
    <w:rsid w:val="0077266E"/>
    <w:rsid w:val="0077292E"/>
    <w:rsid w:val="007737D4"/>
    <w:rsid w:val="007737D8"/>
    <w:rsid w:val="0077391C"/>
    <w:rsid w:val="00773D24"/>
    <w:rsid w:val="00774576"/>
    <w:rsid w:val="007745DA"/>
    <w:rsid w:val="0077508A"/>
    <w:rsid w:val="00775475"/>
    <w:rsid w:val="00775567"/>
    <w:rsid w:val="00775E0D"/>
    <w:rsid w:val="00776343"/>
    <w:rsid w:val="00776416"/>
    <w:rsid w:val="00776C7B"/>
    <w:rsid w:val="00776CEF"/>
    <w:rsid w:val="007774AE"/>
    <w:rsid w:val="00777E7E"/>
    <w:rsid w:val="00777EFA"/>
    <w:rsid w:val="007804DD"/>
    <w:rsid w:val="00780EC1"/>
    <w:rsid w:val="00780F3B"/>
    <w:rsid w:val="0078115B"/>
    <w:rsid w:val="007816EE"/>
    <w:rsid w:val="00782071"/>
    <w:rsid w:val="00782783"/>
    <w:rsid w:val="00782946"/>
    <w:rsid w:val="00782ECD"/>
    <w:rsid w:val="00782F44"/>
    <w:rsid w:val="0078363B"/>
    <w:rsid w:val="00783CCF"/>
    <w:rsid w:val="00783F5B"/>
    <w:rsid w:val="00784609"/>
    <w:rsid w:val="00784720"/>
    <w:rsid w:val="0078481D"/>
    <w:rsid w:val="00785847"/>
    <w:rsid w:val="007859FC"/>
    <w:rsid w:val="00785F1E"/>
    <w:rsid w:val="00785F4C"/>
    <w:rsid w:val="0078609C"/>
    <w:rsid w:val="00786355"/>
    <w:rsid w:val="00787370"/>
    <w:rsid w:val="007874AE"/>
    <w:rsid w:val="0078750B"/>
    <w:rsid w:val="00787F5E"/>
    <w:rsid w:val="0079024D"/>
    <w:rsid w:val="00791069"/>
    <w:rsid w:val="007911B8"/>
    <w:rsid w:val="00791DAE"/>
    <w:rsid w:val="007930E8"/>
    <w:rsid w:val="00793A57"/>
    <w:rsid w:val="00793A9C"/>
    <w:rsid w:val="00793F28"/>
    <w:rsid w:val="007944D2"/>
    <w:rsid w:val="00794B19"/>
    <w:rsid w:val="00794FFA"/>
    <w:rsid w:val="00795B8D"/>
    <w:rsid w:val="00795E34"/>
    <w:rsid w:val="00795F0E"/>
    <w:rsid w:val="00796495"/>
    <w:rsid w:val="00797063"/>
    <w:rsid w:val="00797D8F"/>
    <w:rsid w:val="007A0C00"/>
    <w:rsid w:val="007A0E15"/>
    <w:rsid w:val="007A176E"/>
    <w:rsid w:val="007A19BF"/>
    <w:rsid w:val="007A2A69"/>
    <w:rsid w:val="007A2CF1"/>
    <w:rsid w:val="007A384E"/>
    <w:rsid w:val="007A41B5"/>
    <w:rsid w:val="007A4486"/>
    <w:rsid w:val="007A4682"/>
    <w:rsid w:val="007A5879"/>
    <w:rsid w:val="007A58A8"/>
    <w:rsid w:val="007A5BDC"/>
    <w:rsid w:val="007A629D"/>
    <w:rsid w:val="007A6610"/>
    <w:rsid w:val="007A6D51"/>
    <w:rsid w:val="007A6DD3"/>
    <w:rsid w:val="007A6FF3"/>
    <w:rsid w:val="007A7169"/>
    <w:rsid w:val="007A71DC"/>
    <w:rsid w:val="007A7A04"/>
    <w:rsid w:val="007B04FF"/>
    <w:rsid w:val="007B0976"/>
    <w:rsid w:val="007B0CAC"/>
    <w:rsid w:val="007B15F3"/>
    <w:rsid w:val="007B1701"/>
    <w:rsid w:val="007B1C32"/>
    <w:rsid w:val="007B1DBB"/>
    <w:rsid w:val="007B2319"/>
    <w:rsid w:val="007B2FBF"/>
    <w:rsid w:val="007B3E13"/>
    <w:rsid w:val="007B4044"/>
    <w:rsid w:val="007B4046"/>
    <w:rsid w:val="007B4300"/>
    <w:rsid w:val="007B49B7"/>
    <w:rsid w:val="007B565C"/>
    <w:rsid w:val="007B595F"/>
    <w:rsid w:val="007B5B7E"/>
    <w:rsid w:val="007B5D75"/>
    <w:rsid w:val="007B6D5E"/>
    <w:rsid w:val="007B7115"/>
    <w:rsid w:val="007B736B"/>
    <w:rsid w:val="007C012E"/>
    <w:rsid w:val="007C055A"/>
    <w:rsid w:val="007C0853"/>
    <w:rsid w:val="007C0C90"/>
    <w:rsid w:val="007C0E07"/>
    <w:rsid w:val="007C0E86"/>
    <w:rsid w:val="007C192C"/>
    <w:rsid w:val="007C249E"/>
    <w:rsid w:val="007C26CF"/>
    <w:rsid w:val="007C271B"/>
    <w:rsid w:val="007C2C14"/>
    <w:rsid w:val="007C3A55"/>
    <w:rsid w:val="007C404B"/>
    <w:rsid w:val="007C4166"/>
    <w:rsid w:val="007C44E1"/>
    <w:rsid w:val="007C48DD"/>
    <w:rsid w:val="007C4A05"/>
    <w:rsid w:val="007C5711"/>
    <w:rsid w:val="007C57B9"/>
    <w:rsid w:val="007C6325"/>
    <w:rsid w:val="007C73A3"/>
    <w:rsid w:val="007C7975"/>
    <w:rsid w:val="007C7EF5"/>
    <w:rsid w:val="007D06AC"/>
    <w:rsid w:val="007D0741"/>
    <w:rsid w:val="007D0997"/>
    <w:rsid w:val="007D0A53"/>
    <w:rsid w:val="007D0FFC"/>
    <w:rsid w:val="007D1013"/>
    <w:rsid w:val="007D19EC"/>
    <w:rsid w:val="007D2608"/>
    <w:rsid w:val="007D30C3"/>
    <w:rsid w:val="007D35AC"/>
    <w:rsid w:val="007D36B1"/>
    <w:rsid w:val="007D36D7"/>
    <w:rsid w:val="007D3BA1"/>
    <w:rsid w:val="007D3EC8"/>
    <w:rsid w:val="007D40AC"/>
    <w:rsid w:val="007D4317"/>
    <w:rsid w:val="007D4C12"/>
    <w:rsid w:val="007D57E0"/>
    <w:rsid w:val="007D5946"/>
    <w:rsid w:val="007D5962"/>
    <w:rsid w:val="007D5A2B"/>
    <w:rsid w:val="007D6213"/>
    <w:rsid w:val="007D63B2"/>
    <w:rsid w:val="007D651D"/>
    <w:rsid w:val="007D71B7"/>
    <w:rsid w:val="007D7C66"/>
    <w:rsid w:val="007D7CF3"/>
    <w:rsid w:val="007E0274"/>
    <w:rsid w:val="007E02A7"/>
    <w:rsid w:val="007E0415"/>
    <w:rsid w:val="007E0991"/>
    <w:rsid w:val="007E0AFE"/>
    <w:rsid w:val="007E0B2C"/>
    <w:rsid w:val="007E0BD1"/>
    <w:rsid w:val="007E0CE0"/>
    <w:rsid w:val="007E107F"/>
    <w:rsid w:val="007E2FD7"/>
    <w:rsid w:val="007E310B"/>
    <w:rsid w:val="007E38DA"/>
    <w:rsid w:val="007E3D65"/>
    <w:rsid w:val="007E3EE2"/>
    <w:rsid w:val="007E47E7"/>
    <w:rsid w:val="007E4A68"/>
    <w:rsid w:val="007E4A98"/>
    <w:rsid w:val="007E4EB6"/>
    <w:rsid w:val="007E5DD7"/>
    <w:rsid w:val="007E6FB9"/>
    <w:rsid w:val="007E7139"/>
    <w:rsid w:val="007E7366"/>
    <w:rsid w:val="007E7EA1"/>
    <w:rsid w:val="007E7EA4"/>
    <w:rsid w:val="007F03CE"/>
    <w:rsid w:val="007F04D3"/>
    <w:rsid w:val="007F137D"/>
    <w:rsid w:val="007F17B5"/>
    <w:rsid w:val="007F245F"/>
    <w:rsid w:val="007F2D8D"/>
    <w:rsid w:val="007F2EBF"/>
    <w:rsid w:val="007F3044"/>
    <w:rsid w:val="007F3249"/>
    <w:rsid w:val="007F3704"/>
    <w:rsid w:val="007F4657"/>
    <w:rsid w:val="007F5609"/>
    <w:rsid w:val="007F5625"/>
    <w:rsid w:val="007F568A"/>
    <w:rsid w:val="007F59F7"/>
    <w:rsid w:val="007F5E21"/>
    <w:rsid w:val="007F6413"/>
    <w:rsid w:val="007F6761"/>
    <w:rsid w:val="007F676E"/>
    <w:rsid w:val="007F6B11"/>
    <w:rsid w:val="007F6E2B"/>
    <w:rsid w:val="007F7D12"/>
    <w:rsid w:val="007F7F02"/>
    <w:rsid w:val="00800258"/>
    <w:rsid w:val="00800C97"/>
    <w:rsid w:val="0080153D"/>
    <w:rsid w:val="0080220F"/>
    <w:rsid w:val="008026A7"/>
    <w:rsid w:val="00802735"/>
    <w:rsid w:val="008028C2"/>
    <w:rsid w:val="00802DDB"/>
    <w:rsid w:val="0080379D"/>
    <w:rsid w:val="008037D8"/>
    <w:rsid w:val="00803B7E"/>
    <w:rsid w:val="00803DA6"/>
    <w:rsid w:val="008040D9"/>
    <w:rsid w:val="0080436E"/>
    <w:rsid w:val="00804937"/>
    <w:rsid w:val="00804E1E"/>
    <w:rsid w:val="00804E43"/>
    <w:rsid w:val="008050F5"/>
    <w:rsid w:val="0080519C"/>
    <w:rsid w:val="0080553F"/>
    <w:rsid w:val="00805E48"/>
    <w:rsid w:val="00807ADD"/>
    <w:rsid w:val="00810BC2"/>
    <w:rsid w:val="00811683"/>
    <w:rsid w:val="00811AFF"/>
    <w:rsid w:val="00812373"/>
    <w:rsid w:val="00812D30"/>
    <w:rsid w:val="00813F3A"/>
    <w:rsid w:val="008140E8"/>
    <w:rsid w:val="008148D4"/>
    <w:rsid w:val="0081491F"/>
    <w:rsid w:val="00814941"/>
    <w:rsid w:val="00814A65"/>
    <w:rsid w:val="00814BD9"/>
    <w:rsid w:val="008158AC"/>
    <w:rsid w:val="00816755"/>
    <w:rsid w:val="00816805"/>
    <w:rsid w:val="00816BE8"/>
    <w:rsid w:val="00816CD5"/>
    <w:rsid w:val="00816DBD"/>
    <w:rsid w:val="00816FE2"/>
    <w:rsid w:val="00817062"/>
    <w:rsid w:val="00817991"/>
    <w:rsid w:val="00817F58"/>
    <w:rsid w:val="008203C5"/>
    <w:rsid w:val="0082046A"/>
    <w:rsid w:val="00820B84"/>
    <w:rsid w:val="0082199B"/>
    <w:rsid w:val="00821C2A"/>
    <w:rsid w:val="008227B7"/>
    <w:rsid w:val="008243A8"/>
    <w:rsid w:val="00824925"/>
    <w:rsid w:val="00824C8B"/>
    <w:rsid w:val="008252E8"/>
    <w:rsid w:val="00825BA8"/>
    <w:rsid w:val="00825C14"/>
    <w:rsid w:val="0082641D"/>
    <w:rsid w:val="008267CA"/>
    <w:rsid w:val="00826E45"/>
    <w:rsid w:val="008270EE"/>
    <w:rsid w:val="0082722B"/>
    <w:rsid w:val="0082745B"/>
    <w:rsid w:val="00827C1B"/>
    <w:rsid w:val="0083016B"/>
    <w:rsid w:val="008301F1"/>
    <w:rsid w:val="00830C0E"/>
    <w:rsid w:val="008313E0"/>
    <w:rsid w:val="008317EC"/>
    <w:rsid w:val="0083195D"/>
    <w:rsid w:val="00831B7B"/>
    <w:rsid w:val="00831D90"/>
    <w:rsid w:val="008324F3"/>
    <w:rsid w:val="00832691"/>
    <w:rsid w:val="0083296B"/>
    <w:rsid w:val="00832B8A"/>
    <w:rsid w:val="00833547"/>
    <w:rsid w:val="00833852"/>
    <w:rsid w:val="00833AB9"/>
    <w:rsid w:val="00833B62"/>
    <w:rsid w:val="00834820"/>
    <w:rsid w:val="00834C82"/>
    <w:rsid w:val="00834DB6"/>
    <w:rsid w:val="00834F93"/>
    <w:rsid w:val="00835F6D"/>
    <w:rsid w:val="008375DA"/>
    <w:rsid w:val="00840C4A"/>
    <w:rsid w:val="008411B9"/>
    <w:rsid w:val="0084122F"/>
    <w:rsid w:val="00841573"/>
    <w:rsid w:val="00841D08"/>
    <w:rsid w:val="00842D43"/>
    <w:rsid w:val="00842F64"/>
    <w:rsid w:val="0084323E"/>
    <w:rsid w:val="00843D50"/>
    <w:rsid w:val="008441D9"/>
    <w:rsid w:val="0084464E"/>
    <w:rsid w:val="008455E6"/>
    <w:rsid w:val="008458BF"/>
    <w:rsid w:val="00846262"/>
    <w:rsid w:val="00846370"/>
    <w:rsid w:val="008463E8"/>
    <w:rsid w:val="00847665"/>
    <w:rsid w:val="00847BC5"/>
    <w:rsid w:val="00847F11"/>
    <w:rsid w:val="00850010"/>
    <w:rsid w:val="008503F4"/>
    <w:rsid w:val="008504A0"/>
    <w:rsid w:val="00850AC1"/>
    <w:rsid w:val="00850C2A"/>
    <w:rsid w:val="00850DFA"/>
    <w:rsid w:val="00851331"/>
    <w:rsid w:val="008516D1"/>
    <w:rsid w:val="00852003"/>
    <w:rsid w:val="0085212C"/>
    <w:rsid w:val="00852988"/>
    <w:rsid w:val="00852F9E"/>
    <w:rsid w:val="00854053"/>
    <w:rsid w:val="008543AC"/>
    <w:rsid w:val="008548B8"/>
    <w:rsid w:val="00854965"/>
    <w:rsid w:val="00855298"/>
    <w:rsid w:val="008554D1"/>
    <w:rsid w:val="008558E0"/>
    <w:rsid w:val="008569E0"/>
    <w:rsid w:val="00857AF7"/>
    <w:rsid w:val="00857BE5"/>
    <w:rsid w:val="00860109"/>
    <w:rsid w:val="008601BD"/>
    <w:rsid w:val="00860359"/>
    <w:rsid w:val="00860E43"/>
    <w:rsid w:val="00861252"/>
    <w:rsid w:val="0086171A"/>
    <w:rsid w:val="0086226C"/>
    <w:rsid w:val="00863237"/>
    <w:rsid w:val="00863C07"/>
    <w:rsid w:val="008640B7"/>
    <w:rsid w:val="008644A4"/>
    <w:rsid w:val="00864A6C"/>
    <w:rsid w:val="00864BB1"/>
    <w:rsid w:val="00864DF7"/>
    <w:rsid w:val="00865278"/>
    <w:rsid w:val="008654F9"/>
    <w:rsid w:val="008658C0"/>
    <w:rsid w:val="00866388"/>
    <w:rsid w:val="0086644B"/>
    <w:rsid w:val="00866FE3"/>
    <w:rsid w:val="0086722D"/>
    <w:rsid w:val="00867AD8"/>
    <w:rsid w:val="00867D56"/>
    <w:rsid w:val="00867D70"/>
    <w:rsid w:val="00870646"/>
    <w:rsid w:val="008706C3"/>
    <w:rsid w:val="00870BAA"/>
    <w:rsid w:val="00870D91"/>
    <w:rsid w:val="00871311"/>
    <w:rsid w:val="008716D1"/>
    <w:rsid w:val="008716ED"/>
    <w:rsid w:val="008718AD"/>
    <w:rsid w:val="0087193F"/>
    <w:rsid w:val="008724E6"/>
    <w:rsid w:val="008728C8"/>
    <w:rsid w:val="00873205"/>
    <w:rsid w:val="008735E8"/>
    <w:rsid w:val="00873626"/>
    <w:rsid w:val="0087377E"/>
    <w:rsid w:val="00874594"/>
    <w:rsid w:val="00874654"/>
    <w:rsid w:val="00874776"/>
    <w:rsid w:val="0087487C"/>
    <w:rsid w:val="00874A07"/>
    <w:rsid w:val="00874B75"/>
    <w:rsid w:val="00875007"/>
    <w:rsid w:val="008750DB"/>
    <w:rsid w:val="008751B4"/>
    <w:rsid w:val="0087527F"/>
    <w:rsid w:val="008754B5"/>
    <w:rsid w:val="00875AF3"/>
    <w:rsid w:val="008765E9"/>
    <w:rsid w:val="00876605"/>
    <w:rsid w:val="00876B13"/>
    <w:rsid w:val="00880017"/>
    <w:rsid w:val="00880305"/>
    <w:rsid w:val="0088088A"/>
    <w:rsid w:val="00880A3F"/>
    <w:rsid w:val="00880EE2"/>
    <w:rsid w:val="008813BC"/>
    <w:rsid w:val="00881732"/>
    <w:rsid w:val="008818A2"/>
    <w:rsid w:val="00881FF9"/>
    <w:rsid w:val="0088213D"/>
    <w:rsid w:val="008821C6"/>
    <w:rsid w:val="0088243D"/>
    <w:rsid w:val="0088251A"/>
    <w:rsid w:val="00882554"/>
    <w:rsid w:val="00882D28"/>
    <w:rsid w:val="00883A67"/>
    <w:rsid w:val="008848E9"/>
    <w:rsid w:val="00884FD8"/>
    <w:rsid w:val="00885244"/>
    <w:rsid w:val="008857C7"/>
    <w:rsid w:val="008858B3"/>
    <w:rsid w:val="00885BF6"/>
    <w:rsid w:val="008866CF"/>
    <w:rsid w:val="00886782"/>
    <w:rsid w:val="008869A1"/>
    <w:rsid w:val="00886B3F"/>
    <w:rsid w:val="0088727A"/>
    <w:rsid w:val="0089015D"/>
    <w:rsid w:val="0089021A"/>
    <w:rsid w:val="0089022E"/>
    <w:rsid w:val="00890475"/>
    <w:rsid w:val="00890A7C"/>
    <w:rsid w:val="00890D11"/>
    <w:rsid w:val="008910EE"/>
    <w:rsid w:val="00891A26"/>
    <w:rsid w:val="008923F8"/>
    <w:rsid w:val="008928F1"/>
    <w:rsid w:val="00892BBF"/>
    <w:rsid w:val="00892DB5"/>
    <w:rsid w:val="00893F27"/>
    <w:rsid w:val="008942BD"/>
    <w:rsid w:val="0089478A"/>
    <w:rsid w:val="0089480A"/>
    <w:rsid w:val="00894FE5"/>
    <w:rsid w:val="00895658"/>
    <w:rsid w:val="008956DA"/>
    <w:rsid w:val="00895BA9"/>
    <w:rsid w:val="00895D79"/>
    <w:rsid w:val="0089601B"/>
    <w:rsid w:val="0089647F"/>
    <w:rsid w:val="0089655D"/>
    <w:rsid w:val="00896784"/>
    <w:rsid w:val="00896C56"/>
    <w:rsid w:val="00897051"/>
    <w:rsid w:val="00897824"/>
    <w:rsid w:val="00897B1A"/>
    <w:rsid w:val="00897BCB"/>
    <w:rsid w:val="00897C07"/>
    <w:rsid w:val="00897DBA"/>
    <w:rsid w:val="008A02FA"/>
    <w:rsid w:val="008A06A8"/>
    <w:rsid w:val="008A1AAC"/>
    <w:rsid w:val="008A20CA"/>
    <w:rsid w:val="008A239B"/>
    <w:rsid w:val="008A2505"/>
    <w:rsid w:val="008A2956"/>
    <w:rsid w:val="008A2EA1"/>
    <w:rsid w:val="008A2EF6"/>
    <w:rsid w:val="008A3480"/>
    <w:rsid w:val="008A3642"/>
    <w:rsid w:val="008A4F3C"/>
    <w:rsid w:val="008A51AD"/>
    <w:rsid w:val="008A53BA"/>
    <w:rsid w:val="008A551D"/>
    <w:rsid w:val="008A56BA"/>
    <w:rsid w:val="008A570A"/>
    <w:rsid w:val="008A58E4"/>
    <w:rsid w:val="008A58E7"/>
    <w:rsid w:val="008A5C1D"/>
    <w:rsid w:val="008A615A"/>
    <w:rsid w:val="008A6357"/>
    <w:rsid w:val="008A650C"/>
    <w:rsid w:val="008A6A36"/>
    <w:rsid w:val="008A6CB9"/>
    <w:rsid w:val="008A6DC1"/>
    <w:rsid w:val="008A7083"/>
    <w:rsid w:val="008A7100"/>
    <w:rsid w:val="008A7139"/>
    <w:rsid w:val="008A733D"/>
    <w:rsid w:val="008A776D"/>
    <w:rsid w:val="008A7C74"/>
    <w:rsid w:val="008B03BD"/>
    <w:rsid w:val="008B04C0"/>
    <w:rsid w:val="008B09E1"/>
    <w:rsid w:val="008B0A83"/>
    <w:rsid w:val="008B0DCF"/>
    <w:rsid w:val="008B0E93"/>
    <w:rsid w:val="008B0F8D"/>
    <w:rsid w:val="008B198D"/>
    <w:rsid w:val="008B23A8"/>
    <w:rsid w:val="008B29A4"/>
    <w:rsid w:val="008B2BB4"/>
    <w:rsid w:val="008B2C30"/>
    <w:rsid w:val="008B3C2B"/>
    <w:rsid w:val="008B4679"/>
    <w:rsid w:val="008B4D00"/>
    <w:rsid w:val="008B4D13"/>
    <w:rsid w:val="008B4E78"/>
    <w:rsid w:val="008B4FE2"/>
    <w:rsid w:val="008B61A1"/>
    <w:rsid w:val="008B66D8"/>
    <w:rsid w:val="008B66EE"/>
    <w:rsid w:val="008B6793"/>
    <w:rsid w:val="008B6E87"/>
    <w:rsid w:val="008B75C2"/>
    <w:rsid w:val="008B787A"/>
    <w:rsid w:val="008C0A89"/>
    <w:rsid w:val="008C0AA9"/>
    <w:rsid w:val="008C0E71"/>
    <w:rsid w:val="008C1852"/>
    <w:rsid w:val="008C2CFF"/>
    <w:rsid w:val="008C2E1E"/>
    <w:rsid w:val="008C2E22"/>
    <w:rsid w:val="008C2ED2"/>
    <w:rsid w:val="008C3612"/>
    <w:rsid w:val="008C3D4D"/>
    <w:rsid w:val="008C4026"/>
    <w:rsid w:val="008C417E"/>
    <w:rsid w:val="008C4E31"/>
    <w:rsid w:val="008C5B51"/>
    <w:rsid w:val="008C5F0A"/>
    <w:rsid w:val="008C6105"/>
    <w:rsid w:val="008C6124"/>
    <w:rsid w:val="008C6334"/>
    <w:rsid w:val="008C66BD"/>
    <w:rsid w:val="008C6968"/>
    <w:rsid w:val="008C742A"/>
    <w:rsid w:val="008C74C7"/>
    <w:rsid w:val="008C7714"/>
    <w:rsid w:val="008C7F4F"/>
    <w:rsid w:val="008D00F3"/>
    <w:rsid w:val="008D0241"/>
    <w:rsid w:val="008D0B34"/>
    <w:rsid w:val="008D0F27"/>
    <w:rsid w:val="008D11F0"/>
    <w:rsid w:val="008D15A2"/>
    <w:rsid w:val="008D18CD"/>
    <w:rsid w:val="008D1F86"/>
    <w:rsid w:val="008D20E0"/>
    <w:rsid w:val="008D2B6E"/>
    <w:rsid w:val="008D335C"/>
    <w:rsid w:val="008D35B7"/>
    <w:rsid w:val="008D4007"/>
    <w:rsid w:val="008D436A"/>
    <w:rsid w:val="008D4C72"/>
    <w:rsid w:val="008D4CF8"/>
    <w:rsid w:val="008D5246"/>
    <w:rsid w:val="008D5291"/>
    <w:rsid w:val="008D5368"/>
    <w:rsid w:val="008D561B"/>
    <w:rsid w:val="008D582B"/>
    <w:rsid w:val="008D5CF9"/>
    <w:rsid w:val="008D5D0A"/>
    <w:rsid w:val="008D6199"/>
    <w:rsid w:val="008D64B9"/>
    <w:rsid w:val="008D6794"/>
    <w:rsid w:val="008D7F65"/>
    <w:rsid w:val="008E0178"/>
    <w:rsid w:val="008E02F8"/>
    <w:rsid w:val="008E12AF"/>
    <w:rsid w:val="008E1342"/>
    <w:rsid w:val="008E1DC9"/>
    <w:rsid w:val="008E211C"/>
    <w:rsid w:val="008E28EC"/>
    <w:rsid w:val="008E2BB3"/>
    <w:rsid w:val="008E2BC5"/>
    <w:rsid w:val="008E2C79"/>
    <w:rsid w:val="008E3176"/>
    <w:rsid w:val="008E3564"/>
    <w:rsid w:val="008E3A0B"/>
    <w:rsid w:val="008E3A90"/>
    <w:rsid w:val="008E3AAB"/>
    <w:rsid w:val="008E3F34"/>
    <w:rsid w:val="008E4043"/>
    <w:rsid w:val="008E4520"/>
    <w:rsid w:val="008E54E8"/>
    <w:rsid w:val="008E5740"/>
    <w:rsid w:val="008E5868"/>
    <w:rsid w:val="008E5ADB"/>
    <w:rsid w:val="008E5DC8"/>
    <w:rsid w:val="008E6465"/>
    <w:rsid w:val="008E6C57"/>
    <w:rsid w:val="008E7082"/>
    <w:rsid w:val="008E72AF"/>
    <w:rsid w:val="008F0952"/>
    <w:rsid w:val="008F1154"/>
    <w:rsid w:val="008F1B84"/>
    <w:rsid w:val="008F1B9D"/>
    <w:rsid w:val="008F1DB6"/>
    <w:rsid w:val="008F337C"/>
    <w:rsid w:val="008F39C0"/>
    <w:rsid w:val="008F39E4"/>
    <w:rsid w:val="008F51F0"/>
    <w:rsid w:val="008F57CD"/>
    <w:rsid w:val="008F5960"/>
    <w:rsid w:val="008F5CD0"/>
    <w:rsid w:val="008F629A"/>
    <w:rsid w:val="008F6A9B"/>
    <w:rsid w:val="008F6F03"/>
    <w:rsid w:val="008F7603"/>
    <w:rsid w:val="008F769D"/>
    <w:rsid w:val="008F76B7"/>
    <w:rsid w:val="008F76DC"/>
    <w:rsid w:val="008F7D2F"/>
    <w:rsid w:val="009013C5"/>
    <w:rsid w:val="0090147B"/>
    <w:rsid w:val="00901649"/>
    <w:rsid w:val="00901CBA"/>
    <w:rsid w:val="00901DC6"/>
    <w:rsid w:val="009021DC"/>
    <w:rsid w:val="00902EFD"/>
    <w:rsid w:val="00903026"/>
    <w:rsid w:val="0090357B"/>
    <w:rsid w:val="00903832"/>
    <w:rsid w:val="009042D0"/>
    <w:rsid w:val="009044BE"/>
    <w:rsid w:val="009048EB"/>
    <w:rsid w:val="00904913"/>
    <w:rsid w:val="00904C15"/>
    <w:rsid w:val="009050B3"/>
    <w:rsid w:val="00905298"/>
    <w:rsid w:val="00905945"/>
    <w:rsid w:val="00905FEB"/>
    <w:rsid w:val="00906164"/>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C09"/>
    <w:rsid w:val="00911CB2"/>
    <w:rsid w:val="00911D1C"/>
    <w:rsid w:val="00912F38"/>
    <w:rsid w:val="0091340D"/>
    <w:rsid w:val="00913C58"/>
    <w:rsid w:val="009140B4"/>
    <w:rsid w:val="00914174"/>
    <w:rsid w:val="0091428A"/>
    <w:rsid w:val="00914733"/>
    <w:rsid w:val="0091495E"/>
    <w:rsid w:val="00914AA5"/>
    <w:rsid w:val="00915428"/>
    <w:rsid w:val="009162DD"/>
    <w:rsid w:val="009163E7"/>
    <w:rsid w:val="009165E4"/>
    <w:rsid w:val="0091670A"/>
    <w:rsid w:val="0091671A"/>
    <w:rsid w:val="009169F6"/>
    <w:rsid w:val="0091719D"/>
    <w:rsid w:val="00917903"/>
    <w:rsid w:val="00917BEA"/>
    <w:rsid w:val="00920189"/>
    <w:rsid w:val="00920203"/>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3A"/>
    <w:rsid w:val="009252F1"/>
    <w:rsid w:val="00925588"/>
    <w:rsid w:val="00925733"/>
    <w:rsid w:val="00925AF5"/>
    <w:rsid w:val="00926268"/>
    <w:rsid w:val="009264A2"/>
    <w:rsid w:val="0092715D"/>
    <w:rsid w:val="00927299"/>
    <w:rsid w:val="00930632"/>
    <w:rsid w:val="009310BC"/>
    <w:rsid w:val="00931D3F"/>
    <w:rsid w:val="009324C4"/>
    <w:rsid w:val="00932671"/>
    <w:rsid w:val="00932A7A"/>
    <w:rsid w:val="00932D26"/>
    <w:rsid w:val="009330BF"/>
    <w:rsid w:val="00933817"/>
    <w:rsid w:val="009340EB"/>
    <w:rsid w:val="00934510"/>
    <w:rsid w:val="0093476C"/>
    <w:rsid w:val="00934C7D"/>
    <w:rsid w:val="00935A1E"/>
    <w:rsid w:val="00935AA3"/>
    <w:rsid w:val="00935B7C"/>
    <w:rsid w:val="00935E3A"/>
    <w:rsid w:val="00936005"/>
    <w:rsid w:val="0093607C"/>
    <w:rsid w:val="00940008"/>
    <w:rsid w:val="00940FFA"/>
    <w:rsid w:val="00941010"/>
    <w:rsid w:val="00941503"/>
    <w:rsid w:val="0094187D"/>
    <w:rsid w:val="009423ED"/>
    <w:rsid w:val="00942C90"/>
    <w:rsid w:val="00942F29"/>
    <w:rsid w:val="00942FB6"/>
    <w:rsid w:val="009430E1"/>
    <w:rsid w:val="009434EB"/>
    <w:rsid w:val="00943EA6"/>
    <w:rsid w:val="009443F2"/>
    <w:rsid w:val="009448F2"/>
    <w:rsid w:val="009451E0"/>
    <w:rsid w:val="0094524B"/>
    <w:rsid w:val="009456E3"/>
    <w:rsid w:val="00945759"/>
    <w:rsid w:val="00945925"/>
    <w:rsid w:val="009466E9"/>
    <w:rsid w:val="00946CB3"/>
    <w:rsid w:val="00946D20"/>
    <w:rsid w:val="00946E51"/>
    <w:rsid w:val="009473F4"/>
    <w:rsid w:val="0094767D"/>
    <w:rsid w:val="00950231"/>
    <w:rsid w:val="00950794"/>
    <w:rsid w:val="009507AA"/>
    <w:rsid w:val="009509EF"/>
    <w:rsid w:val="009515CA"/>
    <w:rsid w:val="00951691"/>
    <w:rsid w:val="00951FCE"/>
    <w:rsid w:val="009521CC"/>
    <w:rsid w:val="0095226C"/>
    <w:rsid w:val="0095269B"/>
    <w:rsid w:val="00952C05"/>
    <w:rsid w:val="00952D52"/>
    <w:rsid w:val="009540B7"/>
    <w:rsid w:val="009543D0"/>
    <w:rsid w:val="00954AF9"/>
    <w:rsid w:val="00954DAE"/>
    <w:rsid w:val="00955410"/>
    <w:rsid w:val="009558EE"/>
    <w:rsid w:val="009559D5"/>
    <w:rsid w:val="00955C17"/>
    <w:rsid w:val="00955FFA"/>
    <w:rsid w:val="00956170"/>
    <w:rsid w:val="009561F8"/>
    <w:rsid w:val="00956BA1"/>
    <w:rsid w:val="00956D42"/>
    <w:rsid w:val="00956F0F"/>
    <w:rsid w:val="0095727F"/>
    <w:rsid w:val="009572AF"/>
    <w:rsid w:val="00957E41"/>
    <w:rsid w:val="0096016E"/>
    <w:rsid w:val="0096023A"/>
    <w:rsid w:val="009607AB"/>
    <w:rsid w:val="00961154"/>
    <w:rsid w:val="009615DB"/>
    <w:rsid w:val="00962683"/>
    <w:rsid w:val="00962ADC"/>
    <w:rsid w:val="00962E23"/>
    <w:rsid w:val="0096487C"/>
    <w:rsid w:val="00964BC2"/>
    <w:rsid w:val="00964D4A"/>
    <w:rsid w:val="00964EAE"/>
    <w:rsid w:val="00965023"/>
    <w:rsid w:val="009650B7"/>
    <w:rsid w:val="0096515D"/>
    <w:rsid w:val="0096554B"/>
    <w:rsid w:val="00965841"/>
    <w:rsid w:val="00966623"/>
    <w:rsid w:val="009678DB"/>
    <w:rsid w:val="00970728"/>
    <w:rsid w:val="009707C9"/>
    <w:rsid w:val="00971303"/>
    <w:rsid w:val="00971E0B"/>
    <w:rsid w:val="00972101"/>
    <w:rsid w:val="00972285"/>
    <w:rsid w:val="00972FB5"/>
    <w:rsid w:val="00973607"/>
    <w:rsid w:val="009736FE"/>
    <w:rsid w:val="00973B96"/>
    <w:rsid w:val="00973E3C"/>
    <w:rsid w:val="00974763"/>
    <w:rsid w:val="009757CA"/>
    <w:rsid w:val="00976E76"/>
    <w:rsid w:val="009771D3"/>
    <w:rsid w:val="00977A14"/>
    <w:rsid w:val="00977E9B"/>
    <w:rsid w:val="009807BF"/>
    <w:rsid w:val="009809CE"/>
    <w:rsid w:val="0098131F"/>
    <w:rsid w:val="00981479"/>
    <w:rsid w:val="00981F74"/>
    <w:rsid w:val="0098237C"/>
    <w:rsid w:val="009829B3"/>
    <w:rsid w:val="00982C31"/>
    <w:rsid w:val="00982D45"/>
    <w:rsid w:val="00983165"/>
    <w:rsid w:val="00983343"/>
    <w:rsid w:val="009833C4"/>
    <w:rsid w:val="009834E0"/>
    <w:rsid w:val="009838FF"/>
    <w:rsid w:val="00984149"/>
    <w:rsid w:val="00984788"/>
    <w:rsid w:val="00984909"/>
    <w:rsid w:val="00984FF3"/>
    <w:rsid w:val="00984FF9"/>
    <w:rsid w:val="009850C5"/>
    <w:rsid w:val="0098516C"/>
    <w:rsid w:val="00986326"/>
    <w:rsid w:val="00986849"/>
    <w:rsid w:val="00986BB7"/>
    <w:rsid w:val="00986D4B"/>
    <w:rsid w:val="00986F6D"/>
    <w:rsid w:val="0098727C"/>
    <w:rsid w:val="00987708"/>
    <w:rsid w:val="00987DF0"/>
    <w:rsid w:val="00987E2E"/>
    <w:rsid w:val="0099008B"/>
    <w:rsid w:val="00990E77"/>
    <w:rsid w:val="0099177B"/>
    <w:rsid w:val="00991B8C"/>
    <w:rsid w:val="0099367E"/>
    <w:rsid w:val="00993FE4"/>
    <w:rsid w:val="0099425E"/>
    <w:rsid w:val="00994CDC"/>
    <w:rsid w:val="00994FBF"/>
    <w:rsid w:val="009969CD"/>
    <w:rsid w:val="0099770A"/>
    <w:rsid w:val="00997769"/>
    <w:rsid w:val="00997A2E"/>
    <w:rsid w:val="009A048E"/>
    <w:rsid w:val="009A119F"/>
    <w:rsid w:val="009A1609"/>
    <w:rsid w:val="009A16A3"/>
    <w:rsid w:val="009A1A7E"/>
    <w:rsid w:val="009A3480"/>
    <w:rsid w:val="009A3DB8"/>
    <w:rsid w:val="009A43B3"/>
    <w:rsid w:val="009A464D"/>
    <w:rsid w:val="009A496F"/>
    <w:rsid w:val="009A4B78"/>
    <w:rsid w:val="009A4D73"/>
    <w:rsid w:val="009A4E41"/>
    <w:rsid w:val="009A5297"/>
    <w:rsid w:val="009A5851"/>
    <w:rsid w:val="009A5C0C"/>
    <w:rsid w:val="009A5D40"/>
    <w:rsid w:val="009A5E10"/>
    <w:rsid w:val="009A6665"/>
    <w:rsid w:val="009A6EE2"/>
    <w:rsid w:val="009A743F"/>
    <w:rsid w:val="009A74F7"/>
    <w:rsid w:val="009B00F2"/>
    <w:rsid w:val="009B0E67"/>
    <w:rsid w:val="009B0FB2"/>
    <w:rsid w:val="009B1113"/>
    <w:rsid w:val="009B1C34"/>
    <w:rsid w:val="009B1D22"/>
    <w:rsid w:val="009B1E86"/>
    <w:rsid w:val="009B27C4"/>
    <w:rsid w:val="009B2BE6"/>
    <w:rsid w:val="009B2D92"/>
    <w:rsid w:val="009B31DE"/>
    <w:rsid w:val="009B3250"/>
    <w:rsid w:val="009B35A6"/>
    <w:rsid w:val="009B42A4"/>
    <w:rsid w:val="009B42D2"/>
    <w:rsid w:val="009B4A06"/>
    <w:rsid w:val="009B60EA"/>
    <w:rsid w:val="009B6E50"/>
    <w:rsid w:val="009B70C8"/>
    <w:rsid w:val="009B737C"/>
    <w:rsid w:val="009B742E"/>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EE5"/>
    <w:rsid w:val="009C61E3"/>
    <w:rsid w:val="009C6B56"/>
    <w:rsid w:val="009C7DB8"/>
    <w:rsid w:val="009C7FF0"/>
    <w:rsid w:val="009D010D"/>
    <w:rsid w:val="009D0244"/>
    <w:rsid w:val="009D0F71"/>
    <w:rsid w:val="009D111C"/>
    <w:rsid w:val="009D17A0"/>
    <w:rsid w:val="009D1F7A"/>
    <w:rsid w:val="009D2873"/>
    <w:rsid w:val="009D2942"/>
    <w:rsid w:val="009D2BB8"/>
    <w:rsid w:val="009D3A1A"/>
    <w:rsid w:val="009D426A"/>
    <w:rsid w:val="009D5BDB"/>
    <w:rsid w:val="009D6B03"/>
    <w:rsid w:val="009D6B3D"/>
    <w:rsid w:val="009D7422"/>
    <w:rsid w:val="009D78E7"/>
    <w:rsid w:val="009E0742"/>
    <w:rsid w:val="009E0B29"/>
    <w:rsid w:val="009E1291"/>
    <w:rsid w:val="009E12BC"/>
    <w:rsid w:val="009E139D"/>
    <w:rsid w:val="009E224D"/>
    <w:rsid w:val="009E26D5"/>
    <w:rsid w:val="009E2A07"/>
    <w:rsid w:val="009E3398"/>
    <w:rsid w:val="009E3577"/>
    <w:rsid w:val="009E37A5"/>
    <w:rsid w:val="009E395B"/>
    <w:rsid w:val="009E3D2B"/>
    <w:rsid w:val="009E3DC2"/>
    <w:rsid w:val="009E3E84"/>
    <w:rsid w:val="009E4053"/>
    <w:rsid w:val="009E4097"/>
    <w:rsid w:val="009E4664"/>
    <w:rsid w:val="009E4D8E"/>
    <w:rsid w:val="009E4E90"/>
    <w:rsid w:val="009E4EB7"/>
    <w:rsid w:val="009E5601"/>
    <w:rsid w:val="009E57C1"/>
    <w:rsid w:val="009E624A"/>
    <w:rsid w:val="009E6B32"/>
    <w:rsid w:val="009E7039"/>
    <w:rsid w:val="009E70F3"/>
    <w:rsid w:val="009E75F4"/>
    <w:rsid w:val="009E7E98"/>
    <w:rsid w:val="009F00EE"/>
    <w:rsid w:val="009F0827"/>
    <w:rsid w:val="009F0BED"/>
    <w:rsid w:val="009F1673"/>
    <w:rsid w:val="009F3255"/>
    <w:rsid w:val="009F341D"/>
    <w:rsid w:val="009F34AA"/>
    <w:rsid w:val="009F3DCE"/>
    <w:rsid w:val="009F44FF"/>
    <w:rsid w:val="009F46E8"/>
    <w:rsid w:val="009F472D"/>
    <w:rsid w:val="009F4CF0"/>
    <w:rsid w:val="009F4E88"/>
    <w:rsid w:val="009F50D1"/>
    <w:rsid w:val="009F573B"/>
    <w:rsid w:val="009F5918"/>
    <w:rsid w:val="009F596D"/>
    <w:rsid w:val="009F6A91"/>
    <w:rsid w:val="009F71A6"/>
    <w:rsid w:val="009F71AA"/>
    <w:rsid w:val="009F754A"/>
    <w:rsid w:val="009F791F"/>
    <w:rsid w:val="009F7F86"/>
    <w:rsid w:val="00A0034D"/>
    <w:rsid w:val="00A00BFB"/>
    <w:rsid w:val="00A00DCF"/>
    <w:rsid w:val="00A0126C"/>
    <w:rsid w:val="00A012DA"/>
    <w:rsid w:val="00A0187E"/>
    <w:rsid w:val="00A02543"/>
    <w:rsid w:val="00A026F0"/>
    <w:rsid w:val="00A02F2D"/>
    <w:rsid w:val="00A02F61"/>
    <w:rsid w:val="00A03529"/>
    <w:rsid w:val="00A03671"/>
    <w:rsid w:val="00A03E0E"/>
    <w:rsid w:val="00A040D1"/>
    <w:rsid w:val="00A044B7"/>
    <w:rsid w:val="00A04A0A"/>
    <w:rsid w:val="00A050A8"/>
    <w:rsid w:val="00A056A3"/>
    <w:rsid w:val="00A058BC"/>
    <w:rsid w:val="00A059AF"/>
    <w:rsid w:val="00A05A59"/>
    <w:rsid w:val="00A05B51"/>
    <w:rsid w:val="00A06286"/>
    <w:rsid w:val="00A06318"/>
    <w:rsid w:val="00A063BC"/>
    <w:rsid w:val="00A068E1"/>
    <w:rsid w:val="00A06A80"/>
    <w:rsid w:val="00A06D8A"/>
    <w:rsid w:val="00A0711F"/>
    <w:rsid w:val="00A07B0B"/>
    <w:rsid w:val="00A102A0"/>
    <w:rsid w:val="00A1065D"/>
    <w:rsid w:val="00A10860"/>
    <w:rsid w:val="00A114FA"/>
    <w:rsid w:val="00A11AF3"/>
    <w:rsid w:val="00A12ACF"/>
    <w:rsid w:val="00A12B42"/>
    <w:rsid w:val="00A12BD4"/>
    <w:rsid w:val="00A12C09"/>
    <w:rsid w:val="00A13084"/>
    <w:rsid w:val="00A1327F"/>
    <w:rsid w:val="00A13817"/>
    <w:rsid w:val="00A138D3"/>
    <w:rsid w:val="00A13E0F"/>
    <w:rsid w:val="00A144B7"/>
    <w:rsid w:val="00A149B4"/>
    <w:rsid w:val="00A152D3"/>
    <w:rsid w:val="00A15F4F"/>
    <w:rsid w:val="00A160AB"/>
    <w:rsid w:val="00A16745"/>
    <w:rsid w:val="00A16747"/>
    <w:rsid w:val="00A169A7"/>
    <w:rsid w:val="00A17E93"/>
    <w:rsid w:val="00A20013"/>
    <w:rsid w:val="00A2056F"/>
    <w:rsid w:val="00A20582"/>
    <w:rsid w:val="00A20C65"/>
    <w:rsid w:val="00A21767"/>
    <w:rsid w:val="00A21FD5"/>
    <w:rsid w:val="00A22751"/>
    <w:rsid w:val="00A22940"/>
    <w:rsid w:val="00A23102"/>
    <w:rsid w:val="00A233D8"/>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547"/>
    <w:rsid w:val="00A2770B"/>
    <w:rsid w:val="00A27806"/>
    <w:rsid w:val="00A3068C"/>
    <w:rsid w:val="00A3127F"/>
    <w:rsid w:val="00A31922"/>
    <w:rsid w:val="00A31BCC"/>
    <w:rsid w:val="00A31C70"/>
    <w:rsid w:val="00A31C87"/>
    <w:rsid w:val="00A325BB"/>
    <w:rsid w:val="00A3297A"/>
    <w:rsid w:val="00A32A58"/>
    <w:rsid w:val="00A32EEC"/>
    <w:rsid w:val="00A336C5"/>
    <w:rsid w:val="00A339D9"/>
    <w:rsid w:val="00A33BD6"/>
    <w:rsid w:val="00A3510A"/>
    <w:rsid w:val="00A3515F"/>
    <w:rsid w:val="00A35751"/>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224E"/>
    <w:rsid w:val="00A4229F"/>
    <w:rsid w:val="00A428A9"/>
    <w:rsid w:val="00A42ACA"/>
    <w:rsid w:val="00A4327C"/>
    <w:rsid w:val="00A43496"/>
    <w:rsid w:val="00A43665"/>
    <w:rsid w:val="00A43AAB"/>
    <w:rsid w:val="00A43AFE"/>
    <w:rsid w:val="00A441CC"/>
    <w:rsid w:val="00A447E3"/>
    <w:rsid w:val="00A44AAD"/>
    <w:rsid w:val="00A44D3B"/>
    <w:rsid w:val="00A45241"/>
    <w:rsid w:val="00A45280"/>
    <w:rsid w:val="00A452B8"/>
    <w:rsid w:val="00A45BF7"/>
    <w:rsid w:val="00A463B5"/>
    <w:rsid w:val="00A463BA"/>
    <w:rsid w:val="00A46675"/>
    <w:rsid w:val="00A46A5F"/>
    <w:rsid w:val="00A471A3"/>
    <w:rsid w:val="00A47597"/>
    <w:rsid w:val="00A47E44"/>
    <w:rsid w:val="00A47F91"/>
    <w:rsid w:val="00A507D7"/>
    <w:rsid w:val="00A50A5C"/>
    <w:rsid w:val="00A50BE2"/>
    <w:rsid w:val="00A50CC6"/>
    <w:rsid w:val="00A50E40"/>
    <w:rsid w:val="00A51462"/>
    <w:rsid w:val="00A51946"/>
    <w:rsid w:val="00A51FF7"/>
    <w:rsid w:val="00A52079"/>
    <w:rsid w:val="00A52143"/>
    <w:rsid w:val="00A521E9"/>
    <w:rsid w:val="00A5298E"/>
    <w:rsid w:val="00A52B3E"/>
    <w:rsid w:val="00A5313B"/>
    <w:rsid w:val="00A5320E"/>
    <w:rsid w:val="00A53F7B"/>
    <w:rsid w:val="00A54090"/>
    <w:rsid w:val="00A541F3"/>
    <w:rsid w:val="00A54282"/>
    <w:rsid w:val="00A549D3"/>
    <w:rsid w:val="00A54DF0"/>
    <w:rsid w:val="00A57E98"/>
    <w:rsid w:val="00A60017"/>
    <w:rsid w:val="00A60849"/>
    <w:rsid w:val="00A6105B"/>
    <w:rsid w:val="00A61355"/>
    <w:rsid w:val="00A61668"/>
    <w:rsid w:val="00A621D3"/>
    <w:rsid w:val="00A628F8"/>
    <w:rsid w:val="00A62B7A"/>
    <w:rsid w:val="00A631A1"/>
    <w:rsid w:val="00A632EA"/>
    <w:rsid w:val="00A6339D"/>
    <w:rsid w:val="00A634BE"/>
    <w:rsid w:val="00A63AD7"/>
    <w:rsid w:val="00A63BFD"/>
    <w:rsid w:val="00A63E61"/>
    <w:rsid w:val="00A6491F"/>
    <w:rsid w:val="00A64A9E"/>
    <w:rsid w:val="00A64C72"/>
    <w:rsid w:val="00A64D1A"/>
    <w:rsid w:val="00A65320"/>
    <w:rsid w:val="00A65BA5"/>
    <w:rsid w:val="00A66354"/>
    <w:rsid w:val="00A66E37"/>
    <w:rsid w:val="00A66ECF"/>
    <w:rsid w:val="00A67681"/>
    <w:rsid w:val="00A67E38"/>
    <w:rsid w:val="00A703E4"/>
    <w:rsid w:val="00A704C9"/>
    <w:rsid w:val="00A70DC6"/>
    <w:rsid w:val="00A71080"/>
    <w:rsid w:val="00A71986"/>
    <w:rsid w:val="00A71E3D"/>
    <w:rsid w:val="00A71E73"/>
    <w:rsid w:val="00A72740"/>
    <w:rsid w:val="00A73A64"/>
    <w:rsid w:val="00A742AD"/>
    <w:rsid w:val="00A746D7"/>
    <w:rsid w:val="00A74AB2"/>
    <w:rsid w:val="00A75A27"/>
    <w:rsid w:val="00A75A46"/>
    <w:rsid w:val="00A75B36"/>
    <w:rsid w:val="00A7623B"/>
    <w:rsid w:val="00A7660A"/>
    <w:rsid w:val="00A7663A"/>
    <w:rsid w:val="00A7696B"/>
    <w:rsid w:val="00A769D4"/>
    <w:rsid w:val="00A8008F"/>
    <w:rsid w:val="00A804C7"/>
    <w:rsid w:val="00A80857"/>
    <w:rsid w:val="00A80A39"/>
    <w:rsid w:val="00A80DF0"/>
    <w:rsid w:val="00A80E64"/>
    <w:rsid w:val="00A81A16"/>
    <w:rsid w:val="00A823A7"/>
    <w:rsid w:val="00A824D4"/>
    <w:rsid w:val="00A825C8"/>
    <w:rsid w:val="00A82742"/>
    <w:rsid w:val="00A82A29"/>
    <w:rsid w:val="00A83984"/>
    <w:rsid w:val="00A83A1E"/>
    <w:rsid w:val="00A84198"/>
    <w:rsid w:val="00A841AB"/>
    <w:rsid w:val="00A849C5"/>
    <w:rsid w:val="00A84FFD"/>
    <w:rsid w:val="00A86104"/>
    <w:rsid w:val="00A8655A"/>
    <w:rsid w:val="00A87203"/>
    <w:rsid w:val="00A87744"/>
    <w:rsid w:val="00A87AE6"/>
    <w:rsid w:val="00A87B09"/>
    <w:rsid w:val="00A87C22"/>
    <w:rsid w:val="00A90590"/>
    <w:rsid w:val="00A90A97"/>
    <w:rsid w:val="00A90CB4"/>
    <w:rsid w:val="00A910DA"/>
    <w:rsid w:val="00A920E1"/>
    <w:rsid w:val="00A933AE"/>
    <w:rsid w:val="00A93863"/>
    <w:rsid w:val="00A93928"/>
    <w:rsid w:val="00A93F73"/>
    <w:rsid w:val="00A9415E"/>
    <w:rsid w:val="00A9423F"/>
    <w:rsid w:val="00A94EBD"/>
    <w:rsid w:val="00A9510D"/>
    <w:rsid w:val="00A95580"/>
    <w:rsid w:val="00A956AC"/>
    <w:rsid w:val="00A95D2A"/>
    <w:rsid w:val="00A961D6"/>
    <w:rsid w:val="00A96214"/>
    <w:rsid w:val="00A967E8"/>
    <w:rsid w:val="00A97F4B"/>
    <w:rsid w:val="00AA04C5"/>
    <w:rsid w:val="00AA10B1"/>
    <w:rsid w:val="00AA2803"/>
    <w:rsid w:val="00AA2BF2"/>
    <w:rsid w:val="00AA2D68"/>
    <w:rsid w:val="00AA2D6F"/>
    <w:rsid w:val="00AA2E92"/>
    <w:rsid w:val="00AA3987"/>
    <w:rsid w:val="00AA3B68"/>
    <w:rsid w:val="00AA3DAE"/>
    <w:rsid w:val="00AA3E79"/>
    <w:rsid w:val="00AA4FB4"/>
    <w:rsid w:val="00AA5C0B"/>
    <w:rsid w:val="00AA5E3B"/>
    <w:rsid w:val="00AA63AD"/>
    <w:rsid w:val="00AA65B4"/>
    <w:rsid w:val="00AA6A75"/>
    <w:rsid w:val="00AA745E"/>
    <w:rsid w:val="00AB04AB"/>
    <w:rsid w:val="00AB0733"/>
    <w:rsid w:val="00AB09D2"/>
    <w:rsid w:val="00AB0B64"/>
    <w:rsid w:val="00AB0C30"/>
    <w:rsid w:val="00AB176B"/>
    <w:rsid w:val="00AB2C5F"/>
    <w:rsid w:val="00AB37E6"/>
    <w:rsid w:val="00AB3DBA"/>
    <w:rsid w:val="00AB431C"/>
    <w:rsid w:val="00AB470E"/>
    <w:rsid w:val="00AB4C80"/>
    <w:rsid w:val="00AB506B"/>
    <w:rsid w:val="00AB5467"/>
    <w:rsid w:val="00AB5883"/>
    <w:rsid w:val="00AB5A7E"/>
    <w:rsid w:val="00AB7538"/>
    <w:rsid w:val="00AB77F3"/>
    <w:rsid w:val="00AC0256"/>
    <w:rsid w:val="00AC0AAD"/>
    <w:rsid w:val="00AC1231"/>
    <w:rsid w:val="00AC1992"/>
    <w:rsid w:val="00AC1E14"/>
    <w:rsid w:val="00AC2CFA"/>
    <w:rsid w:val="00AC3263"/>
    <w:rsid w:val="00AC337E"/>
    <w:rsid w:val="00AC3E12"/>
    <w:rsid w:val="00AC406E"/>
    <w:rsid w:val="00AC417C"/>
    <w:rsid w:val="00AC430C"/>
    <w:rsid w:val="00AC4951"/>
    <w:rsid w:val="00AC49C9"/>
    <w:rsid w:val="00AC4A6B"/>
    <w:rsid w:val="00AC5C19"/>
    <w:rsid w:val="00AC60F0"/>
    <w:rsid w:val="00AC63C7"/>
    <w:rsid w:val="00AC6657"/>
    <w:rsid w:val="00AC6D7A"/>
    <w:rsid w:val="00AC7363"/>
    <w:rsid w:val="00AC7401"/>
    <w:rsid w:val="00AC7901"/>
    <w:rsid w:val="00AC79F3"/>
    <w:rsid w:val="00AC7FDD"/>
    <w:rsid w:val="00AD0949"/>
    <w:rsid w:val="00AD0F1D"/>
    <w:rsid w:val="00AD1179"/>
    <w:rsid w:val="00AD1359"/>
    <w:rsid w:val="00AD19F0"/>
    <w:rsid w:val="00AD1FCE"/>
    <w:rsid w:val="00AD26E1"/>
    <w:rsid w:val="00AD29CC"/>
    <w:rsid w:val="00AD3268"/>
    <w:rsid w:val="00AD3652"/>
    <w:rsid w:val="00AD3DE2"/>
    <w:rsid w:val="00AD4261"/>
    <w:rsid w:val="00AD46F5"/>
    <w:rsid w:val="00AD51A3"/>
    <w:rsid w:val="00AD598B"/>
    <w:rsid w:val="00AD7154"/>
    <w:rsid w:val="00AD797D"/>
    <w:rsid w:val="00AD7E02"/>
    <w:rsid w:val="00AE0034"/>
    <w:rsid w:val="00AE0483"/>
    <w:rsid w:val="00AE08DD"/>
    <w:rsid w:val="00AE13BD"/>
    <w:rsid w:val="00AE1ABF"/>
    <w:rsid w:val="00AE1AF9"/>
    <w:rsid w:val="00AE1E60"/>
    <w:rsid w:val="00AE2068"/>
    <w:rsid w:val="00AE2258"/>
    <w:rsid w:val="00AE277E"/>
    <w:rsid w:val="00AE2A36"/>
    <w:rsid w:val="00AE2BC6"/>
    <w:rsid w:val="00AE3251"/>
    <w:rsid w:val="00AE33DA"/>
    <w:rsid w:val="00AE3FE0"/>
    <w:rsid w:val="00AE5058"/>
    <w:rsid w:val="00AE51CD"/>
    <w:rsid w:val="00AE5471"/>
    <w:rsid w:val="00AE54AA"/>
    <w:rsid w:val="00AE60E4"/>
    <w:rsid w:val="00AE6872"/>
    <w:rsid w:val="00AE6C58"/>
    <w:rsid w:val="00AE72C4"/>
    <w:rsid w:val="00AE7F05"/>
    <w:rsid w:val="00AE7F38"/>
    <w:rsid w:val="00AF054D"/>
    <w:rsid w:val="00AF0939"/>
    <w:rsid w:val="00AF0981"/>
    <w:rsid w:val="00AF0F9C"/>
    <w:rsid w:val="00AF10F0"/>
    <w:rsid w:val="00AF18E2"/>
    <w:rsid w:val="00AF24E7"/>
    <w:rsid w:val="00AF272B"/>
    <w:rsid w:val="00AF291B"/>
    <w:rsid w:val="00AF2DAA"/>
    <w:rsid w:val="00AF2EBD"/>
    <w:rsid w:val="00AF33AE"/>
    <w:rsid w:val="00AF3CDC"/>
    <w:rsid w:val="00AF44B1"/>
    <w:rsid w:val="00AF5800"/>
    <w:rsid w:val="00AF61E2"/>
    <w:rsid w:val="00AF6986"/>
    <w:rsid w:val="00AF69FE"/>
    <w:rsid w:val="00AF6A77"/>
    <w:rsid w:val="00AF6D1B"/>
    <w:rsid w:val="00AF73ED"/>
    <w:rsid w:val="00AF7D69"/>
    <w:rsid w:val="00AF7ED2"/>
    <w:rsid w:val="00B004D8"/>
    <w:rsid w:val="00B00830"/>
    <w:rsid w:val="00B00CC5"/>
    <w:rsid w:val="00B016D2"/>
    <w:rsid w:val="00B02091"/>
    <w:rsid w:val="00B02B43"/>
    <w:rsid w:val="00B03697"/>
    <w:rsid w:val="00B03D36"/>
    <w:rsid w:val="00B04540"/>
    <w:rsid w:val="00B046F1"/>
    <w:rsid w:val="00B05116"/>
    <w:rsid w:val="00B051A7"/>
    <w:rsid w:val="00B05F1A"/>
    <w:rsid w:val="00B07B33"/>
    <w:rsid w:val="00B07FA2"/>
    <w:rsid w:val="00B100CF"/>
    <w:rsid w:val="00B1074F"/>
    <w:rsid w:val="00B10E82"/>
    <w:rsid w:val="00B111A6"/>
    <w:rsid w:val="00B115E5"/>
    <w:rsid w:val="00B118EE"/>
    <w:rsid w:val="00B11B03"/>
    <w:rsid w:val="00B11C5B"/>
    <w:rsid w:val="00B121CD"/>
    <w:rsid w:val="00B12343"/>
    <w:rsid w:val="00B12529"/>
    <w:rsid w:val="00B128C5"/>
    <w:rsid w:val="00B12B11"/>
    <w:rsid w:val="00B12C94"/>
    <w:rsid w:val="00B135AB"/>
    <w:rsid w:val="00B13797"/>
    <w:rsid w:val="00B137BF"/>
    <w:rsid w:val="00B13A1B"/>
    <w:rsid w:val="00B13A76"/>
    <w:rsid w:val="00B142D9"/>
    <w:rsid w:val="00B145D5"/>
    <w:rsid w:val="00B14BC4"/>
    <w:rsid w:val="00B158A3"/>
    <w:rsid w:val="00B15B25"/>
    <w:rsid w:val="00B15C36"/>
    <w:rsid w:val="00B15E95"/>
    <w:rsid w:val="00B15EA0"/>
    <w:rsid w:val="00B16069"/>
    <w:rsid w:val="00B1745A"/>
    <w:rsid w:val="00B17785"/>
    <w:rsid w:val="00B17A4E"/>
    <w:rsid w:val="00B17B30"/>
    <w:rsid w:val="00B17C2F"/>
    <w:rsid w:val="00B17CDA"/>
    <w:rsid w:val="00B2153E"/>
    <w:rsid w:val="00B218CB"/>
    <w:rsid w:val="00B21FA7"/>
    <w:rsid w:val="00B22022"/>
    <w:rsid w:val="00B225E4"/>
    <w:rsid w:val="00B23223"/>
    <w:rsid w:val="00B23F7A"/>
    <w:rsid w:val="00B240B1"/>
    <w:rsid w:val="00B24208"/>
    <w:rsid w:val="00B24374"/>
    <w:rsid w:val="00B24728"/>
    <w:rsid w:val="00B248A9"/>
    <w:rsid w:val="00B2490A"/>
    <w:rsid w:val="00B24BE3"/>
    <w:rsid w:val="00B24D28"/>
    <w:rsid w:val="00B24F1C"/>
    <w:rsid w:val="00B25D76"/>
    <w:rsid w:val="00B27032"/>
    <w:rsid w:val="00B27085"/>
    <w:rsid w:val="00B27583"/>
    <w:rsid w:val="00B30003"/>
    <w:rsid w:val="00B3015C"/>
    <w:rsid w:val="00B30642"/>
    <w:rsid w:val="00B31201"/>
    <w:rsid w:val="00B31B4B"/>
    <w:rsid w:val="00B31E36"/>
    <w:rsid w:val="00B32E26"/>
    <w:rsid w:val="00B338B7"/>
    <w:rsid w:val="00B34061"/>
    <w:rsid w:val="00B34376"/>
    <w:rsid w:val="00B3440A"/>
    <w:rsid w:val="00B34441"/>
    <w:rsid w:val="00B35533"/>
    <w:rsid w:val="00B35534"/>
    <w:rsid w:val="00B35A87"/>
    <w:rsid w:val="00B35AFD"/>
    <w:rsid w:val="00B35F9A"/>
    <w:rsid w:val="00B3609C"/>
    <w:rsid w:val="00B36236"/>
    <w:rsid w:val="00B3662E"/>
    <w:rsid w:val="00B36645"/>
    <w:rsid w:val="00B366D2"/>
    <w:rsid w:val="00B366FA"/>
    <w:rsid w:val="00B36E86"/>
    <w:rsid w:val="00B379BA"/>
    <w:rsid w:val="00B40B30"/>
    <w:rsid w:val="00B40E47"/>
    <w:rsid w:val="00B412FD"/>
    <w:rsid w:val="00B41E1C"/>
    <w:rsid w:val="00B422BE"/>
    <w:rsid w:val="00B4241D"/>
    <w:rsid w:val="00B426BB"/>
    <w:rsid w:val="00B42EB9"/>
    <w:rsid w:val="00B436F0"/>
    <w:rsid w:val="00B441FE"/>
    <w:rsid w:val="00B44821"/>
    <w:rsid w:val="00B44AD3"/>
    <w:rsid w:val="00B450EB"/>
    <w:rsid w:val="00B45152"/>
    <w:rsid w:val="00B454DD"/>
    <w:rsid w:val="00B45E54"/>
    <w:rsid w:val="00B460B8"/>
    <w:rsid w:val="00B464E4"/>
    <w:rsid w:val="00B4689A"/>
    <w:rsid w:val="00B46D5F"/>
    <w:rsid w:val="00B46E7B"/>
    <w:rsid w:val="00B47DC5"/>
    <w:rsid w:val="00B50395"/>
    <w:rsid w:val="00B505B3"/>
    <w:rsid w:val="00B50882"/>
    <w:rsid w:val="00B50A74"/>
    <w:rsid w:val="00B5199C"/>
    <w:rsid w:val="00B520A0"/>
    <w:rsid w:val="00B5257E"/>
    <w:rsid w:val="00B525CE"/>
    <w:rsid w:val="00B52CFD"/>
    <w:rsid w:val="00B545A8"/>
    <w:rsid w:val="00B56527"/>
    <w:rsid w:val="00B56706"/>
    <w:rsid w:val="00B57019"/>
    <w:rsid w:val="00B576DA"/>
    <w:rsid w:val="00B57710"/>
    <w:rsid w:val="00B601C9"/>
    <w:rsid w:val="00B60D04"/>
    <w:rsid w:val="00B6158F"/>
    <w:rsid w:val="00B61EE8"/>
    <w:rsid w:val="00B633A3"/>
    <w:rsid w:val="00B63533"/>
    <w:rsid w:val="00B63BDB"/>
    <w:rsid w:val="00B64A0E"/>
    <w:rsid w:val="00B64DDF"/>
    <w:rsid w:val="00B6601E"/>
    <w:rsid w:val="00B663AA"/>
    <w:rsid w:val="00B66DD5"/>
    <w:rsid w:val="00B670D0"/>
    <w:rsid w:val="00B67722"/>
    <w:rsid w:val="00B67B97"/>
    <w:rsid w:val="00B67F01"/>
    <w:rsid w:val="00B70329"/>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60FD"/>
    <w:rsid w:val="00B76185"/>
    <w:rsid w:val="00B76BCD"/>
    <w:rsid w:val="00B77917"/>
    <w:rsid w:val="00B779E6"/>
    <w:rsid w:val="00B804E2"/>
    <w:rsid w:val="00B811B2"/>
    <w:rsid w:val="00B81BA3"/>
    <w:rsid w:val="00B82213"/>
    <w:rsid w:val="00B8276E"/>
    <w:rsid w:val="00B82912"/>
    <w:rsid w:val="00B839A9"/>
    <w:rsid w:val="00B83A62"/>
    <w:rsid w:val="00B83B59"/>
    <w:rsid w:val="00B84252"/>
    <w:rsid w:val="00B8468F"/>
    <w:rsid w:val="00B849F1"/>
    <w:rsid w:val="00B84FC6"/>
    <w:rsid w:val="00B857F5"/>
    <w:rsid w:val="00B86D6C"/>
    <w:rsid w:val="00B86EB5"/>
    <w:rsid w:val="00B86F47"/>
    <w:rsid w:val="00B874B4"/>
    <w:rsid w:val="00B8787A"/>
    <w:rsid w:val="00B87887"/>
    <w:rsid w:val="00B90123"/>
    <w:rsid w:val="00B90196"/>
    <w:rsid w:val="00B911C1"/>
    <w:rsid w:val="00B91374"/>
    <w:rsid w:val="00B922C3"/>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19C4"/>
    <w:rsid w:val="00BA3038"/>
    <w:rsid w:val="00BA370A"/>
    <w:rsid w:val="00BA48BC"/>
    <w:rsid w:val="00BA4A29"/>
    <w:rsid w:val="00BA4BE7"/>
    <w:rsid w:val="00BA5F20"/>
    <w:rsid w:val="00BA5F44"/>
    <w:rsid w:val="00BA68D9"/>
    <w:rsid w:val="00BA695F"/>
    <w:rsid w:val="00BA6FD8"/>
    <w:rsid w:val="00BA7172"/>
    <w:rsid w:val="00BA7B01"/>
    <w:rsid w:val="00BB02D7"/>
    <w:rsid w:val="00BB0D9F"/>
    <w:rsid w:val="00BB0DEE"/>
    <w:rsid w:val="00BB0F93"/>
    <w:rsid w:val="00BB1031"/>
    <w:rsid w:val="00BB1B33"/>
    <w:rsid w:val="00BB2480"/>
    <w:rsid w:val="00BB27FD"/>
    <w:rsid w:val="00BB2C4E"/>
    <w:rsid w:val="00BB2E29"/>
    <w:rsid w:val="00BB2F74"/>
    <w:rsid w:val="00BB3206"/>
    <w:rsid w:val="00BB3277"/>
    <w:rsid w:val="00BB32C2"/>
    <w:rsid w:val="00BB3B0D"/>
    <w:rsid w:val="00BB524C"/>
    <w:rsid w:val="00BB5DAB"/>
    <w:rsid w:val="00BB6195"/>
    <w:rsid w:val="00BB61A3"/>
    <w:rsid w:val="00BB67EA"/>
    <w:rsid w:val="00BB707E"/>
    <w:rsid w:val="00BB7568"/>
    <w:rsid w:val="00BC007C"/>
    <w:rsid w:val="00BC0986"/>
    <w:rsid w:val="00BC0AB2"/>
    <w:rsid w:val="00BC1308"/>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93"/>
    <w:rsid w:val="00BC5EDB"/>
    <w:rsid w:val="00BC69A2"/>
    <w:rsid w:val="00BC6ED6"/>
    <w:rsid w:val="00BC6F03"/>
    <w:rsid w:val="00BC6FA1"/>
    <w:rsid w:val="00BC7487"/>
    <w:rsid w:val="00BD0570"/>
    <w:rsid w:val="00BD0853"/>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D43"/>
    <w:rsid w:val="00BD7090"/>
    <w:rsid w:val="00BD7490"/>
    <w:rsid w:val="00BD767F"/>
    <w:rsid w:val="00BD7DA0"/>
    <w:rsid w:val="00BE096B"/>
    <w:rsid w:val="00BE09C3"/>
    <w:rsid w:val="00BE0C27"/>
    <w:rsid w:val="00BE0F9B"/>
    <w:rsid w:val="00BE15BB"/>
    <w:rsid w:val="00BE198F"/>
    <w:rsid w:val="00BE4875"/>
    <w:rsid w:val="00BE4CCF"/>
    <w:rsid w:val="00BE5964"/>
    <w:rsid w:val="00BE660B"/>
    <w:rsid w:val="00BE6AFE"/>
    <w:rsid w:val="00BE6BBE"/>
    <w:rsid w:val="00BE7021"/>
    <w:rsid w:val="00BE7300"/>
    <w:rsid w:val="00BE76F7"/>
    <w:rsid w:val="00BE784F"/>
    <w:rsid w:val="00BE79C6"/>
    <w:rsid w:val="00BF0238"/>
    <w:rsid w:val="00BF0717"/>
    <w:rsid w:val="00BF1750"/>
    <w:rsid w:val="00BF178E"/>
    <w:rsid w:val="00BF189F"/>
    <w:rsid w:val="00BF1B44"/>
    <w:rsid w:val="00BF1D88"/>
    <w:rsid w:val="00BF1F01"/>
    <w:rsid w:val="00BF1FC2"/>
    <w:rsid w:val="00BF23CC"/>
    <w:rsid w:val="00BF243F"/>
    <w:rsid w:val="00BF2708"/>
    <w:rsid w:val="00BF4C2B"/>
    <w:rsid w:val="00BF507A"/>
    <w:rsid w:val="00BF53F1"/>
    <w:rsid w:val="00BF5717"/>
    <w:rsid w:val="00BF5B9D"/>
    <w:rsid w:val="00BF5C45"/>
    <w:rsid w:val="00BF5FA3"/>
    <w:rsid w:val="00BF62F2"/>
    <w:rsid w:val="00BF63A5"/>
    <w:rsid w:val="00BF72A7"/>
    <w:rsid w:val="00BF7558"/>
    <w:rsid w:val="00BF7DD2"/>
    <w:rsid w:val="00C0111E"/>
    <w:rsid w:val="00C02676"/>
    <w:rsid w:val="00C029AB"/>
    <w:rsid w:val="00C02D74"/>
    <w:rsid w:val="00C03BD5"/>
    <w:rsid w:val="00C03C8B"/>
    <w:rsid w:val="00C03F3C"/>
    <w:rsid w:val="00C0425C"/>
    <w:rsid w:val="00C049BE"/>
    <w:rsid w:val="00C04A71"/>
    <w:rsid w:val="00C04DF0"/>
    <w:rsid w:val="00C05A4C"/>
    <w:rsid w:val="00C05A67"/>
    <w:rsid w:val="00C0632D"/>
    <w:rsid w:val="00C0641F"/>
    <w:rsid w:val="00C06C9A"/>
    <w:rsid w:val="00C06E6F"/>
    <w:rsid w:val="00C075DB"/>
    <w:rsid w:val="00C07EBA"/>
    <w:rsid w:val="00C07FBC"/>
    <w:rsid w:val="00C100E2"/>
    <w:rsid w:val="00C100E7"/>
    <w:rsid w:val="00C11113"/>
    <w:rsid w:val="00C11687"/>
    <w:rsid w:val="00C11E28"/>
    <w:rsid w:val="00C11F66"/>
    <w:rsid w:val="00C1225B"/>
    <w:rsid w:val="00C122F9"/>
    <w:rsid w:val="00C1253A"/>
    <w:rsid w:val="00C12730"/>
    <w:rsid w:val="00C128C9"/>
    <w:rsid w:val="00C12CF3"/>
    <w:rsid w:val="00C12F88"/>
    <w:rsid w:val="00C131A8"/>
    <w:rsid w:val="00C1322D"/>
    <w:rsid w:val="00C135A3"/>
    <w:rsid w:val="00C1455F"/>
    <w:rsid w:val="00C1477A"/>
    <w:rsid w:val="00C14A62"/>
    <w:rsid w:val="00C158EB"/>
    <w:rsid w:val="00C159B1"/>
    <w:rsid w:val="00C15D51"/>
    <w:rsid w:val="00C161F5"/>
    <w:rsid w:val="00C16C92"/>
    <w:rsid w:val="00C16ED6"/>
    <w:rsid w:val="00C1706B"/>
    <w:rsid w:val="00C17DB7"/>
    <w:rsid w:val="00C17E48"/>
    <w:rsid w:val="00C17F0B"/>
    <w:rsid w:val="00C201E7"/>
    <w:rsid w:val="00C20506"/>
    <w:rsid w:val="00C20AA2"/>
    <w:rsid w:val="00C20B91"/>
    <w:rsid w:val="00C21155"/>
    <w:rsid w:val="00C2146C"/>
    <w:rsid w:val="00C214D7"/>
    <w:rsid w:val="00C21561"/>
    <w:rsid w:val="00C217EE"/>
    <w:rsid w:val="00C22784"/>
    <w:rsid w:val="00C22FAA"/>
    <w:rsid w:val="00C23A4C"/>
    <w:rsid w:val="00C2419D"/>
    <w:rsid w:val="00C243A4"/>
    <w:rsid w:val="00C24416"/>
    <w:rsid w:val="00C248DB"/>
    <w:rsid w:val="00C26170"/>
    <w:rsid w:val="00C26734"/>
    <w:rsid w:val="00C26B5A"/>
    <w:rsid w:val="00C26BB1"/>
    <w:rsid w:val="00C26D52"/>
    <w:rsid w:val="00C303E4"/>
    <w:rsid w:val="00C30775"/>
    <w:rsid w:val="00C30B8D"/>
    <w:rsid w:val="00C30DBE"/>
    <w:rsid w:val="00C3134E"/>
    <w:rsid w:val="00C315D8"/>
    <w:rsid w:val="00C31C4A"/>
    <w:rsid w:val="00C31D2D"/>
    <w:rsid w:val="00C3209A"/>
    <w:rsid w:val="00C32639"/>
    <w:rsid w:val="00C32808"/>
    <w:rsid w:val="00C32AD2"/>
    <w:rsid w:val="00C33114"/>
    <w:rsid w:val="00C3415E"/>
    <w:rsid w:val="00C34193"/>
    <w:rsid w:val="00C347FD"/>
    <w:rsid w:val="00C34DAE"/>
    <w:rsid w:val="00C34E1E"/>
    <w:rsid w:val="00C34E5A"/>
    <w:rsid w:val="00C35553"/>
    <w:rsid w:val="00C35D9C"/>
    <w:rsid w:val="00C36219"/>
    <w:rsid w:val="00C36656"/>
    <w:rsid w:val="00C3698E"/>
    <w:rsid w:val="00C36CCA"/>
    <w:rsid w:val="00C36E1C"/>
    <w:rsid w:val="00C36F42"/>
    <w:rsid w:val="00C3718A"/>
    <w:rsid w:val="00C379C5"/>
    <w:rsid w:val="00C37EEE"/>
    <w:rsid w:val="00C40453"/>
    <w:rsid w:val="00C404A7"/>
    <w:rsid w:val="00C40E71"/>
    <w:rsid w:val="00C41879"/>
    <w:rsid w:val="00C41A7C"/>
    <w:rsid w:val="00C42CEF"/>
    <w:rsid w:val="00C42D55"/>
    <w:rsid w:val="00C43080"/>
    <w:rsid w:val="00C4370E"/>
    <w:rsid w:val="00C43823"/>
    <w:rsid w:val="00C4384B"/>
    <w:rsid w:val="00C4393C"/>
    <w:rsid w:val="00C43F2D"/>
    <w:rsid w:val="00C44068"/>
    <w:rsid w:val="00C442AE"/>
    <w:rsid w:val="00C44C2B"/>
    <w:rsid w:val="00C4518B"/>
    <w:rsid w:val="00C45780"/>
    <w:rsid w:val="00C458D6"/>
    <w:rsid w:val="00C45919"/>
    <w:rsid w:val="00C4655A"/>
    <w:rsid w:val="00C466BF"/>
    <w:rsid w:val="00C47385"/>
    <w:rsid w:val="00C474C0"/>
    <w:rsid w:val="00C47555"/>
    <w:rsid w:val="00C476AC"/>
    <w:rsid w:val="00C47E67"/>
    <w:rsid w:val="00C47FD9"/>
    <w:rsid w:val="00C50C1A"/>
    <w:rsid w:val="00C50E1E"/>
    <w:rsid w:val="00C51132"/>
    <w:rsid w:val="00C51508"/>
    <w:rsid w:val="00C51D73"/>
    <w:rsid w:val="00C52A05"/>
    <w:rsid w:val="00C52E97"/>
    <w:rsid w:val="00C52EAF"/>
    <w:rsid w:val="00C52FBA"/>
    <w:rsid w:val="00C53189"/>
    <w:rsid w:val="00C534E5"/>
    <w:rsid w:val="00C534F4"/>
    <w:rsid w:val="00C5375B"/>
    <w:rsid w:val="00C53AD3"/>
    <w:rsid w:val="00C53B15"/>
    <w:rsid w:val="00C53DA9"/>
    <w:rsid w:val="00C53EF7"/>
    <w:rsid w:val="00C54280"/>
    <w:rsid w:val="00C54929"/>
    <w:rsid w:val="00C550B6"/>
    <w:rsid w:val="00C556B1"/>
    <w:rsid w:val="00C55A05"/>
    <w:rsid w:val="00C55F8D"/>
    <w:rsid w:val="00C56101"/>
    <w:rsid w:val="00C565F2"/>
    <w:rsid w:val="00C567E3"/>
    <w:rsid w:val="00C56C45"/>
    <w:rsid w:val="00C573CC"/>
    <w:rsid w:val="00C57B81"/>
    <w:rsid w:val="00C57FB9"/>
    <w:rsid w:val="00C6077B"/>
    <w:rsid w:val="00C60950"/>
    <w:rsid w:val="00C60DD1"/>
    <w:rsid w:val="00C61565"/>
    <w:rsid w:val="00C61574"/>
    <w:rsid w:val="00C615B4"/>
    <w:rsid w:val="00C6184A"/>
    <w:rsid w:val="00C61AC6"/>
    <w:rsid w:val="00C61ACF"/>
    <w:rsid w:val="00C6211D"/>
    <w:rsid w:val="00C62B32"/>
    <w:rsid w:val="00C63DED"/>
    <w:rsid w:val="00C63E88"/>
    <w:rsid w:val="00C6436D"/>
    <w:rsid w:val="00C64F97"/>
    <w:rsid w:val="00C65585"/>
    <w:rsid w:val="00C656EB"/>
    <w:rsid w:val="00C65DF4"/>
    <w:rsid w:val="00C667F0"/>
    <w:rsid w:val="00C66AC8"/>
    <w:rsid w:val="00C67B49"/>
    <w:rsid w:val="00C711F5"/>
    <w:rsid w:val="00C713A1"/>
    <w:rsid w:val="00C71828"/>
    <w:rsid w:val="00C72105"/>
    <w:rsid w:val="00C74520"/>
    <w:rsid w:val="00C74954"/>
    <w:rsid w:val="00C76028"/>
    <w:rsid w:val="00C76184"/>
    <w:rsid w:val="00C76462"/>
    <w:rsid w:val="00C7673D"/>
    <w:rsid w:val="00C76A80"/>
    <w:rsid w:val="00C76C27"/>
    <w:rsid w:val="00C76E09"/>
    <w:rsid w:val="00C76F07"/>
    <w:rsid w:val="00C77EF6"/>
    <w:rsid w:val="00C80B4B"/>
    <w:rsid w:val="00C80D63"/>
    <w:rsid w:val="00C80E85"/>
    <w:rsid w:val="00C8129D"/>
    <w:rsid w:val="00C812D5"/>
    <w:rsid w:val="00C81BEA"/>
    <w:rsid w:val="00C81DF5"/>
    <w:rsid w:val="00C82188"/>
    <w:rsid w:val="00C8242B"/>
    <w:rsid w:val="00C82A50"/>
    <w:rsid w:val="00C83240"/>
    <w:rsid w:val="00C83381"/>
    <w:rsid w:val="00C83607"/>
    <w:rsid w:val="00C83768"/>
    <w:rsid w:val="00C83B18"/>
    <w:rsid w:val="00C840C3"/>
    <w:rsid w:val="00C841B4"/>
    <w:rsid w:val="00C84266"/>
    <w:rsid w:val="00C8466F"/>
    <w:rsid w:val="00C8489E"/>
    <w:rsid w:val="00C849E0"/>
    <w:rsid w:val="00C84B74"/>
    <w:rsid w:val="00C8512A"/>
    <w:rsid w:val="00C85378"/>
    <w:rsid w:val="00C85970"/>
    <w:rsid w:val="00C85E9B"/>
    <w:rsid w:val="00C874C8"/>
    <w:rsid w:val="00C90165"/>
    <w:rsid w:val="00C902DA"/>
    <w:rsid w:val="00C90733"/>
    <w:rsid w:val="00C921C4"/>
    <w:rsid w:val="00C9235F"/>
    <w:rsid w:val="00C9257F"/>
    <w:rsid w:val="00C9319C"/>
    <w:rsid w:val="00C9330C"/>
    <w:rsid w:val="00C934F6"/>
    <w:rsid w:val="00C93874"/>
    <w:rsid w:val="00C93A4C"/>
    <w:rsid w:val="00C944EB"/>
    <w:rsid w:val="00C94FD2"/>
    <w:rsid w:val="00C95341"/>
    <w:rsid w:val="00C95B76"/>
    <w:rsid w:val="00C962CB"/>
    <w:rsid w:val="00C964C3"/>
    <w:rsid w:val="00C964D6"/>
    <w:rsid w:val="00C96635"/>
    <w:rsid w:val="00C966B7"/>
    <w:rsid w:val="00C969DB"/>
    <w:rsid w:val="00C96A6E"/>
    <w:rsid w:val="00C97A4A"/>
    <w:rsid w:val="00C97DC9"/>
    <w:rsid w:val="00C97EE3"/>
    <w:rsid w:val="00CA042A"/>
    <w:rsid w:val="00CA12BA"/>
    <w:rsid w:val="00CA165C"/>
    <w:rsid w:val="00CA1C0D"/>
    <w:rsid w:val="00CA1DAE"/>
    <w:rsid w:val="00CA1E62"/>
    <w:rsid w:val="00CA2267"/>
    <w:rsid w:val="00CA38AD"/>
    <w:rsid w:val="00CA3EEE"/>
    <w:rsid w:val="00CA5098"/>
    <w:rsid w:val="00CA5503"/>
    <w:rsid w:val="00CA612D"/>
    <w:rsid w:val="00CA66C3"/>
    <w:rsid w:val="00CA6CAD"/>
    <w:rsid w:val="00CA70A8"/>
    <w:rsid w:val="00CA70D0"/>
    <w:rsid w:val="00CA74A4"/>
    <w:rsid w:val="00CA7683"/>
    <w:rsid w:val="00CA77AE"/>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4728"/>
    <w:rsid w:val="00CB59E7"/>
    <w:rsid w:val="00CB5D27"/>
    <w:rsid w:val="00CB5E4A"/>
    <w:rsid w:val="00CB6FCA"/>
    <w:rsid w:val="00CB724D"/>
    <w:rsid w:val="00CB73EA"/>
    <w:rsid w:val="00CB76E3"/>
    <w:rsid w:val="00CB7D4E"/>
    <w:rsid w:val="00CB7F1F"/>
    <w:rsid w:val="00CC002B"/>
    <w:rsid w:val="00CC07E5"/>
    <w:rsid w:val="00CC09F0"/>
    <w:rsid w:val="00CC0C11"/>
    <w:rsid w:val="00CC1F52"/>
    <w:rsid w:val="00CC233F"/>
    <w:rsid w:val="00CC27FD"/>
    <w:rsid w:val="00CC29A4"/>
    <w:rsid w:val="00CC31E8"/>
    <w:rsid w:val="00CC3AB9"/>
    <w:rsid w:val="00CC3C9E"/>
    <w:rsid w:val="00CC45E0"/>
    <w:rsid w:val="00CC4BBE"/>
    <w:rsid w:val="00CC4BC3"/>
    <w:rsid w:val="00CC50C7"/>
    <w:rsid w:val="00CC55AC"/>
    <w:rsid w:val="00CC5859"/>
    <w:rsid w:val="00CC66CB"/>
    <w:rsid w:val="00CC6D1C"/>
    <w:rsid w:val="00CC71DD"/>
    <w:rsid w:val="00CC71F3"/>
    <w:rsid w:val="00CC72C0"/>
    <w:rsid w:val="00CC757D"/>
    <w:rsid w:val="00CC7C74"/>
    <w:rsid w:val="00CD00DB"/>
    <w:rsid w:val="00CD0119"/>
    <w:rsid w:val="00CD07FD"/>
    <w:rsid w:val="00CD0866"/>
    <w:rsid w:val="00CD1169"/>
    <w:rsid w:val="00CD15F1"/>
    <w:rsid w:val="00CD16C7"/>
    <w:rsid w:val="00CD1A40"/>
    <w:rsid w:val="00CD1B33"/>
    <w:rsid w:val="00CD25F3"/>
    <w:rsid w:val="00CD27FF"/>
    <w:rsid w:val="00CD2875"/>
    <w:rsid w:val="00CD2DF3"/>
    <w:rsid w:val="00CD305C"/>
    <w:rsid w:val="00CD3A6D"/>
    <w:rsid w:val="00CD3E5A"/>
    <w:rsid w:val="00CD3E63"/>
    <w:rsid w:val="00CD40A3"/>
    <w:rsid w:val="00CD457E"/>
    <w:rsid w:val="00CD4CD3"/>
    <w:rsid w:val="00CD589F"/>
    <w:rsid w:val="00CD60C9"/>
    <w:rsid w:val="00CD6345"/>
    <w:rsid w:val="00CD6835"/>
    <w:rsid w:val="00CD6BBB"/>
    <w:rsid w:val="00CD7482"/>
    <w:rsid w:val="00CE07C1"/>
    <w:rsid w:val="00CE1567"/>
    <w:rsid w:val="00CE1859"/>
    <w:rsid w:val="00CE186F"/>
    <w:rsid w:val="00CE20E3"/>
    <w:rsid w:val="00CE273A"/>
    <w:rsid w:val="00CE3149"/>
    <w:rsid w:val="00CE321C"/>
    <w:rsid w:val="00CE32E8"/>
    <w:rsid w:val="00CE353C"/>
    <w:rsid w:val="00CE3700"/>
    <w:rsid w:val="00CE3B69"/>
    <w:rsid w:val="00CE4559"/>
    <w:rsid w:val="00CE5118"/>
    <w:rsid w:val="00CE5487"/>
    <w:rsid w:val="00CE59B5"/>
    <w:rsid w:val="00CE59DB"/>
    <w:rsid w:val="00CE5D3A"/>
    <w:rsid w:val="00CE67D8"/>
    <w:rsid w:val="00CE68EA"/>
    <w:rsid w:val="00CE7381"/>
    <w:rsid w:val="00CE7447"/>
    <w:rsid w:val="00CE74CE"/>
    <w:rsid w:val="00CE7510"/>
    <w:rsid w:val="00CF0829"/>
    <w:rsid w:val="00CF0E74"/>
    <w:rsid w:val="00CF1833"/>
    <w:rsid w:val="00CF1AEA"/>
    <w:rsid w:val="00CF2091"/>
    <w:rsid w:val="00CF21F6"/>
    <w:rsid w:val="00CF2278"/>
    <w:rsid w:val="00CF2C62"/>
    <w:rsid w:val="00CF2F66"/>
    <w:rsid w:val="00CF337B"/>
    <w:rsid w:val="00CF3FE7"/>
    <w:rsid w:val="00CF4416"/>
    <w:rsid w:val="00CF52E6"/>
    <w:rsid w:val="00CF5762"/>
    <w:rsid w:val="00CF65B4"/>
    <w:rsid w:val="00CF6806"/>
    <w:rsid w:val="00CF69B0"/>
    <w:rsid w:val="00CF6C05"/>
    <w:rsid w:val="00CF7485"/>
    <w:rsid w:val="00CF7E56"/>
    <w:rsid w:val="00D01744"/>
    <w:rsid w:val="00D01C03"/>
    <w:rsid w:val="00D025CE"/>
    <w:rsid w:val="00D026A3"/>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07B44"/>
    <w:rsid w:val="00D10076"/>
    <w:rsid w:val="00D101FA"/>
    <w:rsid w:val="00D1033B"/>
    <w:rsid w:val="00D10477"/>
    <w:rsid w:val="00D107E2"/>
    <w:rsid w:val="00D11D76"/>
    <w:rsid w:val="00D121F5"/>
    <w:rsid w:val="00D126E4"/>
    <w:rsid w:val="00D131BF"/>
    <w:rsid w:val="00D13A90"/>
    <w:rsid w:val="00D140E6"/>
    <w:rsid w:val="00D14C7E"/>
    <w:rsid w:val="00D158EF"/>
    <w:rsid w:val="00D15C14"/>
    <w:rsid w:val="00D15E74"/>
    <w:rsid w:val="00D15FAA"/>
    <w:rsid w:val="00D16ECB"/>
    <w:rsid w:val="00D16EEE"/>
    <w:rsid w:val="00D17167"/>
    <w:rsid w:val="00D17BA5"/>
    <w:rsid w:val="00D2058D"/>
    <w:rsid w:val="00D2176E"/>
    <w:rsid w:val="00D2182A"/>
    <w:rsid w:val="00D218BC"/>
    <w:rsid w:val="00D2193D"/>
    <w:rsid w:val="00D22105"/>
    <w:rsid w:val="00D2211C"/>
    <w:rsid w:val="00D22B55"/>
    <w:rsid w:val="00D22C81"/>
    <w:rsid w:val="00D23055"/>
    <w:rsid w:val="00D230AD"/>
    <w:rsid w:val="00D2320E"/>
    <w:rsid w:val="00D2327A"/>
    <w:rsid w:val="00D24262"/>
    <w:rsid w:val="00D251AB"/>
    <w:rsid w:val="00D25240"/>
    <w:rsid w:val="00D25AC6"/>
    <w:rsid w:val="00D25BF1"/>
    <w:rsid w:val="00D261D3"/>
    <w:rsid w:val="00D27086"/>
    <w:rsid w:val="00D319DF"/>
    <w:rsid w:val="00D31C02"/>
    <w:rsid w:val="00D3225E"/>
    <w:rsid w:val="00D324BC"/>
    <w:rsid w:val="00D32B9F"/>
    <w:rsid w:val="00D32DF7"/>
    <w:rsid w:val="00D331A5"/>
    <w:rsid w:val="00D33565"/>
    <w:rsid w:val="00D33761"/>
    <w:rsid w:val="00D33762"/>
    <w:rsid w:val="00D34BD1"/>
    <w:rsid w:val="00D35177"/>
    <w:rsid w:val="00D356E1"/>
    <w:rsid w:val="00D40609"/>
    <w:rsid w:val="00D40983"/>
    <w:rsid w:val="00D40B3B"/>
    <w:rsid w:val="00D41188"/>
    <w:rsid w:val="00D417D3"/>
    <w:rsid w:val="00D418D5"/>
    <w:rsid w:val="00D41DB1"/>
    <w:rsid w:val="00D4276D"/>
    <w:rsid w:val="00D42798"/>
    <w:rsid w:val="00D42970"/>
    <w:rsid w:val="00D429B9"/>
    <w:rsid w:val="00D43468"/>
    <w:rsid w:val="00D43AED"/>
    <w:rsid w:val="00D44916"/>
    <w:rsid w:val="00D45AE4"/>
    <w:rsid w:val="00D45CA4"/>
    <w:rsid w:val="00D45EA7"/>
    <w:rsid w:val="00D45F22"/>
    <w:rsid w:val="00D47178"/>
    <w:rsid w:val="00D4752E"/>
    <w:rsid w:val="00D47842"/>
    <w:rsid w:val="00D47BEF"/>
    <w:rsid w:val="00D50826"/>
    <w:rsid w:val="00D51104"/>
    <w:rsid w:val="00D51675"/>
    <w:rsid w:val="00D51F73"/>
    <w:rsid w:val="00D52827"/>
    <w:rsid w:val="00D529BE"/>
    <w:rsid w:val="00D52CF6"/>
    <w:rsid w:val="00D53D3E"/>
    <w:rsid w:val="00D547E0"/>
    <w:rsid w:val="00D54992"/>
    <w:rsid w:val="00D55291"/>
    <w:rsid w:val="00D55C48"/>
    <w:rsid w:val="00D55E47"/>
    <w:rsid w:val="00D56392"/>
    <w:rsid w:val="00D56997"/>
    <w:rsid w:val="00D56BF7"/>
    <w:rsid w:val="00D570E6"/>
    <w:rsid w:val="00D5730F"/>
    <w:rsid w:val="00D5774F"/>
    <w:rsid w:val="00D60809"/>
    <w:rsid w:val="00D60D7F"/>
    <w:rsid w:val="00D61C9C"/>
    <w:rsid w:val="00D61E7B"/>
    <w:rsid w:val="00D62111"/>
    <w:rsid w:val="00D62229"/>
    <w:rsid w:val="00D625B8"/>
    <w:rsid w:val="00D626F8"/>
    <w:rsid w:val="00D636DC"/>
    <w:rsid w:val="00D63F4C"/>
    <w:rsid w:val="00D64613"/>
    <w:rsid w:val="00D64702"/>
    <w:rsid w:val="00D649DC"/>
    <w:rsid w:val="00D66BFD"/>
    <w:rsid w:val="00D66C91"/>
    <w:rsid w:val="00D674EE"/>
    <w:rsid w:val="00D67535"/>
    <w:rsid w:val="00D67BC9"/>
    <w:rsid w:val="00D67DBC"/>
    <w:rsid w:val="00D704D9"/>
    <w:rsid w:val="00D70612"/>
    <w:rsid w:val="00D70934"/>
    <w:rsid w:val="00D70BD2"/>
    <w:rsid w:val="00D713F2"/>
    <w:rsid w:val="00D721B1"/>
    <w:rsid w:val="00D72705"/>
    <w:rsid w:val="00D738BF"/>
    <w:rsid w:val="00D73B93"/>
    <w:rsid w:val="00D73C95"/>
    <w:rsid w:val="00D7400F"/>
    <w:rsid w:val="00D745C1"/>
    <w:rsid w:val="00D74784"/>
    <w:rsid w:val="00D756F6"/>
    <w:rsid w:val="00D75731"/>
    <w:rsid w:val="00D75B45"/>
    <w:rsid w:val="00D75B5C"/>
    <w:rsid w:val="00D75F8C"/>
    <w:rsid w:val="00D76050"/>
    <w:rsid w:val="00D76309"/>
    <w:rsid w:val="00D76423"/>
    <w:rsid w:val="00D767BF"/>
    <w:rsid w:val="00D77278"/>
    <w:rsid w:val="00D775B5"/>
    <w:rsid w:val="00D77961"/>
    <w:rsid w:val="00D77A47"/>
    <w:rsid w:val="00D77B20"/>
    <w:rsid w:val="00D77B3B"/>
    <w:rsid w:val="00D77BFF"/>
    <w:rsid w:val="00D8007C"/>
    <w:rsid w:val="00D8079F"/>
    <w:rsid w:val="00D8103B"/>
    <w:rsid w:val="00D8111B"/>
    <w:rsid w:val="00D81242"/>
    <w:rsid w:val="00D812D2"/>
    <w:rsid w:val="00D82259"/>
    <w:rsid w:val="00D82C80"/>
    <w:rsid w:val="00D82D02"/>
    <w:rsid w:val="00D82D0F"/>
    <w:rsid w:val="00D83A5A"/>
    <w:rsid w:val="00D84157"/>
    <w:rsid w:val="00D84AB8"/>
    <w:rsid w:val="00D84BD7"/>
    <w:rsid w:val="00D84DCA"/>
    <w:rsid w:val="00D85114"/>
    <w:rsid w:val="00D857BC"/>
    <w:rsid w:val="00D85CC6"/>
    <w:rsid w:val="00D86A92"/>
    <w:rsid w:val="00D871B6"/>
    <w:rsid w:val="00D875E1"/>
    <w:rsid w:val="00D90275"/>
    <w:rsid w:val="00D902F5"/>
    <w:rsid w:val="00D9075D"/>
    <w:rsid w:val="00D90959"/>
    <w:rsid w:val="00D91410"/>
    <w:rsid w:val="00D91438"/>
    <w:rsid w:val="00D91594"/>
    <w:rsid w:val="00D91ABE"/>
    <w:rsid w:val="00D91DFB"/>
    <w:rsid w:val="00D921DA"/>
    <w:rsid w:val="00D92A4A"/>
    <w:rsid w:val="00D92C2F"/>
    <w:rsid w:val="00D92F7F"/>
    <w:rsid w:val="00D930AC"/>
    <w:rsid w:val="00D9459D"/>
    <w:rsid w:val="00D94730"/>
    <w:rsid w:val="00D94858"/>
    <w:rsid w:val="00D9487D"/>
    <w:rsid w:val="00D94972"/>
    <w:rsid w:val="00D954A1"/>
    <w:rsid w:val="00D95519"/>
    <w:rsid w:val="00D95744"/>
    <w:rsid w:val="00D958FC"/>
    <w:rsid w:val="00D959AE"/>
    <w:rsid w:val="00D95DC2"/>
    <w:rsid w:val="00D96678"/>
    <w:rsid w:val="00D9673A"/>
    <w:rsid w:val="00D96C73"/>
    <w:rsid w:val="00D96D46"/>
    <w:rsid w:val="00D97C27"/>
    <w:rsid w:val="00DA032C"/>
    <w:rsid w:val="00DA0526"/>
    <w:rsid w:val="00DA0639"/>
    <w:rsid w:val="00DA088B"/>
    <w:rsid w:val="00DA0B8C"/>
    <w:rsid w:val="00DA0CF7"/>
    <w:rsid w:val="00DA0E96"/>
    <w:rsid w:val="00DA1203"/>
    <w:rsid w:val="00DA14A0"/>
    <w:rsid w:val="00DA15AC"/>
    <w:rsid w:val="00DA18DA"/>
    <w:rsid w:val="00DA1F0C"/>
    <w:rsid w:val="00DA2B06"/>
    <w:rsid w:val="00DA2B20"/>
    <w:rsid w:val="00DA3565"/>
    <w:rsid w:val="00DA3A5B"/>
    <w:rsid w:val="00DA3D0B"/>
    <w:rsid w:val="00DA3F51"/>
    <w:rsid w:val="00DA45A0"/>
    <w:rsid w:val="00DA45DB"/>
    <w:rsid w:val="00DA48D9"/>
    <w:rsid w:val="00DA49F8"/>
    <w:rsid w:val="00DA4AAE"/>
    <w:rsid w:val="00DA5572"/>
    <w:rsid w:val="00DA5D5D"/>
    <w:rsid w:val="00DA6A15"/>
    <w:rsid w:val="00DA6B3A"/>
    <w:rsid w:val="00DA6CC2"/>
    <w:rsid w:val="00DA7029"/>
    <w:rsid w:val="00DA77A0"/>
    <w:rsid w:val="00DB09A2"/>
    <w:rsid w:val="00DB103D"/>
    <w:rsid w:val="00DB1448"/>
    <w:rsid w:val="00DB1907"/>
    <w:rsid w:val="00DB1998"/>
    <w:rsid w:val="00DB1FC4"/>
    <w:rsid w:val="00DB21F0"/>
    <w:rsid w:val="00DB2C5F"/>
    <w:rsid w:val="00DB3A58"/>
    <w:rsid w:val="00DB3BDF"/>
    <w:rsid w:val="00DB3C58"/>
    <w:rsid w:val="00DB3D46"/>
    <w:rsid w:val="00DB401C"/>
    <w:rsid w:val="00DB46C8"/>
    <w:rsid w:val="00DB52F0"/>
    <w:rsid w:val="00DB5364"/>
    <w:rsid w:val="00DB540E"/>
    <w:rsid w:val="00DB5A63"/>
    <w:rsid w:val="00DB6166"/>
    <w:rsid w:val="00DB6520"/>
    <w:rsid w:val="00DB656B"/>
    <w:rsid w:val="00DB691E"/>
    <w:rsid w:val="00DB6C99"/>
    <w:rsid w:val="00DB75A3"/>
    <w:rsid w:val="00DC02F5"/>
    <w:rsid w:val="00DC0574"/>
    <w:rsid w:val="00DC0C65"/>
    <w:rsid w:val="00DC10E5"/>
    <w:rsid w:val="00DC16BF"/>
    <w:rsid w:val="00DC16E1"/>
    <w:rsid w:val="00DC16FC"/>
    <w:rsid w:val="00DC1881"/>
    <w:rsid w:val="00DC1ED7"/>
    <w:rsid w:val="00DC294E"/>
    <w:rsid w:val="00DC3A6F"/>
    <w:rsid w:val="00DC3D1C"/>
    <w:rsid w:val="00DC43E1"/>
    <w:rsid w:val="00DC5199"/>
    <w:rsid w:val="00DC5A32"/>
    <w:rsid w:val="00DC5E4E"/>
    <w:rsid w:val="00DC651B"/>
    <w:rsid w:val="00DC662F"/>
    <w:rsid w:val="00DC6961"/>
    <w:rsid w:val="00DC6E78"/>
    <w:rsid w:val="00DC707F"/>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752"/>
    <w:rsid w:val="00DD7CB6"/>
    <w:rsid w:val="00DE0077"/>
    <w:rsid w:val="00DE0137"/>
    <w:rsid w:val="00DE01BA"/>
    <w:rsid w:val="00DE061F"/>
    <w:rsid w:val="00DE0DCF"/>
    <w:rsid w:val="00DE137B"/>
    <w:rsid w:val="00DE19D9"/>
    <w:rsid w:val="00DE1DC6"/>
    <w:rsid w:val="00DE1F77"/>
    <w:rsid w:val="00DE21C6"/>
    <w:rsid w:val="00DE22AA"/>
    <w:rsid w:val="00DE288F"/>
    <w:rsid w:val="00DE2C45"/>
    <w:rsid w:val="00DE2D49"/>
    <w:rsid w:val="00DE2ED5"/>
    <w:rsid w:val="00DE2F4E"/>
    <w:rsid w:val="00DE3E66"/>
    <w:rsid w:val="00DE3F75"/>
    <w:rsid w:val="00DE41FC"/>
    <w:rsid w:val="00DE45F5"/>
    <w:rsid w:val="00DE4AAD"/>
    <w:rsid w:val="00DE4C0C"/>
    <w:rsid w:val="00DE4FC8"/>
    <w:rsid w:val="00DE53B5"/>
    <w:rsid w:val="00DE5A50"/>
    <w:rsid w:val="00DE60C5"/>
    <w:rsid w:val="00DE7323"/>
    <w:rsid w:val="00DE75F0"/>
    <w:rsid w:val="00DE77CB"/>
    <w:rsid w:val="00DE7EBA"/>
    <w:rsid w:val="00DF04BD"/>
    <w:rsid w:val="00DF050A"/>
    <w:rsid w:val="00DF068D"/>
    <w:rsid w:val="00DF0D3A"/>
    <w:rsid w:val="00DF140A"/>
    <w:rsid w:val="00DF1A9A"/>
    <w:rsid w:val="00DF1C2D"/>
    <w:rsid w:val="00DF1F8A"/>
    <w:rsid w:val="00DF2209"/>
    <w:rsid w:val="00DF248E"/>
    <w:rsid w:val="00DF2715"/>
    <w:rsid w:val="00DF3577"/>
    <w:rsid w:val="00DF4063"/>
    <w:rsid w:val="00DF514C"/>
    <w:rsid w:val="00DF5F13"/>
    <w:rsid w:val="00DF63DD"/>
    <w:rsid w:val="00DF6B62"/>
    <w:rsid w:val="00DF6D27"/>
    <w:rsid w:val="00DF7BD0"/>
    <w:rsid w:val="00DF7BDF"/>
    <w:rsid w:val="00E00303"/>
    <w:rsid w:val="00E00A62"/>
    <w:rsid w:val="00E010A0"/>
    <w:rsid w:val="00E010A2"/>
    <w:rsid w:val="00E0125E"/>
    <w:rsid w:val="00E01668"/>
    <w:rsid w:val="00E0173A"/>
    <w:rsid w:val="00E01849"/>
    <w:rsid w:val="00E020D1"/>
    <w:rsid w:val="00E02B64"/>
    <w:rsid w:val="00E02EAD"/>
    <w:rsid w:val="00E03453"/>
    <w:rsid w:val="00E03D3F"/>
    <w:rsid w:val="00E03DED"/>
    <w:rsid w:val="00E0437C"/>
    <w:rsid w:val="00E0452C"/>
    <w:rsid w:val="00E04D61"/>
    <w:rsid w:val="00E0504C"/>
    <w:rsid w:val="00E05074"/>
    <w:rsid w:val="00E052DA"/>
    <w:rsid w:val="00E05489"/>
    <w:rsid w:val="00E05741"/>
    <w:rsid w:val="00E05F7F"/>
    <w:rsid w:val="00E06549"/>
    <w:rsid w:val="00E06930"/>
    <w:rsid w:val="00E06971"/>
    <w:rsid w:val="00E07D90"/>
    <w:rsid w:val="00E105B3"/>
    <w:rsid w:val="00E10846"/>
    <w:rsid w:val="00E10883"/>
    <w:rsid w:val="00E108F4"/>
    <w:rsid w:val="00E10D36"/>
    <w:rsid w:val="00E10D4E"/>
    <w:rsid w:val="00E1100C"/>
    <w:rsid w:val="00E11489"/>
    <w:rsid w:val="00E11711"/>
    <w:rsid w:val="00E11E63"/>
    <w:rsid w:val="00E11F94"/>
    <w:rsid w:val="00E12696"/>
    <w:rsid w:val="00E1310D"/>
    <w:rsid w:val="00E13359"/>
    <w:rsid w:val="00E138BF"/>
    <w:rsid w:val="00E14EFA"/>
    <w:rsid w:val="00E151B9"/>
    <w:rsid w:val="00E158C4"/>
    <w:rsid w:val="00E15CC4"/>
    <w:rsid w:val="00E161E6"/>
    <w:rsid w:val="00E167C9"/>
    <w:rsid w:val="00E1698C"/>
    <w:rsid w:val="00E16BDB"/>
    <w:rsid w:val="00E172BE"/>
    <w:rsid w:val="00E17CF7"/>
    <w:rsid w:val="00E205D6"/>
    <w:rsid w:val="00E209AB"/>
    <w:rsid w:val="00E216EC"/>
    <w:rsid w:val="00E2189A"/>
    <w:rsid w:val="00E21A60"/>
    <w:rsid w:val="00E22B5A"/>
    <w:rsid w:val="00E22B68"/>
    <w:rsid w:val="00E231C9"/>
    <w:rsid w:val="00E23EBF"/>
    <w:rsid w:val="00E23FD5"/>
    <w:rsid w:val="00E24669"/>
    <w:rsid w:val="00E24A70"/>
    <w:rsid w:val="00E24C48"/>
    <w:rsid w:val="00E24EE4"/>
    <w:rsid w:val="00E25981"/>
    <w:rsid w:val="00E26056"/>
    <w:rsid w:val="00E26141"/>
    <w:rsid w:val="00E266F5"/>
    <w:rsid w:val="00E2673E"/>
    <w:rsid w:val="00E270D3"/>
    <w:rsid w:val="00E27FC7"/>
    <w:rsid w:val="00E3050B"/>
    <w:rsid w:val="00E30700"/>
    <w:rsid w:val="00E31115"/>
    <w:rsid w:val="00E31360"/>
    <w:rsid w:val="00E31D28"/>
    <w:rsid w:val="00E32425"/>
    <w:rsid w:val="00E3252C"/>
    <w:rsid w:val="00E325FF"/>
    <w:rsid w:val="00E32CB8"/>
    <w:rsid w:val="00E32F67"/>
    <w:rsid w:val="00E3440F"/>
    <w:rsid w:val="00E34F3A"/>
    <w:rsid w:val="00E35F99"/>
    <w:rsid w:val="00E35F9A"/>
    <w:rsid w:val="00E3637F"/>
    <w:rsid w:val="00E364B6"/>
    <w:rsid w:val="00E36723"/>
    <w:rsid w:val="00E3713C"/>
    <w:rsid w:val="00E3767B"/>
    <w:rsid w:val="00E37E1C"/>
    <w:rsid w:val="00E40079"/>
    <w:rsid w:val="00E40126"/>
    <w:rsid w:val="00E4013B"/>
    <w:rsid w:val="00E40C85"/>
    <w:rsid w:val="00E40CBF"/>
    <w:rsid w:val="00E40E7D"/>
    <w:rsid w:val="00E40EE4"/>
    <w:rsid w:val="00E413C6"/>
    <w:rsid w:val="00E420D5"/>
    <w:rsid w:val="00E42517"/>
    <w:rsid w:val="00E42948"/>
    <w:rsid w:val="00E42D55"/>
    <w:rsid w:val="00E42FFE"/>
    <w:rsid w:val="00E4316E"/>
    <w:rsid w:val="00E435AB"/>
    <w:rsid w:val="00E44275"/>
    <w:rsid w:val="00E44705"/>
    <w:rsid w:val="00E44777"/>
    <w:rsid w:val="00E44F67"/>
    <w:rsid w:val="00E4535F"/>
    <w:rsid w:val="00E455E3"/>
    <w:rsid w:val="00E466BC"/>
    <w:rsid w:val="00E4686A"/>
    <w:rsid w:val="00E479FD"/>
    <w:rsid w:val="00E47A76"/>
    <w:rsid w:val="00E504D6"/>
    <w:rsid w:val="00E50B6F"/>
    <w:rsid w:val="00E50EBE"/>
    <w:rsid w:val="00E50F69"/>
    <w:rsid w:val="00E50FC6"/>
    <w:rsid w:val="00E52372"/>
    <w:rsid w:val="00E5272D"/>
    <w:rsid w:val="00E52786"/>
    <w:rsid w:val="00E52F05"/>
    <w:rsid w:val="00E540CA"/>
    <w:rsid w:val="00E548E3"/>
    <w:rsid w:val="00E54C83"/>
    <w:rsid w:val="00E55460"/>
    <w:rsid w:val="00E5596B"/>
    <w:rsid w:val="00E55B28"/>
    <w:rsid w:val="00E56D4A"/>
    <w:rsid w:val="00E57119"/>
    <w:rsid w:val="00E5719E"/>
    <w:rsid w:val="00E57D7B"/>
    <w:rsid w:val="00E57F4B"/>
    <w:rsid w:val="00E601A5"/>
    <w:rsid w:val="00E602E5"/>
    <w:rsid w:val="00E602F8"/>
    <w:rsid w:val="00E6085B"/>
    <w:rsid w:val="00E60FBA"/>
    <w:rsid w:val="00E60FBF"/>
    <w:rsid w:val="00E611AE"/>
    <w:rsid w:val="00E616F9"/>
    <w:rsid w:val="00E61852"/>
    <w:rsid w:val="00E61A0C"/>
    <w:rsid w:val="00E61D22"/>
    <w:rsid w:val="00E61D96"/>
    <w:rsid w:val="00E61E4B"/>
    <w:rsid w:val="00E61E57"/>
    <w:rsid w:val="00E62F6E"/>
    <w:rsid w:val="00E63DA2"/>
    <w:rsid w:val="00E641E8"/>
    <w:rsid w:val="00E642AF"/>
    <w:rsid w:val="00E644C6"/>
    <w:rsid w:val="00E64555"/>
    <w:rsid w:val="00E64595"/>
    <w:rsid w:val="00E646BB"/>
    <w:rsid w:val="00E64D24"/>
    <w:rsid w:val="00E64FAF"/>
    <w:rsid w:val="00E653A6"/>
    <w:rsid w:val="00E6549C"/>
    <w:rsid w:val="00E654B9"/>
    <w:rsid w:val="00E6589D"/>
    <w:rsid w:val="00E65E8C"/>
    <w:rsid w:val="00E663BF"/>
    <w:rsid w:val="00E665E7"/>
    <w:rsid w:val="00E6661C"/>
    <w:rsid w:val="00E66C96"/>
    <w:rsid w:val="00E674D0"/>
    <w:rsid w:val="00E70130"/>
    <w:rsid w:val="00E706DE"/>
    <w:rsid w:val="00E71063"/>
    <w:rsid w:val="00E715FC"/>
    <w:rsid w:val="00E71A45"/>
    <w:rsid w:val="00E71C21"/>
    <w:rsid w:val="00E72F23"/>
    <w:rsid w:val="00E730FC"/>
    <w:rsid w:val="00E73481"/>
    <w:rsid w:val="00E7385A"/>
    <w:rsid w:val="00E7391F"/>
    <w:rsid w:val="00E73CE6"/>
    <w:rsid w:val="00E74780"/>
    <w:rsid w:val="00E74956"/>
    <w:rsid w:val="00E752F7"/>
    <w:rsid w:val="00E75848"/>
    <w:rsid w:val="00E759D4"/>
    <w:rsid w:val="00E76A3C"/>
    <w:rsid w:val="00E76F9B"/>
    <w:rsid w:val="00E771FC"/>
    <w:rsid w:val="00E773E5"/>
    <w:rsid w:val="00E77BDD"/>
    <w:rsid w:val="00E806D3"/>
    <w:rsid w:val="00E8104D"/>
    <w:rsid w:val="00E81C34"/>
    <w:rsid w:val="00E81D83"/>
    <w:rsid w:val="00E821BB"/>
    <w:rsid w:val="00E822E9"/>
    <w:rsid w:val="00E826FE"/>
    <w:rsid w:val="00E8275E"/>
    <w:rsid w:val="00E827AF"/>
    <w:rsid w:val="00E82DE9"/>
    <w:rsid w:val="00E83253"/>
    <w:rsid w:val="00E83714"/>
    <w:rsid w:val="00E83831"/>
    <w:rsid w:val="00E844AB"/>
    <w:rsid w:val="00E84C97"/>
    <w:rsid w:val="00E85005"/>
    <w:rsid w:val="00E85296"/>
    <w:rsid w:val="00E8533B"/>
    <w:rsid w:val="00E8595B"/>
    <w:rsid w:val="00E85E4E"/>
    <w:rsid w:val="00E86327"/>
    <w:rsid w:val="00E86DF0"/>
    <w:rsid w:val="00E87BD2"/>
    <w:rsid w:val="00E87CDC"/>
    <w:rsid w:val="00E90B33"/>
    <w:rsid w:val="00E910E4"/>
    <w:rsid w:val="00E911E0"/>
    <w:rsid w:val="00E92115"/>
    <w:rsid w:val="00E93407"/>
    <w:rsid w:val="00E940A8"/>
    <w:rsid w:val="00E94307"/>
    <w:rsid w:val="00E947E8"/>
    <w:rsid w:val="00E94B0F"/>
    <w:rsid w:val="00E9503F"/>
    <w:rsid w:val="00E956F3"/>
    <w:rsid w:val="00E95AA7"/>
    <w:rsid w:val="00E96E68"/>
    <w:rsid w:val="00E97013"/>
    <w:rsid w:val="00E97EA1"/>
    <w:rsid w:val="00EA0BBE"/>
    <w:rsid w:val="00EA18B9"/>
    <w:rsid w:val="00EA1FBC"/>
    <w:rsid w:val="00EA20A1"/>
    <w:rsid w:val="00EA212B"/>
    <w:rsid w:val="00EA24B5"/>
    <w:rsid w:val="00EA2AAA"/>
    <w:rsid w:val="00EA2D44"/>
    <w:rsid w:val="00EA3A1D"/>
    <w:rsid w:val="00EA3CD7"/>
    <w:rsid w:val="00EA3E2D"/>
    <w:rsid w:val="00EA4010"/>
    <w:rsid w:val="00EA429D"/>
    <w:rsid w:val="00EA43AF"/>
    <w:rsid w:val="00EA4676"/>
    <w:rsid w:val="00EA47FB"/>
    <w:rsid w:val="00EA4C7C"/>
    <w:rsid w:val="00EA4D4C"/>
    <w:rsid w:val="00EA554F"/>
    <w:rsid w:val="00EA6250"/>
    <w:rsid w:val="00EA66A4"/>
    <w:rsid w:val="00EA6819"/>
    <w:rsid w:val="00EA6A1E"/>
    <w:rsid w:val="00EA6CAC"/>
    <w:rsid w:val="00EA75BD"/>
    <w:rsid w:val="00EA7C47"/>
    <w:rsid w:val="00EB0F0F"/>
    <w:rsid w:val="00EB12A5"/>
    <w:rsid w:val="00EB24D8"/>
    <w:rsid w:val="00EB277B"/>
    <w:rsid w:val="00EB2F20"/>
    <w:rsid w:val="00EB2F35"/>
    <w:rsid w:val="00EB31DB"/>
    <w:rsid w:val="00EB3422"/>
    <w:rsid w:val="00EB3A31"/>
    <w:rsid w:val="00EB4EAF"/>
    <w:rsid w:val="00EB548E"/>
    <w:rsid w:val="00EB5C41"/>
    <w:rsid w:val="00EB5F5A"/>
    <w:rsid w:val="00EB656C"/>
    <w:rsid w:val="00EB657E"/>
    <w:rsid w:val="00EB695E"/>
    <w:rsid w:val="00EB69D1"/>
    <w:rsid w:val="00EB69D4"/>
    <w:rsid w:val="00EB6FE9"/>
    <w:rsid w:val="00EB72FF"/>
    <w:rsid w:val="00EB756F"/>
    <w:rsid w:val="00EB79C8"/>
    <w:rsid w:val="00EB7E3F"/>
    <w:rsid w:val="00EB7E78"/>
    <w:rsid w:val="00EC0301"/>
    <w:rsid w:val="00EC08B5"/>
    <w:rsid w:val="00EC09C6"/>
    <w:rsid w:val="00EC0EA5"/>
    <w:rsid w:val="00EC1056"/>
    <w:rsid w:val="00EC1470"/>
    <w:rsid w:val="00EC222E"/>
    <w:rsid w:val="00EC2716"/>
    <w:rsid w:val="00EC2DBB"/>
    <w:rsid w:val="00EC358E"/>
    <w:rsid w:val="00EC3FD2"/>
    <w:rsid w:val="00EC4095"/>
    <w:rsid w:val="00EC43B5"/>
    <w:rsid w:val="00EC4537"/>
    <w:rsid w:val="00EC4960"/>
    <w:rsid w:val="00EC4AE3"/>
    <w:rsid w:val="00EC5414"/>
    <w:rsid w:val="00EC54EE"/>
    <w:rsid w:val="00EC59B2"/>
    <w:rsid w:val="00EC5A3B"/>
    <w:rsid w:val="00EC6424"/>
    <w:rsid w:val="00EC786C"/>
    <w:rsid w:val="00EC7ADD"/>
    <w:rsid w:val="00EC7C26"/>
    <w:rsid w:val="00ED04FE"/>
    <w:rsid w:val="00ED0DD0"/>
    <w:rsid w:val="00ED1122"/>
    <w:rsid w:val="00ED1989"/>
    <w:rsid w:val="00ED28F2"/>
    <w:rsid w:val="00ED2F3E"/>
    <w:rsid w:val="00ED3145"/>
    <w:rsid w:val="00ED3309"/>
    <w:rsid w:val="00ED356E"/>
    <w:rsid w:val="00ED3792"/>
    <w:rsid w:val="00ED3BDA"/>
    <w:rsid w:val="00ED5648"/>
    <w:rsid w:val="00ED5A3B"/>
    <w:rsid w:val="00ED5C30"/>
    <w:rsid w:val="00ED5E02"/>
    <w:rsid w:val="00ED5EED"/>
    <w:rsid w:val="00ED612A"/>
    <w:rsid w:val="00ED6B1C"/>
    <w:rsid w:val="00ED6CF7"/>
    <w:rsid w:val="00ED6F33"/>
    <w:rsid w:val="00ED70A5"/>
    <w:rsid w:val="00ED7716"/>
    <w:rsid w:val="00ED7737"/>
    <w:rsid w:val="00ED7747"/>
    <w:rsid w:val="00ED7CF4"/>
    <w:rsid w:val="00ED7FA2"/>
    <w:rsid w:val="00EE0786"/>
    <w:rsid w:val="00EE1B0E"/>
    <w:rsid w:val="00EE22FB"/>
    <w:rsid w:val="00EE2407"/>
    <w:rsid w:val="00EE26AE"/>
    <w:rsid w:val="00EE29C8"/>
    <w:rsid w:val="00EE2A54"/>
    <w:rsid w:val="00EE2FC2"/>
    <w:rsid w:val="00EE3B6B"/>
    <w:rsid w:val="00EE3B88"/>
    <w:rsid w:val="00EE4B75"/>
    <w:rsid w:val="00EE4D34"/>
    <w:rsid w:val="00EE4DBD"/>
    <w:rsid w:val="00EE6AC6"/>
    <w:rsid w:val="00EE6E26"/>
    <w:rsid w:val="00EE784F"/>
    <w:rsid w:val="00EE7A1D"/>
    <w:rsid w:val="00EE7DBD"/>
    <w:rsid w:val="00EF0500"/>
    <w:rsid w:val="00EF0808"/>
    <w:rsid w:val="00EF1002"/>
    <w:rsid w:val="00EF143F"/>
    <w:rsid w:val="00EF1D3B"/>
    <w:rsid w:val="00EF23D8"/>
    <w:rsid w:val="00EF2A5A"/>
    <w:rsid w:val="00EF2A87"/>
    <w:rsid w:val="00EF3A74"/>
    <w:rsid w:val="00EF3AE9"/>
    <w:rsid w:val="00EF3EA5"/>
    <w:rsid w:val="00EF49FB"/>
    <w:rsid w:val="00EF55D6"/>
    <w:rsid w:val="00EF644D"/>
    <w:rsid w:val="00EF6BAD"/>
    <w:rsid w:val="00EF6D29"/>
    <w:rsid w:val="00EF6E79"/>
    <w:rsid w:val="00EF7138"/>
    <w:rsid w:val="00EF7E0B"/>
    <w:rsid w:val="00F00881"/>
    <w:rsid w:val="00F00917"/>
    <w:rsid w:val="00F00B65"/>
    <w:rsid w:val="00F00EFE"/>
    <w:rsid w:val="00F010BB"/>
    <w:rsid w:val="00F012C1"/>
    <w:rsid w:val="00F0175F"/>
    <w:rsid w:val="00F01A41"/>
    <w:rsid w:val="00F03280"/>
    <w:rsid w:val="00F0362A"/>
    <w:rsid w:val="00F0385C"/>
    <w:rsid w:val="00F03ABE"/>
    <w:rsid w:val="00F03B69"/>
    <w:rsid w:val="00F04345"/>
    <w:rsid w:val="00F047A4"/>
    <w:rsid w:val="00F04B40"/>
    <w:rsid w:val="00F04F52"/>
    <w:rsid w:val="00F0510F"/>
    <w:rsid w:val="00F0563F"/>
    <w:rsid w:val="00F064EF"/>
    <w:rsid w:val="00F06558"/>
    <w:rsid w:val="00F06F42"/>
    <w:rsid w:val="00F07122"/>
    <w:rsid w:val="00F074C9"/>
    <w:rsid w:val="00F07588"/>
    <w:rsid w:val="00F07C82"/>
    <w:rsid w:val="00F07F5E"/>
    <w:rsid w:val="00F1001E"/>
    <w:rsid w:val="00F1055F"/>
    <w:rsid w:val="00F106BB"/>
    <w:rsid w:val="00F10BA6"/>
    <w:rsid w:val="00F11027"/>
    <w:rsid w:val="00F111BA"/>
    <w:rsid w:val="00F1155D"/>
    <w:rsid w:val="00F116DD"/>
    <w:rsid w:val="00F11D9F"/>
    <w:rsid w:val="00F11E31"/>
    <w:rsid w:val="00F12C53"/>
    <w:rsid w:val="00F1360C"/>
    <w:rsid w:val="00F13AA1"/>
    <w:rsid w:val="00F13F2A"/>
    <w:rsid w:val="00F14D9E"/>
    <w:rsid w:val="00F15097"/>
    <w:rsid w:val="00F153F8"/>
    <w:rsid w:val="00F15671"/>
    <w:rsid w:val="00F1643E"/>
    <w:rsid w:val="00F16695"/>
    <w:rsid w:val="00F17159"/>
    <w:rsid w:val="00F1733F"/>
    <w:rsid w:val="00F202E3"/>
    <w:rsid w:val="00F20C6E"/>
    <w:rsid w:val="00F20D6C"/>
    <w:rsid w:val="00F20F03"/>
    <w:rsid w:val="00F21A70"/>
    <w:rsid w:val="00F2255F"/>
    <w:rsid w:val="00F225CF"/>
    <w:rsid w:val="00F22882"/>
    <w:rsid w:val="00F22985"/>
    <w:rsid w:val="00F22AEF"/>
    <w:rsid w:val="00F22F7A"/>
    <w:rsid w:val="00F2343C"/>
    <w:rsid w:val="00F23CFC"/>
    <w:rsid w:val="00F24076"/>
    <w:rsid w:val="00F240CB"/>
    <w:rsid w:val="00F2492F"/>
    <w:rsid w:val="00F2500D"/>
    <w:rsid w:val="00F251B2"/>
    <w:rsid w:val="00F2596D"/>
    <w:rsid w:val="00F25CAA"/>
    <w:rsid w:val="00F26AD6"/>
    <w:rsid w:val="00F2711C"/>
    <w:rsid w:val="00F2720E"/>
    <w:rsid w:val="00F27253"/>
    <w:rsid w:val="00F277E8"/>
    <w:rsid w:val="00F27B04"/>
    <w:rsid w:val="00F27E3D"/>
    <w:rsid w:val="00F27EB2"/>
    <w:rsid w:val="00F301D0"/>
    <w:rsid w:val="00F3069F"/>
    <w:rsid w:val="00F30A02"/>
    <w:rsid w:val="00F30C3F"/>
    <w:rsid w:val="00F30C60"/>
    <w:rsid w:val="00F30F38"/>
    <w:rsid w:val="00F311D1"/>
    <w:rsid w:val="00F3158A"/>
    <w:rsid w:val="00F318DB"/>
    <w:rsid w:val="00F3199C"/>
    <w:rsid w:val="00F31F7D"/>
    <w:rsid w:val="00F31FB9"/>
    <w:rsid w:val="00F326F6"/>
    <w:rsid w:val="00F32AFF"/>
    <w:rsid w:val="00F33825"/>
    <w:rsid w:val="00F33A8B"/>
    <w:rsid w:val="00F33D3B"/>
    <w:rsid w:val="00F34A96"/>
    <w:rsid w:val="00F34EBF"/>
    <w:rsid w:val="00F34F05"/>
    <w:rsid w:val="00F356D5"/>
    <w:rsid w:val="00F359A5"/>
    <w:rsid w:val="00F361AE"/>
    <w:rsid w:val="00F36240"/>
    <w:rsid w:val="00F363EB"/>
    <w:rsid w:val="00F365DE"/>
    <w:rsid w:val="00F366DA"/>
    <w:rsid w:val="00F367CF"/>
    <w:rsid w:val="00F36D37"/>
    <w:rsid w:val="00F3719A"/>
    <w:rsid w:val="00F379BF"/>
    <w:rsid w:val="00F37EA7"/>
    <w:rsid w:val="00F40805"/>
    <w:rsid w:val="00F40B93"/>
    <w:rsid w:val="00F40C5E"/>
    <w:rsid w:val="00F40E3E"/>
    <w:rsid w:val="00F4163A"/>
    <w:rsid w:val="00F41873"/>
    <w:rsid w:val="00F419C3"/>
    <w:rsid w:val="00F41D91"/>
    <w:rsid w:val="00F41E2B"/>
    <w:rsid w:val="00F423BE"/>
    <w:rsid w:val="00F424A5"/>
    <w:rsid w:val="00F425EF"/>
    <w:rsid w:val="00F428AC"/>
    <w:rsid w:val="00F42AAD"/>
    <w:rsid w:val="00F42EE3"/>
    <w:rsid w:val="00F43149"/>
    <w:rsid w:val="00F43660"/>
    <w:rsid w:val="00F43B91"/>
    <w:rsid w:val="00F44542"/>
    <w:rsid w:val="00F448DD"/>
    <w:rsid w:val="00F44D6A"/>
    <w:rsid w:val="00F44DB8"/>
    <w:rsid w:val="00F45760"/>
    <w:rsid w:val="00F45925"/>
    <w:rsid w:val="00F468E7"/>
    <w:rsid w:val="00F46BA6"/>
    <w:rsid w:val="00F46C97"/>
    <w:rsid w:val="00F4703E"/>
    <w:rsid w:val="00F4775F"/>
    <w:rsid w:val="00F47B16"/>
    <w:rsid w:val="00F50781"/>
    <w:rsid w:val="00F50CA3"/>
    <w:rsid w:val="00F517ED"/>
    <w:rsid w:val="00F51F3F"/>
    <w:rsid w:val="00F528B5"/>
    <w:rsid w:val="00F528E7"/>
    <w:rsid w:val="00F52C8A"/>
    <w:rsid w:val="00F5352D"/>
    <w:rsid w:val="00F53615"/>
    <w:rsid w:val="00F53A91"/>
    <w:rsid w:val="00F54466"/>
    <w:rsid w:val="00F54783"/>
    <w:rsid w:val="00F547E9"/>
    <w:rsid w:val="00F5494E"/>
    <w:rsid w:val="00F54ABE"/>
    <w:rsid w:val="00F55804"/>
    <w:rsid w:val="00F55F1A"/>
    <w:rsid w:val="00F56310"/>
    <w:rsid w:val="00F5684C"/>
    <w:rsid w:val="00F57210"/>
    <w:rsid w:val="00F577FC"/>
    <w:rsid w:val="00F602F0"/>
    <w:rsid w:val="00F60C90"/>
    <w:rsid w:val="00F619EE"/>
    <w:rsid w:val="00F61CF5"/>
    <w:rsid w:val="00F61FF9"/>
    <w:rsid w:val="00F62069"/>
    <w:rsid w:val="00F62159"/>
    <w:rsid w:val="00F62A7C"/>
    <w:rsid w:val="00F62B93"/>
    <w:rsid w:val="00F633E5"/>
    <w:rsid w:val="00F63C89"/>
    <w:rsid w:val="00F647EC"/>
    <w:rsid w:val="00F64FAB"/>
    <w:rsid w:val="00F65AC8"/>
    <w:rsid w:val="00F65CEA"/>
    <w:rsid w:val="00F65F15"/>
    <w:rsid w:val="00F66443"/>
    <w:rsid w:val="00F675EA"/>
    <w:rsid w:val="00F7073B"/>
    <w:rsid w:val="00F7074A"/>
    <w:rsid w:val="00F70AD6"/>
    <w:rsid w:val="00F71687"/>
    <w:rsid w:val="00F71708"/>
    <w:rsid w:val="00F717C1"/>
    <w:rsid w:val="00F71AAE"/>
    <w:rsid w:val="00F71CDB"/>
    <w:rsid w:val="00F725D3"/>
    <w:rsid w:val="00F7281E"/>
    <w:rsid w:val="00F72C1A"/>
    <w:rsid w:val="00F72C3D"/>
    <w:rsid w:val="00F7341E"/>
    <w:rsid w:val="00F737AB"/>
    <w:rsid w:val="00F74216"/>
    <w:rsid w:val="00F74F0F"/>
    <w:rsid w:val="00F74F77"/>
    <w:rsid w:val="00F75731"/>
    <w:rsid w:val="00F75841"/>
    <w:rsid w:val="00F76333"/>
    <w:rsid w:val="00F770C6"/>
    <w:rsid w:val="00F77100"/>
    <w:rsid w:val="00F8090F"/>
    <w:rsid w:val="00F80A8A"/>
    <w:rsid w:val="00F8139A"/>
    <w:rsid w:val="00F82AAE"/>
    <w:rsid w:val="00F834BE"/>
    <w:rsid w:val="00F838A9"/>
    <w:rsid w:val="00F849E3"/>
    <w:rsid w:val="00F84B4E"/>
    <w:rsid w:val="00F84C44"/>
    <w:rsid w:val="00F84F30"/>
    <w:rsid w:val="00F851B7"/>
    <w:rsid w:val="00F8566C"/>
    <w:rsid w:val="00F858D4"/>
    <w:rsid w:val="00F85C65"/>
    <w:rsid w:val="00F860EB"/>
    <w:rsid w:val="00F868B6"/>
    <w:rsid w:val="00F86968"/>
    <w:rsid w:val="00F86E42"/>
    <w:rsid w:val="00F876E6"/>
    <w:rsid w:val="00F87825"/>
    <w:rsid w:val="00F87838"/>
    <w:rsid w:val="00F879E8"/>
    <w:rsid w:val="00F87FCE"/>
    <w:rsid w:val="00F9008B"/>
    <w:rsid w:val="00F909C7"/>
    <w:rsid w:val="00F91669"/>
    <w:rsid w:val="00F916DE"/>
    <w:rsid w:val="00F9184F"/>
    <w:rsid w:val="00F91943"/>
    <w:rsid w:val="00F9231D"/>
    <w:rsid w:val="00F92A66"/>
    <w:rsid w:val="00F931CF"/>
    <w:rsid w:val="00F93A31"/>
    <w:rsid w:val="00F93D6E"/>
    <w:rsid w:val="00F9423D"/>
    <w:rsid w:val="00F942C2"/>
    <w:rsid w:val="00F94609"/>
    <w:rsid w:val="00F94F16"/>
    <w:rsid w:val="00F95182"/>
    <w:rsid w:val="00F957D2"/>
    <w:rsid w:val="00F95D94"/>
    <w:rsid w:val="00F966D7"/>
    <w:rsid w:val="00F96F86"/>
    <w:rsid w:val="00FA02B8"/>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7E3"/>
    <w:rsid w:val="00FA7157"/>
    <w:rsid w:val="00FA73A6"/>
    <w:rsid w:val="00FA7698"/>
    <w:rsid w:val="00FA78C2"/>
    <w:rsid w:val="00FA7A2D"/>
    <w:rsid w:val="00FA7B4F"/>
    <w:rsid w:val="00FA7DA6"/>
    <w:rsid w:val="00FB02F8"/>
    <w:rsid w:val="00FB06E7"/>
    <w:rsid w:val="00FB0822"/>
    <w:rsid w:val="00FB0AC3"/>
    <w:rsid w:val="00FB1093"/>
    <w:rsid w:val="00FB13A0"/>
    <w:rsid w:val="00FB2142"/>
    <w:rsid w:val="00FB227E"/>
    <w:rsid w:val="00FB25DA"/>
    <w:rsid w:val="00FB267D"/>
    <w:rsid w:val="00FB2A18"/>
    <w:rsid w:val="00FB2BF4"/>
    <w:rsid w:val="00FB2C8D"/>
    <w:rsid w:val="00FB2DC6"/>
    <w:rsid w:val="00FB4267"/>
    <w:rsid w:val="00FB59D4"/>
    <w:rsid w:val="00FB5E81"/>
    <w:rsid w:val="00FB6E6C"/>
    <w:rsid w:val="00FB71B0"/>
    <w:rsid w:val="00FB78DF"/>
    <w:rsid w:val="00FB7ABA"/>
    <w:rsid w:val="00FB7C21"/>
    <w:rsid w:val="00FB7C46"/>
    <w:rsid w:val="00FC04E0"/>
    <w:rsid w:val="00FC06CE"/>
    <w:rsid w:val="00FC0D98"/>
    <w:rsid w:val="00FC0E2F"/>
    <w:rsid w:val="00FC1042"/>
    <w:rsid w:val="00FC11C6"/>
    <w:rsid w:val="00FC17D8"/>
    <w:rsid w:val="00FC279A"/>
    <w:rsid w:val="00FC324D"/>
    <w:rsid w:val="00FC39A1"/>
    <w:rsid w:val="00FC3BC3"/>
    <w:rsid w:val="00FC3E47"/>
    <w:rsid w:val="00FC4B53"/>
    <w:rsid w:val="00FC4BAE"/>
    <w:rsid w:val="00FC4F75"/>
    <w:rsid w:val="00FC5160"/>
    <w:rsid w:val="00FC5A36"/>
    <w:rsid w:val="00FC6353"/>
    <w:rsid w:val="00FC69CF"/>
    <w:rsid w:val="00FC6B0B"/>
    <w:rsid w:val="00FC713B"/>
    <w:rsid w:val="00FC7862"/>
    <w:rsid w:val="00FC79D5"/>
    <w:rsid w:val="00FC7B35"/>
    <w:rsid w:val="00FC7B53"/>
    <w:rsid w:val="00FC7BD8"/>
    <w:rsid w:val="00FD0177"/>
    <w:rsid w:val="00FD0AE7"/>
    <w:rsid w:val="00FD0B44"/>
    <w:rsid w:val="00FD0F70"/>
    <w:rsid w:val="00FD2315"/>
    <w:rsid w:val="00FD29A7"/>
    <w:rsid w:val="00FD2B15"/>
    <w:rsid w:val="00FD3092"/>
    <w:rsid w:val="00FD3D48"/>
    <w:rsid w:val="00FD412E"/>
    <w:rsid w:val="00FD420F"/>
    <w:rsid w:val="00FD4339"/>
    <w:rsid w:val="00FD4B0C"/>
    <w:rsid w:val="00FD4F2F"/>
    <w:rsid w:val="00FD51F7"/>
    <w:rsid w:val="00FD5258"/>
    <w:rsid w:val="00FD5602"/>
    <w:rsid w:val="00FD5661"/>
    <w:rsid w:val="00FD5A2A"/>
    <w:rsid w:val="00FD5AE2"/>
    <w:rsid w:val="00FD62B4"/>
    <w:rsid w:val="00FD7142"/>
    <w:rsid w:val="00FD750F"/>
    <w:rsid w:val="00FE011C"/>
    <w:rsid w:val="00FE0458"/>
    <w:rsid w:val="00FE07DC"/>
    <w:rsid w:val="00FE08FB"/>
    <w:rsid w:val="00FE1116"/>
    <w:rsid w:val="00FE2075"/>
    <w:rsid w:val="00FE2080"/>
    <w:rsid w:val="00FE27B9"/>
    <w:rsid w:val="00FE2E37"/>
    <w:rsid w:val="00FE30EF"/>
    <w:rsid w:val="00FE3640"/>
    <w:rsid w:val="00FE36B6"/>
    <w:rsid w:val="00FE3780"/>
    <w:rsid w:val="00FE3954"/>
    <w:rsid w:val="00FE3CF7"/>
    <w:rsid w:val="00FE4071"/>
    <w:rsid w:val="00FE42E3"/>
    <w:rsid w:val="00FE4ECD"/>
    <w:rsid w:val="00FE52B7"/>
    <w:rsid w:val="00FE53C5"/>
    <w:rsid w:val="00FE56A8"/>
    <w:rsid w:val="00FE5807"/>
    <w:rsid w:val="00FE5C39"/>
    <w:rsid w:val="00FE5C57"/>
    <w:rsid w:val="00FE624E"/>
    <w:rsid w:val="00FE6415"/>
    <w:rsid w:val="00FE69E7"/>
    <w:rsid w:val="00FE6BB8"/>
    <w:rsid w:val="00FE6E6B"/>
    <w:rsid w:val="00FE6E76"/>
    <w:rsid w:val="00FF027B"/>
    <w:rsid w:val="00FF1174"/>
    <w:rsid w:val="00FF165A"/>
    <w:rsid w:val="00FF1B72"/>
    <w:rsid w:val="00FF1CF1"/>
    <w:rsid w:val="00FF1F4C"/>
    <w:rsid w:val="00FF1F90"/>
    <w:rsid w:val="00FF228F"/>
    <w:rsid w:val="00FF35DC"/>
    <w:rsid w:val="00FF3A6A"/>
    <w:rsid w:val="00FF3C7A"/>
    <w:rsid w:val="00FF3E09"/>
    <w:rsid w:val="00FF411C"/>
    <w:rsid w:val="00FF44C6"/>
    <w:rsid w:val="00FF4B2E"/>
    <w:rsid w:val="00FF4E4B"/>
    <w:rsid w:val="00FF4E4E"/>
    <w:rsid w:val="00FF5049"/>
    <w:rsid w:val="00FF519C"/>
    <w:rsid w:val="00FF5D1F"/>
    <w:rsid w:val="00FF5F95"/>
    <w:rsid w:val="00FF6126"/>
    <w:rsid w:val="00FF61F5"/>
    <w:rsid w:val="00FF62AA"/>
    <w:rsid w:val="00FF64D7"/>
    <w:rsid w:val="00FF6B6C"/>
    <w:rsid w:val="00FF6DD4"/>
    <w:rsid w:val="01AA2C10"/>
    <w:rsid w:val="0240227B"/>
    <w:rsid w:val="02FE3E7B"/>
    <w:rsid w:val="037738D8"/>
    <w:rsid w:val="04272850"/>
    <w:rsid w:val="04914F1B"/>
    <w:rsid w:val="051B4DC5"/>
    <w:rsid w:val="054D3ADB"/>
    <w:rsid w:val="068955F4"/>
    <w:rsid w:val="075F0692"/>
    <w:rsid w:val="07DB054A"/>
    <w:rsid w:val="083D2AF4"/>
    <w:rsid w:val="08F53B23"/>
    <w:rsid w:val="0A053C89"/>
    <w:rsid w:val="0A070656"/>
    <w:rsid w:val="0A913ED8"/>
    <w:rsid w:val="0B24171E"/>
    <w:rsid w:val="0B5C3243"/>
    <w:rsid w:val="0B5E59FA"/>
    <w:rsid w:val="0BAD59A4"/>
    <w:rsid w:val="0C357211"/>
    <w:rsid w:val="0C466B45"/>
    <w:rsid w:val="0D3D50F0"/>
    <w:rsid w:val="0D584403"/>
    <w:rsid w:val="0D8D29CB"/>
    <w:rsid w:val="0DEE7765"/>
    <w:rsid w:val="0EFA4F53"/>
    <w:rsid w:val="0F204221"/>
    <w:rsid w:val="0F2B5D1F"/>
    <w:rsid w:val="101C0A97"/>
    <w:rsid w:val="10F67974"/>
    <w:rsid w:val="115E7077"/>
    <w:rsid w:val="12685FCD"/>
    <w:rsid w:val="13EF0479"/>
    <w:rsid w:val="146F2C7A"/>
    <w:rsid w:val="149E4992"/>
    <w:rsid w:val="16AB7F58"/>
    <w:rsid w:val="170E5D26"/>
    <w:rsid w:val="17694B12"/>
    <w:rsid w:val="17BE59A2"/>
    <w:rsid w:val="18185849"/>
    <w:rsid w:val="1A366198"/>
    <w:rsid w:val="1A442DE9"/>
    <w:rsid w:val="1AFB2E83"/>
    <w:rsid w:val="1BC305D3"/>
    <w:rsid w:val="1CD55680"/>
    <w:rsid w:val="1D321E13"/>
    <w:rsid w:val="1DBC044E"/>
    <w:rsid w:val="1F4849CA"/>
    <w:rsid w:val="1F873477"/>
    <w:rsid w:val="20B00655"/>
    <w:rsid w:val="21455F84"/>
    <w:rsid w:val="24977600"/>
    <w:rsid w:val="24B831E2"/>
    <w:rsid w:val="250B120F"/>
    <w:rsid w:val="252C7220"/>
    <w:rsid w:val="26A50560"/>
    <w:rsid w:val="270F55EE"/>
    <w:rsid w:val="272F1A96"/>
    <w:rsid w:val="27692511"/>
    <w:rsid w:val="27F52753"/>
    <w:rsid w:val="297B0CF7"/>
    <w:rsid w:val="2AC838CF"/>
    <w:rsid w:val="2B822DA1"/>
    <w:rsid w:val="2EA133AF"/>
    <w:rsid w:val="2EDD2DD9"/>
    <w:rsid w:val="2F723467"/>
    <w:rsid w:val="2F922149"/>
    <w:rsid w:val="2FA8323D"/>
    <w:rsid w:val="306835D0"/>
    <w:rsid w:val="32153FA4"/>
    <w:rsid w:val="32A0292F"/>
    <w:rsid w:val="32A02B99"/>
    <w:rsid w:val="330F2BAA"/>
    <w:rsid w:val="337D5F7B"/>
    <w:rsid w:val="33D414D0"/>
    <w:rsid w:val="3411197D"/>
    <w:rsid w:val="343B7936"/>
    <w:rsid w:val="34603E67"/>
    <w:rsid w:val="35CD358A"/>
    <w:rsid w:val="36232DB0"/>
    <w:rsid w:val="37B24D3F"/>
    <w:rsid w:val="385F359C"/>
    <w:rsid w:val="3A6F370A"/>
    <w:rsid w:val="3A707CAA"/>
    <w:rsid w:val="3BA80B19"/>
    <w:rsid w:val="3C4240EC"/>
    <w:rsid w:val="3D711B40"/>
    <w:rsid w:val="3E800AA6"/>
    <w:rsid w:val="3F3A1FEB"/>
    <w:rsid w:val="408176B6"/>
    <w:rsid w:val="40A67243"/>
    <w:rsid w:val="42253D73"/>
    <w:rsid w:val="422C7D41"/>
    <w:rsid w:val="423849F4"/>
    <w:rsid w:val="43A46CE3"/>
    <w:rsid w:val="43AB2B36"/>
    <w:rsid w:val="44E4602A"/>
    <w:rsid w:val="45B80788"/>
    <w:rsid w:val="45E508CF"/>
    <w:rsid w:val="46E13DCA"/>
    <w:rsid w:val="47E9061B"/>
    <w:rsid w:val="48194880"/>
    <w:rsid w:val="484245C7"/>
    <w:rsid w:val="488D7CFE"/>
    <w:rsid w:val="49323FD7"/>
    <w:rsid w:val="49B410A5"/>
    <w:rsid w:val="4C12409B"/>
    <w:rsid w:val="4C82541D"/>
    <w:rsid w:val="4D5601C7"/>
    <w:rsid w:val="4EAC5711"/>
    <w:rsid w:val="50AC1958"/>
    <w:rsid w:val="51B2004B"/>
    <w:rsid w:val="542172F4"/>
    <w:rsid w:val="54556AEA"/>
    <w:rsid w:val="55131A57"/>
    <w:rsid w:val="55622629"/>
    <w:rsid w:val="56CA0422"/>
    <w:rsid w:val="575D54BB"/>
    <w:rsid w:val="577D71D5"/>
    <w:rsid w:val="59242D52"/>
    <w:rsid w:val="5A3A2DDD"/>
    <w:rsid w:val="5B270E63"/>
    <w:rsid w:val="5BF918A2"/>
    <w:rsid w:val="5D435D2E"/>
    <w:rsid w:val="612C4718"/>
    <w:rsid w:val="62093465"/>
    <w:rsid w:val="62315204"/>
    <w:rsid w:val="62B8336A"/>
    <w:rsid w:val="6371393A"/>
    <w:rsid w:val="64337579"/>
    <w:rsid w:val="64441196"/>
    <w:rsid w:val="64D049FB"/>
    <w:rsid w:val="65091B75"/>
    <w:rsid w:val="65BC6440"/>
    <w:rsid w:val="65C36E7F"/>
    <w:rsid w:val="65D21A26"/>
    <w:rsid w:val="663B7430"/>
    <w:rsid w:val="66771AAD"/>
    <w:rsid w:val="66A7606E"/>
    <w:rsid w:val="672A0BC3"/>
    <w:rsid w:val="67746F61"/>
    <w:rsid w:val="687775B2"/>
    <w:rsid w:val="6A1B14A7"/>
    <w:rsid w:val="6AE5012B"/>
    <w:rsid w:val="6B241A17"/>
    <w:rsid w:val="6B7636D8"/>
    <w:rsid w:val="6BC55610"/>
    <w:rsid w:val="6C600A8B"/>
    <w:rsid w:val="6E1148C4"/>
    <w:rsid w:val="6E6D1F20"/>
    <w:rsid w:val="6E914282"/>
    <w:rsid w:val="6E9C0F6F"/>
    <w:rsid w:val="6EB32AD6"/>
    <w:rsid w:val="6EBE0A04"/>
    <w:rsid w:val="6F0E4EC3"/>
    <w:rsid w:val="70557737"/>
    <w:rsid w:val="71AD7318"/>
    <w:rsid w:val="71C37A53"/>
    <w:rsid w:val="72553376"/>
    <w:rsid w:val="726D70E7"/>
    <w:rsid w:val="72A63D8F"/>
    <w:rsid w:val="747D74F0"/>
    <w:rsid w:val="74C31ECB"/>
    <w:rsid w:val="75942919"/>
    <w:rsid w:val="765C55D5"/>
    <w:rsid w:val="77AA57AB"/>
    <w:rsid w:val="78325CD8"/>
    <w:rsid w:val="795A4C1B"/>
    <w:rsid w:val="79D20267"/>
    <w:rsid w:val="7AAA36FF"/>
    <w:rsid w:val="7B3766A0"/>
    <w:rsid w:val="7C9C4E59"/>
    <w:rsid w:val="7D155CFE"/>
    <w:rsid w:val="7E2F1D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57"/>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9"/>
    <w:pPr>
      <w:keepNext/>
      <w:keepLines/>
      <w:spacing w:before="280" w:after="290" w:line="376" w:lineRule="auto"/>
      <w:outlineLvl w:val="3"/>
    </w:pPr>
    <w:rPr>
      <w:rFonts w:ascii="Cambria" w:hAnsi="Cambria" w:cs="Times New Roman"/>
      <w:b/>
      <w:bCs/>
      <w:sz w:val="28"/>
      <w:szCs w:val="28"/>
    </w:rPr>
  </w:style>
  <w:style w:type="paragraph" w:styleId="7">
    <w:name w:val="heading 5"/>
    <w:basedOn w:val="1"/>
    <w:next w:val="2"/>
    <w:link w:val="58"/>
    <w:qFormat/>
    <w:uiPriority w:val="0"/>
    <w:pPr>
      <w:keepNext/>
      <w:keepLines/>
      <w:numPr>
        <w:ilvl w:val="4"/>
        <w:numId w:val="1"/>
      </w:numPr>
      <w:spacing w:before="280" w:after="290" w:line="376" w:lineRule="auto"/>
      <w:outlineLvl w:val="4"/>
    </w:pPr>
    <w:rPr>
      <w:b/>
      <w:sz w:val="28"/>
    </w:rPr>
  </w:style>
  <w:style w:type="paragraph" w:styleId="8">
    <w:name w:val="heading 6"/>
    <w:basedOn w:val="1"/>
    <w:next w:val="2"/>
    <w:link w:val="59"/>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2"/>
    <w:link w:val="60"/>
    <w:qFormat/>
    <w:uiPriority w:val="0"/>
    <w:pPr>
      <w:keepNext/>
      <w:keepLines/>
      <w:numPr>
        <w:ilvl w:val="6"/>
        <w:numId w:val="1"/>
      </w:numPr>
      <w:spacing w:before="240" w:after="64" w:line="320" w:lineRule="auto"/>
      <w:outlineLvl w:val="6"/>
    </w:pPr>
    <w:rPr>
      <w:b/>
      <w:sz w:val="24"/>
    </w:rPr>
  </w:style>
  <w:style w:type="paragraph" w:styleId="10">
    <w:name w:val="heading 8"/>
    <w:basedOn w:val="1"/>
    <w:next w:val="2"/>
    <w:link w:val="6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2"/>
    <w:link w:val="62"/>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unhideWhenUsed/>
    <w:qFormat/>
    <w:uiPriority w:val="1"/>
  </w:style>
  <w:style w:type="table" w:default="1" w:styleId="4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12">
    <w:name w:val="toc 7"/>
    <w:basedOn w:val="1"/>
    <w:next w:val="1"/>
    <w:unhideWhenUsed/>
    <w:qFormat/>
    <w:uiPriority w:val="39"/>
    <w:pPr>
      <w:ind w:left="2520" w:leftChars="1200"/>
    </w:pPr>
    <w:rPr>
      <w:rFonts w:ascii="Calibri" w:hAnsi="Calibri" w:eastAsia="宋体" w:cs="Times New Roman"/>
      <w:szCs w:val="22"/>
    </w:rPr>
  </w:style>
  <w:style w:type="paragraph" w:styleId="13">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63"/>
    <w:unhideWhenUsed/>
    <w:qFormat/>
    <w:uiPriority w:val="0"/>
    <w:pPr>
      <w:shd w:val="clear" w:color="auto" w:fill="000080"/>
    </w:pPr>
    <w:rPr>
      <w:rFonts w:hint="eastAsia" w:ascii="宋体" w:hAnsi="宋体"/>
      <w:kern w:val="0"/>
      <w:sz w:val="20"/>
      <w:szCs w:val="20"/>
    </w:rPr>
  </w:style>
  <w:style w:type="paragraph" w:styleId="16">
    <w:name w:val="annotation text"/>
    <w:basedOn w:val="1"/>
    <w:link w:val="64"/>
    <w:unhideWhenUsed/>
    <w:qFormat/>
    <w:uiPriority w:val="0"/>
    <w:pPr>
      <w:jc w:val="left"/>
    </w:pPr>
  </w:style>
  <w:style w:type="paragraph" w:styleId="17">
    <w:name w:val="Body Text 3"/>
    <w:basedOn w:val="1"/>
    <w:link w:val="65"/>
    <w:qFormat/>
    <w:uiPriority w:val="0"/>
    <w:pPr>
      <w:spacing w:line="500" w:lineRule="exact"/>
    </w:pPr>
    <w:rPr>
      <w:b/>
      <w:bCs/>
      <w:kern w:val="0"/>
      <w:sz w:val="24"/>
    </w:rPr>
  </w:style>
  <w:style w:type="paragraph" w:styleId="18">
    <w:name w:val="Body Text"/>
    <w:basedOn w:val="1"/>
    <w:link w:val="66"/>
    <w:qFormat/>
    <w:uiPriority w:val="99"/>
    <w:pPr>
      <w:spacing w:line="380" w:lineRule="exact"/>
    </w:pPr>
    <w:rPr>
      <w:kern w:val="0"/>
      <w:sz w:val="24"/>
    </w:rPr>
  </w:style>
  <w:style w:type="paragraph" w:styleId="19">
    <w:name w:val="Body Text Indent"/>
    <w:basedOn w:val="1"/>
    <w:link w:val="67"/>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numPr>
        <w:ilvl w:val="0"/>
        <w:numId w:val="2"/>
      </w:numPr>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39"/>
    <w:pPr>
      <w:ind w:left="1680" w:leftChars="800"/>
    </w:pPr>
    <w:rPr>
      <w:rFonts w:ascii="Calibri" w:hAnsi="Calibri" w:eastAsia="宋体" w:cs="Times New Roman"/>
      <w:szCs w:val="22"/>
    </w:rPr>
  </w:style>
  <w:style w:type="paragraph" w:styleId="23">
    <w:name w:val="toc 3"/>
    <w:basedOn w:val="1"/>
    <w:next w:val="1"/>
    <w:unhideWhenUsed/>
    <w:qFormat/>
    <w:uiPriority w:val="39"/>
    <w:pPr>
      <w:ind w:left="840" w:leftChars="400"/>
    </w:pPr>
    <w:rPr>
      <w:rFonts w:ascii="Calibri" w:hAnsi="Calibri" w:eastAsia="宋体" w:cs="Times New Roman"/>
      <w:szCs w:val="22"/>
    </w:rPr>
  </w:style>
  <w:style w:type="paragraph" w:styleId="24">
    <w:name w:val="Plain Text"/>
    <w:basedOn w:val="1"/>
    <w:next w:val="25"/>
    <w:link w:val="68"/>
    <w:qFormat/>
    <w:uiPriority w:val="0"/>
    <w:rPr>
      <w:rFonts w:ascii="宋体" w:hAnsi="Courier New"/>
      <w:kern w:val="0"/>
      <w:sz w:val="20"/>
      <w:szCs w:val="21"/>
    </w:rPr>
  </w:style>
  <w:style w:type="paragraph" w:styleId="25">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6">
    <w:name w:val="toc 8"/>
    <w:basedOn w:val="1"/>
    <w:next w:val="1"/>
    <w:unhideWhenUsed/>
    <w:qFormat/>
    <w:uiPriority w:val="39"/>
    <w:pPr>
      <w:ind w:left="2940" w:leftChars="1400"/>
    </w:pPr>
    <w:rPr>
      <w:rFonts w:ascii="Calibri" w:hAnsi="Calibri" w:eastAsia="宋体" w:cs="Times New Roman"/>
      <w:szCs w:val="22"/>
    </w:rPr>
  </w:style>
  <w:style w:type="paragraph" w:styleId="27">
    <w:name w:val="Date"/>
    <w:basedOn w:val="1"/>
    <w:next w:val="1"/>
    <w:link w:val="69"/>
    <w:qFormat/>
    <w:uiPriority w:val="0"/>
    <w:pPr>
      <w:ind w:left="100" w:leftChars="2500"/>
    </w:pPr>
    <w:rPr>
      <w:rFonts w:ascii="宋体" w:hAnsi="Courier New"/>
      <w:kern w:val="0"/>
      <w:sz w:val="20"/>
      <w:szCs w:val="21"/>
    </w:rPr>
  </w:style>
  <w:style w:type="paragraph" w:styleId="28">
    <w:name w:val="Body Text Indent 2"/>
    <w:basedOn w:val="1"/>
    <w:link w:val="70"/>
    <w:qFormat/>
    <w:uiPriority w:val="0"/>
    <w:pPr>
      <w:ind w:firstLine="630"/>
    </w:pPr>
    <w:rPr>
      <w:kern w:val="0"/>
      <w:sz w:val="32"/>
      <w:szCs w:val="20"/>
    </w:rPr>
  </w:style>
  <w:style w:type="paragraph" w:styleId="29">
    <w:name w:val="endnote text"/>
    <w:basedOn w:val="1"/>
    <w:link w:val="71"/>
    <w:unhideWhenUsed/>
    <w:qFormat/>
    <w:uiPriority w:val="99"/>
    <w:pPr>
      <w:snapToGrid w:val="0"/>
      <w:jc w:val="left"/>
    </w:pPr>
  </w:style>
  <w:style w:type="paragraph" w:styleId="30">
    <w:name w:val="Balloon Text"/>
    <w:basedOn w:val="1"/>
    <w:link w:val="72"/>
    <w:semiHidden/>
    <w:qFormat/>
    <w:uiPriority w:val="0"/>
    <w:rPr>
      <w:kern w:val="0"/>
      <w:sz w:val="18"/>
      <w:szCs w:val="18"/>
    </w:rPr>
  </w:style>
  <w:style w:type="paragraph" w:styleId="31">
    <w:name w:val="footer"/>
    <w:basedOn w:val="1"/>
    <w:link w:val="73"/>
    <w:unhideWhenUsed/>
    <w:qFormat/>
    <w:uiPriority w:val="99"/>
    <w:pPr>
      <w:tabs>
        <w:tab w:val="center" w:pos="4153"/>
        <w:tab w:val="right" w:pos="8306"/>
      </w:tabs>
      <w:snapToGrid w:val="0"/>
      <w:jc w:val="left"/>
    </w:pPr>
    <w:rPr>
      <w:kern w:val="0"/>
      <w:sz w:val="18"/>
      <w:szCs w:val="18"/>
    </w:rPr>
  </w:style>
  <w:style w:type="paragraph" w:styleId="32">
    <w:name w:val="header"/>
    <w:basedOn w:val="1"/>
    <w:link w:val="74"/>
    <w:unhideWhenUsed/>
    <w:qFormat/>
    <w:uiPriority w:val="99"/>
    <w:pPr>
      <w:pBdr>
        <w:bottom w:val="single" w:color="auto" w:sz="6" w:space="1"/>
      </w:pBdr>
      <w:tabs>
        <w:tab w:val="center" w:pos="0"/>
        <w:tab w:val="left" w:pos="8306"/>
      </w:tabs>
      <w:snapToGrid w:val="0"/>
      <w:jc w:val="center"/>
    </w:pPr>
    <w:rPr>
      <w:sz w:val="18"/>
      <w:szCs w:val="18"/>
    </w:rPr>
  </w:style>
  <w:style w:type="paragraph" w:styleId="33">
    <w:name w:val="toc 4"/>
    <w:basedOn w:val="1"/>
    <w:next w:val="1"/>
    <w:unhideWhenUsed/>
    <w:qFormat/>
    <w:uiPriority w:val="39"/>
    <w:pPr>
      <w:ind w:left="1260" w:leftChars="600"/>
    </w:pPr>
    <w:rPr>
      <w:rFonts w:ascii="Calibri" w:hAnsi="Calibri" w:eastAsia="宋体" w:cs="Times New Roman"/>
      <w:szCs w:val="22"/>
    </w:rPr>
  </w:style>
  <w:style w:type="paragraph" w:styleId="34">
    <w:name w:val="List"/>
    <w:basedOn w:val="1"/>
    <w:qFormat/>
    <w:uiPriority w:val="0"/>
    <w:pPr>
      <w:ind w:left="200" w:hanging="200" w:hangingChars="200"/>
    </w:pPr>
    <w:rPr>
      <w:sz w:val="28"/>
    </w:rPr>
  </w:style>
  <w:style w:type="paragraph" w:styleId="35">
    <w:name w:val="footnote text"/>
    <w:basedOn w:val="1"/>
    <w:link w:val="75"/>
    <w:unhideWhenUsed/>
    <w:qFormat/>
    <w:uiPriority w:val="99"/>
    <w:pPr>
      <w:snapToGrid w:val="0"/>
      <w:jc w:val="left"/>
    </w:pPr>
    <w:rPr>
      <w:sz w:val="18"/>
      <w:szCs w:val="18"/>
    </w:rPr>
  </w:style>
  <w:style w:type="paragraph" w:styleId="36">
    <w:name w:val="toc 6"/>
    <w:basedOn w:val="1"/>
    <w:next w:val="1"/>
    <w:unhideWhenUsed/>
    <w:qFormat/>
    <w:uiPriority w:val="39"/>
    <w:pPr>
      <w:ind w:left="2100" w:leftChars="1000"/>
    </w:pPr>
    <w:rPr>
      <w:rFonts w:ascii="Calibri" w:hAnsi="Calibri" w:eastAsia="宋体" w:cs="Times New Roman"/>
      <w:szCs w:val="22"/>
    </w:rPr>
  </w:style>
  <w:style w:type="paragraph" w:styleId="37">
    <w:name w:val="Body Text Indent 3"/>
    <w:basedOn w:val="1"/>
    <w:link w:val="76"/>
    <w:qFormat/>
    <w:uiPriority w:val="0"/>
    <w:pPr>
      <w:spacing w:after="120"/>
      <w:ind w:left="420" w:leftChars="200"/>
    </w:pPr>
    <w:rPr>
      <w:kern w:val="0"/>
      <w:sz w:val="16"/>
      <w:szCs w:val="16"/>
    </w:rPr>
  </w:style>
  <w:style w:type="paragraph" w:styleId="38">
    <w:name w:val="toc 2"/>
    <w:basedOn w:val="1"/>
    <w:next w:val="1"/>
    <w:unhideWhenUsed/>
    <w:qFormat/>
    <w:uiPriority w:val="39"/>
    <w:pPr>
      <w:ind w:left="420" w:leftChars="200"/>
    </w:pPr>
  </w:style>
  <w:style w:type="paragraph" w:styleId="39">
    <w:name w:val="toc 9"/>
    <w:basedOn w:val="1"/>
    <w:next w:val="1"/>
    <w:unhideWhenUsed/>
    <w:qFormat/>
    <w:uiPriority w:val="39"/>
    <w:pPr>
      <w:ind w:left="3360" w:leftChars="1600"/>
    </w:pPr>
    <w:rPr>
      <w:rFonts w:ascii="Calibri" w:hAnsi="Calibri" w:eastAsia="宋体" w:cs="Times New Roman"/>
      <w:szCs w:val="22"/>
    </w:rPr>
  </w:style>
  <w:style w:type="paragraph" w:styleId="40">
    <w:name w:val="Body Text 2"/>
    <w:basedOn w:val="1"/>
    <w:link w:val="77"/>
    <w:qFormat/>
    <w:uiPriority w:val="0"/>
    <w:pPr>
      <w:spacing w:after="120" w:line="480" w:lineRule="auto"/>
    </w:pPr>
    <w:rPr>
      <w:kern w:val="0"/>
      <w:sz w:val="20"/>
    </w:rPr>
  </w:style>
  <w:style w:type="paragraph" w:styleId="41">
    <w:name w:val="Normal (Web)"/>
    <w:basedOn w:val="1"/>
    <w:qFormat/>
    <w:uiPriority w:val="99"/>
    <w:pPr>
      <w:widowControl/>
      <w:spacing w:before="100" w:beforeAutospacing="1" w:after="100" w:afterAutospacing="1"/>
      <w:jc w:val="left"/>
    </w:pPr>
    <w:rPr>
      <w:rFonts w:ascii="宋体" w:hAnsi="宋体"/>
      <w:kern w:val="0"/>
      <w:sz w:val="24"/>
    </w:rPr>
  </w:style>
  <w:style w:type="paragraph" w:styleId="42">
    <w:name w:val="index 1"/>
    <w:basedOn w:val="1"/>
    <w:next w:val="1"/>
    <w:semiHidden/>
    <w:qFormat/>
    <w:uiPriority w:val="0"/>
    <w:pPr>
      <w:spacing w:line="400" w:lineRule="exact"/>
      <w:ind w:firstLine="420" w:firstLineChars="200"/>
    </w:pPr>
    <w:rPr>
      <w:rFonts w:ascii="宋体" w:hAnsi="Courier New"/>
      <w:b/>
      <w:szCs w:val="20"/>
    </w:rPr>
  </w:style>
  <w:style w:type="paragraph" w:styleId="43">
    <w:name w:val="Title"/>
    <w:basedOn w:val="1"/>
    <w:next w:val="1"/>
    <w:link w:val="78"/>
    <w:qFormat/>
    <w:uiPriority w:val="10"/>
    <w:pPr>
      <w:spacing w:before="240" w:after="60"/>
      <w:jc w:val="center"/>
      <w:outlineLvl w:val="0"/>
    </w:pPr>
    <w:rPr>
      <w:rFonts w:ascii="Cambria" w:hAnsi="Cambria"/>
      <w:b/>
      <w:bCs/>
      <w:sz w:val="32"/>
      <w:szCs w:val="32"/>
    </w:rPr>
  </w:style>
  <w:style w:type="paragraph" w:styleId="44">
    <w:name w:val="annotation subject"/>
    <w:basedOn w:val="16"/>
    <w:next w:val="16"/>
    <w:link w:val="79"/>
    <w:unhideWhenUsed/>
    <w:qFormat/>
    <w:uiPriority w:val="99"/>
    <w:rPr>
      <w:b/>
      <w:bCs/>
    </w:rPr>
  </w:style>
  <w:style w:type="paragraph" w:styleId="45">
    <w:name w:val="Body Text First Indent 2"/>
    <w:basedOn w:val="19"/>
    <w:next w:val="1"/>
    <w:qFormat/>
    <w:uiPriority w:val="0"/>
    <w:pPr>
      <w:spacing w:line="360" w:lineRule="auto"/>
      <w:ind w:firstLine="0"/>
    </w:pPr>
    <w:rPr>
      <w:sz w:val="24"/>
    </w:rPr>
  </w:style>
  <w:style w:type="table" w:styleId="47">
    <w:name w:val="Table Grid"/>
    <w:basedOn w:val="4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endnote reference"/>
    <w:unhideWhenUsed/>
    <w:qFormat/>
    <w:uiPriority w:val="99"/>
    <w:rPr>
      <w:vertAlign w:val="superscript"/>
    </w:rPr>
  </w:style>
  <w:style w:type="character" w:styleId="50">
    <w:name w:val="page number"/>
    <w:qFormat/>
    <w:uiPriority w:val="0"/>
  </w:style>
  <w:style w:type="character" w:styleId="51">
    <w:name w:val="FollowedHyperlink"/>
    <w:qFormat/>
    <w:uiPriority w:val="0"/>
    <w:rPr>
      <w:color w:val="000000"/>
      <w:u w:val="none"/>
    </w:rPr>
  </w:style>
  <w:style w:type="character" w:styleId="52">
    <w:name w:val="Hyperlink"/>
    <w:qFormat/>
    <w:uiPriority w:val="99"/>
    <w:rPr>
      <w:color w:val="000000"/>
      <w:u w:val="none"/>
    </w:rPr>
  </w:style>
  <w:style w:type="character" w:styleId="53">
    <w:name w:val="annotation reference"/>
    <w:unhideWhenUsed/>
    <w:qFormat/>
    <w:uiPriority w:val="0"/>
    <w:rPr>
      <w:sz w:val="21"/>
      <w:szCs w:val="21"/>
    </w:rPr>
  </w:style>
  <w:style w:type="character" w:styleId="54">
    <w:name w:val="footnote reference"/>
    <w:unhideWhenUsed/>
    <w:qFormat/>
    <w:uiPriority w:val="99"/>
    <w:rPr>
      <w:vertAlign w:val="superscript"/>
    </w:rPr>
  </w:style>
  <w:style w:type="character" w:customStyle="1" w:styleId="55">
    <w:name w:val="标题 1 Char"/>
    <w:link w:val="3"/>
    <w:qFormat/>
    <w:uiPriority w:val="0"/>
    <w:rPr>
      <w:rFonts w:ascii="Times New Roman" w:hAnsi="Times New Roman" w:eastAsia="宋体" w:cs="Times New Roman"/>
      <w:b/>
      <w:bCs/>
      <w:kern w:val="44"/>
      <w:sz w:val="44"/>
      <w:szCs w:val="44"/>
    </w:rPr>
  </w:style>
  <w:style w:type="character" w:customStyle="1" w:styleId="56">
    <w:name w:val="标题 2 Char"/>
    <w:link w:val="4"/>
    <w:qFormat/>
    <w:uiPriority w:val="0"/>
    <w:rPr>
      <w:rFonts w:ascii="Arial" w:hAnsi="Arial" w:eastAsia="黑体" w:cs="Times New Roman"/>
      <w:b/>
      <w:bCs/>
      <w:sz w:val="32"/>
      <w:szCs w:val="32"/>
    </w:rPr>
  </w:style>
  <w:style w:type="character" w:customStyle="1" w:styleId="57">
    <w:name w:val="标题 3 Char"/>
    <w:link w:val="5"/>
    <w:qFormat/>
    <w:uiPriority w:val="0"/>
    <w:rPr>
      <w:rFonts w:ascii="Times New Roman" w:hAnsi="Times New Roman" w:eastAsia="宋体" w:cs="Times New Roman"/>
      <w:b/>
      <w:bCs/>
      <w:sz w:val="32"/>
      <w:szCs w:val="32"/>
    </w:rPr>
  </w:style>
  <w:style w:type="character" w:customStyle="1" w:styleId="58">
    <w:name w:val="标题 5 Char1"/>
    <w:link w:val="7"/>
    <w:qFormat/>
    <w:uiPriority w:val="0"/>
    <w:rPr>
      <w:b/>
      <w:kern w:val="2"/>
      <w:sz w:val="28"/>
      <w:szCs w:val="24"/>
    </w:rPr>
  </w:style>
  <w:style w:type="character" w:customStyle="1" w:styleId="59">
    <w:name w:val="标题 6 Char"/>
    <w:link w:val="8"/>
    <w:qFormat/>
    <w:uiPriority w:val="0"/>
    <w:rPr>
      <w:rFonts w:ascii="Arial" w:hAnsi="Arial" w:eastAsia="黑体"/>
      <w:b/>
      <w:kern w:val="2"/>
      <w:sz w:val="24"/>
      <w:szCs w:val="24"/>
    </w:rPr>
  </w:style>
  <w:style w:type="character" w:customStyle="1" w:styleId="60">
    <w:name w:val="标题 7 Char"/>
    <w:link w:val="9"/>
    <w:qFormat/>
    <w:uiPriority w:val="0"/>
    <w:rPr>
      <w:rFonts w:ascii="Times New Roman" w:hAnsi="Times New Roman"/>
      <w:b/>
      <w:kern w:val="2"/>
      <w:sz w:val="24"/>
      <w:szCs w:val="24"/>
    </w:rPr>
  </w:style>
  <w:style w:type="character" w:customStyle="1" w:styleId="61">
    <w:name w:val="标题 8 Char"/>
    <w:link w:val="10"/>
    <w:qFormat/>
    <w:uiPriority w:val="0"/>
    <w:rPr>
      <w:rFonts w:ascii="Arial" w:hAnsi="Arial" w:eastAsia="黑体"/>
      <w:kern w:val="2"/>
      <w:sz w:val="24"/>
      <w:szCs w:val="24"/>
    </w:rPr>
  </w:style>
  <w:style w:type="character" w:customStyle="1" w:styleId="62">
    <w:name w:val="标题 9 Char"/>
    <w:link w:val="11"/>
    <w:qFormat/>
    <w:uiPriority w:val="0"/>
    <w:rPr>
      <w:rFonts w:ascii="Arial" w:hAnsi="Arial" w:eastAsia="黑体"/>
      <w:kern w:val="2"/>
      <w:sz w:val="21"/>
      <w:szCs w:val="24"/>
    </w:rPr>
  </w:style>
  <w:style w:type="character" w:customStyle="1" w:styleId="63">
    <w:name w:val="文档结构图 Char"/>
    <w:link w:val="15"/>
    <w:qFormat/>
    <w:uiPriority w:val="0"/>
    <w:rPr>
      <w:rFonts w:hint="eastAsia" w:ascii="宋体" w:hAnsi="宋体" w:eastAsia="宋体" w:cs="宋体"/>
    </w:rPr>
  </w:style>
  <w:style w:type="character" w:customStyle="1" w:styleId="64">
    <w:name w:val="批注文字 Char2"/>
    <w:link w:val="16"/>
    <w:qFormat/>
    <w:uiPriority w:val="0"/>
    <w:rPr>
      <w:rFonts w:ascii="Times New Roman" w:hAnsi="Times New Roman"/>
      <w:kern w:val="2"/>
      <w:sz w:val="21"/>
      <w:szCs w:val="24"/>
    </w:rPr>
  </w:style>
  <w:style w:type="character" w:customStyle="1" w:styleId="65">
    <w:name w:val="正文文本 3 Char"/>
    <w:link w:val="17"/>
    <w:qFormat/>
    <w:uiPriority w:val="0"/>
    <w:rPr>
      <w:rFonts w:ascii="Times New Roman" w:hAnsi="Times New Roman" w:eastAsia="宋体" w:cs="Times New Roman"/>
      <w:b/>
      <w:bCs/>
      <w:sz w:val="24"/>
      <w:szCs w:val="24"/>
    </w:rPr>
  </w:style>
  <w:style w:type="character" w:customStyle="1" w:styleId="66">
    <w:name w:val="正文文本 Char"/>
    <w:link w:val="18"/>
    <w:qFormat/>
    <w:uiPriority w:val="99"/>
    <w:rPr>
      <w:rFonts w:ascii="Times New Roman" w:hAnsi="Times New Roman" w:eastAsia="宋体" w:cs="Times New Roman"/>
      <w:sz w:val="24"/>
      <w:szCs w:val="24"/>
    </w:rPr>
  </w:style>
  <w:style w:type="character" w:customStyle="1" w:styleId="67">
    <w:name w:val="正文文本缩进 Char"/>
    <w:link w:val="19"/>
    <w:qFormat/>
    <w:uiPriority w:val="0"/>
    <w:rPr>
      <w:rFonts w:ascii="仿宋_GB2312" w:hAnsi="Times New Roman" w:eastAsia="仿宋_GB2312" w:cs="Times New Roman"/>
      <w:sz w:val="32"/>
      <w:szCs w:val="20"/>
    </w:rPr>
  </w:style>
  <w:style w:type="character" w:customStyle="1" w:styleId="68">
    <w:name w:val="纯文本 Char1"/>
    <w:link w:val="24"/>
    <w:qFormat/>
    <w:uiPriority w:val="0"/>
    <w:rPr>
      <w:rFonts w:ascii="宋体" w:hAnsi="Courier New" w:eastAsia="宋体" w:cs="Courier New"/>
      <w:szCs w:val="21"/>
    </w:rPr>
  </w:style>
  <w:style w:type="character" w:customStyle="1" w:styleId="69">
    <w:name w:val="日期 Char"/>
    <w:link w:val="27"/>
    <w:qFormat/>
    <w:uiPriority w:val="0"/>
    <w:rPr>
      <w:rFonts w:ascii="宋体" w:hAnsi="Courier New" w:eastAsia="宋体" w:cs="Courier New"/>
      <w:szCs w:val="21"/>
    </w:rPr>
  </w:style>
  <w:style w:type="character" w:customStyle="1" w:styleId="70">
    <w:name w:val="正文文本缩进 2 Char"/>
    <w:link w:val="28"/>
    <w:qFormat/>
    <w:uiPriority w:val="0"/>
    <w:rPr>
      <w:rFonts w:ascii="Times New Roman" w:hAnsi="Times New Roman" w:eastAsia="宋体" w:cs="Times New Roman"/>
      <w:sz w:val="32"/>
      <w:szCs w:val="20"/>
    </w:rPr>
  </w:style>
  <w:style w:type="character" w:customStyle="1" w:styleId="71">
    <w:name w:val="尾注文本 Char"/>
    <w:link w:val="29"/>
    <w:semiHidden/>
    <w:qFormat/>
    <w:uiPriority w:val="99"/>
    <w:rPr>
      <w:rFonts w:ascii="Times New Roman" w:hAnsi="Times New Roman"/>
      <w:kern w:val="2"/>
      <w:sz w:val="21"/>
      <w:szCs w:val="24"/>
    </w:rPr>
  </w:style>
  <w:style w:type="character" w:customStyle="1" w:styleId="72">
    <w:name w:val="批注框文本 Char"/>
    <w:link w:val="30"/>
    <w:semiHidden/>
    <w:qFormat/>
    <w:uiPriority w:val="0"/>
    <w:rPr>
      <w:rFonts w:ascii="Times New Roman" w:hAnsi="Times New Roman" w:eastAsia="宋体" w:cs="Times New Roman"/>
      <w:sz w:val="18"/>
      <w:szCs w:val="18"/>
    </w:rPr>
  </w:style>
  <w:style w:type="character" w:customStyle="1" w:styleId="73">
    <w:name w:val="页脚 Char"/>
    <w:link w:val="31"/>
    <w:qFormat/>
    <w:uiPriority w:val="99"/>
    <w:rPr>
      <w:sz w:val="18"/>
      <w:szCs w:val="18"/>
    </w:rPr>
  </w:style>
  <w:style w:type="character" w:customStyle="1" w:styleId="74">
    <w:name w:val="页眉 Char"/>
    <w:link w:val="32"/>
    <w:qFormat/>
    <w:uiPriority w:val="99"/>
    <w:rPr>
      <w:rFonts w:ascii="Times New Roman" w:hAnsi="Times New Roman"/>
      <w:kern w:val="2"/>
      <w:sz w:val="18"/>
      <w:szCs w:val="18"/>
    </w:rPr>
  </w:style>
  <w:style w:type="character" w:customStyle="1" w:styleId="75">
    <w:name w:val="脚注文本 Char"/>
    <w:link w:val="35"/>
    <w:semiHidden/>
    <w:qFormat/>
    <w:uiPriority w:val="99"/>
    <w:rPr>
      <w:rFonts w:ascii="Times New Roman" w:hAnsi="Times New Roman"/>
      <w:kern w:val="2"/>
      <w:sz w:val="18"/>
      <w:szCs w:val="18"/>
    </w:rPr>
  </w:style>
  <w:style w:type="character" w:customStyle="1" w:styleId="76">
    <w:name w:val="正文文本缩进 3 Char"/>
    <w:link w:val="37"/>
    <w:qFormat/>
    <w:uiPriority w:val="0"/>
    <w:rPr>
      <w:rFonts w:ascii="Times New Roman" w:hAnsi="Times New Roman" w:eastAsia="宋体" w:cs="Times New Roman"/>
      <w:sz w:val="16"/>
      <w:szCs w:val="16"/>
    </w:rPr>
  </w:style>
  <w:style w:type="character" w:customStyle="1" w:styleId="77">
    <w:name w:val="正文文本 2 Char"/>
    <w:link w:val="40"/>
    <w:qFormat/>
    <w:uiPriority w:val="0"/>
    <w:rPr>
      <w:rFonts w:ascii="Times New Roman" w:hAnsi="Times New Roman" w:eastAsia="宋体" w:cs="Times New Roman"/>
      <w:szCs w:val="24"/>
    </w:rPr>
  </w:style>
  <w:style w:type="character" w:customStyle="1" w:styleId="78">
    <w:name w:val="标题 Char"/>
    <w:link w:val="43"/>
    <w:qFormat/>
    <w:uiPriority w:val="10"/>
    <w:rPr>
      <w:rFonts w:ascii="Cambria" w:hAnsi="Cambria" w:cs="Times New Roman"/>
      <w:b/>
      <w:bCs/>
      <w:kern w:val="2"/>
      <w:sz w:val="32"/>
      <w:szCs w:val="32"/>
    </w:rPr>
  </w:style>
  <w:style w:type="character" w:customStyle="1" w:styleId="79">
    <w:name w:val="批注主题 Char"/>
    <w:link w:val="44"/>
    <w:semiHidden/>
    <w:qFormat/>
    <w:uiPriority w:val="99"/>
    <w:rPr>
      <w:rFonts w:ascii="Times New Roman" w:hAnsi="Times New Roman"/>
      <w:b/>
      <w:bCs/>
      <w:kern w:val="2"/>
      <w:sz w:val="21"/>
      <w:szCs w:val="24"/>
    </w:rPr>
  </w:style>
  <w:style w:type="character" w:customStyle="1" w:styleId="80">
    <w:name w:val="普通文字 Char Char2"/>
    <w:qFormat/>
    <w:uiPriority w:val="0"/>
    <w:rPr>
      <w:rFonts w:ascii="宋体" w:hAnsi="Courier New" w:eastAsia="宋体"/>
      <w:kern w:val="2"/>
      <w:sz w:val="21"/>
      <w:lang w:val="en-US" w:eastAsia="zh-CN" w:bidi="ar-SA"/>
    </w:rPr>
  </w:style>
  <w:style w:type="character" w:customStyle="1" w:styleId="81">
    <w:name w:val="正文文本 Char1"/>
    <w:semiHidden/>
    <w:qFormat/>
    <w:locked/>
    <w:uiPriority w:val="99"/>
    <w:rPr>
      <w:sz w:val="24"/>
      <w:szCs w:val="24"/>
    </w:rPr>
  </w:style>
  <w:style w:type="character" w:customStyle="1" w:styleId="82">
    <w:name w:val="批注文字 字符"/>
    <w:qFormat/>
    <w:uiPriority w:val="0"/>
    <w:rPr>
      <w:rFonts w:ascii="Times New Roman" w:hAnsi="Times New Roman"/>
      <w:kern w:val="2"/>
      <w:sz w:val="21"/>
      <w:szCs w:val="24"/>
    </w:rPr>
  </w:style>
  <w:style w:type="character" w:customStyle="1" w:styleId="83">
    <w:name w:val="apple-style-span"/>
    <w:qFormat/>
    <w:uiPriority w:val="0"/>
  </w:style>
  <w:style w:type="character" w:customStyle="1" w:styleId="84">
    <w:name w:val="case31"/>
    <w:qFormat/>
    <w:uiPriority w:val="0"/>
    <w:rPr>
      <w:rFonts w:hint="default" w:ascii="_x000B__x000C_" w:hAnsi="_x000B__x000C_"/>
      <w:sz w:val="21"/>
      <w:szCs w:val="21"/>
    </w:rPr>
  </w:style>
  <w:style w:type="character" w:customStyle="1" w:styleId="85">
    <w:name w:val="批注文字 字符1"/>
    <w:qFormat/>
    <w:uiPriority w:val="0"/>
    <w:rPr>
      <w:rFonts w:ascii="Times New Roman" w:hAnsi="Times New Roman"/>
      <w:kern w:val="2"/>
      <w:sz w:val="21"/>
      <w:szCs w:val="24"/>
    </w:rPr>
  </w:style>
  <w:style w:type="character" w:customStyle="1" w:styleId="86">
    <w:name w:val="正文文本缩进 字符"/>
    <w:qFormat/>
    <w:uiPriority w:val="0"/>
    <w:rPr>
      <w:rFonts w:ascii="仿宋_GB2312" w:hAnsi="Times New Roman" w:eastAsia="仿宋_GB2312" w:cs="Times New Roman"/>
      <w:sz w:val="32"/>
      <w:szCs w:val="20"/>
    </w:rPr>
  </w:style>
  <w:style w:type="character" w:customStyle="1" w:styleId="87">
    <w:name w:val="纯文本 Char"/>
    <w:qFormat/>
    <w:uiPriority w:val="0"/>
    <w:rPr>
      <w:rFonts w:ascii="宋体" w:hAnsi="Courier New" w:eastAsia="宋体"/>
      <w:kern w:val="2"/>
      <w:sz w:val="21"/>
      <w:lang w:val="en-US" w:eastAsia="zh-CN" w:bidi="ar-SA"/>
    </w:rPr>
  </w:style>
  <w:style w:type="character" w:customStyle="1" w:styleId="88">
    <w:name w:val="纯文本 Char2"/>
    <w:qFormat/>
    <w:uiPriority w:val="0"/>
    <w:rPr>
      <w:rFonts w:ascii="宋体" w:hAnsi="Courier New" w:eastAsia="宋体" w:cs="Courier New"/>
      <w:szCs w:val="21"/>
    </w:rPr>
  </w:style>
  <w:style w:type="character" w:customStyle="1" w:styleId="89">
    <w:name w:val="标题 1 字符"/>
    <w:qFormat/>
    <w:uiPriority w:val="9"/>
    <w:rPr>
      <w:rFonts w:ascii="Times New Roman" w:hAnsi="Times New Roman" w:eastAsia="宋体" w:cs="Times New Roman"/>
      <w:b/>
      <w:bCs/>
      <w:kern w:val="44"/>
      <w:sz w:val="44"/>
      <w:szCs w:val="44"/>
    </w:rPr>
  </w:style>
  <w:style w:type="character" w:customStyle="1" w:styleId="90">
    <w:name w:val="10"/>
    <w:qFormat/>
    <w:uiPriority w:val="0"/>
    <w:rPr>
      <w:rFonts w:hint="default" w:ascii="Times New Roman" w:hAnsi="Times New Roman" w:cs="Times New Roman"/>
    </w:rPr>
  </w:style>
  <w:style w:type="character" w:customStyle="1" w:styleId="91">
    <w:name w:val="textcontents"/>
    <w:qFormat/>
    <w:uiPriority w:val="0"/>
  </w:style>
  <w:style w:type="character" w:customStyle="1" w:styleId="92">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93">
    <w:name w:val="标题 1 Char1"/>
    <w:qFormat/>
    <w:uiPriority w:val="0"/>
    <w:rPr>
      <w:rFonts w:eastAsia="宋体"/>
      <w:b/>
      <w:bCs/>
      <w:kern w:val="44"/>
      <w:sz w:val="44"/>
      <w:szCs w:val="44"/>
      <w:lang w:val="en-US" w:eastAsia="zh-CN" w:bidi="ar-SA"/>
    </w:rPr>
  </w:style>
  <w:style w:type="character" w:customStyle="1" w:styleId="94">
    <w:name w:val="15"/>
    <w:qFormat/>
    <w:uiPriority w:val="0"/>
    <w:rPr>
      <w:rFonts w:hint="default" w:ascii="Times New Roman" w:hAnsi="Times New Roman" w:cs="Times New Roman"/>
    </w:rPr>
  </w:style>
  <w:style w:type="character" w:customStyle="1" w:styleId="95">
    <w:name w:val="纯文本 字符"/>
    <w:qFormat/>
    <w:uiPriority w:val="0"/>
    <w:rPr>
      <w:rFonts w:ascii="宋体" w:hAnsi="Courier New" w:eastAsia="宋体" w:cs="Courier New"/>
      <w:szCs w:val="21"/>
    </w:rPr>
  </w:style>
  <w:style w:type="character" w:customStyle="1" w:styleId="96">
    <w:name w:val="标题 5 Char"/>
    <w:qFormat/>
    <w:uiPriority w:val="9"/>
    <w:rPr>
      <w:b/>
      <w:kern w:val="2"/>
      <w:sz w:val="28"/>
      <w:szCs w:val="24"/>
    </w:rPr>
  </w:style>
  <w:style w:type="character" w:customStyle="1" w:styleId="97">
    <w:name w:val="页脚 字符"/>
    <w:qFormat/>
    <w:uiPriority w:val="99"/>
  </w:style>
  <w:style w:type="character" w:customStyle="1" w:styleId="98">
    <w:name w:val="批注文字 Char1"/>
    <w:qFormat/>
    <w:locked/>
    <w:uiPriority w:val="0"/>
    <w:rPr>
      <w:rFonts w:ascii="Times New Roman" w:hAnsi="Times New Roman"/>
      <w:kern w:val="2"/>
      <w:sz w:val="21"/>
      <w:szCs w:val="24"/>
    </w:rPr>
  </w:style>
  <w:style w:type="character" w:customStyle="1" w:styleId="99">
    <w:name w:val="批注文字 Char"/>
    <w:qFormat/>
    <w:uiPriority w:val="0"/>
    <w:rPr>
      <w:rFonts w:ascii="Times New Roman" w:hAnsi="Times New Roman"/>
      <w:kern w:val="2"/>
      <w:sz w:val="21"/>
      <w:szCs w:val="24"/>
    </w:rPr>
  </w:style>
  <w:style w:type="character" w:customStyle="1" w:styleId="100">
    <w:name w:val="纯文本 字符1"/>
    <w:qFormat/>
    <w:uiPriority w:val="0"/>
    <w:rPr>
      <w:rFonts w:ascii="宋体" w:hAnsi="Courier New"/>
    </w:rPr>
  </w:style>
  <w:style w:type="character" w:customStyle="1" w:styleId="101">
    <w:name w:val="headline-content4"/>
    <w:qFormat/>
    <w:uiPriority w:val="0"/>
  </w:style>
  <w:style w:type="paragraph" w:customStyle="1" w:styleId="102">
    <w:name w:val="表格"/>
    <w:basedOn w:val="1"/>
    <w:qFormat/>
    <w:uiPriority w:val="0"/>
    <w:pPr>
      <w:spacing w:line="400" w:lineRule="exact"/>
    </w:pPr>
    <w:rPr>
      <w:sz w:val="24"/>
    </w:rPr>
  </w:style>
  <w:style w:type="paragraph" w:customStyle="1" w:styleId="103">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04">
    <w:name w:val="Plain Text"/>
    <w:basedOn w:val="1"/>
    <w:qFormat/>
    <w:uiPriority w:val="0"/>
    <w:rPr>
      <w:rFonts w:ascii="宋体" w:hAnsi="Courier New" w:cs="Century"/>
      <w:szCs w:val="21"/>
    </w:rPr>
  </w:style>
  <w:style w:type="paragraph" w:customStyle="1" w:styleId="105">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106">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0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08">
    <w:name w:val="Char1"/>
    <w:basedOn w:val="1"/>
    <w:qFormat/>
    <w:uiPriority w:val="0"/>
    <w:rPr>
      <w:szCs w:val="21"/>
    </w:rPr>
  </w:style>
  <w:style w:type="paragraph" w:customStyle="1" w:styleId="109">
    <w:name w:val="默认段落字体 Para Char Char Char Char Char Char Char Char Char1 Char Char Char Char"/>
    <w:basedOn w:val="1"/>
    <w:qFormat/>
    <w:uiPriority w:val="0"/>
    <w:rPr>
      <w:rFonts w:ascii="Tahoma" w:hAnsi="Tahoma"/>
      <w:sz w:val="24"/>
      <w:szCs w:val="20"/>
    </w:rPr>
  </w:style>
  <w:style w:type="paragraph" w:styleId="110">
    <w:name w:val="List Paragraph"/>
    <w:basedOn w:val="1"/>
    <w:qFormat/>
    <w:uiPriority w:val="34"/>
    <w:pPr>
      <w:ind w:firstLine="420" w:firstLineChars="200"/>
    </w:pPr>
  </w:style>
  <w:style w:type="paragraph" w:customStyle="1" w:styleId="111">
    <w:name w:val="样式 首行缩进:  2 字符"/>
    <w:basedOn w:val="1"/>
    <w:qFormat/>
    <w:uiPriority w:val="0"/>
    <w:pPr>
      <w:spacing w:line="400" w:lineRule="exact"/>
      <w:ind w:firstLine="200" w:firstLineChars="200"/>
    </w:pPr>
    <w:rPr>
      <w:rFonts w:cs="宋体"/>
      <w:sz w:val="24"/>
    </w:rPr>
  </w:style>
  <w:style w:type="paragraph" w:customStyle="1" w:styleId="11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13">
    <w:name w:val="正文首行缩进两字符"/>
    <w:basedOn w:val="1"/>
    <w:qFormat/>
    <w:uiPriority w:val="0"/>
    <w:pPr>
      <w:spacing w:line="360" w:lineRule="auto"/>
      <w:ind w:firstLine="200" w:firstLineChars="200"/>
    </w:pPr>
  </w:style>
  <w:style w:type="paragraph" w:customStyle="1" w:styleId="114">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5">
    <w:name w:val="正文段"/>
    <w:basedOn w:val="1"/>
    <w:qFormat/>
    <w:uiPriority w:val="0"/>
    <w:pPr>
      <w:widowControl/>
      <w:snapToGrid w:val="0"/>
      <w:spacing w:after="50" w:afterLines="50"/>
      <w:ind w:firstLine="200" w:firstLineChars="200"/>
    </w:pPr>
    <w:rPr>
      <w:kern w:val="0"/>
      <w:sz w:val="24"/>
      <w:szCs w:val="20"/>
    </w:rPr>
  </w:style>
  <w:style w:type="paragraph" w:customStyle="1" w:styleId="116">
    <w:name w:val="表内文字"/>
    <w:basedOn w:val="1"/>
    <w:qFormat/>
    <w:uiPriority w:val="0"/>
    <w:pPr>
      <w:snapToGrid w:val="0"/>
      <w:spacing w:before="50" w:after="50"/>
      <w:jc w:val="center"/>
    </w:pPr>
    <w:rPr>
      <w:rFonts w:ascii="仿宋_GB2312" w:hAnsi="宋体" w:eastAsia="仿宋_GB2312"/>
      <w:b/>
      <w:color w:val="000000"/>
      <w:sz w:val="32"/>
      <w:szCs w:val="32"/>
    </w:rPr>
  </w:style>
  <w:style w:type="table" w:customStyle="1" w:styleId="117">
    <w:name w:val="Table Normal"/>
    <w:semiHidden/>
    <w:qFormat/>
    <w:uiPriority w:val="2"/>
    <w:pPr>
      <w:widowControl w:val="0"/>
    </w:pPr>
    <w:rPr>
      <w:rFonts w:ascii="Calibri" w:hAnsi="Calibri" w:eastAsia="Times New Roman"/>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KWZB;</Company>
  <Pages>70</Pages>
  <Words>34386</Words>
  <Characters>36137</Characters>
  <Lines>319</Lines>
  <Paragraphs>89</Paragraphs>
  <TotalTime>29</TotalTime>
  <ScaleCrop>false</ScaleCrop>
  <LinksUpToDate>false</LinksUpToDate>
  <CharactersWithSpaces>41531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2022-12-09T01:15:00Z</dcterms:created>
  <dc:creator>KWZB</dc:creator>
  <cp:lastModifiedBy>Administrator</cp:lastModifiedBy>
  <cp:lastPrinted>2019-09-27T01:36:00Z</cp:lastPrinted>
  <dcterms:modified xsi:type="dcterms:W3CDTF">2023-10-23T02:49:37Z</dcterms:modified>
  <dc:title>公开招标采购文件范本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42D9B45277644A3C9C33513BB92EC318_13</vt:lpwstr>
  </property>
</Properties>
</file>