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eastAsia="宋体"/>
          <w:b w:val="0"/>
          <w:bCs/>
          <w:color w:val="auto"/>
          <w:sz w:val="36"/>
          <w:szCs w:val="36"/>
          <w:highlight w:val="none"/>
          <w:u w:val="none"/>
          <w:lang w:eastAsia="zh-CN"/>
        </w:rPr>
      </w:pPr>
      <w:r>
        <w:rPr>
          <w:rFonts w:hint="eastAsia"/>
          <w:b w:val="0"/>
          <w:bCs/>
          <w:color w:val="auto"/>
          <w:sz w:val="36"/>
          <w:szCs w:val="36"/>
          <w:highlight w:val="none"/>
          <w:u w:val="none"/>
          <w:lang w:eastAsia="zh-CN"/>
        </w:rPr>
        <w:t>2021年铁山港区南康镇扫管龙村委农业果蔬大棚产业项目（二期）</w:t>
      </w:r>
    </w:p>
    <w:p>
      <w:pPr>
        <w:spacing w:line="540" w:lineRule="exact"/>
        <w:jc w:val="center"/>
        <w:rPr>
          <w:rFonts w:ascii="宋体" w:hAnsi="宋体" w:cs="宋体"/>
          <w:b/>
          <w:color w:val="auto"/>
          <w:sz w:val="28"/>
          <w:szCs w:val="28"/>
          <w:highlight w:val="none"/>
        </w:rPr>
      </w:pPr>
    </w:p>
    <w:p>
      <w:pPr>
        <w:spacing w:line="460" w:lineRule="exact"/>
        <w:ind w:firstLine="437"/>
        <w:rPr>
          <w:rFonts w:ascii="宋体" w:hAnsi="宋体" w:cs="宋体"/>
          <w:color w:val="auto"/>
          <w:szCs w:val="21"/>
          <w:highlight w:val="none"/>
        </w:rPr>
      </w:pPr>
    </w:p>
    <w:p>
      <w:pPr>
        <w:pStyle w:val="2"/>
        <w:rPr>
          <w:color w:val="auto"/>
          <w:highlight w:val="none"/>
        </w:rPr>
      </w:pPr>
    </w:p>
    <w:p>
      <w:pPr>
        <w:spacing w:line="540" w:lineRule="exact"/>
        <w:rPr>
          <w:rFonts w:ascii="宋体" w:hAnsi="宋体" w:cs="宋体"/>
          <w:color w:val="auto"/>
          <w:szCs w:val="21"/>
          <w:highlight w:val="none"/>
        </w:rPr>
      </w:pPr>
    </w:p>
    <w:p>
      <w:pPr>
        <w:spacing w:line="540" w:lineRule="exact"/>
        <w:rPr>
          <w:rFonts w:ascii="宋体" w:hAnsi="宋体" w:cs="宋体"/>
          <w:color w:val="auto"/>
          <w:szCs w:val="21"/>
          <w:highlight w:val="none"/>
        </w:rPr>
      </w:pPr>
    </w:p>
    <w:p>
      <w:pPr>
        <w:jc w:val="center"/>
        <w:rPr>
          <w:rFonts w:ascii="宋体" w:hAnsi="宋体" w:cs="宋体"/>
          <w:color w:val="auto"/>
          <w:sz w:val="72"/>
          <w:szCs w:val="72"/>
          <w:highlight w:val="none"/>
        </w:rPr>
      </w:pPr>
      <w:r>
        <w:rPr>
          <w:rFonts w:ascii="宋体" w:hAnsi="宋体" w:cs="宋体"/>
          <w:color w:val="auto"/>
          <w:sz w:val="72"/>
          <w:szCs w:val="72"/>
          <w:highlight w:val="none"/>
        </w:rPr>
        <w:t>招 标 文 件</w:t>
      </w:r>
    </w:p>
    <w:p>
      <w:pPr>
        <w:spacing w:line="540" w:lineRule="exact"/>
        <w:ind w:firstLine="437"/>
        <w:jc w:val="center"/>
        <w:rPr>
          <w:rFonts w:ascii="宋体" w:hAnsi="宋体" w:cs="宋体"/>
          <w:color w:val="auto"/>
          <w:szCs w:val="21"/>
          <w:highlight w:val="none"/>
        </w:rPr>
      </w:pPr>
    </w:p>
    <w:p>
      <w:pPr>
        <w:spacing w:line="540" w:lineRule="exact"/>
        <w:ind w:firstLine="437"/>
        <w:jc w:val="center"/>
        <w:rPr>
          <w:rFonts w:ascii="宋体" w:hAnsi="宋体" w:cs="宋体"/>
          <w:color w:val="auto"/>
          <w:szCs w:val="21"/>
          <w:highlight w:val="none"/>
        </w:rPr>
      </w:pPr>
    </w:p>
    <w:p>
      <w:pPr>
        <w:pStyle w:val="2"/>
        <w:rPr>
          <w:color w:val="auto"/>
          <w:highlight w:val="none"/>
        </w:rPr>
      </w:pPr>
    </w:p>
    <w:p>
      <w:pPr>
        <w:spacing w:line="540" w:lineRule="exact"/>
        <w:jc w:val="center"/>
        <w:rPr>
          <w:rFonts w:hint="eastAsia" w:ascii="宋体" w:hAnsi="宋体" w:eastAsia="宋体" w:cs="宋体"/>
          <w:color w:val="auto"/>
          <w:sz w:val="28"/>
          <w:szCs w:val="28"/>
          <w:highlight w:val="none"/>
          <w:lang w:eastAsia="zh-CN"/>
        </w:rPr>
      </w:pPr>
      <w:r>
        <w:rPr>
          <w:rFonts w:ascii="宋体" w:hAnsi="宋体" w:cs="宋体"/>
          <w:color w:val="auto"/>
          <w:sz w:val="28"/>
          <w:szCs w:val="28"/>
          <w:highlight w:val="none"/>
        </w:rPr>
        <w:t>项目编号：</w:t>
      </w:r>
      <w:r>
        <w:rPr>
          <w:rFonts w:hint="eastAsia" w:ascii="宋体" w:hAnsi="宋体" w:cs="宋体"/>
          <w:color w:val="auto"/>
          <w:sz w:val="28"/>
          <w:szCs w:val="28"/>
          <w:highlight w:val="none"/>
          <w:u w:val="single"/>
          <w:lang w:eastAsia="zh-CN"/>
        </w:rPr>
        <w:t>BHZC2021-G2-120025-GXHT</w:t>
      </w:r>
    </w:p>
    <w:p>
      <w:pPr>
        <w:spacing w:line="540" w:lineRule="exact"/>
        <w:jc w:val="center"/>
        <w:rPr>
          <w:rFonts w:hint="eastAsia" w:ascii="宋体" w:hAnsi="宋体" w:cs="宋体"/>
          <w:color w:val="auto"/>
          <w:sz w:val="28"/>
          <w:szCs w:val="28"/>
          <w:highlight w:val="none"/>
        </w:rPr>
      </w:pPr>
    </w:p>
    <w:p>
      <w:pPr>
        <w:spacing w:line="540" w:lineRule="exact"/>
        <w:ind w:firstLine="437"/>
        <w:jc w:val="center"/>
        <w:rPr>
          <w:rFonts w:ascii="宋体" w:hAnsi="宋体" w:cs="宋体"/>
          <w:color w:val="auto"/>
          <w:szCs w:val="21"/>
          <w:highlight w:val="none"/>
        </w:rPr>
      </w:pPr>
    </w:p>
    <w:p>
      <w:pPr>
        <w:spacing w:line="540" w:lineRule="exact"/>
        <w:ind w:firstLine="437"/>
        <w:jc w:val="center"/>
        <w:rPr>
          <w:rFonts w:ascii="宋体" w:hAnsi="宋体" w:cs="宋体"/>
          <w:color w:val="auto"/>
          <w:szCs w:val="21"/>
          <w:highlight w:val="none"/>
        </w:rPr>
      </w:pPr>
    </w:p>
    <w:p>
      <w:pPr>
        <w:pStyle w:val="2"/>
        <w:rPr>
          <w:color w:val="auto"/>
          <w:highlight w:val="none"/>
        </w:rPr>
      </w:pPr>
    </w:p>
    <w:p>
      <w:pPr>
        <w:spacing w:line="540" w:lineRule="exact"/>
        <w:jc w:val="center"/>
        <w:rPr>
          <w:rFonts w:ascii="宋体" w:hAnsi="宋体" w:cs="宋体"/>
          <w:color w:val="auto"/>
          <w:szCs w:val="21"/>
          <w:highlight w:val="none"/>
        </w:rPr>
      </w:pPr>
    </w:p>
    <w:p>
      <w:pPr>
        <w:spacing w:line="540" w:lineRule="exact"/>
        <w:jc w:val="center"/>
        <w:rPr>
          <w:rFonts w:ascii="宋体" w:hAnsi="宋体" w:cs="宋体"/>
          <w:color w:val="auto"/>
          <w:sz w:val="32"/>
          <w:szCs w:val="32"/>
          <w:highlight w:val="none"/>
        </w:rPr>
      </w:pPr>
      <w:r>
        <w:rPr>
          <w:rFonts w:ascii="宋体" w:hAnsi="宋体" w:cs="宋体"/>
          <w:color w:val="auto"/>
          <w:sz w:val="32"/>
          <w:szCs w:val="32"/>
          <w:highlight w:val="none"/>
        </w:rPr>
        <w:t>招 标 人：</w:t>
      </w:r>
      <w:r>
        <w:rPr>
          <w:rFonts w:hint="eastAsia" w:ascii="宋体" w:hAnsi="宋体" w:cs="宋体"/>
          <w:color w:val="auto"/>
          <w:sz w:val="32"/>
          <w:szCs w:val="32"/>
          <w:highlight w:val="none"/>
          <w:u w:val="single"/>
          <w:lang w:eastAsia="zh-CN"/>
        </w:rPr>
        <w:t>北海市铁山港区南康镇人民政府</w:t>
      </w:r>
      <w:r>
        <w:rPr>
          <w:rFonts w:ascii="宋体" w:hAnsi="宋体" w:cs="宋体"/>
          <w:color w:val="auto"/>
          <w:sz w:val="32"/>
          <w:szCs w:val="32"/>
          <w:highlight w:val="none"/>
          <w:u w:val="single"/>
        </w:rPr>
        <w:t xml:space="preserve"> </w:t>
      </w:r>
      <w:r>
        <w:rPr>
          <w:rFonts w:ascii="宋体" w:hAnsi="宋体" w:cs="宋体"/>
          <w:color w:val="auto"/>
          <w:sz w:val="32"/>
          <w:szCs w:val="32"/>
          <w:highlight w:val="none"/>
        </w:rPr>
        <w:t>（盖章）</w:t>
      </w:r>
    </w:p>
    <w:p>
      <w:pPr>
        <w:spacing w:line="540" w:lineRule="exact"/>
        <w:ind w:firstLine="437"/>
        <w:jc w:val="center"/>
        <w:rPr>
          <w:rFonts w:ascii="宋体" w:hAnsi="宋体" w:cs="宋体"/>
          <w:color w:val="auto"/>
          <w:sz w:val="32"/>
          <w:szCs w:val="32"/>
          <w:highlight w:val="none"/>
        </w:rPr>
      </w:pPr>
    </w:p>
    <w:p>
      <w:pPr>
        <w:spacing w:line="540" w:lineRule="exact"/>
        <w:rPr>
          <w:rFonts w:ascii="宋体" w:hAnsi="宋体" w:cs="宋体"/>
          <w:color w:val="auto"/>
          <w:sz w:val="32"/>
          <w:szCs w:val="32"/>
          <w:highlight w:val="none"/>
        </w:rPr>
      </w:pPr>
      <w:r>
        <w:rPr>
          <w:rFonts w:ascii="宋体" w:hAnsi="宋体" w:cs="宋体"/>
          <w:color w:val="auto"/>
          <w:sz w:val="32"/>
          <w:szCs w:val="32"/>
          <w:highlight w:val="none"/>
        </w:rPr>
        <w:t>招标代理机构：</w:t>
      </w:r>
      <w:r>
        <w:rPr>
          <w:rFonts w:hint="eastAsia" w:ascii="宋体" w:hAnsi="宋体" w:cs="宋体"/>
          <w:color w:val="auto"/>
          <w:sz w:val="32"/>
          <w:szCs w:val="32"/>
          <w:highlight w:val="none"/>
          <w:u w:val="single"/>
          <w:lang w:eastAsia="zh-CN"/>
        </w:rPr>
        <w:t>广西火天信工程管理咨询有限公司</w:t>
      </w:r>
      <w:r>
        <w:rPr>
          <w:rFonts w:ascii="宋体" w:hAnsi="宋体" w:cs="宋体"/>
          <w:color w:val="auto"/>
          <w:sz w:val="32"/>
          <w:szCs w:val="32"/>
          <w:highlight w:val="none"/>
        </w:rPr>
        <w:t>（盖章）</w:t>
      </w:r>
    </w:p>
    <w:p>
      <w:pPr>
        <w:spacing w:after="240" w:afterLines="100" w:line="540" w:lineRule="exact"/>
        <w:jc w:val="center"/>
        <w:rPr>
          <w:b/>
          <w:color w:val="auto"/>
          <w:sz w:val="44"/>
          <w:szCs w:val="44"/>
          <w:highlight w:val="none"/>
        </w:rPr>
      </w:pPr>
    </w:p>
    <w:p>
      <w:pPr>
        <w:spacing w:after="240" w:afterLines="100" w:line="540" w:lineRule="exact"/>
        <w:jc w:val="center"/>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lang w:val="en-US" w:eastAsia="zh-CN"/>
        </w:rPr>
        <w:t>2021年</w:t>
      </w:r>
      <w:r>
        <w:rPr>
          <w:rFonts w:hint="eastAsia" w:ascii="宋体" w:hAnsi="宋体" w:cs="宋体"/>
          <w:b w:val="0"/>
          <w:bCs/>
          <w:color w:val="auto"/>
          <w:sz w:val="32"/>
          <w:szCs w:val="32"/>
          <w:highlight w:val="none"/>
          <w:lang w:val="en-US" w:eastAsia="zh-CN"/>
        </w:rPr>
        <w:t>9</w:t>
      </w:r>
      <w:r>
        <w:rPr>
          <w:rFonts w:hint="eastAsia" w:ascii="宋体" w:hAnsi="宋体" w:eastAsia="宋体" w:cs="宋体"/>
          <w:b w:val="0"/>
          <w:bCs/>
          <w:color w:val="auto"/>
          <w:sz w:val="32"/>
          <w:szCs w:val="32"/>
          <w:highlight w:val="none"/>
          <w:lang w:val="en-US" w:eastAsia="zh-CN"/>
        </w:rPr>
        <w:t>月</w:t>
      </w:r>
    </w:p>
    <w:p>
      <w:pPr>
        <w:spacing w:after="240" w:afterLines="100" w:line="540" w:lineRule="exact"/>
        <w:jc w:val="center"/>
        <w:rPr>
          <w:b/>
          <w:color w:val="auto"/>
          <w:sz w:val="44"/>
          <w:szCs w:val="44"/>
          <w:highlight w:val="none"/>
        </w:rPr>
      </w:pPr>
    </w:p>
    <w:p>
      <w:pPr>
        <w:spacing w:after="240" w:afterLines="100" w:line="540" w:lineRule="exact"/>
        <w:jc w:val="center"/>
        <w:rPr>
          <w:b/>
          <w:color w:val="auto"/>
          <w:sz w:val="44"/>
          <w:szCs w:val="44"/>
          <w:highlight w:val="none"/>
        </w:rPr>
      </w:pPr>
    </w:p>
    <w:p>
      <w:pPr>
        <w:spacing w:after="240" w:afterLines="100" w:line="540" w:lineRule="exact"/>
        <w:jc w:val="center"/>
        <w:rPr>
          <w:b/>
          <w:color w:val="auto"/>
          <w:sz w:val="44"/>
          <w:szCs w:val="44"/>
          <w:highlight w:val="none"/>
        </w:rPr>
        <w:sectPr>
          <w:headerReference r:id="rId3" w:type="default"/>
          <w:pgSz w:w="11906" w:h="16838"/>
          <w:pgMar w:top="1440" w:right="1440" w:bottom="1440" w:left="1797" w:header="851" w:footer="851" w:gutter="0"/>
          <w:pgNumType w:fmt="upperRoman"/>
          <w:cols w:space="720" w:num="1"/>
          <w:docGrid w:linePitch="312" w:charSpace="0"/>
        </w:sectPr>
      </w:pPr>
    </w:p>
    <w:p>
      <w:pPr>
        <w:spacing w:after="240" w:afterLines="100" w:line="540" w:lineRule="exact"/>
        <w:jc w:val="center"/>
        <w:rPr>
          <w:b/>
          <w:color w:val="auto"/>
          <w:sz w:val="44"/>
          <w:szCs w:val="44"/>
          <w:highlight w:val="none"/>
        </w:rPr>
      </w:pPr>
      <w:r>
        <w:rPr>
          <w:b/>
          <w:color w:val="auto"/>
          <w:sz w:val="44"/>
          <w:szCs w:val="44"/>
          <w:highlight w:val="none"/>
        </w:rPr>
        <w:t>目  录</w:t>
      </w:r>
    </w:p>
    <w:p>
      <w:pPr>
        <w:pStyle w:val="14"/>
        <w:tabs>
          <w:tab w:val="right" w:leader="dot" w:pos="8659"/>
        </w:tabs>
        <w:rPr>
          <w:rFonts w:ascii="Calibri" w:hAnsi="Calibri" w:eastAsia="宋体"/>
          <w:color w:val="auto"/>
          <w:szCs w:val="22"/>
          <w:highlight w:val="none"/>
        </w:rPr>
      </w:pPr>
      <w:r>
        <w:rPr>
          <w:color w:val="auto"/>
          <w:highlight w:val="none"/>
        </w:rPr>
        <w:fldChar w:fldCharType="begin"/>
      </w:r>
      <w:r>
        <w:rPr>
          <w:color w:val="auto"/>
          <w:highlight w:val="none"/>
        </w:rPr>
        <w:instrText xml:space="preserve"> TOC \o "1-1" \h \z \t "标题 2,2,标题 3,3" </w:instrText>
      </w:r>
      <w:r>
        <w:rPr>
          <w:color w:val="auto"/>
          <w:highlight w:val="none"/>
        </w:rPr>
        <w:fldChar w:fldCharType="separate"/>
      </w:r>
      <w:r>
        <w:rPr>
          <w:rStyle w:val="21"/>
          <w:color w:val="auto"/>
          <w:highlight w:val="none"/>
        </w:rPr>
        <w:fldChar w:fldCharType="begin"/>
      </w:r>
      <w:r>
        <w:rPr>
          <w:rStyle w:val="21"/>
          <w:color w:val="auto"/>
          <w:highlight w:val="none"/>
        </w:rPr>
        <w:instrText xml:space="preserve"> </w:instrText>
      </w:r>
      <w:r>
        <w:rPr>
          <w:color w:val="auto"/>
          <w:highlight w:val="none"/>
        </w:rPr>
        <w:instrText xml:space="preserve">HYPERLINK \l "_Toc76726722"</w:instrText>
      </w:r>
      <w:r>
        <w:rPr>
          <w:rStyle w:val="21"/>
          <w:color w:val="auto"/>
          <w:highlight w:val="none"/>
        </w:rPr>
        <w:instrText xml:space="preserve"> </w:instrText>
      </w:r>
      <w:r>
        <w:rPr>
          <w:rStyle w:val="21"/>
          <w:color w:val="auto"/>
          <w:highlight w:val="none"/>
        </w:rPr>
        <w:fldChar w:fldCharType="separate"/>
      </w:r>
      <w:r>
        <w:rPr>
          <w:rStyle w:val="21"/>
          <w:rFonts w:hint="eastAsia"/>
          <w:color w:val="auto"/>
          <w:highlight w:val="none"/>
        </w:rPr>
        <w:t>第一章</w:t>
      </w:r>
      <w:r>
        <w:rPr>
          <w:rStyle w:val="21"/>
          <w:color w:val="auto"/>
          <w:highlight w:val="none"/>
        </w:rPr>
        <w:t xml:space="preserve">  </w:t>
      </w:r>
      <w:r>
        <w:rPr>
          <w:rStyle w:val="21"/>
          <w:rFonts w:hint="eastAsia"/>
          <w:color w:val="auto"/>
          <w:highlight w:val="none"/>
        </w:rPr>
        <w:t>招标公告</w:t>
      </w:r>
      <w:r>
        <w:rPr>
          <w:color w:val="auto"/>
          <w:highlight w:val="none"/>
        </w:rPr>
        <w:tab/>
      </w:r>
      <w:r>
        <w:rPr>
          <w:rFonts w:hint="eastAsia"/>
          <w:color w:val="auto"/>
          <w:highlight w:val="none"/>
          <w:lang w:val="en-US" w:eastAsia="zh-CN"/>
        </w:rPr>
        <w:t>2</w:t>
      </w:r>
      <w:r>
        <w:rPr>
          <w:rStyle w:val="21"/>
          <w:color w:val="auto"/>
          <w:highlight w:val="none"/>
        </w:rPr>
        <w:fldChar w:fldCharType="end"/>
      </w:r>
    </w:p>
    <w:p>
      <w:pPr>
        <w:pStyle w:val="14"/>
        <w:tabs>
          <w:tab w:val="right" w:leader="dot" w:pos="8659"/>
        </w:tabs>
        <w:rPr>
          <w:rFonts w:ascii="Calibri" w:hAnsi="Calibri" w:eastAsia="宋体"/>
          <w:color w:val="auto"/>
          <w:szCs w:val="22"/>
          <w:highlight w:val="none"/>
        </w:rPr>
      </w:pPr>
      <w:r>
        <w:rPr>
          <w:rStyle w:val="21"/>
          <w:color w:val="auto"/>
          <w:highlight w:val="none"/>
        </w:rPr>
        <w:fldChar w:fldCharType="begin"/>
      </w:r>
      <w:r>
        <w:rPr>
          <w:rStyle w:val="21"/>
          <w:color w:val="auto"/>
          <w:highlight w:val="none"/>
        </w:rPr>
        <w:instrText xml:space="preserve"> </w:instrText>
      </w:r>
      <w:r>
        <w:rPr>
          <w:color w:val="auto"/>
          <w:highlight w:val="none"/>
        </w:rPr>
        <w:instrText xml:space="preserve">HYPERLINK \l "_Toc76726729"</w:instrText>
      </w:r>
      <w:r>
        <w:rPr>
          <w:rStyle w:val="21"/>
          <w:color w:val="auto"/>
          <w:highlight w:val="none"/>
        </w:rPr>
        <w:instrText xml:space="preserve"> </w:instrText>
      </w:r>
      <w:r>
        <w:rPr>
          <w:rStyle w:val="21"/>
          <w:color w:val="auto"/>
          <w:highlight w:val="none"/>
        </w:rPr>
        <w:fldChar w:fldCharType="separate"/>
      </w:r>
      <w:r>
        <w:rPr>
          <w:rStyle w:val="21"/>
          <w:rFonts w:hint="eastAsia"/>
          <w:color w:val="auto"/>
          <w:highlight w:val="none"/>
        </w:rPr>
        <w:t>第二章</w:t>
      </w:r>
      <w:r>
        <w:rPr>
          <w:rStyle w:val="21"/>
          <w:color w:val="auto"/>
          <w:highlight w:val="none"/>
        </w:rPr>
        <w:t xml:space="preserve">  </w:t>
      </w:r>
      <w:r>
        <w:rPr>
          <w:rStyle w:val="21"/>
          <w:rFonts w:hint="eastAsia"/>
          <w:color w:val="auto"/>
          <w:highlight w:val="none"/>
        </w:rPr>
        <w:t>投标人须知</w:t>
      </w:r>
      <w:r>
        <w:rPr>
          <w:color w:val="auto"/>
          <w:highlight w:val="none"/>
        </w:rPr>
        <w:tab/>
      </w:r>
      <w:r>
        <w:rPr>
          <w:rFonts w:hint="eastAsia"/>
          <w:color w:val="auto"/>
          <w:highlight w:val="none"/>
          <w:lang w:val="en-US" w:eastAsia="zh-CN"/>
        </w:rPr>
        <w:t>5</w:t>
      </w:r>
      <w:r>
        <w:rPr>
          <w:rStyle w:val="21"/>
          <w:color w:val="auto"/>
          <w:highlight w:val="none"/>
        </w:rPr>
        <w:fldChar w:fldCharType="end"/>
      </w:r>
    </w:p>
    <w:p>
      <w:pPr>
        <w:pStyle w:val="14"/>
        <w:tabs>
          <w:tab w:val="right" w:leader="dot" w:pos="8659"/>
        </w:tabs>
        <w:rPr>
          <w:rFonts w:hint="eastAsia" w:ascii="Calibri" w:hAnsi="Calibri" w:eastAsia="黑体"/>
          <w:color w:val="auto"/>
          <w:szCs w:val="22"/>
          <w:highlight w:val="none"/>
          <w:lang w:val="en-US" w:eastAsia="zh-CN"/>
        </w:rPr>
      </w:pPr>
      <w:r>
        <w:rPr>
          <w:rStyle w:val="21"/>
          <w:color w:val="auto"/>
          <w:highlight w:val="none"/>
        </w:rPr>
        <w:fldChar w:fldCharType="begin"/>
      </w:r>
      <w:r>
        <w:rPr>
          <w:rStyle w:val="21"/>
          <w:color w:val="auto"/>
          <w:highlight w:val="none"/>
        </w:rPr>
        <w:instrText xml:space="preserve"> </w:instrText>
      </w:r>
      <w:r>
        <w:rPr>
          <w:color w:val="auto"/>
          <w:highlight w:val="none"/>
        </w:rPr>
        <w:instrText xml:space="preserve">HYPERLINK \l "_Toc76726786"</w:instrText>
      </w:r>
      <w:r>
        <w:rPr>
          <w:rStyle w:val="21"/>
          <w:color w:val="auto"/>
          <w:highlight w:val="none"/>
        </w:rPr>
        <w:instrText xml:space="preserve"> </w:instrText>
      </w:r>
      <w:r>
        <w:rPr>
          <w:rStyle w:val="21"/>
          <w:color w:val="auto"/>
          <w:highlight w:val="none"/>
        </w:rPr>
        <w:fldChar w:fldCharType="separate"/>
      </w:r>
      <w:r>
        <w:rPr>
          <w:rStyle w:val="21"/>
          <w:rFonts w:hint="eastAsia"/>
          <w:color w:val="auto"/>
          <w:highlight w:val="none"/>
        </w:rPr>
        <w:t>第三章</w:t>
      </w:r>
      <w:r>
        <w:rPr>
          <w:rStyle w:val="21"/>
          <w:color w:val="auto"/>
          <w:highlight w:val="none"/>
        </w:rPr>
        <w:t xml:space="preserve">  </w:t>
      </w:r>
      <w:r>
        <w:rPr>
          <w:rStyle w:val="21"/>
          <w:rFonts w:hint="eastAsia"/>
          <w:color w:val="auto"/>
          <w:highlight w:val="none"/>
        </w:rPr>
        <w:t>评标办法（综合评估法）</w:t>
      </w:r>
      <w:r>
        <w:rPr>
          <w:color w:val="auto"/>
          <w:highlight w:val="none"/>
        </w:rPr>
        <w:tab/>
      </w:r>
      <w:r>
        <w:rPr>
          <w:rFonts w:hint="eastAsia"/>
          <w:color w:val="auto"/>
          <w:highlight w:val="none"/>
          <w:lang w:val="en-US" w:eastAsia="zh-CN"/>
        </w:rPr>
        <w:t>2</w:t>
      </w:r>
      <w:r>
        <w:rPr>
          <w:rStyle w:val="21"/>
          <w:color w:val="auto"/>
          <w:highlight w:val="none"/>
        </w:rPr>
        <w:fldChar w:fldCharType="end"/>
      </w:r>
      <w:r>
        <w:rPr>
          <w:rStyle w:val="21"/>
          <w:rFonts w:hint="eastAsia"/>
          <w:color w:val="auto"/>
          <w:highlight w:val="none"/>
          <w:lang w:val="en-US" w:eastAsia="zh-CN"/>
        </w:rPr>
        <w:t>2</w:t>
      </w:r>
    </w:p>
    <w:p>
      <w:pPr>
        <w:pStyle w:val="14"/>
        <w:tabs>
          <w:tab w:val="right" w:leader="dot" w:pos="8659"/>
        </w:tabs>
        <w:rPr>
          <w:rFonts w:hint="eastAsia" w:ascii="Calibri" w:hAnsi="Calibri" w:eastAsia="黑体"/>
          <w:color w:val="auto"/>
          <w:szCs w:val="22"/>
          <w:highlight w:val="none"/>
          <w:lang w:val="en-US" w:eastAsia="zh-CN"/>
        </w:rPr>
      </w:pPr>
      <w:r>
        <w:rPr>
          <w:rStyle w:val="21"/>
          <w:color w:val="auto"/>
          <w:highlight w:val="none"/>
        </w:rPr>
        <w:fldChar w:fldCharType="begin"/>
      </w:r>
      <w:r>
        <w:rPr>
          <w:rStyle w:val="21"/>
          <w:color w:val="auto"/>
          <w:highlight w:val="none"/>
        </w:rPr>
        <w:instrText xml:space="preserve"> </w:instrText>
      </w:r>
      <w:r>
        <w:rPr>
          <w:color w:val="auto"/>
          <w:highlight w:val="none"/>
        </w:rPr>
        <w:instrText xml:space="preserve">HYPERLINK \l "_Toc76726798"</w:instrText>
      </w:r>
      <w:r>
        <w:rPr>
          <w:rStyle w:val="21"/>
          <w:color w:val="auto"/>
          <w:highlight w:val="none"/>
        </w:rPr>
        <w:instrText xml:space="preserve"> </w:instrText>
      </w:r>
      <w:r>
        <w:rPr>
          <w:rStyle w:val="21"/>
          <w:color w:val="auto"/>
          <w:highlight w:val="none"/>
        </w:rPr>
        <w:fldChar w:fldCharType="separate"/>
      </w:r>
      <w:r>
        <w:rPr>
          <w:rStyle w:val="21"/>
          <w:rFonts w:hint="eastAsia"/>
          <w:color w:val="auto"/>
          <w:highlight w:val="none"/>
        </w:rPr>
        <w:t>第四章</w:t>
      </w:r>
      <w:r>
        <w:rPr>
          <w:rStyle w:val="21"/>
          <w:color w:val="auto"/>
          <w:highlight w:val="none"/>
        </w:rPr>
        <w:t xml:space="preserve">  </w:t>
      </w:r>
      <w:r>
        <w:rPr>
          <w:rStyle w:val="21"/>
          <w:rFonts w:hint="eastAsia"/>
          <w:color w:val="auto"/>
          <w:highlight w:val="none"/>
        </w:rPr>
        <w:t>合同条款及格式</w:t>
      </w:r>
      <w:r>
        <w:rPr>
          <w:color w:val="auto"/>
          <w:highlight w:val="none"/>
        </w:rPr>
        <w:tab/>
      </w:r>
      <w:r>
        <w:rPr>
          <w:rFonts w:hint="eastAsia"/>
          <w:color w:val="auto"/>
          <w:highlight w:val="none"/>
          <w:lang w:val="en-US" w:eastAsia="zh-CN"/>
        </w:rPr>
        <w:t>3</w:t>
      </w:r>
      <w:r>
        <w:rPr>
          <w:rStyle w:val="21"/>
          <w:color w:val="auto"/>
          <w:highlight w:val="none"/>
        </w:rPr>
        <w:fldChar w:fldCharType="end"/>
      </w:r>
      <w:r>
        <w:rPr>
          <w:rStyle w:val="21"/>
          <w:rFonts w:hint="eastAsia"/>
          <w:color w:val="auto"/>
          <w:highlight w:val="none"/>
          <w:lang w:val="en-US" w:eastAsia="zh-CN"/>
        </w:rPr>
        <w:t>7</w:t>
      </w:r>
    </w:p>
    <w:p>
      <w:pPr>
        <w:pStyle w:val="14"/>
        <w:tabs>
          <w:tab w:val="right" w:leader="dot" w:pos="8659"/>
        </w:tabs>
        <w:rPr>
          <w:rFonts w:hint="eastAsia" w:ascii="Calibri" w:hAnsi="Calibri" w:eastAsia="黑体"/>
          <w:color w:val="auto"/>
          <w:szCs w:val="22"/>
          <w:highlight w:val="none"/>
          <w:lang w:val="en-US" w:eastAsia="zh-CN"/>
        </w:rPr>
      </w:pPr>
      <w:r>
        <w:rPr>
          <w:rStyle w:val="21"/>
          <w:color w:val="auto"/>
          <w:highlight w:val="none"/>
        </w:rPr>
        <w:fldChar w:fldCharType="begin"/>
      </w:r>
      <w:r>
        <w:rPr>
          <w:rStyle w:val="21"/>
          <w:color w:val="auto"/>
          <w:highlight w:val="none"/>
        </w:rPr>
        <w:instrText xml:space="preserve"> </w:instrText>
      </w:r>
      <w:r>
        <w:rPr>
          <w:color w:val="auto"/>
          <w:highlight w:val="none"/>
        </w:rPr>
        <w:instrText xml:space="preserve">HYPERLINK \l "_Toc76726875"</w:instrText>
      </w:r>
      <w:r>
        <w:rPr>
          <w:rStyle w:val="21"/>
          <w:color w:val="auto"/>
          <w:highlight w:val="none"/>
        </w:rPr>
        <w:instrText xml:space="preserve"> </w:instrText>
      </w:r>
      <w:r>
        <w:rPr>
          <w:rStyle w:val="21"/>
          <w:color w:val="auto"/>
          <w:highlight w:val="none"/>
        </w:rPr>
        <w:fldChar w:fldCharType="separate"/>
      </w:r>
      <w:r>
        <w:rPr>
          <w:rStyle w:val="21"/>
          <w:rFonts w:hint="eastAsia"/>
          <w:color w:val="auto"/>
          <w:highlight w:val="none"/>
        </w:rPr>
        <w:t>第五章</w:t>
      </w:r>
      <w:r>
        <w:rPr>
          <w:rStyle w:val="21"/>
          <w:color w:val="auto"/>
          <w:highlight w:val="none"/>
        </w:rPr>
        <w:t xml:space="preserve"> </w:t>
      </w:r>
      <w:r>
        <w:rPr>
          <w:rStyle w:val="21"/>
          <w:rFonts w:hint="eastAsia"/>
          <w:color w:val="auto"/>
          <w:highlight w:val="none"/>
        </w:rPr>
        <w:t>工程量清单</w:t>
      </w:r>
      <w:r>
        <w:rPr>
          <w:color w:val="auto"/>
          <w:highlight w:val="none"/>
        </w:rPr>
        <w:tab/>
      </w:r>
      <w:r>
        <w:rPr>
          <w:rFonts w:hint="eastAsia"/>
          <w:color w:val="auto"/>
          <w:highlight w:val="none"/>
          <w:lang w:val="en-US" w:eastAsia="zh-CN"/>
        </w:rPr>
        <w:t>7</w:t>
      </w:r>
      <w:r>
        <w:rPr>
          <w:rStyle w:val="21"/>
          <w:color w:val="auto"/>
          <w:highlight w:val="none"/>
        </w:rPr>
        <w:fldChar w:fldCharType="end"/>
      </w:r>
      <w:r>
        <w:rPr>
          <w:rStyle w:val="21"/>
          <w:rFonts w:hint="eastAsia"/>
          <w:color w:val="auto"/>
          <w:highlight w:val="none"/>
          <w:lang w:val="en-US" w:eastAsia="zh-CN"/>
        </w:rPr>
        <w:t>2</w:t>
      </w:r>
    </w:p>
    <w:p>
      <w:pPr>
        <w:pStyle w:val="14"/>
        <w:tabs>
          <w:tab w:val="right" w:leader="dot" w:pos="8659"/>
        </w:tabs>
        <w:rPr>
          <w:rFonts w:hint="eastAsia" w:ascii="Calibri" w:hAnsi="Calibri" w:eastAsia="黑体"/>
          <w:color w:val="auto"/>
          <w:szCs w:val="22"/>
          <w:highlight w:val="none"/>
          <w:lang w:val="en-US" w:eastAsia="zh-CN"/>
        </w:rPr>
      </w:pPr>
      <w:r>
        <w:rPr>
          <w:rStyle w:val="21"/>
          <w:color w:val="auto"/>
          <w:highlight w:val="none"/>
        </w:rPr>
        <w:fldChar w:fldCharType="begin"/>
      </w:r>
      <w:r>
        <w:rPr>
          <w:rStyle w:val="21"/>
          <w:color w:val="auto"/>
          <w:highlight w:val="none"/>
        </w:rPr>
        <w:instrText xml:space="preserve"> </w:instrText>
      </w:r>
      <w:r>
        <w:rPr>
          <w:color w:val="auto"/>
          <w:highlight w:val="none"/>
        </w:rPr>
        <w:instrText xml:space="preserve">HYPERLINK \l "_Toc76726877"</w:instrText>
      </w:r>
      <w:r>
        <w:rPr>
          <w:rStyle w:val="21"/>
          <w:color w:val="auto"/>
          <w:highlight w:val="none"/>
        </w:rPr>
        <w:instrText xml:space="preserve"> </w:instrText>
      </w:r>
      <w:r>
        <w:rPr>
          <w:rStyle w:val="21"/>
          <w:color w:val="auto"/>
          <w:highlight w:val="none"/>
        </w:rPr>
        <w:fldChar w:fldCharType="separate"/>
      </w:r>
      <w:r>
        <w:rPr>
          <w:rStyle w:val="21"/>
          <w:rFonts w:hint="eastAsia"/>
          <w:color w:val="auto"/>
          <w:highlight w:val="none"/>
        </w:rPr>
        <w:t>第六章</w:t>
      </w:r>
      <w:r>
        <w:rPr>
          <w:rStyle w:val="21"/>
          <w:color w:val="auto"/>
          <w:highlight w:val="none"/>
        </w:rPr>
        <w:t xml:space="preserve"> </w:t>
      </w:r>
      <w:r>
        <w:rPr>
          <w:rStyle w:val="21"/>
          <w:rFonts w:hint="eastAsia"/>
          <w:color w:val="auto"/>
          <w:highlight w:val="none"/>
        </w:rPr>
        <w:t>图</w:t>
      </w:r>
      <w:r>
        <w:rPr>
          <w:rStyle w:val="21"/>
          <w:color w:val="auto"/>
          <w:highlight w:val="none"/>
        </w:rPr>
        <w:t xml:space="preserve">  </w:t>
      </w:r>
      <w:r>
        <w:rPr>
          <w:rStyle w:val="21"/>
          <w:rFonts w:hint="eastAsia"/>
          <w:color w:val="auto"/>
          <w:highlight w:val="none"/>
        </w:rPr>
        <w:t>纸</w:t>
      </w:r>
      <w:r>
        <w:rPr>
          <w:color w:val="auto"/>
          <w:highlight w:val="none"/>
        </w:rPr>
        <w:tab/>
      </w:r>
      <w:r>
        <w:rPr>
          <w:rFonts w:hint="eastAsia"/>
          <w:color w:val="auto"/>
          <w:highlight w:val="none"/>
          <w:lang w:val="en-US" w:eastAsia="zh-CN"/>
        </w:rPr>
        <w:t>7</w:t>
      </w:r>
      <w:r>
        <w:rPr>
          <w:rStyle w:val="21"/>
          <w:color w:val="auto"/>
          <w:highlight w:val="none"/>
        </w:rPr>
        <w:fldChar w:fldCharType="end"/>
      </w:r>
      <w:r>
        <w:rPr>
          <w:rStyle w:val="21"/>
          <w:rFonts w:hint="eastAsia"/>
          <w:color w:val="auto"/>
          <w:highlight w:val="none"/>
          <w:lang w:val="en-US" w:eastAsia="zh-CN"/>
        </w:rPr>
        <w:t>7</w:t>
      </w:r>
    </w:p>
    <w:p>
      <w:pPr>
        <w:pStyle w:val="14"/>
        <w:tabs>
          <w:tab w:val="right" w:leader="dot" w:pos="8659"/>
        </w:tabs>
        <w:rPr>
          <w:rFonts w:hint="eastAsia" w:ascii="Calibri" w:hAnsi="Calibri" w:eastAsia="黑体"/>
          <w:color w:val="auto"/>
          <w:szCs w:val="22"/>
          <w:highlight w:val="none"/>
          <w:lang w:val="en-US" w:eastAsia="zh-CN"/>
        </w:rPr>
      </w:pPr>
      <w:r>
        <w:rPr>
          <w:rStyle w:val="21"/>
          <w:color w:val="auto"/>
          <w:highlight w:val="none"/>
        </w:rPr>
        <w:fldChar w:fldCharType="begin"/>
      </w:r>
      <w:r>
        <w:rPr>
          <w:rStyle w:val="21"/>
          <w:color w:val="auto"/>
          <w:highlight w:val="none"/>
        </w:rPr>
        <w:instrText xml:space="preserve"> </w:instrText>
      </w:r>
      <w:r>
        <w:rPr>
          <w:color w:val="auto"/>
          <w:highlight w:val="none"/>
        </w:rPr>
        <w:instrText xml:space="preserve">HYPERLINK \l "_Toc76726879"</w:instrText>
      </w:r>
      <w:r>
        <w:rPr>
          <w:rStyle w:val="21"/>
          <w:color w:val="auto"/>
          <w:highlight w:val="none"/>
        </w:rPr>
        <w:instrText xml:space="preserve"> </w:instrText>
      </w:r>
      <w:r>
        <w:rPr>
          <w:rStyle w:val="21"/>
          <w:color w:val="auto"/>
          <w:highlight w:val="none"/>
        </w:rPr>
        <w:fldChar w:fldCharType="separate"/>
      </w:r>
      <w:r>
        <w:rPr>
          <w:rStyle w:val="21"/>
          <w:rFonts w:hint="eastAsia"/>
          <w:color w:val="auto"/>
          <w:highlight w:val="none"/>
        </w:rPr>
        <w:t>第七章</w:t>
      </w:r>
      <w:r>
        <w:rPr>
          <w:rStyle w:val="21"/>
          <w:color w:val="auto"/>
          <w:highlight w:val="none"/>
        </w:rPr>
        <w:t xml:space="preserve"> </w:t>
      </w:r>
      <w:r>
        <w:rPr>
          <w:rStyle w:val="21"/>
          <w:rFonts w:hint="eastAsia"/>
          <w:color w:val="auto"/>
          <w:highlight w:val="none"/>
        </w:rPr>
        <w:t>技术标准和要求</w:t>
      </w:r>
      <w:r>
        <w:rPr>
          <w:color w:val="auto"/>
          <w:highlight w:val="none"/>
        </w:rPr>
        <w:tab/>
      </w:r>
      <w:r>
        <w:rPr>
          <w:rFonts w:hint="eastAsia"/>
          <w:color w:val="auto"/>
          <w:highlight w:val="none"/>
          <w:lang w:val="en-US" w:eastAsia="zh-CN"/>
        </w:rPr>
        <w:t>7</w:t>
      </w:r>
      <w:r>
        <w:rPr>
          <w:rStyle w:val="21"/>
          <w:color w:val="auto"/>
          <w:highlight w:val="none"/>
        </w:rPr>
        <w:fldChar w:fldCharType="end"/>
      </w:r>
      <w:r>
        <w:rPr>
          <w:rStyle w:val="21"/>
          <w:rFonts w:hint="eastAsia"/>
          <w:color w:val="auto"/>
          <w:highlight w:val="none"/>
          <w:lang w:val="en-US" w:eastAsia="zh-CN"/>
        </w:rPr>
        <w:t>9</w:t>
      </w:r>
    </w:p>
    <w:p>
      <w:pPr>
        <w:pStyle w:val="14"/>
        <w:tabs>
          <w:tab w:val="right" w:leader="dot" w:pos="8659"/>
        </w:tabs>
        <w:rPr>
          <w:rFonts w:hint="eastAsia" w:ascii="Calibri" w:hAnsi="Calibri" w:eastAsia="黑体"/>
          <w:color w:val="auto"/>
          <w:szCs w:val="22"/>
          <w:highlight w:val="none"/>
          <w:lang w:val="en-US" w:eastAsia="zh-CN"/>
        </w:rPr>
      </w:pPr>
      <w:r>
        <w:rPr>
          <w:rStyle w:val="21"/>
          <w:color w:val="auto"/>
          <w:highlight w:val="none"/>
        </w:rPr>
        <w:fldChar w:fldCharType="begin"/>
      </w:r>
      <w:r>
        <w:rPr>
          <w:rStyle w:val="21"/>
          <w:color w:val="auto"/>
          <w:highlight w:val="none"/>
        </w:rPr>
        <w:instrText xml:space="preserve"> </w:instrText>
      </w:r>
      <w:r>
        <w:rPr>
          <w:color w:val="auto"/>
          <w:highlight w:val="none"/>
        </w:rPr>
        <w:instrText xml:space="preserve">HYPERLINK \l "_Toc76726881"</w:instrText>
      </w:r>
      <w:r>
        <w:rPr>
          <w:rStyle w:val="21"/>
          <w:color w:val="auto"/>
          <w:highlight w:val="none"/>
        </w:rPr>
        <w:instrText xml:space="preserve"> </w:instrText>
      </w:r>
      <w:r>
        <w:rPr>
          <w:rStyle w:val="21"/>
          <w:color w:val="auto"/>
          <w:highlight w:val="none"/>
        </w:rPr>
        <w:fldChar w:fldCharType="separate"/>
      </w:r>
      <w:r>
        <w:rPr>
          <w:rStyle w:val="21"/>
          <w:rFonts w:hint="eastAsia"/>
          <w:color w:val="auto"/>
          <w:highlight w:val="none"/>
        </w:rPr>
        <w:t>第八章</w:t>
      </w:r>
      <w:r>
        <w:rPr>
          <w:rStyle w:val="21"/>
          <w:color w:val="auto"/>
          <w:highlight w:val="none"/>
        </w:rPr>
        <w:t xml:space="preserve"> </w:t>
      </w:r>
      <w:r>
        <w:rPr>
          <w:rStyle w:val="21"/>
          <w:rFonts w:hint="eastAsia"/>
          <w:color w:val="auto"/>
          <w:highlight w:val="none"/>
        </w:rPr>
        <w:t>投标文件格式</w:t>
      </w:r>
      <w:r>
        <w:rPr>
          <w:color w:val="auto"/>
          <w:highlight w:val="none"/>
        </w:rPr>
        <w:tab/>
      </w:r>
      <w:r>
        <w:rPr>
          <w:rFonts w:hint="eastAsia"/>
          <w:color w:val="auto"/>
          <w:highlight w:val="none"/>
          <w:lang w:val="en-US" w:eastAsia="zh-CN"/>
        </w:rPr>
        <w:t>8</w:t>
      </w:r>
      <w:r>
        <w:rPr>
          <w:rStyle w:val="21"/>
          <w:color w:val="auto"/>
          <w:highlight w:val="none"/>
        </w:rPr>
        <w:fldChar w:fldCharType="end"/>
      </w:r>
      <w:r>
        <w:rPr>
          <w:rStyle w:val="21"/>
          <w:rFonts w:hint="eastAsia"/>
          <w:color w:val="auto"/>
          <w:highlight w:val="none"/>
          <w:lang w:val="en-US" w:eastAsia="zh-CN"/>
        </w:rPr>
        <w:t>0</w:t>
      </w:r>
    </w:p>
    <w:p>
      <w:pPr>
        <w:rPr>
          <w:color w:val="auto"/>
          <w:highlight w:val="none"/>
        </w:rPr>
        <w:sectPr>
          <w:footerReference r:id="rId4" w:type="default"/>
          <w:pgSz w:w="11906" w:h="16838"/>
          <w:pgMar w:top="1440" w:right="1440" w:bottom="1440" w:left="1797" w:header="851" w:footer="851" w:gutter="0"/>
          <w:pgNumType w:fmt="upperRoman" w:start="1"/>
          <w:cols w:space="720" w:num="1"/>
          <w:docGrid w:linePitch="312" w:charSpace="0"/>
        </w:sectPr>
      </w:pPr>
      <w:r>
        <w:rPr>
          <w:rFonts w:eastAsia="黑体"/>
          <w:color w:val="auto"/>
          <w:highlight w:val="none"/>
        </w:rPr>
        <w:fldChar w:fldCharType="end"/>
      </w:r>
    </w:p>
    <w:p>
      <w:pPr>
        <w:pStyle w:val="5"/>
        <w:jc w:val="center"/>
        <w:rPr>
          <w:color w:val="auto"/>
          <w:highlight w:val="none"/>
        </w:rPr>
      </w:pPr>
      <w:bookmarkStart w:id="0" w:name="_Toc76726721"/>
      <w:bookmarkStart w:id="1" w:name="_Toc389065142"/>
      <w:r>
        <w:rPr>
          <w:color w:val="auto"/>
          <w:highlight w:val="none"/>
        </w:rPr>
        <w:t>第一卷</w:t>
      </w:r>
      <w:bookmarkEnd w:id="0"/>
    </w:p>
    <w:p>
      <w:pPr>
        <w:pStyle w:val="5"/>
        <w:jc w:val="center"/>
        <w:rPr>
          <w:color w:val="auto"/>
          <w:highlight w:val="none"/>
        </w:rPr>
      </w:pPr>
      <w:bookmarkStart w:id="2" w:name="_Toc76726722"/>
      <w:r>
        <w:rPr>
          <w:color w:val="auto"/>
          <w:highlight w:val="none"/>
        </w:rPr>
        <w:t xml:space="preserve">第一章 </w:t>
      </w:r>
      <w:r>
        <w:rPr>
          <w:rFonts w:hint="eastAsia"/>
          <w:color w:val="auto"/>
          <w:highlight w:val="none"/>
        </w:rPr>
        <w:t xml:space="preserve"> </w:t>
      </w:r>
      <w:r>
        <w:rPr>
          <w:color w:val="auto"/>
          <w:highlight w:val="none"/>
        </w:rPr>
        <w:t>招标公告</w:t>
      </w:r>
      <w:bookmarkEnd w:id="2"/>
    </w:p>
    <w:p>
      <w:pPr>
        <w:ind w:firstLine="435"/>
        <w:rPr>
          <w:color w:val="auto"/>
          <w:highlight w:val="none"/>
        </w:rPr>
      </w:pPr>
    </w:p>
    <w:p>
      <w:pPr>
        <w:jc w:val="center"/>
        <w:outlineLvl w:val="0"/>
        <w:rPr>
          <w:b/>
          <w:color w:val="auto"/>
          <w:sz w:val="24"/>
          <w:highlight w:val="none"/>
          <w:u w:val="none"/>
        </w:rPr>
      </w:pPr>
      <w:r>
        <w:rPr>
          <w:rFonts w:hint="eastAsia"/>
          <w:b/>
          <w:color w:val="auto"/>
          <w:sz w:val="24"/>
          <w:highlight w:val="none"/>
          <w:u w:val="none"/>
          <w:lang w:eastAsia="zh-CN"/>
        </w:rPr>
        <w:t>2021年铁山港区南康镇扫管龙村委农业果蔬大棚产业项目（二期）</w:t>
      </w:r>
      <w:r>
        <w:rPr>
          <w:rFonts w:hint="eastAsia"/>
          <w:b/>
          <w:color w:val="auto"/>
          <w:sz w:val="24"/>
          <w:highlight w:val="none"/>
          <w:u w:val="none"/>
        </w:rPr>
        <w:t>(</w:t>
      </w:r>
      <w:r>
        <w:rPr>
          <w:rFonts w:hint="eastAsia"/>
          <w:b/>
          <w:color w:val="auto"/>
          <w:sz w:val="24"/>
          <w:highlight w:val="none"/>
          <w:u w:val="none"/>
          <w:lang w:eastAsia="zh-CN"/>
        </w:rPr>
        <w:t>BHZC2021-G2-120025-GXHT</w:t>
      </w:r>
      <w:r>
        <w:rPr>
          <w:rFonts w:hint="eastAsia"/>
          <w:b/>
          <w:color w:val="auto"/>
          <w:sz w:val="24"/>
          <w:highlight w:val="none"/>
          <w:u w:val="none"/>
        </w:rPr>
        <w:t>)</w:t>
      </w:r>
      <w:r>
        <w:rPr>
          <w:b/>
          <w:color w:val="auto"/>
          <w:sz w:val="24"/>
          <w:highlight w:val="none"/>
          <w:u w:val="none"/>
        </w:rPr>
        <w:t>施工招标公告</w:t>
      </w:r>
    </w:p>
    <w:p>
      <w:pPr>
        <w:pBdr>
          <w:top w:val="single" w:color="auto" w:sz="4" w:space="1"/>
          <w:left w:val="single" w:color="auto" w:sz="4" w:space="4"/>
          <w:bottom w:val="single" w:color="auto" w:sz="4" w:space="1"/>
          <w:right w:val="single" w:color="auto" w:sz="4" w:space="4"/>
        </w:pBd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exact"/>
        <w:ind w:firstLine="420" w:firstLineChars="200"/>
        <w:rPr>
          <w:rFonts w:ascii="宋体" w:hAnsi="宋体"/>
          <w:color w:val="auto"/>
          <w:szCs w:val="21"/>
          <w:highlight w:val="none"/>
        </w:rPr>
      </w:pPr>
      <w:bookmarkStart w:id="3" w:name="_Toc76726723"/>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2021年铁山港区南康镇扫管龙村委农业果蔬大棚产业项目（二期）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招标项目的潜在投标人应</w:t>
      </w:r>
      <w:r>
        <w:rPr>
          <w:rFonts w:hint="eastAsia" w:ascii="宋体" w:hAnsi="宋体" w:eastAsia="宋体" w:cs="宋体"/>
          <w:i w:val="0"/>
          <w:iCs w:val="0"/>
          <w:color w:val="auto"/>
          <w:w w:val="105"/>
          <w:sz w:val="21"/>
          <w:szCs w:val="21"/>
          <w:highlight w:val="none"/>
          <w:u w:val="single"/>
        </w:rPr>
        <w:t>在</w:t>
      </w:r>
      <w:r>
        <w:rPr>
          <w:rFonts w:hint="eastAsia" w:ascii="宋体" w:hAnsi="宋体"/>
          <w:color w:val="auto"/>
          <w:szCs w:val="21"/>
          <w:highlight w:val="none"/>
          <w:u w:val="single"/>
        </w:rPr>
        <w:t>政采云平台（https://www.zcygov.cn/）</w:t>
      </w:r>
      <w:r>
        <w:rPr>
          <w:rFonts w:hint="eastAsia" w:ascii="宋体" w:hAnsi="宋体"/>
          <w:color w:val="auto"/>
          <w:szCs w:val="21"/>
          <w:highlight w:val="none"/>
        </w:rPr>
        <w:t>获取招标文件，并于</w:t>
      </w:r>
      <w:r>
        <w:rPr>
          <w:rFonts w:hint="eastAsia" w:ascii="宋体" w:hAnsi="宋体"/>
          <w:color w:val="auto"/>
          <w:szCs w:val="21"/>
          <w:highlight w:val="none"/>
          <w:u w:val="single"/>
          <w:lang w:eastAsia="zh-CN"/>
        </w:rPr>
        <w:t>2021</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10</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08</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09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（北京时间）前递交投标</w:t>
      </w:r>
      <w:r>
        <w:rPr>
          <w:rFonts w:ascii="宋体" w:hAnsi="宋体"/>
          <w:bCs/>
          <w:color w:val="auto"/>
          <w:szCs w:val="21"/>
          <w:highlight w:val="none"/>
        </w:rPr>
        <w:t>文件</w:t>
      </w:r>
      <w:r>
        <w:rPr>
          <w:rFonts w:hint="eastAsia" w:ascii="宋体" w:hAnsi="宋体"/>
          <w:color w:val="auto"/>
          <w:szCs w:val="21"/>
          <w:highlight w:val="none"/>
        </w:rPr>
        <w:t>。</w:t>
      </w:r>
    </w:p>
    <w:bookmarkEnd w:id="3"/>
    <w:p>
      <w:pPr>
        <w:pStyle w:val="6"/>
        <w:spacing w:before="0" w:after="0" w:line="360" w:lineRule="exact"/>
        <w:ind w:firstLine="211" w:firstLineChars="100"/>
        <w:rPr>
          <w:rFonts w:ascii="宋体" w:hAnsi="宋体" w:eastAsia="宋体" w:cs="宋体"/>
          <w:bCs w:val="0"/>
          <w:color w:val="auto"/>
          <w:szCs w:val="21"/>
          <w:highlight w:val="none"/>
        </w:rPr>
      </w:pPr>
      <w:bookmarkStart w:id="4" w:name="_Toc54691741"/>
      <w:bookmarkStart w:id="5" w:name="_Toc28359089"/>
      <w:bookmarkStart w:id="6" w:name="_Toc35393798"/>
      <w:bookmarkStart w:id="7" w:name="_Toc28359012"/>
      <w:bookmarkStart w:id="8" w:name="_Toc57016902"/>
      <w:bookmarkStart w:id="9" w:name="_Toc35393629"/>
      <w:r>
        <w:rPr>
          <w:rFonts w:hint="eastAsia" w:ascii="宋体" w:hAnsi="宋体" w:eastAsia="宋体" w:cs="宋体"/>
          <w:bCs w:val="0"/>
          <w:color w:val="auto"/>
          <w:szCs w:val="21"/>
          <w:highlight w:val="none"/>
        </w:rPr>
        <w:t>一、项目基本情况</w:t>
      </w:r>
      <w:bookmarkEnd w:id="4"/>
      <w:bookmarkEnd w:id="5"/>
      <w:bookmarkEnd w:id="6"/>
      <w:bookmarkEnd w:id="7"/>
      <w:bookmarkEnd w:id="8"/>
      <w:bookmarkEnd w:id="9"/>
    </w:p>
    <w:p>
      <w:pPr>
        <w:spacing w:line="36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1.项目编号：</w:t>
      </w:r>
      <w:r>
        <w:rPr>
          <w:rFonts w:hint="eastAsia" w:ascii="宋体" w:hAnsi="宋体"/>
          <w:color w:val="auto"/>
          <w:szCs w:val="21"/>
          <w:highlight w:val="none"/>
          <w:lang w:eastAsia="zh-CN"/>
        </w:rPr>
        <w:t>BHZC2021-G2-120025-GXHT</w:t>
      </w:r>
    </w:p>
    <w:p>
      <w:pPr>
        <w:spacing w:line="36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2.采购计划文号：</w:t>
      </w:r>
    </w:p>
    <w:p>
      <w:pPr>
        <w:spacing w:line="360" w:lineRule="exact"/>
        <w:ind w:firstLine="420" w:firstLineChars="200"/>
        <w:rPr>
          <w:rFonts w:hint="eastAsia" w:ascii="宋体" w:cs="宋体"/>
          <w:b w:val="0"/>
          <w:i w:val="0"/>
          <w:caps w:val="0"/>
          <w:color w:val="auto"/>
          <w:spacing w:val="0"/>
          <w:w w:val="100"/>
          <w:kern w:val="0"/>
          <w:sz w:val="24"/>
          <w:szCs w:val="21"/>
          <w:highlight w:val="none"/>
        </w:rPr>
      </w:pPr>
      <w:r>
        <w:rPr>
          <w:rFonts w:hint="eastAsia" w:ascii="宋体" w:hAnsi="宋体"/>
          <w:color w:val="auto"/>
          <w:szCs w:val="21"/>
          <w:highlight w:val="none"/>
        </w:rPr>
        <w:t>3.项目名称：</w:t>
      </w:r>
      <w:bookmarkStart w:id="10" w:name="_Toc35393630"/>
      <w:bookmarkStart w:id="11" w:name="_Toc28359090"/>
      <w:bookmarkStart w:id="12" w:name="_Toc28359013"/>
      <w:bookmarkStart w:id="13" w:name="_Toc35393799"/>
      <w:r>
        <w:rPr>
          <w:rFonts w:hint="eastAsia" w:ascii="宋体" w:cs="宋体"/>
          <w:b w:val="0"/>
          <w:i w:val="0"/>
          <w:caps w:val="0"/>
          <w:color w:val="auto"/>
          <w:spacing w:val="0"/>
          <w:w w:val="100"/>
          <w:kern w:val="0"/>
          <w:sz w:val="21"/>
          <w:szCs w:val="21"/>
          <w:highlight w:val="none"/>
        </w:rPr>
        <w:t>2021年铁山港区南康镇扫管龙村委农业果蔬大棚产业项目（</w:t>
      </w:r>
      <w:r>
        <w:rPr>
          <w:rFonts w:hint="eastAsia" w:ascii="宋体" w:cs="宋体"/>
          <w:b w:val="0"/>
          <w:i w:val="0"/>
          <w:caps w:val="0"/>
          <w:color w:val="auto"/>
          <w:spacing w:val="0"/>
          <w:w w:val="100"/>
          <w:kern w:val="0"/>
          <w:sz w:val="21"/>
          <w:szCs w:val="21"/>
          <w:highlight w:val="none"/>
          <w:lang w:eastAsia="zh-CN"/>
        </w:rPr>
        <w:t>二</w:t>
      </w:r>
      <w:r>
        <w:rPr>
          <w:rFonts w:hint="eastAsia" w:ascii="宋体" w:cs="宋体"/>
          <w:b w:val="0"/>
          <w:i w:val="0"/>
          <w:caps w:val="0"/>
          <w:color w:val="auto"/>
          <w:spacing w:val="0"/>
          <w:w w:val="100"/>
          <w:kern w:val="0"/>
          <w:sz w:val="21"/>
          <w:szCs w:val="21"/>
          <w:highlight w:val="none"/>
        </w:rPr>
        <w:t>期）</w:t>
      </w:r>
    </w:p>
    <w:p>
      <w:pPr>
        <w:spacing w:line="36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4.招标控制价：</w:t>
      </w:r>
      <w:r>
        <w:rPr>
          <w:rFonts w:hint="eastAsia" w:ascii="宋体" w:hAnsi="宋体"/>
          <w:color w:val="auto"/>
          <w:szCs w:val="21"/>
          <w:highlight w:val="none"/>
          <w:lang w:val="en-US" w:eastAsia="zh-CN"/>
        </w:rPr>
        <w:t>5967003.70</w:t>
      </w:r>
      <w:r>
        <w:rPr>
          <w:rFonts w:hint="eastAsia" w:ascii="宋体" w:hAnsi="宋体"/>
          <w:color w:val="auto"/>
          <w:szCs w:val="21"/>
          <w:highlight w:val="none"/>
          <w:lang w:eastAsia="zh-CN"/>
        </w:rPr>
        <w:t>元</w:t>
      </w:r>
    </w:p>
    <w:p>
      <w:pPr>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5.最高限价：/</w:t>
      </w:r>
    </w:p>
    <w:p>
      <w:pPr>
        <w:spacing w:line="360" w:lineRule="exact"/>
        <w:ind w:firstLine="420" w:firstLineChars="200"/>
        <w:rPr>
          <w:rFonts w:ascii="宋体" w:hAnsi="宋体"/>
          <w:color w:val="auto"/>
          <w:szCs w:val="21"/>
          <w:highlight w:val="none"/>
        </w:rPr>
      </w:pPr>
      <w:bookmarkStart w:id="14" w:name="_Toc54691742"/>
      <w:r>
        <w:rPr>
          <w:rFonts w:hint="eastAsia" w:ascii="宋体" w:hAnsi="宋体"/>
          <w:color w:val="auto"/>
          <w:szCs w:val="21"/>
          <w:highlight w:val="none"/>
        </w:rPr>
        <w:t>6.采购需求：</w:t>
      </w:r>
      <w:bookmarkEnd w:id="14"/>
      <w:r>
        <w:rPr>
          <w:rFonts w:hint="eastAsia" w:ascii="宋体" w:hAnsi="宋体"/>
          <w:color w:val="auto"/>
          <w:szCs w:val="21"/>
          <w:highlight w:val="none"/>
        </w:rPr>
        <w:t>本工程为</w:t>
      </w:r>
      <w:r>
        <w:rPr>
          <w:rFonts w:hint="eastAsia" w:ascii="宋体" w:hAnsi="宋体"/>
          <w:color w:val="auto"/>
          <w:szCs w:val="21"/>
          <w:highlight w:val="none"/>
          <w:lang w:eastAsia="zh-CN"/>
        </w:rPr>
        <w:t>2021年铁山港区南康镇扫管龙村委农业果蔬大棚产业项目（二期）</w:t>
      </w:r>
      <w:r>
        <w:rPr>
          <w:rFonts w:hint="eastAsia" w:ascii="宋体" w:hAnsi="宋体"/>
          <w:color w:val="auto"/>
          <w:szCs w:val="21"/>
          <w:highlight w:val="none"/>
        </w:rPr>
        <w:t>，具体以工程量清单所包括的全部内容及建设单位通知为准，如需进一步了解详细内容，详见招标文件。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7.合同履行期限：</w:t>
      </w:r>
      <w:r>
        <w:rPr>
          <w:rFonts w:hint="eastAsia" w:ascii="宋体" w:hAnsi="宋体" w:cs="宋体"/>
          <w:color w:val="auto"/>
          <w:szCs w:val="21"/>
          <w:highlight w:val="none"/>
          <w:lang w:eastAsia="zh-CN"/>
        </w:rPr>
        <w:t>工期为</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个日历天</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8.本项目</w:t>
      </w:r>
      <w:r>
        <w:rPr>
          <w:rFonts w:hint="eastAsia" w:ascii="宋体" w:hAnsi="宋体"/>
          <w:iCs/>
          <w:color w:val="auto"/>
          <w:szCs w:val="21"/>
          <w:highlight w:val="none"/>
        </w:rPr>
        <w:t>不</w:t>
      </w:r>
      <w:r>
        <w:rPr>
          <w:rFonts w:hint="eastAsia" w:ascii="宋体" w:hAnsi="宋体"/>
          <w:color w:val="auto"/>
          <w:szCs w:val="21"/>
          <w:highlight w:val="none"/>
        </w:rPr>
        <w:t>接受联合体投标。</w:t>
      </w:r>
    </w:p>
    <w:p>
      <w:pPr>
        <w:pStyle w:val="6"/>
        <w:spacing w:before="0" w:after="0" w:line="360" w:lineRule="exact"/>
        <w:ind w:firstLine="422" w:firstLineChars="200"/>
        <w:rPr>
          <w:rFonts w:ascii="宋体" w:hAnsi="宋体" w:eastAsia="宋体" w:cs="宋体"/>
          <w:bCs w:val="0"/>
          <w:color w:val="auto"/>
          <w:szCs w:val="21"/>
          <w:highlight w:val="none"/>
        </w:rPr>
      </w:pPr>
      <w:bookmarkStart w:id="15" w:name="_Toc54691743"/>
      <w:bookmarkStart w:id="16" w:name="_Toc57016903"/>
      <w:r>
        <w:rPr>
          <w:rFonts w:hint="eastAsia" w:ascii="宋体" w:hAnsi="宋体" w:eastAsia="宋体" w:cs="宋体"/>
          <w:bCs w:val="0"/>
          <w:color w:val="auto"/>
          <w:szCs w:val="21"/>
          <w:highlight w:val="none"/>
        </w:rPr>
        <w:t>二、</w:t>
      </w:r>
      <w:r>
        <w:rPr>
          <w:rFonts w:hint="eastAsia" w:ascii="宋体" w:hAnsi="宋体" w:eastAsia="宋体" w:cs="宋体"/>
          <w:bCs w:val="0"/>
          <w:color w:val="auto"/>
          <w:szCs w:val="21"/>
          <w:highlight w:val="none"/>
          <w:lang w:eastAsia="zh-CN"/>
        </w:rPr>
        <w:t>投标</w:t>
      </w:r>
      <w:r>
        <w:rPr>
          <w:rFonts w:hint="eastAsia" w:ascii="宋体" w:hAnsi="宋体" w:eastAsia="宋体" w:cs="宋体"/>
          <w:bCs w:val="0"/>
          <w:color w:val="auto"/>
          <w:szCs w:val="21"/>
          <w:highlight w:val="none"/>
        </w:rPr>
        <w:t>人的资格要求</w:t>
      </w:r>
      <w:bookmarkEnd w:id="10"/>
      <w:bookmarkEnd w:id="11"/>
      <w:bookmarkEnd w:id="12"/>
      <w:bookmarkEnd w:id="13"/>
      <w:bookmarkEnd w:id="15"/>
      <w:bookmarkEnd w:id="16"/>
    </w:p>
    <w:p>
      <w:pPr>
        <w:spacing w:line="360" w:lineRule="exact"/>
        <w:ind w:firstLine="420" w:firstLineChars="200"/>
        <w:rPr>
          <w:rFonts w:hint="eastAsia" w:ascii="宋体" w:hAnsi="宋体" w:cs="Arial"/>
          <w:color w:val="auto"/>
          <w:szCs w:val="21"/>
          <w:highlight w:val="none"/>
        </w:rPr>
      </w:pPr>
      <w:bookmarkStart w:id="17" w:name="_Toc28359091"/>
      <w:bookmarkStart w:id="18" w:name="_Toc28359014"/>
      <w:r>
        <w:rPr>
          <w:rFonts w:hint="eastAsia" w:ascii="宋体" w:hAnsi="宋体" w:cs="Arial"/>
          <w:color w:val="auto"/>
          <w:szCs w:val="21"/>
          <w:highlight w:val="none"/>
        </w:rPr>
        <w:t>1.满足《中华人民共和国政府采购法》第二十二条规定；</w:t>
      </w:r>
    </w:p>
    <w:p>
      <w:pPr>
        <w:spacing w:line="36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2.落实政府采购政策需满足的资格要求：无 </w:t>
      </w:r>
    </w:p>
    <w:p>
      <w:pPr>
        <w:spacing w:line="36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3.本项目的特定资格要求：投标供应商须具备建筑工程施工总承包三级（含三级）以上资质，并在人员、设备、资金等方面具备相应的施工能力；拟派驻本工程的项目经理必须具备房屋建筑专业二级（含以上级）注册建造师执业资格,具备有效的安全生产考核合格证书 (B类) </w:t>
      </w:r>
    </w:p>
    <w:p>
      <w:pPr>
        <w:spacing w:line="36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5.单位负责人为同一人或者存在直接控股、管理</w:t>
      </w:r>
      <w:r>
        <w:rPr>
          <w:rFonts w:hint="eastAsia" w:ascii="宋体" w:hAnsi="宋体" w:cs="Arial"/>
          <w:color w:val="auto"/>
          <w:szCs w:val="21"/>
          <w:highlight w:val="none"/>
          <w:lang w:eastAsia="zh-CN"/>
        </w:rPr>
        <w:t>关</w:t>
      </w:r>
      <w:r>
        <w:rPr>
          <w:rFonts w:hint="eastAsia" w:ascii="宋体" w:hAnsi="宋体" w:cs="Arial"/>
          <w:color w:val="auto"/>
          <w:szCs w:val="21"/>
          <w:highlight w:val="none"/>
        </w:rPr>
        <w:t>系的不同供应商，不得参加同一合同项下的政府采购活动。除单一来源采购项目外，为本采购项目提供整体设计、规范编制或者项目管理、监理、检测等服务的供应商，不得再参加该采购项目的其他采购活动。</w:t>
      </w:r>
    </w:p>
    <w:p>
      <w:pPr>
        <w:spacing w:line="360" w:lineRule="exact"/>
        <w:ind w:firstLine="420" w:firstLineChars="200"/>
        <w:rPr>
          <w:rFonts w:ascii="宋体" w:hAnsi="宋体"/>
          <w:color w:val="auto"/>
          <w:szCs w:val="21"/>
          <w:highlight w:val="none"/>
          <w:u w:val="single"/>
        </w:rPr>
      </w:pP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.本项目不接受联合体投标；</w:t>
      </w:r>
    </w:p>
    <w:p>
      <w:pPr>
        <w:spacing w:line="360" w:lineRule="exact"/>
        <w:ind w:firstLine="420" w:firstLineChars="200"/>
        <w:rPr>
          <w:rFonts w:ascii="宋体" w:hAnsi="宋体" w:cs="Arial"/>
          <w:color w:val="auto"/>
          <w:szCs w:val="21"/>
          <w:highlight w:val="none"/>
        </w:rPr>
      </w:pPr>
      <w:r>
        <w:rPr>
          <w:rFonts w:hint="eastAsia" w:ascii="宋体" w:hAnsi="宋体" w:cs="宋体"/>
          <w:color w:val="auto"/>
          <w:kern w:val="0"/>
          <w:szCs w:val="21"/>
          <w:highlight w:val="none"/>
          <w:lang w:val="en-US" w:eastAsia="zh-CN"/>
        </w:rPr>
        <w:t>7.</w:t>
      </w:r>
      <w:r>
        <w:rPr>
          <w:rFonts w:hint="eastAsia" w:ascii="宋体" w:hAnsi="宋体" w:cs="Arial"/>
          <w:color w:val="auto"/>
          <w:szCs w:val="21"/>
          <w:highlight w:val="none"/>
        </w:rPr>
        <w:t>本项目不接受未按招标文件规定的方式获取本招标文件的投标人参与投标。</w:t>
      </w:r>
    </w:p>
    <w:p>
      <w:pPr>
        <w:pStyle w:val="6"/>
        <w:spacing w:before="0" w:after="0" w:line="360" w:lineRule="exact"/>
        <w:ind w:firstLine="422" w:firstLineChars="200"/>
        <w:rPr>
          <w:rFonts w:ascii="宋体" w:hAnsi="宋体" w:eastAsia="宋体" w:cs="宋体"/>
          <w:bCs w:val="0"/>
          <w:color w:val="auto"/>
          <w:szCs w:val="21"/>
          <w:highlight w:val="none"/>
        </w:rPr>
      </w:pPr>
      <w:bookmarkStart w:id="19" w:name="_Toc35393800"/>
      <w:bookmarkStart w:id="20" w:name="_Toc35393631"/>
      <w:bookmarkStart w:id="21" w:name="_Toc57016904"/>
      <w:bookmarkStart w:id="22" w:name="_Toc54691744"/>
      <w:r>
        <w:rPr>
          <w:rFonts w:hint="eastAsia" w:ascii="宋体" w:hAnsi="宋体" w:eastAsia="宋体" w:cs="宋体"/>
          <w:bCs w:val="0"/>
          <w:color w:val="auto"/>
          <w:szCs w:val="21"/>
          <w:highlight w:val="none"/>
        </w:rPr>
        <w:t>三、获取</w:t>
      </w:r>
      <w:bookmarkEnd w:id="17"/>
      <w:bookmarkEnd w:id="18"/>
      <w:bookmarkEnd w:id="19"/>
      <w:bookmarkEnd w:id="20"/>
      <w:r>
        <w:rPr>
          <w:rFonts w:hint="eastAsia" w:ascii="宋体" w:hAnsi="宋体" w:eastAsia="宋体" w:cs="宋体"/>
          <w:bCs w:val="0"/>
          <w:color w:val="auto"/>
          <w:szCs w:val="21"/>
          <w:highlight w:val="none"/>
          <w:lang w:eastAsia="zh-CN"/>
        </w:rPr>
        <w:t>招标文件</w:t>
      </w:r>
      <w:bookmarkEnd w:id="21"/>
      <w:bookmarkEnd w:id="22"/>
    </w:p>
    <w:p>
      <w:pPr>
        <w:snapToGrid w:val="0"/>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1.获取时间：2021年9月14日至2021年9月18日，每天上午08:00至12:00，下午15:00至18:00（北京时间，法定节假日除外）。</w:t>
      </w:r>
    </w:p>
    <w:p>
      <w:pPr>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2.获取方式：</w:t>
      </w:r>
      <w:bookmarkStart w:id="23" w:name="_Toc28359092"/>
      <w:bookmarkStart w:id="24" w:name="_Toc35393632"/>
      <w:bookmarkStart w:id="25" w:name="_Toc28359015"/>
      <w:bookmarkStart w:id="26" w:name="_Toc35393801"/>
      <w:r>
        <w:rPr>
          <w:rFonts w:hint="eastAsia" w:ascii="宋体" w:hAnsi="宋体" w:cs="Arial"/>
          <w:color w:val="auto"/>
          <w:szCs w:val="21"/>
          <w:highlight w:val="none"/>
        </w:rPr>
        <w:t>供应商须登录政采云平台（https://www.zcygov.cn/）自行下载招标文件；未注册的供应商可在政采云平台完成注册后再进行报名再下载。如在操作过程中遇到问题或需技术支持，请致电政采云客服热线：400-881-7190。</w:t>
      </w:r>
    </w:p>
    <w:p>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w:t>
      </w:r>
      <w:bookmarkEnd w:id="23"/>
      <w:bookmarkEnd w:id="24"/>
      <w:bookmarkEnd w:id="25"/>
      <w:bookmarkEnd w:id="26"/>
      <w:r>
        <w:rPr>
          <w:rFonts w:hint="eastAsia" w:ascii="宋体" w:hAnsi="宋体"/>
          <w:b/>
          <w:bCs/>
          <w:color w:val="auto"/>
          <w:szCs w:val="21"/>
          <w:highlight w:val="none"/>
        </w:rPr>
        <w:t>提交投标文件截止时间、开标时间和地点</w:t>
      </w:r>
    </w:p>
    <w:p>
      <w:pPr>
        <w:spacing w:line="36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提交投标文件截止时间：2021年</w:t>
      </w:r>
      <w:r>
        <w:rPr>
          <w:rFonts w:hint="eastAsia" w:ascii="宋体" w:hAnsi="宋体" w:cs="Arial"/>
          <w:color w:val="auto"/>
          <w:szCs w:val="21"/>
          <w:highlight w:val="none"/>
          <w:lang w:val="en-US" w:eastAsia="zh-CN"/>
        </w:rPr>
        <w:t>10</w:t>
      </w:r>
      <w:r>
        <w:rPr>
          <w:rFonts w:hint="eastAsia" w:ascii="宋体" w:hAnsi="宋体" w:cs="Arial"/>
          <w:color w:val="auto"/>
          <w:szCs w:val="21"/>
          <w:highlight w:val="none"/>
        </w:rPr>
        <w:t>月</w:t>
      </w:r>
      <w:r>
        <w:rPr>
          <w:rFonts w:hint="eastAsia" w:ascii="宋体" w:hAnsi="宋体" w:cs="Arial"/>
          <w:color w:val="auto"/>
          <w:szCs w:val="21"/>
          <w:highlight w:val="none"/>
          <w:lang w:val="en-US" w:eastAsia="zh-CN"/>
        </w:rPr>
        <w:t>08</w:t>
      </w:r>
      <w:r>
        <w:rPr>
          <w:rFonts w:hint="eastAsia" w:ascii="宋体" w:hAnsi="宋体" w:cs="Arial"/>
          <w:color w:val="auto"/>
          <w:szCs w:val="21"/>
          <w:highlight w:val="none"/>
        </w:rPr>
        <w:t xml:space="preserve">日 </w:t>
      </w:r>
      <w:r>
        <w:rPr>
          <w:rFonts w:hint="eastAsia" w:ascii="宋体" w:hAnsi="宋体" w:cs="Arial"/>
          <w:color w:val="auto"/>
          <w:szCs w:val="21"/>
          <w:highlight w:val="none"/>
          <w:lang w:val="en-US" w:eastAsia="zh-CN"/>
        </w:rPr>
        <w:t>09:00</w:t>
      </w:r>
      <w:r>
        <w:rPr>
          <w:rFonts w:hint="eastAsia" w:ascii="宋体" w:hAnsi="宋体" w:cs="Arial"/>
          <w:color w:val="auto"/>
          <w:szCs w:val="21"/>
          <w:highlight w:val="none"/>
        </w:rPr>
        <w:t>（北京时间）</w:t>
      </w:r>
    </w:p>
    <w:p>
      <w:pPr>
        <w:spacing w:line="36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投标地点（网址）：政采云平台（https://www.zcygov.cn/）。</w:t>
      </w:r>
    </w:p>
    <w:p>
      <w:pPr>
        <w:spacing w:line="36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开标时间：2021年</w:t>
      </w:r>
      <w:r>
        <w:rPr>
          <w:rFonts w:hint="eastAsia" w:ascii="宋体" w:hAnsi="宋体" w:cs="Arial"/>
          <w:color w:val="auto"/>
          <w:szCs w:val="21"/>
          <w:highlight w:val="none"/>
          <w:lang w:val="en-US" w:eastAsia="zh-CN"/>
        </w:rPr>
        <w:t>10</w:t>
      </w:r>
      <w:r>
        <w:rPr>
          <w:rFonts w:hint="eastAsia" w:ascii="宋体" w:hAnsi="宋体" w:cs="Arial"/>
          <w:color w:val="auto"/>
          <w:szCs w:val="21"/>
          <w:highlight w:val="none"/>
        </w:rPr>
        <w:t>月</w:t>
      </w:r>
      <w:r>
        <w:rPr>
          <w:rFonts w:hint="eastAsia" w:ascii="宋体" w:hAnsi="宋体" w:cs="Arial"/>
          <w:color w:val="auto"/>
          <w:szCs w:val="21"/>
          <w:highlight w:val="none"/>
          <w:lang w:val="en-US" w:eastAsia="zh-CN"/>
        </w:rPr>
        <w:t>08</w:t>
      </w:r>
      <w:r>
        <w:rPr>
          <w:rFonts w:hint="eastAsia" w:ascii="宋体" w:hAnsi="宋体" w:cs="Arial"/>
          <w:color w:val="auto"/>
          <w:szCs w:val="21"/>
          <w:highlight w:val="none"/>
        </w:rPr>
        <w:t xml:space="preserve">日 </w:t>
      </w:r>
      <w:r>
        <w:rPr>
          <w:rFonts w:hint="eastAsia" w:ascii="宋体" w:hAnsi="宋体" w:cs="Arial"/>
          <w:color w:val="auto"/>
          <w:szCs w:val="21"/>
          <w:highlight w:val="none"/>
          <w:lang w:val="en-US" w:eastAsia="zh-CN"/>
        </w:rPr>
        <w:t>09:00</w:t>
      </w:r>
      <w:r>
        <w:rPr>
          <w:rFonts w:hint="eastAsia" w:ascii="宋体" w:hAnsi="宋体" w:cs="Arial"/>
          <w:color w:val="auto"/>
          <w:szCs w:val="21"/>
          <w:highlight w:val="none"/>
        </w:rPr>
        <w:t>（北京时间）</w:t>
      </w:r>
    </w:p>
    <w:p>
      <w:pPr>
        <w:spacing w:line="360" w:lineRule="exact"/>
        <w:ind w:firstLine="420" w:firstLineChars="200"/>
        <w:rPr>
          <w:rFonts w:hint="eastAsia" w:ascii="宋体" w:hAnsi="宋体" w:cs="Arial"/>
          <w:color w:val="auto"/>
          <w:szCs w:val="21"/>
          <w:highlight w:val="none"/>
          <w:lang w:eastAsia="zh-CN"/>
        </w:rPr>
      </w:pPr>
      <w:r>
        <w:rPr>
          <w:rFonts w:hint="eastAsia" w:ascii="宋体" w:hAnsi="宋体" w:cs="Arial"/>
          <w:color w:val="auto"/>
          <w:szCs w:val="21"/>
          <w:highlight w:val="none"/>
        </w:rPr>
        <w:t>开标地点：通过政采云平台实行在线投标。</w:t>
      </w:r>
    </w:p>
    <w:p>
      <w:pPr>
        <w:pStyle w:val="6"/>
        <w:spacing w:before="0" w:after="0" w:line="360" w:lineRule="exact"/>
        <w:ind w:firstLine="422" w:firstLineChars="200"/>
        <w:rPr>
          <w:rFonts w:ascii="宋体" w:hAnsi="宋体" w:eastAsia="宋体" w:cs="宋体"/>
          <w:bCs w:val="0"/>
          <w:color w:val="auto"/>
          <w:szCs w:val="21"/>
          <w:highlight w:val="none"/>
        </w:rPr>
      </w:pPr>
      <w:bookmarkStart w:id="27" w:name="_Toc54691745"/>
      <w:bookmarkStart w:id="28" w:name="_Toc28359094"/>
      <w:bookmarkStart w:id="29" w:name="_Toc57016905"/>
      <w:bookmarkStart w:id="30" w:name="_Toc35393634"/>
      <w:bookmarkStart w:id="31" w:name="_Toc28359017"/>
      <w:bookmarkStart w:id="32" w:name="_Toc35393803"/>
      <w:r>
        <w:rPr>
          <w:rFonts w:hint="eastAsia" w:ascii="宋体" w:hAnsi="宋体" w:eastAsia="宋体" w:cs="宋体"/>
          <w:bCs w:val="0"/>
          <w:color w:val="auto"/>
          <w:szCs w:val="21"/>
          <w:highlight w:val="none"/>
          <w:lang w:eastAsia="zh-CN"/>
        </w:rPr>
        <w:t>五</w:t>
      </w:r>
      <w:r>
        <w:rPr>
          <w:rFonts w:hint="eastAsia" w:ascii="宋体" w:hAnsi="宋体" w:eastAsia="宋体" w:cs="宋体"/>
          <w:bCs w:val="0"/>
          <w:color w:val="auto"/>
          <w:szCs w:val="21"/>
          <w:highlight w:val="none"/>
        </w:rPr>
        <w:t>、公告期限</w:t>
      </w:r>
      <w:bookmarkEnd w:id="27"/>
      <w:bookmarkEnd w:id="28"/>
      <w:bookmarkEnd w:id="29"/>
      <w:bookmarkEnd w:id="30"/>
      <w:bookmarkEnd w:id="31"/>
      <w:bookmarkEnd w:id="32"/>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6"/>
        <w:spacing w:before="0" w:after="0" w:line="360" w:lineRule="exact"/>
        <w:ind w:firstLine="422" w:firstLineChars="200"/>
        <w:rPr>
          <w:rFonts w:ascii="宋体" w:hAnsi="宋体" w:eastAsia="宋体" w:cs="宋体"/>
          <w:bCs w:val="0"/>
          <w:color w:val="auto"/>
          <w:szCs w:val="21"/>
          <w:highlight w:val="none"/>
        </w:rPr>
      </w:pPr>
      <w:bookmarkStart w:id="33" w:name="_Toc35393635"/>
      <w:bookmarkStart w:id="34" w:name="_Toc54691746"/>
      <w:bookmarkStart w:id="35" w:name="_Toc57016906"/>
      <w:bookmarkStart w:id="36" w:name="_Toc35393804"/>
      <w:r>
        <w:rPr>
          <w:rFonts w:hint="eastAsia" w:ascii="宋体" w:hAnsi="宋体" w:eastAsia="宋体" w:cs="宋体"/>
          <w:bCs w:val="0"/>
          <w:color w:val="auto"/>
          <w:szCs w:val="21"/>
          <w:highlight w:val="none"/>
          <w:lang w:eastAsia="zh-CN"/>
        </w:rPr>
        <w:t>六</w:t>
      </w:r>
      <w:r>
        <w:rPr>
          <w:rFonts w:hint="eastAsia" w:ascii="宋体" w:hAnsi="宋体" w:eastAsia="宋体" w:cs="宋体"/>
          <w:bCs w:val="0"/>
          <w:color w:val="auto"/>
          <w:szCs w:val="21"/>
          <w:highlight w:val="none"/>
        </w:rPr>
        <w:t>、其他补充事宜</w:t>
      </w:r>
      <w:bookmarkEnd w:id="33"/>
      <w:bookmarkEnd w:id="34"/>
      <w:bookmarkEnd w:id="35"/>
      <w:bookmarkEnd w:id="36"/>
    </w:p>
    <w:p>
      <w:pPr>
        <w:spacing w:line="360" w:lineRule="exact"/>
        <w:ind w:firstLine="420" w:firstLineChars="200"/>
        <w:rPr>
          <w:rFonts w:hint="eastAsia" w:ascii="宋体" w:hAnsi="宋体" w:eastAsia="宋体" w:cs="Times New Roman"/>
          <w:color w:val="auto"/>
          <w:szCs w:val="21"/>
          <w:highlight w:val="none"/>
        </w:rPr>
      </w:pPr>
      <w:bookmarkStart w:id="37" w:name="_Toc35393805"/>
      <w:bookmarkStart w:id="38" w:name="_Toc54691747"/>
      <w:bookmarkStart w:id="39" w:name="_Toc28359095"/>
      <w:bookmarkStart w:id="40" w:name="_Toc35393636"/>
      <w:bookmarkStart w:id="41" w:name="_Toc57016910"/>
      <w:bookmarkStart w:id="42" w:name="_Toc28359018"/>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本项目不收取投标保证金。</w:t>
      </w:r>
    </w:p>
    <w:p>
      <w:pPr>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单位负责人为同一人或者存在直接控股、管理</w:t>
      </w:r>
      <w:r>
        <w:rPr>
          <w:rFonts w:hint="eastAsia" w:ascii="宋体" w:hAnsi="宋体" w:eastAsia="宋体" w:cs="Times New Roman"/>
          <w:color w:val="auto"/>
          <w:szCs w:val="21"/>
          <w:highlight w:val="none"/>
          <w:lang w:eastAsia="zh-CN"/>
        </w:rPr>
        <w:t>关</w:t>
      </w:r>
      <w:r>
        <w:rPr>
          <w:rFonts w:hint="eastAsia" w:ascii="宋体" w:hAnsi="宋体" w:eastAsia="宋体" w:cs="Times New Roman"/>
          <w:color w:val="auto"/>
          <w:szCs w:val="21"/>
          <w:highlight w:val="none"/>
        </w:rPr>
        <w:t>系的不同供应商，不得参加同一合同项下的政府采购活动。为本项目提供过整体设计、规范编制或者项目管理、监理、检测等服务的供应商，不得再参加本项目上述服务以外的其他采购活动。</w:t>
      </w:r>
    </w:p>
    <w:p>
      <w:pPr>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对 在 “ 信 用 中 国 ” 网 站 (www.creditchina.gov.cn) 、 中 国 政 府 采 购 网(www.ccgp.gov.cn)被列入失信被执行人、重大税收违法案件当事人名单、政府采购严重违法失信行为记录名单及其他不符合《中华人民共和国政府采购法》第二十二条规定条件的供   应商，不得参与政府采购活动。</w:t>
      </w:r>
    </w:p>
    <w:p>
      <w:pPr>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本项目需要落实的政府采购政策</w:t>
      </w:r>
    </w:p>
    <w:p>
      <w:pPr>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落实强制采购节能产品、鼓励节能政策：对国家公布的节能产品政府采购品目清单中属于强制采购的产品，予以强制采购。属于非强制采购的产品，在技术、服务等指标同等条件下，予以优先采购。</w:t>
      </w:r>
    </w:p>
    <w:p>
      <w:pPr>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鼓励环保政策：在性能、技术、服务等指标同等条件下，优先采购国家公布的属于环境标志产品政府采购品目清单中产品。</w:t>
      </w:r>
    </w:p>
    <w:p>
      <w:pPr>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扶持中小企业政策：评审时小型和微型企业产品的价格给予 10%的扣除。监狱企业、残疾人福利性单位视同小型和微型企业，其产品在评审时给予相同的价格扣除。</w:t>
      </w:r>
    </w:p>
    <w:p>
      <w:pPr>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网上公告媒体查询</w:t>
      </w:r>
    </w:p>
    <w:p>
      <w:pPr>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fldChar w:fldCharType="begin"/>
      </w:r>
      <w:r>
        <w:rPr>
          <w:rFonts w:hint="eastAsia" w:ascii="宋体" w:hAnsi="宋体" w:eastAsia="宋体" w:cs="Times New Roman"/>
          <w:color w:val="auto"/>
          <w:szCs w:val="21"/>
          <w:highlight w:val="none"/>
        </w:rPr>
        <w:instrText xml:space="preserve"> HYPERLINK "http://zfcg.gxzf.gov.cn/" \h </w:instrText>
      </w:r>
      <w:r>
        <w:rPr>
          <w:rFonts w:hint="eastAsia" w:ascii="宋体" w:hAnsi="宋体" w:eastAsia="宋体" w:cs="Times New Roman"/>
          <w:color w:val="auto"/>
          <w:szCs w:val="21"/>
          <w:highlight w:val="none"/>
        </w:rPr>
        <w:fldChar w:fldCharType="separate"/>
      </w:r>
      <w:r>
        <w:rPr>
          <w:rFonts w:hint="eastAsia" w:ascii="宋体" w:hAnsi="宋体" w:eastAsia="宋体" w:cs="Times New Roman"/>
          <w:color w:val="auto"/>
          <w:szCs w:val="21"/>
          <w:highlight w:val="none"/>
        </w:rPr>
        <w:t>http://zfcg.gxzf.gov.cn/</w:t>
      </w:r>
      <w:r>
        <w:rPr>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（广西壮族自治区政府采购网）、</w:t>
      </w:r>
      <w:r>
        <w:rPr>
          <w:rFonts w:hint="eastAsia" w:ascii="宋体" w:hAnsi="宋体" w:eastAsia="宋体" w:cs="Times New Roman"/>
          <w:color w:val="auto"/>
          <w:szCs w:val="21"/>
          <w:highlight w:val="none"/>
        </w:rPr>
        <w:fldChar w:fldCharType="begin"/>
      </w:r>
      <w:r>
        <w:rPr>
          <w:rFonts w:hint="eastAsia" w:ascii="宋体" w:hAnsi="宋体" w:eastAsia="宋体" w:cs="Times New Roman"/>
          <w:color w:val="auto"/>
          <w:szCs w:val="21"/>
          <w:highlight w:val="none"/>
        </w:rPr>
        <w:instrText xml:space="preserve"> HYPERLINK "http://www.ccgp.gov.cn/" \h </w:instrText>
      </w:r>
      <w:r>
        <w:rPr>
          <w:rFonts w:hint="eastAsia" w:ascii="宋体" w:hAnsi="宋体" w:eastAsia="宋体" w:cs="Times New Roman"/>
          <w:color w:val="auto"/>
          <w:szCs w:val="21"/>
          <w:highlight w:val="none"/>
        </w:rPr>
        <w:fldChar w:fldCharType="separate"/>
      </w:r>
      <w:r>
        <w:rPr>
          <w:rFonts w:hint="eastAsia" w:ascii="宋体" w:hAnsi="宋体" w:eastAsia="宋体" w:cs="Times New Roman"/>
          <w:color w:val="auto"/>
          <w:szCs w:val="21"/>
          <w:highlight w:val="none"/>
        </w:rPr>
        <w:t>www.ccgp.gov.cn</w:t>
      </w:r>
      <w:r>
        <w:rPr>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（中国政府采购网）。</w:t>
      </w:r>
    </w:p>
    <w:p>
      <w:pPr>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在线投标响应（电子投标）说明</w:t>
      </w:r>
    </w:p>
    <w:p>
      <w:pPr>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本项目通过政采云平台实行在线投标响应（电子投标），供应商需要先安装“政采云电子交易客户端”，并按照本招标文件和政采云平台的要求，通过“政采云电子交易客户端”编制并加密投标文件。供应商未按规定编制并加密的投标文件，政采云平台将予以拒收。</w:t>
      </w:r>
    </w:p>
    <w:p>
      <w:pPr>
        <w:spacing w:line="36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政 采 云 电 子 交 易 客 户 端 ” 请 自 行 前 往 广 西 政 府 采 购 网 下 载 并 安 </w:t>
      </w:r>
      <w:r>
        <w:rPr>
          <w:rFonts w:hint="eastAsia" w:ascii="宋体" w:hAnsi="宋体" w:eastAsia="宋体" w:cs="Times New Roman"/>
          <w:color w:val="auto"/>
          <w:szCs w:val="21"/>
          <w:highlight w:val="none"/>
          <w:lang w:eastAsia="zh-CN"/>
        </w:rPr>
        <w:t>装</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fldChar w:fldCharType="begin"/>
      </w:r>
      <w:r>
        <w:rPr>
          <w:rFonts w:hint="eastAsia" w:ascii="宋体" w:hAnsi="宋体" w:eastAsia="宋体" w:cs="Times New Roman"/>
          <w:color w:val="auto"/>
          <w:szCs w:val="21"/>
          <w:highlight w:val="none"/>
        </w:rPr>
        <w:instrText xml:space="preserve"> HYPERLINK "http://zfcg.gxzf.gov.cn/OfficeService/DownloadArea/2455918.html?utm=sites_gro" \h </w:instrText>
      </w:r>
      <w:r>
        <w:rPr>
          <w:rFonts w:hint="eastAsia" w:ascii="宋体" w:hAnsi="宋体" w:eastAsia="宋体" w:cs="Times New Roman"/>
          <w:color w:val="auto"/>
          <w:szCs w:val="21"/>
          <w:highlight w:val="none"/>
        </w:rPr>
        <w:fldChar w:fldCharType="separate"/>
      </w:r>
      <w:r>
        <w:rPr>
          <w:rFonts w:hint="eastAsia" w:ascii="宋体" w:hAnsi="宋体" w:eastAsia="宋体" w:cs="Times New Roman"/>
          <w:color w:val="auto"/>
          <w:szCs w:val="21"/>
          <w:highlight w:val="none"/>
        </w:rPr>
        <w:t>http://zfcg.gxzf.gov.cn/OfficeService/DownloadArea/2455918.html?utm=sites_gro</w:t>
      </w:r>
      <w:r>
        <w:rPr>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up_front.b8b6c91.0.0.c51f9820a48111eabb9bcbdf01af125e）；电子投标具体操作流程参考《政府采购项目电子交易管理操作指南-供应商》；通过政采云平台参与在线投标时如遇平台技术问题详询 400-881-7190。</w:t>
      </w:r>
    </w:p>
    <w:p>
      <w:pPr>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为确保网上操作合法、有效和安全，投标供应商应当在投标截止时间前完成在“政府采购云平台”的身份认证，确保在电子投标过程中能够对相</w:t>
      </w:r>
      <w:r>
        <w:rPr>
          <w:rFonts w:hint="eastAsia" w:ascii="宋体" w:hAnsi="宋体" w:eastAsia="宋体" w:cs="Times New Roman"/>
          <w:color w:val="auto"/>
          <w:szCs w:val="21"/>
          <w:highlight w:val="none"/>
          <w:lang w:eastAsia="zh-CN"/>
        </w:rPr>
        <w:t>关</w:t>
      </w:r>
      <w:r>
        <w:rPr>
          <w:rFonts w:hint="eastAsia" w:ascii="宋体" w:hAnsi="宋体" w:eastAsia="宋体" w:cs="Times New Roman"/>
          <w:color w:val="auto"/>
          <w:szCs w:val="21"/>
          <w:highlight w:val="none"/>
        </w:rPr>
        <w:t>数据电文进行加密和使用电子签章。使用“政采云电子交易客户端”需要提前申领 CA 数字证书，申领流程请自行前往“北海市政府采购中心网站-相</w:t>
      </w:r>
      <w:r>
        <w:rPr>
          <w:rFonts w:hint="eastAsia" w:ascii="宋体" w:hAnsi="宋体" w:eastAsia="宋体" w:cs="Times New Roman"/>
          <w:color w:val="auto"/>
          <w:szCs w:val="21"/>
          <w:highlight w:val="none"/>
          <w:lang w:eastAsia="zh-CN"/>
        </w:rPr>
        <w:t>关</w:t>
      </w:r>
      <w:r>
        <w:rPr>
          <w:rFonts w:hint="eastAsia" w:ascii="宋体" w:hAnsi="宋体" w:eastAsia="宋体" w:cs="Times New Roman"/>
          <w:color w:val="auto"/>
          <w:szCs w:val="21"/>
          <w:highlight w:val="none"/>
        </w:rPr>
        <w:t>下载- CA 证书办理操作指南”进行查阅；</w:t>
      </w:r>
    </w:p>
    <w:p>
      <w:pPr>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供应商应当在投标截止时间前，将生成的“电子加密投标文件”上传递交至政采云平台。投标截止时间前可以补充、修改或者撤回电子投标文件。补充或者修改电子投标文件的，应当先行撤回原文件，补充、修改后重新传输递交，投标截止时间前未完成传输的，视为撤回投标文件。</w:t>
      </w:r>
    </w:p>
    <w:p>
      <w:pPr>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投标供应商可以提供以介质（U 盘或光盘等）存储的数据电文形成的电子备份投标文件。电子备份投标文件应当在投标截止时间前按要求密封并送达</w:t>
      </w:r>
      <w:r>
        <w:rPr>
          <w:rFonts w:hint="eastAsia" w:ascii="宋体" w:hAnsi="宋体" w:eastAsia="宋体" w:cs="Times New Roman"/>
          <w:color w:val="auto"/>
          <w:szCs w:val="21"/>
          <w:highlight w:val="none"/>
          <w:lang w:eastAsia="zh-CN"/>
        </w:rPr>
        <w:t>北海市海城区重庆路与四川路交界九洲城D2栋8楼广西火天信工程管理咨询有限公司</w:t>
      </w:r>
      <w:r>
        <w:rPr>
          <w:rFonts w:hint="eastAsia" w:ascii="宋体" w:hAnsi="宋体" w:eastAsia="宋体" w:cs="Times New Roman"/>
          <w:color w:val="auto"/>
          <w:szCs w:val="21"/>
          <w:highlight w:val="none"/>
        </w:rPr>
        <w:t>，逾期送达或未按要求密封将被拒收。电子备份投标文件应当密封包装并在包装上标注投标项目名称、投标单位名称并加盖公章。</w:t>
      </w:r>
    </w:p>
    <w:p>
      <w:pPr>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邮寄地址：</w:t>
      </w:r>
      <w:r>
        <w:rPr>
          <w:rFonts w:hint="eastAsia" w:ascii="宋体" w:hAnsi="宋体" w:eastAsia="宋体" w:cs="Times New Roman"/>
          <w:color w:val="auto"/>
          <w:szCs w:val="21"/>
          <w:highlight w:val="none"/>
          <w:lang w:eastAsia="zh-CN"/>
        </w:rPr>
        <w:t>北海市海城区重庆路与四川路交界九洲城D2栋</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楼广西火天信工程管理咨询有限公司</w:t>
      </w:r>
      <w:r>
        <w:rPr>
          <w:rFonts w:hint="eastAsia" w:ascii="宋体" w:hAnsi="宋体" w:eastAsia="宋体" w:cs="Times New Roman"/>
          <w:color w:val="auto"/>
          <w:szCs w:val="21"/>
          <w:highlight w:val="none"/>
        </w:rPr>
        <w:t>，联系方式：</w:t>
      </w:r>
      <w:r>
        <w:rPr>
          <w:rFonts w:hint="eastAsia" w:ascii="宋体" w:hAnsi="宋体" w:eastAsia="宋体" w:cs="Times New Roman"/>
          <w:color w:val="auto"/>
          <w:szCs w:val="21"/>
          <w:highlight w:val="none"/>
          <w:lang w:eastAsia="zh-CN"/>
        </w:rPr>
        <w:t>包工</w:t>
      </w:r>
      <w:r>
        <w:rPr>
          <w:rFonts w:hint="eastAsia" w:ascii="宋体" w:hAnsi="宋体" w:eastAsia="宋体" w:cs="Times New Roman"/>
          <w:color w:val="auto"/>
          <w:szCs w:val="21"/>
          <w:highlight w:val="none"/>
        </w:rPr>
        <w:t xml:space="preserve">  电话：</w:t>
      </w:r>
      <w:r>
        <w:rPr>
          <w:rFonts w:hint="eastAsia" w:ascii="宋体" w:hAnsi="宋体" w:eastAsia="宋体" w:cs="Times New Roman"/>
          <w:color w:val="auto"/>
          <w:szCs w:val="21"/>
          <w:highlight w:val="none"/>
          <w:lang w:eastAsia="zh-CN"/>
        </w:rPr>
        <w:t>0779-3831110</w:t>
      </w:r>
      <w:r>
        <w:rPr>
          <w:rFonts w:hint="eastAsia" w:ascii="宋体" w:hAnsi="宋体" w:eastAsia="宋体" w:cs="Times New Roman"/>
          <w:color w:val="auto"/>
          <w:szCs w:val="21"/>
          <w:highlight w:val="none"/>
        </w:rPr>
        <w:t>。</w:t>
      </w:r>
    </w:p>
    <w:p>
      <w:pPr>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本公司拒收到付邮件，通过邮寄方式送达的，请合理安排邮寄时间，因邮寄原因未能在规定时间内送达的后果由投标供应商自行承担。</w:t>
      </w:r>
    </w:p>
    <w:p>
      <w:pPr>
        <w:spacing w:line="360" w:lineRule="exact"/>
        <w:ind w:firstLine="420" w:firstLineChars="200"/>
        <w:rPr>
          <w:color w:val="auto"/>
          <w:spacing w:val="-12"/>
          <w:highlight w:val="none"/>
        </w:rPr>
      </w:pPr>
      <w:r>
        <w:rPr>
          <w:rFonts w:hint="eastAsia" w:ascii="宋体" w:hAnsi="宋体" w:eastAsia="宋体" w:cs="Times New Roman"/>
          <w:color w:val="auto"/>
          <w:szCs w:val="21"/>
          <w:highlight w:val="none"/>
          <w:lang w:val="zh-CN"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eastAsia="zh-CN"/>
        </w:rPr>
        <w:t>）通过“政府采购云平台”上传递交的“电子加密投标文件”无法按时解密，投标供应商递交了电子备份投标文件的，以电子备份投标文件为依据，否则视为投标文件撤回。通过政采云平台上传递交的电子加密投标文件已按时解密的，电子备份投标文件自动失效。投标供应商仅递交电子备份投标文件的，投标无效。</w:t>
      </w:r>
    </w:p>
    <w:p>
      <w:pPr>
        <w:pStyle w:val="6"/>
        <w:spacing w:before="0" w:after="0" w:line="360" w:lineRule="exact"/>
        <w:ind w:firstLine="422" w:firstLineChars="200"/>
        <w:rPr>
          <w:rFonts w:ascii="宋体" w:hAnsi="宋体" w:eastAsia="宋体" w:cs="宋体"/>
          <w:bCs w:val="0"/>
          <w:color w:val="auto"/>
          <w:szCs w:val="21"/>
          <w:highlight w:val="none"/>
        </w:rPr>
      </w:pPr>
      <w:r>
        <w:rPr>
          <w:rFonts w:hint="eastAsia" w:ascii="宋体" w:hAnsi="宋体" w:eastAsia="宋体" w:cs="宋体"/>
          <w:bCs w:val="0"/>
          <w:color w:val="auto"/>
          <w:szCs w:val="21"/>
          <w:highlight w:val="none"/>
          <w:lang w:eastAsia="zh-CN"/>
        </w:rPr>
        <w:t>七</w:t>
      </w:r>
      <w:r>
        <w:rPr>
          <w:rFonts w:hint="eastAsia" w:ascii="宋体" w:hAnsi="宋体" w:eastAsia="宋体" w:cs="宋体"/>
          <w:bCs w:val="0"/>
          <w:color w:val="auto"/>
          <w:szCs w:val="21"/>
          <w:highlight w:val="none"/>
        </w:rPr>
        <w:t>、凡对本次</w:t>
      </w:r>
      <w:r>
        <w:rPr>
          <w:rFonts w:hint="eastAsia" w:ascii="宋体" w:hAnsi="宋体" w:eastAsia="宋体" w:cs="宋体"/>
          <w:bCs w:val="0"/>
          <w:color w:val="auto"/>
          <w:szCs w:val="21"/>
          <w:highlight w:val="none"/>
          <w:lang w:eastAsia="zh-CN"/>
        </w:rPr>
        <w:t>招标</w:t>
      </w:r>
      <w:r>
        <w:rPr>
          <w:rFonts w:hint="eastAsia" w:ascii="宋体" w:hAnsi="宋体" w:eastAsia="宋体" w:cs="宋体"/>
          <w:bCs w:val="0"/>
          <w:color w:val="auto"/>
          <w:szCs w:val="21"/>
          <w:highlight w:val="none"/>
        </w:rPr>
        <w:t>提出询问，请按</w:t>
      </w:r>
      <w:r>
        <w:rPr>
          <w:rFonts w:ascii="宋体" w:hAnsi="宋体" w:eastAsia="宋体" w:cs="宋体"/>
          <w:bCs w:val="0"/>
          <w:color w:val="auto"/>
          <w:szCs w:val="21"/>
          <w:highlight w:val="none"/>
        </w:rPr>
        <w:t>以下方式</w:t>
      </w:r>
      <w:r>
        <w:rPr>
          <w:rFonts w:hint="eastAsia" w:ascii="宋体" w:hAnsi="宋体" w:eastAsia="宋体" w:cs="宋体"/>
          <w:bCs w:val="0"/>
          <w:color w:val="auto"/>
          <w:szCs w:val="21"/>
          <w:highlight w:val="none"/>
        </w:rPr>
        <w:t>联系</w:t>
      </w:r>
      <w:bookmarkEnd w:id="37"/>
      <w:bookmarkEnd w:id="38"/>
      <w:bookmarkEnd w:id="39"/>
      <w:bookmarkEnd w:id="40"/>
      <w:bookmarkEnd w:id="41"/>
      <w:bookmarkEnd w:id="42"/>
    </w:p>
    <w:p>
      <w:pPr>
        <w:spacing w:line="360" w:lineRule="exact"/>
        <w:ind w:firstLine="420" w:firstLineChars="20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1.采购人信息：</w:t>
      </w:r>
    </w:p>
    <w:p>
      <w:pPr>
        <w:spacing w:line="360" w:lineRule="exact"/>
        <w:ind w:firstLine="420" w:firstLineChars="20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名称：北海市铁山港区南康镇人民政府</w:t>
      </w:r>
    </w:p>
    <w:p>
      <w:pPr>
        <w:spacing w:line="360" w:lineRule="exact"/>
        <w:ind w:firstLine="420" w:firstLineChars="20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地址：北海市铁山港区</w:t>
      </w:r>
    </w:p>
    <w:p>
      <w:pPr>
        <w:spacing w:line="360" w:lineRule="exact"/>
        <w:ind w:firstLine="420" w:firstLineChars="20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 xml:space="preserve">联系方式：莫工； 联系电话：0779-8602058 </w:t>
      </w:r>
    </w:p>
    <w:p>
      <w:pPr>
        <w:spacing w:line="360" w:lineRule="exact"/>
        <w:ind w:firstLine="420" w:firstLineChars="20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2.采购代理机构信息</w:t>
      </w:r>
    </w:p>
    <w:p>
      <w:pPr>
        <w:spacing w:line="360" w:lineRule="exact"/>
        <w:ind w:firstLine="420" w:firstLineChars="20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名称：广西火天信工程管理咨询有限公司</w:t>
      </w:r>
    </w:p>
    <w:p>
      <w:pPr>
        <w:spacing w:line="360" w:lineRule="exact"/>
        <w:ind w:firstLine="420" w:firstLineChars="20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 xml:space="preserve"> 地址：北海市海城区重庆路与四川路交界九洲城D2栋</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zh-CN" w:eastAsia="zh-CN"/>
        </w:rPr>
        <w:t>楼</w:t>
      </w:r>
    </w:p>
    <w:p>
      <w:pPr>
        <w:spacing w:line="360" w:lineRule="exact"/>
        <w:ind w:firstLine="420" w:firstLineChars="20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联系方式：包工</w:t>
      </w:r>
      <w:r>
        <w:rPr>
          <w:rFonts w:hint="eastAsia" w:ascii="宋体" w:hAnsi="宋体" w:eastAsia="宋体" w:cs="Times New Roman"/>
          <w:color w:val="auto"/>
          <w:szCs w:val="21"/>
          <w:highlight w:val="none"/>
          <w:lang w:val="zh-CN" w:eastAsia="zh-CN"/>
        </w:rPr>
        <w:tab/>
      </w:r>
      <w:r>
        <w:rPr>
          <w:rFonts w:hint="eastAsia" w:ascii="宋体" w:hAnsi="宋体" w:eastAsia="宋体" w:cs="Times New Roman"/>
          <w:color w:val="auto"/>
          <w:szCs w:val="21"/>
          <w:highlight w:val="none"/>
          <w:lang w:val="zh-CN" w:eastAsia="zh-CN"/>
        </w:rPr>
        <w:t>0779-3831110</w:t>
      </w:r>
    </w:p>
    <w:p>
      <w:pPr>
        <w:spacing w:line="360" w:lineRule="exact"/>
        <w:ind w:firstLine="420" w:firstLineChars="20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3.项目联系方式:</w:t>
      </w:r>
    </w:p>
    <w:p>
      <w:pPr>
        <w:spacing w:line="360" w:lineRule="exact"/>
        <w:ind w:firstLine="420" w:firstLineChars="200"/>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项目联系人：包工</w:t>
      </w:r>
      <w:r>
        <w:rPr>
          <w:rFonts w:hint="eastAsia" w:ascii="宋体" w:hAnsi="宋体" w:eastAsia="宋体" w:cs="Times New Roman"/>
          <w:color w:val="auto"/>
          <w:szCs w:val="21"/>
          <w:highlight w:val="none"/>
          <w:lang w:val="zh-CN" w:eastAsia="zh-CN"/>
        </w:rPr>
        <w:tab/>
      </w:r>
      <w:r>
        <w:rPr>
          <w:rFonts w:hint="eastAsia" w:ascii="宋体" w:hAnsi="宋体" w:eastAsia="宋体" w:cs="Times New Roman"/>
          <w:color w:val="auto"/>
          <w:szCs w:val="21"/>
          <w:highlight w:val="none"/>
          <w:lang w:val="zh-CN" w:eastAsia="zh-CN"/>
        </w:rPr>
        <w:t>0779-3831110</w:t>
      </w:r>
    </w:p>
    <w:p>
      <w:pPr>
        <w:spacing w:line="380" w:lineRule="exact"/>
        <w:ind w:right="629" w:firstLine="630" w:firstLineChars="300"/>
        <w:jc w:val="righ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广西火天信工程管理咨询有限公司</w:t>
      </w:r>
    </w:p>
    <w:p>
      <w:pPr>
        <w:spacing w:line="380" w:lineRule="exact"/>
        <w:ind w:right="629" w:firstLine="630" w:firstLineChars="300"/>
        <w:jc w:val="righ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eastAsia="zh-CN"/>
        </w:rPr>
        <w:t>2021</w:t>
      </w:r>
      <w:r>
        <w:rPr>
          <w:rFonts w:hint="eastAsia" w:ascii="宋体" w:hAnsi="宋体"/>
          <w:color w:val="auto"/>
          <w:szCs w:val="21"/>
          <w:highlight w:val="none"/>
        </w:rPr>
        <w:t>年</w:t>
      </w:r>
      <w:r>
        <w:rPr>
          <w:rFonts w:hint="eastAsia" w:ascii="宋体" w:hAnsi="宋体"/>
          <w:color w:val="auto"/>
          <w:szCs w:val="21"/>
          <w:highlight w:val="none"/>
          <w:lang w:val="en-US" w:eastAsia="zh-CN"/>
        </w:rPr>
        <w:t>09</w:t>
      </w:r>
      <w:r>
        <w:rPr>
          <w:rFonts w:hint="eastAsia" w:ascii="宋体" w:hAnsi="宋体"/>
          <w:color w:val="auto"/>
          <w:szCs w:val="21"/>
          <w:highlight w:val="none"/>
        </w:rPr>
        <w:t>月</w:t>
      </w:r>
      <w:r>
        <w:rPr>
          <w:rFonts w:hint="eastAsia" w:ascii="宋体" w:hAnsi="宋体"/>
          <w:color w:val="auto"/>
          <w:szCs w:val="21"/>
          <w:highlight w:val="none"/>
          <w:lang w:val="en-US" w:eastAsia="zh-CN"/>
        </w:rPr>
        <w:t>13</w:t>
      </w:r>
      <w:r>
        <w:rPr>
          <w:rFonts w:hint="eastAsia" w:ascii="宋体" w:hAnsi="宋体"/>
          <w:color w:val="auto"/>
          <w:szCs w:val="21"/>
          <w:highlight w:val="none"/>
        </w:rPr>
        <w:t>日</w:t>
      </w:r>
    </w:p>
    <w:p>
      <w:pPr>
        <w:spacing w:line="420" w:lineRule="exact"/>
        <w:ind w:firstLine="420" w:firstLineChars="200"/>
        <w:rPr>
          <w:rFonts w:hint="eastAsia" w:ascii="宋体" w:hAnsi="宋体" w:cs="宋体"/>
          <w:color w:val="auto"/>
          <w:szCs w:val="21"/>
          <w:highlight w:val="none"/>
          <w:lang w:bidi="zh-CN"/>
        </w:rPr>
      </w:pPr>
    </w:p>
    <w:p>
      <w:pPr>
        <w:pStyle w:val="2"/>
        <w:rPr>
          <w:rFonts w:hint="eastAsia" w:ascii="宋体" w:hAnsi="宋体" w:cs="宋体"/>
          <w:color w:val="auto"/>
          <w:szCs w:val="21"/>
          <w:highlight w:val="none"/>
          <w:lang w:bidi="zh-CN"/>
        </w:rPr>
      </w:pPr>
    </w:p>
    <w:p>
      <w:pPr>
        <w:pStyle w:val="2"/>
        <w:rPr>
          <w:rFonts w:hint="eastAsia" w:ascii="宋体" w:hAnsi="宋体" w:cs="宋体"/>
          <w:color w:val="auto"/>
          <w:szCs w:val="21"/>
          <w:highlight w:val="none"/>
          <w:lang w:bidi="zh-CN"/>
        </w:rPr>
      </w:pPr>
    </w:p>
    <w:p>
      <w:pPr>
        <w:pStyle w:val="2"/>
        <w:rPr>
          <w:rFonts w:hint="eastAsia" w:ascii="宋体" w:hAnsi="宋体" w:cs="宋体"/>
          <w:color w:val="auto"/>
          <w:szCs w:val="21"/>
          <w:highlight w:val="none"/>
          <w:lang w:bidi="zh-CN"/>
        </w:rPr>
      </w:pPr>
    </w:p>
    <w:p>
      <w:pPr>
        <w:pStyle w:val="2"/>
        <w:rPr>
          <w:rFonts w:hint="eastAsia" w:ascii="宋体" w:hAnsi="宋体" w:cs="宋体"/>
          <w:color w:val="auto"/>
          <w:szCs w:val="21"/>
          <w:highlight w:val="none"/>
          <w:lang w:bidi="zh-CN"/>
        </w:rPr>
      </w:pPr>
    </w:p>
    <w:p>
      <w:pPr>
        <w:pStyle w:val="2"/>
        <w:rPr>
          <w:rFonts w:hint="eastAsia" w:ascii="宋体" w:hAnsi="宋体" w:cs="宋体"/>
          <w:color w:val="auto"/>
          <w:szCs w:val="21"/>
          <w:highlight w:val="none"/>
          <w:lang w:bidi="zh-CN"/>
        </w:rPr>
      </w:pPr>
    </w:p>
    <w:p>
      <w:pPr>
        <w:pStyle w:val="2"/>
        <w:rPr>
          <w:rFonts w:hint="eastAsia" w:ascii="宋体" w:hAnsi="宋体" w:cs="宋体"/>
          <w:color w:val="auto"/>
          <w:szCs w:val="21"/>
          <w:highlight w:val="none"/>
          <w:lang w:bidi="zh-CN"/>
        </w:rPr>
      </w:pPr>
    </w:p>
    <w:p>
      <w:pPr>
        <w:pStyle w:val="2"/>
        <w:rPr>
          <w:rFonts w:hint="eastAsia" w:ascii="宋体" w:hAnsi="宋体" w:cs="宋体"/>
          <w:color w:val="auto"/>
          <w:szCs w:val="21"/>
          <w:highlight w:val="none"/>
          <w:lang w:bidi="zh-CN"/>
        </w:rPr>
      </w:pPr>
    </w:p>
    <w:p>
      <w:pPr>
        <w:pStyle w:val="2"/>
        <w:rPr>
          <w:rFonts w:hint="eastAsia" w:ascii="宋体" w:hAnsi="宋体" w:cs="宋体"/>
          <w:color w:val="auto"/>
          <w:szCs w:val="21"/>
          <w:highlight w:val="none"/>
          <w:lang w:bidi="zh-CN"/>
        </w:rPr>
      </w:pPr>
    </w:p>
    <w:p>
      <w:pPr>
        <w:pStyle w:val="2"/>
        <w:rPr>
          <w:rFonts w:hint="eastAsia" w:ascii="宋体" w:hAnsi="宋体" w:cs="宋体"/>
          <w:color w:val="auto"/>
          <w:szCs w:val="21"/>
          <w:highlight w:val="none"/>
          <w:lang w:bidi="zh-CN"/>
        </w:rPr>
      </w:pPr>
    </w:p>
    <w:p>
      <w:pPr>
        <w:pStyle w:val="2"/>
        <w:rPr>
          <w:rFonts w:hint="eastAsia" w:ascii="宋体" w:hAnsi="宋体" w:cs="宋体"/>
          <w:color w:val="auto"/>
          <w:szCs w:val="21"/>
          <w:highlight w:val="none"/>
          <w:lang w:bidi="zh-CN"/>
        </w:rPr>
      </w:pPr>
    </w:p>
    <w:p>
      <w:pPr>
        <w:pStyle w:val="5"/>
        <w:jc w:val="center"/>
        <w:rPr>
          <w:color w:val="auto"/>
          <w:highlight w:val="none"/>
        </w:rPr>
      </w:pPr>
      <w:bookmarkStart w:id="43" w:name="_Toc76726729"/>
      <w:r>
        <w:rPr>
          <w:color w:val="auto"/>
          <w:highlight w:val="none"/>
        </w:rPr>
        <w:t>第二章  投标人须知</w:t>
      </w:r>
      <w:bookmarkEnd w:id="1"/>
      <w:bookmarkEnd w:id="43"/>
    </w:p>
    <w:p>
      <w:pPr>
        <w:pStyle w:val="5"/>
        <w:jc w:val="center"/>
        <w:rPr>
          <w:color w:val="auto"/>
          <w:highlight w:val="none"/>
        </w:rPr>
      </w:pPr>
      <w:bookmarkStart w:id="44" w:name="_Toc76726730"/>
      <w:bookmarkStart w:id="45" w:name="_Toc389065143"/>
      <w:r>
        <w:rPr>
          <w:color w:val="auto"/>
          <w:highlight w:val="none"/>
        </w:rPr>
        <w:t>投标人须知前附表</w:t>
      </w:r>
      <w:bookmarkEnd w:id="44"/>
      <w:bookmarkEnd w:id="45"/>
    </w:p>
    <w:tbl>
      <w:tblPr>
        <w:tblStyle w:val="17"/>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674"/>
        <w:gridCol w:w="5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207" w:type="dxa"/>
            <w:shd w:val="clear" w:color="auto" w:fill="E6E6E6"/>
            <w:noWrap w:val="0"/>
            <w:vAlign w:val="center"/>
          </w:tcPr>
          <w:p>
            <w:pPr>
              <w:spacing w:line="360" w:lineRule="auto"/>
              <w:jc w:val="center"/>
              <w:rPr>
                <w:b/>
                <w:color w:val="auto"/>
                <w:highlight w:val="none"/>
              </w:rPr>
            </w:pPr>
            <w:r>
              <w:rPr>
                <w:b/>
                <w:color w:val="auto"/>
                <w:highlight w:val="none"/>
              </w:rPr>
              <w:t>条款号</w:t>
            </w:r>
          </w:p>
        </w:tc>
        <w:tc>
          <w:tcPr>
            <w:tcW w:w="2674" w:type="dxa"/>
            <w:shd w:val="clear" w:color="auto" w:fill="E6E6E6"/>
            <w:noWrap w:val="0"/>
            <w:vAlign w:val="center"/>
          </w:tcPr>
          <w:p>
            <w:pPr>
              <w:spacing w:line="360" w:lineRule="auto"/>
              <w:jc w:val="center"/>
              <w:rPr>
                <w:b/>
                <w:color w:val="auto"/>
                <w:highlight w:val="none"/>
              </w:rPr>
            </w:pPr>
            <w:r>
              <w:rPr>
                <w:b/>
                <w:color w:val="auto"/>
                <w:highlight w:val="none"/>
              </w:rPr>
              <w:t>条  款  名  称</w:t>
            </w:r>
          </w:p>
        </w:tc>
        <w:tc>
          <w:tcPr>
            <w:tcW w:w="5513" w:type="dxa"/>
            <w:shd w:val="clear" w:color="auto" w:fill="E6E6E6"/>
            <w:noWrap w:val="0"/>
            <w:vAlign w:val="center"/>
          </w:tcPr>
          <w:p>
            <w:pPr>
              <w:spacing w:line="360" w:lineRule="auto"/>
              <w:jc w:val="center"/>
              <w:rPr>
                <w:b/>
                <w:color w:val="auto"/>
                <w:highlight w:val="none"/>
              </w:rPr>
            </w:pPr>
            <w:r>
              <w:rPr>
                <w:b/>
                <w:color w:val="auto"/>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207" w:type="dxa"/>
            <w:noWrap w:val="0"/>
            <w:vAlign w:val="center"/>
          </w:tcPr>
          <w:p>
            <w:pPr>
              <w:spacing w:line="360" w:lineRule="auto"/>
              <w:jc w:val="center"/>
              <w:rPr>
                <w:color w:val="auto"/>
                <w:highlight w:val="none"/>
              </w:rPr>
            </w:pPr>
            <w:r>
              <w:rPr>
                <w:color w:val="auto"/>
                <w:highlight w:val="none"/>
              </w:rPr>
              <w:t>1.1.2</w:t>
            </w:r>
          </w:p>
        </w:tc>
        <w:tc>
          <w:tcPr>
            <w:tcW w:w="2674" w:type="dxa"/>
            <w:noWrap w:val="0"/>
            <w:vAlign w:val="center"/>
          </w:tcPr>
          <w:p>
            <w:pPr>
              <w:spacing w:line="360" w:lineRule="auto"/>
              <w:rPr>
                <w:color w:val="auto"/>
                <w:highlight w:val="none"/>
              </w:rPr>
            </w:pPr>
            <w:r>
              <w:rPr>
                <w:color w:val="auto"/>
                <w:highlight w:val="none"/>
              </w:rPr>
              <w:t>招标人</w:t>
            </w:r>
          </w:p>
        </w:tc>
        <w:tc>
          <w:tcPr>
            <w:tcW w:w="5513" w:type="dxa"/>
            <w:noWrap w:val="0"/>
            <w:vAlign w:val="top"/>
          </w:tcPr>
          <w:p>
            <w:pPr>
              <w:spacing w:line="0" w:lineRule="atLeast"/>
              <w:rPr>
                <w:rFonts w:hint="eastAsia" w:ascii="宋体" w:hAnsi="宋体" w:eastAsia="宋体" w:cs="宋体"/>
                <w:color w:val="auto"/>
                <w:highlight w:val="none"/>
                <w:lang w:eastAsia="zh-CN"/>
              </w:rPr>
            </w:pPr>
            <w:r>
              <w:rPr>
                <w:rFonts w:hint="eastAsia" w:ascii="宋体" w:hAnsi="宋体" w:cs="宋体"/>
                <w:color w:val="auto"/>
                <w:highlight w:val="none"/>
              </w:rPr>
              <w:t>名称：</w:t>
            </w:r>
            <w:r>
              <w:rPr>
                <w:rFonts w:hint="eastAsia" w:ascii="宋体" w:hAnsi="宋体" w:cs="宋体"/>
                <w:color w:val="auto"/>
                <w:highlight w:val="none"/>
                <w:lang w:eastAsia="zh-CN"/>
              </w:rPr>
              <w:t>北海市铁山港区南康镇人民政府</w:t>
            </w:r>
          </w:p>
          <w:p>
            <w:pPr>
              <w:spacing w:line="0" w:lineRule="atLeast"/>
              <w:rPr>
                <w:rFonts w:hint="eastAsia" w:ascii="宋体" w:hAnsi="宋体" w:eastAsia="宋体" w:cs="宋体"/>
                <w:color w:val="auto"/>
                <w:highlight w:val="none"/>
                <w:lang w:eastAsia="zh-CN"/>
              </w:rPr>
            </w:pPr>
            <w:r>
              <w:rPr>
                <w:rFonts w:hint="eastAsia" w:ascii="宋体" w:hAnsi="宋体" w:cs="宋体"/>
                <w:color w:val="auto"/>
                <w:highlight w:val="none"/>
              </w:rPr>
              <w:t>地址：</w:t>
            </w:r>
            <w:r>
              <w:rPr>
                <w:rFonts w:hint="eastAsia" w:ascii="宋体" w:hAnsi="宋体" w:cs="宋体"/>
                <w:color w:val="auto"/>
                <w:highlight w:val="none"/>
                <w:lang w:eastAsia="zh-CN"/>
              </w:rPr>
              <w:t>北海市铁山港区</w:t>
            </w:r>
          </w:p>
          <w:p>
            <w:pPr>
              <w:spacing w:line="0" w:lineRule="atLeast"/>
              <w:rPr>
                <w:rFonts w:hint="eastAsia" w:ascii="宋体" w:hAnsi="宋体" w:eastAsia="宋体" w:cs="宋体"/>
                <w:color w:val="auto"/>
                <w:highlight w:val="none"/>
                <w:lang w:eastAsia="zh-CN"/>
              </w:rPr>
            </w:pPr>
            <w:r>
              <w:rPr>
                <w:rFonts w:hint="eastAsia" w:ascii="宋体" w:hAnsi="宋体" w:cs="宋体"/>
                <w:color w:val="auto"/>
                <w:highlight w:val="none"/>
              </w:rPr>
              <w:t>联系人：</w:t>
            </w:r>
            <w:r>
              <w:rPr>
                <w:rFonts w:hint="eastAsia" w:ascii="宋体" w:hAnsi="宋体" w:cs="宋体"/>
                <w:color w:val="auto"/>
                <w:highlight w:val="none"/>
                <w:lang w:eastAsia="zh-CN"/>
              </w:rPr>
              <w:t>莫工</w:t>
            </w:r>
          </w:p>
          <w:p>
            <w:pPr>
              <w:spacing w:line="0" w:lineRule="atLeast"/>
              <w:rPr>
                <w:rFonts w:hint="eastAsia" w:ascii="宋体" w:hAnsi="宋体" w:eastAsia="宋体" w:cs="宋体"/>
                <w:color w:val="auto"/>
                <w:highlight w:val="none"/>
                <w:lang w:eastAsia="zh-CN"/>
              </w:rPr>
            </w:pPr>
            <w:r>
              <w:rPr>
                <w:rFonts w:hint="eastAsia" w:ascii="宋体" w:hAnsi="宋体" w:cs="宋体"/>
                <w:color w:val="auto"/>
                <w:highlight w:val="none"/>
              </w:rPr>
              <w:t>电话：</w:t>
            </w:r>
            <w:r>
              <w:rPr>
                <w:rFonts w:hint="eastAsia" w:ascii="宋体" w:hAnsi="宋体" w:cs="宋体"/>
                <w:color w:val="auto"/>
                <w:highlight w:val="none"/>
                <w:lang w:eastAsia="zh-CN"/>
              </w:rPr>
              <w:t xml:space="preserve">0779-8602058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207" w:type="dxa"/>
            <w:noWrap w:val="0"/>
            <w:vAlign w:val="center"/>
          </w:tcPr>
          <w:p>
            <w:pPr>
              <w:spacing w:line="360" w:lineRule="auto"/>
              <w:jc w:val="center"/>
              <w:rPr>
                <w:color w:val="auto"/>
                <w:highlight w:val="none"/>
              </w:rPr>
            </w:pPr>
            <w:r>
              <w:rPr>
                <w:color w:val="auto"/>
                <w:highlight w:val="none"/>
              </w:rPr>
              <w:t>1.1.3</w:t>
            </w:r>
          </w:p>
        </w:tc>
        <w:tc>
          <w:tcPr>
            <w:tcW w:w="2674" w:type="dxa"/>
            <w:noWrap w:val="0"/>
            <w:vAlign w:val="center"/>
          </w:tcPr>
          <w:p>
            <w:pPr>
              <w:spacing w:line="360" w:lineRule="auto"/>
              <w:rPr>
                <w:color w:val="auto"/>
                <w:highlight w:val="none"/>
              </w:rPr>
            </w:pPr>
            <w:r>
              <w:rPr>
                <w:color w:val="auto"/>
                <w:highlight w:val="none"/>
              </w:rPr>
              <w:t>招标代理机构</w:t>
            </w:r>
          </w:p>
        </w:tc>
        <w:tc>
          <w:tcPr>
            <w:tcW w:w="5513" w:type="dxa"/>
            <w:noWrap w:val="0"/>
            <w:vAlign w:val="center"/>
          </w:tcPr>
          <w:p>
            <w:pPr>
              <w:spacing w:line="0" w:lineRule="atLeast"/>
              <w:rPr>
                <w:rFonts w:hint="eastAsia" w:ascii="宋体" w:hAnsi="宋体" w:eastAsia="宋体" w:cs="宋体"/>
                <w:color w:val="auto"/>
                <w:highlight w:val="none"/>
                <w:lang w:eastAsia="zh-CN"/>
              </w:rPr>
            </w:pPr>
            <w:r>
              <w:rPr>
                <w:rFonts w:hint="eastAsia" w:ascii="宋体" w:hAnsi="宋体" w:cs="宋体"/>
                <w:color w:val="auto"/>
                <w:highlight w:val="none"/>
              </w:rPr>
              <w:t>名称：</w:t>
            </w:r>
            <w:r>
              <w:rPr>
                <w:rFonts w:hint="eastAsia" w:ascii="宋体" w:hAnsi="宋体" w:cs="宋体"/>
                <w:color w:val="auto"/>
                <w:highlight w:val="none"/>
                <w:lang w:eastAsia="zh-CN"/>
              </w:rPr>
              <w:t>广西火天信工程管理咨询有限公司</w:t>
            </w:r>
          </w:p>
          <w:p>
            <w:pPr>
              <w:spacing w:line="0" w:lineRule="atLeast"/>
              <w:rPr>
                <w:rFonts w:hint="eastAsia" w:ascii="宋体" w:hAnsi="宋体" w:eastAsia="宋体" w:cs="宋体"/>
                <w:color w:val="auto"/>
                <w:highlight w:val="none"/>
                <w:lang w:eastAsia="zh-CN"/>
              </w:rPr>
            </w:pPr>
            <w:r>
              <w:rPr>
                <w:rFonts w:hint="eastAsia" w:ascii="宋体" w:hAnsi="宋体" w:cs="宋体"/>
                <w:color w:val="auto"/>
                <w:highlight w:val="none"/>
              </w:rPr>
              <w:t>地址：</w:t>
            </w:r>
            <w:r>
              <w:rPr>
                <w:rFonts w:hint="eastAsia" w:ascii="宋体" w:hAnsi="宋体" w:cs="宋体"/>
                <w:color w:val="auto"/>
                <w:highlight w:val="none"/>
                <w:lang w:eastAsia="zh-CN"/>
              </w:rPr>
              <w:t>北海市海城区重庆路与四川路交界九洲城D2栋</w:t>
            </w:r>
            <w:r>
              <w:rPr>
                <w:rFonts w:hint="eastAsia" w:ascii="宋体" w:hAnsi="宋体" w:cs="宋体"/>
                <w:color w:val="auto"/>
                <w:highlight w:val="none"/>
                <w:lang w:val="en-US" w:eastAsia="zh-CN"/>
              </w:rPr>
              <w:t>8</w:t>
            </w:r>
            <w:r>
              <w:rPr>
                <w:rFonts w:hint="eastAsia" w:ascii="宋体" w:hAnsi="宋体" w:cs="宋体"/>
                <w:color w:val="auto"/>
                <w:highlight w:val="none"/>
                <w:lang w:eastAsia="zh-CN"/>
              </w:rPr>
              <w:t>楼</w:t>
            </w:r>
          </w:p>
          <w:p>
            <w:pPr>
              <w:spacing w:line="0" w:lineRule="atLeast"/>
              <w:rPr>
                <w:rFonts w:hint="eastAsia" w:ascii="宋体" w:hAnsi="宋体" w:eastAsia="宋体" w:cs="宋体"/>
                <w:color w:val="auto"/>
                <w:highlight w:val="none"/>
                <w:lang w:eastAsia="zh-CN"/>
              </w:rPr>
            </w:pPr>
            <w:r>
              <w:rPr>
                <w:rFonts w:hint="eastAsia" w:ascii="宋体" w:hAnsi="宋体" w:cs="宋体"/>
                <w:color w:val="auto"/>
                <w:highlight w:val="none"/>
              </w:rPr>
              <w:t>联系人：</w:t>
            </w:r>
            <w:r>
              <w:rPr>
                <w:rFonts w:hint="eastAsia" w:ascii="宋体" w:hAnsi="宋体" w:cs="宋体"/>
                <w:color w:val="auto"/>
                <w:highlight w:val="none"/>
                <w:lang w:eastAsia="zh-CN"/>
              </w:rPr>
              <w:t>包工</w:t>
            </w:r>
          </w:p>
          <w:p>
            <w:pPr>
              <w:spacing w:line="0" w:lineRule="atLeast"/>
              <w:rPr>
                <w:rFonts w:hint="eastAsia" w:ascii="宋体" w:hAnsi="宋体" w:eastAsia="宋体" w:cs="宋体"/>
                <w:color w:val="auto"/>
                <w:highlight w:val="none"/>
                <w:lang w:eastAsia="zh-CN"/>
              </w:rPr>
            </w:pPr>
            <w:r>
              <w:rPr>
                <w:rFonts w:hint="eastAsia" w:ascii="宋体" w:hAnsi="宋体" w:cs="宋体"/>
                <w:color w:val="auto"/>
                <w:highlight w:val="none"/>
              </w:rPr>
              <w:t>电话：</w:t>
            </w:r>
            <w:r>
              <w:rPr>
                <w:rFonts w:hint="eastAsia" w:ascii="宋体" w:hAnsi="宋体" w:cs="宋体"/>
                <w:color w:val="auto"/>
                <w:highlight w:val="none"/>
                <w:lang w:eastAsia="zh-CN"/>
              </w:rPr>
              <w:t>0779-3831110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1207" w:type="dxa"/>
            <w:noWrap w:val="0"/>
            <w:vAlign w:val="center"/>
          </w:tcPr>
          <w:p>
            <w:pPr>
              <w:spacing w:line="360" w:lineRule="auto"/>
              <w:jc w:val="center"/>
              <w:rPr>
                <w:color w:val="auto"/>
                <w:highlight w:val="none"/>
              </w:rPr>
            </w:pPr>
            <w:r>
              <w:rPr>
                <w:color w:val="auto"/>
                <w:highlight w:val="none"/>
              </w:rPr>
              <w:t>1.1.4</w:t>
            </w:r>
          </w:p>
        </w:tc>
        <w:tc>
          <w:tcPr>
            <w:tcW w:w="2674" w:type="dxa"/>
            <w:noWrap w:val="0"/>
            <w:vAlign w:val="center"/>
          </w:tcPr>
          <w:p>
            <w:pPr>
              <w:spacing w:line="360" w:lineRule="auto"/>
              <w:rPr>
                <w:rFonts w:hint="eastAsia"/>
                <w:color w:val="auto"/>
                <w:highlight w:val="none"/>
              </w:rPr>
            </w:pPr>
            <w:r>
              <w:rPr>
                <w:rFonts w:hint="eastAsia"/>
                <w:color w:val="auto"/>
                <w:highlight w:val="none"/>
              </w:rPr>
              <w:t>项目名称及项目招标编号</w:t>
            </w:r>
          </w:p>
        </w:tc>
        <w:tc>
          <w:tcPr>
            <w:tcW w:w="5513" w:type="dxa"/>
            <w:noWrap w:val="0"/>
            <w:vAlign w:val="center"/>
          </w:tcPr>
          <w:p>
            <w:pPr>
              <w:spacing w:line="0" w:lineRule="atLeast"/>
              <w:rPr>
                <w:rFonts w:hint="eastAsia" w:ascii="宋体" w:hAnsi="宋体" w:cs="宋体"/>
                <w:color w:val="auto"/>
                <w:highlight w:val="none"/>
              </w:rPr>
            </w:pPr>
            <w:r>
              <w:rPr>
                <w:rFonts w:hint="eastAsia" w:ascii="宋体" w:hAnsi="宋体" w:cs="宋体"/>
                <w:color w:val="auto"/>
                <w:highlight w:val="none"/>
                <w:lang w:eastAsia="zh-CN"/>
              </w:rPr>
              <w:t>2021年铁山港区南康镇扫管龙村委农业果蔬大棚产业项目（二期）</w:t>
            </w:r>
            <w:r>
              <w:rPr>
                <w:rFonts w:hint="eastAsia" w:ascii="宋体" w:hAnsi="宋体" w:cs="宋体"/>
                <w:color w:val="auto"/>
                <w:highlight w:val="none"/>
              </w:rPr>
              <w:t>（</w:t>
            </w:r>
            <w:r>
              <w:rPr>
                <w:rFonts w:hint="eastAsia" w:ascii="宋体" w:hAnsi="宋体" w:cs="宋体"/>
                <w:color w:val="auto"/>
                <w:highlight w:val="none"/>
                <w:lang w:eastAsia="zh-CN"/>
              </w:rPr>
              <w:t>BHZC2021-G2-120025-GXHT</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1207" w:type="dxa"/>
            <w:noWrap w:val="0"/>
            <w:vAlign w:val="center"/>
          </w:tcPr>
          <w:p>
            <w:pPr>
              <w:spacing w:line="360" w:lineRule="auto"/>
              <w:jc w:val="center"/>
              <w:rPr>
                <w:color w:val="auto"/>
                <w:highlight w:val="none"/>
              </w:rPr>
            </w:pPr>
            <w:r>
              <w:rPr>
                <w:color w:val="auto"/>
                <w:highlight w:val="none"/>
              </w:rPr>
              <w:t>1.1.5</w:t>
            </w:r>
          </w:p>
        </w:tc>
        <w:tc>
          <w:tcPr>
            <w:tcW w:w="2674" w:type="dxa"/>
            <w:noWrap w:val="0"/>
            <w:vAlign w:val="center"/>
          </w:tcPr>
          <w:p>
            <w:pPr>
              <w:spacing w:line="360" w:lineRule="auto"/>
              <w:rPr>
                <w:color w:val="auto"/>
                <w:highlight w:val="none"/>
              </w:rPr>
            </w:pPr>
            <w:r>
              <w:rPr>
                <w:color w:val="auto"/>
                <w:highlight w:val="none"/>
              </w:rPr>
              <w:t>建设地点</w:t>
            </w:r>
          </w:p>
        </w:tc>
        <w:tc>
          <w:tcPr>
            <w:tcW w:w="5513" w:type="dxa"/>
            <w:noWrap w:val="0"/>
            <w:vAlign w:val="center"/>
          </w:tcPr>
          <w:p>
            <w:pPr>
              <w:spacing w:line="0" w:lineRule="atLeast"/>
              <w:rPr>
                <w:rFonts w:hint="eastAsia" w:ascii="宋体" w:hAnsi="宋体" w:eastAsia="宋体" w:cs="宋体"/>
                <w:color w:val="auto"/>
                <w:highlight w:val="none"/>
                <w:lang w:eastAsia="zh-CN"/>
              </w:rPr>
            </w:pPr>
            <w:r>
              <w:rPr>
                <w:rFonts w:hint="eastAsia" w:ascii="宋体" w:hAnsi="宋体" w:cs="宋体"/>
                <w:color w:val="auto"/>
                <w:highlight w:val="none"/>
                <w:lang w:eastAsia="zh-CN"/>
              </w:rPr>
              <w:t>北海市铁山港区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7" w:type="dxa"/>
            <w:noWrap w:val="0"/>
            <w:vAlign w:val="center"/>
          </w:tcPr>
          <w:p>
            <w:pPr>
              <w:spacing w:line="360" w:lineRule="auto"/>
              <w:jc w:val="center"/>
              <w:rPr>
                <w:color w:val="auto"/>
                <w:highlight w:val="none"/>
              </w:rPr>
            </w:pPr>
            <w:r>
              <w:rPr>
                <w:color w:val="auto"/>
                <w:highlight w:val="none"/>
              </w:rPr>
              <w:t>1.2.1</w:t>
            </w:r>
          </w:p>
        </w:tc>
        <w:tc>
          <w:tcPr>
            <w:tcW w:w="2674" w:type="dxa"/>
            <w:noWrap w:val="0"/>
            <w:vAlign w:val="center"/>
          </w:tcPr>
          <w:p>
            <w:pPr>
              <w:spacing w:line="360" w:lineRule="auto"/>
              <w:rPr>
                <w:color w:val="auto"/>
                <w:highlight w:val="none"/>
              </w:rPr>
            </w:pPr>
            <w:r>
              <w:rPr>
                <w:color w:val="auto"/>
                <w:highlight w:val="none"/>
              </w:rPr>
              <w:t>资金来源</w:t>
            </w:r>
          </w:p>
        </w:tc>
        <w:tc>
          <w:tcPr>
            <w:tcW w:w="5513" w:type="dxa"/>
            <w:noWrap w:val="0"/>
            <w:vAlign w:val="center"/>
          </w:tcPr>
          <w:p>
            <w:pPr>
              <w:spacing w:line="0" w:lineRule="atLeas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07" w:type="dxa"/>
            <w:noWrap w:val="0"/>
            <w:vAlign w:val="center"/>
          </w:tcPr>
          <w:p>
            <w:pPr>
              <w:spacing w:line="360" w:lineRule="auto"/>
              <w:jc w:val="center"/>
              <w:rPr>
                <w:color w:val="auto"/>
                <w:highlight w:val="none"/>
              </w:rPr>
            </w:pPr>
            <w:r>
              <w:rPr>
                <w:color w:val="auto"/>
                <w:highlight w:val="none"/>
              </w:rPr>
              <w:t>1.2.3</w:t>
            </w:r>
          </w:p>
        </w:tc>
        <w:tc>
          <w:tcPr>
            <w:tcW w:w="2674" w:type="dxa"/>
            <w:noWrap w:val="0"/>
            <w:vAlign w:val="center"/>
          </w:tcPr>
          <w:p>
            <w:pPr>
              <w:spacing w:line="360" w:lineRule="auto"/>
              <w:rPr>
                <w:color w:val="auto"/>
                <w:highlight w:val="none"/>
              </w:rPr>
            </w:pPr>
            <w:r>
              <w:rPr>
                <w:color w:val="auto"/>
                <w:highlight w:val="none"/>
              </w:rPr>
              <w:t>资金落实情况</w:t>
            </w:r>
          </w:p>
        </w:tc>
        <w:tc>
          <w:tcPr>
            <w:tcW w:w="5513" w:type="dxa"/>
            <w:noWrap w:val="0"/>
            <w:vAlign w:val="center"/>
          </w:tcPr>
          <w:p>
            <w:pPr>
              <w:spacing w:line="0" w:lineRule="atLeast"/>
              <w:rPr>
                <w:rFonts w:hint="eastAsia" w:ascii="宋体" w:hAnsi="宋体" w:cs="宋体"/>
                <w:color w:val="auto"/>
                <w:highlight w:val="none"/>
              </w:rPr>
            </w:pPr>
            <w:r>
              <w:rPr>
                <w:rFonts w:hint="eastAsia" w:ascii="宋体" w:hAnsi="宋体" w:cs="宋体"/>
                <w:color w:val="auto"/>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noWrap w:val="0"/>
            <w:vAlign w:val="center"/>
          </w:tcPr>
          <w:p>
            <w:pPr>
              <w:spacing w:line="360" w:lineRule="auto"/>
              <w:jc w:val="center"/>
              <w:rPr>
                <w:color w:val="auto"/>
                <w:highlight w:val="none"/>
              </w:rPr>
            </w:pPr>
            <w:r>
              <w:rPr>
                <w:color w:val="auto"/>
                <w:highlight w:val="none"/>
              </w:rPr>
              <w:t>1.3.1</w:t>
            </w:r>
          </w:p>
        </w:tc>
        <w:tc>
          <w:tcPr>
            <w:tcW w:w="2674" w:type="dxa"/>
            <w:noWrap w:val="0"/>
            <w:vAlign w:val="center"/>
          </w:tcPr>
          <w:p>
            <w:pPr>
              <w:spacing w:line="360" w:lineRule="auto"/>
              <w:rPr>
                <w:color w:val="auto"/>
                <w:highlight w:val="none"/>
              </w:rPr>
            </w:pPr>
            <w:r>
              <w:rPr>
                <w:color w:val="auto"/>
                <w:highlight w:val="none"/>
              </w:rPr>
              <w:t>招标范围</w:t>
            </w:r>
          </w:p>
        </w:tc>
        <w:tc>
          <w:tcPr>
            <w:tcW w:w="5513" w:type="dxa"/>
            <w:noWrap w:val="0"/>
            <w:vAlign w:val="center"/>
          </w:tcPr>
          <w:p>
            <w:pPr>
              <w:spacing w:line="360" w:lineRule="auto"/>
              <w:rPr>
                <w:color w:val="auto"/>
                <w:highlight w:val="none"/>
              </w:rPr>
            </w:pPr>
            <w:r>
              <w:rPr>
                <w:rFonts w:hint="eastAsia"/>
                <w:color w:val="auto"/>
                <w:highlight w:val="none"/>
              </w:rPr>
              <w:t>施工图纸及工程量清单所包含的范围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noWrap w:val="0"/>
            <w:vAlign w:val="center"/>
          </w:tcPr>
          <w:p>
            <w:pPr>
              <w:spacing w:line="360" w:lineRule="auto"/>
              <w:jc w:val="center"/>
              <w:rPr>
                <w:color w:val="auto"/>
                <w:highlight w:val="none"/>
              </w:rPr>
            </w:pPr>
            <w:r>
              <w:rPr>
                <w:color w:val="auto"/>
                <w:highlight w:val="none"/>
              </w:rPr>
              <w:t>1.3.2</w:t>
            </w:r>
          </w:p>
        </w:tc>
        <w:tc>
          <w:tcPr>
            <w:tcW w:w="2674" w:type="dxa"/>
            <w:noWrap w:val="0"/>
            <w:vAlign w:val="center"/>
          </w:tcPr>
          <w:p>
            <w:pPr>
              <w:spacing w:line="0" w:lineRule="atLeast"/>
              <w:rPr>
                <w:rFonts w:hint="eastAsia" w:ascii="宋体" w:hAnsi="宋体" w:cs="宋体"/>
                <w:color w:val="auto"/>
                <w:highlight w:val="none"/>
              </w:rPr>
            </w:pPr>
            <w:r>
              <w:rPr>
                <w:rFonts w:hint="eastAsia" w:ascii="宋体" w:hAnsi="宋体" w:cs="宋体"/>
                <w:bCs/>
                <w:color w:val="auto"/>
                <w:highlight w:val="none"/>
              </w:rPr>
              <w:t>计划工期</w:t>
            </w:r>
          </w:p>
        </w:tc>
        <w:tc>
          <w:tcPr>
            <w:tcW w:w="5513" w:type="dxa"/>
            <w:noWrap w:val="0"/>
            <w:vAlign w:val="center"/>
          </w:tcPr>
          <w:p>
            <w:pPr>
              <w:spacing w:line="0" w:lineRule="atLeast"/>
              <w:rPr>
                <w:rFonts w:hint="eastAsia" w:ascii="宋体" w:hAnsi="宋体" w:cs="宋体"/>
                <w:color w:val="auto"/>
                <w:highlight w:val="none"/>
              </w:rPr>
            </w:pP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个日历天</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noWrap w:val="0"/>
            <w:vAlign w:val="center"/>
          </w:tcPr>
          <w:p>
            <w:pPr>
              <w:spacing w:line="360" w:lineRule="auto"/>
              <w:jc w:val="center"/>
              <w:rPr>
                <w:color w:val="auto"/>
                <w:highlight w:val="none"/>
              </w:rPr>
            </w:pPr>
            <w:r>
              <w:rPr>
                <w:color w:val="auto"/>
                <w:highlight w:val="none"/>
              </w:rPr>
              <w:t>1.3.3</w:t>
            </w:r>
          </w:p>
        </w:tc>
        <w:tc>
          <w:tcPr>
            <w:tcW w:w="2674" w:type="dxa"/>
            <w:noWrap w:val="0"/>
            <w:vAlign w:val="center"/>
          </w:tcPr>
          <w:p>
            <w:pPr>
              <w:spacing w:line="0" w:lineRule="atLeast"/>
              <w:rPr>
                <w:rFonts w:hint="eastAsia" w:ascii="宋体" w:hAnsi="宋体" w:cs="宋体"/>
                <w:color w:val="auto"/>
                <w:highlight w:val="none"/>
              </w:rPr>
            </w:pPr>
            <w:r>
              <w:rPr>
                <w:rFonts w:hint="eastAsia" w:ascii="宋体" w:hAnsi="宋体" w:cs="宋体"/>
                <w:color w:val="auto"/>
                <w:highlight w:val="none"/>
              </w:rPr>
              <w:t>质量要求</w:t>
            </w:r>
          </w:p>
        </w:tc>
        <w:tc>
          <w:tcPr>
            <w:tcW w:w="5513" w:type="dxa"/>
            <w:noWrap w:val="0"/>
            <w:vAlign w:val="center"/>
          </w:tcPr>
          <w:p>
            <w:pPr>
              <w:spacing w:line="0" w:lineRule="atLeast"/>
              <w:rPr>
                <w:rFonts w:hint="eastAsia" w:ascii="宋体" w:hAnsi="宋体" w:cs="宋体"/>
                <w:color w:val="auto"/>
                <w:highlight w:val="none"/>
              </w:rPr>
            </w:pPr>
            <w:r>
              <w:rPr>
                <w:rFonts w:hint="eastAsia" w:ascii="宋体" w:hAnsi="宋体" w:cs="宋体"/>
                <w:color w:val="auto"/>
                <w:highlight w:val="none"/>
              </w:rPr>
              <w:t>达到国家施工验收规范合格标准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noWrap w:val="0"/>
            <w:vAlign w:val="center"/>
          </w:tcPr>
          <w:p>
            <w:pPr>
              <w:spacing w:line="360" w:lineRule="auto"/>
              <w:jc w:val="center"/>
              <w:rPr>
                <w:color w:val="auto"/>
                <w:highlight w:val="none"/>
              </w:rPr>
            </w:pPr>
            <w:r>
              <w:rPr>
                <w:color w:val="auto"/>
                <w:highlight w:val="none"/>
              </w:rPr>
              <w:t>1.4.1</w:t>
            </w:r>
          </w:p>
        </w:tc>
        <w:tc>
          <w:tcPr>
            <w:tcW w:w="2674" w:type="dxa"/>
            <w:noWrap w:val="0"/>
            <w:vAlign w:val="center"/>
          </w:tcPr>
          <w:p>
            <w:pPr>
              <w:spacing w:line="360" w:lineRule="auto"/>
              <w:rPr>
                <w:color w:val="auto"/>
                <w:highlight w:val="none"/>
              </w:rPr>
            </w:pPr>
            <w:r>
              <w:rPr>
                <w:b/>
                <w:bCs/>
                <w:color w:val="auto"/>
                <w:highlight w:val="none"/>
              </w:rPr>
              <w:t>投标人资质条件、能力、诚信要求</w:t>
            </w:r>
          </w:p>
        </w:tc>
        <w:tc>
          <w:tcPr>
            <w:tcW w:w="5513" w:type="dxa"/>
            <w:noWrap w:val="0"/>
            <w:vAlign w:val="top"/>
          </w:tcPr>
          <w:p>
            <w:pPr>
              <w:spacing w:line="4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highlight w:val="none"/>
              </w:rPr>
              <w:t>国内注册（指按国家有</w:t>
            </w:r>
            <w:r>
              <w:rPr>
                <w:rFonts w:hint="eastAsia" w:ascii="宋体" w:hAnsi="宋体"/>
                <w:color w:val="auto"/>
                <w:highlight w:val="none"/>
                <w:lang w:eastAsia="zh-CN"/>
              </w:rPr>
              <w:t>关</w:t>
            </w:r>
            <w:r>
              <w:rPr>
                <w:rFonts w:hint="eastAsia" w:ascii="宋体" w:hAnsi="宋体"/>
                <w:color w:val="auto"/>
                <w:highlight w:val="none"/>
              </w:rPr>
              <w:t>规定要求注册的），具有独立法人资格，具备建筑工程施工总承包三级（含三级）以上资质，并在人员、设备、资金等方面具备相应的施工能力；拟派驻本工程的项目经理必须具备房屋建筑专业二级（含以上级）注册建造师执业资格,具备有效的安全生产考核合格证书 (B类)</w:t>
            </w:r>
            <w:r>
              <w:rPr>
                <w:rFonts w:hint="eastAsia" w:ascii="宋体" w:hAnsi="宋体" w:cs="宋体"/>
                <w:color w:val="auto"/>
                <w:szCs w:val="21"/>
                <w:highlight w:val="none"/>
              </w:rPr>
              <w:t>；</w:t>
            </w:r>
          </w:p>
          <w:p>
            <w:pPr>
              <w:spacing w:line="42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（2）财务要求：</w:t>
            </w:r>
            <w:r>
              <w:rPr>
                <w:rFonts w:hint="eastAsia" w:ascii="宋体" w:hAnsi="宋体" w:cs="宋体"/>
                <w:color w:val="auto"/>
                <w:szCs w:val="21"/>
                <w:highlight w:val="none"/>
                <w:lang w:eastAsia="zh-CN"/>
              </w:rPr>
              <w:t>近三年（2018年、2019年、2020年）经审计的财务报表【备注：对于从取得营业执照时间起到投标截止时间为止不足要求年数的企业，只需提交企业取得营业执照年份至所要求最近年份经审计的财务报表】</w:t>
            </w:r>
            <w:r>
              <w:rPr>
                <w:rFonts w:hint="eastAsia" w:ascii="宋体" w:hAnsi="宋体" w:cs="宋体"/>
                <w:color w:val="auto"/>
                <w:szCs w:val="21"/>
                <w:highlight w:val="none"/>
              </w:rPr>
              <w:t>；</w:t>
            </w:r>
          </w:p>
          <w:p>
            <w:pPr>
              <w:spacing w:line="420" w:lineRule="exact"/>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）业绩要求：无。</w:t>
            </w:r>
          </w:p>
          <w:p>
            <w:pPr>
              <w:spacing w:line="4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）专职安全员要求：具备有效的安全生产考核合格证书（</w:t>
            </w:r>
            <w:r>
              <w:rPr>
                <w:rFonts w:ascii="宋体" w:hAnsi="宋体" w:cs="宋体"/>
                <w:color w:val="auto"/>
                <w:szCs w:val="21"/>
                <w:highlight w:val="none"/>
              </w:rPr>
              <w:t>C</w:t>
            </w:r>
            <w:r>
              <w:rPr>
                <w:rFonts w:hint="eastAsia" w:ascii="宋体" w:hAnsi="宋体" w:cs="宋体"/>
                <w:color w:val="auto"/>
                <w:szCs w:val="21"/>
                <w:highlight w:val="none"/>
              </w:rPr>
              <w:t>类）；</w:t>
            </w:r>
          </w:p>
          <w:p>
            <w:pPr>
              <w:spacing w:line="42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）对在“信用中国”网站(</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instrText>
            </w:r>
            <w:r>
              <w:rPr>
                <w:rFonts w:hint="eastAsia" w:ascii="宋体" w:hAnsi="宋体" w:cs="宋体"/>
                <w:color w:val="auto"/>
                <w:szCs w:val="21"/>
                <w:highlight w:val="none"/>
              </w:rPr>
              <w:instrText xml:space="preserve">www.creditchina.gov</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Style w:val="21"/>
                <w:rFonts w:hint="eastAsia" w:ascii="宋体" w:hAnsi="宋体" w:cs="宋体"/>
                <w:color w:val="auto"/>
                <w:szCs w:val="21"/>
                <w:highlight w:val="none"/>
              </w:rPr>
              <w:t>www.creditchina.gov</w:t>
            </w:r>
            <w:r>
              <w:rPr>
                <w:rFonts w:ascii="宋体" w:hAnsi="宋体" w:cs="宋体"/>
                <w:color w:val="auto"/>
                <w:szCs w:val="21"/>
                <w:highlight w:val="none"/>
              </w:rPr>
              <w:fldChar w:fldCharType="end"/>
            </w:r>
          </w:p>
          <w:p>
            <w:pPr>
              <w:spacing w:line="420" w:lineRule="exact"/>
              <w:rPr>
                <w:rFonts w:ascii="宋体" w:hAnsi="宋体" w:cs="宋体"/>
                <w:color w:val="auto"/>
                <w:szCs w:val="21"/>
                <w:highlight w:val="none"/>
              </w:rPr>
            </w:pPr>
            <w:r>
              <w:rPr>
                <w:rFonts w:hint="eastAsia" w:ascii="宋体" w:hAnsi="宋体" w:cs="宋体"/>
                <w:color w:val="auto"/>
                <w:szCs w:val="21"/>
                <w:highlight w:val="none"/>
              </w:rPr>
              <w:t>.cn)、中国政府采购网(www.ccgp.gov.cn)等渠道列入失信被执行人、重大税收违法案件当事人名单、采购严重违法失信行为记录名单及其他不符合法律规定条件的供应商，不得参与采购活动；</w:t>
            </w:r>
          </w:p>
          <w:p>
            <w:pPr>
              <w:pStyle w:val="2"/>
              <w:ind w:left="0" w:leftChars="0" w:firstLine="420" w:firstLineChars="200"/>
              <w:rPr>
                <w:rFonts w:hint="eastAsia" w:ascii="宋体" w:hAnsi="宋体"/>
                <w:color w:val="auto"/>
                <w:sz w:val="21"/>
                <w:szCs w:val="21"/>
                <w:highlight w:val="none"/>
              </w:rPr>
            </w:pPr>
            <w:r>
              <w:rPr>
                <w:rFonts w:hint="eastAsia" w:ascii="宋体" w:hAnsi="宋体" w:cs="宋体"/>
                <w:bCs w:val="0"/>
                <w:color w:val="auto"/>
                <w:spacing w:val="0"/>
                <w:kern w:val="2"/>
                <w:sz w:val="21"/>
                <w:szCs w:val="21"/>
                <w:highlight w:val="none"/>
              </w:rPr>
              <w:t>（</w:t>
            </w:r>
            <w:r>
              <w:rPr>
                <w:rFonts w:hint="eastAsia" w:cs="宋体"/>
                <w:bCs w:val="0"/>
                <w:color w:val="auto"/>
                <w:spacing w:val="0"/>
                <w:kern w:val="2"/>
                <w:sz w:val="21"/>
                <w:szCs w:val="21"/>
                <w:highlight w:val="none"/>
                <w:lang w:val="en-US" w:eastAsia="zh-CN"/>
              </w:rPr>
              <w:t>6</w:t>
            </w:r>
            <w:r>
              <w:rPr>
                <w:rFonts w:hint="eastAsia" w:ascii="宋体" w:hAnsi="宋体" w:cs="宋体"/>
                <w:bCs w:val="0"/>
                <w:color w:val="auto"/>
                <w:spacing w:val="0"/>
                <w:kern w:val="2"/>
                <w:sz w:val="21"/>
                <w:szCs w:val="21"/>
                <w:highlight w:val="none"/>
              </w:rPr>
              <w:t>）其他资料。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noWrap w:val="0"/>
            <w:vAlign w:val="center"/>
          </w:tcPr>
          <w:p>
            <w:pPr>
              <w:spacing w:line="0" w:lineRule="atLeast"/>
              <w:jc w:val="center"/>
              <w:rPr>
                <w:rFonts w:hint="eastAsia" w:ascii="宋体" w:hAnsi="宋体" w:cs="宋体"/>
                <w:color w:val="auto"/>
                <w:highlight w:val="none"/>
              </w:rPr>
            </w:pPr>
            <w:r>
              <w:rPr>
                <w:rFonts w:hint="eastAsia" w:ascii="宋体" w:hAnsi="宋体" w:cs="宋体"/>
                <w:color w:val="auto"/>
                <w:highlight w:val="none"/>
              </w:rPr>
              <w:t>1.4.2</w:t>
            </w:r>
          </w:p>
        </w:tc>
        <w:tc>
          <w:tcPr>
            <w:tcW w:w="2674" w:type="dxa"/>
            <w:noWrap w:val="0"/>
            <w:vAlign w:val="center"/>
          </w:tcPr>
          <w:p>
            <w:pPr>
              <w:spacing w:line="0" w:lineRule="atLeast"/>
              <w:jc w:val="center"/>
              <w:rPr>
                <w:rFonts w:hint="eastAsia" w:ascii="宋体" w:hAnsi="宋体" w:cs="宋体"/>
                <w:color w:val="auto"/>
                <w:highlight w:val="none"/>
              </w:rPr>
            </w:pPr>
            <w:r>
              <w:rPr>
                <w:rFonts w:hint="eastAsia" w:ascii="宋体" w:hAnsi="宋体" w:cs="宋体"/>
                <w:color w:val="auto"/>
                <w:highlight w:val="none"/>
              </w:rPr>
              <w:t>是否接受联合体投标</w:t>
            </w:r>
          </w:p>
        </w:tc>
        <w:tc>
          <w:tcPr>
            <w:tcW w:w="5513" w:type="dxa"/>
            <w:noWrap w:val="0"/>
            <w:vAlign w:val="bottom"/>
          </w:tcPr>
          <w:p>
            <w:pPr>
              <w:spacing w:line="360" w:lineRule="auto"/>
              <w:rPr>
                <w:color w:val="auto"/>
                <w:highlight w:val="none"/>
              </w:rPr>
            </w:pPr>
            <w:r>
              <w:rPr>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noWrap w:val="0"/>
            <w:vAlign w:val="center"/>
          </w:tcPr>
          <w:p>
            <w:pPr>
              <w:spacing w:line="0" w:lineRule="atLeast"/>
              <w:jc w:val="center"/>
              <w:rPr>
                <w:rFonts w:hint="eastAsia" w:ascii="宋体" w:hAnsi="宋体" w:cs="宋体"/>
                <w:color w:val="auto"/>
                <w:highlight w:val="none"/>
              </w:rPr>
            </w:pPr>
            <w:r>
              <w:rPr>
                <w:rFonts w:hint="eastAsia" w:ascii="宋体" w:hAnsi="宋体" w:cs="宋体"/>
                <w:color w:val="auto"/>
                <w:highlight w:val="none"/>
              </w:rPr>
              <w:t>1.9.1</w:t>
            </w:r>
          </w:p>
        </w:tc>
        <w:tc>
          <w:tcPr>
            <w:tcW w:w="2674" w:type="dxa"/>
            <w:noWrap w:val="0"/>
            <w:vAlign w:val="center"/>
          </w:tcPr>
          <w:p>
            <w:pPr>
              <w:spacing w:line="0" w:lineRule="atLeast"/>
              <w:jc w:val="center"/>
              <w:rPr>
                <w:rFonts w:hint="eastAsia" w:ascii="宋体" w:hAnsi="宋体" w:cs="宋体"/>
                <w:color w:val="auto"/>
                <w:highlight w:val="none"/>
              </w:rPr>
            </w:pPr>
            <w:r>
              <w:rPr>
                <w:rFonts w:hint="eastAsia" w:ascii="宋体" w:hAnsi="宋体" w:cs="宋体"/>
                <w:color w:val="auto"/>
                <w:highlight w:val="none"/>
              </w:rPr>
              <w:t>踏勘现场</w:t>
            </w:r>
          </w:p>
        </w:tc>
        <w:tc>
          <w:tcPr>
            <w:tcW w:w="5513" w:type="dxa"/>
            <w:noWrap w:val="0"/>
            <w:vAlign w:val="bottom"/>
          </w:tcPr>
          <w:p>
            <w:pPr>
              <w:spacing w:line="360" w:lineRule="auto"/>
              <w:rPr>
                <w:color w:val="auto"/>
                <w:highlight w:val="none"/>
              </w:rPr>
            </w:pPr>
            <w:r>
              <w:rPr>
                <w:color w:val="auto"/>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noWrap w:val="0"/>
            <w:vAlign w:val="center"/>
          </w:tcPr>
          <w:p>
            <w:pPr>
              <w:spacing w:line="0" w:lineRule="atLeast"/>
              <w:jc w:val="center"/>
              <w:rPr>
                <w:rFonts w:ascii="宋体" w:hAnsi="宋体" w:cs="宋体"/>
                <w:color w:val="auto"/>
                <w:highlight w:val="none"/>
              </w:rPr>
            </w:pPr>
            <w:r>
              <w:rPr>
                <w:rFonts w:hint="eastAsia" w:ascii="宋体" w:hAnsi="宋体" w:cs="宋体"/>
                <w:color w:val="auto"/>
                <w:highlight w:val="none"/>
              </w:rPr>
              <w:t>1.10.1</w:t>
            </w:r>
          </w:p>
        </w:tc>
        <w:tc>
          <w:tcPr>
            <w:tcW w:w="2674" w:type="dxa"/>
            <w:noWrap w:val="0"/>
            <w:vAlign w:val="center"/>
          </w:tcPr>
          <w:p>
            <w:pPr>
              <w:spacing w:line="0" w:lineRule="atLeast"/>
              <w:jc w:val="center"/>
              <w:rPr>
                <w:rFonts w:hint="eastAsia" w:ascii="宋体" w:hAnsi="宋体" w:cs="宋体"/>
                <w:color w:val="auto"/>
                <w:highlight w:val="none"/>
              </w:rPr>
            </w:pPr>
            <w:r>
              <w:rPr>
                <w:rFonts w:hint="eastAsia" w:ascii="宋体" w:hAnsi="宋体" w:cs="宋体"/>
                <w:color w:val="auto"/>
                <w:highlight w:val="none"/>
              </w:rPr>
              <w:t>投标预备会</w:t>
            </w:r>
          </w:p>
        </w:tc>
        <w:tc>
          <w:tcPr>
            <w:tcW w:w="5513" w:type="dxa"/>
            <w:noWrap w:val="0"/>
            <w:vAlign w:val="bottom"/>
          </w:tcPr>
          <w:p>
            <w:pPr>
              <w:spacing w:line="360" w:lineRule="auto"/>
              <w:rPr>
                <w:color w:val="auto"/>
                <w:highlight w:val="none"/>
              </w:rPr>
            </w:pPr>
            <w:r>
              <w:rPr>
                <w:color w:val="auto"/>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noWrap w:val="0"/>
            <w:vAlign w:val="center"/>
          </w:tcPr>
          <w:p>
            <w:pPr>
              <w:spacing w:line="0" w:lineRule="atLeas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1.10.2</w:t>
            </w:r>
          </w:p>
        </w:tc>
        <w:tc>
          <w:tcPr>
            <w:tcW w:w="2674" w:type="dxa"/>
            <w:noWrap w:val="0"/>
            <w:vAlign w:val="center"/>
          </w:tcPr>
          <w:p>
            <w:pPr>
              <w:spacing w:line="0" w:lineRule="atLeast"/>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招标</w:t>
            </w:r>
          </w:p>
        </w:tc>
        <w:tc>
          <w:tcPr>
            <w:tcW w:w="5513" w:type="dxa"/>
            <w:noWrap w:val="0"/>
            <w:vAlign w:val="bottom"/>
          </w:tcPr>
          <w:p>
            <w:pPr>
              <w:wordWrap w:val="0"/>
              <w:spacing w:line="360" w:lineRule="auto"/>
              <w:rPr>
                <w:rFonts w:ascii="宋体" w:hAnsi="宋体"/>
                <w:color w:val="auto"/>
                <w:szCs w:val="21"/>
                <w:highlight w:val="none"/>
              </w:rPr>
            </w:pPr>
            <w:r>
              <w:rPr>
                <w:rFonts w:hint="eastAsia" w:ascii="宋体" w:hAnsi="宋体"/>
                <w:color w:val="auto"/>
                <w:highlight w:val="none"/>
              </w:rPr>
              <w:t>本工程的</w:t>
            </w:r>
            <w:r>
              <w:rPr>
                <w:rFonts w:ascii="宋体" w:hAnsi="宋体"/>
                <w:color w:val="auto"/>
                <w:highlight w:val="none"/>
              </w:rPr>
              <w:t>招标控制价</w:t>
            </w:r>
            <w:r>
              <w:rPr>
                <w:rFonts w:hint="eastAsia" w:ascii="宋体" w:hAnsi="宋体"/>
                <w:color w:val="auto"/>
                <w:highlight w:val="none"/>
              </w:rPr>
              <w:t>为：</w:t>
            </w:r>
            <w:r>
              <w:rPr>
                <w:rFonts w:hint="eastAsia" w:ascii="宋体" w:hAnsi="宋体"/>
                <w:color w:val="auto"/>
                <w:highlight w:val="none"/>
                <w:lang w:val="en-US" w:eastAsia="zh-CN"/>
              </w:rPr>
              <w:t>5967003.70</w:t>
            </w:r>
            <w:r>
              <w:rPr>
                <w:rFonts w:hint="eastAsia" w:ascii="宋体" w:hAnsi="宋体"/>
                <w:color w:val="auto"/>
                <w:highlight w:val="none"/>
                <w:lang w:eastAsia="zh-CN"/>
              </w:rPr>
              <w:t>元</w:t>
            </w:r>
            <w:r>
              <w:rPr>
                <w:rFonts w:hint="eastAsia" w:ascii="宋体" w:hAnsi="宋体"/>
                <w:color w:val="auto"/>
                <w:szCs w:val="21"/>
                <w:highlight w:val="none"/>
              </w:rPr>
              <w:t>。</w:t>
            </w:r>
          </w:p>
          <w:p>
            <w:pPr>
              <w:spacing w:line="360" w:lineRule="auto"/>
              <w:rPr>
                <w:color w:val="auto"/>
                <w:highlight w:val="none"/>
              </w:rPr>
            </w:pPr>
            <w:r>
              <w:rPr>
                <w:rFonts w:hint="eastAsia" w:ascii="宋体" w:hAnsi="宋体"/>
                <w:color w:val="auto"/>
                <w:szCs w:val="21"/>
                <w:highlight w:val="none"/>
              </w:rPr>
              <w:t>本工程的有效报价范围：投标报价≤招标控制价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noWrap w:val="0"/>
            <w:vAlign w:val="center"/>
          </w:tcPr>
          <w:p>
            <w:pPr>
              <w:spacing w:line="0" w:lineRule="atLeast"/>
              <w:jc w:val="center"/>
              <w:rPr>
                <w:rFonts w:hint="eastAsia" w:ascii="宋体" w:hAnsi="宋体" w:cs="宋体"/>
                <w:color w:val="auto"/>
                <w:highlight w:val="none"/>
              </w:rPr>
            </w:pPr>
            <w:r>
              <w:rPr>
                <w:rFonts w:hint="eastAsia" w:ascii="宋体" w:hAnsi="宋体" w:cs="宋体"/>
                <w:color w:val="auto"/>
                <w:highlight w:val="none"/>
              </w:rPr>
              <w:t>1.11</w:t>
            </w:r>
          </w:p>
        </w:tc>
        <w:tc>
          <w:tcPr>
            <w:tcW w:w="2674" w:type="dxa"/>
            <w:noWrap w:val="0"/>
            <w:vAlign w:val="center"/>
          </w:tcPr>
          <w:p>
            <w:pPr>
              <w:spacing w:line="0" w:lineRule="atLeast"/>
              <w:jc w:val="center"/>
              <w:rPr>
                <w:rFonts w:hint="eastAsia" w:ascii="宋体" w:hAnsi="宋体" w:cs="宋体"/>
                <w:color w:val="auto"/>
                <w:highlight w:val="none"/>
              </w:rPr>
            </w:pPr>
            <w:r>
              <w:rPr>
                <w:rFonts w:hint="eastAsia" w:ascii="宋体" w:hAnsi="宋体" w:cs="宋体"/>
                <w:color w:val="auto"/>
                <w:highlight w:val="none"/>
              </w:rPr>
              <w:t>分  包</w:t>
            </w:r>
          </w:p>
        </w:tc>
        <w:tc>
          <w:tcPr>
            <w:tcW w:w="5513" w:type="dxa"/>
            <w:noWrap w:val="0"/>
            <w:vAlign w:val="center"/>
          </w:tcPr>
          <w:p>
            <w:pPr>
              <w:spacing w:line="360" w:lineRule="auto"/>
              <w:rPr>
                <w:color w:val="auto"/>
                <w:highlight w:val="none"/>
              </w:rPr>
            </w:pPr>
            <w:r>
              <w:rPr>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07" w:type="dxa"/>
            <w:noWrap w:val="0"/>
            <w:vAlign w:val="center"/>
          </w:tcPr>
          <w:p>
            <w:pPr>
              <w:spacing w:line="0" w:lineRule="atLeast"/>
              <w:jc w:val="center"/>
              <w:rPr>
                <w:rFonts w:hint="eastAsia" w:ascii="宋体" w:hAnsi="宋体" w:cs="宋体"/>
                <w:color w:val="auto"/>
                <w:highlight w:val="none"/>
              </w:rPr>
            </w:pPr>
            <w:r>
              <w:rPr>
                <w:rFonts w:hint="eastAsia" w:ascii="宋体" w:hAnsi="宋体" w:cs="宋体"/>
                <w:color w:val="auto"/>
                <w:highlight w:val="none"/>
              </w:rPr>
              <w:t>1.12</w:t>
            </w:r>
          </w:p>
        </w:tc>
        <w:tc>
          <w:tcPr>
            <w:tcW w:w="2674" w:type="dxa"/>
            <w:noWrap w:val="0"/>
            <w:vAlign w:val="center"/>
          </w:tcPr>
          <w:p>
            <w:pPr>
              <w:spacing w:line="0" w:lineRule="atLeast"/>
              <w:jc w:val="center"/>
              <w:rPr>
                <w:rFonts w:hint="eastAsia" w:ascii="宋体" w:hAnsi="宋体" w:cs="宋体"/>
                <w:color w:val="auto"/>
                <w:highlight w:val="none"/>
              </w:rPr>
            </w:pPr>
            <w:r>
              <w:rPr>
                <w:rFonts w:hint="eastAsia" w:ascii="宋体" w:hAnsi="宋体" w:cs="宋体"/>
                <w:color w:val="auto"/>
                <w:highlight w:val="none"/>
              </w:rPr>
              <w:t>偏  离</w:t>
            </w:r>
          </w:p>
        </w:tc>
        <w:tc>
          <w:tcPr>
            <w:tcW w:w="5513" w:type="dxa"/>
            <w:noWrap w:val="0"/>
            <w:vAlign w:val="center"/>
          </w:tcPr>
          <w:p>
            <w:pPr>
              <w:spacing w:line="0" w:lineRule="atLeast"/>
              <w:jc w:val="left"/>
              <w:rPr>
                <w:rFonts w:hint="eastAsia" w:ascii="宋体" w:hAnsi="宋体" w:cs="宋体"/>
                <w:color w:val="auto"/>
                <w:highlight w:val="none"/>
              </w:rPr>
            </w:pPr>
            <w:r>
              <w:rPr>
                <w:rFonts w:hint="eastAsia" w:ascii="宋体" w:hAnsi="宋体" w:cs="宋体"/>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07" w:type="dxa"/>
            <w:noWrap w:val="0"/>
            <w:vAlign w:val="center"/>
          </w:tcPr>
          <w:p>
            <w:pPr>
              <w:spacing w:line="0" w:lineRule="atLeast"/>
              <w:jc w:val="center"/>
              <w:rPr>
                <w:rFonts w:hint="eastAsia" w:ascii="宋体" w:hAnsi="宋体" w:cs="宋体"/>
                <w:color w:val="auto"/>
                <w:highlight w:val="none"/>
              </w:rPr>
            </w:pPr>
            <w:r>
              <w:rPr>
                <w:rFonts w:hint="eastAsia" w:ascii="宋体" w:hAnsi="宋体" w:cs="宋体"/>
                <w:color w:val="auto"/>
                <w:highlight w:val="none"/>
              </w:rPr>
              <w:t>2.1</w:t>
            </w:r>
          </w:p>
        </w:tc>
        <w:tc>
          <w:tcPr>
            <w:tcW w:w="2674" w:type="dxa"/>
            <w:noWrap w:val="0"/>
            <w:vAlign w:val="center"/>
          </w:tcPr>
          <w:p>
            <w:pPr>
              <w:spacing w:line="0" w:lineRule="atLeast"/>
              <w:jc w:val="center"/>
              <w:rPr>
                <w:rFonts w:hint="eastAsia" w:ascii="宋体" w:hAnsi="宋体" w:cs="宋体"/>
                <w:color w:val="auto"/>
                <w:highlight w:val="none"/>
              </w:rPr>
            </w:pPr>
            <w:r>
              <w:rPr>
                <w:rFonts w:hint="eastAsia" w:ascii="宋体" w:hAnsi="宋体" w:cs="宋体"/>
                <w:color w:val="auto"/>
                <w:highlight w:val="none"/>
              </w:rPr>
              <w:t>构成招标文件的其他材料</w:t>
            </w:r>
          </w:p>
        </w:tc>
        <w:tc>
          <w:tcPr>
            <w:tcW w:w="5513" w:type="dxa"/>
            <w:noWrap w:val="0"/>
            <w:vAlign w:val="center"/>
          </w:tcPr>
          <w:p>
            <w:pPr>
              <w:spacing w:line="0" w:lineRule="atLeast"/>
              <w:jc w:val="left"/>
              <w:rPr>
                <w:rFonts w:hint="eastAsia" w:ascii="宋体" w:hAnsi="宋体" w:cs="宋体"/>
                <w:color w:val="auto"/>
                <w:highlight w:val="none"/>
              </w:rPr>
            </w:pPr>
            <w:r>
              <w:rPr>
                <w:rFonts w:hint="eastAsia" w:ascii="宋体" w:hAnsi="宋体" w:cs="宋体"/>
                <w:color w:val="auto"/>
                <w:highlight w:val="none"/>
              </w:rP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pPr>
              <w:spacing w:line="0" w:lineRule="atLeast"/>
              <w:jc w:val="center"/>
              <w:rPr>
                <w:rFonts w:hint="eastAsia" w:ascii="宋体" w:hAnsi="宋体" w:cs="宋体"/>
                <w:color w:val="auto"/>
                <w:highlight w:val="none"/>
              </w:rPr>
            </w:pPr>
            <w:r>
              <w:rPr>
                <w:rFonts w:hint="eastAsia" w:ascii="宋体" w:hAnsi="宋体" w:cs="宋体"/>
                <w:color w:val="auto"/>
                <w:highlight w:val="none"/>
              </w:rPr>
              <w:t>2.2.1</w:t>
            </w:r>
          </w:p>
        </w:tc>
        <w:tc>
          <w:tcPr>
            <w:tcW w:w="2674" w:type="dxa"/>
            <w:noWrap w:val="0"/>
            <w:vAlign w:val="center"/>
          </w:tcPr>
          <w:p>
            <w:pPr>
              <w:spacing w:line="0" w:lineRule="atLeast"/>
              <w:jc w:val="center"/>
              <w:rPr>
                <w:rFonts w:hint="eastAsia" w:ascii="宋体" w:hAnsi="宋体" w:cs="宋体"/>
                <w:color w:val="auto"/>
                <w:highlight w:val="none"/>
              </w:rPr>
            </w:pPr>
            <w:r>
              <w:rPr>
                <w:rFonts w:hint="eastAsia" w:ascii="宋体" w:hAnsi="宋体" w:cs="宋体"/>
                <w:color w:val="auto"/>
                <w:highlight w:val="none"/>
              </w:rPr>
              <w:t>投标人要求澄清招标文件的截止时间</w:t>
            </w:r>
          </w:p>
        </w:tc>
        <w:tc>
          <w:tcPr>
            <w:tcW w:w="5513" w:type="dxa"/>
            <w:noWrap w:val="0"/>
            <w:vAlign w:val="center"/>
          </w:tcPr>
          <w:p>
            <w:pPr>
              <w:spacing w:line="0" w:lineRule="atLeast"/>
              <w:jc w:val="left"/>
              <w:rPr>
                <w:rFonts w:hint="eastAsia" w:ascii="宋体" w:hAnsi="宋体" w:cs="宋体"/>
                <w:color w:val="auto"/>
                <w:highlight w:val="none"/>
              </w:rPr>
            </w:pPr>
            <w:r>
              <w:rPr>
                <w:rFonts w:hint="eastAsia" w:ascii="宋体" w:hAnsi="宋体" w:cs="宋体"/>
                <w:color w:val="auto"/>
                <w:highlight w:val="none"/>
              </w:rPr>
              <w:t>投标截止时间前10日。投标人不在规定期限内提出，招标人有权不予答复，或答复后投标截止时间由招标人确定是否顺延。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pPr>
              <w:spacing w:line="0" w:lineRule="atLeast"/>
              <w:jc w:val="center"/>
              <w:rPr>
                <w:rFonts w:hint="eastAsia" w:ascii="宋体" w:hAnsi="宋体" w:cs="宋体"/>
                <w:color w:val="auto"/>
                <w:highlight w:val="none"/>
              </w:rPr>
            </w:pPr>
            <w:r>
              <w:rPr>
                <w:rFonts w:hint="eastAsia" w:ascii="宋体" w:hAnsi="宋体" w:cs="宋体"/>
                <w:color w:val="auto"/>
                <w:highlight w:val="none"/>
              </w:rPr>
              <w:t>2.2.2</w:t>
            </w:r>
          </w:p>
        </w:tc>
        <w:tc>
          <w:tcPr>
            <w:tcW w:w="2674" w:type="dxa"/>
            <w:noWrap w:val="0"/>
            <w:vAlign w:val="center"/>
          </w:tcPr>
          <w:p>
            <w:pPr>
              <w:spacing w:line="0" w:lineRule="atLeast"/>
              <w:jc w:val="center"/>
              <w:rPr>
                <w:rFonts w:hint="eastAsia" w:ascii="宋体" w:hAnsi="宋体" w:cs="宋体"/>
                <w:color w:val="auto"/>
                <w:highlight w:val="none"/>
              </w:rPr>
            </w:pPr>
            <w:r>
              <w:rPr>
                <w:rFonts w:hint="eastAsia" w:ascii="宋体" w:hAnsi="宋体" w:cs="宋体"/>
                <w:color w:val="auto"/>
                <w:highlight w:val="none"/>
              </w:rPr>
              <w:t>投标截止时间</w:t>
            </w:r>
          </w:p>
        </w:tc>
        <w:tc>
          <w:tcPr>
            <w:tcW w:w="5513" w:type="dxa"/>
            <w:noWrap w:val="0"/>
            <w:vAlign w:val="center"/>
          </w:tcPr>
          <w:p>
            <w:pPr>
              <w:spacing w:line="0" w:lineRule="atLeast"/>
              <w:jc w:val="both"/>
              <w:rPr>
                <w:rFonts w:hint="eastAsia" w:ascii="宋体" w:hAnsi="宋体" w:cs="宋体"/>
                <w:color w:val="auto"/>
                <w:highlight w:val="none"/>
              </w:rPr>
            </w:pPr>
            <w:r>
              <w:rPr>
                <w:rFonts w:hint="eastAsia" w:ascii="宋体" w:hAnsi="宋体" w:cs="宋体"/>
                <w:color w:val="auto"/>
                <w:highlight w:val="none"/>
              </w:rPr>
              <w:t>2021年</w:t>
            </w:r>
            <w:r>
              <w:rPr>
                <w:rFonts w:hint="eastAsia" w:ascii="宋体" w:hAnsi="宋体" w:cs="宋体"/>
                <w:color w:val="auto"/>
                <w:highlight w:val="none"/>
                <w:lang w:val="en-US" w:eastAsia="zh-CN"/>
              </w:rPr>
              <w:t>10</w:t>
            </w:r>
            <w:r>
              <w:rPr>
                <w:rFonts w:hint="eastAsia" w:ascii="宋体" w:hAnsi="宋体" w:cs="宋体"/>
                <w:color w:val="auto"/>
                <w:highlight w:val="none"/>
              </w:rPr>
              <w:t>月</w:t>
            </w:r>
            <w:r>
              <w:rPr>
                <w:rFonts w:hint="eastAsia" w:ascii="宋体" w:hAnsi="宋体" w:cs="宋体"/>
                <w:color w:val="auto"/>
                <w:highlight w:val="none"/>
                <w:lang w:val="en-US" w:eastAsia="zh-CN"/>
              </w:rPr>
              <w:t>08</w:t>
            </w:r>
            <w:r>
              <w:rPr>
                <w:rFonts w:hint="eastAsia" w:ascii="宋体" w:hAnsi="宋体" w:cs="宋体"/>
                <w:color w:val="auto"/>
                <w:highlight w:val="none"/>
              </w:rPr>
              <w:t>日</w:t>
            </w:r>
            <w:r>
              <w:rPr>
                <w:rFonts w:hint="eastAsia" w:ascii="宋体" w:hAnsi="宋体" w:cs="宋体"/>
                <w:color w:val="auto"/>
                <w:highlight w:val="none"/>
                <w:lang w:val="en-US" w:eastAsia="zh-CN"/>
              </w:rPr>
              <w:t>09</w:t>
            </w:r>
            <w:r>
              <w:rPr>
                <w:rFonts w:hint="eastAsia" w:ascii="宋体" w:hAnsi="宋体" w:cs="宋体"/>
                <w:color w:val="auto"/>
                <w:highlight w:val="none"/>
              </w:rPr>
              <w:t>时</w:t>
            </w:r>
            <w:r>
              <w:rPr>
                <w:rFonts w:hint="eastAsia" w:ascii="宋体" w:hAnsi="宋体" w:cs="宋体"/>
                <w:color w:val="auto"/>
                <w:highlight w:val="none"/>
                <w:lang w:val="en-US" w:eastAsia="zh-CN"/>
              </w:rPr>
              <w:t>00</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pPr>
              <w:spacing w:line="0" w:lineRule="atLeast"/>
              <w:jc w:val="center"/>
              <w:rPr>
                <w:rFonts w:hint="eastAsia" w:ascii="宋体" w:hAnsi="宋体" w:cs="宋体"/>
                <w:color w:val="auto"/>
                <w:highlight w:val="none"/>
              </w:rPr>
            </w:pPr>
            <w:r>
              <w:rPr>
                <w:rFonts w:hint="eastAsia" w:ascii="宋体" w:hAnsi="宋体" w:cs="宋体"/>
                <w:color w:val="auto"/>
                <w:highlight w:val="none"/>
              </w:rPr>
              <w:t>2.2.3</w:t>
            </w:r>
          </w:p>
        </w:tc>
        <w:tc>
          <w:tcPr>
            <w:tcW w:w="2674" w:type="dxa"/>
            <w:noWrap w:val="0"/>
            <w:vAlign w:val="center"/>
          </w:tcPr>
          <w:p>
            <w:pPr>
              <w:pStyle w:val="22"/>
              <w:spacing w:line="0" w:lineRule="atLeast"/>
              <w:jc w:val="center"/>
              <w:rPr>
                <w:rFonts w:hint="eastAsia" w:ascii="宋体" w:hAnsi="宋体" w:cs="宋体"/>
                <w:color w:val="auto"/>
                <w:kern w:val="2"/>
                <w:sz w:val="21"/>
                <w:highlight w:val="none"/>
              </w:rPr>
            </w:pPr>
            <w:r>
              <w:rPr>
                <w:rFonts w:hint="eastAsia" w:ascii="宋体" w:hAnsi="宋体" w:cs="宋体"/>
                <w:color w:val="auto"/>
                <w:kern w:val="2"/>
                <w:sz w:val="21"/>
                <w:highlight w:val="none"/>
              </w:rPr>
              <w:t>投标人确认收到招标文件澄清的时间</w:t>
            </w:r>
          </w:p>
        </w:tc>
        <w:tc>
          <w:tcPr>
            <w:tcW w:w="5513" w:type="dxa"/>
            <w:noWrap w:val="0"/>
            <w:vAlign w:val="center"/>
          </w:tcPr>
          <w:p>
            <w:pPr>
              <w:pStyle w:val="22"/>
              <w:spacing w:line="0" w:lineRule="atLeast"/>
              <w:jc w:val="both"/>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不需要确认。招标文件的澄清在本款第2.2.2项规定的时间15天前，在招标公告发布的同一媒介公布。投标人应在投标截止时间前随时查看以上相关网站中有关本招标文件的澄清内容。否则，由此引起的投标损失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pPr>
              <w:pStyle w:val="22"/>
              <w:spacing w:line="0" w:lineRule="atLeast"/>
              <w:jc w:val="center"/>
              <w:rPr>
                <w:rFonts w:hint="eastAsia" w:ascii="宋体" w:hAnsi="宋体" w:eastAsia="宋体" w:cs="宋体"/>
                <w:color w:val="auto"/>
                <w:kern w:val="2"/>
                <w:sz w:val="21"/>
                <w:highlight w:val="none"/>
                <w:lang w:eastAsia="zh-CN"/>
              </w:rPr>
            </w:pPr>
            <w:r>
              <w:rPr>
                <w:rFonts w:hint="eastAsia" w:ascii="宋体" w:hAnsi="宋体" w:cs="宋体"/>
                <w:color w:val="auto"/>
                <w:kern w:val="2"/>
                <w:sz w:val="21"/>
                <w:highlight w:val="none"/>
              </w:rPr>
              <w:t>2.3.</w:t>
            </w:r>
            <w:r>
              <w:rPr>
                <w:rFonts w:hint="eastAsia" w:ascii="宋体" w:hAnsi="宋体" w:cs="宋体"/>
                <w:color w:val="auto"/>
                <w:kern w:val="2"/>
                <w:sz w:val="21"/>
                <w:highlight w:val="none"/>
                <w:lang w:val="en-US" w:eastAsia="zh-CN"/>
              </w:rPr>
              <w:t>1</w:t>
            </w:r>
          </w:p>
        </w:tc>
        <w:tc>
          <w:tcPr>
            <w:tcW w:w="2674" w:type="dxa"/>
            <w:noWrap w:val="0"/>
            <w:vAlign w:val="center"/>
          </w:tcPr>
          <w:p>
            <w:pPr>
              <w:pStyle w:val="22"/>
              <w:spacing w:line="0" w:lineRule="atLeast"/>
              <w:jc w:val="center"/>
              <w:rPr>
                <w:rFonts w:hint="eastAsia" w:ascii="宋体" w:hAnsi="宋体" w:cs="宋体"/>
                <w:color w:val="auto"/>
                <w:kern w:val="2"/>
                <w:sz w:val="21"/>
                <w:highlight w:val="none"/>
              </w:rPr>
            </w:pPr>
            <w:r>
              <w:rPr>
                <w:rFonts w:hint="eastAsia" w:ascii="宋体" w:hAnsi="宋体" w:cs="宋体"/>
                <w:color w:val="auto"/>
                <w:kern w:val="2"/>
                <w:sz w:val="21"/>
                <w:highlight w:val="none"/>
              </w:rPr>
              <w:t>投标人确认收到招标文件修改的时间</w:t>
            </w:r>
          </w:p>
        </w:tc>
        <w:tc>
          <w:tcPr>
            <w:tcW w:w="5513" w:type="dxa"/>
            <w:noWrap w:val="0"/>
            <w:vAlign w:val="center"/>
          </w:tcPr>
          <w:p>
            <w:pPr>
              <w:pStyle w:val="22"/>
              <w:spacing w:line="0" w:lineRule="atLeast"/>
              <w:jc w:val="both"/>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不需要确认。在投标截止时间 15 天前，招标人可以书面形式修改招标文件，招标文件的修改是招标文件的组成部分，招标文件的修改将在招标公告发布的同一媒介公布并对投标人具有约束力。投标人应在投标截止时间前随时查看以上相关网站中有关本招标文件的修改内容。否则，由此引起的投标损失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pPr>
              <w:pStyle w:val="22"/>
              <w:spacing w:line="0" w:lineRule="atLeast"/>
              <w:jc w:val="center"/>
              <w:rPr>
                <w:rFonts w:hint="eastAsia" w:ascii="宋体" w:hAnsi="宋体" w:cs="宋体"/>
                <w:color w:val="auto"/>
                <w:kern w:val="2"/>
                <w:sz w:val="21"/>
                <w:highlight w:val="none"/>
              </w:rPr>
            </w:pPr>
            <w:r>
              <w:rPr>
                <w:rFonts w:hint="eastAsia" w:ascii="宋体" w:hAnsi="宋体" w:cs="宋体"/>
                <w:color w:val="auto"/>
                <w:kern w:val="2"/>
                <w:sz w:val="21"/>
                <w:highlight w:val="none"/>
              </w:rPr>
              <w:t>3.1.1</w:t>
            </w:r>
          </w:p>
        </w:tc>
        <w:tc>
          <w:tcPr>
            <w:tcW w:w="2674" w:type="dxa"/>
            <w:noWrap w:val="0"/>
            <w:vAlign w:val="center"/>
          </w:tcPr>
          <w:p>
            <w:pPr>
              <w:pStyle w:val="22"/>
              <w:spacing w:line="0" w:lineRule="atLeast"/>
              <w:jc w:val="center"/>
              <w:rPr>
                <w:rFonts w:hint="eastAsia" w:ascii="宋体" w:hAnsi="宋体" w:cs="宋体"/>
                <w:color w:val="auto"/>
                <w:kern w:val="2"/>
                <w:sz w:val="21"/>
                <w:highlight w:val="none"/>
              </w:rPr>
            </w:pPr>
            <w:r>
              <w:rPr>
                <w:rFonts w:hint="eastAsia" w:ascii="宋体" w:hAnsi="宋体" w:cs="宋体"/>
                <w:color w:val="auto"/>
                <w:kern w:val="2"/>
                <w:sz w:val="21"/>
                <w:highlight w:val="none"/>
              </w:rPr>
              <w:t>构成投标文件的其他</w:t>
            </w:r>
            <w:r>
              <w:rPr>
                <w:rFonts w:hint="eastAsia" w:ascii="宋体" w:hAnsi="宋体" w:cs="宋体"/>
                <w:color w:val="auto"/>
                <w:kern w:val="2"/>
                <w:sz w:val="21"/>
                <w:highlight w:val="none"/>
                <w:lang w:eastAsia="zh-CN"/>
              </w:rPr>
              <w:t>资料</w:t>
            </w:r>
          </w:p>
        </w:tc>
        <w:tc>
          <w:tcPr>
            <w:tcW w:w="5513" w:type="dxa"/>
            <w:noWrap w:val="0"/>
            <w:vAlign w:val="center"/>
          </w:tcPr>
          <w:p>
            <w:pPr>
              <w:pStyle w:val="22"/>
              <w:spacing w:line="0" w:lineRule="atLeast"/>
              <w:jc w:val="both"/>
              <w:rPr>
                <w:rFonts w:hint="eastAsia" w:ascii="宋体" w:hAnsi="宋体" w:cs="宋体"/>
                <w:color w:val="auto"/>
                <w:sz w:val="21"/>
                <w:szCs w:val="21"/>
                <w:highlight w:val="none"/>
                <w:lang w:bidi="ar"/>
              </w:rPr>
            </w:pPr>
            <w:r>
              <w:rPr>
                <w:rFonts w:hint="eastAsia" w:ascii="宋体" w:hAnsi="宋体" w:cs="宋体"/>
                <w:color w:val="auto"/>
                <w:kern w:val="2"/>
                <w:sz w:val="21"/>
                <w:highlight w:val="none"/>
              </w:rPr>
              <w:t>农民工工资保障金交纳与使用承诺书及投标人认为应该附上的其他</w:t>
            </w:r>
            <w:r>
              <w:rPr>
                <w:rFonts w:hint="eastAsia" w:ascii="宋体" w:hAnsi="宋体" w:cs="宋体"/>
                <w:color w:val="auto"/>
                <w:kern w:val="2"/>
                <w:sz w:val="21"/>
                <w:highlight w:val="none"/>
                <w:lang w:eastAsia="zh-CN"/>
              </w:rPr>
              <w:t>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207" w:type="dxa"/>
            <w:noWrap w:val="0"/>
            <w:vAlign w:val="center"/>
          </w:tcPr>
          <w:p>
            <w:pPr>
              <w:spacing w:line="360" w:lineRule="auto"/>
              <w:jc w:val="center"/>
              <w:rPr>
                <w:rFonts w:hint="eastAsia" w:eastAsia="宋体"/>
                <w:color w:val="auto"/>
                <w:highlight w:val="none"/>
                <w:lang w:val="en-US" w:eastAsia="zh-CN"/>
              </w:rPr>
            </w:pPr>
            <w:r>
              <w:rPr>
                <w:color w:val="auto"/>
                <w:highlight w:val="none"/>
              </w:rPr>
              <w:t>3.1.</w:t>
            </w:r>
            <w:r>
              <w:rPr>
                <w:rFonts w:hint="eastAsia"/>
                <w:color w:val="auto"/>
                <w:highlight w:val="none"/>
                <w:lang w:val="en-US" w:eastAsia="zh-CN"/>
              </w:rPr>
              <w:t>3</w:t>
            </w:r>
          </w:p>
        </w:tc>
        <w:tc>
          <w:tcPr>
            <w:tcW w:w="2674" w:type="dxa"/>
            <w:noWrap w:val="0"/>
            <w:vAlign w:val="center"/>
          </w:tcPr>
          <w:p>
            <w:pPr>
              <w:pStyle w:val="22"/>
              <w:spacing w:line="0" w:lineRule="atLeast"/>
              <w:jc w:val="center"/>
              <w:rPr>
                <w:rFonts w:hint="eastAsia" w:hAnsi="宋体" w:eastAsia="宋体"/>
                <w:color w:val="auto"/>
                <w:sz w:val="21"/>
                <w:szCs w:val="21"/>
                <w:highlight w:val="none"/>
                <w:lang w:eastAsia="zh-CN"/>
              </w:rPr>
            </w:pPr>
            <w:r>
              <w:rPr>
                <w:rFonts w:hint="eastAsia" w:ascii="宋体" w:hAnsi="宋体" w:cs="宋体"/>
                <w:color w:val="auto"/>
                <w:kern w:val="2"/>
                <w:sz w:val="21"/>
                <w:highlight w:val="none"/>
              </w:rPr>
              <w:t>构成投标文件</w:t>
            </w:r>
            <w:r>
              <w:rPr>
                <w:rFonts w:hint="eastAsia" w:ascii="宋体" w:hAnsi="宋体" w:cs="宋体"/>
                <w:color w:val="auto"/>
                <w:kern w:val="2"/>
                <w:sz w:val="21"/>
                <w:highlight w:val="none"/>
                <w:lang w:eastAsia="zh-CN"/>
              </w:rPr>
              <w:t>的材料</w:t>
            </w:r>
          </w:p>
        </w:tc>
        <w:tc>
          <w:tcPr>
            <w:tcW w:w="5513" w:type="dxa"/>
            <w:noWrap w:val="0"/>
            <w:vAlign w:val="top"/>
          </w:tcPr>
          <w:p>
            <w:pPr>
              <w:wordWrap w:val="0"/>
              <w:spacing w:line="360" w:lineRule="auto"/>
              <w:rPr>
                <w:rFonts w:ascii="宋体" w:hAnsi="宋体"/>
                <w:color w:val="auto"/>
                <w:sz w:val="24"/>
                <w:highlight w:val="none"/>
              </w:rPr>
            </w:pPr>
            <w:r>
              <w:rPr>
                <w:rFonts w:ascii="宋体" w:hAnsi="宋体"/>
                <w:color w:val="auto"/>
                <w:highlight w:val="none"/>
              </w:rPr>
              <w:t>投标文件的组成部分：资格审查部分、商务</w:t>
            </w:r>
            <w:r>
              <w:rPr>
                <w:rFonts w:hint="eastAsia" w:ascii="宋体" w:hAnsi="宋体"/>
                <w:color w:val="auto"/>
                <w:highlight w:val="none"/>
              </w:rPr>
              <w:t>标</w:t>
            </w:r>
            <w:r>
              <w:rPr>
                <w:rFonts w:ascii="宋体" w:hAnsi="宋体"/>
                <w:color w:val="auto"/>
                <w:highlight w:val="none"/>
              </w:rPr>
              <w:t>部分、技术</w:t>
            </w:r>
            <w:r>
              <w:rPr>
                <w:rFonts w:hint="eastAsia" w:ascii="宋体" w:hAnsi="宋体"/>
                <w:color w:val="auto"/>
                <w:highlight w:val="none"/>
              </w:rPr>
              <w:t>标</w:t>
            </w:r>
            <w:r>
              <w:rPr>
                <w:rFonts w:ascii="宋体" w:hAnsi="宋体"/>
                <w:color w:val="auto"/>
                <w:highlight w:val="none"/>
              </w:rPr>
              <w:t>部分</w:t>
            </w:r>
            <w:r>
              <w:rPr>
                <w:rFonts w:hint="eastAsia" w:ascii="宋体" w:hAnsi="宋体"/>
                <w:color w:val="auto"/>
                <w:highlight w:val="none"/>
              </w:rPr>
              <w:t>、企业资信部分（如有）。</w:t>
            </w:r>
          </w:p>
          <w:p>
            <w:pPr>
              <w:wordWrap w:val="0"/>
              <w:spacing w:line="360" w:lineRule="auto"/>
              <w:rPr>
                <w:rFonts w:ascii="宋体" w:hAnsi="宋体"/>
                <w:color w:val="auto"/>
                <w:highlight w:val="none"/>
              </w:rPr>
            </w:pPr>
            <w:r>
              <w:rPr>
                <w:rFonts w:ascii="宋体" w:hAnsi="宋体"/>
                <w:b/>
                <w:bCs/>
                <w:color w:val="auto"/>
                <w:highlight w:val="none"/>
              </w:rPr>
              <w:t>资格审查部分</w:t>
            </w:r>
            <w:r>
              <w:rPr>
                <w:rFonts w:ascii="宋体" w:hAnsi="宋体"/>
                <w:color w:val="auto"/>
                <w:szCs w:val="21"/>
                <w:highlight w:val="none"/>
              </w:rPr>
              <w:t>【备注：</w:t>
            </w:r>
            <w:r>
              <w:rPr>
                <w:rFonts w:ascii="宋体" w:hAnsi="宋体"/>
                <w:color w:val="auto"/>
                <w:highlight w:val="none"/>
              </w:rPr>
              <w:t>以下复印件须加盖投标人单位公章</w:t>
            </w:r>
            <w:r>
              <w:rPr>
                <w:rFonts w:ascii="宋体" w:hAnsi="宋体"/>
                <w:color w:val="auto"/>
                <w:szCs w:val="21"/>
                <w:highlight w:val="none"/>
              </w:rPr>
              <w:t>】</w:t>
            </w:r>
            <w:r>
              <w:rPr>
                <w:rFonts w:ascii="宋体" w:hAnsi="宋体"/>
                <w:color w:val="auto"/>
                <w:highlight w:val="none"/>
              </w:rPr>
              <w:t>：</w:t>
            </w:r>
          </w:p>
          <w:p>
            <w:pPr>
              <w:wordWrap w:val="0"/>
              <w:spacing w:line="360" w:lineRule="auto"/>
              <w:rPr>
                <w:rFonts w:ascii="宋体" w:hAnsi="宋体"/>
                <w:color w:val="auto"/>
                <w:highlight w:val="none"/>
              </w:rPr>
            </w:pPr>
            <w:r>
              <w:rPr>
                <w:rFonts w:hint="eastAsia" w:ascii="宋体" w:hAnsi="宋体"/>
                <w:color w:val="auto"/>
                <w:highlight w:val="none"/>
              </w:rPr>
              <w:t>（1）法定代表人身份证明原件及身份证复印件（法定代表人签署投标文件时提供）或者投标文件签署授权委托书（原件），附：法定代表人身份证明及身份证、委托代理的身份证复印件（委托代理人签署投标文件时提供）；</w:t>
            </w:r>
          </w:p>
          <w:p>
            <w:pPr>
              <w:wordWrap w:val="0"/>
              <w:spacing w:line="360" w:lineRule="auto"/>
              <w:rPr>
                <w:rFonts w:ascii="宋体" w:hAnsi="宋体"/>
                <w:color w:val="auto"/>
                <w:highlight w:val="none"/>
              </w:rPr>
            </w:pPr>
            <w:r>
              <w:rPr>
                <w:rFonts w:hint="eastAsia" w:ascii="宋体" w:hAnsi="宋体"/>
                <w:color w:val="auto"/>
                <w:highlight w:val="none"/>
              </w:rPr>
              <w:t>（2）投标人基本情况表（附企业营业执照副本、企业资质证书副本、安全生产许可证副本等材料的复印件）</w:t>
            </w:r>
          </w:p>
          <w:p>
            <w:pPr>
              <w:wordWrap w:val="0"/>
              <w:spacing w:line="360" w:lineRule="auto"/>
              <w:rPr>
                <w:rFonts w:ascii="宋体" w:hAnsi="宋体"/>
                <w:color w:val="auto"/>
                <w:highlight w:val="none"/>
              </w:rPr>
            </w:pPr>
            <w:r>
              <w:rPr>
                <w:rFonts w:hint="eastAsia" w:ascii="宋体" w:hAnsi="宋体"/>
                <w:color w:val="auto"/>
                <w:highlight w:val="none"/>
              </w:rPr>
              <w:t>（3）建设工程项目管理承诺书；</w:t>
            </w:r>
          </w:p>
          <w:p>
            <w:pPr>
              <w:wordWrap w:val="0"/>
              <w:spacing w:line="360" w:lineRule="auto"/>
              <w:rPr>
                <w:rFonts w:ascii="宋体" w:hAnsi="宋体"/>
                <w:color w:val="auto"/>
                <w:highlight w:val="none"/>
              </w:rPr>
            </w:pPr>
            <w:r>
              <w:rPr>
                <w:rFonts w:hint="eastAsia" w:ascii="宋体" w:hAnsi="宋体"/>
                <w:color w:val="auto"/>
                <w:highlight w:val="none"/>
              </w:rPr>
              <w:t>（4）项目经理简历表（附项目经理注册建造师执业资格证书和安全生产考核合格证书（B类）的复印件）</w:t>
            </w:r>
          </w:p>
          <w:p>
            <w:pPr>
              <w:wordWrap w:val="0"/>
              <w:spacing w:line="360" w:lineRule="auto"/>
              <w:rPr>
                <w:rFonts w:ascii="宋体" w:hAnsi="宋体"/>
                <w:color w:val="auto"/>
                <w:highlight w:val="none"/>
              </w:rPr>
            </w:pPr>
            <w:r>
              <w:rPr>
                <w:rFonts w:hint="eastAsia" w:ascii="宋体" w:hAnsi="宋体"/>
                <w:color w:val="auto"/>
                <w:highlight w:val="none"/>
              </w:rPr>
              <w:t>（5）项目技术负责人简历表（附职称证书的复印件）</w:t>
            </w:r>
          </w:p>
          <w:p>
            <w:pPr>
              <w:wordWrap w:val="0"/>
              <w:spacing w:line="360" w:lineRule="auto"/>
              <w:rPr>
                <w:rFonts w:ascii="宋体" w:hAnsi="宋体"/>
                <w:color w:val="auto"/>
                <w:highlight w:val="none"/>
              </w:rPr>
            </w:pPr>
            <w:r>
              <w:rPr>
                <w:rFonts w:hint="eastAsia" w:ascii="宋体" w:hAnsi="宋体"/>
                <w:color w:val="auto"/>
                <w:highlight w:val="none"/>
              </w:rPr>
              <w:t>（6）拟投入专职安全员的安全生产考核合格证书（C类）复印件；</w:t>
            </w:r>
          </w:p>
          <w:p>
            <w:pPr>
              <w:wordWrap w:val="0"/>
              <w:spacing w:line="360" w:lineRule="auto"/>
              <w:rPr>
                <w:rFonts w:ascii="宋体" w:hAnsi="宋体"/>
                <w:color w:val="auto"/>
                <w:highlight w:val="none"/>
              </w:rPr>
            </w:pPr>
            <w:r>
              <w:rPr>
                <w:rFonts w:hint="eastAsia" w:ascii="宋体" w:hAnsi="宋体"/>
                <w:color w:val="auto"/>
                <w:highlight w:val="none"/>
              </w:rPr>
              <w:t>（7）</w:t>
            </w:r>
            <w:r>
              <w:rPr>
                <w:rFonts w:hint="eastAsia" w:ascii="宋体" w:hAnsi="宋体"/>
                <w:color w:val="auto"/>
                <w:highlight w:val="none"/>
                <w:lang w:eastAsia="zh-CN"/>
              </w:rPr>
              <w:t>委托代理人、</w:t>
            </w:r>
            <w:r>
              <w:rPr>
                <w:rFonts w:hint="eastAsia" w:ascii="宋体" w:hAnsi="宋体"/>
                <w:color w:val="auto"/>
                <w:highlight w:val="none"/>
              </w:rPr>
              <w:t>项目经理、技术负责人和主要管理人员（</w:t>
            </w:r>
            <w:r>
              <w:rPr>
                <w:rFonts w:hint="eastAsia" w:ascii="宋体" w:hAnsi="宋体"/>
                <w:color w:val="auto"/>
                <w:highlight w:val="none"/>
                <w:lang w:eastAsia="zh-CN"/>
              </w:rPr>
              <w:t>五大员</w:t>
            </w:r>
            <w:r>
              <w:rPr>
                <w:rFonts w:hint="eastAsia" w:ascii="宋体" w:hAnsi="宋体"/>
                <w:color w:val="auto"/>
                <w:highlight w:val="none"/>
              </w:rPr>
              <w:t>）近3个月（</w:t>
            </w:r>
            <w:r>
              <w:rPr>
                <w:rFonts w:hint="eastAsia" w:ascii="宋体" w:hAnsi="宋体"/>
                <w:color w:val="auto"/>
                <w:highlight w:val="none"/>
                <w:lang w:eastAsia="zh-CN"/>
              </w:rPr>
              <w:t>2021年6月至2021年8月</w:t>
            </w:r>
            <w:r>
              <w:rPr>
                <w:rFonts w:hint="eastAsia" w:ascii="宋体" w:hAnsi="宋体"/>
                <w:color w:val="auto"/>
                <w:highlight w:val="none"/>
              </w:rPr>
              <w:t>）（从取得营业执照时间起到投标截止时间为止不足要求月数的只需提供从取得营业执照起的证明材料）在现任职单位依法缴纳社会保险证明材料的复印件；</w:t>
            </w:r>
          </w:p>
          <w:p>
            <w:pPr>
              <w:wordWrap w:val="0"/>
              <w:spacing w:line="360" w:lineRule="auto"/>
              <w:rPr>
                <w:rFonts w:hint="eastAsia" w:ascii="宋体" w:hAnsi="宋体" w:eastAsia="宋体"/>
                <w:color w:val="auto"/>
                <w:highlight w:val="none"/>
                <w:lang w:eastAsia="zh-CN"/>
              </w:rPr>
            </w:pPr>
            <w:r>
              <w:rPr>
                <w:rFonts w:hint="eastAsia" w:ascii="宋体" w:hAnsi="宋体"/>
                <w:color w:val="auto"/>
                <w:highlight w:val="none"/>
              </w:rPr>
              <w:t>（8）资格审查需要的其他材料：项目管理机构配备情况表、拟投入施工机械设备情况表、企业</w:t>
            </w:r>
            <w:r>
              <w:rPr>
                <w:rFonts w:hint="eastAsia" w:ascii="宋体" w:hAnsi="宋体"/>
                <w:color w:val="auto"/>
                <w:highlight w:val="none"/>
                <w:lang w:eastAsia="zh-CN"/>
              </w:rPr>
              <w:t>2018年</w:t>
            </w:r>
            <w:r>
              <w:rPr>
                <w:rFonts w:hint="eastAsia" w:ascii="宋体" w:hAnsi="宋体"/>
                <w:color w:val="auto"/>
                <w:highlight w:val="none"/>
              </w:rPr>
              <w:t>1月至投标截止日期止已完成类似项目一览表（如有）、企业近年信誉实力一览表（如有）、</w:t>
            </w:r>
            <w:r>
              <w:rPr>
                <w:rFonts w:hint="eastAsia" w:ascii="宋体" w:hAnsi="宋体"/>
                <w:color w:val="auto"/>
                <w:highlight w:val="none"/>
                <w:lang w:eastAsia="zh-CN"/>
              </w:rPr>
              <w:t>构成文件的其他材料、</w:t>
            </w:r>
            <w:r>
              <w:rPr>
                <w:rFonts w:hint="eastAsia" w:ascii="宋体" w:hAnsi="宋体"/>
                <w:color w:val="auto"/>
                <w:highlight w:val="none"/>
              </w:rPr>
              <w:t>企业</w:t>
            </w:r>
            <w:r>
              <w:rPr>
                <w:rFonts w:hint="eastAsia" w:ascii="宋体" w:hAnsi="宋体"/>
                <w:color w:val="auto"/>
                <w:highlight w:val="none"/>
                <w:lang w:eastAsia="zh-CN"/>
              </w:rPr>
              <w:t>2018年</w:t>
            </w:r>
            <w:r>
              <w:rPr>
                <w:rFonts w:hint="eastAsia" w:ascii="宋体" w:hAnsi="宋体"/>
                <w:color w:val="auto"/>
                <w:highlight w:val="none"/>
              </w:rPr>
              <w:t>至20</w:t>
            </w:r>
            <w:r>
              <w:rPr>
                <w:rFonts w:hint="eastAsia" w:ascii="宋体" w:hAnsi="宋体"/>
                <w:color w:val="auto"/>
                <w:highlight w:val="none"/>
                <w:lang w:val="en-US" w:eastAsia="zh-CN"/>
              </w:rPr>
              <w:t>20</w:t>
            </w:r>
            <w:r>
              <w:rPr>
                <w:rFonts w:hint="eastAsia" w:ascii="宋体" w:hAnsi="宋体"/>
                <w:color w:val="auto"/>
                <w:highlight w:val="none"/>
              </w:rPr>
              <w:t>年财务状况表、企业</w:t>
            </w:r>
            <w:r>
              <w:rPr>
                <w:rFonts w:hint="eastAsia" w:ascii="宋体" w:hAnsi="宋体"/>
                <w:color w:val="auto"/>
                <w:highlight w:val="none"/>
                <w:lang w:eastAsia="zh-CN"/>
              </w:rPr>
              <w:t>2018年</w:t>
            </w:r>
            <w:r>
              <w:rPr>
                <w:rFonts w:hint="eastAsia" w:ascii="宋体" w:hAnsi="宋体"/>
                <w:color w:val="auto"/>
                <w:highlight w:val="none"/>
              </w:rPr>
              <w:t>1月至投标截止日期止发生的诉讼和仲裁情况（如有）、企业管理体系认证证书复印件（如有）</w:t>
            </w:r>
            <w:r>
              <w:rPr>
                <w:rFonts w:hint="eastAsia" w:ascii="宋体" w:hAnsi="宋体"/>
                <w:color w:val="auto"/>
                <w:highlight w:val="none"/>
                <w:lang w:eastAsia="zh-CN"/>
              </w:rPr>
              <w:t>。</w:t>
            </w:r>
          </w:p>
          <w:p>
            <w:pPr>
              <w:wordWrap w:val="0"/>
              <w:spacing w:line="360" w:lineRule="auto"/>
              <w:rPr>
                <w:rFonts w:ascii="宋体" w:hAnsi="宋体"/>
                <w:b/>
                <w:bCs/>
                <w:color w:val="auto"/>
                <w:highlight w:val="none"/>
              </w:rPr>
            </w:pPr>
            <w:r>
              <w:rPr>
                <w:rFonts w:ascii="宋体" w:hAnsi="宋体"/>
                <w:b/>
                <w:bCs/>
                <w:color w:val="auto"/>
                <w:highlight w:val="none"/>
              </w:rPr>
              <w:t>商务标部分：</w:t>
            </w:r>
          </w:p>
          <w:p>
            <w:pPr>
              <w:wordWrap w:val="0"/>
              <w:spacing w:line="360" w:lineRule="auto"/>
              <w:rPr>
                <w:rFonts w:ascii="宋体" w:hAnsi="宋体"/>
                <w:color w:val="auto"/>
                <w:highlight w:val="none"/>
              </w:rPr>
            </w:pPr>
            <w:r>
              <w:rPr>
                <w:rFonts w:ascii="宋体" w:hAnsi="宋体"/>
                <w:color w:val="auto"/>
                <w:highlight w:val="none"/>
              </w:rPr>
              <w:t>（1）投标函；</w:t>
            </w:r>
          </w:p>
          <w:p>
            <w:pPr>
              <w:wordWrap w:val="0"/>
              <w:spacing w:line="360" w:lineRule="auto"/>
              <w:rPr>
                <w:rFonts w:ascii="宋体" w:hAnsi="宋体"/>
                <w:color w:val="auto"/>
                <w:highlight w:val="none"/>
              </w:rPr>
            </w:pPr>
            <w:r>
              <w:rPr>
                <w:rFonts w:ascii="宋体" w:hAnsi="宋体"/>
                <w:color w:val="auto"/>
                <w:highlight w:val="none"/>
              </w:rPr>
              <w:t>（2）投标函附录；</w:t>
            </w:r>
          </w:p>
          <w:p>
            <w:pPr>
              <w:wordWrap w:val="0"/>
              <w:spacing w:line="360" w:lineRule="auto"/>
              <w:rPr>
                <w:rFonts w:ascii="宋体" w:hAnsi="宋体"/>
                <w:color w:val="auto"/>
                <w:highlight w:val="none"/>
              </w:rPr>
            </w:pPr>
            <w:r>
              <w:rPr>
                <w:rFonts w:ascii="宋体" w:hAnsi="宋体"/>
                <w:color w:val="auto"/>
                <w:highlight w:val="none"/>
              </w:rPr>
              <w:t>（3）投标报价表；</w:t>
            </w:r>
          </w:p>
          <w:p>
            <w:pPr>
              <w:wordWrap w:val="0"/>
              <w:spacing w:line="360" w:lineRule="auto"/>
              <w:rPr>
                <w:rFonts w:ascii="宋体" w:hAnsi="宋体"/>
                <w:color w:val="auto"/>
                <w:highlight w:val="none"/>
              </w:rPr>
            </w:pPr>
            <w:r>
              <w:rPr>
                <w:rFonts w:ascii="宋体" w:hAnsi="宋体"/>
                <w:color w:val="auto"/>
                <w:highlight w:val="none"/>
              </w:rPr>
              <w:t>（4）已标价工程量清单。</w:t>
            </w:r>
          </w:p>
          <w:p>
            <w:pPr>
              <w:wordWrap w:val="0"/>
              <w:spacing w:line="360" w:lineRule="auto"/>
              <w:rPr>
                <w:rFonts w:ascii="宋体" w:hAnsi="宋体"/>
                <w:b/>
                <w:color w:val="auto"/>
                <w:highlight w:val="none"/>
              </w:rPr>
            </w:pPr>
            <w:r>
              <w:rPr>
                <w:rFonts w:ascii="宋体" w:hAnsi="宋体"/>
                <w:b/>
                <w:bCs/>
                <w:color w:val="auto"/>
                <w:highlight w:val="none"/>
              </w:rPr>
              <w:t>技术标部分：</w:t>
            </w:r>
          </w:p>
          <w:p>
            <w:pPr>
              <w:wordWrap w:val="0"/>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eastAsia="宋体" w:cs="Times New Roman"/>
                <w:color w:val="auto"/>
                <w:highlight w:val="none"/>
              </w:rPr>
              <w:t>）施工组织</w:t>
            </w:r>
            <w:r>
              <w:rPr>
                <w:rFonts w:hint="eastAsia" w:ascii="宋体" w:hAnsi="宋体"/>
                <w:color w:val="auto"/>
                <w:highlight w:val="none"/>
              </w:rPr>
              <w:t>设计；</w:t>
            </w:r>
          </w:p>
          <w:p>
            <w:pPr>
              <w:wordWrap w:val="0"/>
              <w:spacing w:line="360" w:lineRule="auto"/>
              <w:rPr>
                <w:rFonts w:ascii="宋体" w:hAnsi="宋体"/>
                <w:color w:val="auto"/>
                <w:highlight w:val="none"/>
              </w:rPr>
            </w:pPr>
            <w:r>
              <w:rPr>
                <w:rFonts w:hint="eastAsia" w:ascii="宋体" w:hAnsi="宋体"/>
                <w:color w:val="auto"/>
                <w:highlight w:val="none"/>
              </w:rPr>
              <w:t>（2）项目管理机构。</w:t>
            </w:r>
          </w:p>
          <w:p>
            <w:pPr>
              <w:tabs>
                <w:tab w:val="left" w:pos="826"/>
              </w:tabs>
              <w:spacing w:line="360" w:lineRule="auto"/>
              <w:rPr>
                <w:b/>
                <w:color w:val="auto"/>
                <w:highlight w:val="none"/>
              </w:rPr>
            </w:pPr>
            <w:r>
              <w:rPr>
                <w:b/>
                <w:color w:val="auto"/>
                <w:highlight w:val="none"/>
              </w:rPr>
              <w:t>企业资信部分</w:t>
            </w:r>
            <w:r>
              <w:rPr>
                <w:rFonts w:hint="eastAsia"/>
                <w:b/>
                <w:color w:val="auto"/>
                <w:highlight w:val="none"/>
              </w:rPr>
              <w:t>（如有）</w:t>
            </w:r>
            <w:r>
              <w:rPr>
                <w:b/>
                <w:color w:val="auto"/>
                <w:highlight w:val="none"/>
              </w:rPr>
              <w:t>：</w:t>
            </w:r>
          </w:p>
          <w:p>
            <w:pPr>
              <w:pStyle w:val="22"/>
              <w:spacing w:line="0" w:lineRule="atLeast"/>
              <w:rPr>
                <w:rFonts w:hAnsi="宋体"/>
                <w:color w:val="auto"/>
                <w:sz w:val="21"/>
                <w:szCs w:val="21"/>
                <w:highlight w:val="none"/>
              </w:rPr>
            </w:pPr>
            <w:r>
              <w:rPr>
                <w:rFonts w:hint="eastAsia" w:ascii="宋体" w:hAnsi="宋体" w:eastAsia="宋体" w:cs="Times New Roman"/>
                <w:color w:val="auto"/>
                <w:kern w:val="2"/>
                <w:sz w:val="21"/>
                <w:szCs w:val="24"/>
                <w:highlight w:val="none"/>
                <w:lang w:val="en-US" w:eastAsia="zh-CN" w:bidi="ar-SA"/>
              </w:rPr>
              <w:t>企业资信一览表。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7" w:type="dxa"/>
            <w:noWrap w:val="0"/>
            <w:vAlign w:val="center"/>
          </w:tcPr>
          <w:p>
            <w:pPr>
              <w:spacing w:line="360" w:lineRule="auto"/>
              <w:jc w:val="center"/>
              <w:rPr>
                <w:color w:val="auto"/>
                <w:highlight w:val="none"/>
              </w:rPr>
            </w:pPr>
            <w:r>
              <w:rPr>
                <w:color w:val="auto"/>
                <w:highlight w:val="none"/>
              </w:rPr>
              <w:t>3.3.1</w:t>
            </w:r>
          </w:p>
        </w:tc>
        <w:tc>
          <w:tcPr>
            <w:tcW w:w="2674" w:type="dxa"/>
            <w:noWrap w:val="0"/>
            <w:vAlign w:val="center"/>
          </w:tcPr>
          <w:p>
            <w:pPr>
              <w:pStyle w:val="22"/>
              <w:spacing w:line="0" w:lineRule="atLeast"/>
              <w:jc w:val="center"/>
              <w:rPr>
                <w:rFonts w:hint="eastAsia" w:hAnsi="宋体"/>
                <w:color w:val="auto"/>
                <w:sz w:val="21"/>
                <w:szCs w:val="21"/>
                <w:highlight w:val="none"/>
              </w:rPr>
            </w:pPr>
            <w:r>
              <w:rPr>
                <w:rFonts w:hint="eastAsia" w:hAnsi="宋体"/>
                <w:color w:val="auto"/>
                <w:sz w:val="21"/>
                <w:szCs w:val="21"/>
                <w:highlight w:val="none"/>
              </w:rPr>
              <w:t>投标有效期</w:t>
            </w:r>
          </w:p>
        </w:tc>
        <w:tc>
          <w:tcPr>
            <w:tcW w:w="5513" w:type="dxa"/>
            <w:noWrap w:val="0"/>
            <w:vAlign w:val="center"/>
          </w:tcPr>
          <w:p>
            <w:pPr>
              <w:pStyle w:val="22"/>
              <w:spacing w:line="0" w:lineRule="atLeast"/>
              <w:rPr>
                <w:rFonts w:hint="eastAsia" w:hAnsi="宋体"/>
                <w:color w:val="auto"/>
                <w:sz w:val="21"/>
                <w:szCs w:val="21"/>
                <w:highlight w:val="none"/>
              </w:rPr>
            </w:pPr>
            <w:r>
              <w:rPr>
                <w:rFonts w:hint="eastAsia" w:hAnsi="宋体"/>
                <w:color w:val="auto"/>
                <w:sz w:val="21"/>
                <w:szCs w:val="21"/>
                <w:highlight w:val="none"/>
              </w:rPr>
              <w:t>自开标之日起</w:t>
            </w:r>
            <w:r>
              <w:rPr>
                <w:rFonts w:hint="eastAsia" w:hAnsi="宋体"/>
                <w:color w:val="auto"/>
                <w:sz w:val="21"/>
                <w:szCs w:val="21"/>
                <w:highlight w:val="none"/>
                <w:lang w:val="en-US" w:eastAsia="zh-CN"/>
              </w:rPr>
              <w:t>90</w:t>
            </w:r>
            <w:r>
              <w:rPr>
                <w:rFonts w:hint="eastAsia" w:hAnsi="宋体"/>
                <w:color w:val="auto"/>
                <w:sz w:val="21"/>
                <w:szCs w:val="21"/>
                <w:highlight w:val="none"/>
              </w:rPr>
              <w:t xml:space="preserve">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207" w:type="dxa"/>
            <w:noWrap w:val="0"/>
            <w:vAlign w:val="center"/>
          </w:tcPr>
          <w:p>
            <w:pPr>
              <w:spacing w:line="360" w:lineRule="auto"/>
              <w:jc w:val="center"/>
              <w:rPr>
                <w:color w:val="auto"/>
                <w:highlight w:val="none"/>
              </w:rPr>
            </w:pPr>
            <w:r>
              <w:rPr>
                <w:color w:val="auto"/>
                <w:highlight w:val="none"/>
              </w:rPr>
              <w:t>3.4.1</w:t>
            </w:r>
          </w:p>
        </w:tc>
        <w:tc>
          <w:tcPr>
            <w:tcW w:w="2674" w:type="dxa"/>
            <w:noWrap w:val="0"/>
            <w:vAlign w:val="center"/>
          </w:tcPr>
          <w:p>
            <w:pPr>
              <w:pStyle w:val="22"/>
              <w:spacing w:line="0" w:lineRule="atLeast"/>
              <w:jc w:val="center"/>
              <w:rPr>
                <w:rFonts w:hint="eastAsia" w:hAnsi="宋体"/>
                <w:color w:val="auto"/>
                <w:sz w:val="21"/>
                <w:szCs w:val="21"/>
                <w:highlight w:val="none"/>
              </w:rPr>
            </w:pPr>
            <w:r>
              <w:rPr>
                <w:rFonts w:hint="eastAsia" w:hAnsi="宋体"/>
                <w:color w:val="auto"/>
                <w:sz w:val="21"/>
                <w:szCs w:val="21"/>
                <w:highlight w:val="none"/>
              </w:rPr>
              <w:t>投标保证金</w:t>
            </w:r>
          </w:p>
        </w:tc>
        <w:tc>
          <w:tcPr>
            <w:tcW w:w="5513" w:type="dxa"/>
            <w:noWrap w:val="0"/>
            <w:vAlign w:val="center"/>
          </w:tcPr>
          <w:p>
            <w:pPr>
              <w:spacing w:line="360" w:lineRule="auto"/>
              <w:jc w:val="left"/>
              <w:rPr>
                <w:rFonts w:hint="eastAsia"/>
                <w:color w:val="auto"/>
                <w:szCs w:val="21"/>
                <w:highlight w:val="none"/>
                <w:u w:val="single"/>
              </w:rPr>
            </w:pPr>
            <w:r>
              <w:rPr>
                <w:rFonts w:hint="eastAsia"/>
                <w:color w:val="auto"/>
                <w:szCs w:val="21"/>
                <w:highlight w:val="none"/>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pPr>
              <w:spacing w:line="0" w:lineRule="atLeast"/>
              <w:jc w:val="center"/>
              <w:rPr>
                <w:color w:val="auto"/>
                <w:highlight w:val="none"/>
              </w:rPr>
            </w:pPr>
            <w:r>
              <w:rPr>
                <w:rFonts w:hint="eastAsia" w:ascii="宋体" w:hAnsi="宋体" w:cs="宋体"/>
                <w:color w:val="auto"/>
                <w:highlight w:val="none"/>
              </w:rPr>
              <w:t>3.5.2</w:t>
            </w:r>
          </w:p>
        </w:tc>
        <w:tc>
          <w:tcPr>
            <w:tcW w:w="2674" w:type="dxa"/>
            <w:noWrap w:val="0"/>
            <w:vAlign w:val="center"/>
          </w:tcPr>
          <w:p>
            <w:pPr>
              <w:pStyle w:val="22"/>
              <w:spacing w:line="0" w:lineRule="atLeast"/>
              <w:jc w:val="center"/>
              <w:rPr>
                <w:color w:val="auto"/>
                <w:highlight w:val="none"/>
              </w:rPr>
            </w:pPr>
            <w:r>
              <w:rPr>
                <w:rFonts w:hint="eastAsia" w:hAnsi="宋体"/>
                <w:color w:val="auto"/>
                <w:sz w:val="21"/>
                <w:szCs w:val="21"/>
                <w:highlight w:val="none"/>
              </w:rPr>
              <w:t>近年财务状况的年份要求</w:t>
            </w:r>
          </w:p>
        </w:tc>
        <w:tc>
          <w:tcPr>
            <w:tcW w:w="5513" w:type="dxa"/>
            <w:noWrap w:val="0"/>
            <w:vAlign w:val="center"/>
          </w:tcPr>
          <w:p>
            <w:pPr>
              <w:pStyle w:val="22"/>
              <w:spacing w:line="0" w:lineRule="atLeast"/>
              <w:jc w:val="both"/>
              <w:rPr>
                <w:color w:val="auto"/>
                <w:highlight w:val="none"/>
              </w:rPr>
            </w:pPr>
            <w:r>
              <w:rPr>
                <w:rFonts w:hint="eastAsia" w:hAnsi="宋体"/>
                <w:color w:val="auto"/>
                <w:sz w:val="21"/>
                <w:szCs w:val="21"/>
                <w:highlight w:val="none"/>
              </w:rPr>
              <w:t>近三年(2018年至2020年)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noWrap w:val="0"/>
            <w:vAlign w:val="center"/>
          </w:tcPr>
          <w:p>
            <w:pPr>
              <w:spacing w:line="0" w:lineRule="atLeast"/>
              <w:jc w:val="center"/>
              <w:rPr>
                <w:color w:val="auto"/>
                <w:highlight w:val="none"/>
              </w:rPr>
            </w:pPr>
            <w:r>
              <w:rPr>
                <w:rFonts w:hint="eastAsia" w:ascii="宋体" w:hAnsi="宋体" w:cs="宋体"/>
                <w:color w:val="auto"/>
                <w:highlight w:val="none"/>
              </w:rPr>
              <w:t>3.5.3</w:t>
            </w:r>
          </w:p>
        </w:tc>
        <w:tc>
          <w:tcPr>
            <w:tcW w:w="2674" w:type="dxa"/>
            <w:noWrap w:val="0"/>
            <w:vAlign w:val="center"/>
          </w:tcPr>
          <w:p>
            <w:pPr>
              <w:pStyle w:val="22"/>
              <w:spacing w:line="0" w:lineRule="atLeast"/>
              <w:jc w:val="center"/>
              <w:rPr>
                <w:color w:val="auto"/>
                <w:highlight w:val="none"/>
              </w:rPr>
            </w:pPr>
            <w:r>
              <w:rPr>
                <w:rFonts w:hint="eastAsia" w:hAnsi="宋体"/>
                <w:color w:val="auto"/>
                <w:sz w:val="21"/>
                <w:szCs w:val="21"/>
                <w:highlight w:val="none"/>
              </w:rPr>
              <w:t>近年完成的类似项目的年份要求</w:t>
            </w:r>
          </w:p>
        </w:tc>
        <w:tc>
          <w:tcPr>
            <w:tcW w:w="5513" w:type="dxa"/>
            <w:noWrap w:val="0"/>
            <w:vAlign w:val="center"/>
          </w:tcPr>
          <w:p>
            <w:pPr>
              <w:pStyle w:val="22"/>
              <w:spacing w:line="0" w:lineRule="atLeast"/>
              <w:jc w:val="both"/>
              <w:rPr>
                <w:rFonts w:hint="eastAsia" w:hAnsi="宋体"/>
                <w:color w:val="auto"/>
                <w:sz w:val="21"/>
                <w:szCs w:val="21"/>
                <w:highlight w:val="none"/>
              </w:rPr>
            </w:pPr>
            <w:r>
              <w:rPr>
                <w:rFonts w:hint="eastAsia" w:hAnsi="宋体"/>
                <w:color w:val="auto"/>
                <w:sz w:val="21"/>
                <w:szCs w:val="21"/>
                <w:highlight w:val="none"/>
              </w:rPr>
              <w:t>近三年（2018年1月1日至投标截止时间止）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07" w:type="dxa"/>
            <w:noWrap w:val="0"/>
            <w:vAlign w:val="center"/>
          </w:tcPr>
          <w:p>
            <w:pPr>
              <w:spacing w:line="0" w:lineRule="atLeast"/>
              <w:jc w:val="center"/>
              <w:rPr>
                <w:color w:val="auto"/>
                <w:highlight w:val="none"/>
              </w:rPr>
            </w:pPr>
            <w:r>
              <w:rPr>
                <w:rFonts w:hint="eastAsia" w:ascii="宋体" w:hAnsi="宋体" w:cs="宋体"/>
                <w:color w:val="auto"/>
                <w:highlight w:val="none"/>
              </w:rPr>
              <w:t>3.5.5</w:t>
            </w:r>
          </w:p>
        </w:tc>
        <w:tc>
          <w:tcPr>
            <w:tcW w:w="2674" w:type="dxa"/>
            <w:noWrap w:val="0"/>
            <w:vAlign w:val="center"/>
          </w:tcPr>
          <w:p>
            <w:pPr>
              <w:pStyle w:val="22"/>
              <w:spacing w:line="0" w:lineRule="atLeast"/>
              <w:jc w:val="center"/>
              <w:rPr>
                <w:color w:val="auto"/>
                <w:highlight w:val="none"/>
              </w:rPr>
            </w:pPr>
            <w:r>
              <w:rPr>
                <w:rFonts w:hint="eastAsia" w:hAnsi="宋体"/>
                <w:color w:val="auto"/>
                <w:sz w:val="21"/>
                <w:szCs w:val="21"/>
                <w:highlight w:val="none"/>
              </w:rPr>
              <w:t>近年发生的诉讼及仲裁情况的年份要求</w:t>
            </w:r>
          </w:p>
        </w:tc>
        <w:tc>
          <w:tcPr>
            <w:tcW w:w="5513" w:type="dxa"/>
            <w:noWrap w:val="0"/>
            <w:vAlign w:val="center"/>
          </w:tcPr>
          <w:p>
            <w:pPr>
              <w:pStyle w:val="22"/>
              <w:spacing w:line="0" w:lineRule="atLeast"/>
              <w:jc w:val="both"/>
              <w:rPr>
                <w:rFonts w:hint="eastAsia" w:hAnsi="宋体"/>
                <w:color w:val="auto"/>
                <w:sz w:val="21"/>
                <w:szCs w:val="21"/>
                <w:highlight w:val="none"/>
              </w:rPr>
            </w:pPr>
            <w:r>
              <w:rPr>
                <w:rFonts w:hint="eastAsia" w:hAnsi="宋体"/>
                <w:color w:val="auto"/>
                <w:sz w:val="21"/>
                <w:szCs w:val="21"/>
                <w:highlight w:val="none"/>
              </w:rPr>
              <w:t>近三年(2018年1月1日至投标截止时间止)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07" w:type="dxa"/>
            <w:noWrap w:val="0"/>
            <w:vAlign w:val="center"/>
          </w:tcPr>
          <w:p>
            <w:pPr>
              <w:spacing w:line="0" w:lineRule="atLeast"/>
              <w:jc w:val="center"/>
              <w:rPr>
                <w:color w:val="auto"/>
                <w:highlight w:val="none"/>
              </w:rPr>
            </w:pPr>
            <w:r>
              <w:rPr>
                <w:rFonts w:hint="eastAsia" w:ascii="宋体" w:hAnsi="宋体" w:cs="宋体"/>
                <w:color w:val="auto"/>
                <w:highlight w:val="none"/>
              </w:rPr>
              <w:t>3.6</w:t>
            </w:r>
          </w:p>
        </w:tc>
        <w:tc>
          <w:tcPr>
            <w:tcW w:w="2674" w:type="dxa"/>
            <w:noWrap w:val="0"/>
            <w:vAlign w:val="center"/>
          </w:tcPr>
          <w:p>
            <w:pPr>
              <w:spacing w:line="0" w:lineRule="atLeast"/>
              <w:jc w:val="center"/>
              <w:rPr>
                <w:color w:val="auto"/>
                <w:highlight w:val="none"/>
              </w:rPr>
            </w:pPr>
            <w:r>
              <w:rPr>
                <w:rFonts w:hint="eastAsia" w:ascii="宋体" w:hAnsi="宋体" w:cs="宋体"/>
                <w:color w:val="auto"/>
                <w:highlight w:val="none"/>
              </w:rPr>
              <w:t>是否允许递交备选投标方案</w:t>
            </w:r>
          </w:p>
        </w:tc>
        <w:tc>
          <w:tcPr>
            <w:tcW w:w="5513" w:type="dxa"/>
            <w:noWrap w:val="0"/>
            <w:vAlign w:val="center"/>
          </w:tcPr>
          <w:p>
            <w:pPr>
              <w:spacing w:line="0" w:lineRule="atLeast"/>
              <w:rPr>
                <w:color w:val="auto"/>
                <w:highlight w:val="none"/>
              </w:rPr>
            </w:pPr>
            <w:r>
              <w:rPr>
                <w:rFonts w:hint="eastAsia" w:ascii="宋体" w:hAnsi="宋体" w:cs="宋体"/>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207" w:type="dxa"/>
            <w:noWrap w:val="0"/>
            <w:vAlign w:val="center"/>
          </w:tcPr>
          <w:p>
            <w:pPr>
              <w:pStyle w:val="22"/>
              <w:spacing w:line="0" w:lineRule="atLeast"/>
              <w:jc w:val="center"/>
              <w:rPr>
                <w:color w:val="auto"/>
                <w:highlight w:val="none"/>
              </w:rPr>
            </w:pPr>
            <w:r>
              <w:rPr>
                <w:rFonts w:hint="eastAsia" w:hAnsi="宋体"/>
                <w:color w:val="auto"/>
                <w:sz w:val="21"/>
                <w:szCs w:val="21"/>
                <w:highlight w:val="none"/>
              </w:rPr>
              <w:t>3.7.3</w:t>
            </w:r>
          </w:p>
        </w:tc>
        <w:tc>
          <w:tcPr>
            <w:tcW w:w="2674" w:type="dxa"/>
            <w:noWrap w:val="0"/>
            <w:vAlign w:val="center"/>
          </w:tcPr>
          <w:p>
            <w:pPr>
              <w:pStyle w:val="23"/>
              <w:spacing w:after="0" w:line="0" w:lineRule="atLeast"/>
              <w:jc w:val="center"/>
              <w:rPr>
                <w:color w:val="auto"/>
                <w:highlight w:val="none"/>
              </w:rPr>
            </w:pPr>
            <w:r>
              <w:rPr>
                <w:rFonts w:hint="eastAsia" w:hAnsi="宋体" w:cs="宋体"/>
                <w:color w:val="auto"/>
                <w:sz w:val="21"/>
                <w:szCs w:val="21"/>
                <w:highlight w:val="none"/>
              </w:rPr>
              <w:t>签字或盖章要求</w:t>
            </w:r>
          </w:p>
        </w:tc>
        <w:tc>
          <w:tcPr>
            <w:tcW w:w="5513" w:type="dxa"/>
            <w:noWrap w:val="0"/>
            <w:vAlign w:val="center"/>
          </w:tcPr>
          <w:p>
            <w:pPr>
              <w:snapToGrid w:val="0"/>
              <w:spacing w:line="360" w:lineRule="exact"/>
              <w:jc w:val="left"/>
              <w:rPr>
                <w:rFonts w:ascii="宋体" w:hAnsi="宋体"/>
                <w:color w:val="auto"/>
                <w:szCs w:val="21"/>
                <w:highlight w:val="none"/>
              </w:rPr>
            </w:pPr>
            <w:r>
              <w:rPr>
                <w:rFonts w:hint="eastAsia" w:ascii="宋体" w:hAnsi="宋体"/>
                <w:color w:val="auto"/>
                <w:szCs w:val="21"/>
                <w:highlight w:val="none"/>
              </w:rPr>
              <w:t>1.</w:t>
            </w:r>
            <w:r>
              <w:rPr>
                <w:rFonts w:hint="eastAsia"/>
                <w:color w:val="auto"/>
                <w:highlight w:val="none"/>
              </w:rPr>
              <w:t xml:space="preserve"> </w:t>
            </w:r>
            <w:r>
              <w:rPr>
                <w:rFonts w:hint="eastAsia" w:ascii="宋体"/>
                <w:color w:val="auto"/>
                <w:szCs w:val="21"/>
                <w:highlight w:val="none"/>
              </w:rPr>
              <w:t>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pPr>
              <w:snapToGrid w:val="0"/>
              <w:spacing w:line="360" w:lineRule="exact"/>
              <w:jc w:val="left"/>
              <w:rPr>
                <w:rFonts w:ascii="宋体" w:hAnsi="宋体"/>
                <w:b/>
                <w:color w:val="auto"/>
                <w:szCs w:val="21"/>
                <w:highlight w:val="none"/>
              </w:rPr>
            </w:pPr>
            <w:r>
              <w:rPr>
                <w:rFonts w:hint="eastAsia" w:ascii="宋体" w:hAnsi="宋体"/>
                <w:b/>
                <w:color w:val="auto"/>
                <w:szCs w:val="21"/>
                <w:highlight w:val="none"/>
              </w:rPr>
              <w:t>2.电子投标文件中须加盖供应商公章部分均采用 CA 签章，并根据“政府采购项目电子交易管理操作指南-供应商” 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 漏读，或者在按采购文件规定的部位查找不到相关内容的，由供应商自行承担。</w:t>
            </w:r>
          </w:p>
          <w:p>
            <w:pPr>
              <w:snapToGrid w:val="0"/>
              <w:spacing w:line="360" w:lineRule="exact"/>
              <w:jc w:val="left"/>
              <w:rPr>
                <w:rFonts w:ascii="宋体" w:hAnsi="宋体"/>
                <w:color w:val="auto"/>
                <w:szCs w:val="21"/>
                <w:highlight w:val="none"/>
              </w:rPr>
            </w:pPr>
            <w:r>
              <w:rPr>
                <w:rFonts w:hint="eastAsia" w:ascii="宋体" w:hAnsi="宋体"/>
                <w:b/>
                <w:color w:val="auto"/>
                <w:szCs w:val="21"/>
                <w:highlight w:val="none"/>
              </w:rPr>
              <w:t>3.CA 签章上目前没有法人（负责人）或授权代表签字信息，供应商在投标文件中涉及到签字的位置线下签好字然后扫描或者拍照做成PDF的格式亦可。投标文件中涉及到签字的位置未按要求签字的，提供的材料视为无效。</w:t>
            </w:r>
          </w:p>
          <w:p>
            <w:pPr>
              <w:snapToGrid w:val="0"/>
              <w:spacing w:line="360" w:lineRule="exact"/>
              <w:jc w:val="left"/>
              <w:rPr>
                <w:rFonts w:ascii="宋体" w:hAnsi="宋体"/>
                <w:color w:val="auto"/>
                <w:szCs w:val="21"/>
                <w:highlight w:val="none"/>
              </w:rPr>
            </w:pPr>
            <w:r>
              <w:rPr>
                <w:rFonts w:hint="eastAsia" w:ascii="宋体" w:hAnsi="宋体"/>
                <w:color w:val="auto"/>
                <w:szCs w:val="21"/>
                <w:highlight w:val="none"/>
              </w:rPr>
              <w:t>4.投标文件不得涂改，若有修改错漏处，须加盖单位公章或者法定代表人（负责人）或授权委托人签字或盖章。投标文件因字迹潦草或表达不清所引起的后果由供应商负责。</w:t>
            </w:r>
          </w:p>
          <w:p>
            <w:pPr>
              <w:pStyle w:val="23"/>
              <w:spacing w:after="0" w:line="0" w:lineRule="atLeast"/>
              <w:jc w:val="both"/>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7" w:type="dxa"/>
            <w:noWrap w:val="0"/>
            <w:vAlign w:val="center"/>
          </w:tcPr>
          <w:p>
            <w:pPr>
              <w:pStyle w:val="22"/>
              <w:spacing w:line="0" w:lineRule="atLeast"/>
              <w:jc w:val="center"/>
              <w:rPr>
                <w:color w:val="auto"/>
                <w:highlight w:val="none"/>
              </w:rPr>
            </w:pPr>
            <w:r>
              <w:rPr>
                <w:rFonts w:hint="eastAsia" w:hAnsi="宋体"/>
                <w:color w:val="auto"/>
                <w:sz w:val="21"/>
                <w:szCs w:val="21"/>
                <w:highlight w:val="none"/>
              </w:rPr>
              <w:t>3.7.4</w:t>
            </w:r>
          </w:p>
        </w:tc>
        <w:tc>
          <w:tcPr>
            <w:tcW w:w="2674" w:type="dxa"/>
            <w:noWrap w:val="0"/>
            <w:vAlign w:val="center"/>
          </w:tcPr>
          <w:p>
            <w:pPr>
              <w:pStyle w:val="23"/>
              <w:spacing w:after="0" w:line="0" w:lineRule="atLeast"/>
              <w:jc w:val="center"/>
              <w:rPr>
                <w:rFonts w:hint="eastAsia" w:eastAsia="宋体"/>
                <w:color w:val="auto"/>
                <w:highlight w:val="none"/>
                <w:lang w:eastAsia="zh-CN"/>
              </w:rPr>
            </w:pPr>
            <w:r>
              <w:rPr>
                <w:rFonts w:hint="eastAsia" w:hAnsi="宋体" w:cs="宋体"/>
                <w:color w:val="auto"/>
                <w:sz w:val="21"/>
                <w:szCs w:val="21"/>
                <w:highlight w:val="none"/>
              </w:rPr>
              <w:t>投标文件</w:t>
            </w:r>
            <w:r>
              <w:rPr>
                <w:rFonts w:hint="eastAsia" w:hAnsi="宋体" w:cs="宋体"/>
                <w:color w:val="auto"/>
                <w:sz w:val="21"/>
                <w:szCs w:val="21"/>
                <w:highlight w:val="none"/>
                <w:lang w:eastAsia="zh-CN"/>
              </w:rPr>
              <w:t>类型</w:t>
            </w:r>
          </w:p>
        </w:tc>
        <w:tc>
          <w:tcPr>
            <w:tcW w:w="5513" w:type="dxa"/>
            <w:noWrap w:val="0"/>
            <w:vAlign w:val="center"/>
          </w:tcPr>
          <w:p>
            <w:pPr>
              <w:autoSpaceDE w:val="0"/>
              <w:autoSpaceDN w:val="0"/>
              <w:snapToGrid w:val="0"/>
              <w:spacing w:line="260" w:lineRule="exact"/>
              <w:textAlignment w:val="bottom"/>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eastAsia="zh-CN"/>
              </w:rPr>
              <w:t>投标人</w:t>
            </w:r>
            <w:r>
              <w:rPr>
                <w:rFonts w:hint="eastAsia" w:ascii="宋体" w:hAnsi="宋体" w:eastAsia="宋体" w:cs="Times New Roman"/>
                <w:b/>
                <w:color w:val="auto"/>
                <w:szCs w:val="21"/>
                <w:highlight w:val="none"/>
              </w:rPr>
              <w:t>应准备电子投标文件、以介质存储的数据电文形式的电子备份投标文件二类：</w:t>
            </w:r>
          </w:p>
          <w:p>
            <w:pPr>
              <w:autoSpaceDE w:val="0"/>
              <w:autoSpaceDN w:val="0"/>
              <w:snapToGrid w:val="0"/>
              <w:spacing w:line="260" w:lineRule="exact"/>
              <w:textAlignment w:val="bottom"/>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1.电子投标文件，电子投标文件按政采云平台要求及本招标文件要求制作、加密并递交。</w:t>
            </w:r>
          </w:p>
          <w:p>
            <w:pPr>
              <w:autoSpaceDE w:val="0"/>
              <w:autoSpaceDN w:val="0"/>
              <w:snapToGrid w:val="0"/>
              <w:spacing w:line="260" w:lineRule="exact"/>
              <w:textAlignment w:val="bottom"/>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2.以介质存储的数据电文形式的电子备份投标文件，按政采云平台项目采购-电子招投标操作指南中上传的电子投标文件格式，以DVD光盘或者U盘等形式提供。数量为1份。</w:t>
            </w:r>
          </w:p>
          <w:p>
            <w:pPr>
              <w:autoSpaceDE w:val="0"/>
              <w:autoSpaceDN w:val="0"/>
              <w:snapToGrid w:val="0"/>
              <w:spacing w:line="260" w:lineRule="exact"/>
              <w:textAlignment w:val="bottom"/>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投标文件启用顺序和效力。投标文件的启用，按先后顺位分别为电子投标文件、以介质存储的数据电文形式的电子备份投标文件。顺位在先的电子投标文件已按时解密的，下一顺位电子备份投标文件自动失效。在下一顺位的电子备份投标文件启用时，前一顺位的电子投标文件自动失效。</w:t>
            </w:r>
          </w:p>
          <w:p>
            <w:pPr>
              <w:autoSpaceDE w:val="0"/>
              <w:autoSpaceDN w:val="0"/>
              <w:snapToGrid w:val="0"/>
              <w:spacing w:line="260" w:lineRule="exact"/>
              <w:textAlignment w:val="bottom"/>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▲未传输递交电子投标文件的，投标无效。</w:t>
            </w:r>
          </w:p>
          <w:p>
            <w:pPr>
              <w:snapToGrid w:val="0"/>
              <w:spacing w:line="320" w:lineRule="exact"/>
              <w:rPr>
                <w:color w:val="auto"/>
                <w:highlight w:val="none"/>
                <w:lang w:val="en-US" w:eastAsia="zh-CN"/>
              </w:rPr>
            </w:pPr>
            <w:r>
              <w:rPr>
                <w:rFonts w:hint="eastAsia" w:ascii="宋体" w:hAnsi="宋体" w:eastAsia="宋体" w:cs="Times New Roman"/>
                <w:b/>
                <w:color w:val="auto"/>
                <w:szCs w:val="21"/>
                <w:highlight w:val="none"/>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jc w:val="center"/>
        </w:trPr>
        <w:tc>
          <w:tcPr>
            <w:tcW w:w="1207" w:type="dxa"/>
            <w:noWrap w:val="0"/>
            <w:vAlign w:val="center"/>
          </w:tcPr>
          <w:p>
            <w:pPr>
              <w:pStyle w:val="22"/>
              <w:spacing w:line="0" w:lineRule="atLeast"/>
              <w:jc w:val="center"/>
              <w:rPr>
                <w:color w:val="auto"/>
                <w:highlight w:val="none"/>
              </w:rPr>
            </w:pPr>
            <w:r>
              <w:rPr>
                <w:rFonts w:hint="eastAsia" w:hAnsi="宋体"/>
                <w:color w:val="auto"/>
                <w:sz w:val="21"/>
                <w:szCs w:val="21"/>
                <w:highlight w:val="none"/>
              </w:rPr>
              <w:t>3.7.5</w:t>
            </w:r>
          </w:p>
        </w:tc>
        <w:tc>
          <w:tcPr>
            <w:tcW w:w="2674" w:type="dxa"/>
            <w:noWrap w:val="0"/>
            <w:vAlign w:val="center"/>
          </w:tcPr>
          <w:p>
            <w:pPr>
              <w:pStyle w:val="23"/>
              <w:spacing w:after="0" w:line="0" w:lineRule="atLeast"/>
              <w:jc w:val="center"/>
              <w:rPr>
                <w:color w:val="auto"/>
                <w:highlight w:val="none"/>
              </w:rPr>
            </w:pPr>
            <w:r>
              <w:rPr>
                <w:rFonts w:hint="eastAsia" w:hAnsi="宋体" w:cs="宋体"/>
                <w:color w:val="auto"/>
                <w:sz w:val="21"/>
                <w:szCs w:val="21"/>
                <w:highlight w:val="none"/>
              </w:rPr>
              <w:t>装订要求</w:t>
            </w:r>
          </w:p>
        </w:tc>
        <w:tc>
          <w:tcPr>
            <w:tcW w:w="5513" w:type="dxa"/>
            <w:noWrap w:val="0"/>
            <w:vAlign w:val="center"/>
          </w:tcPr>
          <w:p>
            <w:pPr>
              <w:snapToGrid w:val="0"/>
              <w:spacing w:line="240" w:lineRule="exact"/>
              <w:rPr>
                <w:rFonts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投标人应将电子备份投标文件装入到一个投标文件袋内加以密封（要求文件袋无明显缝隙露出袋内文件）；电子备份投标文件袋在每一封贴处密封签章【公章、密封章、法定代表人（负责人）、委托代理人签字等均可】。</w:t>
            </w:r>
          </w:p>
          <w:p>
            <w:pPr>
              <w:snapToGrid w:val="0"/>
              <w:spacing w:line="240" w:lineRule="exact"/>
              <w:rPr>
                <w:rFonts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电子备份投标文件袋的包装封面上应注明投标人名称、投标人地址、投标文件名称（电子备份投标文件）、投标项目名称、项目编号、并加盖投标人公章，并注明“开标时才能启封”。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207" w:type="dxa"/>
            <w:noWrap w:val="0"/>
            <w:vAlign w:val="center"/>
          </w:tcPr>
          <w:p>
            <w:pPr>
              <w:pStyle w:val="22"/>
              <w:spacing w:line="0" w:lineRule="atLeast"/>
              <w:jc w:val="center"/>
              <w:rPr>
                <w:rFonts w:hint="eastAsia" w:hAnsi="宋体"/>
                <w:color w:val="auto"/>
                <w:sz w:val="21"/>
                <w:szCs w:val="21"/>
                <w:highlight w:val="none"/>
              </w:rPr>
            </w:pPr>
            <w:r>
              <w:rPr>
                <w:rFonts w:hint="eastAsia" w:hAnsi="宋体"/>
                <w:color w:val="auto"/>
                <w:sz w:val="21"/>
                <w:szCs w:val="21"/>
                <w:highlight w:val="none"/>
              </w:rPr>
              <w:t>4.1.2</w:t>
            </w:r>
          </w:p>
        </w:tc>
        <w:tc>
          <w:tcPr>
            <w:tcW w:w="2674" w:type="dxa"/>
            <w:noWrap w:val="0"/>
            <w:vAlign w:val="center"/>
          </w:tcPr>
          <w:p>
            <w:pPr>
              <w:pStyle w:val="22"/>
              <w:spacing w:line="0" w:lineRule="atLeast"/>
              <w:jc w:val="center"/>
              <w:rPr>
                <w:rFonts w:hint="eastAsia" w:hAnsi="宋体"/>
                <w:color w:val="auto"/>
                <w:sz w:val="21"/>
                <w:szCs w:val="21"/>
                <w:highlight w:val="none"/>
              </w:rPr>
            </w:pPr>
            <w:r>
              <w:rPr>
                <w:rFonts w:hint="eastAsia" w:hAnsi="宋体"/>
                <w:color w:val="auto"/>
                <w:sz w:val="21"/>
                <w:szCs w:val="21"/>
                <w:highlight w:val="none"/>
              </w:rPr>
              <w:t>封套上写明</w:t>
            </w:r>
          </w:p>
        </w:tc>
        <w:tc>
          <w:tcPr>
            <w:tcW w:w="5513" w:type="dxa"/>
            <w:noWrap w:val="0"/>
            <w:vAlign w:val="bottom"/>
          </w:tcPr>
          <w:p>
            <w:pPr>
              <w:tabs>
                <w:tab w:val="left" w:pos="1012"/>
              </w:tabs>
              <w:snapToGrid w:val="0"/>
              <w:spacing w:line="360" w:lineRule="auto"/>
              <w:ind w:left="479" w:hanging="478"/>
              <w:jc w:val="left"/>
              <w:rPr>
                <w:color w:val="auto"/>
                <w:highlight w:val="none"/>
              </w:rPr>
            </w:pPr>
            <w:r>
              <w:rPr>
                <w:rFonts w:hint="eastAsia"/>
                <w:color w:val="auto"/>
                <w:highlight w:val="none"/>
              </w:rPr>
              <w:t>项目招标编号：</w:t>
            </w:r>
          </w:p>
          <w:p>
            <w:pPr>
              <w:tabs>
                <w:tab w:val="left" w:pos="1012"/>
              </w:tabs>
              <w:snapToGrid w:val="0"/>
              <w:spacing w:line="360" w:lineRule="auto"/>
              <w:ind w:left="479" w:hanging="478"/>
              <w:jc w:val="left"/>
              <w:rPr>
                <w:color w:val="auto"/>
                <w:highlight w:val="none"/>
              </w:rPr>
            </w:pPr>
            <w:r>
              <w:rPr>
                <w:color w:val="auto"/>
                <w:highlight w:val="none"/>
              </w:rPr>
              <w:t>招标人的地址：</w:t>
            </w:r>
          </w:p>
          <w:p>
            <w:pPr>
              <w:tabs>
                <w:tab w:val="left" w:pos="1012"/>
              </w:tabs>
              <w:snapToGrid w:val="0"/>
              <w:spacing w:line="360" w:lineRule="auto"/>
              <w:ind w:left="479" w:hanging="478"/>
              <w:jc w:val="left"/>
              <w:rPr>
                <w:color w:val="auto"/>
                <w:highlight w:val="none"/>
              </w:rPr>
            </w:pPr>
            <w:r>
              <w:rPr>
                <w:color w:val="auto"/>
                <w:highlight w:val="none"/>
              </w:rPr>
              <w:t>招标人名称：</w:t>
            </w:r>
          </w:p>
          <w:p>
            <w:pPr>
              <w:tabs>
                <w:tab w:val="left" w:pos="1012"/>
              </w:tabs>
              <w:snapToGrid w:val="0"/>
              <w:spacing w:line="360" w:lineRule="auto"/>
              <w:ind w:left="479" w:hanging="478"/>
              <w:jc w:val="left"/>
              <w:rPr>
                <w:color w:val="auto"/>
                <w:highlight w:val="none"/>
              </w:rPr>
            </w:pPr>
            <w:r>
              <w:rPr>
                <w:color w:val="auto"/>
                <w:highlight w:val="none"/>
              </w:rPr>
              <w:t>标段（如有多个标段时）：</w:t>
            </w:r>
          </w:p>
          <w:p>
            <w:pPr>
              <w:snapToGrid w:val="0"/>
              <w:spacing w:line="360" w:lineRule="auto"/>
              <w:rPr>
                <w:color w:val="auto"/>
                <w:highlight w:val="none"/>
              </w:rPr>
            </w:pPr>
            <w:r>
              <w:rPr>
                <w:color w:val="auto"/>
                <w:highlight w:val="none"/>
                <w:u w:val="single"/>
              </w:rPr>
              <w:t xml:space="preserve">                     </w:t>
            </w:r>
            <w:r>
              <w:rPr>
                <w:color w:val="auto"/>
                <w:highlight w:val="none"/>
              </w:rPr>
              <w:t>（项目名称）投标文件</w:t>
            </w:r>
          </w:p>
          <w:p>
            <w:pPr>
              <w:snapToGrid w:val="0"/>
              <w:spacing w:line="360" w:lineRule="auto"/>
              <w:rPr>
                <w:color w:val="auto"/>
                <w:highlight w:val="none"/>
              </w:rPr>
            </w:pPr>
            <w:r>
              <w:rPr>
                <w:color w:val="auto"/>
                <w:highlight w:val="none"/>
              </w:rPr>
              <w:t>投标人地址：</w:t>
            </w:r>
          </w:p>
          <w:p>
            <w:pPr>
              <w:snapToGrid w:val="0"/>
              <w:spacing w:line="360" w:lineRule="auto"/>
              <w:rPr>
                <w:color w:val="auto"/>
                <w:highlight w:val="none"/>
              </w:rPr>
            </w:pPr>
            <w:r>
              <w:rPr>
                <w:color w:val="auto"/>
                <w:highlight w:val="none"/>
              </w:rPr>
              <w:t>投标人名称：</w:t>
            </w:r>
          </w:p>
          <w:p>
            <w:pPr>
              <w:widowControl/>
              <w:jc w:val="left"/>
              <w:rPr>
                <w:color w:val="auto"/>
                <w:highlight w:val="none"/>
              </w:rPr>
            </w:pPr>
            <w:r>
              <w:rPr>
                <w:color w:val="auto"/>
                <w:highlight w:val="none"/>
              </w:rPr>
              <w:t>在</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r>
              <w:rPr>
                <w:color w:val="auto"/>
                <w:highlight w:val="none"/>
                <w:u w:val="single"/>
              </w:rPr>
              <w:t xml:space="preserve">   </w:t>
            </w:r>
            <w:r>
              <w:rPr>
                <w:color w:val="auto"/>
                <w:highlight w:val="none"/>
              </w:rPr>
              <w:t>时</w:t>
            </w:r>
            <w:r>
              <w:rPr>
                <w:color w:val="auto"/>
                <w:highlight w:val="none"/>
                <w:u w:val="single"/>
              </w:rPr>
              <w:t xml:space="preserve">   </w:t>
            </w:r>
            <w:r>
              <w:rPr>
                <w:color w:val="auto"/>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7" w:type="dxa"/>
            <w:noWrap w:val="0"/>
            <w:vAlign w:val="center"/>
          </w:tcPr>
          <w:p>
            <w:pPr>
              <w:pStyle w:val="22"/>
              <w:spacing w:line="0" w:lineRule="atLeast"/>
              <w:jc w:val="center"/>
              <w:rPr>
                <w:rFonts w:hAnsi="宋体"/>
                <w:color w:val="auto"/>
                <w:sz w:val="21"/>
                <w:szCs w:val="21"/>
                <w:highlight w:val="none"/>
              </w:rPr>
            </w:pPr>
            <w:r>
              <w:rPr>
                <w:rFonts w:hint="eastAsia" w:hAnsi="宋体"/>
                <w:color w:val="auto"/>
                <w:sz w:val="21"/>
                <w:szCs w:val="21"/>
                <w:highlight w:val="none"/>
              </w:rPr>
              <w:t>4.2.3</w:t>
            </w:r>
          </w:p>
        </w:tc>
        <w:tc>
          <w:tcPr>
            <w:tcW w:w="2674" w:type="dxa"/>
            <w:noWrap w:val="0"/>
            <w:vAlign w:val="center"/>
          </w:tcPr>
          <w:p>
            <w:pPr>
              <w:pStyle w:val="22"/>
              <w:spacing w:line="0" w:lineRule="atLeast"/>
              <w:jc w:val="center"/>
              <w:rPr>
                <w:rFonts w:hint="eastAsia" w:hAnsi="宋体"/>
                <w:color w:val="auto"/>
                <w:sz w:val="21"/>
                <w:szCs w:val="21"/>
                <w:highlight w:val="none"/>
              </w:rPr>
            </w:pPr>
            <w:r>
              <w:rPr>
                <w:rFonts w:hint="eastAsia" w:hAnsi="宋体"/>
                <w:color w:val="auto"/>
                <w:sz w:val="21"/>
                <w:szCs w:val="21"/>
                <w:highlight w:val="none"/>
              </w:rPr>
              <w:t>是否退还投标文件</w:t>
            </w:r>
          </w:p>
        </w:tc>
        <w:tc>
          <w:tcPr>
            <w:tcW w:w="5513" w:type="dxa"/>
            <w:noWrap w:val="0"/>
            <w:vAlign w:val="center"/>
          </w:tcPr>
          <w:p>
            <w:pPr>
              <w:pStyle w:val="22"/>
              <w:spacing w:line="0" w:lineRule="atLeast"/>
              <w:rPr>
                <w:rFonts w:hint="eastAsia" w:hAnsi="宋体"/>
                <w:color w:val="auto"/>
                <w:sz w:val="21"/>
                <w:szCs w:val="21"/>
                <w:highlight w:val="none"/>
              </w:rPr>
            </w:pPr>
            <w:r>
              <w:rPr>
                <w:rFonts w:hint="eastAsia" w:hAnsi="宋体"/>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noWrap w:val="0"/>
            <w:vAlign w:val="center"/>
          </w:tcPr>
          <w:p>
            <w:pPr>
              <w:spacing w:line="0" w:lineRule="atLeast"/>
              <w:jc w:val="center"/>
              <w:rPr>
                <w:rFonts w:hAnsi="宋体"/>
                <w:color w:val="auto"/>
                <w:szCs w:val="21"/>
                <w:highlight w:val="none"/>
              </w:rPr>
            </w:pPr>
            <w:r>
              <w:rPr>
                <w:rFonts w:hint="eastAsia" w:ascii="宋体" w:hAnsi="宋体" w:cs="宋体"/>
                <w:color w:val="auto"/>
                <w:highlight w:val="none"/>
              </w:rPr>
              <w:t>5.1</w:t>
            </w:r>
          </w:p>
        </w:tc>
        <w:tc>
          <w:tcPr>
            <w:tcW w:w="2674" w:type="dxa"/>
            <w:noWrap w:val="0"/>
            <w:vAlign w:val="center"/>
          </w:tcPr>
          <w:p>
            <w:pPr>
              <w:pStyle w:val="22"/>
              <w:spacing w:line="0" w:lineRule="atLeast"/>
              <w:jc w:val="center"/>
              <w:rPr>
                <w:rFonts w:hint="eastAsia" w:hAnsi="宋体"/>
                <w:color w:val="auto"/>
                <w:sz w:val="21"/>
                <w:szCs w:val="21"/>
                <w:highlight w:val="none"/>
              </w:rPr>
            </w:pPr>
            <w:r>
              <w:rPr>
                <w:rFonts w:hint="eastAsia" w:hAnsi="宋体"/>
                <w:color w:val="auto"/>
                <w:sz w:val="21"/>
                <w:szCs w:val="21"/>
                <w:highlight w:val="none"/>
                <w:lang w:eastAsia="zh-CN"/>
              </w:rPr>
              <w:t>投标截止时间</w:t>
            </w:r>
            <w:r>
              <w:rPr>
                <w:rFonts w:hint="eastAsia" w:hAnsi="宋体"/>
                <w:color w:val="auto"/>
                <w:sz w:val="21"/>
                <w:szCs w:val="21"/>
                <w:highlight w:val="none"/>
              </w:rPr>
              <w:t>和地点</w:t>
            </w:r>
          </w:p>
        </w:tc>
        <w:tc>
          <w:tcPr>
            <w:tcW w:w="5513" w:type="dxa"/>
            <w:noWrap w:val="0"/>
            <w:vAlign w:val="center"/>
          </w:tcPr>
          <w:p>
            <w:pPr>
              <w:pStyle w:val="22"/>
              <w:spacing w:line="0" w:lineRule="atLeast"/>
              <w:rPr>
                <w:rFonts w:hint="eastAsia" w:hAnsi="宋体"/>
                <w:color w:val="auto"/>
                <w:sz w:val="21"/>
                <w:szCs w:val="21"/>
                <w:highlight w:val="none"/>
              </w:rPr>
            </w:pPr>
            <w:r>
              <w:rPr>
                <w:rFonts w:hint="eastAsia" w:hAnsi="宋体"/>
                <w:color w:val="auto"/>
                <w:sz w:val="21"/>
                <w:szCs w:val="21"/>
                <w:highlight w:val="none"/>
              </w:rPr>
              <w:t>投标截止时间及地点：2021年</w:t>
            </w:r>
            <w:r>
              <w:rPr>
                <w:rFonts w:hint="eastAsia" w:hAnsi="宋体"/>
                <w:color w:val="auto"/>
                <w:sz w:val="21"/>
                <w:szCs w:val="21"/>
                <w:highlight w:val="none"/>
                <w:lang w:val="en-US" w:eastAsia="zh-CN"/>
              </w:rPr>
              <w:t>10</w:t>
            </w:r>
            <w:r>
              <w:rPr>
                <w:rFonts w:hint="eastAsia" w:hAnsi="宋体"/>
                <w:color w:val="auto"/>
                <w:sz w:val="21"/>
                <w:szCs w:val="21"/>
                <w:highlight w:val="none"/>
              </w:rPr>
              <w:t>月</w:t>
            </w:r>
            <w:r>
              <w:rPr>
                <w:rFonts w:hint="eastAsia" w:hAnsi="宋体"/>
                <w:color w:val="auto"/>
                <w:sz w:val="21"/>
                <w:szCs w:val="21"/>
                <w:highlight w:val="none"/>
                <w:lang w:val="en-US" w:eastAsia="zh-CN"/>
              </w:rPr>
              <w:t>08</w:t>
            </w:r>
            <w:r>
              <w:rPr>
                <w:rFonts w:hint="eastAsia" w:hAnsi="宋体"/>
                <w:color w:val="auto"/>
                <w:sz w:val="21"/>
                <w:szCs w:val="21"/>
                <w:highlight w:val="none"/>
              </w:rPr>
              <w:t>日</w:t>
            </w:r>
            <w:r>
              <w:rPr>
                <w:rFonts w:hint="eastAsia" w:hAnsi="宋体"/>
                <w:color w:val="auto"/>
                <w:sz w:val="21"/>
                <w:szCs w:val="21"/>
                <w:highlight w:val="none"/>
                <w:lang w:val="en-US" w:eastAsia="zh-CN"/>
              </w:rPr>
              <w:t>09</w:t>
            </w:r>
            <w:r>
              <w:rPr>
                <w:rFonts w:hint="eastAsia" w:hAnsi="宋体"/>
                <w:color w:val="auto"/>
                <w:sz w:val="21"/>
                <w:szCs w:val="21"/>
                <w:highlight w:val="none"/>
              </w:rPr>
              <w:t>时</w:t>
            </w:r>
            <w:r>
              <w:rPr>
                <w:rFonts w:hint="eastAsia" w:hAnsi="宋体"/>
                <w:color w:val="auto"/>
                <w:sz w:val="21"/>
                <w:szCs w:val="21"/>
                <w:highlight w:val="none"/>
                <w:lang w:val="en-US" w:eastAsia="zh-CN"/>
              </w:rPr>
              <w:t>00</w:t>
            </w:r>
            <w:r>
              <w:rPr>
                <w:rFonts w:hint="eastAsia" w:hAnsi="宋体"/>
                <w:color w:val="auto"/>
                <w:sz w:val="21"/>
                <w:szCs w:val="21"/>
                <w:highlight w:val="none"/>
              </w:rPr>
              <w:t>分整，通过政采云平台实行在线截标。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noWrap w:val="0"/>
            <w:vAlign w:val="center"/>
          </w:tcPr>
          <w:p>
            <w:pPr>
              <w:spacing w:line="0" w:lineRule="atLeas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5.2</w:t>
            </w:r>
          </w:p>
        </w:tc>
        <w:tc>
          <w:tcPr>
            <w:tcW w:w="2674" w:type="dxa"/>
            <w:noWrap w:val="0"/>
            <w:vAlign w:val="center"/>
          </w:tcPr>
          <w:p>
            <w:pPr>
              <w:pStyle w:val="22"/>
              <w:spacing w:line="0" w:lineRule="atLeast"/>
              <w:jc w:val="center"/>
              <w:rPr>
                <w:rFonts w:hint="eastAsia" w:hAnsi="宋体"/>
                <w:color w:val="auto"/>
                <w:sz w:val="21"/>
                <w:szCs w:val="21"/>
                <w:highlight w:val="none"/>
              </w:rPr>
            </w:pPr>
            <w:r>
              <w:rPr>
                <w:rFonts w:hint="eastAsia" w:hAnsi="宋体"/>
                <w:color w:val="auto"/>
                <w:sz w:val="21"/>
                <w:szCs w:val="21"/>
                <w:highlight w:val="none"/>
              </w:rPr>
              <w:t>开标时间</w:t>
            </w:r>
            <w:r>
              <w:rPr>
                <w:rFonts w:hint="eastAsia" w:hAnsi="宋体"/>
                <w:color w:val="auto"/>
                <w:sz w:val="21"/>
                <w:szCs w:val="21"/>
                <w:highlight w:val="none"/>
                <w:lang w:eastAsia="zh-CN"/>
              </w:rPr>
              <w:t>及</w:t>
            </w:r>
            <w:r>
              <w:rPr>
                <w:rFonts w:hint="eastAsia" w:hAnsi="宋体"/>
                <w:color w:val="auto"/>
                <w:sz w:val="21"/>
                <w:szCs w:val="21"/>
                <w:highlight w:val="none"/>
              </w:rPr>
              <w:t>地点</w:t>
            </w:r>
          </w:p>
        </w:tc>
        <w:tc>
          <w:tcPr>
            <w:tcW w:w="5513" w:type="dxa"/>
            <w:noWrap w:val="0"/>
            <w:vAlign w:val="center"/>
          </w:tcPr>
          <w:p>
            <w:pPr>
              <w:pStyle w:val="22"/>
              <w:spacing w:line="0" w:lineRule="atLeast"/>
              <w:rPr>
                <w:rFonts w:hint="eastAsia" w:hAnsi="宋体"/>
                <w:b/>
                <w:bCs/>
                <w:color w:val="auto"/>
                <w:sz w:val="21"/>
                <w:szCs w:val="21"/>
                <w:highlight w:val="none"/>
              </w:rPr>
            </w:pPr>
            <w:r>
              <w:rPr>
                <w:rFonts w:hint="eastAsia" w:hAnsi="宋体"/>
                <w:b w:val="0"/>
                <w:bCs w:val="0"/>
                <w:color w:val="auto"/>
                <w:sz w:val="21"/>
                <w:szCs w:val="21"/>
                <w:highlight w:val="none"/>
              </w:rPr>
              <w:t>开标时间及地点：2021年</w:t>
            </w:r>
            <w:r>
              <w:rPr>
                <w:rFonts w:hint="eastAsia" w:hAnsi="宋体"/>
                <w:b w:val="0"/>
                <w:bCs w:val="0"/>
                <w:color w:val="auto"/>
                <w:sz w:val="21"/>
                <w:szCs w:val="21"/>
                <w:highlight w:val="none"/>
                <w:lang w:val="en-US" w:eastAsia="zh-CN"/>
              </w:rPr>
              <w:t>10</w:t>
            </w:r>
            <w:r>
              <w:rPr>
                <w:rFonts w:hint="eastAsia" w:hAnsi="宋体"/>
                <w:b w:val="0"/>
                <w:bCs w:val="0"/>
                <w:color w:val="auto"/>
                <w:sz w:val="21"/>
                <w:szCs w:val="21"/>
                <w:highlight w:val="none"/>
              </w:rPr>
              <w:t>月</w:t>
            </w:r>
            <w:r>
              <w:rPr>
                <w:rFonts w:hint="eastAsia" w:hAnsi="宋体"/>
                <w:b w:val="0"/>
                <w:bCs w:val="0"/>
                <w:color w:val="auto"/>
                <w:sz w:val="21"/>
                <w:szCs w:val="21"/>
                <w:highlight w:val="none"/>
                <w:lang w:val="en-US" w:eastAsia="zh-CN"/>
              </w:rPr>
              <w:t>08</w:t>
            </w:r>
            <w:r>
              <w:rPr>
                <w:rFonts w:hint="eastAsia" w:hAnsi="宋体"/>
                <w:b w:val="0"/>
                <w:bCs w:val="0"/>
                <w:color w:val="auto"/>
                <w:sz w:val="21"/>
                <w:szCs w:val="21"/>
                <w:highlight w:val="none"/>
              </w:rPr>
              <w:t>日</w:t>
            </w:r>
            <w:r>
              <w:rPr>
                <w:rFonts w:hint="eastAsia" w:hAnsi="宋体"/>
                <w:b w:val="0"/>
                <w:bCs w:val="0"/>
                <w:color w:val="auto"/>
                <w:sz w:val="21"/>
                <w:szCs w:val="21"/>
                <w:highlight w:val="none"/>
                <w:lang w:val="en-US" w:eastAsia="zh-CN"/>
              </w:rPr>
              <w:t>09</w:t>
            </w:r>
            <w:r>
              <w:rPr>
                <w:rFonts w:hint="eastAsia" w:hAnsi="宋体"/>
                <w:b w:val="0"/>
                <w:bCs w:val="0"/>
                <w:color w:val="auto"/>
                <w:sz w:val="21"/>
                <w:szCs w:val="21"/>
                <w:highlight w:val="none"/>
              </w:rPr>
              <w:t>时</w:t>
            </w:r>
            <w:r>
              <w:rPr>
                <w:rFonts w:hint="eastAsia" w:hAnsi="宋体"/>
                <w:b w:val="0"/>
                <w:bCs w:val="0"/>
                <w:color w:val="auto"/>
                <w:sz w:val="21"/>
                <w:szCs w:val="21"/>
                <w:highlight w:val="none"/>
                <w:lang w:val="en-US" w:eastAsia="zh-CN"/>
              </w:rPr>
              <w:t>00</w:t>
            </w:r>
            <w:r>
              <w:rPr>
                <w:rFonts w:hint="eastAsia" w:hAnsi="宋体"/>
                <w:b w:val="0"/>
                <w:bCs w:val="0"/>
                <w:color w:val="auto"/>
                <w:sz w:val="21"/>
                <w:szCs w:val="21"/>
                <w:highlight w:val="none"/>
              </w:rPr>
              <w:t>分整，通过政采云平台实行在线开标。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noWrap w:val="0"/>
            <w:vAlign w:val="center"/>
          </w:tcPr>
          <w:p>
            <w:pPr>
              <w:spacing w:line="0" w:lineRule="atLeas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5.3</w:t>
            </w:r>
          </w:p>
        </w:tc>
        <w:tc>
          <w:tcPr>
            <w:tcW w:w="2674" w:type="dxa"/>
            <w:noWrap w:val="0"/>
            <w:vAlign w:val="center"/>
          </w:tcPr>
          <w:p>
            <w:pPr>
              <w:pStyle w:val="22"/>
              <w:spacing w:line="0" w:lineRule="atLeast"/>
              <w:jc w:val="center"/>
              <w:rPr>
                <w:rFonts w:hint="eastAsia" w:hAnsi="宋体"/>
                <w:color w:val="auto"/>
                <w:sz w:val="21"/>
                <w:szCs w:val="21"/>
                <w:highlight w:val="none"/>
              </w:rPr>
            </w:pPr>
            <w:r>
              <w:rPr>
                <w:rFonts w:hint="eastAsia" w:hAnsi="宋体"/>
                <w:b w:val="0"/>
                <w:bCs w:val="0"/>
                <w:color w:val="auto"/>
                <w:sz w:val="21"/>
                <w:szCs w:val="21"/>
                <w:highlight w:val="none"/>
              </w:rPr>
              <w:t>电子投标文件解密时间</w:t>
            </w:r>
          </w:p>
        </w:tc>
        <w:tc>
          <w:tcPr>
            <w:tcW w:w="5513" w:type="dxa"/>
            <w:noWrap w:val="0"/>
            <w:vAlign w:val="center"/>
          </w:tcPr>
          <w:p>
            <w:pPr>
              <w:pStyle w:val="22"/>
              <w:spacing w:line="0" w:lineRule="atLeast"/>
              <w:rPr>
                <w:rFonts w:hint="eastAsia" w:hAnsi="宋体"/>
                <w:b w:val="0"/>
                <w:bCs w:val="0"/>
                <w:color w:val="auto"/>
                <w:sz w:val="21"/>
                <w:szCs w:val="21"/>
                <w:highlight w:val="none"/>
              </w:rPr>
            </w:pPr>
            <w:r>
              <w:rPr>
                <w:rFonts w:hint="eastAsia" w:hAnsi="宋体"/>
                <w:b w:val="0"/>
                <w:bCs w:val="0"/>
                <w:color w:val="auto"/>
                <w:sz w:val="21"/>
                <w:szCs w:val="21"/>
                <w:highlight w:val="none"/>
              </w:rPr>
              <w:t>截标时间后30分钟内，投标供应商必须在此时间段内登录政采云平台，用“项目采购-开标评标”功能完成电子投标文件的解密。若投标供应商在规定时间内未按时解密的，视为投标文件撤回。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noWrap w:val="0"/>
            <w:vAlign w:val="center"/>
          </w:tcPr>
          <w:p>
            <w:pPr>
              <w:spacing w:line="0" w:lineRule="atLeast"/>
              <w:jc w:val="center"/>
              <w:rPr>
                <w:color w:val="auto"/>
                <w:highlight w:val="none"/>
              </w:rPr>
            </w:pPr>
            <w:r>
              <w:rPr>
                <w:rFonts w:hint="eastAsia" w:ascii="宋体" w:hAnsi="宋体" w:cs="宋体"/>
                <w:color w:val="auto"/>
                <w:highlight w:val="none"/>
              </w:rPr>
              <w:t>5.2</w:t>
            </w:r>
          </w:p>
        </w:tc>
        <w:tc>
          <w:tcPr>
            <w:tcW w:w="2674" w:type="dxa"/>
            <w:noWrap w:val="0"/>
            <w:vAlign w:val="center"/>
          </w:tcPr>
          <w:p>
            <w:pPr>
              <w:pStyle w:val="22"/>
              <w:spacing w:line="0" w:lineRule="atLeast"/>
              <w:jc w:val="center"/>
              <w:rPr>
                <w:color w:val="auto"/>
                <w:highlight w:val="none"/>
              </w:rPr>
            </w:pPr>
            <w:r>
              <w:rPr>
                <w:rFonts w:hint="eastAsia" w:hAnsi="宋体"/>
                <w:color w:val="auto"/>
                <w:sz w:val="21"/>
                <w:szCs w:val="21"/>
                <w:highlight w:val="none"/>
              </w:rPr>
              <w:t>开标程序</w:t>
            </w:r>
          </w:p>
        </w:tc>
        <w:tc>
          <w:tcPr>
            <w:tcW w:w="5513" w:type="dxa"/>
            <w:noWrap w:val="0"/>
            <w:vAlign w:val="bottom"/>
          </w:tcPr>
          <w:p>
            <w:pPr>
              <w:widowControl/>
              <w:jc w:val="left"/>
              <w:rPr>
                <w:rFonts w:hint="eastAsia" w:hAnsi="宋体"/>
                <w:color w:val="auto"/>
                <w:szCs w:val="21"/>
                <w:highlight w:val="none"/>
              </w:rPr>
            </w:pPr>
          </w:p>
          <w:p>
            <w:pPr>
              <w:widowControl/>
              <w:jc w:val="left"/>
              <w:rPr>
                <w:rFonts w:hint="eastAsia" w:hAnsi="宋体" w:eastAsia="宋体"/>
                <w:color w:val="auto"/>
                <w:szCs w:val="21"/>
                <w:highlight w:val="none"/>
                <w:lang w:eastAsia="zh-CN"/>
              </w:rPr>
            </w:pPr>
            <w:r>
              <w:rPr>
                <w:rFonts w:hint="eastAsia" w:hAnsi="宋体"/>
                <w:color w:val="auto"/>
                <w:szCs w:val="21"/>
                <w:highlight w:val="none"/>
                <w:lang w:eastAsia="zh-CN"/>
              </w:rPr>
              <w:t>详见</w:t>
            </w:r>
            <w:r>
              <w:rPr>
                <w:rFonts w:hint="eastAsia" w:hAnsi="宋体"/>
                <w:color w:val="auto"/>
                <w:szCs w:val="21"/>
                <w:highlight w:val="none"/>
              </w:rPr>
              <w:t>投标人须知正文部分</w:t>
            </w:r>
            <w:r>
              <w:rPr>
                <w:rFonts w:hint="eastAsia" w:hAnsi="宋体"/>
                <w:color w:val="auto"/>
                <w:szCs w:val="21"/>
                <w:highlight w:val="none"/>
                <w:lang w:eastAsia="zh-CN"/>
              </w:rPr>
              <w:t>。</w:t>
            </w:r>
          </w:p>
          <w:p>
            <w:pPr>
              <w:widowControl/>
              <w:jc w:val="left"/>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noWrap w:val="0"/>
            <w:vAlign w:val="center"/>
          </w:tcPr>
          <w:p>
            <w:pPr>
              <w:spacing w:line="0" w:lineRule="atLeast"/>
              <w:jc w:val="center"/>
              <w:rPr>
                <w:color w:val="auto"/>
                <w:highlight w:val="none"/>
              </w:rPr>
            </w:pPr>
            <w:r>
              <w:rPr>
                <w:rFonts w:hint="eastAsia" w:ascii="宋体" w:hAnsi="宋体" w:cs="宋体"/>
                <w:color w:val="auto"/>
                <w:highlight w:val="none"/>
              </w:rPr>
              <w:t>6.1.1</w:t>
            </w:r>
          </w:p>
        </w:tc>
        <w:tc>
          <w:tcPr>
            <w:tcW w:w="2674" w:type="dxa"/>
            <w:noWrap w:val="0"/>
            <w:vAlign w:val="center"/>
          </w:tcPr>
          <w:p>
            <w:pPr>
              <w:pStyle w:val="22"/>
              <w:spacing w:line="0" w:lineRule="atLeast"/>
              <w:jc w:val="center"/>
              <w:rPr>
                <w:color w:val="auto"/>
                <w:highlight w:val="none"/>
              </w:rPr>
            </w:pPr>
            <w:r>
              <w:rPr>
                <w:rFonts w:hint="eastAsia" w:hAnsi="宋体"/>
                <w:color w:val="auto"/>
                <w:sz w:val="21"/>
                <w:szCs w:val="21"/>
                <w:highlight w:val="none"/>
              </w:rPr>
              <w:t>评标委员会的组建</w:t>
            </w:r>
          </w:p>
        </w:tc>
        <w:tc>
          <w:tcPr>
            <w:tcW w:w="5513" w:type="dxa"/>
            <w:noWrap w:val="0"/>
            <w:vAlign w:val="center"/>
          </w:tcPr>
          <w:p>
            <w:pPr>
              <w:pStyle w:val="22"/>
              <w:spacing w:line="0" w:lineRule="atLeast"/>
              <w:rPr>
                <w:rFonts w:hint="eastAsia" w:hAnsi="宋体"/>
                <w:color w:val="auto"/>
                <w:sz w:val="21"/>
                <w:szCs w:val="21"/>
                <w:highlight w:val="none"/>
              </w:rPr>
            </w:pPr>
            <w:r>
              <w:rPr>
                <w:rFonts w:hint="eastAsia" w:hAnsi="宋体"/>
                <w:color w:val="auto"/>
                <w:sz w:val="21"/>
                <w:szCs w:val="21"/>
                <w:highlight w:val="none"/>
              </w:rPr>
              <w:t>评标委员会构成：5人（业主代表1人，专家4人）</w:t>
            </w:r>
          </w:p>
          <w:p>
            <w:pPr>
              <w:pStyle w:val="22"/>
              <w:spacing w:line="0" w:lineRule="atLeast"/>
              <w:rPr>
                <w:color w:val="auto"/>
                <w:highlight w:val="none"/>
              </w:rPr>
            </w:pPr>
            <w:r>
              <w:rPr>
                <w:rFonts w:ascii="宋体" w:hAnsi="宋体" w:cs="宋体"/>
                <w:color w:val="auto"/>
                <w:sz w:val="21"/>
                <w:szCs w:val="21"/>
                <w:highlight w:val="none"/>
                <w:lang w:bidi="ar"/>
              </w:rPr>
              <w:t>评标专家确定方式： 随机抽取 。</w:t>
            </w:r>
            <w:r>
              <w:rPr>
                <w:rFonts w:hint="eastAsia" w:hAnsi="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noWrap w:val="0"/>
            <w:vAlign w:val="center"/>
          </w:tcPr>
          <w:p>
            <w:pPr>
              <w:spacing w:line="0" w:lineRule="atLeast"/>
              <w:jc w:val="center"/>
              <w:rPr>
                <w:color w:val="auto"/>
                <w:highlight w:val="none"/>
              </w:rPr>
            </w:pPr>
            <w:r>
              <w:rPr>
                <w:rFonts w:hint="eastAsia" w:ascii="宋体" w:hAnsi="宋体" w:cs="宋体"/>
                <w:color w:val="auto"/>
                <w:highlight w:val="none"/>
              </w:rPr>
              <w:t>7.1</w:t>
            </w:r>
          </w:p>
        </w:tc>
        <w:tc>
          <w:tcPr>
            <w:tcW w:w="2674" w:type="dxa"/>
            <w:noWrap w:val="0"/>
            <w:vAlign w:val="center"/>
          </w:tcPr>
          <w:p>
            <w:pPr>
              <w:pStyle w:val="22"/>
              <w:spacing w:line="0" w:lineRule="atLeast"/>
              <w:jc w:val="center"/>
              <w:rPr>
                <w:color w:val="auto"/>
                <w:highlight w:val="none"/>
              </w:rPr>
            </w:pPr>
            <w:r>
              <w:rPr>
                <w:rFonts w:hint="eastAsia" w:hAnsi="宋体"/>
                <w:color w:val="auto"/>
                <w:sz w:val="21"/>
                <w:szCs w:val="21"/>
                <w:highlight w:val="none"/>
              </w:rPr>
              <w:t>是否授权评标委员会确定中标人</w:t>
            </w:r>
          </w:p>
        </w:tc>
        <w:tc>
          <w:tcPr>
            <w:tcW w:w="5513" w:type="dxa"/>
            <w:noWrap w:val="0"/>
            <w:vAlign w:val="center"/>
          </w:tcPr>
          <w:p>
            <w:pPr>
              <w:pStyle w:val="22"/>
              <w:spacing w:line="0" w:lineRule="atLeast"/>
              <w:jc w:val="both"/>
              <w:rPr>
                <w:color w:val="auto"/>
                <w:highlight w:val="none"/>
              </w:rPr>
            </w:pPr>
            <w:r>
              <w:rPr>
                <w:rFonts w:hint="eastAsia" w:hAnsi="宋体"/>
                <w:color w:val="auto"/>
                <w:sz w:val="21"/>
                <w:szCs w:val="21"/>
                <w:highlight w:val="none"/>
              </w:rPr>
              <w:t>否，推荐的中标候选人数：3名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07" w:type="dxa"/>
            <w:noWrap w:val="0"/>
            <w:vAlign w:val="center"/>
          </w:tcPr>
          <w:p>
            <w:pPr>
              <w:spacing w:line="0" w:lineRule="atLeast"/>
              <w:jc w:val="center"/>
              <w:rPr>
                <w:color w:val="auto"/>
                <w:highlight w:val="none"/>
              </w:rPr>
            </w:pPr>
            <w:r>
              <w:rPr>
                <w:rFonts w:hint="eastAsia" w:ascii="宋体" w:hAnsi="宋体" w:cs="宋体"/>
                <w:color w:val="auto"/>
                <w:highlight w:val="none"/>
              </w:rPr>
              <w:t>7.3.1</w:t>
            </w:r>
          </w:p>
        </w:tc>
        <w:tc>
          <w:tcPr>
            <w:tcW w:w="2674" w:type="dxa"/>
            <w:noWrap w:val="0"/>
            <w:vAlign w:val="center"/>
          </w:tcPr>
          <w:p>
            <w:pPr>
              <w:pStyle w:val="22"/>
              <w:spacing w:line="0" w:lineRule="atLeast"/>
              <w:jc w:val="center"/>
              <w:rPr>
                <w:color w:val="auto"/>
                <w:highlight w:val="none"/>
              </w:rPr>
            </w:pPr>
            <w:r>
              <w:rPr>
                <w:rFonts w:hint="eastAsia" w:hAnsi="宋体"/>
                <w:color w:val="auto"/>
                <w:sz w:val="21"/>
                <w:szCs w:val="21"/>
                <w:highlight w:val="none"/>
              </w:rPr>
              <w:t>履约保证金</w:t>
            </w:r>
          </w:p>
        </w:tc>
        <w:tc>
          <w:tcPr>
            <w:tcW w:w="5513" w:type="dxa"/>
            <w:noWrap w:val="0"/>
            <w:vAlign w:val="center"/>
          </w:tcPr>
          <w:p>
            <w:pPr>
              <w:pStyle w:val="22"/>
              <w:spacing w:line="0" w:lineRule="atLeast"/>
              <w:rPr>
                <w:rFonts w:hint="eastAsia"/>
                <w:color w:val="auto"/>
                <w:highlight w:val="none"/>
              </w:rPr>
            </w:pPr>
            <w:r>
              <w:rPr>
                <w:rFonts w:hint="eastAsia" w:hAnsi="宋体"/>
                <w:color w:val="auto"/>
                <w:sz w:val="21"/>
                <w:szCs w:val="21"/>
                <w:highlight w:val="none"/>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207" w:type="dxa"/>
            <w:noWrap w:val="0"/>
            <w:vAlign w:val="center"/>
          </w:tcPr>
          <w:p>
            <w:pPr>
              <w:spacing w:line="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2674" w:type="dxa"/>
            <w:noWrap w:val="0"/>
            <w:vAlign w:val="center"/>
          </w:tcPr>
          <w:p>
            <w:pPr>
              <w:spacing w:line="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需要补充的其他内容</w:t>
            </w:r>
          </w:p>
        </w:tc>
        <w:tc>
          <w:tcPr>
            <w:tcW w:w="5513" w:type="dxa"/>
            <w:noWrap w:val="0"/>
            <w:vAlign w:val="center"/>
          </w:tcPr>
          <w:p>
            <w:pPr>
              <w:spacing w:line="0" w:lineRule="atLeas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rPr>
              <w:t>如在评标过程中，发现投标人有严重不平衡报价的，业主有权要求投标人在总价不变的情况下，调整不平衡报价，投标人不得拒绝</w:t>
            </w:r>
            <w:r>
              <w:rPr>
                <w:rFonts w:hint="eastAsia" w:ascii="宋体" w:hAnsi="宋体" w:cs="宋体"/>
                <w:color w:val="auto"/>
                <w:highlight w:val="none"/>
                <w:lang w:eastAsia="zh-CN"/>
              </w:rPr>
              <w:t>；评标委员会有权要求投标人提供类似业绩并加盖公章做出澄清，否则视为无效报价。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1207" w:type="dxa"/>
            <w:noWrap w:val="0"/>
            <w:vAlign w:val="center"/>
          </w:tcPr>
          <w:p>
            <w:pPr>
              <w:spacing w:line="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2674" w:type="dxa"/>
            <w:noWrap w:val="0"/>
            <w:vAlign w:val="center"/>
          </w:tcPr>
          <w:p>
            <w:pPr>
              <w:spacing w:line="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招 标 代 理</w:t>
            </w:r>
          </w:p>
          <w:p>
            <w:pPr>
              <w:spacing w:line="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服务费</w:t>
            </w:r>
          </w:p>
        </w:tc>
        <w:tc>
          <w:tcPr>
            <w:tcW w:w="5513" w:type="dxa"/>
            <w:noWrap w:val="0"/>
            <w:vAlign w:val="center"/>
          </w:tcPr>
          <w:p>
            <w:pPr>
              <w:spacing w:line="360" w:lineRule="exact"/>
              <w:rPr>
                <w:rFonts w:hint="eastAsia" w:ascii="宋体" w:hAnsi="宋体" w:cs="宋体"/>
                <w:color w:val="auto"/>
                <w:highlight w:val="none"/>
              </w:rPr>
            </w:pPr>
            <w:r>
              <w:rPr>
                <w:rFonts w:hint="eastAsia" w:ascii="宋体" w:hAnsi="宋体" w:cs="宋体"/>
                <w:color w:val="auto"/>
                <w:highlight w:val="none"/>
              </w:rPr>
              <w:t>采购代理服务费的收取：由招标代理机构向中标供应商收取。代理服务费根据发改委(2011)534号、发改价格〔2015〕299号文件规定的收费标准，按差额定率累进法计算。签订合同前，中标供应商应向采购代理机构一次性付清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noWrap w:val="0"/>
            <w:vAlign w:val="center"/>
          </w:tcPr>
          <w:p>
            <w:pPr>
              <w:spacing w:line="0" w:lineRule="atLeas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2674" w:type="dxa"/>
            <w:noWrap w:val="0"/>
            <w:vAlign w:val="center"/>
          </w:tcPr>
          <w:p>
            <w:pPr>
              <w:spacing w:line="0" w:lineRule="atLeast"/>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解释权</w:t>
            </w:r>
          </w:p>
        </w:tc>
        <w:tc>
          <w:tcPr>
            <w:tcW w:w="5513" w:type="dxa"/>
            <w:noWrap w:val="0"/>
            <w:vAlign w:val="center"/>
          </w:tcPr>
          <w:p>
            <w:pPr>
              <w:spacing w:line="360" w:lineRule="exact"/>
              <w:rPr>
                <w:rFonts w:hint="eastAsia" w:ascii="宋体" w:hAnsi="宋体" w:cs="宋体"/>
                <w:color w:val="auto"/>
                <w:highlight w:val="none"/>
              </w:rPr>
            </w:pPr>
            <w:r>
              <w:rPr>
                <w:rFonts w:hint="eastAsia" w:cs="宋体"/>
                <w:color w:val="auto"/>
                <w:highlight w:val="none"/>
              </w:rPr>
              <w:t>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补遗或澄清文件与同步更新的招标文件不一致时以补遗或澄清文件为准。按本款前述规定仍不能形成结论的，由招标人负责解释。</w:t>
            </w:r>
          </w:p>
        </w:tc>
      </w:tr>
    </w:tbl>
    <w:p>
      <w:pPr>
        <w:pStyle w:val="2"/>
        <w:ind w:left="0" w:leftChars="0" w:firstLine="0" w:firstLineChars="0"/>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rFonts w:hint="eastAsia"/>
          <w:color w:val="auto"/>
          <w:highlight w:val="none"/>
        </w:rPr>
      </w:pPr>
    </w:p>
    <w:p>
      <w:pPr>
        <w:pStyle w:val="2"/>
        <w:rPr>
          <w:color w:val="auto"/>
          <w:highlight w:val="none"/>
        </w:rPr>
      </w:pPr>
    </w:p>
    <w:p>
      <w:pPr>
        <w:pStyle w:val="2"/>
        <w:rPr>
          <w:color w:val="auto"/>
          <w:highlight w:val="none"/>
        </w:rPr>
      </w:pPr>
    </w:p>
    <w:p>
      <w:pPr>
        <w:pStyle w:val="2"/>
        <w:ind w:left="0" w:leftChars="0" w:firstLine="0" w:firstLineChars="0"/>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5"/>
        <w:jc w:val="center"/>
        <w:rPr>
          <w:color w:val="auto"/>
          <w:highlight w:val="none"/>
        </w:rPr>
      </w:pPr>
      <w:bookmarkStart w:id="46" w:name="_Toc389065144"/>
      <w:bookmarkStart w:id="47" w:name="_Toc16584"/>
      <w:bookmarkStart w:id="48" w:name="_Toc76726731"/>
      <w:bookmarkStart w:id="49" w:name="_Toc5195925"/>
      <w:bookmarkStart w:id="50" w:name="_Toc389065145"/>
      <w:r>
        <w:rPr>
          <w:color w:val="auto"/>
          <w:highlight w:val="none"/>
        </w:rPr>
        <w:t>投标人须知正文部分</w:t>
      </w:r>
      <w:bookmarkEnd w:id="46"/>
      <w:bookmarkEnd w:id="47"/>
      <w:bookmarkEnd w:id="48"/>
      <w:bookmarkEnd w:id="49"/>
    </w:p>
    <w:p>
      <w:pPr>
        <w:pStyle w:val="6"/>
        <w:rPr>
          <w:color w:val="auto"/>
          <w:highlight w:val="none"/>
        </w:rPr>
      </w:pPr>
      <w:bookmarkStart w:id="51" w:name="_Toc76726732"/>
      <w:r>
        <w:rPr>
          <w:color w:val="auto"/>
          <w:highlight w:val="none"/>
        </w:rPr>
        <w:t>1 总则</w:t>
      </w:r>
      <w:bookmarkEnd w:id="50"/>
      <w:bookmarkEnd w:id="51"/>
    </w:p>
    <w:p>
      <w:pPr>
        <w:pStyle w:val="7"/>
        <w:rPr>
          <w:color w:val="auto"/>
          <w:highlight w:val="none"/>
        </w:rPr>
      </w:pPr>
      <w:bookmarkStart w:id="52" w:name="_Toc389065146"/>
      <w:bookmarkStart w:id="53" w:name="_Toc76726733"/>
      <w:r>
        <w:rPr>
          <w:color w:val="auto"/>
          <w:highlight w:val="none"/>
        </w:rPr>
        <w:t>1.1 项目概况</w:t>
      </w:r>
      <w:bookmarkEnd w:id="52"/>
      <w:bookmarkEnd w:id="53"/>
    </w:p>
    <w:p>
      <w:pPr>
        <w:spacing w:line="360" w:lineRule="auto"/>
        <w:ind w:firstLine="420" w:firstLineChars="200"/>
        <w:rPr>
          <w:color w:val="auto"/>
          <w:szCs w:val="21"/>
          <w:highlight w:val="none"/>
        </w:rPr>
      </w:pPr>
      <w:r>
        <w:rPr>
          <w:color w:val="auto"/>
          <w:szCs w:val="21"/>
          <w:highlight w:val="none"/>
        </w:rPr>
        <w:t>1.1.1 根据《中华人民共和国招标投标法》等有关法律、法规和规章的规定，本招标项目已具备招标条件，现对本标段施工进行招标。</w:t>
      </w:r>
    </w:p>
    <w:p>
      <w:pPr>
        <w:spacing w:line="360" w:lineRule="auto"/>
        <w:ind w:firstLine="420" w:firstLineChars="200"/>
        <w:rPr>
          <w:color w:val="auto"/>
          <w:szCs w:val="21"/>
          <w:highlight w:val="none"/>
        </w:rPr>
      </w:pPr>
      <w:r>
        <w:rPr>
          <w:color w:val="auto"/>
          <w:szCs w:val="21"/>
          <w:highlight w:val="none"/>
        </w:rPr>
        <w:t>1.1.2 本招标项目招标人：见“投标人须知前附表”。</w:t>
      </w:r>
    </w:p>
    <w:p>
      <w:pPr>
        <w:spacing w:line="360" w:lineRule="auto"/>
        <w:ind w:firstLine="420" w:firstLineChars="200"/>
        <w:rPr>
          <w:color w:val="auto"/>
          <w:szCs w:val="21"/>
          <w:highlight w:val="none"/>
        </w:rPr>
      </w:pPr>
      <w:r>
        <w:rPr>
          <w:color w:val="auto"/>
          <w:szCs w:val="21"/>
          <w:highlight w:val="none"/>
        </w:rPr>
        <w:t>1.1.3 本标段招标代理机构：见“投标人须知前附表”。</w:t>
      </w:r>
    </w:p>
    <w:p>
      <w:pPr>
        <w:spacing w:line="360" w:lineRule="auto"/>
        <w:ind w:firstLine="420" w:firstLineChars="200"/>
        <w:rPr>
          <w:color w:val="auto"/>
          <w:szCs w:val="21"/>
          <w:highlight w:val="none"/>
        </w:rPr>
      </w:pPr>
      <w:r>
        <w:rPr>
          <w:color w:val="auto"/>
          <w:szCs w:val="21"/>
          <w:highlight w:val="none"/>
        </w:rPr>
        <w:t>1.1.4 本招标项目名称</w:t>
      </w:r>
      <w:r>
        <w:rPr>
          <w:rFonts w:hint="eastAsia"/>
          <w:color w:val="auto"/>
          <w:szCs w:val="21"/>
          <w:highlight w:val="none"/>
        </w:rPr>
        <w:t>及项目招标编号</w:t>
      </w:r>
      <w:r>
        <w:rPr>
          <w:color w:val="auto"/>
          <w:szCs w:val="21"/>
          <w:highlight w:val="none"/>
        </w:rPr>
        <w:t>：见“投标人须知前附表”。</w:t>
      </w:r>
    </w:p>
    <w:p>
      <w:pPr>
        <w:spacing w:line="360" w:lineRule="auto"/>
        <w:ind w:firstLine="420" w:firstLineChars="200"/>
        <w:rPr>
          <w:color w:val="auto"/>
          <w:szCs w:val="21"/>
          <w:highlight w:val="none"/>
        </w:rPr>
      </w:pPr>
      <w:r>
        <w:rPr>
          <w:color w:val="auto"/>
          <w:szCs w:val="21"/>
          <w:highlight w:val="none"/>
        </w:rPr>
        <w:t>1.1.5 本标段建设地点：见“投标人须知前附表”。</w:t>
      </w:r>
    </w:p>
    <w:p>
      <w:pPr>
        <w:pStyle w:val="7"/>
        <w:rPr>
          <w:color w:val="auto"/>
          <w:highlight w:val="none"/>
        </w:rPr>
      </w:pPr>
      <w:bookmarkStart w:id="54" w:name="_Toc76726734"/>
      <w:bookmarkStart w:id="55" w:name="_Toc389065147"/>
      <w:r>
        <w:rPr>
          <w:color w:val="auto"/>
          <w:highlight w:val="none"/>
        </w:rPr>
        <w:t>1.2 资金来源和落实情况</w:t>
      </w:r>
      <w:bookmarkEnd w:id="54"/>
      <w:bookmarkEnd w:id="55"/>
    </w:p>
    <w:p>
      <w:pPr>
        <w:spacing w:line="360" w:lineRule="auto"/>
        <w:ind w:firstLine="420" w:firstLineChars="200"/>
        <w:rPr>
          <w:color w:val="auto"/>
          <w:szCs w:val="21"/>
          <w:highlight w:val="none"/>
        </w:rPr>
      </w:pPr>
      <w:r>
        <w:rPr>
          <w:color w:val="auto"/>
          <w:szCs w:val="21"/>
          <w:highlight w:val="none"/>
        </w:rPr>
        <w:t>1.2.1 本招标项目的资金来源：见“投标人须知前附表”。</w:t>
      </w:r>
    </w:p>
    <w:p>
      <w:pPr>
        <w:spacing w:line="360" w:lineRule="auto"/>
        <w:ind w:firstLine="420" w:firstLineChars="200"/>
        <w:rPr>
          <w:color w:val="auto"/>
          <w:szCs w:val="21"/>
          <w:highlight w:val="none"/>
        </w:rPr>
      </w:pPr>
      <w:r>
        <w:rPr>
          <w:color w:val="auto"/>
          <w:szCs w:val="21"/>
          <w:highlight w:val="none"/>
        </w:rPr>
        <w:t>1.2.2 本招标项目的出资比例：见“投标人须知前附表”。</w:t>
      </w:r>
    </w:p>
    <w:p>
      <w:pPr>
        <w:spacing w:line="360" w:lineRule="auto"/>
        <w:ind w:firstLine="420" w:firstLineChars="200"/>
        <w:rPr>
          <w:color w:val="auto"/>
          <w:szCs w:val="21"/>
          <w:highlight w:val="none"/>
        </w:rPr>
      </w:pPr>
      <w:r>
        <w:rPr>
          <w:color w:val="auto"/>
          <w:szCs w:val="21"/>
          <w:highlight w:val="none"/>
        </w:rPr>
        <w:t>1.2.3 本招标项目的资金落实情况：见“投标人须知前附表”。</w:t>
      </w:r>
    </w:p>
    <w:p>
      <w:pPr>
        <w:pStyle w:val="7"/>
        <w:rPr>
          <w:color w:val="auto"/>
          <w:highlight w:val="none"/>
        </w:rPr>
      </w:pPr>
      <w:bookmarkStart w:id="56" w:name="_Toc389065148"/>
      <w:bookmarkStart w:id="57" w:name="_Toc76726735"/>
      <w:r>
        <w:rPr>
          <w:color w:val="auto"/>
          <w:highlight w:val="none"/>
        </w:rPr>
        <w:t>1.3 招标范围、计划工期和质量要求</w:t>
      </w:r>
      <w:bookmarkEnd w:id="56"/>
      <w:bookmarkEnd w:id="57"/>
    </w:p>
    <w:p>
      <w:pPr>
        <w:spacing w:line="360" w:lineRule="auto"/>
        <w:ind w:firstLine="420" w:firstLineChars="200"/>
        <w:rPr>
          <w:color w:val="auto"/>
          <w:szCs w:val="21"/>
          <w:highlight w:val="none"/>
        </w:rPr>
      </w:pPr>
      <w:r>
        <w:rPr>
          <w:color w:val="auto"/>
          <w:szCs w:val="21"/>
          <w:highlight w:val="none"/>
        </w:rPr>
        <w:t>1.3.1 本次招标范围：见“投标人须知前附表”。</w:t>
      </w:r>
    </w:p>
    <w:p>
      <w:pPr>
        <w:spacing w:line="360" w:lineRule="auto"/>
        <w:ind w:firstLine="420" w:firstLineChars="200"/>
        <w:rPr>
          <w:color w:val="auto"/>
          <w:szCs w:val="21"/>
          <w:highlight w:val="none"/>
        </w:rPr>
      </w:pPr>
      <w:r>
        <w:rPr>
          <w:color w:val="auto"/>
          <w:szCs w:val="21"/>
          <w:highlight w:val="none"/>
        </w:rPr>
        <w:t>1.3.2 本标段的</w:t>
      </w:r>
      <w:r>
        <w:rPr>
          <w:rFonts w:hint="eastAsia"/>
          <w:color w:val="auto"/>
          <w:szCs w:val="21"/>
          <w:highlight w:val="none"/>
        </w:rPr>
        <w:t>要求</w:t>
      </w:r>
      <w:r>
        <w:rPr>
          <w:color w:val="auto"/>
          <w:szCs w:val="21"/>
          <w:highlight w:val="none"/>
        </w:rPr>
        <w:t>工期：见“投标人须知前附表”。</w:t>
      </w:r>
    </w:p>
    <w:p>
      <w:pPr>
        <w:spacing w:line="360" w:lineRule="auto"/>
        <w:ind w:firstLine="420" w:firstLineChars="200"/>
        <w:rPr>
          <w:color w:val="auto"/>
          <w:szCs w:val="21"/>
          <w:highlight w:val="none"/>
        </w:rPr>
      </w:pPr>
      <w:r>
        <w:rPr>
          <w:color w:val="auto"/>
          <w:szCs w:val="21"/>
          <w:highlight w:val="none"/>
        </w:rPr>
        <w:t>1.3.3 本标段的质量要求：见“投标人须知前附表”。</w:t>
      </w:r>
    </w:p>
    <w:p>
      <w:pPr>
        <w:pStyle w:val="7"/>
        <w:rPr>
          <w:color w:val="auto"/>
          <w:highlight w:val="none"/>
        </w:rPr>
      </w:pPr>
      <w:bookmarkStart w:id="58" w:name="_Toc76726736"/>
      <w:bookmarkStart w:id="59" w:name="_Toc389065149"/>
      <w:r>
        <w:rPr>
          <w:color w:val="auto"/>
          <w:highlight w:val="none"/>
        </w:rPr>
        <w:t>1.4 投标人资格要求</w:t>
      </w:r>
      <w:bookmarkEnd w:id="58"/>
      <w:bookmarkEnd w:id="59"/>
    </w:p>
    <w:p>
      <w:pPr>
        <w:spacing w:line="360" w:lineRule="auto"/>
        <w:ind w:firstLine="420" w:firstLineChars="200"/>
        <w:rPr>
          <w:color w:val="auto"/>
          <w:szCs w:val="21"/>
          <w:highlight w:val="none"/>
        </w:rPr>
      </w:pPr>
      <w:r>
        <w:rPr>
          <w:color w:val="auto"/>
          <w:szCs w:val="21"/>
          <w:highlight w:val="none"/>
        </w:rPr>
        <w:t>1.4.1 投标人应具备承担本项目施工的资质条件、能力、诚信</w:t>
      </w:r>
      <w:r>
        <w:rPr>
          <w:rFonts w:hint="eastAsia"/>
          <w:color w:val="auto"/>
          <w:szCs w:val="21"/>
          <w:highlight w:val="none"/>
        </w:rPr>
        <w:t>等</w:t>
      </w:r>
      <w:r>
        <w:rPr>
          <w:color w:val="auto"/>
          <w:szCs w:val="21"/>
          <w:highlight w:val="none"/>
        </w:rPr>
        <w:t>要求。</w:t>
      </w:r>
    </w:p>
    <w:p>
      <w:pPr>
        <w:spacing w:line="360" w:lineRule="auto"/>
        <w:ind w:firstLine="420" w:firstLineChars="200"/>
        <w:rPr>
          <w:color w:val="auto"/>
          <w:szCs w:val="21"/>
          <w:highlight w:val="none"/>
        </w:rPr>
      </w:pPr>
      <w:r>
        <w:rPr>
          <w:rFonts w:hint="eastAsia"/>
          <w:color w:val="auto"/>
          <w:szCs w:val="21"/>
          <w:highlight w:val="none"/>
        </w:rPr>
        <w:t>⑴</w:t>
      </w:r>
      <w:r>
        <w:rPr>
          <w:color w:val="auto"/>
          <w:szCs w:val="21"/>
          <w:highlight w:val="none"/>
        </w:rPr>
        <w:t xml:space="preserve"> </w:t>
      </w:r>
      <w:r>
        <w:rPr>
          <w:rFonts w:hint="eastAsia"/>
          <w:color w:val="auto"/>
          <w:szCs w:val="21"/>
          <w:highlight w:val="none"/>
        </w:rPr>
        <w:t>资质条件：见投标人须知前附表；</w:t>
      </w:r>
    </w:p>
    <w:p>
      <w:pPr>
        <w:spacing w:line="360" w:lineRule="auto"/>
        <w:ind w:firstLine="420" w:firstLineChars="200"/>
        <w:rPr>
          <w:color w:val="auto"/>
          <w:szCs w:val="21"/>
          <w:highlight w:val="none"/>
        </w:rPr>
      </w:pPr>
      <w:r>
        <w:rPr>
          <w:rFonts w:hint="eastAsia"/>
          <w:color w:val="auto"/>
          <w:szCs w:val="21"/>
          <w:highlight w:val="none"/>
        </w:rPr>
        <w:t>⑵</w:t>
      </w:r>
      <w:r>
        <w:rPr>
          <w:color w:val="auto"/>
          <w:szCs w:val="21"/>
          <w:highlight w:val="none"/>
        </w:rPr>
        <w:t xml:space="preserve"> </w:t>
      </w:r>
      <w:r>
        <w:rPr>
          <w:rFonts w:hint="eastAsia"/>
          <w:color w:val="auto"/>
          <w:szCs w:val="21"/>
          <w:highlight w:val="none"/>
        </w:rPr>
        <w:t>财务要求：见投标人须知前附表；</w:t>
      </w:r>
    </w:p>
    <w:p>
      <w:pPr>
        <w:spacing w:line="360" w:lineRule="auto"/>
        <w:ind w:firstLine="420" w:firstLineChars="200"/>
        <w:rPr>
          <w:color w:val="auto"/>
          <w:szCs w:val="21"/>
          <w:highlight w:val="none"/>
        </w:rPr>
      </w:pPr>
      <w:r>
        <w:rPr>
          <w:rFonts w:hint="eastAsia"/>
          <w:color w:val="auto"/>
          <w:szCs w:val="21"/>
          <w:highlight w:val="none"/>
        </w:rPr>
        <w:t>⑶</w:t>
      </w:r>
      <w:r>
        <w:rPr>
          <w:color w:val="auto"/>
          <w:szCs w:val="21"/>
          <w:highlight w:val="none"/>
        </w:rPr>
        <w:t xml:space="preserve"> </w:t>
      </w:r>
      <w:r>
        <w:rPr>
          <w:rFonts w:hint="eastAsia"/>
          <w:color w:val="auto"/>
          <w:szCs w:val="21"/>
          <w:highlight w:val="none"/>
        </w:rPr>
        <w:t>业绩要求：见投标人须知前附表；</w:t>
      </w:r>
    </w:p>
    <w:p>
      <w:pPr>
        <w:spacing w:line="360" w:lineRule="auto"/>
        <w:ind w:firstLine="420" w:firstLineChars="200"/>
        <w:rPr>
          <w:color w:val="auto"/>
          <w:szCs w:val="21"/>
          <w:highlight w:val="none"/>
        </w:rPr>
      </w:pPr>
      <w:r>
        <w:rPr>
          <w:rFonts w:hint="eastAsia"/>
          <w:color w:val="auto"/>
          <w:szCs w:val="21"/>
          <w:highlight w:val="none"/>
        </w:rPr>
        <w:t>⑷</w:t>
      </w:r>
      <w:r>
        <w:rPr>
          <w:color w:val="auto"/>
          <w:szCs w:val="21"/>
          <w:highlight w:val="none"/>
        </w:rPr>
        <w:t xml:space="preserve"> </w:t>
      </w:r>
      <w:r>
        <w:rPr>
          <w:rFonts w:hint="eastAsia"/>
          <w:color w:val="auto"/>
          <w:szCs w:val="21"/>
          <w:highlight w:val="none"/>
        </w:rPr>
        <w:t>信誉要求：见投标人须知前附表；</w:t>
      </w:r>
    </w:p>
    <w:p>
      <w:pPr>
        <w:spacing w:line="360" w:lineRule="auto"/>
        <w:ind w:firstLine="420" w:firstLineChars="200"/>
        <w:rPr>
          <w:color w:val="auto"/>
          <w:szCs w:val="21"/>
          <w:highlight w:val="none"/>
        </w:rPr>
      </w:pPr>
      <w:r>
        <w:rPr>
          <w:rFonts w:hint="eastAsia"/>
          <w:color w:val="auto"/>
          <w:szCs w:val="21"/>
          <w:highlight w:val="none"/>
        </w:rPr>
        <w:t>⑸</w:t>
      </w:r>
      <w:r>
        <w:rPr>
          <w:color w:val="auto"/>
          <w:szCs w:val="21"/>
          <w:highlight w:val="none"/>
        </w:rPr>
        <w:t xml:space="preserve"> </w:t>
      </w:r>
      <w:r>
        <w:rPr>
          <w:rFonts w:hint="eastAsia"/>
          <w:color w:val="auto"/>
          <w:szCs w:val="21"/>
          <w:highlight w:val="none"/>
        </w:rPr>
        <w:t>项目经理资格：见投标人须知前附表；</w:t>
      </w:r>
    </w:p>
    <w:p>
      <w:pPr>
        <w:spacing w:line="360" w:lineRule="auto"/>
        <w:ind w:firstLine="420" w:firstLineChars="200"/>
        <w:rPr>
          <w:color w:val="auto"/>
          <w:szCs w:val="21"/>
          <w:highlight w:val="none"/>
        </w:rPr>
      </w:pPr>
      <w:r>
        <w:rPr>
          <w:rFonts w:hint="eastAsia"/>
          <w:color w:val="auto"/>
          <w:szCs w:val="21"/>
          <w:highlight w:val="none"/>
        </w:rPr>
        <w:t>⑹</w:t>
      </w:r>
      <w:r>
        <w:rPr>
          <w:color w:val="auto"/>
          <w:szCs w:val="21"/>
          <w:highlight w:val="none"/>
        </w:rPr>
        <w:t xml:space="preserve"> </w:t>
      </w:r>
      <w:r>
        <w:rPr>
          <w:rFonts w:hint="eastAsia"/>
          <w:color w:val="auto"/>
          <w:szCs w:val="21"/>
          <w:highlight w:val="none"/>
        </w:rPr>
        <w:t>其他要求：见投标人须知前附表。</w:t>
      </w:r>
    </w:p>
    <w:p>
      <w:pPr>
        <w:spacing w:line="360" w:lineRule="auto"/>
        <w:ind w:firstLine="420" w:firstLineChars="200"/>
        <w:rPr>
          <w:color w:val="auto"/>
          <w:szCs w:val="21"/>
          <w:highlight w:val="none"/>
        </w:rPr>
      </w:pPr>
      <w:r>
        <w:rPr>
          <w:color w:val="auto"/>
          <w:szCs w:val="21"/>
          <w:highlight w:val="none"/>
        </w:rPr>
        <w:t>1.4.2 “投标人须知前附表”规定接受联合体投标的，除应符合本章第1.4.1项和“投标人须知前附表”的要求外，还应遵守以下规定：</w:t>
      </w:r>
    </w:p>
    <w:p>
      <w:pPr>
        <w:spacing w:line="360" w:lineRule="auto"/>
        <w:ind w:firstLine="420" w:firstLineChars="200"/>
        <w:rPr>
          <w:color w:val="auto"/>
          <w:szCs w:val="21"/>
          <w:highlight w:val="none"/>
        </w:rPr>
      </w:pPr>
      <w:r>
        <w:rPr>
          <w:color w:val="auto"/>
          <w:szCs w:val="21"/>
          <w:highlight w:val="none"/>
        </w:rPr>
        <w:t>（1）联合体各方应按招标文件提供的格式签订联合体协议书，明确联合体牵头人和各方权利义务；</w:t>
      </w:r>
    </w:p>
    <w:p>
      <w:pPr>
        <w:spacing w:line="360" w:lineRule="auto"/>
        <w:ind w:firstLine="420" w:firstLineChars="200"/>
        <w:rPr>
          <w:color w:val="auto"/>
          <w:szCs w:val="21"/>
          <w:highlight w:val="none"/>
        </w:rPr>
      </w:pPr>
      <w:r>
        <w:rPr>
          <w:color w:val="auto"/>
          <w:szCs w:val="21"/>
          <w:highlight w:val="none"/>
        </w:rPr>
        <w:t>（2）由同一专业的单位组成的联合体，按照资质等级较低的单位确定资质等级；</w:t>
      </w:r>
    </w:p>
    <w:p>
      <w:pPr>
        <w:spacing w:line="360" w:lineRule="auto"/>
        <w:ind w:firstLine="420" w:firstLineChars="200"/>
        <w:rPr>
          <w:color w:val="auto"/>
          <w:szCs w:val="21"/>
          <w:highlight w:val="none"/>
        </w:rPr>
      </w:pPr>
      <w:r>
        <w:rPr>
          <w:color w:val="auto"/>
          <w:szCs w:val="21"/>
          <w:highlight w:val="none"/>
        </w:rPr>
        <w:t>（3）联合体各方不得再以自己名义单独或参加其他联合体在同一标段中投标。</w:t>
      </w:r>
    </w:p>
    <w:p>
      <w:pPr>
        <w:spacing w:line="360" w:lineRule="auto"/>
        <w:ind w:firstLine="420" w:firstLineChars="200"/>
        <w:rPr>
          <w:color w:val="auto"/>
          <w:szCs w:val="21"/>
          <w:highlight w:val="none"/>
        </w:rPr>
      </w:pPr>
      <w:r>
        <w:rPr>
          <w:color w:val="auto"/>
          <w:szCs w:val="21"/>
          <w:highlight w:val="none"/>
        </w:rPr>
        <w:t>1.4.3 投标人不得存在下列情形之一：</w:t>
      </w:r>
    </w:p>
    <w:p>
      <w:pPr>
        <w:spacing w:line="360" w:lineRule="auto"/>
        <w:ind w:firstLine="420" w:firstLineChars="200"/>
        <w:rPr>
          <w:color w:val="auto"/>
          <w:szCs w:val="21"/>
          <w:highlight w:val="none"/>
        </w:rPr>
      </w:pPr>
      <w:r>
        <w:rPr>
          <w:rFonts w:hint="eastAsia"/>
          <w:color w:val="auto"/>
          <w:szCs w:val="21"/>
          <w:highlight w:val="none"/>
        </w:rPr>
        <w:t>⑴</w:t>
      </w:r>
      <w:r>
        <w:rPr>
          <w:color w:val="auto"/>
          <w:szCs w:val="21"/>
          <w:highlight w:val="none"/>
        </w:rPr>
        <w:t xml:space="preserve"> </w:t>
      </w:r>
      <w:r>
        <w:rPr>
          <w:rFonts w:hint="eastAsia"/>
          <w:color w:val="auto"/>
          <w:szCs w:val="21"/>
          <w:highlight w:val="none"/>
        </w:rPr>
        <w:t>为招标人不具有独立法人资格的附属机构（单位）；</w:t>
      </w:r>
    </w:p>
    <w:p>
      <w:pPr>
        <w:spacing w:line="360" w:lineRule="auto"/>
        <w:ind w:firstLine="420" w:firstLineChars="200"/>
        <w:rPr>
          <w:color w:val="auto"/>
          <w:szCs w:val="21"/>
          <w:highlight w:val="none"/>
        </w:rPr>
      </w:pPr>
      <w:r>
        <w:rPr>
          <w:rFonts w:hint="eastAsia"/>
          <w:color w:val="auto"/>
          <w:szCs w:val="21"/>
          <w:highlight w:val="none"/>
        </w:rPr>
        <w:t>⑵</w:t>
      </w:r>
      <w:r>
        <w:rPr>
          <w:color w:val="auto"/>
          <w:szCs w:val="21"/>
          <w:highlight w:val="none"/>
        </w:rPr>
        <w:t xml:space="preserve"> </w:t>
      </w:r>
      <w:r>
        <w:rPr>
          <w:rFonts w:hint="eastAsia"/>
          <w:color w:val="auto"/>
          <w:szCs w:val="21"/>
          <w:highlight w:val="none"/>
        </w:rPr>
        <w:t>为本标段前期准备提供设计或咨询服务的；</w:t>
      </w:r>
    </w:p>
    <w:p>
      <w:pPr>
        <w:spacing w:line="360" w:lineRule="auto"/>
        <w:ind w:firstLine="420" w:firstLineChars="200"/>
        <w:rPr>
          <w:color w:val="auto"/>
          <w:szCs w:val="21"/>
          <w:highlight w:val="none"/>
        </w:rPr>
      </w:pPr>
      <w:r>
        <w:rPr>
          <w:rFonts w:hint="eastAsia"/>
          <w:color w:val="auto"/>
          <w:szCs w:val="21"/>
          <w:highlight w:val="none"/>
        </w:rPr>
        <w:t>⑶</w:t>
      </w:r>
      <w:r>
        <w:rPr>
          <w:color w:val="auto"/>
          <w:szCs w:val="21"/>
          <w:highlight w:val="none"/>
        </w:rPr>
        <w:t xml:space="preserve"> </w:t>
      </w:r>
      <w:r>
        <w:rPr>
          <w:rFonts w:hint="eastAsia"/>
          <w:color w:val="auto"/>
          <w:szCs w:val="21"/>
          <w:highlight w:val="none"/>
        </w:rPr>
        <w:t>为本标段的监理人；</w:t>
      </w:r>
    </w:p>
    <w:p>
      <w:pPr>
        <w:spacing w:line="360" w:lineRule="auto"/>
        <w:ind w:firstLine="420" w:firstLineChars="200"/>
        <w:rPr>
          <w:color w:val="auto"/>
          <w:szCs w:val="21"/>
          <w:highlight w:val="none"/>
        </w:rPr>
      </w:pPr>
      <w:r>
        <w:rPr>
          <w:rFonts w:hint="eastAsia"/>
          <w:color w:val="auto"/>
          <w:szCs w:val="21"/>
          <w:highlight w:val="none"/>
        </w:rPr>
        <w:t>⑷</w:t>
      </w:r>
      <w:r>
        <w:rPr>
          <w:color w:val="auto"/>
          <w:szCs w:val="21"/>
          <w:highlight w:val="none"/>
        </w:rPr>
        <w:t xml:space="preserve"> </w:t>
      </w:r>
      <w:r>
        <w:rPr>
          <w:rFonts w:hint="eastAsia"/>
          <w:color w:val="auto"/>
          <w:szCs w:val="21"/>
          <w:highlight w:val="none"/>
        </w:rPr>
        <w:t>为本标段的代理人；</w:t>
      </w:r>
    </w:p>
    <w:p>
      <w:pPr>
        <w:spacing w:line="360" w:lineRule="auto"/>
        <w:ind w:firstLine="420" w:firstLineChars="200"/>
        <w:rPr>
          <w:color w:val="auto"/>
          <w:szCs w:val="21"/>
          <w:highlight w:val="none"/>
        </w:rPr>
      </w:pPr>
      <w:r>
        <w:rPr>
          <w:rFonts w:hint="eastAsia"/>
          <w:color w:val="auto"/>
          <w:szCs w:val="21"/>
          <w:highlight w:val="none"/>
        </w:rPr>
        <w:t>⑸</w:t>
      </w:r>
      <w:r>
        <w:rPr>
          <w:color w:val="auto"/>
          <w:szCs w:val="21"/>
          <w:highlight w:val="none"/>
        </w:rPr>
        <w:t xml:space="preserve"> </w:t>
      </w:r>
      <w:r>
        <w:rPr>
          <w:rFonts w:hint="eastAsia"/>
          <w:color w:val="auto"/>
          <w:szCs w:val="21"/>
          <w:highlight w:val="none"/>
        </w:rPr>
        <w:t>为本标段提供招标代理服务的；</w:t>
      </w:r>
    </w:p>
    <w:p>
      <w:pPr>
        <w:spacing w:line="360" w:lineRule="auto"/>
        <w:ind w:firstLine="420" w:firstLineChars="200"/>
        <w:rPr>
          <w:color w:val="auto"/>
          <w:szCs w:val="21"/>
          <w:highlight w:val="none"/>
        </w:rPr>
      </w:pPr>
      <w:r>
        <w:rPr>
          <w:rFonts w:hint="eastAsia"/>
          <w:color w:val="auto"/>
          <w:szCs w:val="21"/>
          <w:highlight w:val="none"/>
        </w:rPr>
        <w:t>⑹</w:t>
      </w:r>
      <w:r>
        <w:rPr>
          <w:color w:val="auto"/>
          <w:szCs w:val="21"/>
          <w:highlight w:val="none"/>
        </w:rPr>
        <w:t xml:space="preserve"> </w:t>
      </w:r>
      <w:r>
        <w:rPr>
          <w:rFonts w:hint="eastAsia"/>
          <w:color w:val="auto"/>
          <w:szCs w:val="21"/>
          <w:highlight w:val="none"/>
        </w:rPr>
        <w:t>与本标段的监理人或代建人或招标代理机构同为一个法定代表人的；</w:t>
      </w:r>
    </w:p>
    <w:p>
      <w:pPr>
        <w:spacing w:line="360" w:lineRule="auto"/>
        <w:ind w:firstLine="420" w:firstLineChars="200"/>
        <w:rPr>
          <w:color w:val="auto"/>
          <w:szCs w:val="21"/>
          <w:highlight w:val="none"/>
        </w:rPr>
      </w:pPr>
      <w:r>
        <w:rPr>
          <w:rFonts w:hint="eastAsia"/>
          <w:color w:val="auto"/>
          <w:szCs w:val="21"/>
          <w:highlight w:val="none"/>
        </w:rPr>
        <w:t>⑺</w:t>
      </w:r>
      <w:r>
        <w:rPr>
          <w:color w:val="auto"/>
          <w:szCs w:val="21"/>
          <w:highlight w:val="none"/>
        </w:rPr>
        <w:t xml:space="preserve"> </w:t>
      </w:r>
      <w:r>
        <w:rPr>
          <w:rFonts w:hint="eastAsia"/>
          <w:color w:val="auto"/>
          <w:szCs w:val="21"/>
          <w:highlight w:val="none"/>
        </w:rPr>
        <w:t>与本标段的监理人或代建人或招标代理机构相互控股或参股的；</w:t>
      </w:r>
    </w:p>
    <w:p>
      <w:pPr>
        <w:spacing w:line="360" w:lineRule="auto"/>
        <w:ind w:firstLine="420" w:firstLineChars="200"/>
        <w:rPr>
          <w:color w:val="auto"/>
          <w:szCs w:val="21"/>
          <w:highlight w:val="none"/>
        </w:rPr>
      </w:pPr>
      <w:r>
        <w:rPr>
          <w:rFonts w:hint="eastAsia"/>
          <w:color w:val="auto"/>
          <w:szCs w:val="21"/>
          <w:highlight w:val="none"/>
        </w:rPr>
        <w:t>⑻</w:t>
      </w:r>
      <w:r>
        <w:rPr>
          <w:color w:val="auto"/>
          <w:szCs w:val="21"/>
          <w:highlight w:val="none"/>
        </w:rPr>
        <w:t xml:space="preserve"> </w:t>
      </w:r>
      <w:r>
        <w:rPr>
          <w:rFonts w:hint="eastAsia"/>
          <w:color w:val="auto"/>
          <w:szCs w:val="21"/>
          <w:highlight w:val="none"/>
        </w:rPr>
        <w:t>与本标段的监理人或代建人或招标代理机构相互任职或工作的；</w:t>
      </w:r>
    </w:p>
    <w:p>
      <w:pPr>
        <w:spacing w:line="360" w:lineRule="auto"/>
        <w:ind w:firstLine="420" w:firstLineChars="200"/>
        <w:rPr>
          <w:color w:val="auto"/>
          <w:szCs w:val="21"/>
          <w:highlight w:val="none"/>
        </w:rPr>
      </w:pPr>
      <w:r>
        <w:rPr>
          <w:rFonts w:hint="eastAsia"/>
          <w:color w:val="auto"/>
          <w:szCs w:val="21"/>
          <w:highlight w:val="none"/>
        </w:rPr>
        <w:t>⑼</w:t>
      </w:r>
      <w:r>
        <w:rPr>
          <w:color w:val="auto"/>
          <w:szCs w:val="21"/>
          <w:highlight w:val="none"/>
        </w:rPr>
        <w:t xml:space="preserve"> </w:t>
      </w:r>
      <w:r>
        <w:rPr>
          <w:rFonts w:hint="eastAsia"/>
          <w:color w:val="auto"/>
          <w:szCs w:val="21"/>
          <w:highlight w:val="none"/>
        </w:rPr>
        <w:t>被责令停业的；</w:t>
      </w:r>
    </w:p>
    <w:p>
      <w:pPr>
        <w:spacing w:line="360" w:lineRule="auto"/>
        <w:ind w:firstLine="420" w:firstLineChars="200"/>
        <w:rPr>
          <w:color w:val="auto"/>
          <w:szCs w:val="21"/>
          <w:highlight w:val="none"/>
        </w:rPr>
      </w:pPr>
      <w:r>
        <w:rPr>
          <w:rFonts w:hint="eastAsia"/>
          <w:color w:val="auto"/>
          <w:szCs w:val="21"/>
          <w:highlight w:val="none"/>
        </w:rPr>
        <w:t>⑽</w:t>
      </w:r>
      <w:r>
        <w:rPr>
          <w:color w:val="auto"/>
          <w:szCs w:val="21"/>
          <w:highlight w:val="none"/>
        </w:rPr>
        <w:t xml:space="preserve"> </w:t>
      </w:r>
      <w:r>
        <w:rPr>
          <w:rFonts w:hint="eastAsia"/>
          <w:color w:val="auto"/>
          <w:szCs w:val="21"/>
          <w:highlight w:val="none"/>
        </w:rPr>
        <w:t>被暂停或取消投标资格的；</w:t>
      </w:r>
    </w:p>
    <w:p>
      <w:pPr>
        <w:spacing w:line="360" w:lineRule="auto"/>
        <w:ind w:firstLine="420" w:firstLineChars="200"/>
        <w:rPr>
          <w:color w:val="auto"/>
          <w:szCs w:val="21"/>
          <w:highlight w:val="none"/>
        </w:rPr>
      </w:pPr>
      <w:r>
        <w:rPr>
          <w:rFonts w:hint="eastAsia"/>
          <w:color w:val="auto"/>
          <w:szCs w:val="21"/>
          <w:highlight w:val="none"/>
        </w:rPr>
        <w:t>⑾</w:t>
      </w:r>
      <w:r>
        <w:rPr>
          <w:color w:val="auto"/>
          <w:szCs w:val="21"/>
          <w:highlight w:val="none"/>
        </w:rPr>
        <w:t xml:space="preserve"> </w:t>
      </w:r>
      <w:r>
        <w:rPr>
          <w:rFonts w:hint="eastAsia"/>
          <w:color w:val="auto"/>
          <w:szCs w:val="21"/>
          <w:highlight w:val="none"/>
        </w:rPr>
        <w:t>财产被接管或冻结的；</w:t>
      </w:r>
    </w:p>
    <w:p>
      <w:pPr>
        <w:spacing w:line="360" w:lineRule="auto"/>
        <w:ind w:firstLine="420" w:firstLineChars="200"/>
        <w:rPr>
          <w:color w:val="auto"/>
          <w:szCs w:val="21"/>
          <w:highlight w:val="none"/>
        </w:rPr>
      </w:pPr>
      <w:r>
        <w:rPr>
          <w:rFonts w:hint="eastAsia"/>
          <w:color w:val="auto"/>
          <w:szCs w:val="21"/>
          <w:highlight w:val="none"/>
        </w:rPr>
        <w:t xml:space="preserve">⑿ </w:t>
      </w:r>
      <w:r>
        <w:rPr>
          <w:color w:val="auto"/>
          <w:szCs w:val="21"/>
          <w:highlight w:val="none"/>
        </w:rPr>
        <w:t>在最近三年内有骗取中标或严重违约或重大工程质量问题；</w:t>
      </w:r>
    </w:p>
    <w:p>
      <w:pPr>
        <w:spacing w:line="360" w:lineRule="auto"/>
        <w:ind w:firstLine="420" w:firstLineChars="200"/>
        <w:rPr>
          <w:rFonts w:hint="eastAsia"/>
          <w:color w:val="auto"/>
          <w:szCs w:val="21"/>
          <w:highlight w:val="none"/>
        </w:rPr>
      </w:pPr>
      <w:r>
        <w:rPr>
          <w:rFonts w:hint="eastAsia"/>
          <w:color w:val="auto"/>
          <w:szCs w:val="21"/>
          <w:highlight w:val="none"/>
        </w:rPr>
        <w:t>⒀ 涉及正在诉讼的案件，或涉及正在诉讼的案件但经审查委员会认定不会对承 担本项目造成重大影响；</w:t>
      </w:r>
    </w:p>
    <w:p>
      <w:pPr>
        <w:pStyle w:val="7"/>
        <w:rPr>
          <w:color w:val="auto"/>
          <w:highlight w:val="none"/>
        </w:rPr>
      </w:pPr>
      <w:bookmarkStart w:id="60" w:name="_Toc389065150"/>
      <w:bookmarkStart w:id="61" w:name="_Toc76726737"/>
      <w:r>
        <w:rPr>
          <w:color w:val="auto"/>
          <w:highlight w:val="none"/>
        </w:rPr>
        <w:t>1.5 费用承担</w:t>
      </w:r>
      <w:bookmarkEnd w:id="60"/>
      <w:bookmarkEnd w:id="61"/>
    </w:p>
    <w:p>
      <w:pPr>
        <w:spacing w:line="360" w:lineRule="auto"/>
        <w:ind w:firstLine="420" w:firstLineChars="200"/>
        <w:rPr>
          <w:color w:val="auto"/>
          <w:szCs w:val="21"/>
          <w:highlight w:val="none"/>
        </w:rPr>
      </w:pPr>
      <w:r>
        <w:rPr>
          <w:color w:val="auto"/>
          <w:szCs w:val="21"/>
          <w:highlight w:val="none"/>
        </w:rPr>
        <w:t>投标人准备和参加投标活动发生的费用自理。</w:t>
      </w:r>
    </w:p>
    <w:p>
      <w:pPr>
        <w:pStyle w:val="7"/>
        <w:rPr>
          <w:color w:val="auto"/>
          <w:highlight w:val="none"/>
        </w:rPr>
      </w:pPr>
      <w:bookmarkStart w:id="62" w:name="_Toc76726738"/>
      <w:bookmarkStart w:id="63" w:name="_Toc389065151"/>
      <w:r>
        <w:rPr>
          <w:color w:val="auto"/>
          <w:highlight w:val="none"/>
        </w:rPr>
        <w:t>1.6 保密</w:t>
      </w:r>
      <w:bookmarkEnd w:id="62"/>
      <w:bookmarkEnd w:id="63"/>
    </w:p>
    <w:p>
      <w:pPr>
        <w:spacing w:line="360" w:lineRule="auto"/>
        <w:ind w:firstLine="420" w:firstLineChars="200"/>
        <w:rPr>
          <w:color w:val="auto"/>
          <w:szCs w:val="21"/>
          <w:highlight w:val="none"/>
        </w:rPr>
      </w:pPr>
      <w:r>
        <w:rPr>
          <w:color w:val="auto"/>
          <w:szCs w:val="21"/>
          <w:highlight w:val="none"/>
        </w:rPr>
        <w:t>参与招标投标活动的各方应对招标文件和投标文件中的商业和技术等秘密保密，违者应对由此造成的后果承担法律责任。</w:t>
      </w:r>
    </w:p>
    <w:p>
      <w:pPr>
        <w:pStyle w:val="7"/>
        <w:rPr>
          <w:color w:val="auto"/>
          <w:highlight w:val="none"/>
        </w:rPr>
      </w:pPr>
      <w:bookmarkStart w:id="64" w:name="_Toc389065152"/>
      <w:bookmarkStart w:id="65" w:name="_Toc76726739"/>
      <w:r>
        <w:rPr>
          <w:color w:val="auto"/>
          <w:highlight w:val="none"/>
        </w:rPr>
        <w:t>1.7 语言文字</w:t>
      </w:r>
      <w:bookmarkEnd w:id="64"/>
      <w:bookmarkEnd w:id="65"/>
    </w:p>
    <w:p>
      <w:pPr>
        <w:spacing w:line="360" w:lineRule="auto"/>
        <w:ind w:firstLine="420" w:firstLineChars="200"/>
        <w:rPr>
          <w:color w:val="auto"/>
          <w:szCs w:val="21"/>
          <w:highlight w:val="none"/>
        </w:rPr>
      </w:pPr>
      <w:r>
        <w:rPr>
          <w:color w:val="auto"/>
          <w:szCs w:val="21"/>
          <w:highlight w:val="none"/>
        </w:rPr>
        <w:t>除专用术语外，与招标投标有关的语言均使用中文。必要时专用术语应附有中文注释。</w:t>
      </w:r>
    </w:p>
    <w:p>
      <w:pPr>
        <w:pStyle w:val="7"/>
        <w:rPr>
          <w:color w:val="auto"/>
          <w:highlight w:val="none"/>
        </w:rPr>
      </w:pPr>
      <w:bookmarkStart w:id="66" w:name="_Toc389065153"/>
      <w:bookmarkStart w:id="67" w:name="_Toc76726740"/>
      <w:r>
        <w:rPr>
          <w:color w:val="auto"/>
          <w:highlight w:val="none"/>
        </w:rPr>
        <w:t>1.8 计量单位</w:t>
      </w:r>
      <w:bookmarkEnd w:id="66"/>
      <w:bookmarkEnd w:id="67"/>
    </w:p>
    <w:p>
      <w:pPr>
        <w:spacing w:line="360" w:lineRule="auto"/>
        <w:ind w:firstLine="420" w:firstLineChars="200"/>
        <w:rPr>
          <w:color w:val="auto"/>
          <w:szCs w:val="21"/>
          <w:highlight w:val="none"/>
        </w:rPr>
      </w:pPr>
      <w:r>
        <w:rPr>
          <w:color w:val="auto"/>
          <w:szCs w:val="21"/>
          <w:highlight w:val="none"/>
        </w:rPr>
        <w:t>所有计量均采用中华人民共和国法定计量单位。</w:t>
      </w:r>
    </w:p>
    <w:p>
      <w:pPr>
        <w:pStyle w:val="7"/>
        <w:rPr>
          <w:color w:val="auto"/>
          <w:highlight w:val="none"/>
        </w:rPr>
      </w:pPr>
      <w:bookmarkStart w:id="68" w:name="_Toc76726741"/>
      <w:bookmarkStart w:id="69" w:name="_Toc389065154"/>
      <w:r>
        <w:rPr>
          <w:color w:val="auto"/>
          <w:highlight w:val="none"/>
        </w:rPr>
        <w:t>1.9 踏勘现场</w:t>
      </w:r>
      <w:bookmarkEnd w:id="68"/>
      <w:bookmarkEnd w:id="69"/>
    </w:p>
    <w:p>
      <w:pPr>
        <w:spacing w:line="360" w:lineRule="auto"/>
        <w:ind w:firstLine="420" w:firstLineChars="200"/>
        <w:rPr>
          <w:color w:val="auto"/>
          <w:szCs w:val="21"/>
          <w:highlight w:val="none"/>
        </w:rPr>
      </w:pPr>
      <w:r>
        <w:rPr>
          <w:color w:val="auto"/>
          <w:szCs w:val="21"/>
          <w:highlight w:val="none"/>
        </w:rPr>
        <w:t>1.9.1 投标人根据需要自行踏勘项目现场。</w:t>
      </w:r>
    </w:p>
    <w:p>
      <w:pPr>
        <w:spacing w:line="360" w:lineRule="auto"/>
        <w:ind w:firstLine="420" w:firstLineChars="200"/>
        <w:rPr>
          <w:color w:val="auto"/>
          <w:szCs w:val="21"/>
          <w:highlight w:val="none"/>
        </w:rPr>
      </w:pPr>
      <w:r>
        <w:rPr>
          <w:color w:val="auto"/>
          <w:szCs w:val="21"/>
          <w:highlight w:val="none"/>
        </w:rPr>
        <w:t>1.9.2 投标人踏勘现场发生的费用自理。</w:t>
      </w:r>
    </w:p>
    <w:p>
      <w:pPr>
        <w:spacing w:line="360" w:lineRule="auto"/>
        <w:ind w:firstLine="420" w:firstLineChars="200"/>
        <w:rPr>
          <w:color w:val="auto"/>
          <w:szCs w:val="21"/>
          <w:highlight w:val="none"/>
        </w:rPr>
      </w:pPr>
      <w:r>
        <w:rPr>
          <w:color w:val="auto"/>
          <w:szCs w:val="21"/>
          <w:highlight w:val="none"/>
        </w:rPr>
        <w:t>1.9.3 投标人自行负责在踏勘现场中所发生的人员伤亡和财产损失。</w:t>
      </w:r>
    </w:p>
    <w:p>
      <w:pPr>
        <w:pStyle w:val="7"/>
        <w:rPr>
          <w:color w:val="auto"/>
          <w:highlight w:val="none"/>
        </w:rPr>
      </w:pPr>
      <w:bookmarkStart w:id="70" w:name="_Toc389065155"/>
      <w:bookmarkStart w:id="71" w:name="_Toc76726742"/>
      <w:r>
        <w:rPr>
          <w:color w:val="auto"/>
          <w:highlight w:val="none"/>
        </w:rPr>
        <w:t>1.10 投标预备会</w:t>
      </w:r>
      <w:bookmarkEnd w:id="70"/>
      <w:bookmarkEnd w:id="71"/>
    </w:p>
    <w:p>
      <w:pPr>
        <w:spacing w:line="360" w:lineRule="auto"/>
        <w:ind w:firstLine="420" w:firstLineChars="200"/>
        <w:rPr>
          <w:color w:val="auto"/>
          <w:szCs w:val="21"/>
          <w:highlight w:val="none"/>
        </w:rPr>
      </w:pPr>
      <w:r>
        <w:rPr>
          <w:color w:val="auto"/>
          <w:szCs w:val="21"/>
          <w:highlight w:val="none"/>
        </w:rPr>
        <w:t>不召开。</w:t>
      </w:r>
    </w:p>
    <w:p>
      <w:pPr>
        <w:pStyle w:val="7"/>
        <w:rPr>
          <w:rFonts w:hint="eastAsia"/>
          <w:color w:val="auto"/>
          <w:highlight w:val="none"/>
          <w:lang w:eastAsia="zh-CN"/>
        </w:rPr>
      </w:pPr>
      <w:bookmarkStart w:id="72" w:name="_Toc389065156"/>
      <w:bookmarkStart w:id="73" w:name="_Toc76726743"/>
      <w:r>
        <w:rPr>
          <w:color w:val="auto"/>
          <w:highlight w:val="none"/>
        </w:rPr>
        <w:t>1.11 分包</w:t>
      </w:r>
      <w:bookmarkEnd w:id="72"/>
      <w:r>
        <w:rPr>
          <w:rFonts w:hint="eastAsia"/>
          <w:color w:val="auto"/>
          <w:highlight w:val="none"/>
          <w:lang w:eastAsia="zh-CN"/>
        </w:rPr>
        <w:t>和转包</w:t>
      </w:r>
      <w:bookmarkEnd w:id="73"/>
    </w:p>
    <w:p>
      <w:pPr>
        <w:spacing w:line="360" w:lineRule="auto"/>
        <w:ind w:firstLine="420" w:firstLineChars="200"/>
        <w:rPr>
          <w:color w:val="auto"/>
          <w:szCs w:val="21"/>
          <w:highlight w:val="none"/>
        </w:rPr>
      </w:pPr>
      <w:r>
        <w:rPr>
          <w:rFonts w:hint="eastAsia"/>
          <w:color w:val="auto"/>
          <w:szCs w:val="21"/>
          <w:highlight w:val="none"/>
        </w:rPr>
        <w:t>不允许</w:t>
      </w:r>
      <w:r>
        <w:rPr>
          <w:color w:val="auto"/>
          <w:szCs w:val="21"/>
          <w:highlight w:val="none"/>
        </w:rPr>
        <w:t>。</w:t>
      </w:r>
    </w:p>
    <w:p>
      <w:pPr>
        <w:pStyle w:val="7"/>
        <w:rPr>
          <w:color w:val="auto"/>
          <w:highlight w:val="none"/>
        </w:rPr>
      </w:pPr>
      <w:bookmarkStart w:id="74" w:name="_Toc389065157"/>
      <w:bookmarkStart w:id="75" w:name="_Toc76726744"/>
      <w:r>
        <w:rPr>
          <w:color w:val="auto"/>
          <w:highlight w:val="none"/>
        </w:rPr>
        <w:t>1.12 偏离</w:t>
      </w:r>
      <w:bookmarkEnd w:id="74"/>
      <w:bookmarkEnd w:id="75"/>
    </w:p>
    <w:p>
      <w:pPr>
        <w:spacing w:line="360" w:lineRule="auto"/>
        <w:ind w:firstLine="420" w:firstLineChars="200"/>
        <w:rPr>
          <w:color w:val="auto"/>
          <w:highlight w:val="none"/>
        </w:rPr>
      </w:pPr>
      <w:r>
        <w:rPr>
          <w:color w:val="auto"/>
          <w:szCs w:val="21"/>
          <w:highlight w:val="none"/>
        </w:rPr>
        <w:t>不允许。</w:t>
      </w:r>
    </w:p>
    <w:p>
      <w:pPr>
        <w:pStyle w:val="6"/>
        <w:rPr>
          <w:color w:val="auto"/>
          <w:highlight w:val="none"/>
        </w:rPr>
      </w:pPr>
      <w:bookmarkStart w:id="76" w:name="_Toc389065158"/>
      <w:bookmarkStart w:id="77" w:name="_Toc76726745"/>
      <w:r>
        <w:rPr>
          <w:color w:val="auto"/>
          <w:highlight w:val="none"/>
        </w:rPr>
        <w:t>2 招标文件</w:t>
      </w:r>
      <w:bookmarkEnd w:id="76"/>
      <w:bookmarkEnd w:id="77"/>
    </w:p>
    <w:p>
      <w:pPr>
        <w:pStyle w:val="7"/>
        <w:rPr>
          <w:color w:val="auto"/>
          <w:highlight w:val="none"/>
        </w:rPr>
      </w:pPr>
      <w:bookmarkStart w:id="78" w:name="_Toc389065159"/>
      <w:bookmarkStart w:id="79" w:name="_Toc76726746"/>
      <w:r>
        <w:rPr>
          <w:color w:val="auto"/>
          <w:highlight w:val="none"/>
        </w:rPr>
        <w:t>2.1 招标文件的组成</w:t>
      </w:r>
      <w:bookmarkEnd w:id="78"/>
      <w:bookmarkEnd w:id="79"/>
    </w:p>
    <w:p>
      <w:pPr>
        <w:spacing w:line="360" w:lineRule="auto"/>
        <w:ind w:firstLine="420" w:firstLineChars="200"/>
        <w:rPr>
          <w:color w:val="auto"/>
          <w:szCs w:val="21"/>
          <w:highlight w:val="none"/>
        </w:rPr>
      </w:pPr>
      <w:r>
        <w:rPr>
          <w:color w:val="auto"/>
          <w:szCs w:val="21"/>
          <w:highlight w:val="none"/>
        </w:rPr>
        <w:t>本招标文件包括：</w:t>
      </w:r>
    </w:p>
    <w:p>
      <w:pPr>
        <w:spacing w:line="360" w:lineRule="auto"/>
        <w:ind w:firstLine="420" w:firstLineChars="200"/>
        <w:rPr>
          <w:color w:val="auto"/>
          <w:szCs w:val="21"/>
          <w:highlight w:val="none"/>
        </w:rPr>
      </w:pPr>
      <w:r>
        <w:rPr>
          <w:color w:val="auto"/>
          <w:szCs w:val="21"/>
          <w:highlight w:val="none"/>
        </w:rPr>
        <w:t>（1）招标公告；</w:t>
      </w:r>
    </w:p>
    <w:p>
      <w:pPr>
        <w:spacing w:line="360" w:lineRule="auto"/>
        <w:ind w:firstLine="420" w:firstLineChars="200"/>
        <w:rPr>
          <w:color w:val="auto"/>
          <w:szCs w:val="21"/>
          <w:highlight w:val="none"/>
        </w:rPr>
      </w:pPr>
      <w:r>
        <w:rPr>
          <w:color w:val="auto"/>
          <w:szCs w:val="21"/>
          <w:highlight w:val="none"/>
        </w:rPr>
        <w:t>（2）投标人须知；</w:t>
      </w:r>
    </w:p>
    <w:p>
      <w:pPr>
        <w:spacing w:line="360" w:lineRule="auto"/>
        <w:ind w:firstLine="420" w:firstLineChars="200"/>
        <w:rPr>
          <w:color w:val="auto"/>
          <w:szCs w:val="21"/>
          <w:highlight w:val="none"/>
        </w:rPr>
      </w:pPr>
      <w:r>
        <w:rPr>
          <w:color w:val="auto"/>
          <w:szCs w:val="21"/>
          <w:highlight w:val="none"/>
        </w:rPr>
        <w:t>（3）评标办法；</w:t>
      </w:r>
    </w:p>
    <w:p>
      <w:pPr>
        <w:spacing w:line="360" w:lineRule="auto"/>
        <w:ind w:firstLine="420" w:firstLineChars="200"/>
        <w:rPr>
          <w:color w:val="auto"/>
          <w:szCs w:val="21"/>
          <w:highlight w:val="none"/>
        </w:rPr>
      </w:pPr>
      <w:r>
        <w:rPr>
          <w:color w:val="auto"/>
          <w:szCs w:val="21"/>
          <w:highlight w:val="none"/>
        </w:rPr>
        <w:t>（4）合同条款及格式；</w:t>
      </w:r>
    </w:p>
    <w:p>
      <w:pPr>
        <w:spacing w:line="360" w:lineRule="auto"/>
        <w:ind w:firstLine="420" w:firstLineChars="200"/>
        <w:rPr>
          <w:color w:val="auto"/>
          <w:szCs w:val="21"/>
          <w:highlight w:val="none"/>
        </w:rPr>
      </w:pPr>
      <w:r>
        <w:rPr>
          <w:color w:val="auto"/>
          <w:szCs w:val="21"/>
          <w:highlight w:val="none"/>
        </w:rPr>
        <w:t>（5）工程量清单；</w:t>
      </w:r>
    </w:p>
    <w:p>
      <w:pPr>
        <w:spacing w:line="360" w:lineRule="auto"/>
        <w:ind w:firstLine="420" w:firstLineChars="200"/>
        <w:rPr>
          <w:color w:val="auto"/>
          <w:szCs w:val="21"/>
          <w:highlight w:val="none"/>
        </w:rPr>
      </w:pPr>
      <w:r>
        <w:rPr>
          <w:color w:val="auto"/>
          <w:szCs w:val="21"/>
          <w:highlight w:val="none"/>
        </w:rPr>
        <w:t>（6）图纸；</w:t>
      </w:r>
    </w:p>
    <w:p>
      <w:pPr>
        <w:spacing w:line="360" w:lineRule="auto"/>
        <w:ind w:firstLine="420" w:firstLineChars="200"/>
        <w:rPr>
          <w:color w:val="auto"/>
          <w:szCs w:val="21"/>
          <w:highlight w:val="none"/>
        </w:rPr>
      </w:pPr>
      <w:r>
        <w:rPr>
          <w:color w:val="auto"/>
          <w:szCs w:val="21"/>
          <w:highlight w:val="none"/>
        </w:rPr>
        <w:t>（7）技术标准和要求；</w:t>
      </w:r>
    </w:p>
    <w:p>
      <w:pPr>
        <w:spacing w:line="360" w:lineRule="auto"/>
        <w:ind w:firstLine="420" w:firstLineChars="200"/>
        <w:rPr>
          <w:color w:val="auto"/>
          <w:szCs w:val="21"/>
          <w:highlight w:val="none"/>
        </w:rPr>
      </w:pPr>
      <w:r>
        <w:rPr>
          <w:color w:val="auto"/>
          <w:szCs w:val="21"/>
          <w:highlight w:val="none"/>
        </w:rPr>
        <w:t>（8）投标文件格式；</w:t>
      </w:r>
    </w:p>
    <w:p>
      <w:pPr>
        <w:spacing w:line="360" w:lineRule="auto"/>
        <w:ind w:firstLine="420" w:firstLineChars="200"/>
        <w:rPr>
          <w:color w:val="auto"/>
          <w:szCs w:val="21"/>
          <w:highlight w:val="none"/>
        </w:rPr>
      </w:pPr>
      <w:r>
        <w:rPr>
          <w:color w:val="auto"/>
          <w:szCs w:val="21"/>
          <w:highlight w:val="none"/>
        </w:rPr>
        <w:t>（9）</w:t>
      </w:r>
      <w:r>
        <w:rPr>
          <w:rFonts w:hint="eastAsia"/>
          <w:color w:val="auto"/>
          <w:szCs w:val="21"/>
          <w:highlight w:val="none"/>
        </w:rPr>
        <w:t>投标人须知前附表规定的其他材料</w:t>
      </w:r>
    </w:p>
    <w:p>
      <w:pPr>
        <w:spacing w:line="360" w:lineRule="auto"/>
        <w:ind w:firstLine="420" w:firstLineChars="200"/>
        <w:rPr>
          <w:rFonts w:ascii="Calibri" w:hAnsi="Calibri"/>
          <w:color w:val="auto"/>
          <w:highlight w:val="none"/>
        </w:rPr>
      </w:pPr>
      <w:bookmarkStart w:id="80" w:name="_Toc76726747"/>
      <w:bookmarkStart w:id="81" w:name="_Toc389065160"/>
      <w:r>
        <w:rPr>
          <w:rFonts w:ascii="Calibri" w:hAnsi="Calibri"/>
          <w:color w:val="auto"/>
          <w:highlight w:val="none"/>
        </w:rPr>
        <w:t xml:space="preserve">2.1.2 </w:t>
      </w:r>
      <w:r>
        <w:rPr>
          <w:rFonts w:hint="eastAsia" w:ascii="Calibri" w:hAnsi="Calibri" w:cs="宋体"/>
          <w:color w:val="auto"/>
          <w:highlight w:val="none"/>
        </w:rPr>
        <w:t>根据本章第</w:t>
      </w:r>
      <w:r>
        <w:rPr>
          <w:rFonts w:ascii="Calibri" w:hAnsi="Calibri"/>
          <w:color w:val="auto"/>
          <w:highlight w:val="none"/>
        </w:rPr>
        <w:t>2.2</w:t>
      </w:r>
      <w:r>
        <w:rPr>
          <w:rFonts w:hint="eastAsia" w:ascii="Calibri" w:hAnsi="Calibri" w:cs="宋体"/>
          <w:color w:val="auto"/>
          <w:highlight w:val="none"/>
        </w:rPr>
        <w:t>款和第</w:t>
      </w:r>
      <w:r>
        <w:rPr>
          <w:rFonts w:ascii="Calibri" w:hAnsi="Calibri"/>
          <w:color w:val="auto"/>
          <w:highlight w:val="none"/>
        </w:rPr>
        <w:t>2.3</w:t>
      </w:r>
      <w:r>
        <w:rPr>
          <w:rFonts w:hint="eastAsia" w:ascii="Calibri" w:hAnsi="Calibri" w:cs="宋体"/>
          <w:color w:val="auto"/>
          <w:highlight w:val="none"/>
        </w:rPr>
        <w:t>款对招标文件所作的澄清、修改，构成招标文件的组成部分。</w:t>
      </w:r>
      <w:r>
        <w:rPr>
          <w:rFonts w:hint="eastAsia" w:ascii="Calibri" w:hAnsi="宋体" w:cs="宋体"/>
          <w:color w:val="auto"/>
          <w:highlight w:val="none"/>
        </w:rPr>
        <w:t>当招标文件及其澄清、修改或补充文件对于同一内容表述不一致时，以最后发出的书面文件为准。</w:t>
      </w:r>
    </w:p>
    <w:p>
      <w:pPr>
        <w:pStyle w:val="7"/>
        <w:rPr>
          <w:color w:val="auto"/>
          <w:highlight w:val="none"/>
        </w:rPr>
      </w:pPr>
      <w:r>
        <w:rPr>
          <w:color w:val="auto"/>
          <w:highlight w:val="none"/>
        </w:rPr>
        <w:t>2.2 招标文件的澄清</w:t>
      </w:r>
      <w:bookmarkEnd w:id="80"/>
      <w:bookmarkEnd w:id="81"/>
    </w:p>
    <w:p>
      <w:pPr>
        <w:spacing w:line="360" w:lineRule="auto"/>
        <w:ind w:firstLine="420" w:firstLineChars="200"/>
        <w:rPr>
          <w:rFonts w:hint="eastAsia"/>
          <w:color w:val="auto"/>
          <w:szCs w:val="21"/>
          <w:highlight w:val="none"/>
        </w:rPr>
      </w:pPr>
      <w:r>
        <w:rPr>
          <w:color w:val="auto"/>
          <w:szCs w:val="21"/>
          <w:highlight w:val="none"/>
        </w:rPr>
        <w:t>2.2.1 投标人应仔细阅读和检查招标文件的全部内容。如发现缺页或附件不全，应及时向招标人提出，以便补齐。如有疑问</w:t>
      </w:r>
      <w:r>
        <w:rPr>
          <w:rFonts w:hint="eastAsia"/>
          <w:color w:val="auto"/>
          <w:szCs w:val="21"/>
          <w:highlight w:val="none"/>
        </w:rPr>
        <w:t>或异议</w:t>
      </w:r>
      <w:r>
        <w:rPr>
          <w:color w:val="auto"/>
          <w:szCs w:val="21"/>
          <w:highlight w:val="none"/>
        </w:rPr>
        <w:t>，应在“投标人须知前附表”规定的时间前书面要求（包括信函、电报、传真等可以有形地表现所载内容的形式，下同）招标人对招标文件予以澄清。</w:t>
      </w:r>
    </w:p>
    <w:p>
      <w:pPr>
        <w:spacing w:line="360" w:lineRule="auto"/>
        <w:ind w:firstLine="420" w:firstLineChars="200"/>
        <w:rPr>
          <w:color w:val="auto"/>
          <w:szCs w:val="21"/>
          <w:highlight w:val="none"/>
        </w:rPr>
      </w:pPr>
      <w:r>
        <w:rPr>
          <w:color w:val="auto"/>
          <w:szCs w:val="21"/>
          <w:highlight w:val="none"/>
        </w:rPr>
        <w:t>2.2.2 招标文件的澄清将在投标人须知前附表规定的投标截止时间15天前，在本章规定的网站上发布之日起，视为投标人已收到该澄清。投标人未及时关注招标人在网站上发布的澄清文件造成的损失，由投标人自行负责，但不指明澄清问题的来源。如果澄清发出的时间距投标截止时间不足15天，相应延长投标截止时间。</w:t>
      </w:r>
    </w:p>
    <w:p>
      <w:pPr>
        <w:spacing w:line="360" w:lineRule="auto"/>
        <w:ind w:firstLine="420" w:firstLineChars="200"/>
        <w:rPr>
          <w:color w:val="auto"/>
          <w:szCs w:val="21"/>
          <w:highlight w:val="none"/>
        </w:rPr>
      </w:pPr>
      <w:r>
        <w:rPr>
          <w:color w:val="auto"/>
          <w:szCs w:val="21"/>
          <w:highlight w:val="none"/>
        </w:rPr>
        <w:t xml:space="preserve">2.2.3 </w:t>
      </w:r>
      <w:bookmarkStart w:id="82" w:name="_Toc389065161"/>
      <w:r>
        <w:rPr>
          <w:color w:val="auto"/>
          <w:szCs w:val="21"/>
          <w:highlight w:val="none"/>
        </w:rPr>
        <w:t>澄清文件在本章规定的网站上发布之日起，视为投标人已收到该澄清。投标人未及时关注招标人在网站上发布的澄清文件造成的损失，由投标人自行负责。</w:t>
      </w:r>
    </w:p>
    <w:p>
      <w:pPr>
        <w:pStyle w:val="7"/>
        <w:rPr>
          <w:color w:val="auto"/>
          <w:highlight w:val="none"/>
        </w:rPr>
      </w:pPr>
      <w:bookmarkStart w:id="83" w:name="_Toc76726748"/>
      <w:r>
        <w:rPr>
          <w:color w:val="auto"/>
          <w:highlight w:val="none"/>
        </w:rPr>
        <w:t>2.3 招标文件的修改</w:t>
      </w:r>
      <w:bookmarkEnd w:id="82"/>
      <w:bookmarkEnd w:id="83"/>
    </w:p>
    <w:p>
      <w:pPr>
        <w:spacing w:line="360" w:lineRule="auto"/>
        <w:ind w:firstLine="420" w:firstLineChars="200"/>
        <w:rPr>
          <w:color w:val="auto"/>
          <w:szCs w:val="21"/>
          <w:highlight w:val="none"/>
        </w:rPr>
      </w:pPr>
      <w:r>
        <w:rPr>
          <w:color w:val="auto"/>
          <w:szCs w:val="21"/>
          <w:highlight w:val="none"/>
        </w:rPr>
        <w:t>2.3.1 在投标截止时间15</w:t>
      </w:r>
      <w:r>
        <w:rPr>
          <w:rFonts w:hint="eastAsia"/>
          <w:color w:val="auto"/>
          <w:szCs w:val="21"/>
          <w:highlight w:val="none"/>
        </w:rPr>
        <w:t>日</w:t>
      </w:r>
      <w:r>
        <w:rPr>
          <w:color w:val="auto"/>
          <w:szCs w:val="21"/>
          <w:highlight w:val="none"/>
        </w:rPr>
        <w:t>前，招标人可以书面形式修改招标文件，并以“投标人须知前附表”2.2.</w:t>
      </w:r>
      <w:r>
        <w:rPr>
          <w:rFonts w:hint="eastAsia"/>
          <w:color w:val="auto"/>
          <w:szCs w:val="21"/>
          <w:highlight w:val="none"/>
        </w:rPr>
        <w:t>3</w:t>
      </w:r>
      <w:r>
        <w:rPr>
          <w:color w:val="auto"/>
          <w:szCs w:val="21"/>
          <w:highlight w:val="none"/>
        </w:rPr>
        <w:t>规定的</w:t>
      </w:r>
      <w:r>
        <w:rPr>
          <w:rFonts w:hint="eastAsia"/>
          <w:color w:val="auto"/>
          <w:szCs w:val="21"/>
          <w:highlight w:val="none"/>
        </w:rPr>
        <w:t>澄清文件发布的相同</w:t>
      </w:r>
      <w:r>
        <w:rPr>
          <w:color w:val="auto"/>
          <w:szCs w:val="21"/>
          <w:highlight w:val="none"/>
        </w:rPr>
        <w:t>形式</w:t>
      </w:r>
      <w:r>
        <w:rPr>
          <w:rFonts w:hint="eastAsia"/>
          <w:color w:val="auto"/>
          <w:szCs w:val="21"/>
          <w:highlight w:val="none"/>
        </w:rPr>
        <w:t>，</w:t>
      </w:r>
      <w:r>
        <w:rPr>
          <w:color w:val="auto"/>
          <w:szCs w:val="21"/>
          <w:highlight w:val="none"/>
        </w:rPr>
        <w:t>通知所有已购买招标文件的投标人。如果修改招标文件的时间距投标截止时间不足15</w:t>
      </w:r>
      <w:r>
        <w:rPr>
          <w:rFonts w:hint="eastAsia"/>
          <w:color w:val="auto"/>
          <w:szCs w:val="21"/>
          <w:highlight w:val="none"/>
        </w:rPr>
        <w:t>日</w:t>
      </w:r>
      <w:r>
        <w:rPr>
          <w:color w:val="auto"/>
          <w:szCs w:val="21"/>
          <w:highlight w:val="none"/>
        </w:rPr>
        <w:t>可能影响投标文件编制的，相应延长投标截止时间。</w:t>
      </w:r>
    </w:p>
    <w:p>
      <w:pPr>
        <w:spacing w:line="360" w:lineRule="auto"/>
        <w:ind w:firstLine="420" w:firstLineChars="200"/>
        <w:rPr>
          <w:color w:val="auto"/>
          <w:szCs w:val="21"/>
          <w:highlight w:val="none"/>
        </w:rPr>
      </w:pPr>
      <w:r>
        <w:rPr>
          <w:color w:val="auto"/>
          <w:szCs w:val="21"/>
          <w:highlight w:val="none"/>
        </w:rPr>
        <w:t>2.3.2</w:t>
      </w:r>
      <w:r>
        <w:rPr>
          <w:rFonts w:hint="eastAsia"/>
          <w:color w:val="auto"/>
          <w:szCs w:val="21"/>
          <w:highlight w:val="none"/>
        </w:rPr>
        <w:t xml:space="preserve"> </w:t>
      </w:r>
      <w:r>
        <w:rPr>
          <w:color w:val="auto"/>
          <w:szCs w:val="21"/>
          <w:highlight w:val="none"/>
        </w:rPr>
        <w:t>投标人在收到</w:t>
      </w:r>
      <w:r>
        <w:rPr>
          <w:rFonts w:hint="eastAsia"/>
          <w:color w:val="auto"/>
          <w:szCs w:val="21"/>
          <w:highlight w:val="none"/>
        </w:rPr>
        <w:t>招标文件的修改</w:t>
      </w:r>
      <w:r>
        <w:rPr>
          <w:color w:val="auto"/>
          <w:szCs w:val="21"/>
          <w:highlight w:val="none"/>
        </w:rPr>
        <w:t>后，应按“投标人须知前附表”2.2.3规定的澄清文件确认</w:t>
      </w:r>
      <w:r>
        <w:rPr>
          <w:rFonts w:hint="eastAsia"/>
          <w:color w:val="auto"/>
          <w:szCs w:val="21"/>
          <w:highlight w:val="none"/>
        </w:rPr>
        <w:t>的</w:t>
      </w:r>
      <w:r>
        <w:rPr>
          <w:color w:val="auto"/>
          <w:szCs w:val="21"/>
          <w:highlight w:val="none"/>
        </w:rPr>
        <w:t>相同形式</w:t>
      </w:r>
      <w:r>
        <w:rPr>
          <w:rFonts w:hint="eastAsia"/>
          <w:color w:val="auto"/>
          <w:szCs w:val="21"/>
          <w:highlight w:val="none"/>
        </w:rPr>
        <w:t>，</w:t>
      </w:r>
      <w:r>
        <w:rPr>
          <w:color w:val="auto"/>
          <w:szCs w:val="21"/>
          <w:highlight w:val="none"/>
        </w:rPr>
        <w:t>确认已收到该</w:t>
      </w:r>
      <w:r>
        <w:rPr>
          <w:rFonts w:hint="eastAsia"/>
          <w:color w:val="auto"/>
          <w:szCs w:val="21"/>
          <w:highlight w:val="none"/>
        </w:rPr>
        <w:t>修改</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2.3.</w:t>
      </w:r>
      <w:r>
        <w:rPr>
          <w:rFonts w:hint="eastAsia"/>
          <w:color w:val="auto"/>
          <w:szCs w:val="21"/>
          <w:highlight w:val="none"/>
        </w:rPr>
        <w:t>3</w:t>
      </w:r>
      <w:r>
        <w:rPr>
          <w:color w:val="auto"/>
          <w:szCs w:val="21"/>
          <w:highlight w:val="none"/>
        </w:rPr>
        <w:t xml:space="preserve"> 为使投标人在编制投标文件时有充分的时间对招标文件的修改、补充等内容进行研究并做出响应，招标人可酌情延长提交投标文件的截止时间，具体时间在招标文件的修改、补充等通知中予以明确。</w:t>
      </w:r>
    </w:p>
    <w:p>
      <w:pPr>
        <w:pStyle w:val="6"/>
        <w:rPr>
          <w:color w:val="auto"/>
          <w:highlight w:val="none"/>
        </w:rPr>
      </w:pPr>
      <w:bookmarkStart w:id="84" w:name="_Toc389065162"/>
      <w:bookmarkStart w:id="85" w:name="_Toc76726749"/>
      <w:r>
        <w:rPr>
          <w:color w:val="auto"/>
          <w:highlight w:val="none"/>
        </w:rPr>
        <w:t>3 投标文件</w:t>
      </w:r>
      <w:bookmarkEnd w:id="84"/>
      <w:bookmarkEnd w:id="85"/>
    </w:p>
    <w:p>
      <w:pPr>
        <w:pStyle w:val="7"/>
        <w:rPr>
          <w:color w:val="auto"/>
          <w:highlight w:val="none"/>
        </w:rPr>
      </w:pPr>
      <w:bookmarkStart w:id="86" w:name="_Toc389065163"/>
      <w:bookmarkStart w:id="87" w:name="_Toc76726750"/>
      <w:r>
        <w:rPr>
          <w:color w:val="auto"/>
          <w:highlight w:val="none"/>
        </w:rPr>
        <w:t>3.1 投标文件的组成</w:t>
      </w:r>
      <w:bookmarkEnd w:id="86"/>
      <w:bookmarkEnd w:id="87"/>
    </w:p>
    <w:p>
      <w:pPr>
        <w:spacing w:line="360" w:lineRule="auto"/>
        <w:ind w:firstLine="420" w:firstLineChars="200"/>
        <w:rPr>
          <w:rFonts w:ascii="Calibri" w:hAnsi="Calibri"/>
          <w:color w:val="auto"/>
          <w:highlight w:val="none"/>
        </w:rPr>
      </w:pPr>
      <w:bookmarkStart w:id="88" w:name="_Toc389065164"/>
      <w:bookmarkStart w:id="89" w:name="_Toc76726751"/>
      <w:r>
        <w:rPr>
          <w:rFonts w:ascii="Calibri" w:hAnsi="Calibri"/>
          <w:color w:val="auto"/>
          <w:highlight w:val="none"/>
        </w:rPr>
        <w:t xml:space="preserve">3.1.1 </w:t>
      </w:r>
      <w:r>
        <w:rPr>
          <w:rFonts w:hint="eastAsia" w:ascii="Calibri" w:hAnsi="Calibri" w:cs="宋体"/>
          <w:color w:val="auto"/>
          <w:highlight w:val="none"/>
        </w:rPr>
        <w:t>投标文件应包括下列内容：</w:t>
      </w:r>
    </w:p>
    <w:p>
      <w:pPr>
        <w:spacing w:line="360" w:lineRule="auto"/>
        <w:ind w:firstLine="420" w:firstLineChars="200"/>
        <w:rPr>
          <w:rFonts w:ascii="Calibri" w:hAnsi="Calibri"/>
          <w:color w:val="auto"/>
          <w:highlight w:val="none"/>
        </w:rPr>
      </w:pPr>
      <w:r>
        <w:rPr>
          <w:rFonts w:hint="eastAsia" w:ascii="Calibri" w:hAnsi="Calibri" w:cs="宋体"/>
          <w:color w:val="auto"/>
          <w:highlight w:val="none"/>
        </w:rPr>
        <w:t>3.1.1.</w:t>
      </w:r>
      <w:r>
        <w:rPr>
          <w:rFonts w:ascii="Calibri" w:hAnsi="Calibri"/>
          <w:color w:val="auto"/>
          <w:highlight w:val="none"/>
        </w:rPr>
        <w:t>1</w:t>
      </w:r>
      <w:r>
        <w:rPr>
          <w:rFonts w:hint="eastAsia" w:ascii="Calibri" w:hAnsi="Calibri" w:cs="宋体"/>
          <w:color w:val="auto"/>
          <w:highlight w:val="none"/>
        </w:rPr>
        <w:t>资格审查部分：具体材料见</w:t>
      </w:r>
      <w:r>
        <w:rPr>
          <w:rFonts w:ascii="Calibri" w:hAnsi="Calibri"/>
          <w:color w:val="auto"/>
          <w:highlight w:val="none"/>
        </w:rPr>
        <w:t>“</w:t>
      </w:r>
      <w:r>
        <w:rPr>
          <w:rFonts w:hint="eastAsia" w:ascii="Calibri" w:hAnsi="Calibri" w:cs="宋体"/>
          <w:color w:val="auto"/>
          <w:highlight w:val="none"/>
        </w:rPr>
        <w:t>投标人须知前附表</w:t>
      </w:r>
      <w:r>
        <w:rPr>
          <w:rFonts w:ascii="Calibri" w:hAnsi="Calibri"/>
          <w:color w:val="auto"/>
          <w:highlight w:val="none"/>
        </w:rPr>
        <w:t>”</w:t>
      </w:r>
      <w:r>
        <w:rPr>
          <w:rFonts w:hint="eastAsia" w:ascii="Calibri" w:hAnsi="Calibri" w:cs="宋体"/>
          <w:color w:val="auto"/>
          <w:highlight w:val="none"/>
        </w:rPr>
        <w:t>；</w:t>
      </w:r>
    </w:p>
    <w:p>
      <w:pPr>
        <w:spacing w:line="360" w:lineRule="auto"/>
        <w:ind w:firstLine="420" w:firstLineChars="200"/>
        <w:rPr>
          <w:rFonts w:ascii="Calibri" w:hAnsi="Calibri"/>
          <w:color w:val="auto"/>
          <w:highlight w:val="none"/>
        </w:rPr>
      </w:pPr>
      <w:r>
        <w:rPr>
          <w:rFonts w:hint="eastAsia" w:ascii="Calibri" w:hAnsi="Calibri" w:cs="宋体"/>
          <w:color w:val="auto"/>
          <w:highlight w:val="none"/>
        </w:rPr>
        <w:t>3.1.1.</w:t>
      </w:r>
      <w:r>
        <w:rPr>
          <w:rFonts w:ascii="Calibri" w:hAnsi="Calibri"/>
          <w:color w:val="auto"/>
          <w:highlight w:val="none"/>
        </w:rPr>
        <w:t>2</w:t>
      </w:r>
      <w:r>
        <w:rPr>
          <w:rFonts w:hint="eastAsia" w:ascii="Calibri" w:hAnsi="Calibri" w:cs="宋体"/>
          <w:color w:val="auto"/>
          <w:highlight w:val="none"/>
        </w:rPr>
        <w:t>商务标部分：具体材料见</w:t>
      </w:r>
      <w:r>
        <w:rPr>
          <w:rFonts w:ascii="Calibri" w:hAnsi="Calibri"/>
          <w:color w:val="auto"/>
          <w:highlight w:val="none"/>
        </w:rPr>
        <w:t>“</w:t>
      </w:r>
      <w:r>
        <w:rPr>
          <w:rFonts w:hint="eastAsia" w:ascii="Calibri" w:hAnsi="Calibri" w:cs="宋体"/>
          <w:color w:val="auto"/>
          <w:highlight w:val="none"/>
        </w:rPr>
        <w:t>投标人须知前附表</w:t>
      </w:r>
      <w:r>
        <w:rPr>
          <w:rFonts w:ascii="Calibri" w:hAnsi="Calibri"/>
          <w:color w:val="auto"/>
          <w:highlight w:val="none"/>
        </w:rPr>
        <w:t>”</w:t>
      </w:r>
      <w:r>
        <w:rPr>
          <w:rFonts w:hint="eastAsia" w:ascii="Calibri" w:hAnsi="Calibri" w:cs="宋体"/>
          <w:color w:val="auto"/>
          <w:highlight w:val="none"/>
        </w:rPr>
        <w:t>；</w:t>
      </w:r>
    </w:p>
    <w:p>
      <w:pPr>
        <w:spacing w:line="360" w:lineRule="auto"/>
        <w:ind w:firstLine="420" w:firstLineChars="200"/>
        <w:rPr>
          <w:rFonts w:ascii="Calibri" w:hAnsi="Calibri" w:cs="宋体"/>
          <w:color w:val="auto"/>
          <w:highlight w:val="none"/>
        </w:rPr>
      </w:pPr>
      <w:r>
        <w:rPr>
          <w:rFonts w:hint="eastAsia" w:ascii="Calibri" w:hAnsi="Calibri" w:cs="宋体"/>
          <w:color w:val="auto"/>
          <w:highlight w:val="none"/>
        </w:rPr>
        <w:t>3.1.1.</w:t>
      </w:r>
      <w:r>
        <w:rPr>
          <w:rFonts w:ascii="Calibri" w:hAnsi="Calibri"/>
          <w:color w:val="auto"/>
          <w:highlight w:val="none"/>
        </w:rPr>
        <w:t>3</w:t>
      </w:r>
      <w:r>
        <w:rPr>
          <w:rFonts w:hint="eastAsia" w:ascii="Calibri" w:hAnsi="Calibri" w:cs="宋体"/>
          <w:color w:val="auto"/>
          <w:highlight w:val="none"/>
        </w:rPr>
        <w:t>技术标部分：具体材料见</w:t>
      </w:r>
      <w:r>
        <w:rPr>
          <w:rFonts w:ascii="Calibri" w:hAnsi="Calibri"/>
          <w:color w:val="auto"/>
          <w:highlight w:val="none"/>
        </w:rPr>
        <w:t>“</w:t>
      </w:r>
      <w:r>
        <w:rPr>
          <w:rFonts w:hint="eastAsia" w:ascii="Calibri" w:hAnsi="Calibri" w:cs="宋体"/>
          <w:color w:val="auto"/>
          <w:highlight w:val="none"/>
        </w:rPr>
        <w:t>投标人须知前附表</w:t>
      </w:r>
      <w:r>
        <w:rPr>
          <w:rFonts w:ascii="Calibri" w:hAnsi="Calibri"/>
          <w:color w:val="auto"/>
          <w:highlight w:val="none"/>
        </w:rPr>
        <w:t>”</w:t>
      </w:r>
      <w:r>
        <w:rPr>
          <w:rFonts w:hint="eastAsia" w:ascii="Calibri" w:hAnsi="Calibri"/>
          <w:color w:val="auto"/>
          <w:highlight w:val="none"/>
        </w:rPr>
        <w:t>，其中</w:t>
      </w:r>
      <w:r>
        <w:rPr>
          <w:rFonts w:ascii="Calibri" w:hAnsi="Calibri"/>
          <w:color w:val="auto"/>
          <w:highlight w:val="none"/>
        </w:rPr>
        <w:t>施工组织</w:t>
      </w:r>
      <w:r>
        <w:rPr>
          <w:rFonts w:hint="eastAsia" w:ascii="Calibri" w:hAnsi="Calibri"/>
          <w:color w:val="auto"/>
          <w:highlight w:val="none"/>
        </w:rPr>
        <w:t>设计具体</w:t>
      </w:r>
      <w:r>
        <w:rPr>
          <w:rFonts w:ascii="Calibri" w:hAnsi="Calibri"/>
          <w:color w:val="auto"/>
          <w:highlight w:val="none"/>
        </w:rPr>
        <w:t>内容</w:t>
      </w:r>
      <w:r>
        <w:rPr>
          <w:rFonts w:hint="eastAsia" w:ascii="Calibri" w:hAnsi="Calibri" w:cs="宋体"/>
          <w:color w:val="auto"/>
          <w:highlight w:val="none"/>
        </w:rPr>
        <w:t>如下：</w:t>
      </w:r>
    </w:p>
    <w:p>
      <w:pPr>
        <w:spacing w:line="360" w:lineRule="auto"/>
        <w:ind w:firstLine="420" w:firstLineChars="200"/>
        <w:rPr>
          <w:rFonts w:ascii="Calibri" w:hAnsi="Calibri"/>
          <w:color w:val="auto"/>
          <w:highlight w:val="none"/>
        </w:rPr>
      </w:pPr>
      <w:r>
        <w:rPr>
          <w:rFonts w:hint="eastAsia" w:ascii="Calibri" w:hAnsi="Calibri"/>
          <w:color w:val="auto"/>
          <w:highlight w:val="none"/>
        </w:rPr>
        <w:t>（1）概述</w:t>
      </w:r>
    </w:p>
    <w:p>
      <w:pPr>
        <w:spacing w:line="360" w:lineRule="auto"/>
        <w:ind w:firstLine="420" w:firstLineChars="200"/>
        <w:rPr>
          <w:rFonts w:ascii="Calibri" w:hAnsi="Calibri"/>
          <w:color w:val="auto"/>
          <w:highlight w:val="none"/>
        </w:rPr>
      </w:pPr>
      <w:r>
        <w:rPr>
          <w:rFonts w:hint="eastAsia" w:ascii="Calibri" w:hAnsi="Calibri"/>
          <w:color w:val="auto"/>
          <w:highlight w:val="none"/>
        </w:rPr>
        <w:t>（2）主要施工方法；</w:t>
      </w:r>
    </w:p>
    <w:p>
      <w:pPr>
        <w:spacing w:line="360" w:lineRule="auto"/>
        <w:ind w:firstLine="420" w:firstLineChars="200"/>
        <w:rPr>
          <w:rFonts w:ascii="Calibri" w:hAnsi="Calibri"/>
          <w:color w:val="auto"/>
          <w:highlight w:val="none"/>
        </w:rPr>
      </w:pPr>
      <w:r>
        <w:rPr>
          <w:rFonts w:hint="eastAsia" w:ascii="Calibri" w:hAnsi="Calibri"/>
          <w:color w:val="auto"/>
          <w:highlight w:val="none"/>
        </w:rPr>
        <w:t>（3）拟投入的主要物资计划</w:t>
      </w:r>
    </w:p>
    <w:p>
      <w:pPr>
        <w:spacing w:line="360" w:lineRule="auto"/>
        <w:ind w:firstLine="420" w:firstLineChars="200"/>
        <w:rPr>
          <w:rFonts w:ascii="Calibri" w:hAnsi="Calibri"/>
          <w:color w:val="auto"/>
          <w:highlight w:val="none"/>
        </w:rPr>
      </w:pPr>
      <w:r>
        <w:rPr>
          <w:rFonts w:hint="eastAsia" w:ascii="Calibri" w:hAnsi="Calibri"/>
          <w:color w:val="auto"/>
          <w:highlight w:val="none"/>
        </w:rPr>
        <w:t>（4）</w:t>
      </w:r>
      <w:r>
        <w:rPr>
          <w:rFonts w:hint="eastAsia" w:ascii="Calibri" w:hAnsi="Calibri" w:cs="宋体"/>
          <w:color w:val="auto"/>
          <w:kern w:val="0"/>
          <w:highlight w:val="none"/>
        </w:rPr>
        <w:t>拟投入的主要施工机械、设备计划</w:t>
      </w:r>
    </w:p>
    <w:p>
      <w:pPr>
        <w:spacing w:line="360" w:lineRule="auto"/>
        <w:ind w:firstLine="420" w:firstLineChars="200"/>
        <w:rPr>
          <w:rFonts w:ascii="Calibri" w:hAnsi="Calibri"/>
          <w:color w:val="auto"/>
          <w:highlight w:val="none"/>
        </w:rPr>
      </w:pPr>
      <w:r>
        <w:rPr>
          <w:rFonts w:hint="eastAsia" w:ascii="Calibri" w:hAnsi="Calibri"/>
          <w:color w:val="auto"/>
          <w:highlight w:val="none"/>
        </w:rPr>
        <w:t>（5）劳动力安排计划；</w:t>
      </w:r>
    </w:p>
    <w:p>
      <w:pPr>
        <w:spacing w:line="360" w:lineRule="auto"/>
        <w:ind w:firstLine="420" w:firstLineChars="200"/>
        <w:rPr>
          <w:rFonts w:ascii="Calibri" w:hAnsi="Calibri"/>
          <w:color w:val="auto"/>
          <w:highlight w:val="none"/>
        </w:rPr>
      </w:pPr>
      <w:r>
        <w:rPr>
          <w:rFonts w:hint="eastAsia" w:ascii="Calibri" w:hAnsi="Calibri"/>
          <w:color w:val="auto"/>
          <w:highlight w:val="none"/>
        </w:rPr>
        <w:t>（6）确保工程质量的技术组织措施；</w:t>
      </w:r>
    </w:p>
    <w:p>
      <w:pPr>
        <w:spacing w:line="360" w:lineRule="auto"/>
        <w:ind w:firstLine="420" w:firstLineChars="200"/>
        <w:rPr>
          <w:rFonts w:ascii="Calibri" w:hAnsi="Calibri"/>
          <w:color w:val="auto"/>
          <w:highlight w:val="none"/>
        </w:rPr>
      </w:pPr>
      <w:r>
        <w:rPr>
          <w:rFonts w:hint="eastAsia" w:ascii="Calibri" w:hAnsi="Calibri"/>
          <w:color w:val="auto"/>
          <w:highlight w:val="none"/>
        </w:rPr>
        <w:t>（7）确保安全生产的技术组织措施；</w:t>
      </w:r>
    </w:p>
    <w:p>
      <w:pPr>
        <w:spacing w:line="360" w:lineRule="auto"/>
        <w:ind w:firstLine="420" w:firstLineChars="200"/>
        <w:rPr>
          <w:rFonts w:ascii="Calibri" w:hAnsi="Calibri"/>
          <w:color w:val="auto"/>
          <w:highlight w:val="none"/>
        </w:rPr>
      </w:pPr>
      <w:r>
        <w:rPr>
          <w:rFonts w:hint="eastAsia" w:ascii="Calibri" w:hAnsi="Calibri"/>
          <w:color w:val="auto"/>
          <w:highlight w:val="none"/>
        </w:rPr>
        <w:t>（8）确保工期的技术组织措施；</w:t>
      </w:r>
    </w:p>
    <w:p>
      <w:pPr>
        <w:spacing w:line="360" w:lineRule="auto"/>
        <w:ind w:firstLine="420" w:firstLineChars="200"/>
        <w:rPr>
          <w:rFonts w:ascii="Calibri" w:hAnsi="Calibri"/>
          <w:color w:val="auto"/>
          <w:highlight w:val="none"/>
        </w:rPr>
      </w:pPr>
      <w:r>
        <w:rPr>
          <w:rFonts w:hint="eastAsia" w:ascii="Calibri" w:hAnsi="Calibri"/>
          <w:color w:val="auto"/>
          <w:highlight w:val="none"/>
        </w:rPr>
        <w:t>（9）确保文明施工的技术组织措施；</w:t>
      </w:r>
    </w:p>
    <w:p>
      <w:pPr>
        <w:spacing w:line="360" w:lineRule="auto"/>
        <w:ind w:firstLine="420" w:firstLineChars="200"/>
        <w:rPr>
          <w:rFonts w:ascii="Calibri" w:hAnsi="Calibri"/>
          <w:color w:val="auto"/>
          <w:highlight w:val="none"/>
        </w:rPr>
      </w:pPr>
      <w:r>
        <w:rPr>
          <w:rFonts w:hint="eastAsia" w:ascii="Calibri" w:hAnsi="Calibri"/>
          <w:color w:val="auto"/>
          <w:highlight w:val="none"/>
        </w:rPr>
        <w:t>（10）工程施工的重点和难点及保证措施；</w:t>
      </w:r>
    </w:p>
    <w:p>
      <w:pPr>
        <w:spacing w:line="360" w:lineRule="auto"/>
        <w:ind w:firstLine="420" w:firstLineChars="200"/>
        <w:rPr>
          <w:rFonts w:ascii="Calibri" w:hAnsi="Calibri"/>
          <w:color w:val="auto"/>
          <w:highlight w:val="none"/>
        </w:rPr>
      </w:pPr>
      <w:r>
        <w:rPr>
          <w:rFonts w:hint="eastAsia" w:ascii="Calibri" w:hAnsi="Calibri"/>
          <w:color w:val="auto"/>
          <w:highlight w:val="none"/>
        </w:rPr>
        <w:t>（1</w:t>
      </w:r>
      <w:r>
        <w:rPr>
          <w:rFonts w:ascii="Calibri" w:hAnsi="Calibri"/>
          <w:color w:val="auto"/>
          <w:highlight w:val="none"/>
        </w:rPr>
        <w:t>1</w:t>
      </w:r>
      <w:r>
        <w:rPr>
          <w:rFonts w:hint="eastAsia" w:ascii="Calibri" w:hAnsi="Calibri"/>
          <w:color w:val="auto"/>
          <w:highlight w:val="none"/>
        </w:rPr>
        <w:t>）施工总平面布置图；</w:t>
      </w:r>
    </w:p>
    <w:p>
      <w:pPr>
        <w:spacing w:line="360" w:lineRule="auto"/>
        <w:ind w:firstLine="420" w:firstLineChars="200"/>
        <w:rPr>
          <w:rFonts w:ascii="Calibri" w:hAnsi="Calibri"/>
          <w:color w:val="auto"/>
          <w:highlight w:val="none"/>
        </w:rPr>
      </w:pPr>
      <w:r>
        <w:rPr>
          <w:rFonts w:hint="eastAsia" w:ascii="Calibri" w:hAnsi="Calibri"/>
          <w:color w:val="auto"/>
          <w:highlight w:val="none"/>
        </w:rPr>
        <w:t>（1</w:t>
      </w:r>
      <w:r>
        <w:rPr>
          <w:rFonts w:ascii="Calibri" w:hAnsi="Calibri"/>
          <w:color w:val="auto"/>
          <w:highlight w:val="none"/>
        </w:rPr>
        <w:t>2</w:t>
      </w:r>
      <w:r>
        <w:rPr>
          <w:rFonts w:hint="eastAsia" w:ascii="Calibri" w:hAnsi="Calibri"/>
          <w:color w:val="auto"/>
          <w:highlight w:val="none"/>
        </w:rPr>
        <w:t>）其他（</w:t>
      </w:r>
      <w:r>
        <w:rPr>
          <w:rFonts w:ascii="Calibri" w:hAnsi="Calibri"/>
          <w:color w:val="auto"/>
          <w:highlight w:val="none"/>
        </w:rPr>
        <w:t>如有）</w:t>
      </w:r>
      <w:r>
        <w:rPr>
          <w:rFonts w:hint="eastAsia" w:ascii="Calibri" w:hAnsi="Calibri"/>
          <w:color w:val="auto"/>
          <w:highlight w:val="none"/>
        </w:rPr>
        <w:t>（与评标</w:t>
      </w:r>
      <w:r>
        <w:rPr>
          <w:rFonts w:ascii="Calibri" w:hAnsi="Calibri"/>
          <w:color w:val="auto"/>
          <w:highlight w:val="none"/>
        </w:rPr>
        <w:t>办法</w:t>
      </w:r>
      <w:r>
        <w:rPr>
          <w:rFonts w:hint="eastAsia" w:ascii="Calibri" w:hAnsi="Calibri"/>
          <w:color w:val="auto"/>
          <w:highlight w:val="none"/>
        </w:rPr>
        <w:t>前</w:t>
      </w:r>
      <w:r>
        <w:rPr>
          <w:rFonts w:ascii="Calibri" w:hAnsi="Calibri"/>
          <w:color w:val="auto"/>
          <w:highlight w:val="none"/>
        </w:rPr>
        <w:t>附表技术标评分标准一致</w:t>
      </w:r>
      <w:r>
        <w:rPr>
          <w:rFonts w:hint="eastAsia" w:ascii="Calibri" w:hAnsi="Calibri"/>
          <w:color w:val="auto"/>
          <w:highlight w:val="none"/>
        </w:rPr>
        <w:t>）</w:t>
      </w:r>
    </w:p>
    <w:p>
      <w:pPr>
        <w:spacing w:line="360" w:lineRule="auto"/>
        <w:ind w:firstLine="420" w:firstLineChars="200"/>
        <w:rPr>
          <w:rFonts w:ascii="Calibri" w:hAnsi="Calibri"/>
          <w:color w:val="auto"/>
          <w:highlight w:val="none"/>
        </w:rPr>
      </w:pPr>
      <w:r>
        <w:rPr>
          <w:rFonts w:ascii="Calibri" w:hAnsi="Calibri"/>
          <w:color w:val="auto"/>
          <w:highlight w:val="none"/>
        </w:rPr>
        <w:t xml:space="preserve">3.1.2 </w:t>
      </w:r>
      <w:r>
        <w:rPr>
          <w:rFonts w:hint="eastAsia" w:ascii="Calibri" w:hAnsi="Calibri" w:cs="宋体"/>
          <w:color w:val="auto"/>
          <w:highlight w:val="none"/>
        </w:rPr>
        <w:t>招标文件</w:t>
      </w:r>
      <w:r>
        <w:rPr>
          <w:rFonts w:ascii="Calibri" w:hAnsi="Calibri"/>
          <w:color w:val="auto"/>
          <w:highlight w:val="none"/>
        </w:rPr>
        <w:t>“</w:t>
      </w:r>
      <w:r>
        <w:rPr>
          <w:rFonts w:hint="eastAsia" w:ascii="Calibri" w:hAnsi="Calibri" w:cs="宋体"/>
          <w:color w:val="auto"/>
          <w:highlight w:val="none"/>
        </w:rPr>
        <w:t>第九章</w:t>
      </w:r>
      <w:r>
        <w:rPr>
          <w:rFonts w:ascii="Calibri" w:hAnsi="Calibri"/>
          <w:color w:val="auto"/>
          <w:highlight w:val="none"/>
        </w:rPr>
        <w:t xml:space="preserve"> </w:t>
      </w:r>
      <w:r>
        <w:rPr>
          <w:rFonts w:hint="eastAsia" w:ascii="Calibri" w:hAnsi="Calibri" w:cs="宋体"/>
          <w:color w:val="auto"/>
          <w:highlight w:val="none"/>
        </w:rPr>
        <w:t>投标文件格式</w:t>
      </w:r>
      <w:r>
        <w:rPr>
          <w:rFonts w:ascii="Calibri" w:hAnsi="Calibri"/>
          <w:color w:val="auto"/>
          <w:highlight w:val="none"/>
        </w:rPr>
        <w:t>”</w:t>
      </w:r>
      <w:r>
        <w:rPr>
          <w:rFonts w:hint="eastAsia" w:ascii="Calibri" w:hAnsi="Calibri" w:cs="宋体"/>
          <w:color w:val="auto"/>
          <w:highlight w:val="none"/>
        </w:rPr>
        <w:t>有规定格式要求的，投标人应按规定的格式填写并按要求提交相关的证明材料。</w:t>
      </w:r>
    </w:p>
    <w:p>
      <w:pPr>
        <w:spacing w:line="360" w:lineRule="auto"/>
        <w:ind w:firstLine="420" w:firstLineChars="200"/>
        <w:rPr>
          <w:rFonts w:ascii="Calibri" w:hAnsi="Calibri"/>
          <w:color w:val="auto"/>
          <w:highlight w:val="none"/>
        </w:rPr>
      </w:pPr>
      <w:r>
        <w:rPr>
          <w:rFonts w:ascii="Calibri" w:hAnsi="Calibri"/>
          <w:color w:val="auto"/>
          <w:highlight w:val="none"/>
        </w:rPr>
        <w:t>3.1.3 “</w:t>
      </w:r>
      <w:r>
        <w:rPr>
          <w:rFonts w:hint="eastAsia" w:ascii="Calibri" w:hAnsi="Calibri" w:cs="宋体"/>
          <w:color w:val="auto"/>
          <w:highlight w:val="none"/>
        </w:rPr>
        <w:t>投标人须知前附表</w:t>
      </w:r>
      <w:r>
        <w:rPr>
          <w:rFonts w:ascii="Calibri" w:hAnsi="Calibri"/>
          <w:color w:val="auto"/>
          <w:highlight w:val="none"/>
        </w:rPr>
        <w:t>”</w:t>
      </w:r>
      <w:r>
        <w:rPr>
          <w:rFonts w:hint="eastAsia" w:ascii="Calibri" w:hAnsi="Calibri" w:cs="宋体"/>
          <w:color w:val="auto"/>
          <w:highlight w:val="none"/>
        </w:rPr>
        <w:t>规定不接受联合体投标的，或投标人没有组成联合体的，投标文件不包括本章第</w:t>
      </w:r>
      <w:r>
        <w:rPr>
          <w:rFonts w:ascii="Calibri" w:hAnsi="Calibri"/>
          <w:color w:val="auto"/>
          <w:highlight w:val="none"/>
        </w:rPr>
        <w:t>3.1.1</w:t>
      </w:r>
      <w:r>
        <w:rPr>
          <w:rFonts w:hint="eastAsia" w:ascii="Calibri" w:hAnsi="Calibri" w:cs="宋体"/>
          <w:color w:val="auto"/>
          <w:highlight w:val="none"/>
        </w:rPr>
        <w:t>.1中所指的联合体协议书。</w:t>
      </w:r>
    </w:p>
    <w:p>
      <w:pPr>
        <w:spacing w:line="360" w:lineRule="auto"/>
        <w:ind w:firstLine="420" w:firstLineChars="200"/>
        <w:rPr>
          <w:rFonts w:ascii="Calibri" w:hAnsi="Calibri"/>
          <w:color w:val="auto"/>
          <w:highlight w:val="none"/>
        </w:rPr>
      </w:pPr>
      <w:r>
        <w:rPr>
          <w:rFonts w:ascii="Calibri" w:hAnsi="Calibri"/>
          <w:color w:val="auto"/>
          <w:highlight w:val="none"/>
        </w:rPr>
        <w:t xml:space="preserve">3.1.4 </w:t>
      </w:r>
      <w:r>
        <w:rPr>
          <w:rFonts w:hint="eastAsia" w:ascii="Calibri" w:hAnsi="Calibri" w:cs="宋体"/>
          <w:color w:val="auto"/>
          <w:highlight w:val="none"/>
        </w:rPr>
        <w:t>近年财务状况、完成的类似项目的年份要求：见</w:t>
      </w:r>
      <w:r>
        <w:rPr>
          <w:rFonts w:ascii="Calibri" w:hAnsi="Calibri"/>
          <w:color w:val="auto"/>
          <w:highlight w:val="none"/>
        </w:rPr>
        <w:t>“</w:t>
      </w:r>
      <w:r>
        <w:rPr>
          <w:rFonts w:hint="eastAsia" w:ascii="Calibri" w:hAnsi="Calibri" w:cs="宋体"/>
          <w:color w:val="auto"/>
          <w:highlight w:val="none"/>
        </w:rPr>
        <w:t>投标人须知前附表</w:t>
      </w:r>
      <w:r>
        <w:rPr>
          <w:rFonts w:ascii="Calibri" w:hAnsi="Calibri"/>
          <w:color w:val="auto"/>
          <w:highlight w:val="none"/>
        </w:rPr>
        <w:t>”</w:t>
      </w:r>
      <w:r>
        <w:rPr>
          <w:rFonts w:hint="eastAsia" w:ascii="Calibri" w:hAnsi="Calibri" w:cs="宋体"/>
          <w:color w:val="auto"/>
          <w:highlight w:val="none"/>
        </w:rPr>
        <w:t>。</w:t>
      </w:r>
    </w:p>
    <w:p>
      <w:pPr>
        <w:pStyle w:val="7"/>
        <w:rPr>
          <w:color w:val="auto"/>
          <w:highlight w:val="none"/>
        </w:rPr>
      </w:pPr>
      <w:r>
        <w:rPr>
          <w:color w:val="auto"/>
          <w:highlight w:val="none"/>
        </w:rPr>
        <w:t>3.2 投标报价</w:t>
      </w:r>
      <w:bookmarkEnd w:id="88"/>
      <w:bookmarkEnd w:id="89"/>
    </w:p>
    <w:p>
      <w:pPr>
        <w:spacing w:line="360" w:lineRule="auto"/>
        <w:ind w:firstLine="420" w:firstLineChars="200"/>
        <w:rPr>
          <w:rFonts w:ascii="Calibri" w:hAnsi="Calibri"/>
          <w:color w:val="auto"/>
          <w:highlight w:val="none"/>
        </w:rPr>
      </w:pPr>
      <w:bookmarkStart w:id="90" w:name="_Toc76726752"/>
      <w:bookmarkStart w:id="91" w:name="_Toc389065165"/>
      <w:r>
        <w:rPr>
          <w:rFonts w:ascii="Calibri" w:hAnsi="Calibri"/>
          <w:color w:val="auto"/>
          <w:highlight w:val="none"/>
        </w:rPr>
        <w:t xml:space="preserve">3.2.1 </w:t>
      </w:r>
      <w:r>
        <w:rPr>
          <w:rFonts w:hint="eastAsia" w:ascii="Calibri" w:hAnsi="Calibri" w:cs="宋体"/>
          <w:color w:val="auto"/>
          <w:highlight w:val="none"/>
        </w:rPr>
        <w:t>投标人应按第五章</w:t>
      </w:r>
      <w:r>
        <w:rPr>
          <w:rFonts w:ascii="Calibri" w:hAnsi="Calibri"/>
          <w:color w:val="auto"/>
          <w:highlight w:val="none"/>
        </w:rPr>
        <w:t>“</w:t>
      </w:r>
      <w:r>
        <w:rPr>
          <w:rFonts w:hint="eastAsia" w:ascii="Calibri" w:hAnsi="Calibri" w:cs="宋体"/>
          <w:color w:val="auto"/>
          <w:highlight w:val="none"/>
        </w:rPr>
        <w:t>工程量清单</w:t>
      </w:r>
      <w:r>
        <w:rPr>
          <w:rFonts w:ascii="Calibri" w:hAnsi="Calibri"/>
          <w:color w:val="auto"/>
          <w:highlight w:val="none"/>
        </w:rPr>
        <w:t>”</w:t>
      </w:r>
      <w:r>
        <w:rPr>
          <w:rFonts w:hint="eastAsia" w:ascii="Calibri" w:hAnsi="Calibri" w:cs="宋体"/>
          <w:color w:val="auto"/>
          <w:highlight w:val="none"/>
        </w:rPr>
        <w:t>的要求填写相应表格。</w:t>
      </w:r>
    </w:p>
    <w:p>
      <w:pPr>
        <w:spacing w:line="360" w:lineRule="auto"/>
        <w:ind w:firstLine="420" w:firstLineChars="200"/>
        <w:rPr>
          <w:rFonts w:ascii="Calibri" w:hAnsi="Calibri"/>
          <w:color w:val="auto"/>
          <w:highlight w:val="none"/>
        </w:rPr>
      </w:pPr>
      <w:r>
        <w:rPr>
          <w:rFonts w:ascii="Calibri" w:hAnsi="Calibri"/>
          <w:color w:val="auto"/>
          <w:highlight w:val="none"/>
        </w:rPr>
        <w:t xml:space="preserve">3.2.2 </w:t>
      </w:r>
      <w:r>
        <w:rPr>
          <w:rFonts w:hint="eastAsia" w:ascii="Calibri" w:hAnsi="Calibri" w:cs="宋体"/>
          <w:color w:val="auto"/>
          <w:highlight w:val="none"/>
        </w:rPr>
        <w:t>投标人在投标截止时间前修改投标函中的投标总报价，应同时修改第九章</w:t>
      </w:r>
      <w:r>
        <w:rPr>
          <w:rFonts w:ascii="Calibri" w:hAnsi="Calibri"/>
          <w:color w:val="auto"/>
          <w:highlight w:val="none"/>
        </w:rPr>
        <w:t>“</w:t>
      </w:r>
      <w:r>
        <w:rPr>
          <w:rFonts w:hint="eastAsia" w:ascii="Calibri" w:hAnsi="Calibri" w:cs="宋体"/>
          <w:color w:val="auto"/>
          <w:highlight w:val="none"/>
        </w:rPr>
        <w:t>投标文件格式</w:t>
      </w:r>
      <w:r>
        <w:rPr>
          <w:rFonts w:ascii="Calibri" w:hAnsi="Calibri"/>
          <w:color w:val="auto"/>
          <w:highlight w:val="none"/>
        </w:rPr>
        <w:t>”</w:t>
      </w:r>
      <w:r>
        <w:rPr>
          <w:rFonts w:hint="eastAsia" w:ascii="Calibri" w:hAnsi="Calibri" w:cs="宋体"/>
          <w:color w:val="auto"/>
          <w:highlight w:val="none"/>
        </w:rPr>
        <w:t>中的相应报价。此修改须符合本章第</w:t>
      </w:r>
      <w:r>
        <w:rPr>
          <w:rFonts w:ascii="Calibri" w:hAnsi="Calibri"/>
          <w:color w:val="auto"/>
          <w:highlight w:val="none"/>
        </w:rPr>
        <w:t>4.3</w:t>
      </w:r>
      <w:r>
        <w:rPr>
          <w:rFonts w:hint="eastAsia" w:ascii="Calibri" w:hAnsi="Calibri" w:cs="宋体"/>
          <w:color w:val="auto"/>
          <w:highlight w:val="none"/>
        </w:rPr>
        <w:t>款的有关要求。</w:t>
      </w:r>
    </w:p>
    <w:p>
      <w:pPr>
        <w:pStyle w:val="7"/>
        <w:rPr>
          <w:color w:val="auto"/>
          <w:highlight w:val="none"/>
        </w:rPr>
      </w:pPr>
      <w:r>
        <w:rPr>
          <w:color w:val="auto"/>
          <w:highlight w:val="none"/>
        </w:rPr>
        <w:t>3.3 投标有效期</w:t>
      </w:r>
      <w:bookmarkEnd w:id="90"/>
      <w:bookmarkEnd w:id="91"/>
    </w:p>
    <w:p>
      <w:pPr>
        <w:spacing w:line="360" w:lineRule="auto"/>
        <w:ind w:firstLine="420" w:firstLineChars="200"/>
        <w:rPr>
          <w:color w:val="auto"/>
          <w:szCs w:val="21"/>
          <w:highlight w:val="none"/>
        </w:rPr>
      </w:pPr>
      <w:r>
        <w:rPr>
          <w:color w:val="auto"/>
          <w:szCs w:val="21"/>
          <w:highlight w:val="none"/>
        </w:rPr>
        <w:t>3.3.1 在“投标人须知前附表”规定的投标有效期内，投标人不得要求撤销或修改其投标文件。</w:t>
      </w:r>
    </w:p>
    <w:p>
      <w:pPr>
        <w:spacing w:line="360" w:lineRule="auto"/>
        <w:ind w:firstLine="420" w:firstLineChars="200"/>
        <w:rPr>
          <w:color w:val="auto"/>
          <w:szCs w:val="21"/>
          <w:highlight w:val="none"/>
        </w:rPr>
      </w:pPr>
      <w:r>
        <w:rPr>
          <w:color w:val="auto"/>
          <w:szCs w:val="21"/>
          <w:highlight w:val="none"/>
        </w:rPr>
        <w:t>3.3.2</w:t>
      </w:r>
      <w:r>
        <w:rPr>
          <w:rFonts w:hint="eastAsia"/>
          <w:color w:val="auto"/>
          <w:szCs w:val="21"/>
          <w:highlight w:val="none"/>
        </w:rPr>
        <w:t xml:space="preserve"> </w:t>
      </w:r>
      <w:r>
        <w:rPr>
          <w:color w:val="auto"/>
          <w:szCs w:val="21"/>
          <w:highlight w:val="none"/>
        </w:rPr>
        <w:t>出现特殊情况需要延长投标有效期的，招标人以书面形式通知所有投标人延长投标有效期。</w:t>
      </w:r>
    </w:p>
    <w:p>
      <w:pPr>
        <w:pStyle w:val="7"/>
        <w:rPr>
          <w:color w:val="auto"/>
          <w:highlight w:val="none"/>
        </w:rPr>
      </w:pPr>
      <w:bookmarkStart w:id="92" w:name="_Toc389065166"/>
      <w:bookmarkStart w:id="93" w:name="_Toc76726753"/>
      <w:r>
        <w:rPr>
          <w:color w:val="auto"/>
          <w:highlight w:val="none"/>
        </w:rPr>
        <w:t>3.4 投标保证金</w:t>
      </w:r>
      <w:bookmarkEnd w:id="92"/>
      <w:bookmarkEnd w:id="93"/>
    </w:p>
    <w:p>
      <w:pPr>
        <w:spacing w:line="360" w:lineRule="auto"/>
        <w:ind w:firstLine="420" w:firstLineChars="200"/>
        <w:rPr>
          <w:rFonts w:hint="eastAsia"/>
          <w:color w:val="auto"/>
          <w:szCs w:val="21"/>
          <w:highlight w:val="none"/>
        </w:rPr>
      </w:pPr>
      <w:r>
        <w:rPr>
          <w:rFonts w:hint="eastAsia"/>
          <w:color w:val="auto"/>
          <w:szCs w:val="21"/>
          <w:highlight w:val="none"/>
        </w:rPr>
        <w:t>不收取</w:t>
      </w:r>
    </w:p>
    <w:p>
      <w:pPr>
        <w:pStyle w:val="7"/>
        <w:rPr>
          <w:color w:val="auto"/>
          <w:highlight w:val="none"/>
        </w:rPr>
      </w:pPr>
      <w:bookmarkStart w:id="94" w:name="_Toc76726754"/>
      <w:bookmarkStart w:id="95" w:name="_Toc389065167"/>
      <w:r>
        <w:rPr>
          <w:color w:val="auto"/>
          <w:highlight w:val="none"/>
        </w:rPr>
        <w:t>3.5 资格审查资料</w:t>
      </w:r>
      <w:bookmarkEnd w:id="94"/>
    </w:p>
    <w:p>
      <w:pPr>
        <w:spacing w:line="360" w:lineRule="auto"/>
        <w:ind w:firstLine="420" w:firstLineChars="200"/>
        <w:rPr>
          <w:color w:val="auto"/>
          <w:szCs w:val="21"/>
          <w:highlight w:val="none"/>
        </w:rPr>
      </w:pPr>
      <w:r>
        <w:rPr>
          <w:color w:val="auto"/>
          <w:szCs w:val="21"/>
          <w:highlight w:val="none"/>
        </w:rPr>
        <w:t>3.5.1</w:t>
      </w:r>
      <w:r>
        <w:rPr>
          <w:rFonts w:hint="eastAsia"/>
          <w:color w:val="auto"/>
          <w:szCs w:val="21"/>
          <w:highlight w:val="none"/>
        </w:rPr>
        <w:t xml:space="preserve"> </w:t>
      </w:r>
      <w:r>
        <w:rPr>
          <w:color w:val="auto"/>
          <w:szCs w:val="21"/>
          <w:highlight w:val="none"/>
        </w:rPr>
        <w:t xml:space="preserve"> “投标人基本情况表”应附投标人营业执照副本、资质证书副本和安全生产许可证等材料的复印件。</w:t>
      </w:r>
    </w:p>
    <w:p>
      <w:pPr>
        <w:spacing w:line="360" w:lineRule="auto"/>
        <w:ind w:firstLine="420" w:firstLineChars="200"/>
        <w:rPr>
          <w:color w:val="auto"/>
          <w:szCs w:val="21"/>
          <w:highlight w:val="none"/>
        </w:rPr>
      </w:pPr>
      <w:r>
        <w:rPr>
          <w:color w:val="auto"/>
          <w:szCs w:val="21"/>
          <w:highlight w:val="none"/>
        </w:rPr>
        <w:t>3.5.2  “近年财务状况表”应附经会计师事务所或审计机构审计的财务会计报表，包括资产负债表、现金流量表、利润表和财务情况说明书的复印件，具体年份要求见投标人须知前附表。</w:t>
      </w:r>
    </w:p>
    <w:p>
      <w:pPr>
        <w:spacing w:line="360" w:lineRule="auto"/>
        <w:ind w:firstLine="420" w:firstLineChars="200"/>
        <w:rPr>
          <w:color w:val="auto"/>
          <w:szCs w:val="21"/>
          <w:highlight w:val="none"/>
        </w:rPr>
      </w:pPr>
      <w:r>
        <w:rPr>
          <w:color w:val="auto"/>
          <w:szCs w:val="21"/>
          <w:highlight w:val="none"/>
        </w:rPr>
        <w:t xml:space="preserve">3.5.3 </w:t>
      </w:r>
      <w:r>
        <w:rPr>
          <w:rFonts w:hint="eastAsia"/>
          <w:color w:val="auto"/>
          <w:szCs w:val="21"/>
          <w:highlight w:val="none"/>
        </w:rPr>
        <w:t xml:space="preserve"> </w:t>
      </w:r>
      <w:r>
        <w:rPr>
          <w:color w:val="auto"/>
          <w:szCs w:val="21"/>
          <w:highlight w:val="none"/>
        </w:rPr>
        <w:t>“近年完成的类似项目情况表”应附中标通知书和（或）合同协议书、工程接收证书（工程</w:t>
      </w:r>
      <w:r>
        <w:rPr>
          <w:rFonts w:hint="eastAsia"/>
          <w:color w:val="auto"/>
          <w:szCs w:val="21"/>
          <w:highlight w:val="none"/>
        </w:rPr>
        <w:t>交工或</w:t>
      </w:r>
      <w:r>
        <w:rPr>
          <w:color w:val="auto"/>
          <w:szCs w:val="21"/>
          <w:highlight w:val="none"/>
        </w:rPr>
        <w:t>竣工验收证书）的复印件，具体年份要求见投标人须知前附表。每张表格只填写一个项目，并标明序号。</w:t>
      </w:r>
    </w:p>
    <w:p>
      <w:pPr>
        <w:spacing w:line="360" w:lineRule="auto"/>
        <w:ind w:firstLine="420" w:firstLineChars="200"/>
        <w:rPr>
          <w:color w:val="auto"/>
          <w:szCs w:val="21"/>
          <w:highlight w:val="none"/>
        </w:rPr>
      </w:pPr>
      <w:r>
        <w:rPr>
          <w:color w:val="auto"/>
          <w:szCs w:val="21"/>
          <w:highlight w:val="none"/>
        </w:rPr>
        <w:t xml:space="preserve">3.5.4 </w:t>
      </w:r>
      <w:r>
        <w:rPr>
          <w:rFonts w:hint="eastAsia"/>
          <w:color w:val="auto"/>
          <w:szCs w:val="21"/>
          <w:highlight w:val="none"/>
        </w:rPr>
        <w:t xml:space="preserve"> </w:t>
      </w:r>
      <w:r>
        <w:rPr>
          <w:color w:val="auto"/>
          <w:szCs w:val="21"/>
          <w:highlight w:val="none"/>
        </w:rPr>
        <w:t>“正在施工和新承接的项目情况表”应附中标通知书和（或）合同协议书复印件。每张表格只填写一个项目，并标明序号。</w:t>
      </w:r>
    </w:p>
    <w:p>
      <w:pPr>
        <w:spacing w:line="360" w:lineRule="auto"/>
        <w:ind w:firstLine="420" w:firstLineChars="200"/>
        <w:rPr>
          <w:color w:val="auto"/>
          <w:szCs w:val="21"/>
          <w:highlight w:val="none"/>
        </w:rPr>
      </w:pPr>
      <w:r>
        <w:rPr>
          <w:color w:val="auto"/>
          <w:szCs w:val="21"/>
          <w:highlight w:val="none"/>
        </w:rPr>
        <w:t>3.5.5</w:t>
      </w:r>
      <w:r>
        <w:rPr>
          <w:rFonts w:hint="eastAsia"/>
          <w:color w:val="auto"/>
          <w:szCs w:val="21"/>
          <w:highlight w:val="none"/>
        </w:rPr>
        <w:t xml:space="preserve"> </w:t>
      </w:r>
      <w:r>
        <w:rPr>
          <w:color w:val="auto"/>
          <w:szCs w:val="21"/>
          <w:highlight w:val="none"/>
        </w:rPr>
        <w:t xml:space="preserve"> “近年发生的诉讼及仲裁情况”应说明相关情况，并附法院或仲裁机构作出的判决、裁决等有关法律文书复印件，具体年份要求见投标人须知前附表。</w:t>
      </w:r>
    </w:p>
    <w:p>
      <w:pPr>
        <w:spacing w:line="360" w:lineRule="auto"/>
        <w:ind w:firstLine="420" w:firstLineChars="200"/>
        <w:rPr>
          <w:color w:val="auto"/>
          <w:szCs w:val="21"/>
          <w:highlight w:val="none"/>
        </w:rPr>
      </w:pPr>
      <w:r>
        <w:rPr>
          <w:color w:val="auto"/>
          <w:szCs w:val="21"/>
          <w:highlight w:val="none"/>
        </w:rPr>
        <w:t>3.5.6 投标人须知前附表规定接受联合体投标的，本章第3.5.1 项至第3.5.5 项规定的表格和资料应包括联合体各方相关情况。</w:t>
      </w:r>
    </w:p>
    <w:p>
      <w:pPr>
        <w:pStyle w:val="7"/>
        <w:rPr>
          <w:color w:val="auto"/>
          <w:highlight w:val="none"/>
        </w:rPr>
      </w:pPr>
      <w:bookmarkStart w:id="96" w:name="_Toc76726755"/>
      <w:r>
        <w:rPr>
          <w:color w:val="auto"/>
          <w:highlight w:val="none"/>
        </w:rPr>
        <w:t>3.6备选投标方案</w:t>
      </w:r>
      <w:bookmarkEnd w:id="95"/>
      <w:bookmarkEnd w:id="96"/>
    </w:p>
    <w:p>
      <w:pPr>
        <w:spacing w:line="360" w:lineRule="auto"/>
        <w:ind w:firstLine="420" w:firstLineChars="200"/>
        <w:rPr>
          <w:color w:val="auto"/>
          <w:highlight w:val="none"/>
        </w:rPr>
      </w:pPr>
      <w:r>
        <w:rPr>
          <w:rFonts w:hint="eastAsia"/>
          <w:color w:val="auto"/>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
        <w:rPr>
          <w:color w:val="auto"/>
          <w:highlight w:val="none"/>
        </w:rPr>
      </w:pPr>
      <w:bookmarkStart w:id="97" w:name="_Toc389065168"/>
      <w:r>
        <w:rPr>
          <w:color w:val="auto"/>
          <w:highlight w:val="none"/>
        </w:rPr>
        <w:t xml:space="preserve"> </w:t>
      </w:r>
      <w:bookmarkStart w:id="98" w:name="_Toc76726756"/>
      <w:r>
        <w:rPr>
          <w:rFonts w:hint="eastAsia"/>
          <w:color w:val="auto"/>
          <w:highlight w:val="none"/>
        </w:rPr>
        <w:t>3.7</w:t>
      </w:r>
      <w:r>
        <w:rPr>
          <w:color w:val="auto"/>
          <w:highlight w:val="none"/>
        </w:rPr>
        <w:t>投标文件的编制</w:t>
      </w:r>
      <w:bookmarkEnd w:id="97"/>
      <w:bookmarkEnd w:id="98"/>
    </w:p>
    <w:p>
      <w:pPr>
        <w:snapToGrid w:val="0"/>
        <w:spacing w:line="360" w:lineRule="exact"/>
        <w:ind w:firstLine="413" w:firstLineChars="196"/>
        <w:jc w:val="left"/>
        <w:rPr>
          <w:rFonts w:ascii="宋体" w:hAnsi="宋体"/>
          <w:b/>
          <w:color w:val="auto"/>
          <w:szCs w:val="21"/>
          <w:highlight w:val="none"/>
        </w:rPr>
      </w:pPr>
      <w:bookmarkStart w:id="99" w:name="_Toc254970677"/>
      <w:bookmarkStart w:id="100" w:name="_Toc254970536"/>
      <w:bookmarkStart w:id="101" w:name="_Toc76726757"/>
      <w:bookmarkStart w:id="102" w:name="_Toc389065169"/>
      <w:r>
        <w:rPr>
          <w:rFonts w:hint="eastAsia" w:ascii="宋体" w:hAnsi="宋体"/>
          <w:b/>
          <w:color w:val="auto"/>
          <w:szCs w:val="21"/>
          <w:highlight w:val="none"/>
        </w:rPr>
        <w:t>（一）投标文件的组成</w:t>
      </w:r>
      <w:bookmarkEnd w:id="99"/>
      <w:bookmarkEnd w:id="100"/>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1. 投标文件编制基本要求</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1.1本项目实行电子投标，供应商应准备</w:t>
      </w:r>
      <w:r>
        <w:rPr>
          <w:rFonts w:hint="eastAsia" w:ascii="宋体" w:hAnsi="宋体"/>
          <w:b/>
          <w:color w:val="auto"/>
          <w:szCs w:val="21"/>
          <w:highlight w:val="none"/>
        </w:rPr>
        <w:t>电子投标文件、以介质存储的数据电文形式的电子备份投标文件两类</w:t>
      </w:r>
      <w:r>
        <w:rPr>
          <w:rFonts w:hint="eastAsia" w:ascii="宋体"/>
          <w:color w:val="auto"/>
          <w:szCs w:val="21"/>
          <w:highlight w:val="none"/>
        </w:rPr>
        <w:t>：</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1.1.1电子投标文件按政采云平台要求及本招标文件要求制作、加密并递交。具体操作流程可参考《政府采购项目电子交易管理操作指南-供应商》，指南可在“北海市政府采购中心网站-办事指南-政府采购项目电子交易管理操作指南”下载。</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1.1.2 电子备份投标文件系上传政采云平台的投标文件电子版，按照本招标文件要求制作。</w:t>
      </w:r>
    </w:p>
    <w:p>
      <w:pPr>
        <w:snapToGrid w:val="0"/>
        <w:spacing w:line="360" w:lineRule="exact"/>
        <w:ind w:firstLine="422" w:firstLineChars="200"/>
        <w:jc w:val="left"/>
        <w:rPr>
          <w:rFonts w:ascii="宋体"/>
          <w:b/>
          <w:color w:val="auto"/>
          <w:szCs w:val="21"/>
          <w:highlight w:val="none"/>
        </w:rPr>
      </w:pPr>
      <w:r>
        <w:rPr>
          <w:rFonts w:hint="eastAsia" w:ascii="宋体"/>
          <w:b/>
          <w:color w:val="auto"/>
          <w:szCs w:val="21"/>
          <w:highlight w:val="none"/>
        </w:rPr>
        <w:t>▲1.1.3投标文件启用顺序和效力：投标文件的启用，按先后顺位分别为</w:t>
      </w:r>
      <w:r>
        <w:rPr>
          <w:rFonts w:hint="eastAsia" w:ascii="宋体" w:hAnsi="宋体"/>
          <w:b/>
          <w:color w:val="auto"/>
          <w:szCs w:val="21"/>
          <w:highlight w:val="none"/>
        </w:rPr>
        <w:t>电子投标文件、以介质存储的数据电文形式的电子备份投标文件</w:t>
      </w:r>
      <w:r>
        <w:rPr>
          <w:rFonts w:hint="eastAsia" w:ascii="宋体"/>
          <w:b/>
          <w:color w:val="auto"/>
          <w:szCs w:val="21"/>
          <w:highlight w:val="none"/>
        </w:rPr>
        <w:t>。全部投标供应商的电子投标文件均已按时解密的，</w:t>
      </w:r>
      <w:r>
        <w:rPr>
          <w:rFonts w:hint="eastAsia" w:ascii="宋体" w:hAnsi="宋体"/>
          <w:b/>
          <w:color w:val="auto"/>
          <w:szCs w:val="21"/>
          <w:highlight w:val="none"/>
        </w:rPr>
        <w:t>以介质存储的数据电文形式的电子备份投标文件</w:t>
      </w:r>
      <w:r>
        <w:rPr>
          <w:rFonts w:hint="eastAsia" w:ascii="宋体"/>
          <w:b/>
          <w:color w:val="auto"/>
          <w:szCs w:val="21"/>
          <w:highlight w:val="none"/>
        </w:rPr>
        <w:t>自动失效。如果某位投标供应商的电子投标文件无法按时解密的，其电子投标文件为无效，启用</w:t>
      </w:r>
      <w:r>
        <w:rPr>
          <w:rFonts w:hint="eastAsia" w:ascii="宋体" w:hAnsi="宋体"/>
          <w:b/>
          <w:color w:val="auto"/>
          <w:szCs w:val="21"/>
          <w:highlight w:val="none"/>
        </w:rPr>
        <w:t>以介质存储的数据电文形式的电子备份投标文件</w:t>
      </w:r>
      <w:r>
        <w:rPr>
          <w:rFonts w:hint="eastAsia" w:ascii="宋体"/>
          <w:b/>
          <w:color w:val="auto"/>
          <w:szCs w:val="21"/>
          <w:highlight w:val="none"/>
        </w:rPr>
        <w:t>。</w:t>
      </w:r>
      <w:r>
        <w:rPr>
          <w:rFonts w:hint="eastAsia" w:hAnsi="宋体" w:cs="宋体"/>
          <w:b/>
          <w:color w:val="auto"/>
          <w:szCs w:val="21"/>
          <w:highlight w:val="none"/>
        </w:rPr>
        <w:t>投标供应商仅递交电子备份投标文件的，投标无效。</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5.2供应商提交的投标文件以及供应商与采购代理机构和采购人就有关投标的所有来往函电均应使用中文。供应商提交的支持文件和印刷的文献可以使用别的语言，但其相应内容必须附有中文翻译文本，在解释投标文件时以翻译文本为主。</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5.3供应商应认真阅读、并充分理解本文件的全部内容（包括所有的澄清、更改、补充、答疑等内容），承诺并履行本文件中各项条款规定及要求。</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5.4投标文件必须按本文件的全部内容，包括所有的澄清、更改、补充、答疑等内容及附件进行编制。</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5.5如因供应商只填写和提供了本文件要求的部分内容和附件，而给评标委员会评审造成困难，其可能导致的结果和责任由供应商自行承担。</w:t>
      </w:r>
    </w:p>
    <w:p>
      <w:pPr>
        <w:snapToGrid w:val="0"/>
        <w:spacing w:line="360" w:lineRule="exact"/>
        <w:ind w:firstLine="420" w:firstLineChars="200"/>
        <w:jc w:val="left"/>
        <w:rPr>
          <w:rFonts w:ascii="宋体"/>
          <w:color w:val="auto"/>
          <w:szCs w:val="21"/>
          <w:highlight w:val="none"/>
        </w:rPr>
      </w:pPr>
      <w:r>
        <w:rPr>
          <w:rFonts w:hint="eastAsia" w:ascii="宋体"/>
          <w:color w:val="auto"/>
          <w:szCs w:val="21"/>
          <w:highlight w:val="none"/>
        </w:rPr>
        <w:t>5.6投标文件的组成：投标文件应分为资格文件、资信及商务文件商务、技术文件、报价文件四个部分组成。供应商应仔细阅读采购文件的所有内容，按招标文件的要求，详细编制投标文件（包含电子投标文件和电子备份投标文件）。</w:t>
      </w:r>
    </w:p>
    <w:p>
      <w:pPr>
        <w:snapToGrid w:val="0"/>
        <w:spacing w:line="360" w:lineRule="exact"/>
        <w:ind w:firstLine="420" w:firstLineChars="200"/>
        <w:jc w:val="left"/>
        <w:rPr>
          <w:rFonts w:ascii="宋体" w:hAnsi="宋体"/>
          <w:color w:val="auto"/>
          <w:szCs w:val="21"/>
          <w:highlight w:val="none"/>
        </w:rPr>
      </w:pPr>
      <w:r>
        <w:rPr>
          <w:rFonts w:hint="eastAsia" w:ascii="宋体"/>
          <w:color w:val="auto"/>
          <w:szCs w:val="21"/>
          <w:highlight w:val="none"/>
        </w:rPr>
        <w:t>5.7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pPr>
        <w:pStyle w:val="16"/>
        <w:spacing w:line="360" w:lineRule="exact"/>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特别说明：</w:t>
      </w:r>
    </w:p>
    <w:p>
      <w:pPr>
        <w:pStyle w:val="16"/>
        <w:spacing w:line="360" w:lineRule="exact"/>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（1）法定代表人（负责人）授权委托书必须由法定代表人（负责人）和委托代理人签名（盖姓名章无效）并加盖单位公章；</w:t>
      </w:r>
      <w:r>
        <w:rPr>
          <w:rFonts w:hint="eastAsia" w:ascii="宋体" w:hAnsi="宋体"/>
          <w:b/>
          <w:bCs/>
          <w:color w:val="auto"/>
          <w:sz w:val="21"/>
          <w:szCs w:val="21"/>
          <w:highlight w:val="none"/>
          <w:lang w:eastAsia="zh-CN"/>
        </w:rPr>
        <w:t>投标文件中需要签名的部分</w:t>
      </w:r>
      <w:r>
        <w:rPr>
          <w:rFonts w:hint="eastAsia" w:ascii="宋体" w:hAnsi="宋体"/>
          <w:b/>
          <w:bCs/>
          <w:color w:val="auto"/>
          <w:sz w:val="21"/>
          <w:szCs w:val="21"/>
          <w:highlight w:val="none"/>
        </w:rPr>
        <w:t>必须由法定代表人（负责人）或委托代理人签名（盖姓名章无效）并加盖单位公章。电子投标文件须加盖公章部分均采用CA签章。</w:t>
      </w:r>
    </w:p>
    <w:p>
      <w:pPr>
        <w:pStyle w:val="16"/>
        <w:spacing w:line="360" w:lineRule="exact"/>
        <w:ind w:firstLine="422" w:firstLineChars="200"/>
        <w:rPr>
          <w:color w:val="auto"/>
          <w:highlight w:val="none"/>
        </w:rPr>
      </w:pPr>
      <w:r>
        <w:rPr>
          <w:rFonts w:hint="eastAsia" w:ascii="宋体" w:hAnsi="宋体"/>
          <w:b/>
          <w:color w:val="auto"/>
          <w:sz w:val="21"/>
          <w:szCs w:val="21"/>
          <w:highlight w:val="none"/>
        </w:rPr>
        <w:t>（2）投标文件（包含电子投标文件电子、备份投标文件），其中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pPr>
        <w:pStyle w:val="6"/>
        <w:rPr>
          <w:color w:val="auto"/>
          <w:highlight w:val="none"/>
        </w:rPr>
      </w:pPr>
      <w:r>
        <w:rPr>
          <w:color w:val="auto"/>
          <w:highlight w:val="none"/>
        </w:rPr>
        <w:t>4 投标</w:t>
      </w:r>
      <w:bookmarkEnd w:id="101"/>
      <w:bookmarkEnd w:id="102"/>
    </w:p>
    <w:p>
      <w:pPr>
        <w:pStyle w:val="7"/>
        <w:rPr>
          <w:rFonts w:hint="eastAsia" w:eastAsia="黑体"/>
          <w:color w:val="auto"/>
          <w:highlight w:val="none"/>
          <w:lang w:eastAsia="zh-CN"/>
        </w:rPr>
      </w:pPr>
      <w:bookmarkStart w:id="103" w:name="_Toc389065170"/>
      <w:bookmarkStart w:id="104" w:name="_Toc76726758"/>
      <w:r>
        <w:rPr>
          <w:color w:val="auto"/>
          <w:highlight w:val="none"/>
        </w:rPr>
        <w:t>4.1 投标文件</w:t>
      </w:r>
      <w:bookmarkEnd w:id="103"/>
      <w:bookmarkEnd w:id="104"/>
      <w:r>
        <w:rPr>
          <w:rFonts w:hint="eastAsia"/>
          <w:color w:val="auto"/>
          <w:highlight w:val="none"/>
          <w:lang w:eastAsia="zh-CN"/>
        </w:rPr>
        <w:t>的签署</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color w:val="auto"/>
          <w:highlight w:val="none"/>
        </w:rPr>
        <w:t xml:space="preserve"> </w:t>
      </w:r>
      <w:r>
        <w:rPr>
          <w:rFonts w:hint="eastAsia" w:ascii="宋体"/>
          <w:color w:val="auto"/>
          <w:szCs w:val="21"/>
          <w:highlight w:val="none"/>
        </w:rPr>
        <w:t>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pPr>
        <w:snapToGrid w:val="0"/>
        <w:spacing w:line="3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2.电子投标文件中须加盖供应商公章部分均采用 CA 签章，并根据“政府采购项目电子交易管理操作指南-供应商” 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 漏读，或者在按采购文件规定的部位查找不到相关内容的，由供应商自行承担。</w:t>
      </w:r>
    </w:p>
    <w:p>
      <w:pPr>
        <w:snapToGrid w:val="0"/>
        <w:spacing w:line="36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3.CA 签章上目前没有法人（负责人）或授权代表签字信息，供应商在投标文件中涉及到签字的位置线下签好字然后扫描或者拍照做成PDF的格式亦可。投标文件中涉及到签字的位置未按要求签字的，提供的材料视为无效。</w:t>
      </w:r>
    </w:p>
    <w:p>
      <w:pPr>
        <w:snapToGrid w:val="0"/>
        <w:spacing w:line="360" w:lineRule="exact"/>
        <w:ind w:firstLine="420" w:firstLineChars="200"/>
        <w:jc w:val="left"/>
        <w:rPr>
          <w:color w:val="auto"/>
          <w:szCs w:val="21"/>
          <w:highlight w:val="none"/>
        </w:rPr>
      </w:pPr>
      <w:r>
        <w:rPr>
          <w:rFonts w:hint="eastAsia" w:ascii="宋体" w:hAnsi="宋体"/>
          <w:color w:val="auto"/>
          <w:szCs w:val="21"/>
          <w:highlight w:val="none"/>
        </w:rPr>
        <w:t>4.投标文件不得涂改，若有修改错漏处，须加盖单位公章或者法定代表人（负责人）或授权委托人签字或盖章。投标文件因字迹潦草或表达不清所引起的后果由供应商负责。</w:t>
      </w:r>
    </w:p>
    <w:p>
      <w:pPr>
        <w:pStyle w:val="7"/>
        <w:rPr>
          <w:color w:val="auto"/>
          <w:highlight w:val="none"/>
        </w:rPr>
      </w:pPr>
      <w:bookmarkStart w:id="105" w:name="_Toc76726760"/>
      <w:bookmarkStart w:id="106" w:name="_Toc389065172"/>
      <w:r>
        <w:rPr>
          <w:color w:val="auto"/>
          <w:highlight w:val="none"/>
        </w:rPr>
        <w:t>4.</w:t>
      </w:r>
      <w:r>
        <w:rPr>
          <w:rFonts w:hint="eastAsia"/>
          <w:color w:val="auto"/>
          <w:highlight w:val="none"/>
          <w:lang w:val="en-US" w:eastAsia="zh-CN"/>
        </w:rPr>
        <w:t>2</w:t>
      </w:r>
      <w:r>
        <w:rPr>
          <w:color w:val="auto"/>
          <w:highlight w:val="none"/>
        </w:rPr>
        <w:t xml:space="preserve"> </w:t>
      </w:r>
      <w:bookmarkEnd w:id="105"/>
      <w:bookmarkEnd w:id="106"/>
      <w:r>
        <w:rPr>
          <w:rFonts w:hint="eastAsia" w:ascii="宋体" w:hAnsi="宋体"/>
          <w:b/>
          <w:color w:val="auto"/>
          <w:szCs w:val="21"/>
          <w:highlight w:val="none"/>
        </w:rPr>
        <w:t>投标文件的包装、递交、修改和撤回</w:t>
      </w:r>
    </w:p>
    <w:p>
      <w:pPr>
        <w:snapToGrid w:val="0"/>
        <w:spacing w:line="360" w:lineRule="exact"/>
        <w:ind w:firstLine="420"/>
        <w:jc w:val="left"/>
        <w:rPr>
          <w:rFonts w:ascii="宋体" w:hAnsi="宋体"/>
          <w:color w:val="auto"/>
          <w:szCs w:val="21"/>
          <w:highlight w:val="none"/>
        </w:rPr>
      </w:pPr>
      <w:bookmarkStart w:id="107" w:name="_Toc76726761"/>
      <w:bookmarkStart w:id="108" w:name="_Toc389065173"/>
      <w:r>
        <w:rPr>
          <w:rFonts w:hint="eastAsia" w:ascii="宋体" w:hAnsi="宋体"/>
          <w:color w:val="auto"/>
          <w:szCs w:val="21"/>
          <w:highlight w:val="none"/>
        </w:rPr>
        <w:t xml:space="preserve">1. </w:t>
      </w:r>
      <w:r>
        <w:rPr>
          <w:rFonts w:hint="eastAsia" w:ascii="宋体"/>
          <w:color w:val="auto"/>
          <w:szCs w:val="21"/>
          <w:highlight w:val="none"/>
        </w:rPr>
        <w:t>投标人应将电子备份投标文件</w:t>
      </w:r>
      <w:r>
        <w:rPr>
          <w:rFonts w:hint="eastAsia"/>
          <w:color w:val="auto"/>
          <w:highlight w:val="none"/>
        </w:rPr>
        <w:t>装入到一个投标文件袋内加以密封</w:t>
      </w:r>
      <w:r>
        <w:rPr>
          <w:rFonts w:hint="eastAsia" w:ascii="宋体"/>
          <w:color w:val="auto"/>
          <w:spacing w:val="-2"/>
          <w:szCs w:val="21"/>
          <w:highlight w:val="none"/>
        </w:rPr>
        <w:t>（要求文件袋无明显缝隙露出袋内文件）</w:t>
      </w:r>
      <w:r>
        <w:rPr>
          <w:rFonts w:hint="eastAsia"/>
          <w:color w:val="auto"/>
          <w:highlight w:val="none"/>
        </w:rPr>
        <w:t>；</w:t>
      </w:r>
      <w:r>
        <w:rPr>
          <w:rFonts w:hint="eastAsia" w:ascii="宋体"/>
          <w:color w:val="auto"/>
          <w:szCs w:val="21"/>
          <w:highlight w:val="none"/>
        </w:rPr>
        <w:t>电子备份投标</w:t>
      </w:r>
      <w:r>
        <w:rPr>
          <w:rFonts w:hint="eastAsia" w:ascii="宋体"/>
          <w:color w:val="auto"/>
          <w:spacing w:val="-2"/>
          <w:szCs w:val="21"/>
          <w:highlight w:val="none"/>
        </w:rPr>
        <w:t>文件袋在每一封贴处密封签章【公章、密封章、法定代表人（负责人）、委托代理人签字等均可】。</w:t>
      </w:r>
    </w:p>
    <w:p>
      <w:pPr>
        <w:snapToGrid w:val="0"/>
        <w:spacing w:line="360" w:lineRule="exact"/>
        <w:ind w:firstLine="420"/>
        <w:jc w:val="left"/>
        <w:rPr>
          <w:rFonts w:ascii="宋体" w:hAnsi="宋体"/>
          <w:color w:val="auto"/>
          <w:szCs w:val="21"/>
          <w:highlight w:val="none"/>
        </w:rPr>
      </w:pPr>
      <w:r>
        <w:rPr>
          <w:rFonts w:hint="eastAsia" w:ascii="宋体"/>
          <w:color w:val="auto"/>
          <w:szCs w:val="21"/>
          <w:highlight w:val="none"/>
        </w:rPr>
        <w:t>电子备份</w:t>
      </w:r>
      <w:r>
        <w:rPr>
          <w:rFonts w:hint="eastAsia" w:ascii="宋体" w:hAnsi="宋体"/>
          <w:color w:val="auto"/>
          <w:szCs w:val="21"/>
          <w:highlight w:val="none"/>
        </w:rPr>
        <w:t>投标</w:t>
      </w:r>
      <w:r>
        <w:rPr>
          <w:rFonts w:hint="eastAsia" w:ascii="宋体"/>
          <w:color w:val="auto"/>
          <w:spacing w:val="-2"/>
          <w:szCs w:val="21"/>
          <w:highlight w:val="none"/>
        </w:rPr>
        <w:t>文件袋</w:t>
      </w:r>
      <w:r>
        <w:rPr>
          <w:rFonts w:hint="eastAsia" w:ascii="宋体" w:hAnsi="宋体"/>
          <w:color w:val="auto"/>
          <w:szCs w:val="21"/>
          <w:highlight w:val="none"/>
        </w:rPr>
        <w:t>的包装封面上应注明投标人名称、投标人地址、投标文件名称（</w:t>
      </w:r>
      <w:r>
        <w:rPr>
          <w:rFonts w:hint="eastAsia" w:ascii="宋体"/>
          <w:color w:val="auto"/>
          <w:szCs w:val="21"/>
          <w:highlight w:val="none"/>
        </w:rPr>
        <w:t>电子备份</w:t>
      </w:r>
      <w:r>
        <w:rPr>
          <w:rFonts w:hint="eastAsia" w:ascii="宋体" w:hAnsi="宋体"/>
          <w:color w:val="auto"/>
          <w:szCs w:val="21"/>
          <w:highlight w:val="none"/>
        </w:rPr>
        <w:t>投标</w:t>
      </w:r>
      <w:r>
        <w:rPr>
          <w:rFonts w:hint="eastAsia" w:ascii="宋体"/>
          <w:color w:val="auto"/>
          <w:spacing w:val="-2"/>
          <w:szCs w:val="21"/>
          <w:highlight w:val="none"/>
        </w:rPr>
        <w:t>文件</w:t>
      </w:r>
      <w:r>
        <w:rPr>
          <w:rFonts w:hint="eastAsia" w:ascii="宋体" w:hAnsi="宋体"/>
          <w:color w:val="auto"/>
          <w:szCs w:val="21"/>
          <w:highlight w:val="none"/>
        </w:rPr>
        <w:t>）、投标项目名称、项目编号、并加盖投标人公章，并</w:t>
      </w:r>
      <w:r>
        <w:rPr>
          <w:rFonts w:hint="eastAsia" w:hAnsi="宋体"/>
          <w:color w:val="auto"/>
          <w:highlight w:val="none"/>
        </w:rPr>
        <w:t>注明“开标时才能启封”。</w:t>
      </w:r>
    </w:p>
    <w:p>
      <w:pPr>
        <w:snapToGrid w:val="0"/>
        <w:spacing w:line="360" w:lineRule="exact"/>
        <w:ind w:firstLine="420"/>
        <w:jc w:val="left"/>
        <w:rPr>
          <w:rFonts w:ascii="宋体" w:hAnsi="宋体"/>
          <w:color w:val="auto"/>
          <w:szCs w:val="21"/>
          <w:highlight w:val="none"/>
        </w:rPr>
      </w:pPr>
      <w:r>
        <w:rPr>
          <w:rFonts w:hint="eastAsia" w:ascii="宋体" w:hAnsi="宋体"/>
          <w:color w:val="auto"/>
          <w:szCs w:val="21"/>
          <w:highlight w:val="none"/>
        </w:rPr>
        <w:t>2.</w:t>
      </w:r>
      <w:r>
        <w:rPr>
          <w:rFonts w:hint="eastAsia"/>
          <w:color w:val="auto"/>
          <w:highlight w:val="none"/>
        </w:rPr>
        <w:t>逾期送达或者未按照招标文件要求密封的</w:t>
      </w:r>
      <w:r>
        <w:rPr>
          <w:rFonts w:hint="eastAsia" w:ascii="宋体"/>
          <w:color w:val="auto"/>
          <w:szCs w:val="21"/>
          <w:highlight w:val="none"/>
        </w:rPr>
        <w:t>电子备份</w:t>
      </w:r>
      <w:r>
        <w:rPr>
          <w:rFonts w:hint="eastAsia"/>
          <w:color w:val="auto"/>
          <w:highlight w:val="none"/>
        </w:rPr>
        <w:t>投标文件将被拒绝，由此造成</w:t>
      </w:r>
      <w:r>
        <w:rPr>
          <w:rFonts w:hint="eastAsia" w:ascii="宋体"/>
          <w:color w:val="auto"/>
          <w:szCs w:val="21"/>
          <w:highlight w:val="none"/>
        </w:rPr>
        <w:t>电子备份</w:t>
      </w:r>
      <w:r>
        <w:rPr>
          <w:rFonts w:hint="eastAsia"/>
          <w:color w:val="auto"/>
          <w:highlight w:val="none"/>
        </w:rPr>
        <w:t>投标文件被误投或提前拆封的风险由投标人承担。</w:t>
      </w:r>
    </w:p>
    <w:p>
      <w:pPr>
        <w:snapToGrid w:val="0"/>
        <w:spacing w:line="360" w:lineRule="exact"/>
        <w:ind w:firstLine="420"/>
        <w:jc w:val="left"/>
        <w:rPr>
          <w:rFonts w:ascii="宋体" w:hAnsi="宋体"/>
          <w:color w:val="auto"/>
          <w:szCs w:val="21"/>
          <w:highlight w:val="none"/>
        </w:rPr>
      </w:pPr>
      <w:r>
        <w:rPr>
          <w:rFonts w:hint="eastAsia" w:ascii="宋体" w:hAnsi="宋体"/>
          <w:color w:val="auto"/>
          <w:szCs w:val="21"/>
          <w:highlight w:val="none"/>
        </w:rPr>
        <w:t>3.投标人在投标截止时间之前，可以对已提交的</w:t>
      </w:r>
      <w:r>
        <w:rPr>
          <w:rFonts w:hint="eastAsia" w:ascii="宋体"/>
          <w:color w:val="auto"/>
          <w:szCs w:val="21"/>
          <w:highlight w:val="none"/>
        </w:rPr>
        <w:t>电子备份</w:t>
      </w:r>
      <w:r>
        <w:rPr>
          <w:rFonts w:hint="eastAsia" w:ascii="宋体" w:hAnsi="宋体"/>
          <w:color w:val="auto"/>
          <w:szCs w:val="21"/>
          <w:highlight w:val="none"/>
        </w:rPr>
        <w:t>投标文件进行修改或撤回，并书面通知采购人；投标截止时间后，投标人不得撤回、修改</w:t>
      </w:r>
      <w:r>
        <w:rPr>
          <w:rFonts w:hint="eastAsia" w:ascii="宋体"/>
          <w:color w:val="auto"/>
          <w:szCs w:val="21"/>
          <w:highlight w:val="none"/>
        </w:rPr>
        <w:t>电子备份</w:t>
      </w:r>
      <w:r>
        <w:rPr>
          <w:rFonts w:hint="eastAsia" w:ascii="宋体" w:hAnsi="宋体"/>
          <w:color w:val="auto"/>
          <w:szCs w:val="21"/>
          <w:highlight w:val="none"/>
        </w:rPr>
        <w:t>投标文件。修改后重新递交的</w:t>
      </w:r>
      <w:r>
        <w:rPr>
          <w:rFonts w:hint="eastAsia" w:ascii="宋体"/>
          <w:color w:val="auto"/>
          <w:szCs w:val="21"/>
          <w:highlight w:val="none"/>
        </w:rPr>
        <w:t>电子备份</w:t>
      </w:r>
      <w:r>
        <w:rPr>
          <w:rFonts w:hint="eastAsia" w:ascii="宋体" w:hAnsi="宋体"/>
          <w:color w:val="auto"/>
          <w:szCs w:val="21"/>
          <w:highlight w:val="none"/>
        </w:rPr>
        <w:t>投标文件应当按本招标文件的要求签署、盖章和密封。</w:t>
      </w:r>
    </w:p>
    <w:p>
      <w:pPr>
        <w:snapToGrid w:val="0"/>
        <w:spacing w:line="360" w:lineRule="exact"/>
        <w:ind w:firstLine="420"/>
        <w:jc w:val="left"/>
        <w:rPr>
          <w:rFonts w:ascii="宋体" w:hAnsi="宋体"/>
          <w:color w:val="auto"/>
          <w:spacing w:val="-4"/>
          <w:szCs w:val="21"/>
          <w:highlight w:val="none"/>
        </w:rPr>
      </w:pPr>
      <w:r>
        <w:rPr>
          <w:rFonts w:hint="eastAsia" w:ascii="宋体" w:hAnsi="宋体"/>
          <w:color w:val="auto"/>
          <w:spacing w:val="-4"/>
          <w:szCs w:val="21"/>
          <w:highlight w:val="none"/>
        </w:rPr>
        <w:t>4.投标人已经被推荐为第一中标候选供应商后撤回投标或放弃中标的，给</w:t>
      </w:r>
      <w:r>
        <w:rPr>
          <w:rFonts w:ascii="宋体" w:hAnsi="宋体"/>
          <w:color w:val="auto"/>
          <w:spacing w:val="-4"/>
          <w:szCs w:val="21"/>
          <w:highlight w:val="none"/>
        </w:rPr>
        <w:t>采购人造成损失的，应当赔偿损失，并作为不良行为记录在案。</w:t>
      </w:r>
    </w:p>
    <w:p>
      <w:pPr>
        <w:pageBreakBefore w:val="0"/>
        <w:widowControl w:val="0"/>
        <w:kinsoku/>
        <w:wordWrap/>
        <w:overflowPunct/>
        <w:topLinePunct w:val="0"/>
        <w:autoSpaceDE/>
        <w:autoSpaceDN/>
        <w:bidi w:val="0"/>
        <w:adjustRightInd/>
        <w:snapToGrid w:val="0"/>
        <w:spacing w:line="240" w:lineRule="auto"/>
        <w:jc w:val="left"/>
        <w:textAlignment w:val="auto"/>
        <w:rPr>
          <w:rFonts w:ascii="宋体" w:hAnsi="宋体"/>
          <w:b/>
          <w:color w:val="auto"/>
          <w:spacing w:val="-4"/>
          <w:szCs w:val="21"/>
          <w:highlight w:val="none"/>
        </w:rPr>
      </w:pPr>
      <w:r>
        <w:rPr>
          <w:rFonts w:hint="eastAsia" w:ascii="宋体" w:hAnsi="宋体"/>
          <w:b/>
          <w:color w:val="auto"/>
          <w:spacing w:val="-4"/>
          <w:szCs w:val="21"/>
          <w:highlight w:val="none"/>
          <w:lang w:val="en-US" w:eastAsia="zh-CN"/>
        </w:rPr>
        <w:t>4.3</w:t>
      </w:r>
      <w:r>
        <w:rPr>
          <w:rFonts w:hint="eastAsia" w:ascii="宋体" w:hAnsi="宋体"/>
          <w:b/>
          <w:color w:val="auto"/>
          <w:szCs w:val="21"/>
          <w:highlight w:val="none"/>
        </w:rPr>
        <w:t>投标文件的</w:t>
      </w:r>
      <w:r>
        <w:rPr>
          <w:rFonts w:hint="eastAsia" w:ascii="宋体" w:hAnsi="宋体"/>
          <w:b/>
          <w:color w:val="auto"/>
          <w:spacing w:val="-4"/>
          <w:szCs w:val="21"/>
          <w:highlight w:val="none"/>
        </w:rPr>
        <w:t>递交</w:t>
      </w:r>
    </w:p>
    <w:p>
      <w:pPr>
        <w:snapToGrid w:val="0"/>
        <w:spacing w:line="36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所有投标文件应于招标文件中规定的时间上传递交至政采云平台。还提供电子备份投标文件的，应当在投标截止时间前按要求密封并送达北海市海城区重庆路与四川路交界九洲城D2栋8楼广西火天信工程管理咨询有限公司，逾期送达或未按要求密封将被拒收。</w:t>
      </w:r>
    </w:p>
    <w:p>
      <w:pPr>
        <w:snapToGrid w:val="0"/>
        <w:spacing w:line="36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邮寄地址：北海市海城区重庆路与四川路交界九洲城D2栋8楼广西火天信工程管理咨询有限公司，联系人：包工，电话：0779-3831110。</w:t>
      </w:r>
    </w:p>
    <w:p>
      <w:pPr>
        <w:snapToGrid w:val="0"/>
        <w:spacing w:line="36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采购代理机构拒收到付邮件，通过邮寄方式送达的，请合理安排邮寄时间，因邮寄原因未能在规定时间内送达的后果由投标供应商自行承担。</w:t>
      </w:r>
    </w:p>
    <w:p>
      <w:pPr>
        <w:snapToGrid w:val="0"/>
        <w:spacing w:line="360" w:lineRule="exact"/>
        <w:ind w:firstLine="420"/>
        <w:jc w:val="left"/>
        <w:rPr>
          <w:rFonts w:hint="eastAsia" w:ascii="宋体" w:hAnsi="宋体" w:eastAsia="宋体" w:cs="Times New Roman"/>
          <w:b/>
          <w:color w:val="auto"/>
          <w:spacing w:val="-4"/>
          <w:kern w:val="2"/>
          <w:sz w:val="21"/>
          <w:szCs w:val="21"/>
          <w:highlight w:val="none"/>
          <w:lang w:val="en-US" w:eastAsia="zh-CN" w:bidi="ar-SA"/>
        </w:rPr>
      </w:pPr>
      <w:r>
        <w:rPr>
          <w:rFonts w:hint="eastAsia" w:ascii="宋体" w:hAnsi="宋体" w:eastAsia="宋体" w:cs="Times New Roman"/>
          <w:color w:val="auto"/>
          <w:szCs w:val="21"/>
          <w:highlight w:val="none"/>
          <w:lang w:val="en-US" w:eastAsia="zh-CN"/>
        </w:rPr>
        <w:t>投标人自行承担电子备份文件在邮寄过程中出现的所有安全问题</w:t>
      </w:r>
    </w:p>
    <w:p>
      <w:pPr>
        <w:snapToGrid w:val="0"/>
        <w:spacing w:line="360" w:lineRule="exact"/>
        <w:jc w:val="left"/>
        <w:rPr>
          <w:rFonts w:ascii="宋体" w:hAnsi="宋体"/>
          <w:b/>
          <w:color w:val="auto"/>
          <w:spacing w:val="-4"/>
          <w:szCs w:val="21"/>
          <w:highlight w:val="none"/>
        </w:rPr>
      </w:pPr>
      <w:r>
        <w:rPr>
          <w:rFonts w:hint="eastAsia" w:ascii="宋体" w:hAnsi="宋体"/>
          <w:b/>
          <w:color w:val="auto"/>
          <w:spacing w:val="-4"/>
          <w:szCs w:val="21"/>
          <w:highlight w:val="none"/>
          <w:lang w:val="en-US" w:eastAsia="zh-CN"/>
        </w:rPr>
        <w:t>4.4</w:t>
      </w:r>
      <w:r>
        <w:rPr>
          <w:rFonts w:hint="eastAsia" w:ascii="宋体" w:hAnsi="宋体"/>
          <w:b/>
          <w:color w:val="auto"/>
          <w:spacing w:val="-4"/>
          <w:szCs w:val="21"/>
          <w:highlight w:val="none"/>
        </w:rPr>
        <w:t>电子投标文件的相关说明</w:t>
      </w:r>
    </w:p>
    <w:p>
      <w:pPr>
        <w:snapToGrid w:val="0"/>
        <w:spacing w:line="36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36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（2）供应商在电子交易平台传输递交投标文件后，还可以在投标截止时间前提交电子备份投标文件，若供应商未提交电子备份投标文件，其后果由供应商自行承担。</w:t>
      </w:r>
    </w:p>
    <w:p>
      <w:pPr>
        <w:snapToGrid w:val="0"/>
        <w:spacing w:line="360" w:lineRule="exact"/>
        <w:ind w:firstLine="420"/>
        <w:jc w:val="left"/>
        <w:rPr>
          <w:color w:val="auto"/>
          <w:highlight w:val="none"/>
        </w:rPr>
      </w:pPr>
      <w:r>
        <w:rPr>
          <w:rFonts w:hint="eastAsia" w:ascii="宋体" w:hAnsi="宋体" w:eastAsia="宋体" w:cs="Times New Roman"/>
          <w:color w:val="auto"/>
          <w:szCs w:val="21"/>
          <w:highlight w:val="none"/>
        </w:rPr>
        <w:t>（3）如有特殊情况，采购代理机构延长截止时间和开标时间，采购代理机构和供应商的权利和义务将受到新的截止时间和开标时间的约束。</w:t>
      </w:r>
    </w:p>
    <w:p>
      <w:pPr>
        <w:pStyle w:val="6"/>
        <w:rPr>
          <w:color w:val="auto"/>
          <w:highlight w:val="none"/>
        </w:rPr>
      </w:pPr>
      <w:r>
        <w:rPr>
          <w:color w:val="auto"/>
          <w:highlight w:val="none"/>
        </w:rPr>
        <w:t>5 开标</w:t>
      </w:r>
      <w:bookmarkEnd w:id="107"/>
      <w:bookmarkEnd w:id="108"/>
    </w:p>
    <w:p>
      <w:pPr>
        <w:pStyle w:val="7"/>
        <w:rPr>
          <w:rFonts w:hint="eastAsia" w:eastAsia="黑体"/>
          <w:color w:val="auto"/>
          <w:highlight w:val="none"/>
          <w:lang w:eastAsia="zh-CN"/>
        </w:rPr>
      </w:pPr>
      <w:bookmarkStart w:id="109" w:name="_Toc76726762"/>
      <w:bookmarkStart w:id="110" w:name="_Toc389065174"/>
      <w:r>
        <w:rPr>
          <w:color w:val="auto"/>
          <w:highlight w:val="none"/>
        </w:rPr>
        <w:t>5.1 开标</w:t>
      </w:r>
      <w:bookmarkEnd w:id="109"/>
      <w:bookmarkEnd w:id="110"/>
      <w:r>
        <w:rPr>
          <w:rFonts w:hint="eastAsia"/>
          <w:color w:val="auto"/>
          <w:highlight w:val="none"/>
          <w:lang w:eastAsia="zh-CN"/>
        </w:rPr>
        <w:t>准备</w:t>
      </w:r>
    </w:p>
    <w:p>
      <w:pPr>
        <w:pStyle w:val="11"/>
        <w:snapToGrid w:val="0"/>
        <w:spacing w:line="360" w:lineRule="exact"/>
        <w:ind w:firstLine="420" w:firstLineChars="200"/>
        <w:rPr>
          <w:rFonts w:hAnsi="宋体"/>
          <w:color w:val="auto"/>
          <w:sz w:val="21"/>
          <w:highlight w:val="none"/>
        </w:rPr>
      </w:pPr>
      <w:bookmarkStart w:id="111" w:name="_Toc76726763"/>
      <w:bookmarkStart w:id="112" w:name="_Toc389065175"/>
      <w:r>
        <w:rPr>
          <w:rFonts w:hint="eastAsia" w:hAnsi="宋体"/>
          <w:color w:val="auto"/>
          <w:sz w:val="21"/>
          <w:highlight w:val="none"/>
        </w:rPr>
        <w:t>1.开标的准备工作由采购代理机构负责落实；</w:t>
      </w:r>
    </w:p>
    <w:p>
      <w:pPr>
        <w:pStyle w:val="11"/>
        <w:snapToGrid w:val="0"/>
        <w:spacing w:line="360" w:lineRule="exact"/>
        <w:ind w:firstLine="420" w:firstLineChars="200"/>
        <w:rPr>
          <w:rFonts w:hAnsi="宋体"/>
          <w:color w:val="auto"/>
          <w:sz w:val="21"/>
          <w:highlight w:val="none"/>
        </w:rPr>
      </w:pPr>
      <w:r>
        <w:rPr>
          <w:rFonts w:hint="eastAsia" w:hAnsi="宋体"/>
          <w:color w:val="auto"/>
          <w:sz w:val="21"/>
          <w:highlight w:val="none"/>
        </w:rPr>
        <w:t>2.采购代理机构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pPr>
        <w:pStyle w:val="7"/>
        <w:rPr>
          <w:color w:val="auto"/>
          <w:highlight w:val="none"/>
        </w:rPr>
      </w:pPr>
      <w:r>
        <w:rPr>
          <w:color w:val="auto"/>
          <w:highlight w:val="none"/>
        </w:rPr>
        <w:t>5.2 开标程序</w:t>
      </w:r>
      <w:bookmarkEnd w:id="111"/>
      <w:bookmarkEnd w:id="112"/>
    </w:p>
    <w:p>
      <w:pPr>
        <w:pStyle w:val="11"/>
        <w:snapToGrid w:val="0"/>
        <w:spacing w:line="360" w:lineRule="exact"/>
        <w:ind w:firstLine="420" w:firstLineChars="200"/>
        <w:rPr>
          <w:rFonts w:hAnsi="宋体"/>
          <w:b w:val="0"/>
          <w:bCs/>
          <w:color w:val="auto"/>
          <w:sz w:val="21"/>
          <w:highlight w:val="none"/>
        </w:rPr>
      </w:pPr>
      <w:bookmarkStart w:id="113" w:name="_Toc389065177"/>
      <w:bookmarkStart w:id="114" w:name="_Toc76726764"/>
      <w:r>
        <w:rPr>
          <w:rFonts w:hint="eastAsia" w:hAnsi="宋体"/>
          <w:b w:val="0"/>
          <w:bCs/>
          <w:color w:val="auto"/>
          <w:sz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 30 分钟。</w:t>
      </w:r>
    </w:p>
    <w:p>
      <w:pPr>
        <w:pStyle w:val="11"/>
        <w:snapToGrid w:val="0"/>
        <w:spacing w:line="360" w:lineRule="exact"/>
        <w:ind w:firstLine="420" w:firstLineChars="200"/>
        <w:rPr>
          <w:rFonts w:hAnsi="宋体"/>
          <w:b w:val="0"/>
          <w:bCs/>
          <w:color w:val="auto"/>
          <w:sz w:val="21"/>
          <w:highlight w:val="none"/>
        </w:rPr>
      </w:pPr>
      <w:r>
        <w:rPr>
          <w:rFonts w:hint="eastAsia" w:hAnsi="宋体"/>
          <w:b w:val="0"/>
          <w:bCs/>
          <w:color w:val="auto"/>
          <w:sz w:val="21"/>
          <w:highlight w:val="none"/>
        </w:rPr>
        <w:t>2.投标文件解密结束后，开标活动组织人员在线开启投标文件。</w:t>
      </w:r>
    </w:p>
    <w:p>
      <w:pPr>
        <w:pStyle w:val="11"/>
        <w:snapToGrid w:val="0"/>
        <w:spacing w:line="360" w:lineRule="exact"/>
        <w:ind w:firstLine="420" w:firstLineChars="200"/>
        <w:rPr>
          <w:rFonts w:hAnsi="宋体"/>
          <w:b w:val="0"/>
          <w:bCs/>
          <w:color w:val="auto"/>
          <w:sz w:val="21"/>
          <w:highlight w:val="none"/>
        </w:rPr>
      </w:pPr>
      <w:r>
        <w:rPr>
          <w:rFonts w:hint="eastAsia" w:hAnsi="宋体"/>
          <w:b w:val="0"/>
          <w:bCs/>
          <w:color w:val="auto"/>
          <w:sz w:val="21"/>
          <w:highlight w:val="none"/>
        </w:rPr>
        <w:t>3.开启投标人报价文件，开标活动组织人员宣读开标（报价）一览表有关内容，投标人代表如果认为宣读有误，可以当场提出异议。</w:t>
      </w:r>
    </w:p>
    <w:p>
      <w:pPr>
        <w:pStyle w:val="11"/>
        <w:snapToGrid w:val="0"/>
        <w:spacing w:line="360" w:lineRule="exact"/>
        <w:ind w:firstLine="420" w:firstLineChars="200"/>
        <w:rPr>
          <w:rFonts w:hAnsi="宋体"/>
          <w:b w:val="0"/>
          <w:bCs/>
          <w:color w:val="auto"/>
          <w:sz w:val="21"/>
          <w:highlight w:val="none"/>
        </w:rPr>
      </w:pPr>
      <w:r>
        <w:rPr>
          <w:rFonts w:hint="eastAsia" w:hAnsi="宋体"/>
          <w:b w:val="0"/>
          <w:bCs/>
          <w:color w:val="auto"/>
          <w:sz w:val="21"/>
          <w:highlight w:val="none"/>
        </w:rPr>
        <w:t>开标结束后，如发现开标结果与报价文件不一致者，由评标委员会根据报价文件内容进行修正。</w:t>
      </w:r>
    </w:p>
    <w:p>
      <w:pPr>
        <w:pStyle w:val="11"/>
        <w:snapToGrid w:val="0"/>
        <w:spacing w:line="360" w:lineRule="exact"/>
        <w:ind w:firstLine="420" w:firstLineChars="200"/>
        <w:rPr>
          <w:rFonts w:hAnsi="宋体"/>
          <w:color w:val="auto"/>
          <w:sz w:val="21"/>
          <w:highlight w:val="none"/>
        </w:rPr>
      </w:pPr>
      <w:r>
        <w:rPr>
          <w:rFonts w:hint="eastAsia" w:hAnsi="宋体"/>
          <w:b w:val="0"/>
          <w:bCs/>
          <w:color w:val="auto"/>
          <w:sz w:val="21"/>
          <w:highlight w:val="none"/>
        </w:rPr>
        <w:t>特别说明：如遇“政府采购云平台”电子化开标或评审程序调整的，按调整后程序执行。</w:t>
      </w:r>
    </w:p>
    <w:p>
      <w:pPr>
        <w:pStyle w:val="6"/>
        <w:rPr>
          <w:color w:val="auto"/>
          <w:highlight w:val="none"/>
        </w:rPr>
      </w:pPr>
      <w:r>
        <w:rPr>
          <w:color w:val="auto"/>
          <w:highlight w:val="none"/>
        </w:rPr>
        <w:t>6 评标</w:t>
      </w:r>
      <w:bookmarkEnd w:id="113"/>
      <w:bookmarkEnd w:id="114"/>
    </w:p>
    <w:p>
      <w:pPr>
        <w:pStyle w:val="7"/>
        <w:rPr>
          <w:color w:val="auto"/>
          <w:highlight w:val="none"/>
        </w:rPr>
      </w:pPr>
      <w:bookmarkStart w:id="115" w:name="_Toc76726765"/>
      <w:bookmarkStart w:id="116" w:name="_Toc389065178"/>
      <w:r>
        <w:rPr>
          <w:color w:val="auto"/>
          <w:highlight w:val="none"/>
        </w:rPr>
        <w:t>6.1 评标委员会</w:t>
      </w:r>
      <w:bookmarkEnd w:id="115"/>
      <w:bookmarkEnd w:id="116"/>
    </w:p>
    <w:p>
      <w:pPr>
        <w:spacing w:line="360" w:lineRule="auto"/>
        <w:ind w:firstLine="420" w:firstLineChars="200"/>
        <w:rPr>
          <w:color w:val="auto"/>
          <w:szCs w:val="21"/>
          <w:highlight w:val="none"/>
        </w:rPr>
      </w:pPr>
      <w:r>
        <w:rPr>
          <w:color w:val="auto"/>
          <w:szCs w:val="21"/>
          <w:highlight w:val="none"/>
        </w:rPr>
        <w:t>6.1.1 评标由招标人依法组建的评标委员会负责。评标委员会成员人数以及技术、经济等方面专家的确定方式见“投标人须知前附表”。</w:t>
      </w:r>
    </w:p>
    <w:p>
      <w:pPr>
        <w:spacing w:line="360" w:lineRule="auto"/>
        <w:ind w:firstLine="420" w:firstLineChars="200"/>
        <w:rPr>
          <w:rFonts w:ascii="宋体" w:hAnsi="宋体" w:cs="宋体"/>
          <w:color w:val="auto"/>
          <w:szCs w:val="21"/>
          <w:highlight w:val="none"/>
          <w:shd w:val="clear" w:color="auto" w:fill="FFFFFF"/>
        </w:rPr>
      </w:pPr>
      <w:r>
        <w:rPr>
          <w:color w:val="auto"/>
          <w:szCs w:val="21"/>
          <w:highlight w:val="none"/>
        </w:rPr>
        <w:t xml:space="preserve">6.1.2 </w:t>
      </w:r>
      <w:r>
        <w:rPr>
          <w:rFonts w:hint="eastAsia" w:ascii="宋体" w:hAnsi="宋体" w:cs="宋体"/>
          <w:color w:val="auto"/>
          <w:szCs w:val="21"/>
          <w:highlight w:val="none"/>
          <w:shd w:val="clear" w:color="auto" w:fill="FFFFFF"/>
        </w:rPr>
        <w:t>有下列情形之一的，不得担任评标委员会成员：</w:t>
      </w:r>
    </w:p>
    <w:p>
      <w:pPr>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（一）投标人或者投标人主要负责人的近亲属；</w:t>
      </w:r>
    </w:p>
    <w:p>
      <w:pPr>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（二）招标项目主管部门或者招标投标行政监督部门的人员；</w:t>
      </w:r>
    </w:p>
    <w:p>
      <w:pPr>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（三）与投标人有经济利益关系，可能影响对投标公正评审的人员；</w:t>
      </w:r>
    </w:p>
    <w:p>
      <w:pPr>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（四）在招标投标活动中从事违法行为而受过行政处罚未满三年或者刑事处罚的人员；</w:t>
      </w:r>
    </w:p>
    <w:p>
      <w:pPr>
        <w:spacing w:line="360" w:lineRule="auto"/>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（五）与投标人有其他利害关系的人；</w:t>
      </w:r>
    </w:p>
    <w:p>
      <w:pPr>
        <w:spacing w:line="360" w:lineRule="auto"/>
        <w:ind w:firstLine="420" w:firstLineChars="200"/>
        <w:rPr>
          <w:color w:val="auto"/>
          <w:szCs w:val="21"/>
          <w:highlight w:val="none"/>
        </w:rPr>
      </w:pPr>
      <w:r>
        <w:rPr>
          <w:rFonts w:hint="eastAsia" w:ascii="宋体" w:hAnsi="宋体" w:cs="宋体"/>
          <w:color w:val="auto"/>
          <w:szCs w:val="21"/>
          <w:highlight w:val="none"/>
          <w:shd w:val="clear" w:color="auto" w:fill="FFFFFF"/>
        </w:rPr>
        <w:t>（六）评标时期在“信用中国”网站（www.creditchina.gov.cn）中被列为失信被执行人的人员。</w:t>
      </w:r>
    </w:p>
    <w:p>
      <w:pPr>
        <w:pStyle w:val="7"/>
        <w:rPr>
          <w:color w:val="auto"/>
          <w:highlight w:val="none"/>
        </w:rPr>
      </w:pPr>
      <w:bookmarkStart w:id="117" w:name="_Toc389065179"/>
      <w:bookmarkStart w:id="118" w:name="_Toc76726766"/>
      <w:r>
        <w:rPr>
          <w:color w:val="auto"/>
          <w:highlight w:val="none"/>
        </w:rPr>
        <w:t>6.2 评标原则</w:t>
      </w:r>
      <w:bookmarkEnd w:id="117"/>
      <w:bookmarkEnd w:id="118"/>
    </w:p>
    <w:p>
      <w:pPr>
        <w:spacing w:line="360" w:lineRule="auto"/>
        <w:ind w:firstLine="420" w:firstLineChars="200"/>
        <w:rPr>
          <w:color w:val="auto"/>
          <w:szCs w:val="21"/>
          <w:highlight w:val="none"/>
        </w:rPr>
      </w:pPr>
      <w:r>
        <w:rPr>
          <w:color w:val="auto"/>
          <w:szCs w:val="21"/>
          <w:highlight w:val="none"/>
        </w:rPr>
        <w:t>评标活动遵循公平、公正、科学和择优的原则。</w:t>
      </w:r>
    </w:p>
    <w:p>
      <w:pPr>
        <w:pStyle w:val="7"/>
        <w:rPr>
          <w:color w:val="auto"/>
          <w:highlight w:val="none"/>
        </w:rPr>
      </w:pPr>
      <w:bookmarkStart w:id="119" w:name="_Toc389065180"/>
      <w:bookmarkStart w:id="120" w:name="_Toc76726767"/>
      <w:r>
        <w:rPr>
          <w:color w:val="auto"/>
          <w:highlight w:val="none"/>
        </w:rPr>
        <w:t>6.3 评标</w:t>
      </w:r>
      <w:bookmarkEnd w:id="119"/>
      <w:r>
        <w:rPr>
          <w:rFonts w:hint="eastAsia"/>
          <w:color w:val="auto"/>
          <w:highlight w:val="none"/>
        </w:rPr>
        <w:t>方式</w:t>
      </w:r>
      <w:bookmarkEnd w:id="120"/>
    </w:p>
    <w:p>
      <w:pPr>
        <w:spacing w:line="360" w:lineRule="auto"/>
        <w:ind w:firstLine="420" w:firstLineChars="200"/>
        <w:rPr>
          <w:color w:val="auto"/>
          <w:szCs w:val="21"/>
          <w:highlight w:val="none"/>
        </w:rPr>
      </w:pPr>
      <w:r>
        <w:rPr>
          <w:color w:val="auto"/>
          <w:szCs w:val="21"/>
          <w:highlight w:val="none"/>
        </w:rPr>
        <w:t>评标委员会按照第三章“评标办法”规定的方法、评审因素、标准和程序对投标文件进行评审。第三章“评标办法”没有规定的方法、评审因素和标准，不作为评标依据。</w:t>
      </w:r>
      <w:r>
        <w:rPr>
          <w:rFonts w:hint="eastAsia" w:ascii="Calibri" w:hAnsi="Calibri" w:cs="宋体"/>
          <w:color w:val="auto"/>
          <w:highlight w:val="none"/>
        </w:rPr>
        <w:t>具体评标方式见</w:t>
      </w:r>
      <w:r>
        <w:rPr>
          <w:rFonts w:ascii="Calibri" w:hAnsi="Calibri"/>
          <w:color w:val="auto"/>
          <w:highlight w:val="none"/>
        </w:rPr>
        <w:t>“</w:t>
      </w:r>
      <w:r>
        <w:rPr>
          <w:rFonts w:hint="eastAsia" w:ascii="Calibri" w:hAnsi="Calibri" w:cs="宋体"/>
          <w:color w:val="auto"/>
          <w:highlight w:val="none"/>
        </w:rPr>
        <w:t>投标人须知前附表</w:t>
      </w:r>
      <w:r>
        <w:rPr>
          <w:rFonts w:ascii="Calibri" w:hAnsi="Calibri"/>
          <w:color w:val="auto"/>
          <w:highlight w:val="none"/>
        </w:rPr>
        <w:t>”</w:t>
      </w:r>
      <w:r>
        <w:rPr>
          <w:rFonts w:hint="eastAsia" w:ascii="Calibri" w:hAnsi="Calibri" w:cs="宋体"/>
          <w:color w:val="auto"/>
          <w:highlight w:val="none"/>
        </w:rPr>
        <w:t>。</w:t>
      </w:r>
    </w:p>
    <w:p>
      <w:pPr>
        <w:pStyle w:val="6"/>
        <w:rPr>
          <w:color w:val="auto"/>
          <w:highlight w:val="none"/>
        </w:rPr>
      </w:pPr>
      <w:bookmarkStart w:id="121" w:name="_Toc76726769"/>
      <w:bookmarkStart w:id="122" w:name="_Toc389065184"/>
      <w:r>
        <w:rPr>
          <w:color w:val="auto"/>
          <w:highlight w:val="none"/>
        </w:rPr>
        <w:t>7 合同授予</w:t>
      </w:r>
      <w:bookmarkEnd w:id="121"/>
      <w:bookmarkEnd w:id="122"/>
    </w:p>
    <w:p>
      <w:pPr>
        <w:pStyle w:val="7"/>
        <w:rPr>
          <w:color w:val="auto"/>
          <w:highlight w:val="none"/>
        </w:rPr>
      </w:pPr>
      <w:bookmarkStart w:id="123" w:name="_Toc76726770"/>
      <w:bookmarkStart w:id="124" w:name="_Toc389065185"/>
      <w:r>
        <w:rPr>
          <w:color w:val="auto"/>
          <w:highlight w:val="none"/>
        </w:rPr>
        <w:t>7.1 定标方式</w:t>
      </w:r>
      <w:bookmarkEnd w:id="123"/>
      <w:bookmarkEnd w:id="124"/>
    </w:p>
    <w:p>
      <w:pPr>
        <w:spacing w:line="360" w:lineRule="auto"/>
        <w:ind w:firstLine="420" w:firstLineChars="200"/>
        <w:rPr>
          <w:color w:val="auto"/>
          <w:szCs w:val="21"/>
          <w:highlight w:val="none"/>
        </w:rPr>
      </w:pPr>
      <w:r>
        <w:rPr>
          <w:color w:val="auto"/>
          <w:szCs w:val="21"/>
          <w:highlight w:val="none"/>
        </w:rPr>
        <w:t xml:space="preserve">评标委员会做出评标报告，招标人依据报告中推荐的中标候选人排序确定中标人。排名第一的中标候选人因故不能中标的，招标人可以重新招标，也可以按照评标委员会提出的中标候选人名单排序依次确定其他中标候选人为中标人。评标委员会推荐中标候选人的人数见投标人须知前附表。 </w:t>
      </w:r>
    </w:p>
    <w:p>
      <w:pPr>
        <w:pStyle w:val="7"/>
        <w:rPr>
          <w:color w:val="auto"/>
          <w:highlight w:val="none"/>
        </w:rPr>
      </w:pPr>
      <w:bookmarkStart w:id="125" w:name="_Toc389065186"/>
      <w:bookmarkStart w:id="126" w:name="_Toc76726771"/>
      <w:r>
        <w:rPr>
          <w:color w:val="auto"/>
          <w:highlight w:val="none"/>
        </w:rPr>
        <w:t>7.2 中标通知</w:t>
      </w:r>
      <w:bookmarkEnd w:id="125"/>
      <w:r>
        <w:rPr>
          <w:rFonts w:hint="eastAsia"/>
          <w:color w:val="auto"/>
          <w:highlight w:val="none"/>
        </w:rPr>
        <w:t>及中标公告</w:t>
      </w:r>
      <w:bookmarkEnd w:id="126"/>
    </w:p>
    <w:p>
      <w:pPr>
        <w:pStyle w:val="11"/>
        <w:adjustRightInd w:val="0"/>
        <w:snapToGrid w:val="0"/>
        <w:spacing w:line="360" w:lineRule="exact"/>
        <w:ind w:firstLine="420" w:firstLineChars="200"/>
        <w:rPr>
          <w:color w:val="auto"/>
          <w:sz w:val="21"/>
          <w:highlight w:val="none"/>
        </w:rPr>
      </w:pPr>
      <w:bookmarkStart w:id="127" w:name="_Toc389065187"/>
      <w:bookmarkStart w:id="128" w:name="_Toc76726772"/>
      <w:r>
        <w:rPr>
          <w:rFonts w:hint="eastAsia"/>
          <w:color w:val="auto"/>
          <w:sz w:val="21"/>
          <w:highlight w:val="none"/>
        </w:rPr>
        <w:t>（一）采购代理机构将在评标结束后2个工作日内将评标报告送采购人，采购人在5个工作日内按照评标报告中推荐的中标候选供应商顺序确定中标供应商。采购人也可以事先授权评标委员会直接确定中标供应商。</w:t>
      </w:r>
    </w:p>
    <w:p>
      <w:pPr>
        <w:pStyle w:val="11"/>
        <w:adjustRightInd w:val="0"/>
        <w:snapToGrid w:val="0"/>
        <w:spacing w:line="360" w:lineRule="exact"/>
        <w:ind w:firstLine="420" w:firstLineChars="200"/>
        <w:rPr>
          <w:color w:val="auto"/>
          <w:sz w:val="21"/>
          <w:highlight w:val="none"/>
        </w:rPr>
      </w:pPr>
      <w:r>
        <w:rPr>
          <w:rFonts w:hint="eastAsia"/>
          <w:color w:val="auto"/>
          <w:sz w:val="21"/>
          <w:highlight w:val="none"/>
        </w:rPr>
        <w:t>（二）中标供应商确定后，采购代理机构在</w:t>
      </w:r>
      <w:r>
        <w:rPr>
          <w:rFonts w:hint="eastAsia" w:hAnsi="宋体"/>
          <w:color w:val="auto"/>
          <w:sz w:val="21"/>
          <w:highlight w:val="none"/>
        </w:rPr>
        <w:t>广西政府采购网、</w:t>
      </w:r>
      <w:r>
        <w:rPr>
          <w:rFonts w:hint="eastAsia"/>
          <w:color w:val="auto"/>
          <w:sz w:val="21"/>
          <w:highlight w:val="none"/>
        </w:rPr>
        <w:t>中国政府</w:t>
      </w:r>
      <w:r>
        <w:rPr>
          <w:color w:val="auto"/>
          <w:sz w:val="21"/>
          <w:highlight w:val="none"/>
        </w:rPr>
        <w:t>采购网</w:t>
      </w:r>
      <w:r>
        <w:rPr>
          <w:rFonts w:hint="eastAsia"/>
          <w:color w:val="auto"/>
          <w:sz w:val="21"/>
          <w:highlight w:val="none"/>
        </w:rPr>
        <w:t>发布中标公告。</w:t>
      </w:r>
    </w:p>
    <w:p>
      <w:pPr>
        <w:pStyle w:val="11"/>
        <w:adjustRightInd w:val="0"/>
        <w:snapToGrid w:val="0"/>
        <w:spacing w:line="360" w:lineRule="exact"/>
        <w:ind w:firstLine="420" w:firstLineChars="200"/>
        <w:rPr>
          <w:color w:val="auto"/>
          <w:sz w:val="21"/>
          <w:highlight w:val="none"/>
        </w:rPr>
      </w:pPr>
      <w:r>
        <w:rPr>
          <w:rFonts w:hint="eastAsia"/>
          <w:color w:val="auto"/>
          <w:sz w:val="21"/>
          <w:highlight w:val="none"/>
        </w:rPr>
        <w:t>（三）在发布中标公告的同时，采购代理机构向中标供应商发出中标通知书。对未通过资格审查的投标人，采购代理机构告知其未通过的原因；采用综合评分法评审的，采购代理机构告知未中标人本人的评审得分与排序。</w:t>
      </w:r>
    </w:p>
    <w:p>
      <w:pPr>
        <w:pStyle w:val="11"/>
        <w:adjustRightInd w:val="0"/>
        <w:snapToGrid w:val="0"/>
        <w:spacing w:line="360" w:lineRule="exact"/>
        <w:ind w:firstLine="420" w:firstLineChars="200"/>
        <w:rPr>
          <w:color w:val="auto"/>
          <w:sz w:val="21"/>
          <w:highlight w:val="none"/>
        </w:rPr>
      </w:pPr>
      <w:r>
        <w:rPr>
          <w:rFonts w:hint="eastAsia"/>
          <w:color w:val="auto"/>
          <w:sz w:val="21"/>
          <w:highlight w:val="none"/>
        </w:rPr>
        <w:t>（四）投标人认为招标文件、招标过程和中标结果使自己的权益受到损害的，可以在知道或者应知其权益受到损害之日起七个工作日内，以书面形式向采购代理机构提出质疑，并及时索要书面回执。</w:t>
      </w:r>
    </w:p>
    <w:p>
      <w:pPr>
        <w:pStyle w:val="11"/>
        <w:adjustRightInd w:val="0"/>
        <w:snapToGrid w:val="0"/>
        <w:spacing w:line="360" w:lineRule="exact"/>
        <w:ind w:firstLine="420" w:firstLineChars="200"/>
        <w:rPr>
          <w:color w:val="auto"/>
          <w:sz w:val="21"/>
          <w:highlight w:val="none"/>
        </w:rPr>
      </w:pPr>
      <w:r>
        <w:rPr>
          <w:rFonts w:hint="eastAsia"/>
          <w:color w:val="auto"/>
          <w:sz w:val="21"/>
          <w:highlight w:val="none"/>
        </w:rPr>
        <w:t>（五）采购代理机构应当按照有关规定就采购人委托授权范围内的事项在收到投标人的书面质疑后7个工作日内做出答复，但答复的内容不得涉及商业秘密。</w:t>
      </w:r>
    </w:p>
    <w:p>
      <w:pPr>
        <w:pStyle w:val="7"/>
        <w:rPr>
          <w:color w:val="auto"/>
          <w:highlight w:val="none"/>
        </w:rPr>
      </w:pPr>
      <w:r>
        <w:rPr>
          <w:color w:val="auto"/>
          <w:highlight w:val="none"/>
        </w:rPr>
        <w:t>7.3 履约</w:t>
      </w:r>
      <w:bookmarkEnd w:id="127"/>
      <w:r>
        <w:rPr>
          <w:rFonts w:hint="eastAsia"/>
          <w:color w:val="auto"/>
          <w:highlight w:val="none"/>
        </w:rPr>
        <w:t>保证金</w:t>
      </w:r>
      <w:bookmarkEnd w:id="128"/>
    </w:p>
    <w:p>
      <w:pPr>
        <w:pStyle w:val="7"/>
        <w:ind w:firstLine="308" w:firstLineChars="147"/>
        <w:rPr>
          <w:rFonts w:hint="eastAsia"/>
          <w:b w:val="0"/>
          <w:color w:val="auto"/>
          <w:highlight w:val="none"/>
        </w:rPr>
      </w:pPr>
      <w:bookmarkStart w:id="129" w:name="_Toc76726773"/>
      <w:bookmarkStart w:id="130" w:name="_Toc389065188"/>
      <w:r>
        <w:rPr>
          <w:rFonts w:hint="eastAsia"/>
          <w:b w:val="0"/>
          <w:color w:val="auto"/>
          <w:highlight w:val="none"/>
        </w:rPr>
        <w:t>不缴纳</w:t>
      </w:r>
      <w:bookmarkEnd w:id="129"/>
    </w:p>
    <w:p>
      <w:pPr>
        <w:pStyle w:val="7"/>
        <w:rPr>
          <w:color w:val="auto"/>
          <w:highlight w:val="none"/>
        </w:rPr>
      </w:pPr>
      <w:bookmarkStart w:id="131" w:name="_Toc76726774"/>
      <w:r>
        <w:rPr>
          <w:color w:val="auto"/>
          <w:highlight w:val="none"/>
        </w:rPr>
        <w:t>7.4 签订合同</w:t>
      </w:r>
      <w:bookmarkEnd w:id="130"/>
      <w:bookmarkEnd w:id="131"/>
    </w:p>
    <w:p>
      <w:pPr>
        <w:pStyle w:val="11"/>
        <w:spacing w:line="360" w:lineRule="exact"/>
        <w:ind w:firstLine="420" w:firstLineChars="200"/>
        <w:rPr>
          <w:rFonts w:hAnsi="宋体"/>
          <w:color w:val="auto"/>
          <w:sz w:val="21"/>
          <w:highlight w:val="none"/>
        </w:rPr>
      </w:pPr>
      <w:r>
        <w:rPr>
          <w:rFonts w:hint="eastAsia" w:hAnsi="宋体"/>
          <w:color w:val="auto"/>
          <w:sz w:val="21"/>
          <w:highlight w:val="none"/>
        </w:rPr>
        <w:t>1.中标通知书发出后，采购人不得违法改变中标结果，中标人无正当理由不得放弃中标，否则，按中标供应商违约处理。</w:t>
      </w:r>
    </w:p>
    <w:p>
      <w:pPr>
        <w:pStyle w:val="11"/>
        <w:spacing w:line="360" w:lineRule="exact"/>
        <w:ind w:firstLine="420" w:firstLineChars="200"/>
        <w:rPr>
          <w:rFonts w:hAnsi="宋体"/>
          <w:color w:val="auto"/>
          <w:sz w:val="21"/>
          <w:highlight w:val="none"/>
        </w:rPr>
      </w:pPr>
      <w:r>
        <w:rPr>
          <w:rFonts w:hint="eastAsia" w:hAnsi="宋体"/>
          <w:color w:val="auto"/>
          <w:sz w:val="21"/>
          <w:highlight w:val="none"/>
        </w:rPr>
        <w:t>2.中标供应商拒绝与采购人签订合同或因不可抗力或者自身原因不能履行采购合同的，采购人可以与中标供应商之后排名第一的中标候选供应商签订采购合同，以此类推,也可以重新招标。中标供应商放弃中标项目，拒绝与采购人签订合同的，给采购人造成损失的，还应当赔偿损失，并作为不良行为记录在案。</w:t>
      </w:r>
    </w:p>
    <w:p>
      <w:pPr>
        <w:spacing w:line="360" w:lineRule="auto"/>
        <w:ind w:firstLine="420" w:firstLineChars="200"/>
        <w:rPr>
          <w:rFonts w:hint="eastAsia" w:hAnsi="宋体"/>
          <w:color w:val="auto"/>
          <w:sz w:val="21"/>
          <w:highlight w:val="none"/>
        </w:rPr>
      </w:pPr>
      <w:r>
        <w:rPr>
          <w:rFonts w:hint="eastAsia" w:hAnsi="宋体"/>
          <w:color w:val="auto"/>
          <w:sz w:val="21"/>
          <w:highlight w:val="none"/>
        </w:rPr>
        <w:t>3.</w:t>
      </w:r>
      <w:r>
        <w:rPr>
          <w:rFonts w:hint="eastAsia"/>
          <w:color w:val="auto"/>
          <w:szCs w:val="21"/>
          <w:highlight w:val="none"/>
        </w:rPr>
        <w:t>在签订合同的同时，应签订相应的廉政合同和安全生产合同。</w:t>
      </w:r>
    </w:p>
    <w:p>
      <w:pPr>
        <w:pStyle w:val="11"/>
        <w:spacing w:line="360" w:lineRule="exact"/>
        <w:ind w:firstLine="420" w:firstLineChars="200"/>
        <w:rPr>
          <w:rFonts w:hAnsi="宋体"/>
          <w:color w:val="auto"/>
          <w:sz w:val="21"/>
          <w:highlight w:val="none"/>
        </w:rPr>
      </w:pPr>
      <w:r>
        <w:rPr>
          <w:rFonts w:hint="eastAsia" w:hAnsi="宋体"/>
          <w:color w:val="auto"/>
          <w:sz w:val="21"/>
          <w:highlight w:val="none"/>
          <w:lang w:val="en-US" w:eastAsia="zh-CN"/>
        </w:rPr>
        <w:t>4.</w:t>
      </w:r>
      <w:r>
        <w:rPr>
          <w:rFonts w:hint="eastAsia" w:hAnsi="宋体"/>
          <w:color w:val="auto"/>
          <w:sz w:val="21"/>
          <w:highlight w:val="none"/>
        </w:rPr>
        <w:t>采购人应当自中标通知书发出之日起8个工作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pStyle w:val="11"/>
        <w:spacing w:line="360" w:lineRule="exact"/>
        <w:ind w:firstLine="420" w:firstLineChars="200"/>
        <w:rPr>
          <w:rFonts w:hAnsi="宋体"/>
          <w:color w:val="auto"/>
          <w:sz w:val="21"/>
          <w:highlight w:val="none"/>
        </w:rPr>
      </w:pPr>
      <w:r>
        <w:rPr>
          <w:rFonts w:hint="eastAsia" w:hAnsi="宋体"/>
          <w:color w:val="auto"/>
          <w:sz w:val="21"/>
          <w:highlight w:val="none"/>
          <w:lang w:val="en-US" w:eastAsia="zh-CN"/>
        </w:rPr>
        <w:t>5.</w:t>
      </w:r>
      <w:r>
        <w:rPr>
          <w:rFonts w:hint="eastAsia" w:hAnsi="宋体"/>
          <w:color w:val="auto"/>
          <w:sz w:val="21"/>
          <w:highlight w:val="none"/>
        </w:rPr>
        <w:t>购合同签订当日，将政府采购合同送采购代理机构备案。</w:t>
      </w:r>
    </w:p>
    <w:p>
      <w:pPr>
        <w:pStyle w:val="11"/>
        <w:spacing w:line="360" w:lineRule="exact"/>
        <w:ind w:firstLine="420" w:firstLineChars="200"/>
        <w:rPr>
          <w:rFonts w:hAnsi="宋体"/>
          <w:color w:val="auto"/>
          <w:sz w:val="21"/>
          <w:highlight w:val="none"/>
        </w:rPr>
      </w:pPr>
      <w:r>
        <w:rPr>
          <w:rFonts w:hint="eastAsia" w:hAnsi="宋体"/>
          <w:color w:val="auto"/>
          <w:sz w:val="21"/>
          <w:highlight w:val="none"/>
          <w:lang w:val="en-US" w:eastAsia="zh-CN"/>
        </w:rPr>
        <w:t>6.</w:t>
      </w:r>
      <w:r>
        <w:rPr>
          <w:rFonts w:hint="eastAsia" w:hAnsi="宋体"/>
          <w:color w:val="auto"/>
          <w:sz w:val="21"/>
          <w:highlight w:val="none"/>
        </w:rPr>
        <w:t>采购人与中标人应当根据合同的约定依法履行合同义务。政府采购合同的履行、违约责任和解决争议的方法等适用《中华人民共和国民法典》。</w:t>
      </w:r>
    </w:p>
    <w:p>
      <w:pPr>
        <w:pStyle w:val="11"/>
        <w:spacing w:line="360" w:lineRule="exact"/>
        <w:ind w:firstLine="420" w:firstLineChars="200"/>
        <w:rPr>
          <w:rFonts w:hAnsi="宋体"/>
          <w:color w:val="auto"/>
          <w:sz w:val="21"/>
          <w:highlight w:val="none"/>
        </w:rPr>
      </w:pPr>
      <w:r>
        <w:rPr>
          <w:rFonts w:hint="eastAsia" w:hAnsi="宋体"/>
          <w:color w:val="auto"/>
          <w:sz w:val="21"/>
          <w:highlight w:val="none"/>
          <w:lang w:val="en-US" w:eastAsia="zh-CN"/>
        </w:rPr>
        <w:t>7.</w:t>
      </w:r>
      <w:r>
        <w:rPr>
          <w:rFonts w:hint="eastAsia" w:hAnsi="宋体"/>
          <w:color w:val="auto"/>
          <w:sz w:val="21"/>
          <w:highlight w:val="none"/>
        </w:rPr>
        <w:t>采购人应当及时对采购项目进行验收。采购人可以邀请参加本项目的其他投标人或者第三方机构参与验收。参与验收的投标人或者第三方机构的意见作为验收书的参考资料一并存档。</w:t>
      </w:r>
    </w:p>
    <w:p>
      <w:pPr>
        <w:pStyle w:val="11"/>
        <w:spacing w:line="360" w:lineRule="exact"/>
        <w:ind w:firstLine="420" w:firstLineChars="200"/>
        <w:rPr>
          <w:rFonts w:hAnsi="宋体"/>
          <w:color w:val="auto"/>
          <w:sz w:val="21"/>
          <w:highlight w:val="none"/>
        </w:rPr>
      </w:pPr>
      <w:r>
        <w:rPr>
          <w:rFonts w:hint="eastAsia" w:hAnsi="宋体"/>
          <w:color w:val="auto"/>
          <w:sz w:val="21"/>
          <w:highlight w:val="none"/>
          <w:lang w:val="en-US" w:eastAsia="zh-CN"/>
        </w:rPr>
        <w:t>8.</w:t>
      </w:r>
      <w:r>
        <w:rPr>
          <w:rFonts w:hint="eastAsia" w:hAnsi="宋体"/>
          <w:color w:val="auto"/>
          <w:sz w:val="21"/>
          <w:highlight w:val="none"/>
        </w:rPr>
        <w:t>采购人应当加强对中标人的履约管理，并按照采购合同约定，及时向中标人支付采购资金。对于中标人违反采购合同约定的行为，采购人应当及时处理，依法追究其违约责任。</w:t>
      </w:r>
    </w:p>
    <w:p>
      <w:pPr>
        <w:pStyle w:val="11"/>
        <w:spacing w:line="360" w:lineRule="exact"/>
        <w:ind w:firstLine="316" w:firstLineChars="150"/>
        <w:rPr>
          <w:rFonts w:hAnsi="宋体"/>
          <w:b/>
          <w:color w:val="auto"/>
          <w:sz w:val="21"/>
          <w:highlight w:val="none"/>
        </w:rPr>
      </w:pPr>
      <w:r>
        <w:rPr>
          <w:rFonts w:hint="eastAsia" w:hAnsi="宋体"/>
          <w:b/>
          <w:color w:val="auto"/>
          <w:sz w:val="21"/>
          <w:highlight w:val="none"/>
        </w:rPr>
        <w:t>（三）补充合同</w:t>
      </w:r>
    </w:p>
    <w:p>
      <w:pPr>
        <w:pStyle w:val="11"/>
        <w:spacing w:line="360" w:lineRule="exact"/>
        <w:ind w:firstLine="420" w:firstLineChars="200"/>
        <w:rPr>
          <w:rFonts w:hAnsi="宋体"/>
          <w:color w:val="auto"/>
          <w:sz w:val="21"/>
          <w:highlight w:val="none"/>
        </w:rPr>
      </w:pPr>
      <w:r>
        <w:rPr>
          <w:rFonts w:hint="eastAsia" w:hAnsi="宋体"/>
          <w:color w:val="auto"/>
          <w:sz w:val="21"/>
          <w:highlight w:val="none"/>
        </w:rPr>
        <w:t>政府采购采购合同履行过程中，采购人需要追加与合同标的相同的货物或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ind w:firstLine="316" w:firstLineChars="150"/>
        <w:rPr>
          <w:rFonts w:ascii="宋体" w:hAnsi="宋体"/>
          <w:b/>
          <w:color w:val="auto"/>
          <w:kern w:val="0"/>
          <w:szCs w:val="21"/>
          <w:highlight w:val="none"/>
        </w:rPr>
      </w:pPr>
      <w:r>
        <w:rPr>
          <w:rFonts w:hint="eastAsia" w:hAnsi="宋体"/>
          <w:b/>
          <w:color w:val="auto"/>
          <w:highlight w:val="none"/>
        </w:rPr>
        <w:t>（四）</w:t>
      </w:r>
      <w:r>
        <w:rPr>
          <w:rFonts w:hint="eastAsia" w:ascii="宋体" w:hAnsi="宋体"/>
          <w:b/>
          <w:color w:val="auto"/>
          <w:kern w:val="0"/>
          <w:szCs w:val="21"/>
          <w:highlight w:val="none"/>
        </w:rPr>
        <w:t>合同公告</w:t>
      </w:r>
    </w:p>
    <w:p>
      <w:pPr>
        <w:pStyle w:val="11"/>
        <w:spacing w:line="360" w:lineRule="exact"/>
        <w:ind w:firstLine="420" w:firstLineChars="200"/>
        <w:rPr>
          <w:rFonts w:hAnsi="宋体"/>
          <w:color w:val="auto"/>
          <w:sz w:val="21"/>
          <w:highlight w:val="none"/>
        </w:rPr>
      </w:pPr>
      <w:r>
        <w:rPr>
          <w:rFonts w:hint="eastAsia" w:hAnsi="宋体"/>
          <w:color w:val="auto"/>
          <w:sz w:val="21"/>
          <w:highlight w:val="none"/>
        </w:rPr>
        <w:t>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pPr>
        <w:spacing w:line="360" w:lineRule="auto"/>
        <w:ind w:firstLine="420" w:firstLineChars="200"/>
        <w:rPr>
          <w:color w:val="auto"/>
          <w:szCs w:val="21"/>
          <w:highlight w:val="none"/>
        </w:rPr>
      </w:pPr>
    </w:p>
    <w:p>
      <w:pPr>
        <w:pStyle w:val="6"/>
        <w:rPr>
          <w:color w:val="auto"/>
          <w:highlight w:val="none"/>
        </w:rPr>
      </w:pPr>
      <w:bookmarkStart w:id="132" w:name="_Toc76726775"/>
      <w:bookmarkStart w:id="133" w:name="_Toc389065189"/>
      <w:r>
        <w:rPr>
          <w:color w:val="auto"/>
          <w:highlight w:val="none"/>
        </w:rPr>
        <w:t>8 重新招标和不再招标</w:t>
      </w:r>
      <w:bookmarkEnd w:id="132"/>
      <w:bookmarkEnd w:id="133"/>
    </w:p>
    <w:p>
      <w:pPr>
        <w:pStyle w:val="7"/>
        <w:rPr>
          <w:color w:val="auto"/>
          <w:highlight w:val="none"/>
        </w:rPr>
      </w:pPr>
      <w:bookmarkStart w:id="134" w:name="_Toc76726776"/>
      <w:bookmarkStart w:id="135" w:name="_Toc389065190"/>
      <w:r>
        <w:rPr>
          <w:color w:val="auto"/>
          <w:highlight w:val="none"/>
        </w:rPr>
        <w:t>8.1 重新招标</w:t>
      </w:r>
      <w:bookmarkEnd w:id="134"/>
      <w:bookmarkEnd w:id="135"/>
    </w:p>
    <w:p>
      <w:pPr>
        <w:spacing w:line="360" w:lineRule="auto"/>
        <w:ind w:firstLine="420" w:firstLineChars="200"/>
        <w:rPr>
          <w:rFonts w:hint="eastAsia"/>
          <w:color w:val="auto"/>
          <w:szCs w:val="21"/>
          <w:highlight w:val="none"/>
        </w:rPr>
      </w:pPr>
      <w:r>
        <w:rPr>
          <w:color w:val="auto"/>
          <w:szCs w:val="21"/>
          <w:highlight w:val="none"/>
        </w:rPr>
        <w:t>8.1 重新招标</w:t>
      </w:r>
    </w:p>
    <w:p>
      <w:pPr>
        <w:spacing w:line="360" w:lineRule="auto"/>
        <w:ind w:firstLine="420" w:firstLineChars="200"/>
        <w:rPr>
          <w:rFonts w:hint="eastAsia"/>
          <w:color w:val="auto"/>
          <w:szCs w:val="21"/>
          <w:highlight w:val="none"/>
        </w:rPr>
      </w:pPr>
      <w:r>
        <w:rPr>
          <w:color w:val="auto"/>
          <w:szCs w:val="21"/>
          <w:highlight w:val="none"/>
        </w:rPr>
        <w:t>有下列情形之一的，招标人将重新招标</w:t>
      </w:r>
    </w:p>
    <w:p>
      <w:pPr>
        <w:spacing w:line="360" w:lineRule="auto"/>
        <w:ind w:firstLine="420" w:firstLineChars="200"/>
        <w:rPr>
          <w:rFonts w:hint="eastAsia"/>
          <w:color w:val="auto"/>
          <w:szCs w:val="21"/>
          <w:highlight w:val="none"/>
        </w:rPr>
      </w:pPr>
      <w:r>
        <w:rPr>
          <w:color w:val="auto"/>
          <w:szCs w:val="21"/>
          <w:highlight w:val="none"/>
        </w:rPr>
        <w:t>⑴ 投标截止时间止，投标人少于3个的；</w:t>
      </w:r>
    </w:p>
    <w:p>
      <w:pPr>
        <w:spacing w:line="360" w:lineRule="auto"/>
        <w:ind w:firstLine="420" w:firstLineChars="200"/>
        <w:rPr>
          <w:color w:val="auto"/>
          <w:szCs w:val="21"/>
          <w:highlight w:val="none"/>
        </w:rPr>
      </w:pPr>
      <w:r>
        <w:rPr>
          <w:color w:val="auto"/>
          <w:szCs w:val="21"/>
          <w:highlight w:val="none"/>
        </w:rPr>
        <w:t>⑵ 经评标委员会评审后否决所有投标的。</w:t>
      </w:r>
    </w:p>
    <w:p>
      <w:pPr>
        <w:pStyle w:val="7"/>
        <w:rPr>
          <w:color w:val="auto"/>
          <w:highlight w:val="none"/>
        </w:rPr>
      </w:pPr>
      <w:bookmarkStart w:id="136" w:name="_Toc389065191"/>
      <w:bookmarkStart w:id="137" w:name="_Toc76726777"/>
      <w:r>
        <w:rPr>
          <w:color w:val="auto"/>
          <w:highlight w:val="none"/>
        </w:rPr>
        <w:t>8.2 不再招标</w:t>
      </w:r>
      <w:bookmarkEnd w:id="136"/>
      <w:bookmarkEnd w:id="137"/>
    </w:p>
    <w:p>
      <w:pPr>
        <w:spacing w:line="360" w:lineRule="auto"/>
        <w:ind w:firstLine="420" w:firstLineChars="200"/>
        <w:rPr>
          <w:color w:val="auto"/>
          <w:highlight w:val="none"/>
        </w:rPr>
      </w:pPr>
      <w:r>
        <w:rPr>
          <w:color w:val="auto"/>
          <w:highlight w:val="none"/>
        </w:rPr>
        <w:t>重新招标后投标人仍少于3个或者所有投标被否决的，属于必须审批或核准的工程建设项目，经原审批或核准部门批准后可不再进行招标。</w:t>
      </w:r>
      <w:bookmarkStart w:id="138" w:name="_Toc389065192"/>
    </w:p>
    <w:p>
      <w:pPr>
        <w:pStyle w:val="6"/>
        <w:rPr>
          <w:color w:val="auto"/>
          <w:highlight w:val="none"/>
        </w:rPr>
      </w:pPr>
      <w:bookmarkStart w:id="139" w:name="_Toc76726778"/>
      <w:r>
        <w:rPr>
          <w:color w:val="auto"/>
          <w:highlight w:val="none"/>
        </w:rPr>
        <w:t>9 纪律和监督</w:t>
      </w:r>
      <w:bookmarkEnd w:id="138"/>
      <w:bookmarkEnd w:id="139"/>
    </w:p>
    <w:p>
      <w:pPr>
        <w:pStyle w:val="7"/>
        <w:rPr>
          <w:color w:val="auto"/>
          <w:highlight w:val="none"/>
        </w:rPr>
      </w:pPr>
      <w:bookmarkStart w:id="140" w:name="_Toc389065193"/>
      <w:bookmarkStart w:id="141" w:name="_Toc76726779"/>
      <w:r>
        <w:rPr>
          <w:color w:val="auto"/>
          <w:highlight w:val="none"/>
        </w:rPr>
        <w:t>9.1 对招标人的纪律要求</w:t>
      </w:r>
      <w:bookmarkEnd w:id="140"/>
      <w:bookmarkEnd w:id="141"/>
    </w:p>
    <w:p>
      <w:pPr>
        <w:spacing w:line="360" w:lineRule="auto"/>
        <w:ind w:firstLine="420" w:firstLineChars="200"/>
        <w:rPr>
          <w:color w:val="auto"/>
          <w:kern w:val="0"/>
          <w:szCs w:val="21"/>
          <w:highlight w:val="none"/>
        </w:rPr>
      </w:pPr>
      <w:r>
        <w:rPr>
          <w:color w:val="auto"/>
          <w:kern w:val="0"/>
          <w:szCs w:val="21"/>
          <w:highlight w:val="none"/>
        </w:rPr>
        <w:t xml:space="preserve">招标人不得泄漏招标投标活动中应当保密的情况和资料，不得与投标人串通损害国家利益、社会公共利益或者他人合法权益。 </w:t>
      </w:r>
    </w:p>
    <w:p>
      <w:pPr>
        <w:pStyle w:val="7"/>
        <w:rPr>
          <w:color w:val="auto"/>
          <w:highlight w:val="none"/>
        </w:rPr>
      </w:pPr>
      <w:bookmarkStart w:id="142" w:name="_Toc76726780"/>
      <w:r>
        <w:rPr>
          <w:color w:val="auto"/>
          <w:highlight w:val="none"/>
        </w:rPr>
        <w:t>9.2 对投标人的纪律要求</w:t>
      </w:r>
      <w:bookmarkEnd w:id="142"/>
    </w:p>
    <w:p>
      <w:pPr>
        <w:spacing w:line="360" w:lineRule="auto"/>
        <w:ind w:firstLine="420" w:firstLineChars="200"/>
        <w:rPr>
          <w:rFonts w:ascii="Calibri" w:hAnsi="Calibri"/>
          <w:color w:val="auto"/>
          <w:highlight w:val="none"/>
        </w:rPr>
      </w:pPr>
      <w:bookmarkStart w:id="143" w:name="_Toc389065194"/>
      <w:bookmarkStart w:id="144" w:name="_Toc76726781"/>
      <w:r>
        <w:rPr>
          <w:rFonts w:ascii="Calibri" w:hAnsi="Calibri"/>
          <w:color w:val="auto"/>
          <w:highlight w:val="none"/>
        </w:rPr>
        <w:t>9.</w:t>
      </w:r>
      <w:r>
        <w:rPr>
          <w:rFonts w:hint="eastAsia" w:ascii="Calibri" w:hAnsi="Calibri"/>
          <w:color w:val="auto"/>
          <w:highlight w:val="none"/>
        </w:rPr>
        <w:t>1</w:t>
      </w:r>
      <w:r>
        <w:rPr>
          <w:rFonts w:ascii="Calibri" w:hAnsi="Calibri"/>
          <w:color w:val="auto"/>
          <w:highlight w:val="none"/>
        </w:rPr>
        <w:t>.1</w:t>
      </w:r>
      <w:r>
        <w:rPr>
          <w:rFonts w:hint="eastAsia" w:ascii="Calibri" w:hAnsi="Calibri" w:cs="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spacing w:line="360" w:lineRule="auto"/>
        <w:ind w:firstLine="420" w:firstLineChars="200"/>
        <w:rPr>
          <w:rFonts w:ascii="Calibri" w:hAnsi="Calibri"/>
          <w:color w:val="auto"/>
          <w:highlight w:val="none"/>
        </w:rPr>
      </w:pPr>
      <w:r>
        <w:rPr>
          <w:rFonts w:hint="eastAsia" w:ascii="Calibri" w:hAnsi="Calibri" w:cs="宋体"/>
          <w:color w:val="auto"/>
          <w:highlight w:val="none"/>
        </w:rPr>
        <w:t>（</w:t>
      </w:r>
      <w:r>
        <w:rPr>
          <w:rFonts w:ascii="Calibri" w:hAnsi="Calibri"/>
          <w:color w:val="auto"/>
          <w:highlight w:val="none"/>
        </w:rPr>
        <w:t>1</w:t>
      </w:r>
      <w:r>
        <w:rPr>
          <w:rFonts w:hint="eastAsia" w:ascii="Calibri" w:hAnsi="Calibri" w:cs="宋体"/>
          <w:color w:val="auto"/>
          <w:highlight w:val="none"/>
        </w:rPr>
        <w:t>）投标人之间协商投标报价等投标文件的实质性内容；</w:t>
      </w:r>
    </w:p>
    <w:p>
      <w:pPr>
        <w:spacing w:line="360" w:lineRule="auto"/>
        <w:ind w:firstLine="420" w:firstLineChars="200"/>
        <w:rPr>
          <w:rFonts w:ascii="Calibri" w:hAnsi="Calibri"/>
          <w:color w:val="auto"/>
          <w:highlight w:val="none"/>
        </w:rPr>
      </w:pPr>
      <w:r>
        <w:rPr>
          <w:rFonts w:hint="eastAsia" w:ascii="Calibri" w:hAnsi="Calibri" w:cs="宋体"/>
          <w:color w:val="auto"/>
          <w:highlight w:val="none"/>
        </w:rPr>
        <w:t>（</w:t>
      </w:r>
      <w:r>
        <w:rPr>
          <w:rFonts w:ascii="Calibri" w:hAnsi="Calibri"/>
          <w:color w:val="auto"/>
          <w:highlight w:val="none"/>
        </w:rPr>
        <w:t>2</w:t>
      </w:r>
      <w:r>
        <w:rPr>
          <w:rFonts w:hint="eastAsia" w:ascii="Calibri" w:hAnsi="Calibri" w:cs="宋体"/>
          <w:color w:val="auto"/>
          <w:highlight w:val="none"/>
        </w:rPr>
        <w:t>）投标人之间约定中标人；</w:t>
      </w:r>
    </w:p>
    <w:p>
      <w:pPr>
        <w:spacing w:line="360" w:lineRule="auto"/>
        <w:ind w:firstLine="420" w:firstLineChars="200"/>
        <w:rPr>
          <w:rFonts w:ascii="Calibri" w:hAnsi="Calibri"/>
          <w:color w:val="auto"/>
          <w:highlight w:val="none"/>
        </w:rPr>
      </w:pPr>
      <w:r>
        <w:rPr>
          <w:rFonts w:hint="eastAsia" w:ascii="Calibri" w:hAnsi="Calibri" w:cs="宋体"/>
          <w:color w:val="auto"/>
          <w:highlight w:val="none"/>
        </w:rPr>
        <w:t>（</w:t>
      </w:r>
      <w:r>
        <w:rPr>
          <w:rFonts w:ascii="Calibri" w:hAnsi="Calibri"/>
          <w:color w:val="auto"/>
          <w:highlight w:val="none"/>
        </w:rPr>
        <w:t>3</w:t>
      </w:r>
      <w:r>
        <w:rPr>
          <w:rFonts w:hint="eastAsia" w:ascii="Calibri" w:hAnsi="Calibri" w:cs="宋体"/>
          <w:color w:val="auto"/>
          <w:highlight w:val="none"/>
        </w:rPr>
        <w:t>）投标人之间约定部分投标人放弃投标或者中标；</w:t>
      </w:r>
    </w:p>
    <w:p>
      <w:pPr>
        <w:spacing w:line="360" w:lineRule="auto"/>
        <w:ind w:firstLine="420" w:firstLineChars="200"/>
        <w:rPr>
          <w:rFonts w:ascii="Calibri" w:hAnsi="Calibri"/>
          <w:color w:val="auto"/>
          <w:highlight w:val="none"/>
        </w:rPr>
      </w:pPr>
      <w:r>
        <w:rPr>
          <w:rFonts w:hint="eastAsia" w:ascii="Calibri" w:hAnsi="Calibri" w:cs="宋体"/>
          <w:color w:val="auto"/>
          <w:highlight w:val="none"/>
        </w:rPr>
        <w:t>（</w:t>
      </w:r>
      <w:r>
        <w:rPr>
          <w:rFonts w:ascii="Calibri" w:hAnsi="Calibri"/>
          <w:color w:val="auto"/>
          <w:highlight w:val="none"/>
        </w:rPr>
        <w:t>4</w:t>
      </w:r>
      <w:r>
        <w:rPr>
          <w:rFonts w:hint="eastAsia" w:ascii="Calibri" w:hAnsi="Calibri" w:cs="宋体"/>
          <w:color w:val="auto"/>
          <w:highlight w:val="none"/>
        </w:rPr>
        <w:t>）属于同一集团、协会、商会等组织成员的投标人按照该组织要求协同投标；</w:t>
      </w:r>
    </w:p>
    <w:p>
      <w:pPr>
        <w:spacing w:line="360" w:lineRule="auto"/>
        <w:ind w:firstLine="420" w:firstLineChars="200"/>
        <w:rPr>
          <w:rFonts w:ascii="Calibri" w:hAnsi="Calibri"/>
          <w:color w:val="auto"/>
          <w:highlight w:val="none"/>
        </w:rPr>
      </w:pPr>
      <w:r>
        <w:rPr>
          <w:rFonts w:hint="eastAsia" w:ascii="Calibri" w:hAnsi="Calibri" w:cs="宋体"/>
          <w:color w:val="auto"/>
          <w:highlight w:val="none"/>
        </w:rPr>
        <w:t>（</w:t>
      </w:r>
      <w:r>
        <w:rPr>
          <w:rFonts w:ascii="Calibri" w:hAnsi="Calibri"/>
          <w:color w:val="auto"/>
          <w:highlight w:val="none"/>
        </w:rPr>
        <w:t>5</w:t>
      </w:r>
      <w:r>
        <w:rPr>
          <w:rFonts w:hint="eastAsia" w:ascii="Calibri" w:hAnsi="Calibri" w:cs="宋体"/>
          <w:color w:val="auto"/>
          <w:highlight w:val="none"/>
        </w:rPr>
        <w:t>）投标人之间为谋取中标或者排斥特定投标人而采取的其他联合行动；</w:t>
      </w:r>
    </w:p>
    <w:p>
      <w:pPr>
        <w:spacing w:line="360" w:lineRule="auto"/>
        <w:ind w:firstLine="420" w:firstLineChars="200"/>
        <w:rPr>
          <w:rFonts w:ascii="Calibri" w:hAnsi="Calibri"/>
          <w:color w:val="auto"/>
          <w:highlight w:val="none"/>
        </w:rPr>
      </w:pPr>
      <w:r>
        <w:rPr>
          <w:rFonts w:hint="eastAsia" w:ascii="Calibri" w:hAnsi="Calibri" w:cs="宋体"/>
          <w:color w:val="auto"/>
          <w:highlight w:val="none"/>
        </w:rPr>
        <w:t>（</w:t>
      </w:r>
      <w:r>
        <w:rPr>
          <w:rFonts w:ascii="Calibri" w:hAnsi="Calibri"/>
          <w:color w:val="auto"/>
          <w:highlight w:val="none"/>
        </w:rPr>
        <w:t>6</w:t>
      </w:r>
      <w:r>
        <w:rPr>
          <w:rFonts w:hint="eastAsia" w:ascii="Calibri" w:hAnsi="Calibri" w:cs="宋体"/>
          <w:color w:val="auto"/>
          <w:highlight w:val="none"/>
        </w:rPr>
        <w:t>）不同投标人的投标文件由同一单位或者个人编制；</w:t>
      </w:r>
    </w:p>
    <w:p>
      <w:pPr>
        <w:spacing w:line="360" w:lineRule="auto"/>
        <w:ind w:firstLine="420" w:firstLineChars="200"/>
        <w:rPr>
          <w:rFonts w:ascii="Calibri" w:hAnsi="Calibri"/>
          <w:color w:val="auto"/>
          <w:highlight w:val="none"/>
        </w:rPr>
      </w:pPr>
      <w:r>
        <w:rPr>
          <w:rFonts w:hint="eastAsia" w:ascii="Calibri" w:hAnsi="Calibri" w:cs="宋体"/>
          <w:color w:val="auto"/>
          <w:highlight w:val="none"/>
        </w:rPr>
        <w:t>（</w:t>
      </w:r>
      <w:r>
        <w:rPr>
          <w:rFonts w:ascii="Calibri" w:hAnsi="Calibri"/>
          <w:color w:val="auto"/>
          <w:highlight w:val="none"/>
        </w:rPr>
        <w:t>7</w:t>
      </w:r>
      <w:r>
        <w:rPr>
          <w:rFonts w:hint="eastAsia" w:ascii="Calibri" w:hAnsi="Calibri" w:cs="宋体"/>
          <w:color w:val="auto"/>
          <w:highlight w:val="none"/>
        </w:rPr>
        <w:t>）不同投标人委托同一个人或注册在同一家企业的注册人员或同一家企业为其投标提供投标咨询、商务报价、技术咨询（招标工程本身要求采用专有技术的除外）等服务；</w:t>
      </w:r>
    </w:p>
    <w:p>
      <w:pPr>
        <w:spacing w:line="360" w:lineRule="auto"/>
        <w:ind w:firstLine="420" w:firstLineChars="200"/>
        <w:rPr>
          <w:rFonts w:ascii="Calibri" w:hAnsi="Calibri"/>
          <w:color w:val="auto"/>
          <w:highlight w:val="none"/>
        </w:rPr>
      </w:pPr>
      <w:r>
        <w:rPr>
          <w:rFonts w:hint="eastAsia" w:ascii="Calibri" w:hAnsi="Calibri" w:cs="宋体"/>
          <w:color w:val="auto"/>
          <w:highlight w:val="none"/>
        </w:rPr>
        <w:t>（</w:t>
      </w:r>
      <w:r>
        <w:rPr>
          <w:rFonts w:ascii="Calibri" w:hAnsi="Calibri"/>
          <w:color w:val="auto"/>
          <w:highlight w:val="none"/>
        </w:rPr>
        <w:t>8</w:t>
      </w:r>
      <w:r>
        <w:rPr>
          <w:rFonts w:hint="eastAsia" w:ascii="Calibri" w:hAnsi="Calibri" w:cs="宋体"/>
          <w:color w:val="auto"/>
          <w:highlight w:val="none"/>
        </w:rPr>
        <w:t>）不同投标人的投标文件载明的项目管理成员为同一人；</w:t>
      </w:r>
    </w:p>
    <w:p>
      <w:pPr>
        <w:spacing w:line="360" w:lineRule="auto"/>
        <w:ind w:firstLine="420" w:firstLineChars="200"/>
        <w:rPr>
          <w:rFonts w:ascii="Calibri" w:hAnsi="Calibri"/>
          <w:color w:val="auto"/>
          <w:highlight w:val="none"/>
        </w:rPr>
      </w:pPr>
      <w:r>
        <w:rPr>
          <w:rFonts w:hint="eastAsia" w:ascii="Calibri" w:hAnsi="Calibri" w:cs="宋体"/>
          <w:color w:val="auto"/>
          <w:highlight w:val="none"/>
        </w:rPr>
        <w:t>（</w:t>
      </w:r>
      <w:r>
        <w:rPr>
          <w:rFonts w:ascii="Calibri" w:hAnsi="Calibri"/>
          <w:color w:val="auto"/>
          <w:highlight w:val="none"/>
        </w:rPr>
        <w:t>9</w:t>
      </w:r>
      <w:r>
        <w:rPr>
          <w:rFonts w:hint="eastAsia" w:ascii="Calibri" w:hAnsi="Calibri" w:cs="宋体"/>
          <w:color w:val="auto"/>
          <w:highlight w:val="none"/>
        </w:rPr>
        <w:t>）不同投标人的技术文件内容异常一致（相似度达70%以上的）或者实质性相同的，或者投标报价呈规律性差异（不同投标人报价呈等差数列、不同投标人的投标报价的差额本身呈等差数列或者规律性的百分比等）；</w:t>
      </w:r>
    </w:p>
    <w:p>
      <w:pPr>
        <w:spacing w:line="360" w:lineRule="auto"/>
        <w:ind w:firstLine="420" w:firstLineChars="200"/>
        <w:rPr>
          <w:rFonts w:ascii="Calibri" w:hAnsi="Calibri"/>
          <w:color w:val="auto"/>
          <w:highlight w:val="none"/>
        </w:rPr>
      </w:pPr>
      <w:r>
        <w:rPr>
          <w:rFonts w:hint="eastAsia" w:ascii="Calibri" w:hAnsi="Calibri" w:cs="宋体"/>
          <w:color w:val="auto"/>
          <w:highlight w:val="none"/>
        </w:rPr>
        <w:t>（</w:t>
      </w:r>
      <w:r>
        <w:rPr>
          <w:rFonts w:ascii="Calibri" w:hAnsi="Calibri"/>
          <w:color w:val="auto"/>
          <w:highlight w:val="none"/>
        </w:rPr>
        <w:t>10</w:t>
      </w:r>
      <w:r>
        <w:rPr>
          <w:rFonts w:hint="eastAsia" w:ascii="Calibri" w:hAnsi="Calibri" w:cs="宋体"/>
          <w:color w:val="auto"/>
          <w:highlight w:val="none"/>
        </w:rPr>
        <w:t>）在资格审查或开标时不同投标人的投标资料（包括电子资料）相互混装；</w:t>
      </w:r>
    </w:p>
    <w:p>
      <w:pPr>
        <w:spacing w:line="360" w:lineRule="auto"/>
        <w:ind w:firstLine="420" w:firstLineChars="200"/>
        <w:rPr>
          <w:rFonts w:ascii="Calibri" w:hAnsi="Calibri"/>
          <w:color w:val="auto"/>
          <w:highlight w:val="none"/>
        </w:rPr>
      </w:pPr>
      <w:r>
        <w:rPr>
          <w:rFonts w:hint="eastAsia" w:ascii="Calibri" w:hAnsi="Calibri" w:cs="宋体"/>
          <w:color w:val="auto"/>
          <w:highlight w:val="none"/>
        </w:rPr>
        <w:t>（</w:t>
      </w:r>
      <w:r>
        <w:rPr>
          <w:rFonts w:ascii="Calibri" w:hAnsi="Calibri"/>
          <w:color w:val="auto"/>
          <w:highlight w:val="none"/>
        </w:rPr>
        <w:t>11</w:t>
      </w:r>
      <w:r>
        <w:rPr>
          <w:rFonts w:hint="eastAsia" w:ascii="Calibri" w:hAnsi="Calibri" w:cs="宋体"/>
          <w:color w:val="auto"/>
          <w:highlight w:val="none"/>
        </w:rPr>
        <w:t>）不同投标人的投标保证金从同一单位或者个人的账户转出；</w:t>
      </w:r>
    </w:p>
    <w:p>
      <w:pPr>
        <w:spacing w:line="360" w:lineRule="auto"/>
        <w:ind w:firstLine="420" w:firstLineChars="200"/>
        <w:rPr>
          <w:rFonts w:ascii="Calibri" w:hAnsi="Calibri" w:cs="宋体"/>
          <w:color w:val="auto"/>
          <w:highlight w:val="none"/>
        </w:rPr>
      </w:pPr>
      <w:r>
        <w:rPr>
          <w:rFonts w:hint="eastAsia" w:ascii="Calibri" w:hAnsi="Calibri" w:cs="宋体"/>
          <w:color w:val="auto"/>
          <w:highlight w:val="none"/>
        </w:rPr>
        <w:t>（12）由同一人或分别由几个有利害关系人携带两个以上（含两个）投标人的企业资料参与资格审查、领取招标资料，或代表两个以上（含两个）投标人参加招标答疑会、缴纳或退还投标保证金、开标；</w:t>
      </w:r>
    </w:p>
    <w:p>
      <w:pPr>
        <w:spacing w:line="360" w:lineRule="auto"/>
        <w:ind w:firstLine="420" w:firstLineChars="200"/>
        <w:rPr>
          <w:rFonts w:ascii="Calibri" w:hAnsi="Calibri" w:cs="宋体"/>
          <w:color w:val="auto"/>
          <w:highlight w:val="none"/>
        </w:rPr>
      </w:pPr>
      <w:r>
        <w:rPr>
          <w:rFonts w:hint="eastAsia" w:ascii="Calibri" w:hAnsi="Calibri" w:cs="宋体"/>
          <w:color w:val="auto"/>
          <w:highlight w:val="none"/>
        </w:rPr>
        <w:t>（13）不同投标人的法定代表人、委托代理人、项目负责人、项目总监等人员有在同一个单位缴纳社会保险；</w:t>
      </w:r>
    </w:p>
    <w:p>
      <w:pPr>
        <w:spacing w:line="360" w:lineRule="auto"/>
        <w:ind w:firstLine="420" w:firstLineChars="200"/>
        <w:rPr>
          <w:rFonts w:ascii="Calibri" w:hAnsi="Calibri" w:cs="宋体"/>
          <w:color w:val="auto"/>
          <w:highlight w:val="none"/>
        </w:rPr>
      </w:pPr>
      <w:r>
        <w:rPr>
          <w:rFonts w:hint="eastAsia" w:ascii="Calibri" w:hAnsi="Calibri" w:cs="宋体"/>
          <w:color w:val="auto"/>
          <w:highlight w:val="none"/>
        </w:rPr>
        <w:t>（14）投标人之间相互约定给予未中标的投标人费用补偿；</w:t>
      </w:r>
    </w:p>
    <w:p>
      <w:pPr>
        <w:spacing w:line="360" w:lineRule="auto"/>
        <w:rPr>
          <w:rFonts w:ascii="Calibri" w:hAnsi="Calibri" w:cs="宋体"/>
          <w:color w:val="auto"/>
          <w:highlight w:val="none"/>
        </w:rPr>
      </w:pPr>
      <w:r>
        <w:rPr>
          <w:rFonts w:hint="eastAsia" w:ascii="Calibri" w:hAnsi="Calibri" w:cs="宋体"/>
          <w:color w:val="auto"/>
          <w:highlight w:val="none"/>
        </w:rPr>
        <w:t xml:space="preserve">    （15）不同投标人编制的投标文件存在两处以上错误一致。</w:t>
      </w:r>
    </w:p>
    <w:p>
      <w:pPr>
        <w:spacing w:line="360" w:lineRule="auto"/>
        <w:ind w:firstLine="420" w:firstLineChars="200"/>
        <w:rPr>
          <w:rFonts w:ascii="Calibri" w:hAnsi="Calibri" w:cs="宋体"/>
          <w:color w:val="auto"/>
          <w:highlight w:val="none"/>
        </w:rPr>
      </w:pPr>
      <w:r>
        <w:rPr>
          <w:rFonts w:ascii="Calibri" w:hAnsi="Calibri" w:cs="宋体"/>
          <w:color w:val="auto"/>
          <w:highlight w:val="none"/>
        </w:rPr>
        <w:t>9.</w:t>
      </w:r>
      <w:r>
        <w:rPr>
          <w:rFonts w:hint="eastAsia" w:ascii="Calibri" w:hAnsi="Calibri" w:cs="宋体"/>
          <w:color w:val="auto"/>
          <w:highlight w:val="none"/>
        </w:rPr>
        <w:t>1</w:t>
      </w:r>
      <w:r>
        <w:rPr>
          <w:rFonts w:ascii="Calibri" w:hAnsi="Calibri" w:cs="宋体"/>
          <w:color w:val="auto"/>
          <w:highlight w:val="none"/>
        </w:rPr>
        <w:t>.2</w:t>
      </w:r>
      <w:r>
        <w:rPr>
          <w:rFonts w:hint="eastAsia" w:ascii="Calibri" w:hAnsi="Calibri" w:cs="宋体"/>
          <w:color w:val="auto"/>
          <w:highlight w:val="none"/>
        </w:rPr>
        <w:t xml:space="preserve">投标人有下列情形之一的，属于投标人弄虚作假：    </w:t>
      </w:r>
    </w:p>
    <w:p>
      <w:pPr>
        <w:spacing w:line="360" w:lineRule="auto"/>
        <w:ind w:firstLine="420" w:firstLineChars="200"/>
        <w:rPr>
          <w:rFonts w:ascii="Calibri" w:hAnsi="Calibri" w:cs="宋体"/>
          <w:color w:val="auto"/>
          <w:highlight w:val="none"/>
        </w:rPr>
      </w:pPr>
      <w:r>
        <w:rPr>
          <w:rFonts w:hint="eastAsia" w:ascii="Calibri" w:hAnsi="Calibri" w:cs="宋体"/>
          <w:color w:val="auto"/>
          <w:highlight w:val="none"/>
        </w:rPr>
        <w:t>（1）使用虚假的业绩、荣誉、建设工程合同、财务状况、信用状况等；</w:t>
      </w:r>
    </w:p>
    <w:p>
      <w:pPr>
        <w:spacing w:line="360" w:lineRule="auto"/>
        <w:ind w:firstLine="420" w:firstLineChars="200"/>
        <w:rPr>
          <w:rFonts w:ascii="Calibri" w:hAnsi="Calibri" w:cs="宋体"/>
          <w:color w:val="auto"/>
          <w:highlight w:val="none"/>
        </w:rPr>
      </w:pPr>
      <w:r>
        <w:rPr>
          <w:rFonts w:hint="eastAsia" w:ascii="Calibri" w:hAnsi="Calibri" w:cs="宋体"/>
          <w:color w:val="auto"/>
          <w:highlight w:val="none"/>
        </w:rPr>
        <w:t>（2）提供虚假的项目负责人或者主要技术人员简历、劳动关系证明、社保证明等；</w:t>
      </w:r>
    </w:p>
    <w:p>
      <w:pPr>
        <w:spacing w:line="360" w:lineRule="auto"/>
        <w:ind w:firstLine="420" w:firstLineChars="200"/>
        <w:rPr>
          <w:rFonts w:ascii="Calibri" w:hAnsi="Calibri" w:cs="宋体"/>
          <w:color w:val="auto"/>
          <w:highlight w:val="none"/>
        </w:rPr>
      </w:pPr>
      <w:r>
        <w:rPr>
          <w:rFonts w:hint="eastAsia" w:ascii="Calibri" w:hAnsi="Calibri" w:cs="宋体"/>
          <w:color w:val="auto"/>
          <w:highlight w:val="none"/>
        </w:rPr>
        <w:t>（3）其他弄虚作假的行为。</w:t>
      </w:r>
    </w:p>
    <w:p>
      <w:pPr>
        <w:spacing w:line="360" w:lineRule="auto"/>
        <w:ind w:firstLine="420" w:firstLineChars="200"/>
        <w:rPr>
          <w:rFonts w:ascii="Calibri" w:hAnsi="Calibri" w:cs="宋体"/>
          <w:color w:val="auto"/>
          <w:highlight w:val="none"/>
        </w:rPr>
      </w:pPr>
      <w:r>
        <w:rPr>
          <w:rFonts w:ascii="Calibri" w:hAnsi="Calibri" w:cs="宋体"/>
          <w:color w:val="auto"/>
          <w:highlight w:val="none"/>
        </w:rPr>
        <w:t>9.</w:t>
      </w:r>
      <w:r>
        <w:rPr>
          <w:rFonts w:hint="eastAsia" w:ascii="Calibri" w:hAnsi="Calibri" w:cs="宋体"/>
          <w:color w:val="auto"/>
          <w:highlight w:val="none"/>
        </w:rPr>
        <w:t>1</w:t>
      </w:r>
      <w:r>
        <w:rPr>
          <w:rFonts w:ascii="Calibri" w:hAnsi="Calibri" w:cs="宋体"/>
          <w:color w:val="auto"/>
          <w:highlight w:val="none"/>
        </w:rPr>
        <w:t>.3</w:t>
      </w:r>
      <w:r>
        <w:rPr>
          <w:rFonts w:hint="eastAsia" w:ascii="Calibri" w:hAnsi="Calibri" w:cs="宋体"/>
          <w:color w:val="auto"/>
          <w:highlight w:val="none"/>
        </w:rPr>
        <w:t>投标人不得向招标人或评标委员会成员或其他有关人员索问评标过程的情况和材料。</w:t>
      </w:r>
    </w:p>
    <w:p>
      <w:pPr>
        <w:pStyle w:val="7"/>
        <w:rPr>
          <w:color w:val="auto"/>
          <w:highlight w:val="none"/>
        </w:rPr>
      </w:pPr>
      <w:r>
        <w:rPr>
          <w:color w:val="auto"/>
          <w:highlight w:val="none"/>
        </w:rPr>
        <w:t>9.3 对评标委员会成员的纪律要求</w:t>
      </w:r>
      <w:bookmarkEnd w:id="143"/>
      <w:bookmarkEnd w:id="144"/>
    </w:p>
    <w:p>
      <w:pPr>
        <w:spacing w:line="360" w:lineRule="auto"/>
        <w:ind w:firstLine="420" w:firstLineChars="200"/>
        <w:rPr>
          <w:color w:val="auto"/>
          <w:szCs w:val="21"/>
          <w:highlight w:val="none"/>
        </w:rPr>
      </w:pPr>
      <w:r>
        <w:rPr>
          <w:color w:val="auto"/>
          <w:szCs w:val="21"/>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pStyle w:val="7"/>
        <w:rPr>
          <w:color w:val="auto"/>
          <w:highlight w:val="none"/>
        </w:rPr>
      </w:pPr>
      <w:bookmarkStart w:id="145" w:name="_Toc389065195"/>
      <w:bookmarkStart w:id="146" w:name="_Toc76726782"/>
      <w:r>
        <w:rPr>
          <w:color w:val="auto"/>
          <w:highlight w:val="none"/>
        </w:rPr>
        <w:t>9.4 对与评标活动有关的工作人员的纪律要求</w:t>
      </w:r>
      <w:bookmarkEnd w:id="145"/>
      <w:bookmarkEnd w:id="146"/>
    </w:p>
    <w:p>
      <w:pPr>
        <w:spacing w:line="360" w:lineRule="auto"/>
        <w:ind w:firstLine="420" w:firstLineChars="200"/>
        <w:rPr>
          <w:color w:val="auto"/>
          <w:highlight w:val="none"/>
        </w:rPr>
      </w:pPr>
      <w:bookmarkStart w:id="147" w:name="_Toc389065196"/>
      <w:r>
        <w:rPr>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rPr>
          <w:color w:val="auto"/>
          <w:highlight w:val="none"/>
        </w:rPr>
      </w:pPr>
      <w:bookmarkStart w:id="148" w:name="_Toc76726783"/>
      <w:r>
        <w:rPr>
          <w:color w:val="auto"/>
          <w:highlight w:val="none"/>
        </w:rPr>
        <w:t>9.5 投诉</w:t>
      </w:r>
      <w:bookmarkEnd w:id="147"/>
      <w:bookmarkEnd w:id="148"/>
      <w:bookmarkStart w:id="149" w:name="_Toc389065197"/>
    </w:p>
    <w:p>
      <w:pPr>
        <w:spacing w:line="360" w:lineRule="auto"/>
        <w:ind w:firstLine="420" w:firstLineChars="200"/>
        <w:rPr>
          <w:color w:val="auto"/>
          <w:highlight w:val="none"/>
        </w:rPr>
      </w:pPr>
      <w:r>
        <w:rPr>
          <w:color w:val="auto"/>
          <w:highlight w:val="none"/>
        </w:rPr>
        <w:t>投标人和其他利害关系人认为本次招标活动违反法律、法规和规章规定的，有权向有关行政监督部门投诉。</w:t>
      </w:r>
    </w:p>
    <w:p>
      <w:pPr>
        <w:pStyle w:val="7"/>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9.6补充事项</w:t>
      </w:r>
    </w:p>
    <w:p>
      <w:pPr>
        <w:pStyle w:val="11"/>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1.电子交易异常情形处理：采购过程中出现以下异常情形，导致电子交易平台无法正常运行，或者无法保证电子交易的公平、公正和安全时，采购组织机构有权中止电子交易活动：</w:t>
      </w:r>
    </w:p>
    <w:p>
      <w:pPr>
        <w:pStyle w:val="11"/>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1.1电子交易平台发生故障而无法登录访问的；</w:t>
      </w:r>
    </w:p>
    <w:p>
      <w:pPr>
        <w:pStyle w:val="11"/>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1.2电子交易平台应用或数据库出现错误，不能进行正常操作的；</w:t>
      </w:r>
    </w:p>
    <w:p>
      <w:pPr>
        <w:pStyle w:val="11"/>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1.3电子交易平台发现严重安全漏洞，潜在泄密危险的；</w:t>
      </w:r>
    </w:p>
    <w:p>
      <w:pPr>
        <w:pStyle w:val="11"/>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1.4病毒发作导致不能进行正常操作的；</w:t>
      </w:r>
    </w:p>
    <w:p>
      <w:pPr>
        <w:pStyle w:val="11"/>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 xml:space="preserve">1.5其他无法保证电子交易的公平、公正和安全的情况。出现以上规定情形，不影响采购公平、公正性的，采购组织机构可以待上述情形消除后继续组织电子交易活动，也可以决定某些环节以纸质形式进行；影响或可能影响采购公平、公正性的，应当重新采购。           </w:t>
      </w:r>
    </w:p>
    <w:p>
      <w:pPr>
        <w:pStyle w:val="11"/>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采购代理服务费的收取：由招标代理机构向中标供应商收取。代理服务费根据发改委(2011)534号、发改价格〔2015〕299号文件规定的收费标准，按差额定率累进法计算。签订合同前，中标供应商应向采购代理机构一次性付清招标代理服务费。</w:t>
      </w:r>
    </w:p>
    <w:p>
      <w:pPr>
        <w:pStyle w:val="11"/>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3</w:t>
      </w:r>
      <w:r>
        <w:rPr>
          <w:rFonts w:hint="eastAsia" w:ascii="Times New Roman" w:hAnsi="Times New Roman" w:eastAsia="宋体" w:cs="Times New Roman"/>
          <w:color w:val="auto"/>
          <w:kern w:val="2"/>
          <w:sz w:val="21"/>
          <w:szCs w:val="24"/>
          <w:highlight w:val="none"/>
          <w:lang w:val="en-US" w:eastAsia="zh-CN" w:bidi="ar-SA"/>
        </w:rPr>
        <w:t>.解释权：本招标文件解释权属采购人及采购代理机构。</w:t>
      </w:r>
    </w:p>
    <w:p>
      <w:pPr>
        <w:pStyle w:val="11"/>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.有关事宜</w:t>
      </w:r>
    </w:p>
    <w:p>
      <w:pPr>
        <w:pStyle w:val="11"/>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所有与本招标文件有关的函件请按下列通讯地址联系：</w:t>
      </w:r>
    </w:p>
    <w:p>
      <w:pPr>
        <w:pStyle w:val="11"/>
        <w:keepNext w:val="0"/>
        <w:keepLines w:val="0"/>
        <w:pageBreakBefore w:val="0"/>
        <w:widowControl w:val="0"/>
        <w:kinsoku/>
        <w:wordWrap/>
        <w:overflowPunct/>
        <w:topLinePunct w:val="0"/>
        <w:autoSpaceDE/>
        <w:autoSpaceDN/>
        <w:bidi w:val="0"/>
        <w:adjustRightInd w:val="0"/>
        <w:snapToGrid w:val="0"/>
        <w:spacing w:line="300" w:lineRule="exact"/>
        <w:ind w:left="420" w:firstLine="420" w:firstLineChars="200"/>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广西火天信工程管理咨询有限公司</w:t>
      </w:r>
    </w:p>
    <w:p>
      <w:pPr>
        <w:pStyle w:val="11"/>
        <w:keepNext w:val="0"/>
        <w:keepLines w:val="0"/>
        <w:pageBreakBefore w:val="0"/>
        <w:widowControl w:val="0"/>
        <w:tabs>
          <w:tab w:val="left" w:pos="1990"/>
        </w:tabs>
        <w:kinsoku/>
        <w:wordWrap/>
        <w:overflowPunct/>
        <w:topLinePunct w:val="0"/>
        <w:autoSpaceDE/>
        <w:autoSpaceDN/>
        <w:bidi w:val="0"/>
        <w:adjustRightInd w:val="0"/>
        <w:snapToGrid w:val="0"/>
        <w:spacing w:line="300" w:lineRule="exact"/>
        <w:ind w:left="420" w:firstLine="420" w:firstLineChars="200"/>
        <w:textAlignment w:val="auto"/>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邮政编码：536000</w:t>
      </w:r>
    </w:p>
    <w:p>
      <w:pPr>
        <w:pStyle w:val="11"/>
        <w:tabs>
          <w:tab w:val="left" w:pos="1990"/>
        </w:tabs>
        <w:adjustRightInd w:val="0"/>
        <w:snapToGrid w:val="0"/>
        <w:spacing w:line="360" w:lineRule="exact"/>
        <w:ind w:left="420" w:firstLine="420" w:firstLineChars="200"/>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通讯地址：北海市海城区重庆路与四川路交界九洲城D2栋8楼。</w:t>
      </w:r>
    </w:p>
    <w:p>
      <w:pPr>
        <w:pStyle w:val="11"/>
        <w:adjustRightInd w:val="0"/>
        <w:snapToGrid w:val="0"/>
        <w:spacing w:line="360" w:lineRule="exact"/>
        <w:ind w:left="420" w:firstLine="420" w:firstLineChars="200"/>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电话：0779-3831110</w:t>
      </w:r>
    </w:p>
    <w:p>
      <w:pPr>
        <w:rPr>
          <w:rFonts w:hint="default"/>
          <w:color w:val="auto"/>
          <w:highlight w:val="none"/>
          <w:lang w:val="en-US" w:eastAsia="zh-CN"/>
        </w:rPr>
      </w:pPr>
    </w:p>
    <w:p>
      <w:pPr>
        <w:pStyle w:val="6"/>
        <w:rPr>
          <w:color w:val="auto"/>
          <w:highlight w:val="none"/>
        </w:rPr>
      </w:pPr>
      <w:bookmarkStart w:id="150" w:name="_Toc76726784"/>
      <w:r>
        <w:rPr>
          <w:color w:val="auto"/>
          <w:highlight w:val="none"/>
        </w:rPr>
        <w:t>10 需要补充的其他内容</w:t>
      </w:r>
      <w:bookmarkEnd w:id="149"/>
      <w:bookmarkEnd w:id="150"/>
    </w:p>
    <w:p>
      <w:pPr>
        <w:pStyle w:val="5"/>
        <w:jc w:val="left"/>
        <w:rPr>
          <w:rFonts w:eastAsia="宋体"/>
          <w:b w:val="0"/>
          <w:bCs w:val="0"/>
          <w:color w:val="auto"/>
          <w:kern w:val="2"/>
          <w:sz w:val="21"/>
          <w:szCs w:val="24"/>
          <w:highlight w:val="none"/>
        </w:rPr>
      </w:pPr>
      <w:bookmarkStart w:id="151" w:name="_Toc76726785"/>
      <w:r>
        <w:rPr>
          <w:rFonts w:eastAsia="宋体"/>
          <w:b w:val="0"/>
          <w:bCs w:val="0"/>
          <w:color w:val="auto"/>
          <w:kern w:val="2"/>
          <w:sz w:val="21"/>
          <w:szCs w:val="24"/>
          <w:highlight w:val="none"/>
        </w:rPr>
        <w:t>需要补充的其他内容：见投标人须知前附表。</w:t>
      </w:r>
      <w:bookmarkEnd w:id="151"/>
    </w:p>
    <w:p>
      <w:pPr>
        <w:pStyle w:val="5"/>
        <w:jc w:val="center"/>
        <w:rPr>
          <w:rFonts w:eastAsia="宋体"/>
          <w:b w:val="0"/>
          <w:bCs w:val="0"/>
          <w:color w:val="auto"/>
          <w:kern w:val="2"/>
          <w:sz w:val="21"/>
          <w:szCs w:val="24"/>
          <w:highlight w:val="none"/>
        </w:rPr>
        <w:sectPr>
          <w:footerReference r:id="rId5" w:type="default"/>
          <w:pgSz w:w="11905" w:h="16838"/>
          <w:pgMar w:top="1134" w:right="1134" w:bottom="1134" w:left="1701" w:header="851" w:footer="850" w:gutter="0"/>
          <w:cols w:space="720" w:num="1"/>
          <w:docGrid w:linePitch="312" w:charSpace="0"/>
        </w:sectPr>
      </w:pPr>
    </w:p>
    <w:p>
      <w:pPr>
        <w:pStyle w:val="5"/>
        <w:jc w:val="center"/>
        <w:rPr>
          <w:color w:val="auto"/>
          <w:highlight w:val="none"/>
        </w:rPr>
      </w:pPr>
      <w:bookmarkStart w:id="152" w:name="_Toc389065238"/>
      <w:bookmarkStart w:id="153" w:name="_Toc76726786"/>
      <w:r>
        <w:rPr>
          <w:color w:val="auto"/>
          <w:highlight w:val="none"/>
        </w:rPr>
        <w:t>第三章  评标办法（综合评估法）</w:t>
      </w:r>
      <w:bookmarkEnd w:id="152"/>
      <w:bookmarkEnd w:id="153"/>
    </w:p>
    <w:p>
      <w:pPr>
        <w:pStyle w:val="5"/>
        <w:jc w:val="center"/>
        <w:rPr>
          <w:color w:val="auto"/>
          <w:highlight w:val="none"/>
        </w:rPr>
      </w:pPr>
      <w:bookmarkStart w:id="154" w:name="_Toc76726787"/>
      <w:bookmarkStart w:id="155" w:name="_Toc389065239"/>
      <w:r>
        <w:rPr>
          <w:color w:val="auto"/>
          <w:highlight w:val="none"/>
        </w:rPr>
        <w:t>评标办法前附表</w:t>
      </w:r>
      <w:bookmarkEnd w:id="154"/>
      <w:bookmarkEnd w:id="155"/>
    </w:p>
    <w:tbl>
      <w:tblPr>
        <w:tblStyle w:val="17"/>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077"/>
        <w:gridCol w:w="1080"/>
        <w:gridCol w:w="1480"/>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shd w:val="clear" w:color="auto" w:fill="E6E6E6"/>
            <w:noWrap w:val="0"/>
            <w:vAlign w:val="center"/>
          </w:tcPr>
          <w:p>
            <w:pPr>
              <w:spacing w:line="360" w:lineRule="auto"/>
              <w:jc w:val="center"/>
              <w:rPr>
                <w:color w:val="auto"/>
                <w:highlight w:val="none"/>
              </w:rPr>
            </w:pPr>
            <w:r>
              <w:rPr>
                <w:rFonts w:hint="eastAsia" w:cs="宋体"/>
                <w:color w:val="auto"/>
                <w:highlight w:val="none"/>
              </w:rPr>
              <w:t>条款号</w:t>
            </w:r>
          </w:p>
        </w:tc>
        <w:tc>
          <w:tcPr>
            <w:tcW w:w="3637" w:type="dxa"/>
            <w:gridSpan w:val="3"/>
            <w:shd w:val="clear" w:color="auto" w:fill="E6E6E6"/>
            <w:noWrap w:val="0"/>
            <w:vAlign w:val="center"/>
          </w:tcPr>
          <w:p>
            <w:pPr>
              <w:spacing w:line="360" w:lineRule="auto"/>
              <w:jc w:val="center"/>
              <w:rPr>
                <w:color w:val="auto"/>
                <w:highlight w:val="none"/>
              </w:rPr>
            </w:pPr>
            <w:r>
              <w:rPr>
                <w:rFonts w:hint="eastAsia" w:cs="宋体"/>
                <w:color w:val="auto"/>
                <w:highlight w:val="none"/>
              </w:rPr>
              <w:t>评审因素</w:t>
            </w:r>
          </w:p>
        </w:tc>
        <w:tc>
          <w:tcPr>
            <w:tcW w:w="5714" w:type="dxa"/>
            <w:shd w:val="clear" w:color="auto" w:fill="E6E6E6"/>
            <w:noWrap w:val="0"/>
            <w:vAlign w:val="center"/>
          </w:tcPr>
          <w:p>
            <w:pPr>
              <w:spacing w:line="360" w:lineRule="auto"/>
              <w:jc w:val="center"/>
              <w:rPr>
                <w:color w:val="auto"/>
                <w:highlight w:val="none"/>
              </w:rPr>
            </w:pPr>
            <w:r>
              <w:rPr>
                <w:rFonts w:hint="eastAsia" w:cs="宋体"/>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restart"/>
            <w:noWrap w:val="0"/>
            <w:vAlign w:val="center"/>
          </w:tcPr>
          <w:p>
            <w:pPr>
              <w:spacing w:line="360" w:lineRule="auto"/>
              <w:jc w:val="center"/>
              <w:rPr>
                <w:color w:val="auto"/>
                <w:highlight w:val="none"/>
              </w:rPr>
            </w:pPr>
            <w:r>
              <w:rPr>
                <w:color w:val="auto"/>
                <w:highlight w:val="none"/>
              </w:rPr>
              <w:t>2.1.1</w:t>
            </w:r>
          </w:p>
        </w:tc>
        <w:tc>
          <w:tcPr>
            <w:tcW w:w="1077" w:type="dxa"/>
            <w:vMerge w:val="restart"/>
            <w:noWrap w:val="0"/>
            <w:vAlign w:val="center"/>
          </w:tcPr>
          <w:p>
            <w:pPr>
              <w:spacing w:line="360" w:lineRule="auto"/>
              <w:rPr>
                <w:color w:val="auto"/>
                <w:highlight w:val="none"/>
              </w:rPr>
            </w:pPr>
            <w:r>
              <w:rPr>
                <w:rFonts w:hint="eastAsia" w:cs="宋体"/>
                <w:color w:val="auto"/>
                <w:highlight w:val="none"/>
              </w:rPr>
              <w:t>资格</w:t>
            </w:r>
            <w:r>
              <w:rPr>
                <w:rFonts w:hint="eastAsia" w:cs="宋体"/>
                <w:color w:val="auto"/>
                <w:highlight w:val="none"/>
                <w:lang w:eastAsia="zh-CN"/>
              </w:rPr>
              <w:t>性</w:t>
            </w:r>
            <w:r>
              <w:rPr>
                <w:rFonts w:hint="eastAsia" w:cs="宋体"/>
                <w:color w:val="auto"/>
                <w:highlight w:val="none"/>
              </w:rPr>
              <w:t>评审标准</w:t>
            </w:r>
          </w:p>
        </w:tc>
        <w:tc>
          <w:tcPr>
            <w:tcW w:w="8274" w:type="dxa"/>
            <w:gridSpan w:val="3"/>
            <w:noWrap w:val="0"/>
            <w:vAlign w:val="center"/>
          </w:tcPr>
          <w:p>
            <w:pPr>
              <w:spacing w:line="360" w:lineRule="auto"/>
              <w:rPr>
                <w:color w:val="auto"/>
                <w:highlight w:val="none"/>
              </w:rPr>
            </w:pPr>
            <w:r>
              <w:rPr>
                <w:rFonts w:hint="eastAsia" w:cs="宋体"/>
                <w:b/>
                <w:bCs/>
                <w:color w:val="auto"/>
                <w:highlight w:val="none"/>
              </w:rPr>
              <w:t>合格标准：缺少任何一项或有任何一项不合格者，其资格审查视为不合格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2560" w:type="dxa"/>
            <w:gridSpan w:val="2"/>
            <w:noWrap w:val="0"/>
            <w:vAlign w:val="center"/>
          </w:tcPr>
          <w:p>
            <w:pPr>
              <w:spacing w:line="360" w:lineRule="auto"/>
              <w:rPr>
                <w:rFonts w:hint="eastAsia" w:cs="宋体"/>
                <w:color w:val="auto"/>
                <w:highlight w:val="none"/>
              </w:rPr>
            </w:pPr>
            <w:r>
              <w:rPr>
                <w:rFonts w:hint="eastAsia" w:cs="宋体"/>
                <w:color w:val="auto"/>
                <w:highlight w:val="none"/>
              </w:rPr>
              <w:t>投标文件签署</w:t>
            </w:r>
          </w:p>
        </w:tc>
        <w:tc>
          <w:tcPr>
            <w:tcW w:w="5714" w:type="dxa"/>
            <w:noWrap w:val="0"/>
            <w:vAlign w:val="center"/>
          </w:tcPr>
          <w:p>
            <w:pPr>
              <w:spacing w:line="360" w:lineRule="auto"/>
              <w:rPr>
                <w:rFonts w:hint="eastAsia" w:cs="宋体"/>
                <w:color w:val="auto"/>
                <w:highlight w:val="none"/>
              </w:rPr>
            </w:pPr>
            <w:r>
              <w:rPr>
                <w:rFonts w:hint="eastAsia" w:cs="宋体"/>
                <w:color w:val="auto"/>
                <w:highlight w:val="none"/>
              </w:rPr>
              <w:t>符合第二章“投标人须知”第3.</w:t>
            </w:r>
            <w:r>
              <w:rPr>
                <w:rFonts w:hint="eastAsia" w:cs="宋体"/>
                <w:color w:val="auto"/>
                <w:highlight w:val="none"/>
                <w:lang w:val="en-US" w:eastAsia="zh-CN"/>
              </w:rPr>
              <w:t>7</w:t>
            </w:r>
            <w:r>
              <w:rPr>
                <w:rFonts w:hint="eastAsia" w:cs="宋体"/>
                <w:color w:val="auto"/>
                <w:highlight w:val="none"/>
              </w:rPr>
              <w:t>.3项规</w:t>
            </w:r>
            <w:r>
              <w:rPr>
                <w:rFonts w:hint="eastAsia" w:cs="宋体"/>
                <w:color w:val="auto"/>
                <w:highlight w:val="none"/>
                <w:lang w:val="en-US" w:eastAsia="zh-CN"/>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2560" w:type="dxa"/>
            <w:gridSpan w:val="2"/>
            <w:noWrap w:val="0"/>
            <w:vAlign w:val="center"/>
          </w:tcPr>
          <w:p>
            <w:pPr>
              <w:spacing w:line="360" w:lineRule="auto"/>
              <w:rPr>
                <w:color w:val="auto"/>
                <w:highlight w:val="none"/>
              </w:rPr>
            </w:pPr>
            <w:r>
              <w:rPr>
                <w:rFonts w:hint="eastAsia" w:cs="宋体"/>
                <w:color w:val="auto"/>
                <w:highlight w:val="none"/>
              </w:rPr>
              <w:t>营业执照</w:t>
            </w:r>
          </w:p>
        </w:tc>
        <w:tc>
          <w:tcPr>
            <w:tcW w:w="5714" w:type="dxa"/>
            <w:noWrap w:val="0"/>
            <w:vAlign w:val="center"/>
          </w:tcPr>
          <w:p>
            <w:pPr>
              <w:spacing w:line="360" w:lineRule="auto"/>
              <w:rPr>
                <w:color w:val="auto"/>
                <w:highlight w:val="none"/>
              </w:rPr>
            </w:pPr>
            <w:r>
              <w:rPr>
                <w:rFonts w:hint="eastAsia" w:cs="宋体"/>
                <w:color w:val="auto"/>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2560" w:type="dxa"/>
            <w:gridSpan w:val="2"/>
            <w:noWrap w:val="0"/>
            <w:vAlign w:val="center"/>
          </w:tcPr>
          <w:p>
            <w:pPr>
              <w:spacing w:line="360" w:lineRule="auto"/>
              <w:rPr>
                <w:color w:val="auto"/>
                <w:highlight w:val="none"/>
              </w:rPr>
            </w:pPr>
            <w:r>
              <w:rPr>
                <w:rFonts w:hint="eastAsia" w:cs="宋体"/>
                <w:color w:val="auto"/>
                <w:highlight w:val="none"/>
              </w:rPr>
              <w:t>安全生产许可证</w:t>
            </w:r>
          </w:p>
        </w:tc>
        <w:tc>
          <w:tcPr>
            <w:tcW w:w="5714" w:type="dxa"/>
            <w:noWrap w:val="0"/>
            <w:vAlign w:val="center"/>
          </w:tcPr>
          <w:p>
            <w:pPr>
              <w:spacing w:line="360" w:lineRule="auto"/>
              <w:rPr>
                <w:color w:val="auto"/>
                <w:highlight w:val="none"/>
              </w:rPr>
            </w:pPr>
            <w:r>
              <w:rPr>
                <w:rFonts w:hint="eastAsia" w:cs="宋体"/>
                <w:color w:val="auto"/>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2560" w:type="dxa"/>
            <w:gridSpan w:val="2"/>
            <w:noWrap w:val="0"/>
            <w:vAlign w:val="center"/>
          </w:tcPr>
          <w:p>
            <w:pPr>
              <w:spacing w:line="360" w:lineRule="auto"/>
              <w:rPr>
                <w:color w:val="auto"/>
                <w:highlight w:val="none"/>
              </w:rPr>
            </w:pPr>
            <w:r>
              <w:rPr>
                <w:rFonts w:hint="eastAsia" w:cs="宋体"/>
                <w:color w:val="auto"/>
                <w:highlight w:val="none"/>
              </w:rPr>
              <w:t>资质等级</w:t>
            </w:r>
          </w:p>
        </w:tc>
        <w:tc>
          <w:tcPr>
            <w:tcW w:w="5714" w:type="dxa"/>
            <w:noWrap w:val="0"/>
            <w:vAlign w:val="center"/>
          </w:tcPr>
          <w:p>
            <w:pPr>
              <w:spacing w:line="360" w:lineRule="auto"/>
              <w:rPr>
                <w:color w:val="auto"/>
                <w:highlight w:val="none"/>
              </w:rPr>
            </w:pPr>
            <w:r>
              <w:rPr>
                <w:rFonts w:hint="eastAsia" w:cs="宋体"/>
                <w:color w:val="auto"/>
                <w:highlight w:val="none"/>
              </w:rPr>
              <w:t>符合第二章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第</w:t>
            </w:r>
            <w:r>
              <w:rPr>
                <w:color w:val="auto"/>
                <w:highlight w:val="none"/>
              </w:rPr>
              <w:t>1.4.1</w:t>
            </w:r>
            <w:r>
              <w:rPr>
                <w:rFonts w:hint="eastAsia" w:cs="宋体"/>
                <w:color w:val="auto"/>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2560" w:type="dxa"/>
            <w:gridSpan w:val="2"/>
            <w:noWrap w:val="0"/>
            <w:vAlign w:val="center"/>
          </w:tcPr>
          <w:p>
            <w:pPr>
              <w:spacing w:line="360" w:lineRule="auto"/>
              <w:rPr>
                <w:color w:val="auto"/>
                <w:highlight w:val="none"/>
              </w:rPr>
            </w:pPr>
            <w:r>
              <w:rPr>
                <w:rFonts w:hint="eastAsia" w:cs="宋体"/>
                <w:color w:val="auto"/>
                <w:highlight w:val="none"/>
              </w:rPr>
              <w:t>财务状况</w:t>
            </w:r>
          </w:p>
        </w:tc>
        <w:tc>
          <w:tcPr>
            <w:tcW w:w="5714" w:type="dxa"/>
            <w:noWrap w:val="0"/>
            <w:vAlign w:val="center"/>
          </w:tcPr>
          <w:p>
            <w:pPr>
              <w:spacing w:line="360" w:lineRule="auto"/>
              <w:rPr>
                <w:color w:val="auto"/>
                <w:highlight w:val="none"/>
              </w:rPr>
            </w:pPr>
            <w:r>
              <w:rPr>
                <w:rFonts w:hint="eastAsia" w:cs="宋体"/>
                <w:color w:val="auto"/>
                <w:highlight w:val="none"/>
              </w:rPr>
              <w:t>符合第二章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第</w:t>
            </w:r>
            <w:r>
              <w:rPr>
                <w:color w:val="auto"/>
                <w:highlight w:val="none"/>
              </w:rPr>
              <w:t>1.4.1</w:t>
            </w:r>
            <w:r>
              <w:rPr>
                <w:rFonts w:hint="eastAsia" w:cs="宋体"/>
                <w:color w:val="auto"/>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2560" w:type="dxa"/>
            <w:gridSpan w:val="2"/>
            <w:noWrap w:val="0"/>
            <w:vAlign w:val="center"/>
          </w:tcPr>
          <w:p>
            <w:pPr>
              <w:spacing w:line="360" w:lineRule="auto"/>
              <w:rPr>
                <w:color w:val="auto"/>
                <w:highlight w:val="none"/>
              </w:rPr>
            </w:pPr>
            <w:r>
              <w:rPr>
                <w:rFonts w:hint="eastAsia" w:cs="宋体"/>
                <w:color w:val="auto"/>
                <w:highlight w:val="none"/>
              </w:rPr>
              <w:t>诚信</w:t>
            </w:r>
          </w:p>
        </w:tc>
        <w:tc>
          <w:tcPr>
            <w:tcW w:w="5714" w:type="dxa"/>
            <w:noWrap w:val="0"/>
            <w:vAlign w:val="center"/>
          </w:tcPr>
          <w:p>
            <w:pPr>
              <w:spacing w:line="360" w:lineRule="auto"/>
              <w:rPr>
                <w:color w:val="auto"/>
                <w:highlight w:val="none"/>
              </w:rPr>
            </w:pPr>
            <w:r>
              <w:rPr>
                <w:rFonts w:hint="eastAsia" w:cs="宋体"/>
                <w:color w:val="auto"/>
                <w:highlight w:val="none"/>
              </w:rPr>
              <w:t>符合第二章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第</w:t>
            </w:r>
            <w:r>
              <w:rPr>
                <w:color w:val="auto"/>
                <w:highlight w:val="none"/>
              </w:rPr>
              <w:t>1.4.1</w:t>
            </w:r>
            <w:r>
              <w:rPr>
                <w:rFonts w:hint="eastAsia" w:cs="宋体"/>
                <w:color w:val="auto"/>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2560" w:type="dxa"/>
            <w:gridSpan w:val="2"/>
            <w:noWrap w:val="0"/>
            <w:vAlign w:val="center"/>
          </w:tcPr>
          <w:p>
            <w:pPr>
              <w:spacing w:line="360" w:lineRule="auto"/>
              <w:rPr>
                <w:color w:val="auto"/>
                <w:highlight w:val="none"/>
              </w:rPr>
            </w:pPr>
            <w:r>
              <w:rPr>
                <w:rFonts w:hint="eastAsia" w:cs="宋体"/>
                <w:color w:val="auto"/>
                <w:highlight w:val="none"/>
              </w:rPr>
              <w:t>项目经理</w:t>
            </w:r>
          </w:p>
        </w:tc>
        <w:tc>
          <w:tcPr>
            <w:tcW w:w="5714" w:type="dxa"/>
            <w:noWrap w:val="0"/>
            <w:vAlign w:val="center"/>
          </w:tcPr>
          <w:p>
            <w:pPr>
              <w:spacing w:line="360" w:lineRule="auto"/>
              <w:rPr>
                <w:rFonts w:cs="宋体"/>
                <w:color w:val="auto"/>
                <w:highlight w:val="none"/>
              </w:rPr>
            </w:pPr>
            <w:r>
              <w:rPr>
                <w:rFonts w:hint="eastAsia" w:cs="宋体"/>
                <w:color w:val="auto"/>
                <w:highlight w:val="none"/>
              </w:rPr>
              <w:t>符合第二章</w:t>
            </w:r>
            <w:r>
              <w:rPr>
                <w:rFonts w:cs="宋体"/>
                <w:color w:val="auto"/>
                <w:highlight w:val="none"/>
              </w:rPr>
              <w:t>“</w:t>
            </w:r>
            <w:r>
              <w:rPr>
                <w:rFonts w:hint="eastAsia" w:cs="宋体"/>
                <w:color w:val="auto"/>
                <w:highlight w:val="none"/>
              </w:rPr>
              <w:t>投标人须知</w:t>
            </w:r>
            <w:r>
              <w:rPr>
                <w:rFonts w:cs="宋体"/>
                <w:color w:val="auto"/>
                <w:highlight w:val="none"/>
              </w:rPr>
              <w:t>”</w:t>
            </w:r>
            <w:r>
              <w:rPr>
                <w:rFonts w:hint="eastAsia" w:cs="宋体"/>
                <w:color w:val="auto"/>
                <w:highlight w:val="none"/>
              </w:rPr>
              <w:t>第</w:t>
            </w:r>
            <w:r>
              <w:rPr>
                <w:rFonts w:cs="宋体"/>
                <w:color w:val="auto"/>
                <w:highlight w:val="none"/>
              </w:rPr>
              <w:t>1.4.1</w:t>
            </w:r>
            <w:r>
              <w:rPr>
                <w:rFonts w:hint="eastAsia" w:cs="宋体"/>
                <w:color w:val="auto"/>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2560" w:type="dxa"/>
            <w:gridSpan w:val="2"/>
            <w:noWrap w:val="0"/>
            <w:vAlign w:val="center"/>
          </w:tcPr>
          <w:p>
            <w:pPr>
              <w:spacing w:line="360" w:lineRule="auto"/>
              <w:rPr>
                <w:color w:val="auto"/>
                <w:highlight w:val="none"/>
              </w:rPr>
            </w:pPr>
            <w:r>
              <w:rPr>
                <w:rFonts w:hint="eastAsia" w:cs="宋体"/>
                <w:color w:val="auto"/>
                <w:highlight w:val="none"/>
              </w:rPr>
              <w:t>专职安全员</w:t>
            </w:r>
          </w:p>
        </w:tc>
        <w:tc>
          <w:tcPr>
            <w:tcW w:w="5714" w:type="dxa"/>
            <w:noWrap w:val="0"/>
            <w:vAlign w:val="center"/>
          </w:tcPr>
          <w:p>
            <w:pPr>
              <w:spacing w:line="360" w:lineRule="auto"/>
              <w:rPr>
                <w:rFonts w:cs="宋体"/>
                <w:color w:val="auto"/>
                <w:highlight w:val="none"/>
              </w:rPr>
            </w:pPr>
            <w:r>
              <w:rPr>
                <w:rFonts w:hint="eastAsia" w:cs="宋体"/>
                <w:color w:val="auto"/>
                <w:highlight w:val="none"/>
              </w:rPr>
              <w:t>符合第二章</w:t>
            </w:r>
            <w:r>
              <w:rPr>
                <w:rFonts w:cs="宋体"/>
                <w:color w:val="auto"/>
                <w:highlight w:val="none"/>
              </w:rPr>
              <w:t>“</w:t>
            </w:r>
            <w:r>
              <w:rPr>
                <w:rFonts w:hint="eastAsia" w:cs="宋体"/>
                <w:color w:val="auto"/>
                <w:highlight w:val="none"/>
              </w:rPr>
              <w:t>投标人须知</w:t>
            </w:r>
            <w:r>
              <w:rPr>
                <w:rFonts w:cs="宋体"/>
                <w:color w:val="auto"/>
                <w:highlight w:val="none"/>
              </w:rPr>
              <w:t>”</w:t>
            </w:r>
            <w:r>
              <w:rPr>
                <w:rFonts w:hint="eastAsia" w:cs="宋体"/>
                <w:color w:val="auto"/>
                <w:highlight w:val="none"/>
              </w:rPr>
              <w:t>第</w:t>
            </w:r>
            <w:r>
              <w:rPr>
                <w:rFonts w:cs="宋体"/>
                <w:color w:val="auto"/>
                <w:highlight w:val="none"/>
              </w:rPr>
              <w:t>1.4.1</w:t>
            </w:r>
            <w:r>
              <w:rPr>
                <w:rFonts w:hint="eastAsia" w:cs="宋体"/>
                <w:color w:val="auto"/>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2560" w:type="dxa"/>
            <w:gridSpan w:val="2"/>
            <w:noWrap w:val="0"/>
            <w:vAlign w:val="center"/>
          </w:tcPr>
          <w:p>
            <w:pPr>
              <w:spacing w:line="360" w:lineRule="auto"/>
              <w:rPr>
                <w:color w:val="auto"/>
                <w:highlight w:val="none"/>
              </w:rPr>
            </w:pPr>
            <w:r>
              <w:rPr>
                <w:rFonts w:hint="eastAsia" w:cs="宋体"/>
                <w:color w:val="auto"/>
                <w:highlight w:val="none"/>
              </w:rPr>
              <w:t>投标保证金</w:t>
            </w:r>
          </w:p>
        </w:tc>
        <w:tc>
          <w:tcPr>
            <w:tcW w:w="5714" w:type="dxa"/>
            <w:noWrap w:val="0"/>
            <w:vAlign w:val="center"/>
          </w:tcPr>
          <w:p>
            <w:pPr>
              <w:spacing w:line="360" w:lineRule="auto"/>
              <w:rPr>
                <w:color w:val="auto"/>
                <w:highlight w:val="none"/>
              </w:rPr>
            </w:pPr>
            <w:r>
              <w:rPr>
                <w:rFonts w:hint="eastAsia" w:cs="宋体"/>
                <w:color w:val="auto"/>
                <w:highlight w:val="none"/>
              </w:rPr>
              <w:t>符合第二章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第</w:t>
            </w:r>
            <w:r>
              <w:rPr>
                <w:color w:val="auto"/>
                <w:highlight w:val="none"/>
              </w:rPr>
              <w:t>3.4.1</w:t>
            </w:r>
            <w:r>
              <w:rPr>
                <w:rFonts w:hint="eastAsia" w:cs="宋体"/>
                <w:color w:val="auto"/>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2560" w:type="dxa"/>
            <w:gridSpan w:val="2"/>
            <w:noWrap w:val="0"/>
            <w:vAlign w:val="center"/>
          </w:tcPr>
          <w:p>
            <w:pPr>
              <w:spacing w:line="360" w:lineRule="auto"/>
              <w:rPr>
                <w:color w:val="auto"/>
                <w:highlight w:val="none"/>
              </w:rPr>
            </w:pPr>
            <w:r>
              <w:rPr>
                <w:rFonts w:hint="eastAsia" w:cs="宋体"/>
                <w:color w:val="auto"/>
                <w:highlight w:val="none"/>
              </w:rPr>
              <w:t>其他要求</w:t>
            </w:r>
          </w:p>
        </w:tc>
        <w:tc>
          <w:tcPr>
            <w:tcW w:w="5714" w:type="dxa"/>
            <w:noWrap w:val="0"/>
            <w:vAlign w:val="center"/>
          </w:tcPr>
          <w:p>
            <w:pPr>
              <w:spacing w:line="360" w:lineRule="auto"/>
              <w:rPr>
                <w:color w:val="auto"/>
                <w:highlight w:val="none"/>
              </w:rPr>
            </w:pPr>
            <w:r>
              <w:rPr>
                <w:rFonts w:hint="eastAsia" w:cs="宋体"/>
                <w:color w:val="auto"/>
                <w:highlight w:val="none"/>
              </w:rPr>
              <w:t>符合第二章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第</w:t>
            </w:r>
            <w:r>
              <w:rPr>
                <w:color w:val="auto"/>
                <w:highlight w:val="none"/>
              </w:rPr>
              <w:t>1.4.1</w:t>
            </w:r>
            <w:r>
              <w:rPr>
                <w:rFonts w:hint="eastAsia" w:cs="宋体"/>
                <w:color w:val="auto"/>
                <w:highlight w:val="none"/>
              </w:rPr>
              <w:t>项规定且按规定提交了第二章</w:t>
            </w:r>
            <w:r>
              <w:rPr>
                <w:color w:val="auto"/>
                <w:highlight w:val="none"/>
              </w:rPr>
              <w:t>“</w:t>
            </w:r>
            <w:r>
              <w:rPr>
                <w:rFonts w:hint="eastAsia" w:cs="宋体"/>
                <w:color w:val="auto"/>
                <w:highlight w:val="none"/>
              </w:rPr>
              <w:t>投标人须知前附表</w:t>
            </w:r>
            <w:r>
              <w:rPr>
                <w:color w:val="auto"/>
                <w:highlight w:val="none"/>
              </w:rPr>
              <w:t>”3.1.</w:t>
            </w:r>
            <w:r>
              <w:rPr>
                <w:rFonts w:hint="eastAsia"/>
                <w:color w:val="auto"/>
                <w:highlight w:val="none"/>
                <w:lang w:val="en-US" w:eastAsia="zh-CN"/>
              </w:rPr>
              <w:t>3</w:t>
            </w:r>
            <w:r>
              <w:rPr>
                <w:rFonts w:hint="eastAsia" w:cs="宋体"/>
                <w:color w:val="auto"/>
                <w:highlight w:val="none"/>
              </w:rPr>
              <w:t>项资格审查部分（</w:t>
            </w:r>
            <w:r>
              <w:rPr>
                <w:rFonts w:hint="eastAsia"/>
                <w:color w:val="auto"/>
                <w:highlight w:val="none"/>
                <w:lang w:val="en-US" w:eastAsia="zh-CN"/>
              </w:rPr>
              <w:t>1</w:t>
            </w:r>
            <w:r>
              <w:rPr>
                <w:rFonts w:hint="eastAsia" w:cs="宋体"/>
                <w:color w:val="auto"/>
                <w:highlight w:val="none"/>
              </w:rPr>
              <w:t>）～（</w:t>
            </w:r>
            <w:r>
              <w:rPr>
                <w:rFonts w:hint="eastAsia"/>
                <w:color w:val="auto"/>
                <w:highlight w:val="none"/>
                <w:lang w:val="en-US" w:eastAsia="zh-CN"/>
              </w:rPr>
              <w:t>8</w:t>
            </w:r>
            <w:r>
              <w:rPr>
                <w:rFonts w:hint="eastAsia" w:cs="宋体"/>
                <w:color w:val="auto"/>
                <w:highlight w:val="none"/>
              </w:rPr>
              <w:t>）项内容的。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80" w:type="dxa"/>
            <w:vMerge w:val="restart"/>
            <w:noWrap w:val="0"/>
            <w:vAlign w:val="center"/>
          </w:tcPr>
          <w:p>
            <w:pPr>
              <w:spacing w:line="360" w:lineRule="auto"/>
              <w:jc w:val="center"/>
              <w:rPr>
                <w:color w:val="auto"/>
                <w:highlight w:val="none"/>
              </w:rPr>
            </w:pPr>
            <w:r>
              <w:rPr>
                <w:color w:val="auto"/>
                <w:highlight w:val="none"/>
              </w:rPr>
              <w:t>2.1.2</w:t>
            </w:r>
          </w:p>
        </w:tc>
        <w:tc>
          <w:tcPr>
            <w:tcW w:w="1077" w:type="dxa"/>
            <w:vMerge w:val="restart"/>
            <w:noWrap w:val="0"/>
            <w:vAlign w:val="center"/>
          </w:tcPr>
          <w:p>
            <w:pPr>
              <w:spacing w:line="360" w:lineRule="auto"/>
              <w:jc w:val="center"/>
              <w:rPr>
                <w:rFonts w:hint="eastAsia" w:eastAsia="宋体"/>
                <w:color w:val="auto"/>
                <w:highlight w:val="none"/>
                <w:lang w:eastAsia="zh-CN"/>
              </w:rPr>
            </w:pPr>
            <w:r>
              <w:rPr>
                <w:rFonts w:hint="eastAsia"/>
                <w:color w:val="auto"/>
                <w:highlight w:val="none"/>
                <w:lang w:eastAsia="zh-CN"/>
              </w:rPr>
              <w:t>符合性评审</w:t>
            </w:r>
          </w:p>
        </w:tc>
        <w:tc>
          <w:tcPr>
            <w:tcW w:w="8274" w:type="dxa"/>
            <w:gridSpan w:val="3"/>
            <w:noWrap w:val="0"/>
            <w:vAlign w:val="center"/>
          </w:tcPr>
          <w:p>
            <w:pPr>
              <w:rPr>
                <w:color w:val="auto"/>
                <w:highlight w:val="none"/>
              </w:rPr>
            </w:pPr>
            <w:r>
              <w:rPr>
                <w:rFonts w:hint="eastAsia" w:cs="宋体"/>
                <w:b/>
                <w:bCs/>
                <w:color w:val="auto"/>
                <w:highlight w:val="none"/>
              </w:rPr>
              <w:t>合格标准：缺少任何一项或有任何一项不合格者，其形式评审视为不合格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2560" w:type="dxa"/>
            <w:gridSpan w:val="2"/>
            <w:noWrap w:val="0"/>
            <w:vAlign w:val="center"/>
          </w:tcPr>
          <w:p>
            <w:pPr>
              <w:rPr>
                <w:color w:val="auto"/>
                <w:highlight w:val="none"/>
              </w:rPr>
            </w:pPr>
            <w:r>
              <w:rPr>
                <w:rFonts w:hint="eastAsia" w:cs="宋体"/>
                <w:color w:val="auto"/>
                <w:highlight w:val="none"/>
              </w:rPr>
              <w:t>投标人名称</w:t>
            </w:r>
          </w:p>
        </w:tc>
        <w:tc>
          <w:tcPr>
            <w:tcW w:w="5714" w:type="dxa"/>
            <w:noWrap w:val="0"/>
            <w:vAlign w:val="center"/>
          </w:tcPr>
          <w:p>
            <w:pPr>
              <w:rPr>
                <w:color w:val="auto"/>
                <w:highlight w:val="none"/>
              </w:rPr>
            </w:pPr>
            <w:r>
              <w:rPr>
                <w:rFonts w:hint="eastAsia" w:cs="宋体"/>
                <w:color w:val="auto"/>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2560" w:type="dxa"/>
            <w:gridSpan w:val="2"/>
            <w:noWrap w:val="0"/>
            <w:vAlign w:val="center"/>
          </w:tcPr>
          <w:p>
            <w:pPr>
              <w:rPr>
                <w:color w:val="auto"/>
                <w:highlight w:val="none"/>
              </w:rPr>
            </w:pPr>
            <w:r>
              <w:rPr>
                <w:rFonts w:hint="eastAsia" w:cs="宋体"/>
                <w:color w:val="auto"/>
                <w:highlight w:val="none"/>
              </w:rPr>
              <w:t>投标函签字盖章</w:t>
            </w:r>
          </w:p>
        </w:tc>
        <w:tc>
          <w:tcPr>
            <w:tcW w:w="5714" w:type="dxa"/>
            <w:noWrap w:val="0"/>
            <w:vAlign w:val="center"/>
          </w:tcPr>
          <w:p>
            <w:pPr>
              <w:spacing w:line="360" w:lineRule="auto"/>
              <w:rPr>
                <w:rFonts w:hint="eastAsia" w:eastAsia="宋体"/>
                <w:color w:val="auto"/>
                <w:highlight w:val="none"/>
                <w:lang w:eastAsia="zh-CN"/>
              </w:rPr>
            </w:pPr>
            <w:r>
              <w:rPr>
                <w:rFonts w:hint="eastAsia" w:cs="宋体"/>
                <w:color w:val="auto"/>
                <w:highlight w:val="none"/>
              </w:rPr>
              <w:t>法定代表人签字或盖章及</w:t>
            </w:r>
            <w:r>
              <w:rPr>
                <w:rFonts w:hint="eastAsia" w:cs="宋体"/>
                <w:color w:val="auto"/>
                <w:highlight w:val="none"/>
                <w:lang w:val="en-US" w:eastAsia="zh-CN"/>
              </w:rPr>
              <w:t>盖</w:t>
            </w:r>
            <w:r>
              <w:rPr>
                <w:rFonts w:hint="eastAsia" w:cs="宋体"/>
                <w:color w:val="auto"/>
                <w:highlight w:val="none"/>
              </w:rPr>
              <w:t>单位</w:t>
            </w:r>
            <w:r>
              <w:rPr>
                <w:rFonts w:hint="eastAsia" w:cs="宋体"/>
                <w:color w:val="auto"/>
                <w:highlight w:val="none"/>
                <w:lang w:val="en-US" w:eastAsia="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2560" w:type="dxa"/>
            <w:gridSpan w:val="2"/>
            <w:noWrap w:val="0"/>
            <w:vAlign w:val="center"/>
          </w:tcPr>
          <w:p>
            <w:pPr>
              <w:rPr>
                <w:color w:val="auto"/>
                <w:highlight w:val="none"/>
              </w:rPr>
            </w:pPr>
            <w:r>
              <w:rPr>
                <w:rFonts w:hint="eastAsia" w:cs="宋体"/>
                <w:color w:val="auto"/>
                <w:highlight w:val="none"/>
              </w:rPr>
              <w:t>投标文件格式</w:t>
            </w:r>
          </w:p>
        </w:tc>
        <w:tc>
          <w:tcPr>
            <w:tcW w:w="5714" w:type="dxa"/>
            <w:noWrap w:val="0"/>
            <w:vAlign w:val="center"/>
          </w:tcPr>
          <w:p>
            <w:pPr>
              <w:rPr>
                <w:color w:val="auto"/>
                <w:highlight w:val="none"/>
              </w:rPr>
            </w:pPr>
            <w:r>
              <w:rPr>
                <w:rFonts w:hint="eastAsia" w:cs="宋体"/>
                <w:color w:val="auto"/>
                <w:highlight w:val="none"/>
              </w:rPr>
              <w:t>符合第</w:t>
            </w:r>
            <w:r>
              <w:rPr>
                <w:rFonts w:hint="eastAsia" w:cs="宋体"/>
                <w:color w:val="auto"/>
                <w:highlight w:val="none"/>
                <w:lang w:eastAsia="zh-CN"/>
              </w:rPr>
              <w:t>八</w:t>
            </w:r>
            <w:r>
              <w:rPr>
                <w:rFonts w:hint="eastAsia" w:cs="宋体"/>
                <w:color w:val="auto"/>
                <w:highlight w:val="none"/>
              </w:rPr>
              <w:t>章</w:t>
            </w:r>
            <w:r>
              <w:rPr>
                <w:color w:val="auto"/>
                <w:highlight w:val="none"/>
              </w:rPr>
              <w:t>“</w:t>
            </w:r>
            <w:r>
              <w:rPr>
                <w:rFonts w:hint="eastAsia" w:cs="宋体"/>
                <w:color w:val="auto"/>
                <w:highlight w:val="none"/>
              </w:rPr>
              <w:t>投标文件格式</w:t>
            </w:r>
            <w:r>
              <w:rPr>
                <w:color w:val="auto"/>
                <w:highlight w:val="none"/>
              </w:rPr>
              <w:t>”</w:t>
            </w:r>
            <w:r>
              <w:rPr>
                <w:rFonts w:hint="eastAsia" w:cs="宋体"/>
                <w:color w:val="auto"/>
                <w:highlight w:val="none"/>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2560" w:type="dxa"/>
            <w:gridSpan w:val="2"/>
            <w:noWrap w:val="0"/>
            <w:vAlign w:val="center"/>
          </w:tcPr>
          <w:p>
            <w:pPr>
              <w:spacing w:line="360" w:lineRule="auto"/>
              <w:rPr>
                <w:color w:val="auto"/>
                <w:highlight w:val="none"/>
              </w:rPr>
            </w:pPr>
            <w:r>
              <w:rPr>
                <w:rFonts w:hint="eastAsia" w:cs="宋体"/>
                <w:color w:val="auto"/>
                <w:highlight w:val="none"/>
              </w:rPr>
              <w:t>报价唯一</w:t>
            </w:r>
          </w:p>
        </w:tc>
        <w:tc>
          <w:tcPr>
            <w:tcW w:w="5714" w:type="dxa"/>
            <w:noWrap w:val="0"/>
            <w:vAlign w:val="center"/>
          </w:tcPr>
          <w:p>
            <w:pPr>
              <w:spacing w:line="360" w:lineRule="auto"/>
              <w:rPr>
                <w:color w:val="auto"/>
                <w:highlight w:val="none"/>
              </w:rPr>
            </w:pPr>
            <w:r>
              <w:rPr>
                <w:rFonts w:hint="eastAsia" w:cs="宋体"/>
                <w:color w:val="auto"/>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2560" w:type="dxa"/>
            <w:gridSpan w:val="2"/>
            <w:noWrap w:val="0"/>
            <w:vAlign w:val="center"/>
          </w:tcPr>
          <w:p>
            <w:pPr>
              <w:spacing w:line="360" w:lineRule="auto"/>
              <w:rPr>
                <w:color w:val="auto"/>
                <w:highlight w:val="none"/>
              </w:rPr>
            </w:pPr>
            <w:r>
              <w:rPr>
                <w:rFonts w:hint="eastAsia" w:cs="宋体"/>
                <w:color w:val="auto"/>
                <w:highlight w:val="none"/>
              </w:rPr>
              <w:t>投标内容</w:t>
            </w:r>
          </w:p>
        </w:tc>
        <w:tc>
          <w:tcPr>
            <w:tcW w:w="5714" w:type="dxa"/>
            <w:noWrap w:val="0"/>
            <w:vAlign w:val="center"/>
          </w:tcPr>
          <w:p>
            <w:pPr>
              <w:spacing w:line="360" w:lineRule="auto"/>
              <w:rPr>
                <w:color w:val="auto"/>
                <w:highlight w:val="none"/>
              </w:rPr>
            </w:pPr>
            <w:r>
              <w:rPr>
                <w:rFonts w:hint="eastAsia" w:cs="宋体"/>
                <w:color w:val="auto"/>
                <w:highlight w:val="none"/>
              </w:rPr>
              <w:t>符合第二章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第</w:t>
            </w:r>
            <w:r>
              <w:rPr>
                <w:color w:val="auto"/>
                <w:highlight w:val="none"/>
              </w:rPr>
              <w:t>1.3.1</w:t>
            </w:r>
            <w:r>
              <w:rPr>
                <w:rFonts w:hint="eastAsia" w:cs="宋体"/>
                <w:color w:val="auto"/>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2560" w:type="dxa"/>
            <w:gridSpan w:val="2"/>
            <w:noWrap w:val="0"/>
            <w:vAlign w:val="center"/>
          </w:tcPr>
          <w:p>
            <w:pPr>
              <w:spacing w:line="360" w:lineRule="auto"/>
              <w:rPr>
                <w:color w:val="auto"/>
                <w:highlight w:val="none"/>
              </w:rPr>
            </w:pPr>
            <w:r>
              <w:rPr>
                <w:rFonts w:hint="eastAsia" w:cs="宋体"/>
                <w:color w:val="auto"/>
                <w:highlight w:val="none"/>
              </w:rPr>
              <w:t>工期</w:t>
            </w:r>
          </w:p>
        </w:tc>
        <w:tc>
          <w:tcPr>
            <w:tcW w:w="5714" w:type="dxa"/>
            <w:noWrap w:val="0"/>
            <w:vAlign w:val="center"/>
          </w:tcPr>
          <w:p>
            <w:pPr>
              <w:spacing w:line="360" w:lineRule="auto"/>
              <w:rPr>
                <w:color w:val="auto"/>
                <w:highlight w:val="none"/>
              </w:rPr>
            </w:pPr>
            <w:r>
              <w:rPr>
                <w:rFonts w:hint="eastAsia" w:cs="宋体"/>
                <w:color w:val="auto"/>
                <w:highlight w:val="none"/>
              </w:rPr>
              <w:t>符合第二章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第</w:t>
            </w:r>
            <w:r>
              <w:rPr>
                <w:color w:val="auto"/>
                <w:highlight w:val="none"/>
              </w:rPr>
              <w:t>1.3.2</w:t>
            </w:r>
            <w:r>
              <w:rPr>
                <w:rFonts w:hint="eastAsia" w:cs="宋体"/>
                <w:color w:val="auto"/>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2560" w:type="dxa"/>
            <w:gridSpan w:val="2"/>
            <w:noWrap w:val="0"/>
            <w:vAlign w:val="center"/>
          </w:tcPr>
          <w:p>
            <w:pPr>
              <w:spacing w:line="360" w:lineRule="auto"/>
              <w:rPr>
                <w:color w:val="auto"/>
                <w:highlight w:val="none"/>
              </w:rPr>
            </w:pPr>
            <w:r>
              <w:rPr>
                <w:rFonts w:hint="eastAsia" w:cs="宋体"/>
                <w:color w:val="auto"/>
                <w:highlight w:val="none"/>
              </w:rPr>
              <w:t>工程质量</w:t>
            </w:r>
          </w:p>
        </w:tc>
        <w:tc>
          <w:tcPr>
            <w:tcW w:w="5714" w:type="dxa"/>
            <w:noWrap w:val="0"/>
            <w:vAlign w:val="center"/>
          </w:tcPr>
          <w:p>
            <w:pPr>
              <w:spacing w:line="360" w:lineRule="auto"/>
              <w:rPr>
                <w:color w:val="auto"/>
                <w:highlight w:val="none"/>
              </w:rPr>
            </w:pPr>
            <w:r>
              <w:rPr>
                <w:rFonts w:hint="eastAsia" w:cs="宋体"/>
                <w:color w:val="auto"/>
                <w:highlight w:val="none"/>
              </w:rPr>
              <w:t>符合第二章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第</w:t>
            </w:r>
            <w:r>
              <w:rPr>
                <w:color w:val="auto"/>
                <w:highlight w:val="none"/>
              </w:rPr>
              <w:t>1.3.3</w:t>
            </w:r>
            <w:r>
              <w:rPr>
                <w:rFonts w:hint="eastAsia" w:cs="宋体"/>
                <w:color w:val="auto"/>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2560" w:type="dxa"/>
            <w:gridSpan w:val="2"/>
            <w:noWrap w:val="0"/>
            <w:vAlign w:val="center"/>
          </w:tcPr>
          <w:p>
            <w:pPr>
              <w:spacing w:line="360" w:lineRule="auto"/>
              <w:rPr>
                <w:color w:val="auto"/>
                <w:highlight w:val="none"/>
              </w:rPr>
            </w:pPr>
            <w:r>
              <w:rPr>
                <w:rFonts w:hint="eastAsia" w:cs="宋体"/>
                <w:color w:val="auto"/>
                <w:highlight w:val="none"/>
              </w:rPr>
              <w:t>投标有效期</w:t>
            </w:r>
          </w:p>
        </w:tc>
        <w:tc>
          <w:tcPr>
            <w:tcW w:w="5714" w:type="dxa"/>
            <w:noWrap w:val="0"/>
            <w:vAlign w:val="center"/>
          </w:tcPr>
          <w:p>
            <w:pPr>
              <w:spacing w:line="360" w:lineRule="auto"/>
              <w:rPr>
                <w:color w:val="auto"/>
                <w:highlight w:val="none"/>
              </w:rPr>
            </w:pPr>
            <w:r>
              <w:rPr>
                <w:rFonts w:hint="eastAsia" w:cs="宋体"/>
                <w:color w:val="auto"/>
                <w:highlight w:val="none"/>
              </w:rPr>
              <w:t>符合第二章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第</w:t>
            </w:r>
            <w:r>
              <w:rPr>
                <w:color w:val="auto"/>
                <w:highlight w:val="none"/>
              </w:rPr>
              <w:t>3.3.1</w:t>
            </w:r>
            <w:r>
              <w:rPr>
                <w:rFonts w:hint="eastAsia" w:cs="宋体"/>
                <w:color w:val="auto"/>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2560" w:type="dxa"/>
            <w:gridSpan w:val="2"/>
            <w:noWrap w:val="0"/>
            <w:vAlign w:val="center"/>
          </w:tcPr>
          <w:p>
            <w:pPr>
              <w:spacing w:line="360" w:lineRule="auto"/>
              <w:rPr>
                <w:color w:val="auto"/>
                <w:highlight w:val="none"/>
              </w:rPr>
            </w:pPr>
            <w:r>
              <w:rPr>
                <w:rFonts w:hint="eastAsia" w:cs="宋体"/>
                <w:color w:val="auto"/>
                <w:highlight w:val="none"/>
              </w:rPr>
              <w:t>权利义务</w:t>
            </w:r>
          </w:p>
        </w:tc>
        <w:tc>
          <w:tcPr>
            <w:tcW w:w="5714" w:type="dxa"/>
            <w:noWrap w:val="0"/>
            <w:vAlign w:val="center"/>
          </w:tcPr>
          <w:p>
            <w:pPr>
              <w:spacing w:line="360" w:lineRule="auto"/>
              <w:rPr>
                <w:color w:val="auto"/>
                <w:highlight w:val="none"/>
              </w:rPr>
            </w:pPr>
            <w:r>
              <w:rPr>
                <w:rFonts w:hint="eastAsia" w:cs="宋体"/>
                <w:color w:val="auto"/>
                <w:highlight w:val="none"/>
              </w:rPr>
              <w:t>投标函附录中的相关承诺符合或优于第四章</w:t>
            </w:r>
            <w:r>
              <w:rPr>
                <w:color w:val="auto"/>
                <w:highlight w:val="none"/>
              </w:rPr>
              <w:t>“</w:t>
            </w:r>
            <w:r>
              <w:rPr>
                <w:rFonts w:hint="eastAsia" w:cs="宋体"/>
                <w:color w:val="auto"/>
                <w:highlight w:val="none"/>
              </w:rPr>
              <w:t>合同条款及格式</w:t>
            </w:r>
            <w:r>
              <w:rPr>
                <w:color w:val="auto"/>
                <w:highlight w:val="none"/>
              </w:rPr>
              <w:t>”</w:t>
            </w:r>
            <w:r>
              <w:rPr>
                <w:rFonts w:hint="eastAsia" w:cs="宋体"/>
                <w:color w:val="auto"/>
                <w:highlight w:val="none"/>
              </w:rPr>
              <w:t>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2560" w:type="dxa"/>
            <w:gridSpan w:val="2"/>
            <w:noWrap w:val="0"/>
            <w:vAlign w:val="center"/>
          </w:tcPr>
          <w:p>
            <w:pPr>
              <w:spacing w:line="360" w:lineRule="auto"/>
              <w:rPr>
                <w:color w:val="auto"/>
                <w:highlight w:val="none"/>
              </w:rPr>
            </w:pPr>
            <w:r>
              <w:rPr>
                <w:rFonts w:hint="eastAsia" w:cs="宋体"/>
                <w:color w:val="auto"/>
                <w:highlight w:val="none"/>
              </w:rPr>
              <w:t>技术标准和要求</w:t>
            </w:r>
          </w:p>
        </w:tc>
        <w:tc>
          <w:tcPr>
            <w:tcW w:w="5714" w:type="dxa"/>
            <w:noWrap w:val="0"/>
            <w:vAlign w:val="center"/>
          </w:tcPr>
          <w:p>
            <w:pPr>
              <w:spacing w:line="360" w:lineRule="auto"/>
              <w:rPr>
                <w:color w:val="auto"/>
                <w:highlight w:val="none"/>
              </w:rPr>
            </w:pPr>
            <w:r>
              <w:rPr>
                <w:rFonts w:hint="eastAsia" w:cs="宋体"/>
                <w:color w:val="auto"/>
                <w:highlight w:val="none"/>
              </w:rPr>
              <w:t>符合第</w:t>
            </w:r>
            <w:r>
              <w:rPr>
                <w:rFonts w:hint="eastAsia" w:cs="宋体"/>
                <w:color w:val="auto"/>
                <w:highlight w:val="none"/>
                <w:lang w:eastAsia="zh-CN"/>
              </w:rPr>
              <w:t>七</w:t>
            </w:r>
            <w:r>
              <w:rPr>
                <w:rFonts w:hint="eastAsia" w:cs="宋体"/>
                <w:color w:val="auto"/>
                <w:highlight w:val="none"/>
              </w:rPr>
              <w:t>章</w:t>
            </w:r>
            <w:r>
              <w:rPr>
                <w:color w:val="auto"/>
                <w:highlight w:val="none"/>
              </w:rPr>
              <w:t xml:space="preserve"> “</w:t>
            </w:r>
            <w:r>
              <w:rPr>
                <w:rFonts w:hint="eastAsia" w:cs="宋体"/>
                <w:color w:val="auto"/>
                <w:highlight w:val="none"/>
              </w:rPr>
              <w:t>技术标准和要求</w:t>
            </w:r>
            <w:r>
              <w:rPr>
                <w:color w:val="auto"/>
                <w:highlight w:val="none"/>
              </w:rPr>
              <w:t>”</w:t>
            </w:r>
            <w:r>
              <w:rPr>
                <w:rFonts w:hint="eastAsia" w:cs="宋体"/>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2560" w:type="dxa"/>
            <w:gridSpan w:val="2"/>
            <w:noWrap w:val="0"/>
            <w:vAlign w:val="center"/>
          </w:tcPr>
          <w:p>
            <w:pPr>
              <w:spacing w:line="360" w:lineRule="auto"/>
              <w:rPr>
                <w:color w:val="auto"/>
                <w:highlight w:val="none"/>
              </w:rPr>
            </w:pPr>
            <w:r>
              <w:rPr>
                <w:rFonts w:hint="eastAsia" w:cs="宋体"/>
                <w:color w:val="auto"/>
                <w:highlight w:val="none"/>
              </w:rPr>
              <w:t>投标价格</w:t>
            </w:r>
          </w:p>
        </w:tc>
        <w:tc>
          <w:tcPr>
            <w:tcW w:w="5714" w:type="dxa"/>
            <w:noWrap w:val="0"/>
            <w:vAlign w:val="center"/>
          </w:tcPr>
          <w:p>
            <w:pPr>
              <w:rPr>
                <w:color w:val="auto"/>
                <w:highlight w:val="none"/>
              </w:rPr>
            </w:pPr>
            <w:r>
              <w:rPr>
                <w:rFonts w:hint="eastAsia" w:cs="宋体"/>
                <w:color w:val="auto"/>
                <w:highlight w:val="none"/>
              </w:rPr>
              <w:t>低于（含等于）招标人公布的招标控制价且无本章附件</w:t>
            </w:r>
            <w:r>
              <w:rPr>
                <w:color w:val="auto"/>
                <w:highlight w:val="none"/>
              </w:rPr>
              <w:t>B</w:t>
            </w:r>
            <w:r>
              <w:rPr>
                <w:rFonts w:hint="eastAsia" w:cs="宋体"/>
                <w:color w:val="auto"/>
                <w:highlight w:val="none"/>
              </w:rPr>
              <w:t>否决投标条件的相应情况的。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2560" w:type="dxa"/>
            <w:gridSpan w:val="2"/>
            <w:noWrap w:val="0"/>
            <w:vAlign w:val="center"/>
          </w:tcPr>
          <w:p>
            <w:pPr>
              <w:spacing w:line="360" w:lineRule="auto"/>
              <w:rPr>
                <w:color w:val="auto"/>
                <w:highlight w:val="none"/>
              </w:rPr>
            </w:pPr>
            <w:r>
              <w:rPr>
                <w:rFonts w:hint="eastAsia" w:cs="宋体"/>
                <w:color w:val="auto"/>
                <w:highlight w:val="none"/>
              </w:rPr>
              <w:t>分包计划</w:t>
            </w:r>
          </w:p>
        </w:tc>
        <w:tc>
          <w:tcPr>
            <w:tcW w:w="5714" w:type="dxa"/>
            <w:noWrap w:val="0"/>
            <w:vAlign w:val="center"/>
          </w:tcPr>
          <w:p>
            <w:pPr>
              <w:spacing w:line="360" w:lineRule="auto"/>
              <w:rPr>
                <w:color w:val="auto"/>
                <w:highlight w:val="none"/>
              </w:rPr>
            </w:pPr>
            <w:r>
              <w:rPr>
                <w:rFonts w:hint="eastAsia" w:cs="宋体"/>
                <w:color w:val="auto"/>
                <w:highlight w:val="none"/>
              </w:rPr>
              <w:t>符合第二章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第</w:t>
            </w:r>
            <w:r>
              <w:rPr>
                <w:color w:val="auto"/>
                <w:highlight w:val="none"/>
              </w:rPr>
              <w:t>1.11</w:t>
            </w:r>
            <w:r>
              <w:rPr>
                <w:rFonts w:hint="eastAsia" w:cs="宋体"/>
                <w:color w:val="auto"/>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2560" w:type="dxa"/>
            <w:gridSpan w:val="2"/>
            <w:noWrap w:val="0"/>
            <w:vAlign w:val="center"/>
          </w:tcPr>
          <w:p>
            <w:pPr>
              <w:spacing w:line="360" w:lineRule="auto"/>
              <w:rPr>
                <w:color w:val="auto"/>
                <w:highlight w:val="none"/>
              </w:rPr>
            </w:pPr>
            <w:r>
              <w:rPr>
                <w:rFonts w:hint="eastAsia" w:cs="宋体"/>
                <w:color w:val="auto"/>
                <w:highlight w:val="none"/>
              </w:rPr>
              <w:t>已标价工程量清单</w:t>
            </w:r>
          </w:p>
        </w:tc>
        <w:tc>
          <w:tcPr>
            <w:tcW w:w="5714" w:type="dxa"/>
            <w:noWrap w:val="0"/>
            <w:vAlign w:val="center"/>
          </w:tcPr>
          <w:p>
            <w:pPr>
              <w:spacing w:line="360" w:lineRule="auto"/>
              <w:rPr>
                <w:color w:val="auto"/>
                <w:highlight w:val="none"/>
              </w:rPr>
            </w:pPr>
            <w:r>
              <w:rPr>
                <w:rFonts w:hint="eastAsia" w:cs="宋体"/>
                <w:color w:val="auto"/>
                <w:highlight w:val="none"/>
              </w:rPr>
              <w:t>符合第五章</w:t>
            </w:r>
            <w:r>
              <w:rPr>
                <w:color w:val="auto"/>
                <w:highlight w:val="none"/>
              </w:rPr>
              <w:t>“</w:t>
            </w:r>
            <w:r>
              <w:rPr>
                <w:rFonts w:hint="eastAsia" w:cs="宋体"/>
                <w:color w:val="auto"/>
                <w:highlight w:val="none"/>
              </w:rPr>
              <w:t>工程量清单</w:t>
            </w:r>
            <w:r>
              <w:rPr>
                <w:color w:val="auto"/>
                <w:highlight w:val="none"/>
              </w:rPr>
              <w:t>”</w:t>
            </w:r>
            <w:r>
              <w:rPr>
                <w:rFonts w:hint="eastAsia" w:cs="宋体"/>
                <w:color w:val="auto"/>
                <w:highlight w:val="none"/>
              </w:rPr>
              <w:t>的编制要求且无本章附件</w:t>
            </w:r>
            <w:r>
              <w:rPr>
                <w:color w:val="auto"/>
                <w:highlight w:val="none"/>
              </w:rPr>
              <w:t>B</w:t>
            </w:r>
            <w:r>
              <w:rPr>
                <w:rFonts w:hint="eastAsia" w:cs="宋体"/>
                <w:color w:val="auto"/>
                <w:highlight w:val="none"/>
              </w:rPr>
              <w:t>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80" w:type="dxa"/>
            <w:noWrap w:val="0"/>
            <w:vAlign w:val="center"/>
          </w:tcPr>
          <w:p>
            <w:pPr>
              <w:spacing w:line="360" w:lineRule="auto"/>
              <w:jc w:val="center"/>
              <w:rPr>
                <w:color w:val="auto"/>
                <w:highlight w:val="none"/>
              </w:rPr>
            </w:pPr>
            <w:r>
              <w:rPr>
                <w:color w:val="auto"/>
                <w:highlight w:val="none"/>
              </w:rPr>
              <w:t>2.2</w:t>
            </w:r>
          </w:p>
        </w:tc>
        <w:tc>
          <w:tcPr>
            <w:tcW w:w="1077" w:type="dxa"/>
            <w:noWrap w:val="0"/>
            <w:vAlign w:val="center"/>
          </w:tcPr>
          <w:p>
            <w:pPr>
              <w:spacing w:line="360" w:lineRule="auto"/>
              <w:jc w:val="center"/>
              <w:rPr>
                <w:color w:val="auto"/>
                <w:highlight w:val="none"/>
              </w:rPr>
            </w:pPr>
            <w:r>
              <w:rPr>
                <w:rFonts w:hint="eastAsia" w:cs="宋体"/>
                <w:color w:val="auto"/>
                <w:highlight w:val="none"/>
              </w:rPr>
              <w:t>详细评审</w:t>
            </w:r>
          </w:p>
        </w:tc>
        <w:tc>
          <w:tcPr>
            <w:tcW w:w="8274" w:type="dxa"/>
            <w:gridSpan w:val="3"/>
            <w:noWrap w:val="0"/>
            <w:vAlign w:val="center"/>
          </w:tcPr>
          <w:p>
            <w:pPr>
              <w:spacing w:line="360" w:lineRule="auto"/>
              <w:rPr>
                <w:color w:val="auto"/>
                <w:highlight w:val="none"/>
              </w:rPr>
            </w:pPr>
            <w:r>
              <w:rPr>
                <w:rFonts w:hint="eastAsia" w:cs="宋体"/>
                <w:color w:val="auto"/>
                <w:highlight w:val="none"/>
              </w:rPr>
              <w:t>通过资格审查的合格投标人，只有</w:t>
            </w:r>
            <w:r>
              <w:rPr>
                <w:rFonts w:hint="eastAsia" w:cs="宋体"/>
                <w:color w:val="auto"/>
                <w:highlight w:val="none"/>
                <w:lang w:eastAsia="zh-CN"/>
              </w:rPr>
              <w:t>符合性</w:t>
            </w:r>
            <w:r>
              <w:rPr>
                <w:rFonts w:hint="eastAsia" w:cs="宋体"/>
                <w:color w:val="auto"/>
                <w:highlight w:val="none"/>
              </w:rPr>
              <w:t>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780" w:type="dxa"/>
            <w:noWrap w:val="0"/>
            <w:vAlign w:val="center"/>
          </w:tcPr>
          <w:p>
            <w:pPr>
              <w:spacing w:line="360" w:lineRule="auto"/>
              <w:jc w:val="center"/>
              <w:rPr>
                <w:color w:val="auto"/>
                <w:highlight w:val="none"/>
              </w:rPr>
            </w:pPr>
            <w:r>
              <w:rPr>
                <w:color w:val="auto"/>
                <w:highlight w:val="none"/>
              </w:rPr>
              <w:t>2.2.1</w:t>
            </w:r>
          </w:p>
        </w:tc>
        <w:tc>
          <w:tcPr>
            <w:tcW w:w="1077" w:type="dxa"/>
            <w:noWrap w:val="0"/>
            <w:vAlign w:val="center"/>
          </w:tcPr>
          <w:p>
            <w:pPr>
              <w:spacing w:line="360" w:lineRule="auto"/>
              <w:jc w:val="center"/>
              <w:rPr>
                <w:color w:val="auto"/>
                <w:highlight w:val="none"/>
              </w:rPr>
            </w:pPr>
            <w:r>
              <w:rPr>
                <w:rFonts w:hint="eastAsia" w:cs="宋体"/>
                <w:color w:val="auto"/>
                <w:highlight w:val="none"/>
              </w:rPr>
              <w:t>分值构成</w:t>
            </w:r>
          </w:p>
        </w:tc>
        <w:tc>
          <w:tcPr>
            <w:tcW w:w="2560" w:type="dxa"/>
            <w:gridSpan w:val="2"/>
            <w:noWrap w:val="0"/>
            <w:vAlign w:val="center"/>
          </w:tcPr>
          <w:p>
            <w:pPr>
              <w:spacing w:line="360" w:lineRule="auto"/>
              <w:ind w:firstLine="630" w:firstLineChars="300"/>
              <w:rPr>
                <w:color w:val="auto"/>
                <w:highlight w:val="none"/>
              </w:rPr>
            </w:pPr>
            <w:r>
              <w:rPr>
                <w:rFonts w:hint="eastAsia" w:cs="宋体"/>
                <w:color w:val="auto"/>
                <w:highlight w:val="none"/>
              </w:rPr>
              <w:t>分值权重构成</w:t>
            </w:r>
          </w:p>
          <w:p>
            <w:pPr>
              <w:spacing w:line="360" w:lineRule="auto"/>
              <w:jc w:val="center"/>
              <w:rPr>
                <w:color w:val="auto"/>
                <w:highlight w:val="none"/>
              </w:rPr>
            </w:pPr>
            <w:r>
              <w:rPr>
                <w:rFonts w:hint="eastAsia" w:cs="宋体"/>
                <w:color w:val="auto"/>
                <w:highlight w:val="none"/>
              </w:rPr>
              <w:t>（100%）</w:t>
            </w:r>
          </w:p>
        </w:tc>
        <w:tc>
          <w:tcPr>
            <w:tcW w:w="5714" w:type="dxa"/>
            <w:noWrap w:val="0"/>
            <w:vAlign w:val="center"/>
          </w:tcPr>
          <w:p>
            <w:pPr>
              <w:spacing w:line="360" w:lineRule="auto"/>
              <w:rPr>
                <w:color w:val="auto"/>
                <w:highlight w:val="none"/>
              </w:rPr>
            </w:pPr>
            <w:r>
              <w:rPr>
                <w:rFonts w:hint="eastAsia" w:cs="宋体"/>
                <w:color w:val="auto"/>
                <w:highlight w:val="none"/>
              </w:rPr>
              <w:t>（1）技术标分值权重：</w:t>
            </w:r>
            <w:r>
              <w:rPr>
                <w:rFonts w:hint="eastAsia" w:cs="宋体"/>
                <w:color w:val="auto"/>
                <w:highlight w:val="none"/>
                <w:lang w:val="en-US" w:eastAsia="zh-CN"/>
              </w:rPr>
              <w:t>3</w:t>
            </w:r>
            <w:r>
              <w:rPr>
                <w:color w:val="auto"/>
                <w:highlight w:val="none"/>
                <w:u w:val="single"/>
              </w:rPr>
              <w:t>5</w:t>
            </w:r>
            <w:r>
              <w:rPr>
                <w:rFonts w:hint="eastAsia" w:cs="宋体"/>
                <w:color w:val="auto"/>
                <w:highlight w:val="none"/>
                <w:u w:val="single"/>
              </w:rPr>
              <w:t>%</w:t>
            </w:r>
          </w:p>
          <w:p>
            <w:pPr>
              <w:spacing w:line="360" w:lineRule="auto"/>
              <w:rPr>
                <w:rFonts w:hint="eastAsia"/>
                <w:color w:val="auto"/>
                <w:highlight w:val="none"/>
                <w:u w:val="single"/>
              </w:rPr>
            </w:pPr>
            <w:r>
              <w:rPr>
                <w:rFonts w:hint="eastAsia" w:cs="宋体"/>
                <w:color w:val="auto"/>
                <w:highlight w:val="none"/>
              </w:rPr>
              <w:t>（2）</w:t>
            </w:r>
            <w:r>
              <w:rPr>
                <w:rFonts w:hint="eastAsia" w:ascii="宋体" w:hAnsi="宋体" w:cs="宋体"/>
                <w:color w:val="auto"/>
                <w:highlight w:val="none"/>
              </w:rPr>
              <w:t>商务标分值权重：</w:t>
            </w:r>
            <w:r>
              <w:rPr>
                <w:rFonts w:hint="eastAsia"/>
                <w:color w:val="auto"/>
                <w:highlight w:val="none"/>
                <w:u w:val="single"/>
              </w:rPr>
              <w:t>65%</w:t>
            </w:r>
          </w:p>
          <w:p>
            <w:pPr>
              <w:spacing w:line="360" w:lineRule="auto"/>
              <w:ind w:left="34" w:firstLine="424" w:firstLineChars="202"/>
              <w:rPr>
                <w:rFonts w:hint="eastAsia" w:ascii="宋体" w:hAnsi="宋体" w:cs="宋体"/>
                <w:color w:val="auto"/>
                <w:highlight w:val="none"/>
              </w:rPr>
            </w:pPr>
            <w:r>
              <w:rPr>
                <w:rFonts w:hint="eastAsia" w:ascii="宋体" w:hAnsi="宋体" w:cs="宋体"/>
                <w:color w:val="auto"/>
                <w:highlight w:val="none"/>
              </w:rPr>
              <w:t>商务标分值权重 = 企业信誉实力分分值权重+ 报价分分值权重</w:t>
            </w:r>
          </w:p>
          <w:p>
            <w:pPr>
              <w:spacing w:line="360" w:lineRule="auto"/>
              <w:ind w:left="34" w:firstLine="384" w:firstLineChars="183"/>
              <w:rPr>
                <w:rFonts w:hint="default" w:eastAsia="宋体"/>
                <w:color w:val="auto"/>
                <w:highlight w:val="none"/>
                <w:lang w:val="en-US" w:eastAsia="zh-CN"/>
              </w:rPr>
            </w:pPr>
            <w:r>
              <w:rPr>
                <w:rFonts w:hint="eastAsia" w:ascii="宋体" w:hAnsi="宋体" w:cs="宋体"/>
                <w:color w:val="auto"/>
                <w:highlight w:val="none"/>
              </w:rPr>
              <w:t>企业信誉实力分分值</w:t>
            </w:r>
            <w:r>
              <w:rPr>
                <w:rFonts w:hint="eastAsia" w:ascii="宋体" w:hAnsi="宋体" w:cs="宋体"/>
                <w:color w:val="auto"/>
                <w:highlight w:val="none"/>
                <w:lang w:eastAsia="zh-CN"/>
              </w:rPr>
              <w:t>权重为</w:t>
            </w:r>
            <w:r>
              <w:rPr>
                <w:rFonts w:hint="eastAsia" w:ascii="宋体" w:hAnsi="宋体" w:cs="宋体"/>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0" w:type="dxa"/>
            <w:vMerge w:val="restart"/>
            <w:noWrap w:val="0"/>
            <w:vAlign w:val="center"/>
          </w:tcPr>
          <w:p>
            <w:pPr>
              <w:spacing w:line="360" w:lineRule="auto"/>
              <w:jc w:val="center"/>
              <w:rPr>
                <w:color w:val="auto"/>
                <w:highlight w:val="none"/>
              </w:rPr>
            </w:pPr>
            <w:r>
              <w:rPr>
                <w:color w:val="auto"/>
                <w:highlight w:val="none"/>
              </w:rPr>
              <w:t>2.2.2</w:t>
            </w:r>
            <w:r>
              <w:rPr>
                <w:rFonts w:hint="eastAsia" w:cs="宋体"/>
                <w:color w:val="auto"/>
                <w:highlight w:val="none"/>
              </w:rPr>
              <w:t>（</w:t>
            </w:r>
            <w:r>
              <w:rPr>
                <w:color w:val="auto"/>
                <w:highlight w:val="none"/>
              </w:rPr>
              <w:t>1</w:t>
            </w:r>
            <w:r>
              <w:rPr>
                <w:rFonts w:hint="eastAsia" w:cs="宋体"/>
                <w:color w:val="auto"/>
                <w:highlight w:val="none"/>
              </w:rPr>
              <w:t>）</w:t>
            </w:r>
          </w:p>
        </w:tc>
        <w:tc>
          <w:tcPr>
            <w:tcW w:w="1077" w:type="dxa"/>
            <w:vMerge w:val="restart"/>
            <w:noWrap w:val="0"/>
            <w:vAlign w:val="center"/>
          </w:tcPr>
          <w:p>
            <w:pPr>
              <w:spacing w:line="360" w:lineRule="auto"/>
              <w:jc w:val="center"/>
              <w:rPr>
                <w:color w:val="auto"/>
                <w:highlight w:val="none"/>
              </w:rPr>
            </w:pPr>
            <w:r>
              <w:rPr>
                <w:rFonts w:hint="eastAsia" w:cs="宋体"/>
                <w:color w:val="auto"/>
                <w:highlight w:val="none"/>
              </w:rPr>
              <w:t>技术标</w:t>
            </w:r>
          </w:p>
          <w:p>
            <w:pPr>
              <w:spacing w:line="360" w:lineRule="auto"/>
              <w:jc w:val="center"/>
              <w:rPr>
                <w:color w:val="auto"/>
                <w:highlight w:val="none"/>
              </w:rPr>
            </w:pPr>
            <w:r>
              <w:rPr>
                <w:rFonts w:hint="eastAsia" w:cs="宋体"/>
                <w:color w:val="auto"/>
                <w:highlight w:val="none"/>
              </w:rPr>
              <w:t>评分标准</w:t>
            </w:r>
          </w:p>
          <w:p>
            <w:pPr>
              <w:spacing w:line="360" w:lineRule="auto"/>
              <w:jc w:val="center"/>
              <w:rPr>
                <w:color w:val="auto"/>
                <w:highlight w:val="none"/>
              </w:rPr>
            </w:pPr>
            <w:r>
              <w:rPr>
                <w:rFonts w:hint="eastAsia" w:cs="宋体"/>
                <w:color w:val="auto"/>
                <w:highlight w:val="none"/>
              </w:rPr>
              <w:t>（满分分值权重</w:t>
            </w:r>
            <w:r>
              <w:rPr>
                <w:rFonts w:hint="eastAsia" w:cs="宋体"/>
                <w:color w:val="auto"/>
                <w:highlight w:val="none"/>
                <w:lang w:val="en-US" w:eastAsia="zh-CN"/>
              </w:rPr>
              <w:t>35%</w:t>
            </w:r>
            <w:r>
              <w:rPr>
                <w:rFonts w:hint="eastAsia" w:cs="宋体"/>
                <w:color w:val="auto"/>
                <w:highlight w:val="none"/>
              </w:rPr>
              <w:t>）</w:t>
            </w:r>
          </w:p>
        </w:tc>
        <w:tc>
          <w:tcPr>
            <w:tcW w:w="8274" w:type="dxa"/>
            <w:gridSpan w:val="3"/>
            <w:noWrap w:val="0"/>
            <w:vAlign w:val="center"/>
          </w:tcPr>
          <w:p>
            <w:pPr>
              <w:pStyle w:val="2"/>
              <w:rPr>
                <w:rFonts w:hint="default"/>
                <w:color w:val="auto"/>
                <w:highlight w:val="none"/>
                <w:lang w:val="en-US" w:eastAsia="zh-CN"/>
              </w:rPr>
            </w:pPr>
            <w:r>
              <w:rPr>
                <w:rFonts w:hint="default" w:ascii="宋体" w:hAnsi="宋体" w:eastAsia="宋体" w:cs="宋体"/>
                <w:bCs w:val="0"/>
                <w:color w:val="auto"/>
                <w:spacing w:val="0"/>
                <w:kern w:val="2"/>
                <w:sz w:val="21"/>
                <w:szCs w:val="24"/>
                <w:highlight w:val="none"/>
                <w:lang w:val="en-US" w:eastAsia="zh-CN" w:bidi="ar-SA"/>
              </w:rPr>
              <w:t>技术标加权得分=（项目管理机构得分+施工组织设计得分）×技术标分值权重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1080" w:type="dxa"/>
            <w:vMerge w:val="restart"/>
            <w:noWrap w:val="0"/>
            <w:vAlign w:val="center"/>
          </w:tcPr>
          <w:p>
            <w:pPr>
              <w:spacing w:line="360" w:lineRule="auto"/>
              <w:jc w:val="center"/>
              <w:rPr>
                <w:rFonts w:hint="eastAsia" w:cs="宋体"/>
                <w:color w:val="auto"/>
                <w:highlight w:val="none"/>
              </w:rPr>
            </w:pPr>
            <w:r>
              <w:rPr>
                <w:rFonts w:hint="eastAsia" w:cs="宋体"/>
                <w:color w:val="auto"/>
                <w:highlight w:val="none"/>
              </w:rPr>
              <w:t>项目管理机构</w:t>
            </w:r>
          </w:p>
          <w:p>
            <w:pPr>
              <w:spacing w:line="360" w:lineRule="auto"/>
              <w:jc w:val="center"/>
              <w:rPr>
                <w:color w:val="auto"/>
                <w:highlight w:val="none"/>
              </w:rPr>
            </w:pPr>
            <w:r>
              <w:rPr>
                <w:rFonts w:hint="eastAsia" w:cs="宋体"/>
                <w:color w:val="auto"/>
                <w:highlight w:val="none"/>
                <w:lang w:eastAsia="zh-CN"/>
              </w:rPr>
              <w:t>（</w:t>
            </w:r>
            <w:r>
              <w:rPr>
                <w:rFonts w:hint="eastAsia" w:cs="宋体"/>
                <w:color w:val="auto"/>
                <w:highlight w:val="none"/>
                <w:lang w:val="en-US" w:eastAsia="zh-CN"/>
              </w:rPr>
              <w:t>16</w:t>
            </w:r>
            <w:r>
              <w:rPr>
                <w:rFonts w:hint="eastAsia" w:cs="宋体"/>
                <w:color w:val="auto"/>
                <w:highlight w:val="none"/>
              </w:rPr>
              <w:t>分）</w:t>
            </w:r>
          </w:p>
        </w:tc>
        <w:tc>
          <w:tcPr>
            <w:tcW w:w="1480" w:type="dxa"/>
            <w:noWrap w:val="0"/>
            <w:vAlign w:val="center"/>
          </w:tcPr>
          <w:p>
            <w:pPr>
              <w:jc w:val="left"/>
              <w:rPr>
                <w:color w:val="auto"/>
                <w:kern w:val="0"/>
                <w:highlight w:val="none"/>
              </w:rPr>
            </w:pPr>
            <w:r>
              <w:rPr>
                <w:color w:val="auto"/>
                <w:highlight w:val="none"/>
              </w:rPr>
              <w:t>项目经理任职资格与业绩、工作经历等（</w:t>
            </w:r>
            <w:r>
              <w:rPr>
                <w:rFonts w:hint="eastAsia"/>
                <w:color w:val="auto"/>
                <w:highlight w:val="none"/>
                <w:lang w:val="en-US" w:eastAsia="zh-CN"/>
              </w:rPr>
              <w:t>8.00</w:t>
            </w:r>
            <w:r>
              <w:rPr>
                <w:color w:val="auto"/>
                <w:highlight w:val="none"/>
              </w:rPr>
              <w:t>分）</w:t>
            </w:r>
          </w:p>
        </w:tc>
        <w:tc>
          <w:tcPr>
            <w:tcW w:w="5714" w:type="dxa"/>
            <w:noWrap w:val="0"/>
            <w:vAlign w:val="center"/>
          </w:tcPr>
          <w:p>
            <w:pPr>
              <w:numPr>
                <w:ilvl w:val="0"/>
                <w:numId w:val="1"/>
              </w:numPr>
              <w:spacing w:line="360" w:lineRule="auto"/>
              <w:jc w:val="left"/>
              <w:rPr>
                <w:color w:val="auto"/>
                <w:highlight w:val="none"/>
              </w:rPr>
            </w:pPr>
            <w:r>
              <w:rPr>
                <w:color w:val="auto"/>
                <w:highlight w:val="none"/>
              </w:rPr>
              <w:t>拟派任项目经理（或注册建造师）必须与资格审查合格通过的项目经理（或注册建造师）在名称、专业、资格等级等方面一致</w:t>
            </w:r>
            <w:r>
              <w:rPr>
                <w:rFonts w:hint="eastAsia"/>
                <w:color w:val="auto"/>
                <w:highlight w:val="none"/>
                <w:lang w:eastAsia="zh-CN"/>
              </w:rPr>
              <w:t>且有高级（含高级）以上职称的，得</w:t>
            </w:r>
            <w:r>
              <w:rPr>
                <w:rFonts w:hint="eastAsia"/>
                <w:color w:val="auto"/>
                <w:highlight w:val="none"/>
                <w:lang w:val="en-US" w:eastAsia="zh-CN"/>
              </w:rPr>
              <w:t>8分</w:t>
            </w:r>
            <w:r>
              <w:rPr>
                <w:color w:val="auto"/>
                <w:highlight w:val="none"/>
              </w:rPr>
              <w:t>。</w:t>
            </w:r>
          </w:p>
          <w:p>
            <w:pPr>
              <w:numPr>
                <w:ilvl w:val="0"/>
                <w:numId w:val="1"/>
              </w:numPr>
              <w:spacing w:line="360" w:lineRule="auto"/>
              <w:jc w:val="left"/>
              <w:rPr>
                <w:rFonts w:hint="eastAsia" w:eastAsia="宋体"/>
                <w:color w:val="auto"/>
                <w:highlight w:val="none"/>
                <w:lang w:val="en-US" w:eastAsia="zh-CN"/>
              </w:rPr>
            </w:pPr>
            <w:r>
              <w:rPr>
                <w:color w:val="auto"/>
                <w:highlight w:val="none"/>
              </w:rPr>
              <w:t>拟派任项目经理（或注册建造师）必须与资格审查合格通过的项目经理（或注册建造师）在名称、专业、资格等级等方面一致</w:t>
            </w:r>
            <w:r>
              <w:rPr>
                <w:rFonts w:hint="eastAsia"/>
                <w:color w:val="auto"/>
                <w:highlight w:val="none"/>
                <w:lang w:eastAsia="zh-CN"/>
              </w:rPr>
              <w:t>且有中级职称的，得</w:t>
            </w:r>
            <w:r>
              <w:rPr>
                <w:rFonts w:hint="eastAsia"/>
                <w:color w:val="auto"/>
                <w:highlight w:val="none"/>
                <w:lang w:val="en-US" w:eastAsia="zh-CN"/>
              </w:rPr>
              <w:t>3分</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1080" w:type="dxa"/>
            <w:vMerge w:val="continue"/>
            <w:noWrap w:val="0"/>
            <w:vAlign w:val="center"/>
          </w:tcPr>
          <w:p>
            <w:pPr>
              <w:spacing w:line="360" w:lineRule="auto"/>
              <w:jc w:val="center"/>
              <w:rPr>
                <w:color w:val="auto"/>
                <w:kern w:val="0"/>
                <w:highlight w:val="none"/>
              </w:rPr>
            </w:pPr>
          </w:p>
        </w:tc>
        <w:tc>
          <w:tcPr>
            <w:tcW w:w="1480" w:type="dxa"/>
            <w:noWrap w:val="0"/>
            <w:vAlign w:val="center"/>
          </w:tcPr>
          <w:p>
            <w:pPr>
              <w:jc w:val="left"/>
              <w:rPr>
                <w:color w:val="auto"/>
                <w:highlight w:val="none"/>
              </w:rPr>
            </w:pPr>
            <w:r>
              <w:rPr>
                <w:color w:val="auto"/>
                <w:highlight w:val="none"/>
              </w:rPr>
              <w:t>其他主要人员（</w:t>
            </w:r>
            <w:r>
              <w:rPr>
                <w:rFonts w:hint="eastAsia"/>
                <w:color w:val="auto"/>
                <w:highlight w:val="none"/>
                <w:lang w:val="en-US" w:eastAsia="zh-CN"/>
              </w:rPr>
              <w:t>8.00</w:t>
            </w:r>
            <w:r>
              <w:rPr>
                <w:color w:val="auto"/>
                <w:highlight w:val="none"/>
              </w:rPr>
              <w:t>分）</w:t>
            </w:r>
          </w:p>
        </w:tc>
        <w:tc>
          <w:tcPr>
            <w:tcW w:w="5714" w:type="dxa"/>
            <w:noWrap w:val="0"/>
            <w:vAlign w:val="center"/>
          </w:tcPr>
          <w:p>
            <w:pPr>
              <w:widowControl/>
              <w:spacing w:line="380" w:lineRule="exact"/>
              <w:rPr>
                <w:rFonts w:hint="default" w:eastAsia="宋体"/>
                <w:color w:val="auto"/>
                <w:highlight w:val="none"/>
                <w:lang w:val="en-US" w:eastAsia="zh-CN"/>
              </w:rPr>
            </w:pPr>
            <w:r>
              <w:rPr>
                <w:rFonts w:hint="eastAsia"/>
                <w:color w:val="auto"/>
                <w:highlight w:val="none"/>
                <w:lang w:val="en-US" w:eastAsia="zh-CN"/>
              </w:rPr>
              <w:t>1、</w:t>
            </w:r>
            <w:r>
              <w:rPr>
                <w:color w:val="auto"/>
                <w:highlight w:val="none"/>
              </w:rPr>
              <w:t>人员齐备、专业配套</w:t>
            </w:r>
            <w:r>
              <w:rPr>
                <w:rFonts w:hint="eastAsia"/>
                <w:color w:val="auto"/>
                <w:highlight w:val="none"/>
              </w:rPr>
              <w:t>应与资格审查提供的人员配备相一致</w:t>
            </w:r>
            <w:r>
              <w:rPr>
                <w:color w:val="auto"/>
                <w:highlight w:val="none"/>
              </w:rPr>
              <w:t>，拟派驻本项目的技术负责人具有</w:t>
            </w:r>
            <w:r>
              <w:rPr>
                <w:rFonts w:hint="eastAsia"/>
                <w:color w:val="auto"/>
                <w:highlight w:val="none"/>
                <w:lang w:eastAsia="zh-CN"/>
              </w:rPr>
              <w:t>高级（含高级）</w:t>
            </w:r>
            <w:r>
              <w:rPr>
                <w:color w:val="auto"/>
                <w:highlight w:val="none"/>
              </w:rPr>
              <w:t>以上职称证件，</w:t>
            </w:r>
            <w:r>
              <w:rPr>
                <w:rFonts w:hint="eastAsia"/>
                <w:color w:val="auto"/>
                <w:highlight w:val="none"/>
                <w:lang w:eastAsia="zh-CN"/>
              </w:rPr>
              <w:t>五大员</w:t>
            </w:r>
            <w:r>
              <w:rPr>
                <w:color w:val="auto"/>
                <w:highlight w:val="none"/>
              </w:rPr>
              <w:t>应具有相应岗位</w:t>
            </w:r>
            <w:r>
              <w:rPr>
                <w:rFonts w:hint="eastAsia"/>
                <w:color w:val="auto"/>
                <w:highlight w:val="none"/>
              </w:rPr>
              <w:t>资格</w:t>
            </w:r>
            <w:r>
              <w:rPr>
                <w:color w:val="auto"/>
                <w:highlight w:val="none"/>
              </w:rPr>
              <w:t>证</w:t>
            </w:r>
            <w:r>
              <w:rPr>
                <w:rFonts w:hint="eastAsia"/>
                <w:color w:val="auto"/>
                <w:highlight w:val="none"/>
                <w:lang w:eastAsia="zh-CN"/>
              </w:rPr>
              <w:t>或者培训合格证，</w:t>
            </w:r>
            <w:r>
              <w:rPr>
                <w:rFonts w:hint="eastAsia" w:ascii="宋体" w:hAnsi="宋体" w:cs="宋体"/>
                <w:color w:val="auto"/>
                <w:szCs w:val="21"/>
                <w:highlight w:val="none"/>
              </w:rPr>
              <w:t>另安全员具备有效的安全生产考核合格证书（C类），且拟投入的项目管理人员符合国家及广西壮族自治区的规定</w:t>
            </w:r>
            <w:r>
              <w:rPr>
                <w:rFonts w:hint="eastAsia" w:ascii="宋体" w:hAnsi="宋体" w:cs="宋体"/>
                <w:color w:val="auto"/>
                <w:szCs w:val="21"/>
                <w:highlight w:val="none"/>
                <w:lang w:eastAsia="zh-CN"/>
              </w:rPr>
              <w:t>的，</w:t>
            </w:r>
            <w:r>
              <w:rPr>
                <w:rFonts w:hint="eastAsia"/>
                <w:color w:val="auto"/>
                <w:highlight w:val="none"/>
                <w:lang w:eastAsia="zh-CN"/>
              </w:rPr>
              <w:t>得</w:t>
            </w:r>
            <w:r>
              <w:rPr>
                <w:rFonts w:hint="eastAsia"/>
                <w:color w:val="auto"/>
                <w:highlight w:val="none"/>
                <w:lang w:val="en-US" w:eastAsia="zh-CN"/>
              </w:rPr>
              <w:t>8分。</w:t>
            </w:r>
          </w:p>
          <w:p>
            <w:pPr>
              <w:widowControl/>
              <w:spacing w:line="380" w:lineRule="exact"/>
              <w:rPr>
                <w:rFonts w:hint="eastAsia"/>
                <w:color w:val="auto"/>
                <w:highlight w:val="none"/>
                <w:lang w:val="en-US" w:eastAsia="zh-CN"/>
              </w:rPr>
            </w:pPr>
            <w:r>
              <w:rPr>
                <w:rFonts w:hint="eastAsia"/>
                <w:color w:val="auto"/>
                <w:highlight w:val="none"/>
              </w:rPr>
              <w:t>2</w:t>
            </w:r>
            <w:r>
              <w:rPr>
                <w:rFonts w:hint="eastAsia"/>
                <w:color w:val="auto"/>
                <w:highlight w:val="none"/>
                <w:lang w:val="en-US" w:eastAsia="zh-CN"/>
              </w:rPr>
              <w:t>、</w:t>
            </w:r>
            <w:r>
              <w:rPr>
                <w:color w:val="auto"/>
                <w:highlight w:val="none"/>
              </w:rPr>
              <w:t>人员齐备、专业配套</w:t>
            </w:r>
            <w:r>
              <w:rPr>
                <w:rFonts w:hint="eastAsia"/>
                <w:color w:val="auto"/>
                <w:highlight w:val="none"/>
              </w:rPr>
              <w:t>应与资格审查提供的人员配备相一致</w:t>
            </w:r>
            <w:r>
              <w:rPr>
                <w:color w:val="auto"/>
                <w:highlight w:val="none"/>
              </w:rPr>
              <w:t>，拟派驻本项目的技术负责人具有</w:t>
            </w:r>
            <w:r>
              <w:rPr>
                <w:rFonts w:hint="eastAsia"/>
                <w:color w:val="auto"/>
                <w:highlight w:val="none"/>
                <w:lang w:eastAsia="zh-CN"/>
              </w:rPr>
              <w:t>中级</w:t>
            </w:r>
            <w:r>
              <w:rPr>
                <w:color w:val="auto"/>
                <w:highlight w:val="none"/>
              </w:rPr>
              <w:t>职称证件，</w:t>
            </w:r>
            <w:r>
              <w:rPr>
                <w:rFonts w:hint="eastAsia"/>
                <w:color w:val="auto"/>
                <w:highlight w:val="none"/>
                <w:lang w:eastAsia="zh-CN"/>
              </w:rPr>
              <w:t>五大员</w:t>
            </w:r>
            <w:r>
              <w:rPr>
                <w:color w:val="auto"/>
                <w:highlight w:val="none"/>
              </w:rPr>
              <w:t>应具有相应岗位</w:t>
            </w:r>
            <w:r>
              <w:rPr>
                <w:rFonts w:hint="eastAsia"/>
                <w:color w:val="auto"/>
                <w:highlight w:val="none"/>
              </w:rPr>
              <w:t>资格</w:t>
            </w:r>
            <w:r>
              <w:rPr>
                <w:color w:val="auto"/>
                <w:highlight w:val="none"/>
              </w:rPr>
              <w:t>证</w:t>
            </w:r>
            <w:r>
              <w:rPr>
                <w:rFonts w:hint="eastAsia"/>
                <w:color w:val="auto"/>
                <w:highlight w:val="none"/>
                <w:lang w:eastAsia="zh-CN"/>
              </w:rPr>
              <w:t>或者培训合格证，</w:t>
            </w:r>
            <w:r>
              <w:rPr>
                <w:rFonts w:hint="eastAsia" w:ascii="宋体" w:hAnsi="宋体" w:cs="宋体"/>
                <w:color w:val="auto"/>
                <w:szCs w:val="21"/>
                <w:highlight w:val="none"/>
              </w:rPr>
              <w:t>另安全员具备有效的安全生产考核合格证书（C类），且拟投入的项目管理人员符合国家及广西壮族自治区的规定</w:t>
            </w:r>
            <w:r>
              <w:rPr>
                <w:rFonts w:hint="eastAsia" w:ascii="宋体" w:hAnsi="宋体" w:cs="宋体"/>
                <w:color w:val="auto"/>
                <w:szCs w:val="21"/>
                <w:highlight w:val="none"/>
                <w:lang w:eastAsia="zh-CN"/>
              </w:rPr>
              <w:t>的，</w:t>
            </w:r>
            <w:r>
              <w:rPr>
                <w:rFonts w:hint="eastAsia"/>
                <w:color w:val="auto"/>
                <w:highlight w:val="none"/>
                <w:lang w:eastAsia="zh-CN"/>
              </w:rPr>
              <w:t>得</w:t>
            </w:r>
            <w:r>
              <w:rPr>
                <w:rFonts w:hint="eastAsia"/>
                <w:color w:val="auto"/>
                <w:highlight w:val="none"/>
                <w:lang w:val="en-US" w:eastAsia="zh-CN"/>
              </w:rPr>
              <w:t>3分。</w:t>
            </w:r>
          </w:p>
          <w:p>
            <w:pPr>
              <w:pStyle w:val="2"/>
              <w:ind w:left="0" w:leftChars="0" w:firstLine="0" w:firstLineChars="0"/>
              <w:rPr>
                <w:rFonts w:hint="eastAsia" w:eastAsia="宋体"/>
                <w:color w:val="auto"/>
                <w:highlight w:val="none"/>
                <w:lang w:eastAsia="zh-CN"/>
              </w:rPr>
            </w:pPr>
            <w:r>
              <w:rPr>
                <w:rFonts w:hint="eastAsia" w:ascii="宋体" w:hAnsi="宋体" w:eastAsia="宋体" w:cs="宋体"/>
                <w:bCs w:val="0"/>
                <w:color w:val="auto"/>
                <w:spacing w:val="0"/>
                <w:kern w:val="2"/>
                <w:sz w:val="21"/>
                <w:szCs w:val="21"/>
                <w:highlight w:val="none"/>
                <w:lang w:val="en-US" w:eastAsia="zh-CN" w:bidi="ar-SA"/>
              </w:rPr>
              <w:t>造价员要求：持有二级造价师及以上执业资格证书的。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1080" w:type="dxa"/>
            <w:vMerge w:val="restart"/>
            <w:noWrap w:val="0"/>
            <w:vAlign w:val="center"/>
          </w:tcPr>
          <w:p>
            <w:pPr>
              <w:spacing w:line="360" w:lineRule="auto"/>
              <w:jc w:val="center"/>
              <w:rPr>
                <w:color w:val="auto"/>
                <w:highlight w:val="none"/>
              </w:rPr>
            </w:pPr>
            <w:r>
              <w:rPr>
                <w:rFonts w:hint="eastAsia" w:cs="宋体"/>
                <w:color w:val="auto"/>
                <w:highlight w:val="none"/>
              </w:rPr>
              <w:t>施工组织设计（</w:t>
            </w:r>
            <w:r>
              <w:rPr>
                <w:rFonts w:hint="eastAsia"/>
                <w:color w:val="auto"/>
                <w:highlight w:val="none"/>
                <w:lang w:val="en-US" w:eastAsia="zh-CN"/>
              </w:rPr>
              <w:t>84</w:t>
            </w:r>
            <w:r>
              <w:rPr>
                <w:rFonts w:hint="eastAsia" w:cs="宋体"/>
                <w:color w:val="auto"/>
                <w:highlight w:val="none"/>
              </w:rPr>
              <w:t>分）</w:t>
            </w:r>
          </w:p>
        </w:tc>
        <w:tc>
          <w:tcPr>
            <w:tcW w:w="1480" w:type="dxa"/>
            <w:noWrap w:val="0"/>
            <w:vAlign w:val="center"/>
          </w:tcPr>
          <w:p>
            <w:pPr>
              <w:jc w:val="left"/>
              <w:rPr>
                <w:color w:val="auto"/>
                <w:highlight w:val="none"/>
              </w:rPr>
            </w:pPr>
            <w:r>
              <w:rPr>
                <w:color w:val="auto"/>
                <w:highlight w:val="none"/>
              </w:rPr>
              <w:t>主要施工方法（</w:t>
            </w:r>
            <w:r>
              <w:rPr>
                <w:rFonts w:hint="eastAsia"/>
                <w:color w:val="auto"/>
                <w:highlight w:val="none"/>
                <w:lang w:val="en-US" w:eastAsia="zh-CN"/>
              </w:rPr>
              <w:t>10</w:t>
            </w:r>
            <w:r>
              <w:rPr>
                <w:color w:val="auto"/>
                <w:highlight w:val="none"/>
              </w:rPr>
              <w:t>分）</w:t>
            </w:r>
          </w:p>
        </w:tc>
        <w:tc>
          <w:tcPr>
            <w:tcW w:w="5714" w:type="dxa"/>
            <w:noWrap w:val="0"/>
            <w:vAlign w:val="center"/>
          </w:tcPr>
          <w:p>
            <w:pPr>
              <w:widowControl/>
              <w:spacing w:line="360" w:lineRule="auto"/>
              <w:rPr>
                <w:rFonts w:hint="eastAsia" w:cs="宋体"/>
                <w:color w:val="auto"/>
                <w:kern w:val="0"/>
                <w:highlight w:val="none"/>
                <w:lang w:val="en-US" w:eastAsia="zh-CN"/>
              </w:rPr>
            </w:pPr>
            <w:r>
              <w:rPr>
                <w:rFonts w:hint="eastAsia" w:cs="宋体"/>
                <w:color w:val="auto"/>
                <w:kern w:val="0"/>
                <w:highlight w:val="none"/>
                <w:lang w:val="en-US" w:eastAsia="zh-CN"/>
              </w:rPr>
              <w:t>优（10.00分）：</w:t>
            </w:r>
            <w:r>
              <w:rPr>
                <w:rFonts w:hint="eastAsia" w:ascii="宋体" w:hAnsi="宋体" w:eastAsia="宋体" w:cs="宋体"/>
                <w:color w:val="auto"/>
                <w:highlight w:val="none"/>
              </w:rPr>
              <w:t>各主要分部施工方法正确完整，完全符合项目实际，有详尽的施工技术方案，工艺先进、方法科学合理、完全可行，完全能指导具体施工并确保安全。</w:t>
            </w:r>
          </w:p>
          <w:p>
            <w:pPr>
              <w:widowControl/>
              <w:spacing w:line="360" w:lineRule="auto"/>
              <w:rPr>
                <w:rFonts w:hint="default" w:cs="宋体"/>
                <w:color w:val="auto"/>
                <w:kern w:val="0"/>
                <w:highlight w:val="none"/>
                <w:lang w:val="en-US" w:eastAsia="zh-CN"/>
              </w:rPr>
            </w:pPr>
            <w:r>
              <w:rPr>
                <w:rFonts w:hint="eastAsia" w:cs="宋体"/>
                <w:color w:val="auto"/>
                <w:kern w:val="0"/>
                <w:highlight w:val="none"/>
                <w:lang w:val="en-US" w:eastAsia="zh-CN"/>
              </w:rPr>
              <w:t>良（7.50分）：</w:t>
            </w:r>
            <w:r>
              <w:rPr>
                <w:rFonts w:hint="eastAsia" w:ascii="宋体" w:hAnsi="宋体" w:eastAsia="宋体" w:cs="宋体"/>
                <w:color w:val="auto"/>
                <w:highlight w:val="none"/>
              </w:rPr>
              <w:t>各主要分部施工方法较完整，较符合项目实际，施工技术方案较详细，工艺、方法较合理可行，能指导具体施工并确保安全。</w:t>
            </w:r>
          </w:p>
          <w:p>
            <w:pPr>
              <w:widowControl/>
              <w:spacing w:line="360" w:lineRule="auto"/>
              <w:rPr>
                <w:rFonts w:hint="default" w:cs="宋体"/>
                <w:color w:val="auto"/>
                <w:kern w:val="0"/>
                <w:highlight w:val="none"/>
                <w:lang w:val="en-US" w:eastAsia="zh-CN"/>
              </w:rPr>
            </w:pPr>
            <w:r>
              <w:rPr>
                <w:rFonts w:hint="eastAsia" w:cs="宋体"/>
                <w:color w:val="auto"/>
                <w:kern w:val="0"/>
                <w:highlight w:val="none"/>
                <w:lang w:val="en-US" w:eastAsia="zh-CN"/>
              </w:rPr>
              <w:t>中（6.00分）：</w:t>
            </w:r>
            <w:r>
              <w:rPr>
                <w:rFonts w:hint="eastAsia" w:ascii="宋体" w:hAnsi="宋体" w:eastAsia="宋体" w:cs="宋体"/>
                <w:color w:val="auto"/>
                <w:highlight w:val="none"/>
              </w:rPr>
              <w:t>各主要分部施工方法基本符合项目实际，施工技术方案基本、工艺、方法基本合理可行，基本能指导具体施工。</w:t>
            </w:r>
          </w:p>
          <w:p>
            <w:pPr>
              <w:widowControl/>
              <w:spacing w:line="360" w:lineRule="auto"/>
              <w:rPr>
                <w:color w:val="auto"/>
                <w:highlight w:val="none"/>
              </w:rPr>
            </w:pPr>
            <w:r>
              <w:rPr>
                <w:rFonts w:hint="eastAsia" w:cs="宋体"/>
                <w:color w:val="auto"/>
                <w:kern w:val="0"/>
                <w:highlight w:val="none"/>
                <w:lang w:val="en-US" w:eastAsia="zh-CN"/>
              </w:rPr>
              <w:t>差（0分）：</w:t>
            </w:r>
            <w:r>
              <w:rPr>
                <w:rFonts w:hint="eastAsia" w:ascii="宋体" w:hAnsi="宋体" w:eastAsia="宋体" w:cs="宋体"/>
                <w:color w:val="auto"/>
                <w:highlight w:val="none"/>
              </w:rPr>
              <w:t>各主要分部施工方法不完整，不符合项目实际，没有详尽的施工技术方案，工艺、方法不合理，不能指导具体施工</w:t>
            </w:r>
            <w:r>
              <w:rPr>
                <w:rFonts w:hint="eastAsia" w:ascii="宋体" w:hAnsi="宋体" w:eastAsia="宋体" w:cs="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3"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1080" w:type="dxa"/>
            <w:vMerge w:val="continue"/>
            <w:noWrap w:val="0"/>
            <w:vAlign w:val="center"/>
          </w:tcPr>
          <w:p>
            <w:pPr>
              <w:spacing w:line="360" w:lineRule="auto"/>
              <w:jc w:val="center"/>
              <w:rPr>
                <w:color w:val="auto"/>
                <w:highlight w:val="none"/>
              </w:rPr>
            </w:pPr>
          </w:p>
        </w:tc>
        <w:tc>
          <w:tcPr>
            <w:tcW w:w="1480" w:type="dxa"/>
            <w:noWrap w:val="0"/>
            <w:vAlign w:val="center"/>
          </w:tcPr>
          <w:p>
            <w:pPr>
              <w:jc w:val="left"/>
              <w:rPr>
                <w:color w:val="auto"/>
                <w:highlight w:val="none"/>
              </w:rPr>
            </w:pPr>
            <w:r>
              <w:rPr>
                <w:color w:val="auto"/>
                <w:highlight w:val="none"/>
              </w:rPr>
              <w:t>拟投入的主要物资计划（</w:t>
            </w:r>
            <w:r>
              <w:rPr>
                <w:rFonts w:hint="eastAsia"/>
                <w:color w:val="auto"/>
                <w:highlight w:val="none"/>
                <w:lang w:val="en-US" w:eastAsia="zh-CN"/>
              </w:rPr>
              <w:t>10.00</w:t>
            </w:r>
            <w:r>
              <w:rPr>
                <w:color w:val="auto"/>
                <w:highlight w:val="none"/>
              </w:rPr>
              <w:t>分）</w:t>
            </w:r>
          </w:p>
        </w:tc>
        <w:tc>
          <w:tcPr>
            <w:tcW w:w="5714" w:type="dxa"/>
            <w:noWrap w:val="0"/>
            <w:vAlign w:val="center"/>
          </w:tcPr>
          <w:p>
            <w:pPr>
              <w:widowControl/>
              <w:spacing w:line="360" w:lineRule="auto"/>
              <w:rPr>
                <w:rFonts w:hint="eastAsia" w:cs="宋体"/>
                <w:color w:val="auto"/>
                <w:kern w:val="0"/>
                <w:highlight w:val="none"/>
                <w:lang w:val="en-US" w:eastAsia="zh-CN"/>
              </w:rPr>
            </w:pPr>
            <w:r>
              <w:rPr>
                <w:rFonts w:hint="eastAsia" w:cs="宋体"/>
                <w:color w:val="auto"/>
                <w:kern w:val="0"/>
                <w:highlight w:val="none"/>
                <w:lang w:val="en-US" w:eastAsia="zh-CN"/>
              </w:rPr>
              <w:t>优（10.00分）：</w:t>
            </w:r>
            <w:r>
              <w:rPr>
                <w:rFonts w:hint="eastAsia" w:ascii="宋体" w:hAnsi="宋体" w:eastAsia="宋体" w:cs="宋体"/>
                <w:color w:val="auto"/>
                <w:highlight w:val="none"/>
              </w:rPr>
              <w:t>投入的施工材料有详细的组织计划且计划周密，数量、选型配置、进场时间符合项目实际，安排合理，完全满足施工需要。</w:t>
            </w:r>
          </w:p>
          <w:p>
            <w:pPr>
              <w:widowControl/>
              <w:spacing w:line="360" w:lineRule="auto"/>
              <w:rPr>
                <w:rFonts w:hint="default" w:cs="宋体"/>
                <w:color w:val="auto"/>
                <w:kern w:val="0"/>
                <w:highlight w:val="none"/>
                <w:lang w:val="en-US" w:eastAsia="zh-CN"/>
              </w:rPr>
            </w:pPr>
            <w:r>
              <w:rPr>
                <w:rFonts w:hint="eastAsia" w:cs="宋体"/>
                <w:color w:val="auto"/>
                <w:kern w:val="0"/>
                <w:highlight w:val="none"/>
                <w:lang w:val="en-US" w:eastAsia="zh-CN"/>
              </w:rPr>
              <w:t>良（7.50分）：</w:t>
            </w:r>
            <w:r>
              <w:rPr>
                <w:rFonts w:hint="eastAsia" w:ascii="宋体" w:hAnsi="宋体" w:eastAsia="宋体" w:cs="宋体"/>
                <w:color w:val="auto"/>
                <w:highlight w:val="none"/>
              </w:rPr>
              <w:t>投入的施工材料有较详细的组织计划且计划 周密，数量、选型配置、进场时间较符合项目实际，安排基本合理，能满足施工需要。</w:t>
            </w:r>
          </w:p>
          <w:p>
            <w:pPr>
              <w:widowControl/>
              <w:spacing w:line="360" w:lineRule="auto"/>
              <w:rPr>
                <w:rFonts w:hint="default" w:cs="宋体"/>
                <w:color w:val="auto"/>
                <w:kern w:val="0"/>
                <w:highlight w:val="none"/>
                <w:lang w:val="en-US" w:eastAsia="zh-CN"/>
              </w:rPr>
            </w:pPr>
            <w:r>
              <w:rPr>
                <w:rFonts w:hint="eastAsia" w:cs="宋体"/>
                <w:color w:val="auto"/>
                <w:kern w:val="0"/>
                <w:highlight w:val="none"/>
                <w:lang w:val="en-US" w:eastAsia="zh-CN"/>
              </w:rPr>
              <w:t>中（6.00分）：</w:t>
            </w:r>
            <w:r>
              <w:rPr>
                <w:rFonts w:hint="eastAsia" w:ascii="宋体" w:hAnsi="宋体" w:eastAsia="宋体" w:cs="宋体"/>
                <w:color w:val="auto"/>
                <w:highlight w:val="none"/>
              </w:rPr>
              <w:t>投入的施工材料及组织计划简单，数量、选型配置、进场时间基本安排合理，基本能满足施工需要。</w:t>
            </w:r>
          </w:p>
          <w:p>
            <w:pPr>
              <w:widowControl/>
              <w:spacing w:line="360" w:lineRule="auto"/>
              <w:rPr>
                <w:color w:val="auto"/>
                <w:highlight w:val="none"/>
              </w:rPr>
            </w:pPr>
            <w:r>
              <w:rPr>
                <w:rFonts w:hint="eastAsia" w:cs="宋体"/>
                <w:color w:val="auto"/>
                <w:kern w:val="0"/>
                <w:highlight w:val="none"/>
                <w:lang w:val="en-US" w:eastAsia="zh-CN"/>
              </w:rPr>
              <w:t>差（0分）：</w:t>
            </w:r>
            <w:r>
              <w:rPr>
                <w:rFonts w:hint="eastAsia" w:ascii="宋体" w:hAnsi="宋体" w:eastAsia="宋体" w:cs="宋体"/>
                <w:color w:val="auto"/>
                <w:highlight w:val="none"/>
              </w:rPr>
              <w:t>投入的施工材料及组织计划很简单或明显不符合项目实际， 数量、选型配置、进场时间安排不合理，不能满足施工需要。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1080" w:type="dxa"/>
            <w:vMerge w:val="continue"/>
            <w:noWrap w:val="0"/>
            <w:vAlign w:val="center"/>
          </w:tcPr>
          <w:p>
            <w:pPr>
              <w:spacing w:line="360" w:lineRule="auto"/>
              <w:jc w:val="center"/>
              <w:rPr>
                <w:color w:val="auto"/>
                <w:highlight w:val="none"/>
              </w:rPr>
            </w:pPr>
          </w:p>
        </w:tc>
        <w:tc>
          <w:tcPr>
            <w:tcW w:w="1480" w:type="dxa"/>
            <w:noWrap w:val="0"/>
            <w:vAlign w:val="center"/>
          </w:tcPr>
          <w:p>
            <w:pPr>
              <w:jc w:val="left"/>
              <w:rPr>
                <w:color w:val="auto"/>
                <w:highlight w:val="none"/>
              </w:rPr>
            </w:pPr>
            <w:r>
              <w:rPr>
                <w:color w:val="auto"/>
                <w:highlight w:val="none"/>
              </w:rPr>
              <w:t>拟投入的主要施工机械、设备计划</w:t>
            </w:r>
            <w:r>
              <w:rPr>
                <w:rFonts w:hint="eastAsia"/>
                <w:color w:val="auto"/>
                <w:highlight w:val="none"/>
                <w:lang w:val="en-US" w:eastAsia="zh-CN"/>
              </w:rPr>
              <w:t xml:space="preserve">  </w:t>
            </w:r>
            <w:r>
              <w:rPr>
                <w:color w:val="auto"/>
                <w:highlight w:val="none"/>
              </w:rPr>
              <w:t>（</w:t>
            </w:r>
            <w:r>
              <w:rPr>
                <w:rFonts w:hint="eastAsia"/>
                <w:color w:val="auto"/>
                <w:highlight w:val="none"/>
                <w:lang w:val="en-US" w:eastAsia="zh-CN"/>
              </w:rPr>
              <w:t>10.00</w:t>
            </w:r>
            <w:r>
              <w:rPr>
                <w:color w:val="auto"/>
                <w:highlight w:val="none"/>
              </w:rPr>
              <w:t>分）</w:t>
            </w:r>
          </w:p>
        </w:tc>
        <w:tc>
          <w:tcPr>
            <w:tcW w:w="5714" w:type="dxa"/>
            <w:noWrap w:val="0"/>
            <w:vAlign w:val="center"/>
          </w:tcPr>
          <w:p>
            <w:pPr>
              <w:widowControl/>
              <w:spacing w:line="360" w:lineRule="auto"/>
              <w:rPr>
                <w:rFonts w:hint="eastAsia" w:cs="宋体"/>
                <w:color w:val="auto"/>
                <w:kern w:val="0"/>
                <w:highlight w:val="none"/>
                <w:lang w:val="en-US" w:eastAsia="zh-CN"/>
              </w:rPr>
            </w:pPr>
            <w:r>
              <w:rPr>
                <w:rFonts w:hint="eastAsia" w:cs="宋体"/>
                <w:color w:val="auto"/>
                <w:kern w:val="0"/>
                <w:highlight w:val="none"/>
                <w:lang w:val="en-US" w:eastAsia="zh-CN"/>
              </w:rPr>
              <w:t>优（10.00分）：</w:t>
            </w:r>
            <w:r>
              <w:rPr>
                <w:rFonts w:hint="eastAsia" w:ascii="宋体" w:hAnsi="宋体" w:eastAsia="宋体" w:cs="宋体"/>
                <w:color w:val="auto"/>
                <w:kern w:val="0"/>
                <w:highlight w:val="none"/>
              </w:rPr>
              <w:t>投入的施工机械、设备、机具有详细的组织计划且计划周密，完全符合项目实际需求，设备数量、选型配置、进场时间安排很合理，完全满足施工需要。</w:t>
            </w:r>
          </w:p>
          <w:p>
            <w:pPr>
              <w:widowControl/>
              <w:spacing w:line="360" w:lineRule="auto"/>
              <w:rPr>
                <w:rFonts w:hint="default" w:cs="宋体"/>
                <w:color w:val="auto"/>
                <w:kern w:val="0"/>
                <w:highlight w:val="none"/>
                <w:lang w:val="en-US" w:eastAsia="zh-CN"/>
              </w:rPr>
            </w:pPr>
            <w:r>
              <w:rPr>
                <w:rFonts w:hint="eastAsia" w:cs="宋体"/>
                <w:color w:val="auto"/>
                <w:kern w:val="0"/>
                <w:highlight w:val="none"/>
                <w:lang w:val="en-US" w:eastAsia="zh-CN"/>
              </w:rPr>
              <w:t>良（7.50分）：</w:t>
            </w:r>
            <w:r>
              <w:rPr>
                <w:rFonts w:hint="eastAsia" w:ascii="宋体" w:hAnsi="宋体" w:eastAsia="宋体" w:cs="宋体"/>
                <w:color w:val="auto"/>
                <w:kern w:val="0"/>
                <w:highlight w:val="none"/>
              </w:rPr>
              <w:t>投入的施工机械、设备、机具有较详细的组织计划且计划周密，较符合项目需求，设备数量、选型配置、进场时间安排较合理，能满足施工需要。</w:t>
            </w:r>
          </w:p>
          <w:p>
            <w:pPr>
              <w:widowControl/>
              <w:spacing w:line="360" w:lineRule="auto"/>
              <w:rPr>
                <w:rFonts w:hint="default" w:cs="宋体"/>
                <w:color w:val="auto"/>
                <w:kern w:val="0"/>
                <w:highlight w:val="none"/>
                <w:lang w:val="en-US" w:eastAsia="zh-CN"/>
              </w:rPr>
            </w:pPr>
            <w:r>
              <w:rPr>
                <w:rFonts w:hint="eastAsia" w:cs="宋体"/>
                <w:color w:val="auto"/>
                <w:kern w:val="0"/>
                <w:highlight w:val="none"/>
                <w:lang w:val="en-US" w:eastAsia="zh-CN"/>
              </w:rPr>
              <w:t>中（6.00分）：</w:t>
            </w:r>
            <w:r>
              <w:rPr>
                <w:rFonts w:hint="eastAsia" w:ascii="宋体" w:hAnsi="宋体" w:eastAsia="宋体" w:cs="宋体"/>
                <w:color w:val="auto"/>
                <w:kern w:val="0"/>
                <w:highlight w:val="none"/>
              </w:rPr>
              <w:t>投入的施工机械、设备、机具有基本的组织计划，基本符合项目需求，设备数量、选型配置、进场时间安排基本合理，基本满足施工需要。</w:t>
            </w:r>
          </w:p>
          <w:p>
            <w:pPr>
              <w:widowControl/>
              <w:spacing w:line="360" w:lineRule="auto"/>
              <w:rPr>
                <w:color w:val="auto"/>
                <w:highlight w:val="none"/>
              </w:rPr>
            </w:pPr>
            <w:r>
              <w:rPr>
                <w:rFonts w:hint="eastAsia" w:cs="宋体"/>
                <w:color w:val="auto"/>
                <w:kern w:val="0"/>
                <w:highlight w:val="none"/>
                <w:lang w:val="en-US" w:eastAsia="zh-CN"/>
              </w:rPr>
              <w:t>差（0分）：</w:t>
            </w:r>
            <w:r>
              <w:rPr>
                <w:rFonts w:hint="eastAsia" w:ascii="宋体" w:hAnsi="宋体" w:eastAsia="宋体" w:cs="宋体"/>
                <w:color w:val="auto"/>
                <w:kern w:val="0"/>
                <w:highlight w:val="none"/>
              </w:rPr>
              <w:t>投入的施工机械、设备、机具简单，明显不符合项目需求，设备数量、选型配置、进场时间安排不合理，不能满足施工需要。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1080" w:type="dxa"/>
            <w:vMerge w:val="continue"/>
            <w:noWrap w:val="0"/>
            <w:vAlign w:val="center"/>
          </w:tcPr>
          <w:p>
            <w:pPr>
              <w:spacing w:line="360" w:lineRule="auto"/>
              <w:jc w:val="center"/>
              <w:rPr>
                <w:color w:val="auto"/>
                <w:highlight w:val="none"/>
              </w:rPr>
            </w:pPr>
          </w:p>
        </w:tc>
        <w:tc>
          <w:tcPr>
            <w:tcW w:w="1480" w:type="dxa"/>
            <w:noWrap w:val="0"/>
            <w:vAlign w:val="center"/>
          </w:tcPr>
          <w:p>
            <w:pPr>
              <w:jc w:val="left"/>
              <w:rPr>
                <w:color w:val="auto"/>
                <w:highlight w:val="none"/>
              </w:rPr>
            </w:pPr>
            <w:r>
              <w:rPr>
                <w:color w:val="auto"/>
                <w:highlight w:val="none"/>
              </w:rPr>
              <w:t>劳动力安排计划（</w:t>
            </w:r>
            <w:r>
              <w:rPr>
                <w:rFonts w:hint="eastAsia"/>
                <w:color w:val="auto"/>
                <w:highlight w:val="none"/>
                <w:lang w:val="en-US" w:eastAsia="zh-CN"/>
              </w:rPr>
              <w:t>10.00</w:t>
            </w:r>
            <w:r>
              <w:rPr>
                <w:color w:val="auto"/>
                <w:highlight w:val="none"/>
              </w:rPr>
              <w:t>分）</w:t>
            </w:r>
          </w:p>
        </w:tc>
        <w:tc>
          <w:tcPr>
            <w:tcW w:w="5714" w:type="dxa"/>
            <w:noWrap w:val="0"/>
            <w:vAlign w:val="center"/>
          </w:tcPr>
          <w:p>
            <w:pPr>
              <w:widowControl/>
              <w:spacing w:line="360" w:lineRule="auto"/>
              <w:rPr>
                <w:rFonts w:hint="eastAsia" w:cs="宋体"/>
                <w:color w:val="auto"/>
                <w:kern w:val="0"/>
                <w:highlight w:val="none"/>
                <w:lang w:val="en-US" w:eastAsia="zh-CN"/>
              </w:rPr>
            </w:pPr>
            <w:r>
              <w:rPr>
                <w:rFonts w:hint="eastAsia" w:cs="宋体"/>
                <w:color w:val="auto"/>
                <w:kern w:val="0"/>
                <w:highlight w:val="none"/>
                <w:lang w:val="en-US" w:eastAsia="zh-CN"/>
              </w:rPr>
              <w:t>优（10.00分）：</w:t>
            </w:r>
            <w:r>
              <w:rPr>
                <w:rFonts w:hint="eastAsia" w:ascii="宋体" w:hAnsi="宋体" w:eastAsia="宋体" w:cs="宋体"/>
                <w:color w:val="auto"/>
                <w:highlight w:val="none"/>
              </w:rPr>
              <w:t>各主要施工工序有详细周密的劳动力安排计划和有各工种劳动力安排计划，劳动力投入完全合理，完全满足施工需要。</w:t>
            </w:r>
          </w:p>
          <w:p>
            <w:pPr>
              <w:widowControl/>
              <w:spacing w:line="360" w:lineRule="auto"/>
              <w:rPr>
                <w:rFonts w:hint="default" w:cs="宋体"/>
                <w:color w:val="auto"/>
                <w:kern w:val="0"/>
                <w:highlight w:val="none"/>
                <w:lang w:val="en-US" w:eastAsia="zh-CN"/>
              </w:rPr>
            </w:pPr>
            <w:r>
              <w:rPr>
                <w:rFonts w:hint="eastAsia" w:cs="宋体"/>
                <w:color w:val="auto"/>
                <w:kern w:val="0"/>
                <w:highlight w:val="none"/>
                <w:lang w:val="en-US" w:eastAsia="zh-CN"/>
              </w:rPr>
              <w:t>良（7.50分）：</w:t>
            </w:r>
            <w:r>
              <w:rPr>
                <w:rFonts w:hint="eastAsia" w:ascii="宋体" w:hAnsi="宋体" w:eastAsia="宋体" w:cs="宋体"/>
                <w:color w:val="auto"/>
                <w:highlight w:val="none"/>
              </w:rPr>
              <w:t xml:space="preserve">各主要施工工序有较详细的劳动力安排计划和各工种劳动力安排计划，劳动力投入较合理，能满足施工需要。 </w:t>
            </w:r>
          </w:p>
          <w:p>
            <w:pPr>
              <w:widowControl/>
              <w:spacing w:line="360" w:lineRule="auto"/>
              <w:rPr>
                <w:rFonts w:hint="default" w:cs="宋体"/>
                <w:color w:val="auto"/>
                <w:kern w:val="0"/>
                <w:highlight w:val="none"/>
                <w:lang w:val="en-US" w:eastAsia="zh-CN"/>
              </w:rPr>
            </w:pPr>
            <w:r>
              <w:rPr>
                <w:rFonts w:hint="eastAsia" w:cs="宋体"/>
                <w:color w:val="auto"/>
                <w:kern w:val="0"/>
                <w:highlight w:val="none"/>
                <w:lang w:val="en-US" w:eastAsia="zh-CN"/>
              </w:rPr>
              <w:t>中（6.00分）：</w:t>
            </w:r>
            <w:r>
              <w:rPr>
                <w:rFonts w:hint="eastAsia" w:ascii="宋体" w:hAnsi="宋体" w:eastAsia="宋体" w:cs="宋体"/>
                <w:color w:val="auto"/>
                <w:highlight w:val="none"/>
              </w:rPr>
              <w:t>各主要施工工序劳动力安排计划和各工种劳动力安排计划简单，劳动力投入基本合理，基本满足施工需要。</w:t>
            </w:r>
          </w:p>
          <w:p>
            <w:pPr>
              <w:widowControl/>
              <w:spacing w:line="360" w:lineRule="auto"/>
              <w:rPr>
                <w:color w:val="auto"/>
                <w:highlight w:val="none"/>
              </w:rPr>
            </w:pPr>
            <w:r>
              <w:rPr>
                <w:rFonts w:hint="eastAsia" w:cs="宋体"/>
                <w:color w:val="auto"/>
                <w:kern w:val="0"/>
                <w:highlight w:val="none"/>
                <w:lang w:val="en-US" w:eastAsia="zh-CN"/>
              </w:rPr>
              <w:t>差（0分）：</w:t>
            </w:r>
            <w:r>
              <w:rPr>
                <w:rFonts w:hint="eastAsia" w:ascii="宋体" w:hAnsi="宋体" w:eastAsia="宋体" w:cs="宋体"/>
                <w:color w:val="auto"/>
                <w:highlight w:val="none"/>
              </w:rPr>
              <w:t>各主要施工工序和各工种劳动力安排计划不清晰，劳动力投入明显不合理，不能满足施工需要。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1080" w:type="dxa"/>
            <w:vMerge w:val="continue"/>
            <w:noWrap w:val="0"/>
            <w:vAlign w:val="center"/>
          </w:tcPr>
          <w:p>
            <w:pPr>
              <w:spacing w:line="360" w:lineRule="auto"/>
              <w:jc w:val="center"/>
              <w:rPr>
                <w:color w:val="auto"/>
                <w:highlight w:val="none"/>
              </w:rPr>
            </w:pPr>
          </w:p>
        </w:tc>
        <w:tc>
          <w:tcPr>
            <w:tcW w:w="1480" w:type="dxa"/>
            <w:noWrap w:val="0"/>
            <w:vAlign w:val="center"/>
          </w:tcPr>
          <w:p>
            <w:pPr>
              <w:jc w:val="left"/>
              <w:rPr>
                <w:color w:val="auto"/>
                <w:highlight w:val="none"/>
              </w:rPr>
            </w:pPr>
            <w:r>
              <w:rPr>
                <w:color w:val="auto"/>
                <w:highlight w:val="none"/>
              </w:rPr>
              <w:t>确保工程质量的技术组织措施（</w:t>
            </w:r>
            <w:r>
              <w:rPr>
                <w:rFonts w:hint="eastAsia"/>
                <w:color w:val="auto"/>
                <w:highlight w:val="none"/>
                <w:lang w:val="en-US" w:eastAsia="zh-CN"/>
              </w:rPr>
              <w:t>10.00</w:t>
            </w:r>
            <w:r>
              <w:rPr>
                <w:color w:val="auto"/>
                <w:highlight w:val="none"/>
              </w:rPr>
              <w:t>分）</w:t>
            </w:r>
          </w:p>
        </w:tc>
        <w:tc>
          <w:tcPr>
            <w:tcW w:w="5714" w:type="dxa"/>
            <w:noWrap w:val="0"/>
            <w:vAlign w:val="center"/>
          </w:tcPr>
          <w:p>
            <w:pPr>
              <w:widowControl/>
              <w:spacing w:line="360" w:lineRule="auto"/>
              <w:rPr>
                <w:rFonts w:hint="eastAsia" w:cs="宋体"/>
                <w:color w:val="auto"/>
                <w:kern w:val="0"/>
                <w:highlight w:val="none"/>
                <w:lang w:val="en-US" w:eastAsia="zh-CN"/>
              </w:rPr>
            </w:pPr>
            <w:r>
              <w:rPr>
                <w:rFonts w:hint="eastAsia" w:cs="宋体"/>
                <w:color w:val="auto"/>
                <w:kern w:val="0"/>
                <w:highlight w:val="none"/>
                <w:lang w:val="en-US" w:eastAsia="zh-CN"/>
              </w:rPr>
              <w:t>优（10.00分）：</w:t>
            </w:r>
            <w:r>
              <w:rPr>
                <w:rFonts w:hint="eastAsia" w:ascii="宋体" w:hAnsi="宋体" w:eastAsia="宋体" w:cs="宋体"/>
                <w:color w:val="auto"/>
                <w:highlight w:val="none"/>
              </w:rPr>
              <w:t>有专门的质量技术管理班子和制度，且人员配备合理，制度健全；主要工序质量技术保证措施和手段科学合理，自控体系完整，能有效保证技术质量，并能达到承诺的质量标准。</w:t>
            </w:r>
          </w:p>
          <w:p>
            <w:pPr>
              <w:widowControl/>
              <w:spacing w:line="360" w:lineRule="auto"/>
              <w:rPr>
                <w:rFonts w:hint="default" w:cs="宋体"/>
                <w:color w:val="auto"/>
                <w:kern w:val="0"/>
                <w:highlight w:val="none"/>
                <w:lang w:val="en-US" w:eastAsia="zh-CN"/>
              </w:rPr>
            </w:pPr>
            <w:r>
              <w:rPr>
                <w:rFonts w:hint="eastAsia" w:cs="宋体"/>
                <w:color w:val="auto"/>
                <w:kern w:val="0"/>
                <w:highlight w:val="none"/>
                <w:lang w:val="en-US" w:eastAsia="zh-CN"/>
              </w:rPr>
              <w:t>良（7.50分）：</w:t>
            </w:r>
            <w:r>
              <w:rPr>
                <w:rFonts w:hint="eastAsia" w:ascii="宋体" w:hAnsi="宋体" w:eastAsia="宋体" w:cs="宋体"/>
                <w:color w:val="auto"/>
                <w:highlight w:val="none"/>
              </w:rPr>
              <w:t>有一定的质量管理制度且制度健全；主要工序的质量技术保证措施和手段较好，自控体系较好，能保证技术质量达到承诺的质量标准。</w:t>
            </w:r>
          </w:p>
          <w:p>
            <w:pPr>
              <w:widowControl/>
              <w:spacing w:line="360" w:lineRule="auto"/>
              <w:rPr>
                <w:rFonts w:hint="default" w:cs="宋体"/>
                <w:color w:val="auto"/>
                <w:kern w:val="0"/>
                <w:highlight w:val="none"/>
                <w:lang w:val="en-US" w:eastAsia="zh-CN"/>
              </w:rPr>
            </w:pPr>
            <w:r>
              <w:rPr>
                <w:rFonts w:hint="eastAsia" w:cs="宋体"/>
                <w:color w:val="auto"/>
                <w:kern w:val="0"/>
                <w:highlight w:val="none"/>
                <w:lang w:val="en-US" w:eastAsia="zh-CN"/>
              </w:rPr>
              <w:t>中（6.00分）：</w:t>
            </w:r>
            <w:r>
              <w:rPr>
                <w:rFonts w:hint="eastAsia" w:ascii="宋体" w:hAnsi="宋体" w:eastAsia="宋体" w:cs="宋体"/>
                <w:color w:val="auto"/>
                <w:highlight w:val="none"/>
              </w:rPr>
              <w:t>质量管理制度基本健全；主要工序的质量技术保证措施和手段基本合理，有简单的自控体系，基本能达到承诺的质量标准。</w:t>
            </w:r>
          </w:p>
          <w:p>
            <w:pPr>
              <w:widowControl/>
              <w:spacing w:line="360" w:lineRule="auto"/>
              <w:rPr>
                <w:color w:val="auto"/>
                <w:highlight w:val="none"/>
              </w:rPr>
            </w:pPr>
            <w:r>
              <w:rPr>
                <w:rFonts w:hint="eastAsia" w:cs="宋体"/>
                <w:color w:val="auto"/>
                <w:kern w:val="0"/>
                <w:highlight w:val="none"/>
                <w:lang w:val="en-US" w:eastAsia="zh-CN"/>
              </w:rPr>
              <w:t>差（0分）：</w:t>
            </w:r>
            <w:r>
              <w:rPr>
                <w:rFonts w:hint="eastAsia" w:ascii="宋体" w:hAnsi="宋体" w:eastAsia="宋体" w:cs="宋体"/>
                <w:color w:val="auto"/>
                <w:highlight w:val="none"/>
              </w:rPr>
              <w:t>质量管理制度不完整；主要工序的质量技术保证措施和手段不合理，没有自控体系，不能有效保证技术质量和质量标准。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1080" w:type="dxa"/>
            <w:vMerge w:val="continue"/>
            <w:noWrap w:val="0"/>
            <w:vAlign w:val="center"/>
          </w:tcPr>
          <w:p>
            <w:pPr>
              <w:spacing w:line="360" w:lineRule="auto"/>
              <w:jc w:val="center"/>
              <w:rPr>
                <w:color w:val="auto"/>
                <w:highlight w:val="none"/>
              </w:rPr>
            </w:pPr>
          </w:p>
        </w:tc>
        <w:tc>
          <w:tcPr>
            <w:tcW w:w="1480" w:type="dxa"/>
            <w:noWrap w:val="0"/>
            <w:vAlign w:val="center"/>
          </w:tcPr>
          <w:p>
            <w:pPr>
              <w:jc w:val="left"/>
              <w:rPr>
                <w:color w:val="auto"/>
                <w:highlight w:val="none"/>
              </w:rPr>
            </w:pPr>
            <w:r>
              <w:rPr>
                <w:color w:val="auto"/>
                <w:highlight w:val="none"/>
              </w:rPr>
              <w:t>确保安全生产的技术组织措施（</w:t>
            </w:r>
            <w:r>
              <w:rPr>
                <w:rFonts w:hint="eastAsia"/>
                <w:color w:val="auto"/>
                <w:highlight w:val="none"/>
                <w:lang w:val="en-US" w:eastAsia="zh-CN"/>
              </w:rPr>
              <w:t>10.00</w:t>
            </w:r>
            <w:r>
              <w:rPr>
                <w:color w:val="auto"/>
                <w:highlight w:val="none"/>
              </w:rPr>
              <w:t>分）</w:t>
            </w:r>
          </w:p>
        </w:tc>
        <w:tc>
          <w:tcPr>
            <w:tcW w:w="5714" w:type="dxa"/>
            <w:noWrap w:val="0"/>
            <w:vAlign w:val="center"/>
          </w:tcPr>
          <w:p>
            <w:pPr>
              <w:widowControl/>
              <w:spacing w:line="360" w:lineRule="auto"/>
              <w:rPr>
                <w:rFonts w:hint="eastAsia" w:cs="宋体"/>
                <w:color w:val="auto"/>
                <w:kern w:val="0"/>
                <w:highlight w:val="none"/>
                <w:lang w:val="en-US" w:eastAsia="zh-CN"/>
              </w:rPr>
            </w:pPr>
            <w:r>
              <w:rPr>
                <w:rFonts w:hint="eastAsia" w:cs="宋体"/>
                <w:color w:val="auto"/>
                <w:kern w:val="0"/>
                <w:highlight w:val="none"/>
                <w:lang w:val="en-US" w:eastAsia="zh-CN"/>
              </w:rPr>
              <w:t>优（10.00分）：</w:t>
            </w:r>
            <w:r>
              <w:rPr>
                <w:rFonts w:hint="eastAsia" w:ascii="宋体" w:hAnsi="宋体" w:eastAsia="宋体" w:cs="宋体"/>
                <w:color w:val="auto"/>
                <w:highlight w:val="none"/>
              </w:rPr>
              <w:t>专门的安全管理人员和制度，且人员配备合理，制度健全，各道工序安全技术措施针对性强，完全符合实际且能满足有关安全技术标准要求。现场防火、应急救援、社会治安等安全措施得力。</w:t>
            </w:r>
          </w:p>
          <w:p>
            <w:pPr>
              <w:widowControl/>
              <w:spacing w:line="360" w:lineRule="auto"/>
              <w:rPr>
                <w:rFonts w:hint="default" w:cs="宋体"/>
                <w:color w:val="auto"/>
                <w:kern w:val="0"/>
                <w:highlight w:val="none"/>
                <w:lang w:val="en-US" w:eastAsia="zh-CN"/>
              </w:rPr>
            </w:pPr>
            <w:r>
              <w:rPr>
                <w:rFonts w:hint="eastAsia" w:cs="宋体"/>
                <w:color w:val="auto"/>
                <w:kern w:val="0"/>
                <w:highlight w:val="none"/>
                <w:lang w:val="en-US" w:eastAsia="zh-CN"/>
              </w:rPr>
              <w:t>良（7.50分）：</w:t>
            </w:r>
            <w:r>
              <w:rPr>
                <w:rFonts w:hint="eastAsia" w:ascii="宋体" w:hAnsi="宋体" w:eastAsia="宋体" w:cs="宋体"/>
                <w:color w:val="auto"/>
                <w:highlight w:val="none"/>
              </w:rPr>
              <w:t>有安全管理制度且制度健全，安全管理人员配备较合理，各道工序安全技术措施针对性较符合实际，能满足有关安全技术标准要求。有各种现场安全措施。</w:t>
            </w:r>
          </w:p>
          <w:p>
            <w:pPr>
              <w:widowControl/>
              <w:spacing w:line="360" w:lineRule="auto"/>
              <w:rPr>
                <w:rFonts w:hint="default" w:cs="宋体"/>
                <w:color w:val="auto"/>
                <w:kern w:val="0"/>
                <w:highlight w:val="none"/>
                <w:lang w:val="en-US" w:eastAsia="zh-CN"/>
              </w:rPr>
            </w:pPr>
            <w:r>
              <w:rPr>
                <w:rFonts w:hint="eastAsia" w:cs="宋体"/>
                <w:color w:val="auto"/>
                <w:kern w:val="0"/>
                <w:highlight w:val="none"/>
                <w:lang w:val="en-US" w:eastAsia="zh-CN"/>
              </w:rPr>
              <w:t>中（6.00分）：</w:t>
            </w:r>
            <w:r>
              <w:rPr>
                <w:rFonts w:hint="eastAsia" w:ascii="宋体" w:hAnsi="宋体" w:eastAsia="宋体" w:cs="宋体"/>
                <w:color w:val="auto"/>
                <w:highlight w:val="none"/>
              </w:rPr>
              <w:t>安全管理制度基本健全，安全管理人员配备基本合理，各道工序安全技术措施基本符合实际，基本满足有关安全技术标准要求。有现场安全措施但简单。</w:t>
            </w:r>
          </w:p>
          <w:p>
            <w:pPr>
              <w:widowControl/>
              <w:spacing w:line="360" w:lineRule="auto"/>
              <w:rPr>
                <w:color w:val="auto"/>
                <w:highlight w:val="none"/>
              </w:rPr>
            </w:pPr>
            <w:r>
              <w:rPr>
                <w:rFonts w:hint="eastAsia" w:cs="宋体"/>
                <w:color w:val="auto"/>
                <w:kern w:val="0"/>
                <w:highlight w:val="none"/>
                <w:lang w:val="en-US" w:eastAsia="zh-CN"/>
              </w:rPr>
              <w:t>差（0分）：</w:t>
            </w:r>
            <w:r>
              <w:rPr>
                <w:rFonts w:hint="eastAsia" w:ascii="宋体" w:hAnsi="宋体" w:eastAsia="宋体" w:cs="宋体"/>
                <w:color w:val="auto"/>
                <w:highlight w:val="none"/>
              </w:rPr>
              <w:t>安全管理制度简单不健全，安全管理人员配备不合理，各道工序安全技术措施不适应实际需求，不能满足有关安全技术标准要求。没有现场安全措施或者不全。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1080" w:type="dxa"/>
            <w:vMerge w:val="continue"/>
            <w:noWrap w:val="0"/>
            <w:vAlign w:val="center"/>
          </w:tcPr>
          <w:p>
            <w:pPr>
              <w:spacing w:line="360" w:lineRule="auto"/>
              <w:jc w:val="center"/>
              <w:rPr>
                <w:color w:val="auto"/>
                <w:highlight w:val="none"/>
              </w:rPr>
            </w:pPr>
          </w:p>
        </w:tc>
        <w:tc>
          <w:tcPr>
            <w:tcW w:w="1480" w:type="dxa"/>
            <w:noWrap w:val="0"/>
            <w:vAlign w:val="center"/>
          </w:tcPr>
          <w:p>
            <w:pPr>
              <w:jc w:val="left"/>
              <w:rPr>
                <w:color w:val="auto"/>
                <w:highlight w:val="none"/>
              </w:rPr>
            </w:pPr>
            <w:r>
              <w:rPr>
                <w:color w:val="auto"/>
                <w:highlight w:val="none"/>
              </w:rPr>
              <w:t>确保工期的技术组织措施（</w:t>
            </w:r>
            <w:r>
              <w:rPr>
                <w:rFonts w:hint="eastAsia"/>
                <w:color w:val="auto"/>
                <w:highlight w:val="none"/>
                <w:lang w:val="en-US" w:eastAsia="zh-CN"/>
              </w:rPr>
              <w:t>6.00</w:t>
            </w:r>
            <w:r>
              <w:rPr>
                <w:color w:val="auto"/>
                <w:highlight w:val="none"/>
              </w:rPr>
              <w:t>分）</w:t>
            </w:r>
          </w:p>
        </w:tc>
        <w:tc>
          <w:tcPr>
            <w:tcW w:w="5714" w:type="dxa"/>
            <w:noWrap w:val="0"/>
            <w:vAlign w:val="center"/>
          </w:tcPr>
          <w:p>
            <w:pPr>
              <w:widowControl/>
              <w:spacing w:line="360" w:lineRule="auto"/>
              <w:rPr>
                <w:rFonts w:hint="eastAsia" w:cs="宋体"/>
                <w:color w:val="auto"/>
                <w:kern w:val="0"/>
                <w:highlight w:val="none"/>
                <w:lang w:val="en-US" w:eastAsia="zh-CN"/>
              </w:rPr>
            </w:pPr>
            <w:r>
              <w:rPr>
                <w:rFonts w:hint="eastAsia" w:cs="宋体"/>
                <w:color w:val="auto"/>
                <w:kern w:val="0"/>
                <w:highlight w:val="none"/>
                <w:lang w:val="en-US" w:eastAsia="zh-CN"/>
              </w:rPr>
              <w:t>优（</w:t>
            </w:r>
            <w:r>
              <w:rPr>
                <w:rFonts w:hint="eastAsia" w:ascii="宋体" w:hAnsi="宋体" w:cs="Arial"/>
                <w:color w:val="auto"/>
                <w:highlight w:val="none"/>
                <w:lang w:val="en-US" w:eastAsia="zh-CN"/>
              </w:rPr>
              <w:t>6.00</w:t>
            </w:r>
            <w:r>
              <w:rPr>
                <w:rFonts w:hint="eastAsia" w:cs="宋体"/>
                <w:color w:val="auto"/>
                <w:kern w:val="0"/>
                <w:highlight w:val="none"/>
                <w:lang w:val="en-US" w:eastAsia="zh-CN"/>
              </w:rPr>
              <w:t>分）：</w:t>
            </w:r>
            <w:r>
              <w:rPr>
                <w:rFonts w:hint="eastAsia" w:ascii="宋体" w:hAnsi="宋体" w:eastAsia="宋体" w:cs="宋体"/>
                <w:color w:val="auto"/>
                <w:highlight w:val="none"/>
              </w:rPr>
              <w:t>在施工工艺、施工方法、材料 选用、劳动力安排、技术等方面有保证工期的 具体措施且措施得当。有控制工期的施工进度的具体计划。有施工总进度表或施工网络图，各项计划图表编制完善，安排科学合理，完全符合本项目施工实际要求。</w:t>
            </w:r>
          </w:p>
          <w:p>
            <w:pPr>
              <w:widowControl/>
              <w:spacing w:line="360" w:lineRule="auto"/>
              <w:rPr>
                <w:rFonts w:hint="default" w:cs="宋体"/>
                <w:color w:val="auto"/>
                <w:kern w:val="0"/>
                <w:highlight w:val="none"/>
                <w:lang w:val="en-US" w:eastAsia="zh-CN"/>
              </w:rPr>
            </w:pPr>
            <w:r>
              <w:rPr>
                <w:rFonts w:hint="eastAsia" w:cs="宋体"/>
                <w:color w:val="auto"/>
                <w:kern w:val="0"/>
                <w:highlight w:val="none"/>
                <w:lang w:val="en-US" w:eastAsia="zh-CN"/>
              </w:rPr>
              <w:t>良（4.50分）：</w:t>
            </w:r>
            <w:r>
              <w:rPr>
                <w:rFonts w:hint="eastAsia" w:ascii="宋体" w:hAnsi="宋体" w:eastAsia="宋体" w:cs="宋体"/>
                <w:color w:val="auto"/>
                <w:highlight w:val="none"/>
              </w:rPr>
              <w:t>在施工工艺、施工方法、材料选用、劳动力安排、技术等方面有较好的保证工期的具体措施。有控制工期的施工进度计划。有施工总进度表或施工网络图，安排较合理，符合本项目施工实际要求。</w:t>
            </w:r>
          </w:p>
          <w:p>
            <w:pPr>
              <w:widowControl/>
              <w:spacing w:line="360" w:lineRule="auto"/>
              <w:rPr>
                <w:rFonts w:hint="default" w:cs="宋体"/>
                <w:color w:val="auto"/>
                <w:kern w:val="0"/>
                <w:highlight w:val="none"/>
                <w:lang w:val="en-US" w:eastAsia="zh-CN"/>
              </w:rPr>
            </w:pPr>
            <w:r>
              <w:rPr>
                <w:rFonts w:hint="eastAsia" w:cs="宋体"/>
                <w:color w:val="auto"/>
                <w:kern w:val="0"/>
                <w:highlight w:val="none"/>
                <w:lang w:val="en-US" w:eastAsia="zh-CN"/>
              </w:rPr>
              <w:t>中（3.分）：</w:t>
            </w:r>
            <w:r>
              <w:rPr>
                <w:rFonts w:hint="eastAsia" w:ascii="宋体" w:hAnsi="宋体" w:eastAsia="宋体" w:cs="宋体"/>
                <w:color w:val="auto"/>
                <w:highlight w:val="none"/>
              </w:rPr>
              <w:t>在施工工艺、施工方法、材料选用、劳动力安排、技术等方面有基本的保证工期的具体措施。有施工进度计划。有施工总进度表或施工网络图，安排基本合理，基本符合本项目施工实际要求。</w:t>
            </w:r>
          </w:p>
          <w:p>
            <w:pPr>
              <w:widowControl/>
              <w:spacing w:line="360" w:lineRule="auto"/>
              <w:rPr>
                <w:color w:val="auto"/>
                <w:highlight w:val="none"/>
              </w:rPr>
            </w:pPr>
            <w:r>
              <w:rPr>
                <w:rFonts w:hint="eastAsia" w:cs="宋体"/>
                <w:color w:val="auto"/>
                <w:kern w:val="0"/>
                <w:highlight w:val="none"/>
                <w:lang w:val="en-US" w:eastAsia="zh-CN"/>
              </w:rPr>
              <w:t>差（0分）：</w:t>
            </w:r>
            <w:r>
              <w:rPr>
                <w:rFonts w:hint="eastAsia" w:ascii="宋体" w:hAnsi="宋体" w:eastAsia="宋体" w:cs="宋体"/>
                <w:color w:val="auto"/>
                <w:highlight w:val="none"/>
              </w:rPr>
              <w:t>保证工期的措施简单。有简单的施工进度计划，明显符合本项目施工实际要求。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1080" w:type="dxa"/>
            <w:vMerge w:val="continue"/>
            <w:noWrap w:val="0"/>
            <w:vAlign w:val="center"/>
          </w:tcPr>
          <w:p>
            <w:pPr>
              <w:spacing w:line="360" w:lineRule="auto"/>
              <w:jc w:val="center"/>
              <w:rPr>
                <w:color w:val="auto"/>
                <w:highlight w:val="none"/>
              </w:rPr>
            </w:pPr>
          </w:p>
        </w:tc>
        <w:tc>
          <w:tcPr>
            <w:tcW w:w="1480" w:type="dxa"/>
            <w:noWrap w:val="0"/>
            <w:vAlign w:val="center"/>
          </w:tcPr>
          <w:p>
            <w:pPr>
              <w:jc w:val="left"/>
              <w:rPr>
                <w:color w:val="auto"/>
                <w:highlight w:val="none"/>
              </w:rPr>
            </w:pPr>
            <w:r>
              <w:rPr>
                <w:color w:val="auto"/>
                <w:highlight w:val="none"/>
              </w:rPr>
              <w:t>确保文明施工的技术组织措施（</w:t>
            </w:r>
            <w:r>
              <w:rPr>
                <w:rFonts w:hint="eastAsia"/>
                <w:color w:val="auto"/>
                <w:highlight w:val="none"/>
                <w:lang w:val="en-US" w:eastAsia="zh-CN"/>
              </w:rPr>
              <w:t>6.00</w:t>
            </w:r>
            <w:r>
              <w:rPr>
                <w:color w:val="auto"/>
                <w:highlight w:val="none"/>
              </w:rPr>
              <w:t>分）</w:t>
            </w:r>
          </w:p>
        </w:tc>
        <w:tc>
          <w:tcPr>
            <w:tcW w:w="5714" w:type="dxa"/>
            <w:noWrap w:val="0"/>
            <w:vAlign w:val="center"/>
          </w:tcPr>
          <w:p>
            <w:pPr>
              <w:widowControl/>
              <w:spacing w:line="360" w:lineRule="auto"/>
              <w:rPr>
                <w:rFonts w:hint="eastAsia" w:cs="宋体"/>
                <w:color w:val="auto"/>
                <w:kern w:val="0"/>
                <w:highlight w:val="none"/>
                <w:lang w:val="en-US" w:eastAsia="zh-CN"/>
              </w:rPr>
            </w:pPr>
            <w:r>
              <w:rPr>
                <w:rFonts w:hint="eastAsia" w:cs="宋体"/>
                <w:color w:val="auto"/>
                <w:kern w:val="0"/>
                <w:highlight w:val="none"/>
                <w:lang w:val="en-US" w:eastAsia="zh-CN"/>
              </w:rPr>
              <w:t>优（6.00分）：</w:t>
            </w:r>
            <w:r>
              <w:rPr>
                <w:rFonts w:hint="eastAsia" w:ascii="宋体" w:hAnsi="宋体" w:eastAsia="宋体" w:cs="宋体"/>
                <w:color w:val="auto"/>
                <w:highlight w:val="none"/>
              </w:rPr>
              <w:t>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pPr>
              <w:widowControl/>
              <w:spacing w:line="360" w:lineRule="auto"/>
              <w:rPr>
                <w:rFonts w:hint="default" w:cs="宋体"/>
                <w:color w:val="auto"/>
                <w:kern w:val="0"/>
                <w:highlight w:val="none"/>
                <w:lang w:val="en-US" w:eastAsia="zh-CN"/>
              </w:rPr>
            </w:pPr>
            <w:r>
              <w:rPr>
                <w:rFonts w:hint="eastAsia" w:cs="宋体"/>
                <w:color w:val="auto"/>
                <w:kern w:val="0"/>
                <w:highlight w:val="none"/>
                <w:lang w:val="en-US" w:eastAsia="zh-CN"/>
              </w:rPr>
              <w:t>良（4.50分）：</w:t>
            </w:r>
            <w:r>
              <w:rPr>
                <w:rFonts w:hint="eastAsia" w:ascii="宋体" w:hAnsi="宋体" w:eastAsia="宋体" w:cs="宋体"/>
                <w:color w:val="auto"/>
                <w:highlight w:val="none"/>
              </w:rPr>
              <w:t>有较详细的现场文明施工、环境保护措施，措施内容达到《建筑施工安全生产检查标准》（JGJ59-2011）合格标准并符合《广西壮族自治区建筑工程文明施工导则》要求。各项措施较好。有具体实现现场文明施工目标的承诺。</w:t>
            </w:r>
          </w:p>
          <w:p>
            <w:pPr>
              <w:widowControl/>
              <w:spacing w:line="360" w:lineRule="auto"/>
              <w:rPr>
                <w:rFonts w:hint="default" w:cs="宋体"/>
                <w:color w:val="auto"/>
                <w:kern w:val="0"/>
                <w:highlight w:val="none"/>
                <w:lang w:val="en-US" w:eastAsia="zh-CN"/>
              </w:rPr>
            </w:pPr>
            <w:r>
              <w:rPr>
                <w:rFonts w:hint="eastAsia" w:cs="宋体"/>
                <w:color w:val="auto"/>
                <w:kern w:val="0"/>
                <w:highlight w:val="none"/>
                <w:lang w:val="en-US" w:eastAsia="zh-CN"/>
              </w:rPr>
              <w:t>中（3.00分）：</w:t>
            </w:r>
            <w:r>
              <w:rPr>
                <w:rFonts w:hint="eastAsia" w:ascii="宋体" w:hAnsi="宋体" w:eastAsia="宋体" w:cs="宋体"/>
                <w:color w:val="auto"/>
                <w:highlight w:val="none"/>
              </w:rPr>
              <w:t>现场文明施工、环境保护措施及其内容较简单，基本达到《建筑施工安全生产检查标准》（JGJ59-2011）合格标准并符合《广西壮族自治区建筑工程文明施工导则》要求。各项措施一般。有具体实现现场文明施工目标的承诺。</w:t>
            </w:r>
          </w:p>
          <w:p>
            <w:pPr>
              <w:widowControl/>
              <w:spacing w:line="360" w:lineRule="auto"/>
              <w:rPr>
                <w:color w:val="auto"/>
                <w:highlight w:val="none"/>
              </w:rPr>
            </w:pPr>
            <w:r>
              <w:rPr>
                <w:rFonts w:hint="eastAsia" w:cs="宋体"/>
                <w:color w:val="auto"/>
                <w:kern w:val="0"/>
                <w:highlight w:val="none"/>
                <w:lang w:val="en-US" w:eastAsia="zh-CN"/>
              </w:rPr>
              <w:t>差（0分）：</w:t>
            </w:r>
            <w:r>
              <w:rPr>
                <w:rFonts w:hint="eastAsia" w:ascii="宋体" w:hAnsi="宋体" w:eastAsia="宋体" w:cs="宋体"/>
                <w:color w:val="auto"/>
                <w:highlight w:val="none"/>
              </w:rPr>
              <w:t>现场文明施工、环境保护措施简单或不全，措施内容基本达到《建筑施工安全生产检查标准》（JGJ59-2011）合格标准。各项措施不合理。无具体实现现场文明施工目标的承诺</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1080" w:type="dxa"/>
            <w:vMerge w:val="continue"/>
            <w:noWrap w:val="0"/>
            <w:vAlign w:val="center"/>
          </w:tcPr>
          <w:p>
            <w:pPr>
              <w:spacing w:line="360" w:lineRule="auto"/>
              <w:jc w:val="center"/>
              <w:rPr>
                <w:color w:val="auto"/>
                <w:highlight w:val="none"/>
              </w:rPr>
            </w:pPr>
          </w:p>
        </w:tc>
        <w:tc>
          <w:tcPr>
            <w:tcW w:w="1480" w:type="dxa"/>
            <w:noWrap w:val="0"/>
            <w:vAlign w:val="center"/>
          </w:tcPr>
          <w:p>
            <w:pPr>
              <w:jc w:val="left"/>
              <w:rPr>
                <w:color w:val="auto"/>
                <w:highlight w:val="none"/>
              </w:rPr>
            </w:pPr>
            <w:r>
              <w:rPr>
                <w:color w:val="auto"/>
                <w:highlight w:val="none"/>
              </w:rPr>
              <w:t>工程施工的重点和难点及保证措施（</w:t>
            </w:r>
            <w:r>
              <w:rPr>
                <w:rFonts w:hint="eastAsia"/>
                <w:color w:val="auto"/>
                <w:highlight w:val="none"/>
                <w:lang w:val="en-US" w:eastAsia="zh-CN"/>
              </w:rPr>
              <w:t>6.</w:t>
            </w:r>
            <w:r>
              <w:rPr>
                <w:color w:val="auto"/>
                <w:highlight w:val="none"/>
              </w:rPr>
              <w:t>00分）</w:t>
            </w:r>
          </w:p>
        </w:tc>
        <w:tc>
          <w:tcPr>
            <w:tcW w:w="5714" w:type="dxa"/>
            <w:noWrap w:val="0"/>
            <w:vAlign w:val="center"/>
          </w:tcPr>
          <w:p>
            <w:pPr>
              <w:widowControl/>
              <w:spacing w:line="360" w:lineRule="auto"/>
              <w:rPr>
                <w:rFonts w:hint="eastAsia" w:cs="宋体"/>
                <w:color w:val="auto"/>
                <w:kern w:val="0"/>
                <w:highlight w:val="none"/>
                <w:lang w:val="en-US" w:eastAsia="zh-CN"/>
              </w:rPr>
            </w:pPr>
            <w:r>
              <w:rPr>
                <w:rFonts w:hint="eastAsia" w:cs="宋体"/>
                <w:color w:val="auto"/>
                <w:kern w:val="0"/>
                <w:highlight w:val="none"/>
                <w:lang w:val="en-US" w:eastAsia="zh-CN"/>
              </w:rPr>
              <w:t>优（6.00分）：</w:t>
            </w:r>
            <w:r>
              <w:rPr>
                <w:rFonts w:hint="eastAsia" w:ascii="宋体" w:hAnsi="宋体" w:eastAsia="宋体" w:cs="宋体"/>
                <w:color w:val="auto"/>
                <w:highlight w:val="none"/>
              </w:rPr>
              <w:t>针对本工程的特点，详细分析施工的重点和难点，解决方法科学合理，保证措施得当。</w:t>
            </w:r>
          </w:p>
          <w:p>
            <w:pPr>
              <w:widowControl/>
              <w:spacing w:line="360" w:lineRule="auto"/>
              <w:rPr>
                <w:rFonts w:hint="default" w:cs="宋体"/>
                <w:color w:val="auto"/>
                <w:kern w:val="0"/>
                <w:highlight w:val="none"/>
                <w:lang w:val="en-US" w:eastAsia="zh-CN"/>
              </w:rPr>
            </w:pPr>
            <w:r>
              <w:rPr>
                <w:rFonts w:hint="eastAsia" w:cs="宋体"/>
                <w:color w:val="auto"/>
                <w:kern w:val="0"/>
                <w:highlight w:val="none"/>
                <w:lang w:val="en-US" w:eastAsia="zh-CN"/>
              </w:rPr>
              <w:t>良（4.50分）：</w:t>
            </w:r>
            <w:r>
              <w:rPr>
                <w:rFonts w:hint="eastAsia" w:ascii="宋体" w:hAnsi="宋体" w:eastAsia="宋体" w:cs="宋体"/>
                <w:color w:val="auto"/>
                <w:highlight w:val="none"/>
              </w:rPr>
              <w:t>就本工程的特点分析施工的重点和难点，解决方法较合理，有保证措施。</w:t>
            </w:r>
          </w:p>
          <w:p>
            <w:pPr>
              <w:widowControl/>
              <w:spacing w:line="360" w:lineRule="auto"/>
              <w:rPr>
                <w:rFonts w:hint="default" w:cs="宋体"/>
                <w:color w:val="auto"/>
                <w:kern w:val="0"/>
                <w:highlight w:val="none"/>
                <w:lang w:val="en-US" w:eastAsia="zh-CN"/>
              </w:rPr>
            </w:pPr>
            <w:r>
              <w:rPr>
                <w:rFonts w:hint="eastAsia" w:cs="宋体"/>
                <w:color w:val="auto"/>
                <w:kern w:val="0"/>
                <w:highlight w:val="none"/>
                <w:lang w:val="en-US" w:eastAsia="zh-CN"/>
              </w:rPr>
              <w:t>中（3.60分）：</w:t>
            </w:r>
            <w:r>
              <w:rPr>
                <w:rFonts w:hint="eastAsia" w:ascii="宋体" w:hAnsi="宋体" w:eastAsia="宋体" w:cs="宋体"/>
                <w:color w:val="auto"/>
                <w:highlight w:val="none"/>
              </w:rPr>
              <w:t>施工的重点和难点分析简单，解决方法基本合理，有保证措施。</w:t>
            </w:r>
          </w:p>
          <w:p>
            <w:pPr>
              <w:widowControl/>
              <w:spacing w:line="360" w:lineRule="auto"/>
              <w:rPr>
                <w:color w:val="auto"/>
                <w:highlight w:val="none"/>
              </w:rPr>
            </w:pPr>
            <w:r>
              <w:rPr>
                <w:rFonts w:hint="eastAsia" w:cs="宋体"/>
                <w:color w:val="auto"/>
                <w:kern w:val="0"/>
                <w:highlight w:val="none"/>
                <w:lang w:val="en-US" w:eastAsia="zh-CN"/>
              </w:rPr>
              <w:t>差（0分）：</w:t>
            </w:r>
            <w:r>
              <w:rPr>
                <w:rFonts w:hint="eastAsia" w:ascii="宋体" w:hAnsi="宋体" w:eastAsia="宋体" w:cs="宋体"/>
                <w:color w:val="auto"/>
                <w:highlight w:val="none"/>
              </w:rPr>
              <w:t>没有针对本工程的特点分析重点和难点，解决方法不合理。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noWrap w:val="0"/>
            <w:vAlign w:val="center"/>
          </w:tcPr>
          <w:p>
            <w:pPr>
              <w:spacing w:line="360" w:lineRule="auto"/>
              <w:jc w:val="center"/>
              <w:rPr>
                <w:color w:val="auto"/>
                <w:highlight w:val="none"/>
              </w:rPr>
            </w:pPr>
          </w:p>
        </w:tc>
        <w:tc>
          <w:tcPr>
            <w:tcW w:w="1077" w:type="dxa"/>
            <w:vMerge w:val="continue"/>
            <w:noWrap w:val="0"/>
            <w:vAlign w:val="center"/>
          </w:tcPr>
          <w:p>
            <w:pPr>
              <w:spacing w:line="360" w:lineRule="auto"/>
              <w:jc w:val="center"/>
              <w:rPr>
                <w:color w:val="auto"/>
                <w:highlight w:val="none"/>
              </w:rPr>
            </w:pPr>
          </w:p>
        </w:tc>
        <w:tc>
          <w:tcPr>
            <w:tcW w:w="1080" w:type="dxa"/>
            <w:vMerge w:val="continue"/>
            <w:noWrap w:val="0"/>
            <w:vAlign w:val="center"/>
          </w:tcPr>
          <w:p>
            <w:pPr>
              <w:spacing w:line="360" w:lineRule="auto"/>
              <w:jc w:val="center"/>
              <w:rPr>
                <w:color w:val="auto"/>
                <w:highlight w:val="none"/>
              </w:rPr>
            </w:pPr>
          </w:p>
        </w:tc>
        <w:tc>
          <w:tcPr>
            <w:tcW w:w="1480" w:type="dxa"/>
            <w:noWrap w:val="0"/>
            <w:vAlign w:val="center"/>
          </w:tcPr>
          <w:p>
            <w:pPr>
              <w:jc w:val="left"/>
              <w:rPr>
                <w:color w:val="auto"/>
                <w:highlight w:val="none"/>
              </w:rPr>
            </w:pPr>
            <w:r>
              <w:rPr>
                <w:color w:val="auto"/>
                <w:highlight w:val="none"/>
              </w:rPr>
              <w:t>施工总平面布置图（</w:t>
            </w:r>
            <w:r>
              <w:rPr>
                <w:rFonts w:hint="eastAsia"/>
                <w:color w:val="auto"/>
                <w:highlight w:val="none"/>
                <w:lang w:val="en-US" w:eastAsia="zh-CN"/>
              </w:rPr>
              <w:t>6.</w:t>
            </w:r>
            <w:r>
              <w:rPr>
                <w:color w:val="auto"/>
                <w:highlight w:val="none"/>
              </w:rPr>
              <w:t>00分）</w:t>
            </w:r>
          </w:p>
        </w:tc>
        <w:tc>
          <w:tcPr>
            <w:tcW w:w="5714" w:type="dxa"/>
            <w:noWrap w:val="0"/>
            <w:vAlign w:val="center"/>
          </w:tcPr>
          <w:p>
            <w:pPr>
              <w:widowControl/>
              <w:spacing w:line="360" w:lineRule="auto"/>
              <w:rPr>
                <w:rFonts w:hint="eastAsia" w:cs="宋体"/>
                <w:color w:val="auto"/>
                <w:kern w:val="0"/>
                <w:highlight w:val="none"/>
                <w:lang w:val="en-US" w:eastAsia="zh-CN"/>
              </w:rPr>
            </w:pPr>
            <w:r>
              <w:rPr>
                <w:rFonts w:hint="eastAsia" w:cs="宋体"/>
                <w:color w:val="auto"/>
                <w:kern w:val="0"/>
                <w:highlight w:val="none"/>
                <w:lang w:val="en-US" w:eastAsia="zh-CN"/>
              </w:rPr>
              <w:t>优（6.00分）：</w:t>
            </w:r>
            <w:r>
              <w:rPr>
                <w:rFonts w:hint="eastAsia" w:ascii="宋体" w:hAnsi="宋体" w:eastAsia="宋体" w:cs="宋体"/>
                <w:color w:val="auto"/>
                <w:highlight w:val="none"/>
                <w:lang w:val="en-US" w:eastAsia="zh-CN"/>
              </w:rPr>
              <w:t>有施工总平面布置图，安排科学合理、详尽，完全符合本项目施工实际要求。</w:t>
            </w:r>
          </w:p>
          <w:p>
            <w:pPr>
              <w:widowControl/>
              <w:spacing w:line="360" w:lineRule="auto"/>
              <w:rPr>
                <w:rFonts w:hint="default" w:cs="宋体"/>
                <w:color w:val="auto"/>
                <w:kern w:val="0"/>
                <w:highlight w:val="none"/>
                <w:lang w:val="en-US" w:eastAsia="zh-CN"/>
              </w:rPr>
            </w:pPr>
            <w:r>
              <w:rPr>
                <w:rFonts w:hint="eastAsia" w:cs="宋体"/>
                <w:color w:val="auto"/>
                <w:kern w:val="0"/>
                <w:highlight w:val="none"/>
                <w:lang w:val="en-US" w:eastAsia="zh-CN"/>
              </w:rPr>
              <w:t>良（4.50分）：</w:t>
            </w:r>
            <w:r>
              <w:rPr>
                <w:rFonts w:hint="eastAsia" w:ascii="宋体" w:hAnsi="宋体" w:eastAsia="宋体" w:cs="宋体"/>
                <w:color w:val="auto"/>
                <w:highlight w:val="none"/>
                <w:lang w:val="en-US" w:eastAsia="zh-CN"/>
              </w:rPr>
              <w:t>有施工总平面布置图，安排合理， 符合本项目施工实际要求。</w:t>
            </w:r>
          </w:p>
          <w:p>
            <w:pPr>
              <w:widowControl/>
              <w:spacing w:line="360" w:lineRule="auto"/>
              <w:rPr>
                <w:rFonts w:hint="default" w:cs="宋体"/>
                <w:color w:val="auto"/>
                <w:kern w:val="0"/>
                <w:highlight w:val="none"/>
                <w:lang w:val="en-US" w:eastAsia="zh-CN"/>
              </w:rPr>
            </w:pPr>
            <w:r>
              <w:rPr>
                <w:rFonts w:hint="eastAsia" w:cs="宋体"/>
                <w:color w:val="auto"/>
                <w:kern w:val="0"/>
                <w:highlight w:val="none"/>
                <w:lang w:val="en-US" w:eastAsia="zh-CN"/>
              </w:rPr>
              <w:t>中（3.6分）：</w:t>
            </w:r>
            <w:r>
              <w:rPr>
                <w:rFonts w:hint="eastAsia" w:ascii="宋体" w:hAnsi="宋体" w:eastAsia="宋体" w:cs="宋体"/>
                <w:color w:val="auto"/>
                <w:highlight w:val="none"/>
                <w:lang w:val="en-US" w:eastAsia="zh-CN"/>
              </w:rPr>
              <w:t>有施工总平面布置图，安排基本合理，基本符合本项目施工实际要求。</w:t>
            </w:r>
          </w:p>
          <w:p>
            <w:pPr>
              <w:widowControl/>
              <w:spacing w:line="360" w:lineRule="auto"/>
              <w:rPr>
                <w:color w:val="auto"/>
                <w:highlight w:val="none"/>
              </w:rPr>
            </w:pPr>
            <w:r>
              <w:rPr>
                <w:rFonts w:hint="eastAsia" w:cs="宋体"/>
                <w:color w:val="auto"/>
                <w:kern w:val="0"/>
                <w:highlight w:val="none"/>
                <w:lang w:val="en-US" w:eastAsia="zh-CN"/>
              </w:rPr>
              <w:t>差（0分）：</w:t>
            </w:r>
            <w:r>
              <w:rPr>
                <w:rFonts w:hint="eastAsia" w:ascii="宋体" w:hAnsi="宋体" w:eastAsia="宋体" w:cs="宋体"/>
                <w:color w:val="auto"/>
                <w:highlight w:val="none"/>
                <w:lang w:val="en-US" w:eastAsia="zh-CN"/>
              </w:rPr>
              <w:t>无施工总平面布置图，安排不合理，不符合本项目施工实际要求。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noWrap w:val="0"/>
            <w:vAlign w:val="center"/>
          </w:tcPr>
          <w:p>
            <w:pPr>
              <w:spacing w:line="360" w:lineRule="auto"/>
              <w:jc w:val="center"/>
              <w:rPr>
                <w:color w:val="auto"/>
                <w:highlight w:val="none"/>
              </w:rPr>
            </w:pPr>
            <w:r>
              <w:rPr>
                <w:color w:val="auto"/>
                <w:highlight w:val="none"/>
              </w:rPr>
              <w:t>2.2.2.</w:t>
            </w:r>
          </w:p>
          <w:p>
            <w:pPr>
              <w:spacing w:line="360" w:lineRule="auto"/>
              <w:jc w:val="center"/>
              <w:rPr>
                <w:color w:val="auto"/>
                <w:highlight w:val="none"/>
              </w:rPr>
            </w:pPr>
            <w:r>
              <w:rPr>
                <w:color w:val="auto"/>
                <w:highlight w:val="none"/>
              </w:rPr>
              <w:t>(2)</w:t>
            </w:r>
          </w:p>
        </w:tc>
        <w:tc>
          <w:tcPr>
            <w:tcW w:w="1077" w:type="dxa"/>
            <w:noWrap w:val="0"/>
            <w:vAlign w:val="center"/>
          </w:tcPr>
          <w:p>
            <w:pPr>
              <w:spacing w:line="360" w:lineRule="auto"/>
              <w:jc w:val="center"/>
              <w:rPr>
                <w:color w:val="auto"/>
                <w:highlight w:val="none"/>
              </w:rPr>
            </w:pPr>
            <w:r>
              <w:rPr>
                <w:rFonts w:hint="eastAsia" w:cs="宋体"/>
                <w:color w:val="auto"/>
                <w:highlight w:val="none"/>
              </w:rPr>
              <w:t>评标基准价计算</w:t>
            </w:r>
          </w:p>
        </w:tc>
        <w:tc>
          <w:tcPr>
            <w:tcW w:w="8274" w:type="dxa"/>
            <w:gridSpan w:val="3"/>
            <w:noWrap w:val="0"/>
            <w:vAlign w:val="center"/>
          </w:tcPr>
          <w:p>
            <w:pPr>
              <w:spacing w:line="400" w:lineRule="exact"/>
              <w:rPr>
                <w:rFonts w:hint="eastAsia"/>
                <w:b/>
                <w:bCs/>
                <w:color w:val="auto"/>
                <w:szCs w:val="21"/>
                <w:highlight w:val="none"/>
              </w:rPr>
            </w:pPr>
            <w:r>
              <w:rPr>
                <w:rFonts w:hint="eastAsia"/>
                <w:b/>
                <w:bCs/>
                <w:color w:val="auto"/>
                <w:szCs w:val="21"/>
                <w:highlight w:val="none"/>
              </w:rPr>
              <w:t>评标基准价</w:t>
            </w:r>
            <w:r>
              <w:rPr>
                <w:b/>
                <w:bCs/>
                <w:color w:val="auto"/>
                <w:szCs w:val="21"/>
                <w:highlight w:val="none"/>
              </w:rPr>
              <w:t>的确定方法</w:t>
            </w:r>
            <w:r>
              <w:rPr>
                <w:rFonts w:hint="eastAsia"/>
                <w:b/>
                <w:bCs/>
                <w:color w:val="auto"/>
                <w:szCs w:val="21"/>
                <w:highlight w:val="none"/>
              </w:rPr>
              <w:t>：</w:t>
            </w:r>
          </w:p>
          <w:p>
            <w:pPr>
              <w:spacing w:line="400" w:lineRule="exact"/>
              <w:ind w:firstLine="420" w:firstLineChars="200"/>
              <w:rPr>
                <w:color w:val="auto"/>
                <w:szCs w:val="21"/>
                <w:highlight w:val="none"/>
              </w:rPr>
            </w:pPr>
            <w:r>
              <w:rPr>
                <w:color w:val="auto"/>
                <w:szCs w:val="21"/>
                <w:highlight w:val="none"/>
              </w:rPr>
              <w:t>（1）有效报价范围：为投标总价低于或等于招标控制价，通过资格</w:t>
            </w:r>
            <w:r>
              <w:rPr>
                <w:rFonts w:hint="eastAsia"/>
                <w:color w:val="auto"/>
                <w:szCs w:val="21"/>
                <w:highlight w:val="none"/>
                <w:lang w:eastAsia="zh-CN"/>
              </w:rPr>
              <w:t>性</w:t>
            </w:r>
            <w:r>
              <w:rPr>
                <w:color w:val="auto"/>
                <w:szCs w:val="21"/>
                <w:highlight w:val="none"/>
              </w:rPr>
              <w:t>评审、</w:t>
            </w:r>
            <w:r>
              <w:rPr>
                <w:rFonts w:hint="eastAsia"/>
                <w:color w:val="auto"/>
                <w:szCs w:val="21"/>
                <w:highlight w:val="none"/>
                <w:lang w:eastAsia="zh-CN"/>
              </w:rPr>
              <w:t>符合性</w:t>
            </w:r>
            <w:r>
              <w:rPr>
                <w:color w:val="auto"/>
                <w:szCs w:val="21"/>
                <w:highlight w:val="none"/>
              </w:rPr>
              <w:t>评审</w:t>
            </w:r>
            <w:r>
              <w:rPr>
                <w:rFonts w:hint="eastAsia"/>
                <w:color w:val="auto"/>
                <w:szCs w:val="21"/>
                <w:highlight w:val="none"/>
                <w:lang w:eastAsia="zh-CN"/>
              </w:rPr>
              <w:t>且技术标评审合格</w:t>
            </w:r>
            <w:r>
              <w:rPr>
                <w:color w:val="auto"/>
                <w:szCs w:val="21"/>
                <w:highlight w:val="none"/>
              </w:rPr>
              <w:t>，经评标委员会审定不存在严重不平衡、不合理、不低于其企业成本</w:t>
            </w:r>
            <w:r>
              <w:rPr>
                <w:rFonts w:hint="eastAsia"/>
                <w:color w:val="auto"/>
                <w:szCs w:val="21"/>
                <w:highlight w:val="none"/>
              </w:rPr>
              <w:t>的</w:t>
            </w:r>
            <w:r>
              <w:rPr>
                <w:color w:val="auto"/>
                <w:szCs w:val="21"/>
                <w:highlight w:val="none"/>
              </w:rPr>
              <w:t>投标人投标总价。</w:t>
            </w:r>
          </w:p>
          <w:p>
            <w:pPr>
              <w:spacing w:line="340" w:lineRule="exact"/>
              <w:ind w:firstLine="420" w:firstLineChars="200"/>
              <w:rPr>
                <w:rFonts w:ascii="宋体" w:hAnsi="宋体"/>
                <w:color w:val="auto"/>
                <w:szCs w:val="21"/>
                <w:highlight w:val="none"/>
              </w:rPr>
            </w:pPr>
            <w:r>
              <w:rPr>
                <w:rFonts w:ascii="宋体" w:hAnsi="宋体"/>
                <w:color w:val="auto"/>
                <w:szCs w:val="21"/>
                <w:highlight w:val="none"/>
              </w:rPr>
              <w:t>（2）将有效报价范围内的投标人，按其</w:t>
            </w:r>
            <w:r>
              <w:rPr>
                <w:rFonts w:hint="eastAsia" w:ascii="宋体" w:hAnsi="宋体"/>
                <w:color w:val="auto"/>
                <w:szCs w:val="21"/>
                <w:highlight w:val="none"/>
              </w:rPr>
              <w:t>投标报价</w:t>
            </w:r>
            <w:r>
              <w:rPr>
                <w:rFonts w:ascii="宋体" w:hAnsi="宋体"/>
                <w:color w:val="auto"/>
                <w:szCs w:val="21"/>
                <w:highlight w:val="none"/>
              </w:rPr>
              <w:t>由低到高的顺序依次排出名次。</w:t>
            </w:r>
          </w:p>
          <w:p>
            <w:pPr>
              <w:spacing w:line="400" w:lineRule="exact"/>
              <w:ind w:firstLine="420" w:firstLineChars="200"/>
              <w:rPr>
                <w:rFonts w:hint="eastAsia"/>
                <w:color w:val="auto"/>
                <w:highlight w:val="none"/>
              </w:rPr>
            </w:pPr>
            <w:r>
              <w:rPr>
                <w:rFonts w:ascii="宋体" w:hAnsi="宋体"/>
                <w:color w:val="auto"/>
                <w:szCs w:val="21"/>
                <w:highlight w:val="none"/>
              </w:rPr>
              <w:t>（3）有效报价的投标人在10家以上的，</w:t>
            </w:r>
            <w:r>
              <w:rPr>
                <w:rFonts w:hint="eastAsia" w:ascii="宋体" w:hAnsi="宋体"/>
                <w:bCs/>
                <w:color w:val="auto"/>
                <w:szCs w:val="21"/>
                <w:highlight w:val="none"/>
              </w:rPr>
              <w:t>从最高的</w:t>
            </w:r>
            <w:r>
              <w:rPr>
                <w:rFonts w:hint="eastAsia" w:ascii="宋体" w:hAnsi="宋体"/>
                <w:color w:val="auto"/>
                <w:szCs w:val="21"/>
                <w:highlight w:val="none"/>
              </w:rPr>
              <w:t>投标报价</w:t>
            </w:r>
            <w:r>
              <w:rPr>
                <w:rFonts w:hint="eastAsia" w:ascii="宋体" w:hAnsi="宋体"/>
                <w:bCs/>
                <w:color w:val="auto"/>
                <w:szCs w:val="21"/>
                <w:highlight w:val="none"/>
              </w:rPr>
              <w:t>开始</w:t>
            </w:r>
            <w:r>
              <w:rPr>
                <w:rFonts w:ascii="宋体" w:hAnsi="宋体"/>
                <w:color w:val="auto"/>
                <w:szCs w:val="21"/>
                <w:highlight w:val="none"/>
              </w:rPr>
              <w:t>去掉n家投标报价和</w:t>
            </w:r>
            <w:r>
              <w:rPr>
                <w:rFonts w:hint="eastAsia" w:ascii="宋体" w:hAnsi="宋体"/>
                <w:bCs/>
                <w:color w:val="auto"/>
                <w:szCs w:val="21"/>
                <w:highlight w:val="none"/>
              </w:rPr>
              <w:t>从最低的</w:t>
            </w:r>
            <w:r>
              <w:rPr>
                <w:rFonts w:hint="eastAsia" w:ascii="宋体" w:hAnsi="宋体"/>
                <w:color w:val="auto"/>
                <w:szCs w:val="21"/>
                <w:highlight w:val="none"/>
              </w:rPr>
              <w:t>投标报价</w:t>
            </w:r>
            <w:r>
              <w:rPr>
                <w:rFonts w:hint="eastAsia" w:ascii="宋体" w:hAnsi="宋体"/>
                <w:bCs/>
                <w:color w:val="auto"/>
                <w:szCs w:val="21"/>
                <w:highlight w:val="none"/>
              </w:rPr>
              <w:t>开始去掉</w:t>
            </w:r>
            <w:r>
              <w:rPr>
                <w:rFonts w:ascii="宋体" w:hAnsi="宋体"/>
                <w:color w:val="auto"/>
                <w:szCs w:val="21"/>
                <w:highlight w:val="none"/>
              </w:rPr>
              <w:t>n家</w:t>
            </w:r>
            <w:r>
              <w:rPr>
                <w:rFonts w:hint="eastAsia" w:ascii="宋体" w:hAnsi="宋体"/>
                <w:color w:val="auto"/>
                <w:szCs w:val="21"/>
                <w:highlight w:val="none"/>
              </w:rPr>
              <w:t>或</w:t>
            </w:r>
            <w:r>
              <w:rPr>
                <w:rFonts w:ascii="宋体" w:hAnsi="宋体"/>
                <w:color w:val="auto"/>
                <w:szCs w:val="21"/>
                <w:highlight w:val="none"/>
              </w:rPr>
              <w:t>n-1</w:t>
            </w:r>
            <w:r>
              <w:rPr>
                <w:rFonts w:hint="eastAsia" w:ascii="宋体" w:hAnsi="宋体"/>
                <w:color w:val="auto"/>
                <w:szCs w:val="21"/>
                <w:highlight w:val="none"/>
              </w:rPr>
              <w:t>家</w:t>
            </w:r>
            <w:r>
              <w:rPr>
                <w:rFonts w:ascii="宋体" w:hAnsi="宋体"/>
                <w:color w:val="auto"/>
                <w:szCs w:val="21"/>
                <w:highlight w:val="none"/>
              </w:rPr>
              <w:t>（</w:t>
            </w:r>
            <w:r>
              <w:rPr>
                <w:rFonts w:hint="eastAsia" w:ascii="宋体" w:hAnsi="宋体"/>
                <w:color w:val="auto"/>
                <w:szCs w:val="21"/>
                <w:highlight w:val="none"/>
              </w:rPr>
              <w:t>有效报价范围内投标人家数</w:t>
            </w:r>
            <w:r>
              <w:rPr>
                <w:rFonts w:ascii="宋体" w:hAnsi="宋体"/>
                <w:color w:val="auto"/>
                <w:szCs w:val="21"/>
                <w:highlight w:val="none"/>
              </w:rPr>
              <w:t>为奇数</w:t>
            </w:r>
            <w:r>
              <w:rPr>
                <w:rFonts w:hint="eastAsia" w:ascii="宋体" w:hAnsi="宋体"/>
                <w:color w:val="auto"/>
                <w:szCs w:val="21"/>
                <w:highlight w:val="none"/>
              </w:rPr>
              <w:t>时</w:t>
            </w:r>
            <w:r>
              <w:rPr>
                <w:rFonts w:ascii="宋体" w:hAnsi="宋体"/>
                <w:color w:val="auto"/>
                <w:szCs w:val="21"/>
                <w:highlight w:val="none"/>
              </w:rPr>
              <w:t>取n-1家）投标报价后（当出现两个或两个以上相同投标报价时，一并去掉），取10家（如不足10家，按实际家数计取）投标人</w:t>
            </w:r>
            <w:r>
              <w:rPr>
                <w:rFonts w:hint="eastAsia" w:ascii="宋体" w:hAnsi="宋体"/>
                <w:color w:val="auto"/>
                <w:szCs w:val="21"/>
                <w:highlight w:val="none"/>
              </w:rPr>
              <w:t>投标报价</w:t>
            </w:r>
            <w:r>
              <w:rPr>
                <w:rFonts w:ascii="宋体" w:hAnsi="宋体"/>
                <w:color w:val="auto"/>
                <w:szCs w:val="21"/>
                <w:highlight w:val="none"/>
              </w:rPr>
              <w:t>进入</w:t>
            </w:r>
            <w:r>
              <w:rPr>
                <w:rFonts w:hint="eastAsia" w:ascii="宋体" w:hAnsi="宋体"/>
                <w:color w:val="auto"/>
                <w:szCs w:val="21"/>
                <w:highlight w:val="none"/>
              </w:rPr>
              <w:t>评标基准价</w:t>
            </w:r>
            <w:r>
              <w:rPr>
                <w:rFonts w:ascii="宋体" w:hAnsi="宋体"/>
                <w:color w:val="auto"/>
                <w:szCs w:val="21"/>
                <w:highlight w:val="none"/>
              </w:rPr>
              <w:t>计算范围，再取其中的有效报价的</w:t>
            </w:r>
            <w:r>
              <w:rPr>
                <w:rFonts w:hint="eastAsia" w:ascii="宋体" w:hAnsi="宋体"/>
                <w:color w:val="auto"/>
                <w:szCs w:val="21"/>
                <w:highlight w:val="none"/>
              </w:rPr>
              <w:t>算术</w:t>
            </w:r>
            <w:r>
              <w:rPr>
                <w:rFonts w:ascii="宋体" w:hAnsi="宋体"/>
                <w:color w:val="auto"/>
                <w:szCs w:val="21"/>
                <w:highlight w:val="none"/>
              </w:rPr>
              <w:t>平均值作为</w:t>
            </w:r>
            <w:r>
              <w:rPr>
                <w:rFonts w:hint="eastAsia" w:ascii="宋体" w:hAnsi="宋体"/>
                <w:color w:val="auto"/>
                <w:szCs w:val="21"/>
                <w:highlight w:val="none"/>
              </w:rPr>
              <w:t>评标基准价</w:t>
            </w:r>
            <w:r>
              <w:rPr>
                <w:rFonts w:ascii="宋体" w:hAnsi="宋体"/>
                <w:color w:val="auto"/>
                <w:szCs w:val="21"/>
                <w:highlight w:val="none"/>
              </w:rPr>
              <w:t>；有效报价的投标人在10家（含10家）以下的，将全部有效报价的算术平均值作为</w:t>
            </w:r>
            <w:r>
              <w:rPr>
                <w:rFonts w:hint="eastAsia" w:ascii="宋体" w:hAnsi="宋体"/>
                <w:color w:val="auto"/>
                <w:szCs w:val="21"/>
                <w:highlight w:val="none"/>
              </w:rPr>
              <w:t>评标基准价</w:t>
            </w:r>
            <w:r>
              <w:rPr>
                <w:rFonts w:ascii="宋体" w:hAnsi="宋体"/>
                <w:color w:val="auto"/>
                <w:szCs w:val="21"/>
                <w:highlight w:val="none"/>
              </w:rPr>
              <w:t>。</w:t>
            </w:r>
            <w:r>
              <w:rPr>
                <w:rFonts w:ascii="宋体" w:hAnsi="宋体"/>
                <w:bCs/>
                <w:color w:val="auto"/>
                <w:szCs w:val="21"/>
                <w:highlight w:val="none"/>
              </w:rPr>
              <w:t>n=（有效报价范围的投标人家数－10）/2，n为四舍五入取整数。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0" w:type="dxa"/>
            <w:noWrap w:val="0"/>
            <w:vAlign w:val="center"/>
          </w:tcPr>
          <w:p>
            <w:pPr>
              <w:spacing w:line="360" w:lineRule="auto"/>
              <w:jc w:val="center"/>
              <w:rPr>
                <w:color w:val="auto"/>
                <w:highlight w:val="none"/>
              </w:rPr>
            </w:pPr>
            <w:r>
              <w:rPr>
                <w:color w:val="auto"/>
                <w:highlight w:val="none"/>
              </w:rPr>
              <w:t>2.2.2</w:t>
            </w:r>
            <w:r>
              <w:rPr>
                <w:rFonts w:hint="eastAsia" w:cs="宋体"/>
                <w:color w:val="auto"/>
                <w:highlight w:val="none"/>
              </w:rPr>
              <w:t>（</w:t>
            </w:r>
            <w:r>
              <w:rPr>
                <w:color w:val="auto"/>
                <w:highlight w:val="none"/>
              </w:rPr>
              <w:t>3</w:t>
            </w:r>
            <w:r>
              <w:rPr>
                <w:rFonts w:hint="eastAsia" w:cs="宋体"/>
                <w:color w:val="auto"/>
                <w:highlight w:val="none"/>
              </w:rPr>
              <w:t>）</w:t>
            </w:r>
          </w:p>
        </w:tc>
        <w:tc>
          <w:tcPr>
            <w:tcW w:w="1077" w:type="dxa"/>
            <w:noWrap w:val="0"/>
            <w:vAlign w:val="center"/>
          </w:tcPr>
          <w:p>
            <w:pPr>
              <w:spacing w:line="360" w:lineRule="auto"/>
              <w:jc w:val="both"/>
              <w:rPr>
                <w:color w:val="auto"/>
                <w:highlight w:val="none"/>
              </w:rPr>
            </w:pPr>
            <w:r>
              <w:rPr>
                <w:rFonts w:hint="eastAsia" w:cs="宋体"/>
                <w:color w:val="auto"/>
                <w:highlight w:val="none"/>
              </w:rPr>
              <w:t>报价分</w:t>
            </w:r>
          </w:p>
          <w:p>
            <w:pPr>
              <w:spacing w:line="360" w:lineRule="auto"/>
              <w:jc w:val="center"/>
              <w:rPr>
                <w:color w:val="auto"/>
                <w:highlight w:val="none"/>
              </w:rPr>
            </w:pPr>
            <w:r>
              <w:rPr>
                <w:rFonts w:hint="eastAsia" w:cs="宋体"/>
                <w:color w:val="auto"/>
                <w:highlight w:val="none"/>
              </w:rPr>
              <w:t>评分标准</w:t>
            </w:r>
          </w:p>
          <w:p>
            <w:pPr>
              <w:spacing w:line="360" w:lineRule="auto"/>
              <w:rPr>
                <w:color w:val="auto"/>
                <w:highlight w:val="none"/>
              </w:rPr>
            </w:pPr>
            <w:r>
              <w:rPr>
                <w:rFonts w:hint="eastAsia" w:cs="宋体"/>
                <w:color w:val="auto"/>
                <w:highlight w:val="none"/>
              </w:rPr>
              <w:t>（</w:t>
            </w:r>
            <w:r>
              <w:rPr>
                <w:rFonts w:hint="eastAsia" w:ascii="宋体" w:hAnsi="宋体" w:cs="宋体"/>
                <w:color w:val="auto"/>
                <w:highlight w:val="none"/>
                <w:lang w:val="en-US" w:eastAsia="zh-CN"/>
              </w:rPr>
              <w:t>分值权重55%</w:t>
            </w:r>
            <w:r>
              <w:rPr>
                <w:rFonts w:hint="eastAsia" w:cs="宋体"/>
                <w:color w:val="auto"/>
                <w:highlight w:val="none"/>
              </w:rPr>
              <w:t>）</w:t>
            </w:r>
          </w:p>
        </w:tc>
        <w:tc>
          <w:tcPr>
            <w:tcW w:w="8274" w:type="dxa"/>
            <w:gridSpan w:val="3"/>
            <w:noWrap w:val="0"/>
            <w:vAlign w:val="center"/>
          </w:tcPr>
          <w:p>
            <w:pPr>
              <w:spacing w:line="400" w:lineRule="exact"/>
              <w:rPr>
                <w:b/>
                <w:color w:val="auto"/>
                <w:szCs w:val="21"/>
                <w:highlight w:val="none"/>
              </w:rPr>
            </w:pPr>
            <w:r>
              <w:rPr>
                <w:b/>
                <w:bCs/>
                <w:color w:val="auto"/>
                <w:szCs w:val="21"/>
                <w:highlight w:val="none"/>
              </w:rPr>
              <w:t>商务标评分标准</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）以</w:t>
            </w:r>
            <w:r>
              <w:rPr>
                <w:rFonts w:hint="eastAsia"/>
                <w:color w:val="auto"/>
                <w:highlight w:val="none"/>
              </w:rPr>
              <w:t>等于评标基准价的投标报价</w:t>
            </w:r>
            <w:r>
              <w:rPr>
                <w:rFonts w:hint="eastAsia" w:cs="宋体"/>
                <w:color w:val="auto"/>
                <w:highlight w:val="none"/>
              </w:rPr>
              <w:t>为满分100分，采用内插法计算，投标人投标总价每高于评标基准价</w:t>
            </w:r>
            <w:r>
              <w:rPr>
                <w:color w:val="auto"/>
                <w:highlight w:val="none"/>
              </w:rPr>
              <w:t>1</w:t>
            </w:r>
            <w:r>
              <w:rPr>
                <w:rFonts w:hint="eastAsia" w:cs="宋体"/>
                <w:color w:val="auto"/>
                <w:highlight w:val="none"/>
              </w:rPr>
              <w:t>％的扣</w:t>
            </w:r>
            <w:r>
              <w:rPr>
                <w:color w:val="auto"/>
                <w:highlight w:val="none"/>
              </w:rPr>
              <w:t>1.5</w:t>
            </w:r>
            <w:r>
              <w:rPr>
                <w:rFonts w:hint="eastAsia" w:cs="宋体"/>
                <w:color w:val="auto"/>
                <w:highlight w:val="none"/>
              </w:rPr>
              <w:t>分，每低于评标基准价</w:t>
            </w:r>
            <w:r>
              <w:rPr>
                <w:color w:val="auto"/>
                <w:highlight w:val="none"/>
              </w:rPr>
              <w:t>1</w:t>
            </w:r>
            <w:r>
              <w:rPr>
                <w:rFonts w:hint="eastAsia" w:cs="宋体"/>
                <w:color w:val="auto"/>
                <w:highlight w:val="none"/>
              </w:rPr>
              <w:t>％的扣</w:t>
            </w:r>
            <w:r>
              <w:rPr>
                <w:color w:val="auto"/>
                <w:highlight w:val="none"/>
              </w:rPr>
              <w:t>1</w:t>
            </w:r>
            <w:r>
              <w:rPr>
                <w:rFonts w:hint="eastAsia" w:cs="宋体"/>
                <w:color w:val="auto"/>
                <w:highlight w:val="none"/>
              </w:rPr>
              <w:t>分，计算出投标人的投标总价得分。</w:t>
            </w:r>
          </w:p>
          <w:p>
            <w:pPr>
              <w:spacing w:line="360" w:lineRule="auto"/>
              <w:ind w:firstLine="420" w:firstLineChars="200"/>
              <w:rPr>
                <w:rFonts w:hint="eastAsia"/>
                <w:color w:val="auto"/>
                <w:highlight w:val="none"/>
              </w:rPr>
            </w:pPr>
            <w:r>
              <w:rPr>
                <w:rFonts w:hint="eastAsia" w:cs="宋体"/>
                <w:color w:val="auto"/>
                <w:highlight w:val="none"/>
              </w:rPr>
              <w:t>（</w:t>
            </w:r>
            <w:r>
              <w:rPr>
                <w:color w:val="auto"/>
                <w:highlight w:val="none"/>
              </w:rPr>
              <w:t>2</w:t>
            </w:r>
            <w:r>
              <w:rPr>
                <w:rFonts w:hint="eastAsia" w:cs="宋体"/>
                <w:color w:val="auto"/>
                <w:highlight w:val="none"/>
              </w:rPr>
              <w:t>）报价分加权得分</w:t>
            </w:r>
            <w:r>
              <w:rPr>
                <w:color w:val="auto"/>
                <w:highlight w:val="none"/>
              </w:rPr>
              <w:t>=</w:t>
            </w:r>
            <w:r>
              <w:rPr>
                <w:rFonts w:hint="eastAsia" w:cs="宋体"/>
                <w:color w:val="auto"/>
                <w:highlight w:val="none"/>
              </w:rPr>
              <w:t>该投标人的投标总价得分（满分100分）×</w:t>
            </w:r>
            <w:r>
              <w:rPr>
                <w:rFonts w:hint="eastAsia" w:ascii="宋体" w:hAnsi="宋体" w:cs="宋体"/>
                <w:color w:val="auto"/>
                <w:highlight w:val="none"/>
              </w:rPr>
              <w:t>报价分分值权重</w:t>
            </w:r>
            <w:r>
              <w:rPr>
                <w:rFonts w:hint="eastAsia"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jc w:val="center"/>
        </w:trPr>
        <w:tc>
          <w:tcPr>
            <w:tcW w:w="780" w:type="dxa"/>
            <w:noWrap w:val="0"/>
            <w:vAlign w:val="center"/>
          </w:tcPr>
          <w:p>
            <w:pPr>
              <w:spacing w:line="360" w:lineRule="auto"/>
              <w:jc w:val="center"/>
              <w:rPr>
                <w:rFonts w:hint="eastAsia" w:eastAsia="宋体"/>
                <w:color w:val="auto"/>
                <w:highlight w:val="none"/>
                <w:lang w:val="en-US" w:eastAsia="zh-CN"/>
              </w:rPr>
            </w:pPr>
            <w:r>
              <w:rPr>
                <w:rFonts w:hint="eastAsia"/>
                <w:color w:val="auto"/>
                <w:highlight w:val="none"/>
                <w:lang w:val="en-US" w:eastAsia="zh-CN"/>
              </w:rPr>
              <w:t>2.2.2（4）</w:t>
            </w:r>
          </w:p>
        </w:tc>
        <w:tc>
          <w:tcPr>
            <w:tcW w:w="1077" w:type="dxa"/>
            <w:noWrap w:val="0"/>
            <w:vAlign w:val="center"/>
          </w:tcPr>
          <w:p>
            <w:pPr>
              <w:jc w:val="center"/>
              <w:rPr>
                <w:rFonts w:hint="eastAsia" w:eastAsia="宋体"/>
                <w:color w:val="auto"/>
                <w:highlight w:val="none"/>
                <w:lang w:eastAsia="zh-CN"/>
              </w:rPr>
            </w:pPr>
            <w:r>
              <w:rPr>
                <w:rFonts w:hint="eastAsia" w:eastAsia="宋体"/>
                <w:color w:val="auto"/>
                <w:highlight w:val="none"/>
                <w:lang w:eastAsia="zh-CN"/>
              </w:rPr>
              <w:t>企业信誉实力评分标准</w:t>
            </w:r>
            <w:r>
              <w:rPr>
                <w:rFonts w:hint="eastAsia" w:cs="宋体"/>
                <w:color w:val="auto"/>
                <w:highlight w:val="none"/>
              </w:rPr>
              <w:t>（</w:t>
            </w:r>
            <w:r>
              <w:rPr>
                <w:rFonts w:hint="eastAsia" w:ascii="宋体" w:hAnsi="宋体" w:cs="宋体"/>
                <w:color w:val="auto"/>
                <w:highlight w:val="none"/>
                <w:lang w:val="en-US" w:eastAsia="zh-CN"/>
              </w:rPr>
              <w:t>分值权重10%</w:t>
            </w:r>
            <w:r>
              <w:rPr>
                <w:rFonts w:hint="eastAsia" w:eastAsia="宋体"/>
                <w:color w:val="auto"/>
                <w:highlight w:val="none"/>
                <w:lang w:eastAsia="zh-CN"/>
              </w:rPr>
              <w:t>）</w:t>
            </w:r>
          </w:p>
        </w:tc>
        <w:tc>
          <w:tcPr>
            <w:tcW w:w="8274" w:type="dxa"/>
            <w:gridSpan w:val="3"/>
            <w:noWrap w:val="0"/>
            <w:vAlign w:val="center"/>
          </w:tcPr>
          <w:p>
            <w:pPr>
              <w:spacing w:line="360" w:lineRule="auto"/>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color w:val="auto"/>
                <w:highlight w:val="none"/>
              </w:rPr>
              <w:t>以北海市住建局公布的2019年度施工企业诚信评价等级为准，分为A、B、C、D四个等级。A级得</w:t>
            </w:r>
            <w:r>
              <w:rPr>
                <w:rFonts w:hint="eastAsia"/>
                <w:color w:val="auto"/>
                <w:highlight w:val="none"/>
                <w:lang w:val="en-US" w:eastAsia="zh-CN"/>
              </w:rPr>
              <w:t>100</w:t>
            </w:r>
            <w:r>
              <w:rPr>
                <w:color w:val="auto"/>
                <w:highlight w:val="none"/>
              </w:rPr>
              <w:t>分，B级得</w:t>
            </w:r>
            <w:r>
              <w:rPr>
                <w:rFonts w:hint="eastAsia"/>
                <w:color w:val="auto"/>
                <w:highlight w:val="none"/>
                <w:lang w:val="en-US" w:eastAsia="zh-CN"/>
              </w:rPr>
              <w:t>60</w:t>
            </w:r>
            <w:r>
              <w:rPr>
                <w:color w:val="auto"/>
                <w:highlight w:val="none"/>
              </w:rPr>
              <w:t>分，C级得</w:t>
            </w:r>
            <w:r>
              <w:rPr>
                <w:rFonts w:hint="eastAsia"/>
                <w:color w:val="auto"/>
                <w:highlight w:val="none"/>
                <w:lang w:val="en-US" w:eastAsia="zh-CN"/>
              </w:rPr>
              <w:t>20</w:t>
            </w:r>
            <w:r>
              <w:rPr>
                <w:color w:val="auto"/>
                <w:highlight w:val="none"/>
              </w:rPr>
              <w:t>分，D级得0分。（对于过去三年在我市没有任何良好或不良行为记录的企业，不进行评价计算，没有评价等级，对此类企业暂定为C级，参照C级企业进行打分）</w:t>
            </w:r>
          </w:p>
          <w:p>
            <w:pPr>
              <w:spacing w:line="360" w:lineRule="auto"/>
              <w:rPr>
                <w:rFonts w:hint="eastAsia"/>
                <w:color w:val="auto"/>
                <w:highlight w:val="none"/>
              </w:rPr>
            </w:pPr>
            <w:r>
              <w:rPr>
                <w:rFonts w:hint="eastAsia" w:cs="宋体"/>
                <w:color w:val="auto"/>
                <w:highlight w:val="none"/>
              </w:rPr>
              <w:t>（</w:t>
            </w:r>
            <w:r>
              <w:rPr>
                <w:color w:val="auto"/>
                <w:highlight w:val="none"/>
              </w:rPr>
              <w:t>2</w:t>
            </w:r>
            <w:r>
              <w:rPr>
                <w:rFonts w:hint="eastAsia" w:cs="宋体"/>
                <w:color w:val="auto"/>
                <w:highlight w:val="none"/>
              </w:rPr>
              <w:t>）企业信誉实力加权得分</w:t>
            </w:r>
            <w:r>
              <w:rPr>
                <w:color w:val="auto"/>
                <w:highlight w:val="none"/>
              </w:rPr>
              <w:t>=</w:t>
            </w:r>
            <w:r>
              <w:rPr>
                <w:rFonts w:hint="eastAsia" w:cs="宋体"/>
                <w:color w:val="auto"/>
                <w:highlight w:val="none"/>
              </w:rPr>
              <w:t>该投标人的企业信誉实力得分（满分100分）×企业信誉实力</w:t>
            </w:r>
            <w:r>
              <w:rPr>
                <w:rFonts w:hint="eastAsia" w:cs="宋体"/>
                <w:color w:val="auto"/>
                <w:highlight w:val="none"/>
                <w:lang w:eastAsia="zh-CN"/>
              </w:rPr>
              <w:t>分</w:t>
            </w:r>
            <w:r>
              <w:rPr>
                <w:rFonts w:hint="eastAsia" w:ascii="宋体" w:hAnsi="宋体" w:cs="宋体"/>
                <w:color w:val="auto"/>
                <w:highlight w:val="none"/>
              </w:rPr>
              <w:t>分值权重</w:t>
            </w:r>
            <w:r>
              <w:rPr>
                <w:rFonts w:hint="eastAsia"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857" w:type="dxa"/>
            <w:gridSpan w:val="2"/>
            <w:noWrap w:val="0"/>
            <w:vAlign w:val="center"/>
          </w:tcPr>
          <w:p>
            <w:pPr>
              <w:spacing w:line="360" w:lineRule="auto"/>
              <w:jc w:val="center"/>
              <w:rPr>
                <w:rFonts w:hint="eastAsia" w:cs="宋体"/>
                <w:color w:val="auto"/>
                <w:highlight w:val="none"/>
              </w:rPr>
            </w:pPr>
            <w:r>
              <w:rPr>
                <w:rFonts w:hint="eastAsia" w:cs="宋体"/>
                <w:color w:val="auto"/>
                <w:highlight w:val="none"/>
              </w:rPr>
              <w:t>投标人汇总得分</w:t>
            </w:r>
          </w:p>
          <w:p>
            <w:pPr>
              <w:spacing w:line="360" w:lineRule="auto"/>
              <w:jc w:val="center"/>
              <w:rPr>
                <w:color w:val="auto"/>
                <w:highlight w:val="none"/>
              </w:rPr>
            </w:pPr>
            <w:r>
              <w:rPr>
                <w:rFonts w:hint="eastAsia" w:cs="宋体"/>
                <w:color w:val="auto"/>
                <w:highlight w:val="none"/>
              </w:rPr>
              <w:t>（满分100分）</w:t>
            </w:r>
          </w:p>
        </w:tc>
        <w:tc>
          <w:tcPr>
            <w:tcW w:w="8274" w:type="dxa"/>
            <w:gridSpan w:val="3"/>
            <w:noWrap w:val="0"/>
            <w:vAlign w:val="center"/>
          </w:tcPr>
          <w:p>
            <w:pPr>
              <w:spacing w:line="360" w:lineRule="auto"/>
              <w:rPr>
                <w:rFonts w:hint="eastAsia" w:cs="宋体"/>
                <w:color w:val="auto"/>
                <w:highlight w:val="none"/>
              </w:rPr>
            </w:pPr>
            <w:r>
              <w:rPr>
                <w:rFonts w:hint="eastAsia" w:cs="宋体"/>
                <w:color w:val="auto"/>
                <w:highlight w:val="none"/>
              </w:rPr>
              <w:t>商务标得分= 报价分加权得分 + 企业信誉实力加权得分</w:t>
            </w:r>
          </w:p>
          <w:p>
            <w:pPr>
              <w:spacing w:line="360" w:lineRule="auto"/>
              <w:rPr>
                <w:color w:val="auto"/>
                <w:highlight w:val="none"/>
              </w:rPr>
            </w:pPr>
            <w:r>
              <w:rPr>
                <w:rFonts w:hint="eastAsia" w:cs="宋体"/>
                <w:color w:val="auto"/>
                <w:highlight w:val="none"/>
              </w:rPr>
              <w:t>投标人汇总得分</w:t>
            </w:r>
            <w:r>
              <w:rPr>
                <w:color w:val="auto"/>
                <w:highlight w:val="none"/>
              </w:rPr>
              <w:t>=</w:t>
            </w:r>
            <w:r>
              <w:rPr>
                <w:rFonts w:hint="eastAsia" w:cs="宋体"/>
                <w:color w:val="auto"/>
                <w:highlight w:val="none"/>
              </w:rPr>
              <w:t xml:space="preserve"> 技术标加权得分 </w:t>
            </w:r>
            <w:r>
              <w:rPr>
                <w:color w:val="auto"/>
                <w:highlight w:val="none"/>
              </w:rPr>
              <w:t>+</w:t>
            </w:r>
            <w:r>
              <w:rPr>
                <w:rFonts w:hint="eastAsia"/>
                <w:color w:val="auto"/>
                <w:highlight w:val="none"/>
              </w:rPr>
              <w:t xml:space="preserve"> </w:t>
            </w:r>
            <w:r>
              <w:rPr>
                <w:rFonts w:hint="eastAsia" w:cs="宋体"/>
                <w:color w:val="auto"/>
                <w:highlight w:val="none"/>
              </w:rPr>
              <w:t>商务标得分</w:t>
            </w:r>
          </w:p>
        </w:tc>
      </w:tr>
    </w:tbl>
    <w:p>
      <w:pPr>
        <w:pStyle w:val="5"/>
        <w:jc w:val="center"/>
        <w:rPr>
          <w:rFonts w:hint="eastAsia" w:cs="黑体"/>
          <w:color w:val="auto"/>
          <w:highlight w:val="none"/>
        </w:rPr>
      </w:pPr>
      <w:bookmarkStart w:id="156" w:name="_Toc407135170"/>
      <w:bookmarkStart w:id="157" w:name="_Toc23017"/>
      <w:bookmarkStart w:id="158" w:name="_Toc389065240"/>
    </w:p>
    <w:p>
      <w:pPr>
        <w:pStyle w:val="5"/>
        <w:jc w:val="center"/>
        <w:rPr>
          <w:rFonts w:hint="eastAsia" w:cs="黑体"/>
          <w:color w:val="auto"/>
          <w:highlight w:val="none"/>
        </w:rPr>
      </w:pPr>
    </w:p>
    <w:p>
      <w:pPr>
        <w:pStyle w:val="5"/>
        <w:jc w:val="center"/>
        <w:rPr>
          <w:rFonts w:hint="eastAsia" w:cs="黑体"/>
          <w:color w:val="auto"/>
          <w:highlight w:val="none"/>
        </w:rPr>
      </w:pPr>
    </w:p>
    <w:p>
      <w:pPr>
        <w:pStyle w:val="5"/>
        <w:jc w:val="center"/>
        <w:rPr>
          <w:rFonts w:hint="eastAsia" w:cs="黑体"/>
          <w:color w:val="auto"/>
          <w:highlight w:val="none"/>
        </w:rPr>
      </w:pPr>
    </w:p>
    <w:p>
      <w:pPr>
        <w:pStyle w:val="5"/>
        <w:jc w:val="center"/>
        <w:rPr>
          <w:rFonts w:hint="eastAsia" w:cs="黑体"/>
          <w:color w:val="auto"/>
          <w:highlight w:val="none"/>
        </w:rPr>
      </w:pPr>
    </w:p>
    <w:p>
      <w:pPr>
        <w:pStyle w:val="5"/>
        <w:jc w:val="center"/>
        <w:rPr>
          <w:rFonts w:hint="eastAsia" w:cs="黑体"/>
          <w:color w:val="auto"/>
          <w:highlight w:val="none"/>
        </w:rPr>
      </w:pPr>
    </w:p>
    <w:p>
      <w:pPr>
        <w:pStyle w:val="5"/>
        <w:jc w:val="center"/>
        <w:rPr>
          <w:rFonts w:hint="eastAsia" w:cs="黑体"/>
          <w:color w:val="auto"/>
          <w:highlight w:val="none"/>
        </w:rPr>
      </w:pPr>
    </w:p>
    <w:p>
      <w:pPr>
        <w:pStyle w:val="5"/>
        <w:jc w:val="center"/>
        <w:rPr>
          <w:rFonts w:hint="eastAsia" w:cs="黑体"/>
          <w:color w:val="auto"/>
          <w:highlight w:val="none"/>
        </w:rPr>
      </w:pPr>
    </w:p>
    <w:p>
      <w:pPr>
        <w:pStyle w:val="5"/>
        <w:jc w:val="both"/>
        <w:rPr>
          <w:rFonts w:hint="eastAsia" w:eastAsia="黑体" w:cs="黑体"/>
          <w:color w:val="auto"/>
          <w:highlight w:val="none"/>
          <w:lang w:eastAsia="zh-CN"/>
        </w:rPr>
      </w:pPr>
    </w:p>
    <w:p>
      <w:pPr>
        <w:rPr>
          <w:rFonts w:hint="eastAsia" w:eastAsia="黑体" w:cs="黑体"/>
          <w:color w:val="auto"/>
          <w:highlight w:val="none"/>
          <w:lang w:eastAsia="zh-CN"/>
        </w:rPr>
      </w:pPr>
    </w:p>
    <w:p>
      <w:pPr>
        <w:pStyle w:val="2"/>
        <w:rPr>
          <w:rFonts w:hint="eastAsia"/>
          <w:color w:val="auto"/>
          <w:highlight w:val="none"/>
          <w:lang w:eastAsia="zh-CN"/>
        </w:rPr>
      </w:pPr>
    </w:p>
    <w:p>
      <w:pPr>
        <w:pStyle w:val="5"/>
        <w:jc w:val="center"/>
        <w:rPr>
          <w:rFonts w:hint="eastAsia" w:cs="黑体"/>
          <w:color w:val="auto"/>
          <w:highlight w:val="none"/>
        </w:rPr>
      </w:pPr>
    </w:p>
    <w:p>
      <w:pPr>
        <w:rPr>
          <w:rFonts w:hint="eastAsia" w:cs="黑体"/>
          <w:color w:val="auto"/>
          <w:highlight w:val="none"/>
        </w:rPr>
      </w:pPr>
    </w:p>
    <w:p>
      <w:pPr>
        <w:pStyle w:val="2"/>
        <w:rPr>
          <w:rFonts w:hint="eastAsia"/>
          <w:color w:val="auto"/>
          <w:highlight w:val="none"/>
        </w:rPr>
      </w:pPr>
    </w:p>
    <w:p>
      <w:pPr>
        <w:pStyle w:val="4"/>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s="黑体"/>
          <w:color w:val="auto"/>
          <w:highlight w:val="none"/>
        </w:rPr>
      </w:pPr>
    </w:p>
    <w:p>
      <w:pPr>
        <w:pStyle w:val="4"/>
        <w:rPr>
          <w:rFonts w:hint="eastAsia"/>
          <w:color w:val="auto"/>
          <w:highlight w:val="none"/>
        </w:rPr>
      </w:pPr>
    </w:p>
    <w:p>
      <w:pPr>
        <w:pStyle w:val="5"/>
        <w:jc w:val="center"/>
        <w:rPr>
          <w:color w:val="auto"/>
          <w:highlight w:val="none"/>
        </w:rPr>
      </w:pPr>
      <w:r>
        <w:rPr>
          <w:rFonts w:hint="eastAsia" w:cs="黑体"/>
          <w:color w:val="auto"/>
          <w:highlight w:val="none"/>
        </w:rPr>
        <w:t>评标办法（综合评估法）正文部分</w:t>
      </w:r>
      <w:bookmarkEnd w:id="156"/>
      <w:bookmarkEnd w:id="157"/>
      <w:bookmarkEnd w:id="158"/>
    </w:p>
    <w:p>
      <w:pPr>
        <w:rPr>
          <w:color w:val="auto"/>
          <w:highlight w:val="none"/>
        </w:rPr>
      </w:pPr>
    </w:p>
    <w:p>
      <w:pPr>
        <w:pStyle w:val="6"/>
        <w:rPr>
          <w:color w:val="auto"/>
          <w:highlight w:val="none"/>
        </w:rPr>
      </w:pPr>
      <w:bookmarkStart w:id="159" w:name="_Toc389065241"/>
      <w:bookmarkStart w:id="160" w:name="_Toc407135171"/>
      <w:bookmarkStart w:id="161" w:name="_Toc184635093"/>
      <w:bookmarkStart w:id="162" w:name="_Toc25814"/>
      <w:r>
        <w:rPr>
          <w:color w:val="auto"/>
          <w:highlight w:val="none"/>
        </w:rPr>
        <w:t xml:space="preserve">1 </w:t>
      </w:r>
      <w:r>
        <w:rPr>
          <w:rFonts w:hint="eastAsia" w:cs="黑体"/>
          <w:color w:val="auto"/>
          <w:highlight w:val="none"/>
        </w:rPr>
        <w:t>评标方法</w:t>
      </w:r>
      <w:bookmarkEnd w:id="159"/>
      <w:bookmarkEnd w:id="160"/>
      <w:bookmarkEnd w:id="161"/>
      <w:bookmarkEnd w:id="162"/>
    </w:p>
    <w:p>
      <w:pPr>
        <w:spacing w:line="360" w:lineRule="auto"/>
        <w:ind w:firstLine="420" w:firstLineChars="200"/>
        <w:rPr>
          <w:color w:val="auto"/>
          <w:highlight w:val="none"/>
        </w:rPr>
      </w:pPr>
      <w:r>
        <w:rPr>
          <w:rFonts w:hint="eastAsia" w:cs="宋体"/>
          <w:color w:val="auto"/>
          <w:highlight w:val="none"/>
        </w:rPr>
        <w:t>本次评标采用综合评估法。评标委员会对满足招标文件实质性要求的投标文件，按照本章</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第</w:t>
      </w:r>
      <w:r>
        <w:rPr>
          <w:color w:val="auto"/>
          <w:highlight w:val="none"/>
        </w:rPr>
        <w:t>2.1</w:t>
      </w:r>
      <w:r>
        <w:rPr>
          <w:rFonts w:hint="eastAsia" w:cs="宋体"/>
          <w:color w:val="auto"/>
          <w:highlight w:val="none"/>
        </w:rPr>
        <w:t>、</w:t>
      </w:r>
      <w:r>
        <w:rPr>
          <w:color w:val="auto"/>
          <w:highlight w:val="none"/>
        </w:rPr>
        <w:t>2.2</w:t>
      </w:r>
      <w:r>
        <w:rPr>
          <w:rFonts w:hint="eastAsia" w:cs="宋体"/>
          <w:color w:val="auto"/>
          <w:highlight w:val="none"/>
        </w:rPr>
        <w:t>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以技术标得分高的优先；技术标得分也相等的，由评标委员会采用记名投票方式确定。</w:t>
      </w:r>
    </w:p>
    <w:p>
      <w:pPr>
        <w:pStyle w:val="6"/>
        <w:rPr>
          <w:color w:val="auto"/>
          <w:highlight w:val="none"/>
        </w:rPr>
      </w:pPr>
      <w:bookmarkStart w:id="163" w:name="_Toc389065242"/>
      <w:bookmarkStart w:id="164" w:name="_Toc15299"/>
      <w:bookmarkStart w:id="165" w:name="_Toc184635094"/>
      <w:bookmarkStart w:id="166" w:name="_Toc407135172"/>
      <w:r>
        <w:rPr>
          <w:color w:val="auto"/>
          <w:highlight w:val="none"/>
        </w:rPr>
        <w:t xml:space="preserve">2 </w:t>
      </w:r>
      <w:r>
        <w:rPr>
          <w:rFonts w:hint="eastAsia" w:cs="黑体"/>
          <w:color w:val="auto"/>
          <w:highlight w:val="none"/>
        </w:rPr>
        <w:t>评审标准</w:t>
      </w:r>
      <w:bookmarkEnd w:id="163"/>
      <w:bookmarkEnd w:id="164"/>
      <w:bookmarkEnd w:id="165"/>
      <w:bookmarkEnd w:id="166"/>
    </w:p>
    <w:p>
      <w:pPr>
        <w:pStyle w:val="7"/>
        <w:ind w:firstLine="420"/>
        <w:rPr>
          <w:color w:val="auto"/>
          <w:highlight w:val="none"/>
        </w:rPr>
      </w:pPr>
      <w:bookmarkStart w:id="167" w:name="_Toc28238"/>
      <w:bookmarkStart w:id="168" w:name="_Toc407135173"/>
      <w:bookmarkStart w:id="169" w:name="_Toc389065243"/>
      <w:r>
        <w:rPr>
          <w:color w:val="auto"/>
          <w:highlight w:val="none"/>
        </w:rPr>
        <w:t xml:space="preserve">2.1 </w:t>
      </w:r>
      <w:r>
        <w:rPr>
          <w:rFonts w:hint="eastAsia" w:cs="黑体"/>
          <w:color w:val="auto"/>
          <w:highlight w:val="none"/>
        </w:rPr>
        <w:t>初步评审标准</w:t>
      </w:r>
      <w:bookmarkEnd w:id="167"/>
      <w:bookmarkEnd w:id="168"/>
      <w:bookmarkEnd w:id="169"/>
    </w:p>
    <w:p>
      <w:pPr>
        <w:spacing w:line="360" w:lineRule="auto"/>
        <w:ind w:firstLine="420" w:firstLineChars="200"/>
        <w:rPr>
          <w:color w:val="auto"/>
          <w:highlight w:val="none"/>
        </w:rPr>
      </w:pPr>
      <w:r>
        <w:rPr>
          <w:color w:val="auto"/>
          <w:highlight w:val="none"/>
        </w:rPr>
        <w:t xml:space="preserve">2.1.1 </w:t>
      </w:r>
      <w:r>
        <w:rPr>
          <w:rFonts w:hint="eastAsia" w:cs="宋体"/>
          <w:color w:val="auto"/>
          <w:highlight w:val="none"/>
        </w:rPr>
        <w:t>资格</w:t>
      </w:r>
      <w:r>
        <w:rPr>
          <w:rFonts w:hint="eastAsia" w:cs="宋体"/>
          <w:color w:val="auto"/>
          <w:highlight w:val="none"/>
          <w:lang w:eastAsia="zh-CN"/>
        </w:rPr>
        <w:t>性</w:t>
      </w:r>
      <w:r>
        <w:rPr>
          <w:rFonts w:hint="eastAsia" w:cs="宋体"/>
          <w:color w:val="auto"/>
          <w:highlight w:val="none"/>
        </w:rPr>
        <w:t>评审标准：见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pPr>
        <w:spacing w:line="360" w:lineRule="auto"/>
        <w:ind w:firstLine="420" w:firstLineChars="200"/>
        <w:rPr>
          <w:color w:val="auto"/>
          <w:highlight w:val="none"/>
        </w:rPr>
      </w:pPr>
      <w:r>
        <w:rPr>
          <w:color w:val="auto"/>
          <w:highlight w:val="none"/>
        </w:rPr>
        <w:t>2.1.2</w:t>
      </w:r>
      <w:r>
        <w:rPr>
          <w:rFonts w:hint="eastAsia"/>
          <w:color w:val="auto"/>
          <w:highlight w:val="none"/>
          <w:lang w:eastAsia="zh-CN"/>
        </w:rPr>
        <w:t>符合性评审</w:t>
      </w:r>
      <w:r>
        <w:rPr>
          <w:rFonts w:hint="eastAsia" w:cs="宋体"/>
          <w:color w:val="auto"/>
          <w:highlight w:val="none"/>
        </w:rPr>
        <w:t>标准：见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pPr>
        <w:pStyle w:val="7"/>
        <w:ind w:firstLine="420"/>
        <w:rPr>
          <w:color w:val="auto"/>
          <w:highlight w:val="none"/>
        </w:rPr>
      </w:pPr>
      <w:bookmarkStart w:id="170" w:name="_Toc5482"/>
      <w:bookmarkStart w:id="171" w:name="_Toc389065244"/>
      <w:bookmarkStart w:id="172" w:name="_Toc407135174"/>
      <w:bookmarkStart w:id="173" w:name="_Toc389065245"/>
      <w:bookmarkStart w:id="174" w:name="_Toc184635095"/>
      <w:r>
        <w:rPr>
          <w:color w:val="auto"/>
          <w:highlight w:val="none"/>
        </w:rPr>
        <w:t xml:space="preserve">2.2 </w:t>
      </w:r>
      <w:r>
        <w:rPr>
          <w:rFonts w:hint="eastAsia" w:cs="黑体"/>
          <w:color w:val="auto"/>
          <w:highlight w:val="none"/>
        </w:rPr>
        <w:t>详细评审标准</w:t>
      </w:r>
      <w:bookmarkEnd w:id="170"/>
      <w:bookmarkEnd w:id="171"/>
      <w:bookmarkEnd w:id="172"/>
    </w:p>
    <w:p>
      <w:pPr>
        <w:spacing w:line="360" w:lineRule="auto"/>
        <w:ind w:firstLine="420" w:firstLineChars="200"/>
        <w:rPr>
          <w:color w:val="auto"/>
          <w:highlight w:val="none"/>
        </w:rPr>
      </w:pPr>
      <w:r>
        <w:rPr>
          <w:color w:val="auto"/>
          <w:highlight w:val="none"/>
        </w:rPr>
        <w:t xml:space="preserve">2.2.1 </w:t>
      </w:r>
      <w:r>
        <w:rPr>
          <w:rFonts w:hint="eastAsia" w:cs="宋体"/>
          <w:color w:val="auto"/>
          <w:highlight w:val="none"/>
        </w:rPr>
        <w:t>分值构成：见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pPr>
        <w:spacing w:line="360" w:lineRule="auto"/>
        <w:ind w:firstLine="420" w:firstLineChars="200"/>
        <w:rPr>
          <w:color w:val="auto"/>
          <w:highlight w:val="none"/>
        </w:rPr>
      </w:pPr>
      <w:r>
        <w:rPr>
          <w:color w:val="auto"/>
          <w:highlight w:val="none"/>
        </w:rPr>
        <w:t xml:space="preserve">2.2.2 </w:t>
      </w:r>
      <w:r>
        <w:rPr>
          <w:rFonts w:hint="eastAsia" w:cs="宋体"/>
          <w:color w:val="auto"/>
          <w:highlight w:val="none"/>
        </w:rPr>
        <w:t>评分标准</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）技术标评分标准：见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）评标基准价计算方法：见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bookmarkStart w:id="175" w:name="_Hlk16009383"/>
      <w:r>
        <w:rPr>
          <w:rFonts w:hint="eastAsia" w:cs="宋体"/>
          <w:color w:val="auto"/>
          <w:highlight w:val="none"/>
        </w:rPr>
        <w:t>报价分</w:t>
      </w:r>
      <w:bookmarkEnd w:id="175"/>
      <w:r>
        <w:rPr>
          <w:rFonts w:hint="eastAsia" w:cs="宋体"/>
          <w:color w:val="auto"/>
          <w:highlight w:val="none"/>
        </w:rPr>
        <w:t>评分标准：见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）企业信誉实力分评分标准：见</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w:t>
      </w:r>
    </w:p>
    <w:p>
      <w:pPr>
        <w:pStyle w:val="6"/>
        <w:rPr>
          <w:rFonts w:cs="黑体"/>
          <w:color w:val="auto"/>
          <w:highlight w:val="none"/>
        </w:rPr>
      </w:pPr>
      <w:bookmarkStart w:id="176" w:name="_Toc30163"/>
      <w:bookmarkStart w:id="177" w:name="_Toc407135175"/>
      <w:r>
        <w:rPr>
          <w:color w:val="auto"/>
          <w:highlight w:val="none"/>
        </w:rPr>
        <w:t xml:space="preserve">3 </w:t>
      </w:r>
      <w:r>
        <w:rPr>
          <w:rFonts w:hint="eastAsia" w:cs="黑体"/>
          <w:color w:val="auto"/>
          <w:highlight w:val="none"/>
        </w:rPr>
        <w:t>评标程序</w:t>
      </w:r>
      <w:bookmarkEnd w:id="173"/>
      <w:bookmarkEnd w:id="174"/>
      <w:bookmarkEnd w:id="176"/>
      <w:bookmarkEnd w:id="177"/>
    </w:p>
    <w:p>
      <w:pPr>
        <w:pStyle w:val="7"/>
        <w:ind w:firstLine="420"/>
        <w:rPr>
          <w:color w:val="auto"/>
          <w:highlight w:val="none"/>
        </w:rPr>
      </w:pPr>
      <w:bookmarkStart w:id="178" w:name="_Toc23952"/>
      <w:bookmarkStart w:id="179" w:name="_Toc407135176"/>
      <w:bookmarkStart w:id="180" w:name="_Toc389065246"/>
      <w:r>
        <w:rPr>
          <w:color w:val="auto"/>
          <w:highlight w:val="none"/>
        </w:rPr>
        <w:t xml:space="preserve">3.1 </w:t>
      </w:r>
      <w:r>
        <w:rPr>
          <w:rFonts w:hint="eastAsia" w:cs="黑体"/>
          <w:color w:val="auto"/>
          <w:highlight w:val="none"/>
        </w:rPr>
        <w:t>初步评审</w:t>
      </w:r>
      <w:bookmarkEnd w:id="178"/>
      <w:bookmarkEnd w:id="179"/>
      <w:bookmarkEnd w:id="180"/>
    </w:p>
    <w:p>
      <w:pPr>
        <w:spacing w:line="360" w:lineRule="auto"/>
        <w:ind w:firstLine="420" w:firstLineChars="200"/>
        <w:rPr>
          <w:color w:val="auto"/>
          <w:highlight w:val="none"/>
        </w:rPr>
      </w:pPr>
      <w:r>
        <w:rPr>
          <w:color w:val="auto"/>
          <w:highlight w:val="none"/>
        </w:rPr>
        <w:t xml:space="preserve">3.1.1 </w:t>
      </w:r>
      <w:r>
        <w:rPr>
          <w:rFonts w:hint="eastAsia" w:cs="宋体"/>
          <w:color w:val="auto"/>
          <w:highlight w:val="none"/>
        </w:rPr>
        <w:t>评标委员会依据本章第</w:t>
      </w:r>
      <w:r>
        <w:rPr>
          <w:color w:val="auto"/>
          <w:highlight w:val="none"/>
        </w:rPr>
        <w:t>2.1</w:t>
      </w:r>
      <w:r>
        <w:rPr>
          <w:rFonts w:hint="eastAsia" w:cs="宋体"/>
          <w:color w:val="auto"/>
          <w:highlight w:val="none"/>
        </w:rPr>
        <w:t>款规定的标准对投标文件进行初步评审。有一项不符合评审标准的，作否决投标处理。</w:t>
      </w:r>
    </w:p>
    <w:p>
      <w:pPr>
        <w:spacing w:line="360" w:lineRule="auto"/>
        <w:ind w:firstLine="420" w:firstLineChars="200"/>
        <w:rPr>
          <w:color w:val="auto"/>
          <w:highlight w:val="none"/>
        </w:rPr>
      </w:pPr>
      <w:r>
        <w:rPr>
          <w:color w:val="auto"/>
          <w:highlight w:val="none"/>
        </w:rPr>
        <w:t xml:space="preserve">3.1.2 </w:t>
      </w:r>
      <w:r>
        <w:rPr>
          <w:rFonts w:hint="eastAsia" w:cs="宋体"/>
          <w:color w:val="auto"/>
          <w:highlight w:val="none"/>
        </w:rPr>
        <w:t>投标人有以下情形之一的，其投标作否决投标处理：</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第</w:t>
      </w:r>
      <w:r>
        <w:rPr>
          <w:color w:val="auto"/>
          <w:highlight w:val="none"/>
        </w:rPr>
        <w:t xml:space="preserve">1.4.3 </w:t>
      </w:r>
      <w:r>
        <w:rPr>
          <w:rFonts w:hint="eastAsia" w:cs="宋体"/>
          <w:color w:val="auto"/>
          <w:highlight w:val="none"/>
        </w:rPr>
        <w:t>项规定的任何一种情形的：</w:t>
      </w:r>
    </w:p>
    <w:p>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）串通投标或弄虚作假或有其他违法行为的；</w:t>
      </w:r>
    </w:p>
    <w:p>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）不按评标委员会要求澄清、说明或补正的。</w:t>
      </w:r>
    </w:p>
    <w:p>
      <w:pPr>
        <w:spacing w:line="360" w:lineRule="auto"/>
        <w:ind w:firstLine="420" w:firstLineChars="200"/>
        <w:rPr>
          <w:color w:val="auto"/>
          <w:highlight w:val="none"/>
        </w:rPr>
      </w:pPr>
      <w:bookmarkStart w:id="181" w:name="_Toc389065247"/>
      <w:r>
        <w:rPr>
          <w:color w:val="auto"/>
          <w:highlight w:val="none"/>
        </w:rPr>
        <w:t xml:space="preserve">3.1.3 </w:t>
      </w:r>
      <w:r>
        <w:rPr>
          <w:rFonts w:hint="eastAsia" w:cs="宋体"/>
          <w:color w:val="auto"/>
          <w:highlight w:val="none"/>
        </w:rPr>
        <w:t>投标报价有算术错误的，评标委员会按以下原则对投标报价进行修正，修正的价格经投标人书面确认后具有约束力。投标人不接受修正价格的，其投标作否决投标处理。</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）投标文件中的大写金额与小写金额不一致的，以大写金额为准；</w:t>
      </w:r>
    </w:p>
    <w:p>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）总价金额与依据单价计算出的结果不一致的，以单价金额为准修正总价，但单价金额小数点有明显错误的除外。</w:t>
      </w:r>
    </w:p>
    <w:p>
      <w:pPr>
        <w:pStyle w:val="7"/>
        <w:ind w:firstLine="420"/>
        <w:rPr>
          <w:color w:val="auto"/>
          <w:highlight w:val="none"/>
        </w:rPr>
      </w:pPr>
      <w:bookmarkStart w:id="182" w:name="_Toc407135177"/>
      <w:bookmarkStart w:id="183" w:name="_Toc11483"/>
      <w:r>
        <w:rPr>
          <w:color w:val="auto"/>
          <w:highlight w:val="none"/>
        </w:rPr>
        <w:t xml:space="preserve">3.2 </w:t>
      </w:r>
      <w:r>
        <w:rPr>
          <w:rFonts w:hint="eastAsia" w:cs="黑体"/>
          <w:color w:val="auto"/>
          <w:highlight w:val="none"/>
        </w:rPr>
        <w:t>详细评审</w:t>
      </w:r>
      <w:bookmarkEnd w:id="181"/>
      <w:bookmarkEnd w:id="182"/>
      <w:bookmarkEnd w:id="183"/>
    </w:p>
    <w:p>
      <w:pPr>
        <w:spacing w:line="360" w:lineRule="auto"/>
        <w:ind w:firstLine="420" w:firstLineChars="200"/>
        <w:rPr>
          <w:color w:val="auto"/>
          <w:highlight w:val="none"/>
        </w:rPr>
      </w:pPr>
      <w:r>
        <w:rPr>
          <w:color w:val="auto"/>
          <w:highlight w:val="none"/>
        </w:rPr>
        <w:t xml:space="preserve">3.2.1 </w:t>
      </w:r>
      <w:r>
        <w:rPr>
          <w:rFonts w:hint="eastAsia" w:cs="宋体"/>
          <w:color w:val="auto"/>
          <w:highlight w:val="none"/>
        </w:rPr>
        <w:t>评标委员会按照本章</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第</w:t>
      </w:r>
      <w:r>
        <w:rPr>
          <w:color w:val="auto"/>
          <w:highlight w:val="none"/>
        </w:rPr>
        <w:t>2.2</w:t>
      </w:r>
      <w:r>
        <w:rPr>
          <w:rFonts w:hint="eastAsia" w:cs="宋体"/>
          <w:color w:val="auto"/>
          <w:highlight w:val="none"/>
        </w:rPr>
        <w:t>款规定的量化因素和分值进行打分，并计算出综合评估得分。</w:t>
      </w:r>
    </w:p>
    <w:p>
      <w:pPr>
        <w:spacing w:line="360" w:lineRule="auto"/>
        <w:ind w:firstLine="420" w:firstLineChars="200"/>
        <w:rPr>
          <w:color w:val="auto"/>
          <w:highlight w:val="none"/>
        </w:rPr>
      </w:pPr>
      <w:r>
        <w:rPr>
          <w:color w:val="auto"/>
          <w:highlight w:val="none"/>
        </w:rPr>
        <w:t xml:space="preserve">3.2.2 </w:t>
      </w:r>
      <w:r>
        <w:rPr>
          <w:rFonts w:hint="eastAsia"/>
          <w:color w:val="auto"/>
          <w:highlight w:val="none"/>
        </w:rPr>
        <w:t>所</w:t>
      </w:r>
      <w:r>
        <w:rPr>
          <w:color w:val="auto"/>
          <w:highlight w:val="none"/>
        </w:rPr>
        <w:t>有过程</w:t>
      </w:r>
      <w:r>
        <w:rPr>
          <w:rFonts w:hint="eastAsia" w:cs="宋体"/>
          <w:color w:val="auto"/>
          <w:highlight w:val="none"/>
        </w:rPr>
        <w:t>评分分值计算保留小数点后四位，投标人汇总得分保留小数点后两位，小数点后第三位</w:t>
      </w:r>
      <w:r>
        <w:rPr>
          <w:color w:val="auto"/>
          <w:highlight w:val="none"/>
        </w:rPr>
        <w:t>“</w:t>
      </w:r>
      <w:r>
        <w:rPr>
          <w:rFonts w:hint="eastAsia" w:cs="宋体"/>
          <w:color w:val="auto"/>
          <w:highlight w:val="none"/>
        </w:rPr>
        <w:t>四舍五入</w:t>
      </w:r>
      <w:r>
        <w:rPr>
          <w:color w:val="auto"/>
          <w:highlight w:val="none"/>
        </w:rPr>
        <w:t>”</w:t>
      </w:r>
      <w:r>
        <w:rPr>
          <w:rFonts w:hint="eastAsia" w:cs="宋体"/>
          <w:color w:val="auto"/>
          <w:highlight w:val="none"/>
        </w:rPr>
        <w:t>。</w:t>
      </w:r>
    </w:p>
    <w:p>
      <w:pPr>
        <w:spacing w:line="360" w:lineRule="auto"/>
        <w:ind w:firstLine="420" w:firstLineChars="200"/>
        <w:rPr>
          <w:color w:val="auto"/>
          <w:highlight w:val="none"/>
        </w:rPr>
      </w:pPr>
      <w:r>
        <w:rPr>
          <w:color w:val="auto"/>
          <w:highlight w:val="none"/>
        </w:rPr>
        <w:t xml:space="preserve">3.2.3 </w:t>
      </w:r>
      <w:r>
        <w:rPr>
          <w:rFonts w:hint="eastAsia" w:cs="宋体"/>
          <w:color w:val="auto"/>
          <w:highlight w:val="none"/>
        </w:rPr>
        <w:t>投标人汇总得分（满分</w:t>
      </w:r>
      <w:r>
        <w:rPr>
          <w:color w:val="auto"/>
          <w:highlight w:val="none"/>
        </w:rPr>
        <w:t>100</w:t>
      </w:r>
      <w:r>
        <w:rPr>
          <w:rFonts w:hint="eastAsia" w:cs="宋体"/>
          <w:color w:val="auto"/>
          <w:highlight w:val="none"/>
        </w:rPr>
        <w:t>分）</w:t>
      </w:r>
      <w:r>
        <w:rPr>
          <w:color w:val="auto"/>
          <w:highlight w:val="none"/>
        </w:rPr>
        <w:t>=</w:t>
      </w:r>
      <w:r>
        <w:rPr>
          <w:rFonts w:hint="eastAsia" w:cs="宋体"/>
          <w:color w:val="auto"/>
          <w:highlight w:val="none"/>
        </w:rPr>
        <w:t>商务标得分</w:t>
      </w:r>
      <w:r>
        <w:rPr>
          <w:color w:val="auto"/>
          <w:highlight w:val="none"/>
        </w:rPr>
        <w:t>+</w:t>
      </w:r>
      <w:r>
        <w:rPr>
          <w:rFonts w:hint="eastAsia" w:cs="宋体"/>
          <w:color w:val="auto"/>
          <w:highlight w:val="none"/>
        </w:rPr>
        <w:t>技术标加权得分。</w:t>
      </w:r>
    </w:p>
    <w:p>
      <w:pPr>
        <w:pStyle w:val="7"/>
        <w:ind w:firstLine="420"/>
        <w:rPr>
          <w:color w:val="auto"/>
          <w:highlight w:val="none"/>
        </w:rPr>
      </w:pPr>
      <w:bookmarkStart w:id="184" w:name="_Toc389065248"/>
      <w:bookmarkStart w:id="185" w:name="_Toc1826"/>
      <w:bookmarkStart w:id="186" w:name="_Toc407135178"/>
      <w:r>
        <w:rPr>
          <w:color w:val="auto"/>
          <w:highlight w:val="none"/>
        </w:rPr>
        <w:t xml:space="preserve">3.3 </w:t>
      </w:r>
      <w:r>
        <w:rPr>
          <w:rFonts w:hint="eastAsia" w:cs="黑体"/>
          <w:color w:val="auto"/>
          <w:highlight w:val="none"/>
        </w:rPr>
        <w:t>投标文件的澄清和补正</w:t>
      </w:r>
      <w:bookmarkEnd w:id="184"/>
      <w:bookmarkEnd w:id="185"/>
      <w:bookmarkEnd w:id="186"/>
    </w:p>
    <w:p>
      <w:pPr>
        <w:spacing w:line="360" w:lineRule="auto"/>
        <w:ind w:firstLine="420" w:firstLineChars="200"/>
        <w:rPr>
          <w:color w:val="auto"/>
          <w:highlight w:val="none"/>
        </w:rPr>
      </w:pPr>
      <w:r>
        <w:rPr>
          <w:color w:val="auto"/>
          <w:highlight w:val="none"/>
        </w:rPr>
        <w:t xml:space="preserve">3.3.1 </w:t>
      </w:r>
      <w:r>
        <w:rPr>
          <w:rFonts w:hint="eastAsia" w:cs="宋体"/>
          <w:color w:val="auto"/>
          <w:highlight w:val="none"/>
        </w:rPr>
        <w:t>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pPr>
        <w:spacing w:line="360" w:lineRule="auto"/>
        <w:ind w:firstLine="420" w:firstLineChars="200"/>
        <w:rPr>
          <w:color w:val="auto"/>
          <w:highlight w:val="none"/>
        </w:rPr>
      </w:pPr>
      <w:r>
        <w:rPr>
          <w:color w:val="auto"/>
          <w:highlight w:val="none"/>
        </w:rPr>
        <w:t xml:space="preserve">3.3.2 </w:t>
      </w:r>
      <w:r>
        <w:rPr>
          <w:rFonts w:hint="eastAsia" w:cs="宋体"/>
          <w:color w:val="auto"/>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color w:val="auto"/>
          <w:highlight w:val="none"/>
        </w:rPr>
      </w:pPr>
      <w:r>
        <w:rPr>
          <w:color w:val="auto"/>
          <w:highlight w:val="none"/>
        </w:rPr>
        <w:t xml:space="preserve">3.3.3 </w:t>
      </w:r>
      <w:r>
        <w:rPr>
          <w:rFonts w:hint="eastAsia" w:cs="宋体"/>
          <w:color w:val="auto"/>
          <w:highlight w:val="none"/>
        </w:rPr>
        <w:t>评标委员会对投标人提交的澄清、说明或补正有疑问的，可以要求投标人进一步澄清、说明或补正，直至满足评标委员会的要求。</w:t>
      </w:r>
    </w:p>
    <w:p>
      <w:pPr>
        <w:spacing w:line="360" w:lineRule="auto"/>
        <w:ind w:firstLine="420" w:firstLineChars="200"/>
        <w:rPr>
          <w:color w:val="auto"/>
          <w:highlight w:val="none"/>
        </w:rPr>
      </w:pPr>
      <w:r>
        <w:rPr>
          <w:color w:val="auto"/>
          <w:highlight w:val="none"/>
        </w:rPr>
        <w:t xml:space="preserve">3.3.4 </w:t>
      </w:r>
      <w:r>
        <w:rPr>
          <w:rFonts w:hint="eastAsia" w:cs="宋体"/>
          <w:color w:val="auto"/>
          <w:highlight w:val="none"/>
        </w:rPr>
        <w:t>对投标文件进行澄清、说明和补正时来往的书面材料传递，必须由交易中心的工作人员进行。</w:t>
      </w:r>
    </w:p>
    <w:p>
      <w:pPr>
        <w:pStyle w:val="7"/>
        <w:ind w:firstLine="420"/>
        <w:rPr>
          <w:color w:val="auto"/>
          <w:highlight w:val="none"/>
        </w:rPr>
      </w:pPr>
      <w:bookmarkStart w:id="187" w:name="_Toc19657"/>
      <w:bookmarkStart w:id="188" w:name="_Toc407135179"/>
      <w:bookmarkStart w:id="189" w:name="_Toc389065249"/>
      <w:r>
        <w:rPr>
          <w:color w:val="auto"/>
          <w:highlight w:val="none"/>
        </w:rPr>
        <w:t xml:space="preserve">3.4 </w:t>
      </w:r>
      <w:r>
        <w:rPr>
          <w:rFonts w:hint="eastAsia" w:cs="黑体"/>
          <w:color w:val="auto"/>
          <w:highlight w:val="none"/>
        </w:rPr>
        <w:t>评标结果</w:t>
      </w:r>
      <w:bookmarkEnd w:id="187"/>
      <w:bookmarkEnd w:id="188"/>
      <w:bookmarkEnd w:id="189"/>
    </w:p>
    <w:p>
      <w:pPr>
        <w:spacing w:line="360" w:lineRule="auto"/>
        <w:ind w:firstLine="420" w:firstLineChars="200"/>
        <w:rPr>
          <w:color w:val="auto"/>
          <w:highlight w:val="none"/>
        </w:rPr>
      </w:pPr>
      <w:r>
        <w:rPr>
          <w:color w:val="auto"/>
          <w:highlight w:val="none"/>
        </w:rPr>
        <w:t xml:space="preserve">3.4.1 </w:t>
      </w:r>
      <w:r>
        <w:rPr>
          <w:rFonts w:hint="eastAsia" w:cs="宋体"/>
          <w:color w:val="auto"/>
          <w:highlight w:val="none"/>
        </w:rPr>
        <w:t>除第二章</w:t>
      </w:r>
      <w:r>
        <w:rPr>
          <w:color w:val="auto"/>
          <w:highlight w:val="none"/>
        </w:rPr>
        <w:t>“</w:t>
      </w:r>
      <w:r>
        <w:rPr>
          <w:rFonts w:hint="eastAsia" w:cs="宋体"/>
          <w:color w:val="auto"/>
          <w:highlight w:val="none"/>
        </w:rPr>
        <w:t>投标人须知前附表</w:t>
      </w:r>
      <w:r>
        <w:rPr>
          <w:color w:val="auto"/>
          <w:highlight w:val="none"/>
        </w:rPr>
        <w:t>”</w:t>
      </w:r>
      <w:r>
        <w:rPr>
          <w:rFonts w:hint="eastAsia" w:cs="宋体"/>
          <w:color w:val="auto"/>
          <w:highlight w:val="none"/>
        </w:rPr>
        <w:t>授权直接确定中标人外，评标委员会按照本章规定的顺序推荐中标候选人。</w:t>
      </w:r>
    </w:p>
    <w:p>
      <w:pPr>
        <w:spacing w:line="360" w:lineRule="auto"/>
        <w:ind w:firstLine="420" w:firstLineChars="200"/>
        <w:rPr>
          <w:color w:val="auto"/>
          <w:highlight w:val="none"/>
        </w:rPr>
      </w:pPr>
      <w:r>
        <w:rPr>
          <w:color w:val="auto"/>
          <w:highlight w:val="none"/>
        </w:rPr>
        <w:t xml:space="preserve">3.4.2 </w:t>
      </w:r>
      <w:r>
        <w:rPr>
          <w:rFonts w:hint="eastAsia" w:cs="宋体"/>
          <w:color w:val="auto"/>
          <w:highlight w:val="none"/>
        </w:rPr>
        <w:t>评标委员会完成评标后，由应当向招标人提交书面评标报告。</w:t>
      </w:r>
    </w:p>
    <w:p>
      <w:pPr>
        <w:spacing w:line="360" w:lineRule="auto"/>
        <w:ind w:firstLine="424" w:firstLineChars="202"/>
        <w:rPr>
          <w:color w:val="auto"/>
          <w:highlight w:val="none"/>
        </w:rPr>
      </w:pPr>
      <w:r>
        <w:rPr>
          <w:color w:val="auto"/>
          <w:highlight w:val="none"/>
        </w:rPr>
        <w:t xml:space="preserve">3.4.3 </w:t>
      </w:r>
      <w:r>
        <w:rPr>
          <w:rFonts w:hint="eastAsia" w:cs="宋体"/>
          <w:color w:val="auto"/>
          <w:highlight w:val="none"/>
        </w:rPr>
        <w:t>评标委员会应将评标过程中使用的文件、表格以及其他材料即时归还招标人。招标人应当按照“投标人须知前附表”规定的封存方式封存评标资料。</w:t>
      </w:r>
    </w:p>
    <w:p>
      <w:pPr>
        <w:spacing w:line="360" w:lineRule="auto"/>
        <w:rPr>
          <w:color w:val="auto"/>
          <w:highlight w:val="none"/>
        </w:rPr>
        <w:sectPr>
          <w:pgSz w:w="11907" w:h="16840"/>
          <w:pgMar w:top="1440" w:right="1440" w:bottom="1440" w:left="1797" w:header="851" w:footer="851" w:gutter="0"/>
          <w:cols w:space="720" w:num="1"/>
          <w:docGrid w:linePitch="312" w:charSpace="0"/>
        </w:sectPr>
      </w:pPr>
    </w:p>
    <w:p>
      <w:pPr>
        <w:pStyle w:val="5"/>
        <w:jc w:val="center"/>
        <w:rPr>
          <w:color w:val="auto"/>
          <w:highlight w:val="none"/>
        </w:rPr>
      </w:pPr>
      <w:bookmarkStart w:id="190" w:name="_Toc389065250"/>
      <w:bookmarkStart w:id="191" w:name="_Toc14221"/>
      <w:bookmarkStart w:id="192" w:name="_Toc407135180"/>
      <w:r>
        <w:rPr>
          <w:rFonts w:hint="eastAsia" w:cs="黑体"/>
          <w:color w:val="auto"/>
          <w:highlight w:val="none"/>
        </w:rPr>
        <w:t>附件</w:t>
      </w:r>
      <w:r>
        <w:rPr>
          <w:color w:val="auto"/>
          <w:highlight w:val="none"/>
        </w:rPr>
        <w:t>A</w:t>
      </w:r>
      <w:bookmarkEnd w:id="190"/>
      <w:r>
        <w:rPr>
          <w:color w:val="auto"/>
          <w:highlight w:val="none"/>
        </w:rPr>
        <w:t xml:space="preserve">  </w:t>
      </w:r>
      <w:r>
        <w:rPr>
          <w:rFonts w:hint="eastAsia" w:cs="黑体"/>
          <w:color w:val="auto"/>
          <w:highlight w:val="none"/>
        </w:rPr>
        <w:t>评标详细程序</w:t>
      </w:r>
      <w:bookmarkEnd w:id="191"/>
      <w:bookmarkEnd w:id="192"/>
      <w:bookmarkStart w:id="193" w:name="_Toc389065251"/>
    </w:p>
    <w:p>
      <w:pPr>
        <w:pStyle w:val="6"/>
        <w:rPr>
          <w:color w:val="auto"/>
          <w:highlight w:val="none"/>
        </w:rPr>
      </w:pPr>
      <w:bookmarkStart w:id="194" w:name="_Toc22659"/>
      <w:bookmarkStart w:id="195" w:name="_Toc407135181"/>
      <w:r>
        <w:rPr>
          <w:color w:val="auto"/>
          <w:highlight w:val="none"/>
        </w:rPr>
        <w:t xml:space="preserve">A0 </w:t>
      </w:r>
      <w:r>
        <w:rPr>
          <w:rFonts w:hint="eastAsia" w:cs="黑体"/>
          <w:color w:val="auto"/>
          <w:highlight w:val="none"/>
        </w:rPr>
        <w:t>总</w:t>
      </w:r>
      <w:r>
        <w:rPr>
          <w:color w:val="auto"/>
          <w:highlight w:val="none"/>
        </w:rPr>
        <w:t xml:space="preserve">  </w:t>
      </w:r>
      <w:r>
        <w:rPr>
          <w:rFonts w:hint="eastAsia" w:cs="黑体"/>
          <w:color w:val="auto"/>
          <w:highlight w:val="none"/>
        </w:rPr>
        <w:t>则</w:t>
      </w:r>
      <w:bookmarkEnd w:id="193"/>
      <w:bookmarkEnd w:id="194"/>
      <w:bookmarkEnd w:id="195"/>
    </w:p>
    <w:p>
      <w:pPr>
        <w:spacing w:line="360" w:lineRule="auto"/>
        <w:ind w:firstLine="420" w:firstLineChars="200"/>
        <w:outlineLvl w:val="0"/>
        <w:rPr>
          <w:b/>
          <w:bCs/>
          <w:color w:val="auto"/>
          <w:highlight w:val="none"/>
        </w:rPr>
      </w:pPr>
      <w:bookmarkStart w:id="196" w:name="_Toc389065252"/>
      <w:r>
        <w:rPr>
          <w:rFonts w:hint="eastAsia" w:cs="宋体"/>
          <w:color w:val="auto"/>
          <w:highlight w:val="none"/>
        </w:rPr>
        <w:t>本附件是本章</w:t>
      </w:r>
      <w:r>
        <w:rPr>
          <w:color w:val="auto"/>
          <w:highlight w:val="none"/>
        </w:rPr>
        <w:t>“</w:t>
      </w:r>
      <w:r>
        <w:rPr>
          <w:rFonts w:hint="eastAsia" w:cs="宋体"/>
          <w:color w:val="auto"/>
          <w:highlight w:val="none"/>
        </w:rPr>
        <w:t>评标办法</w:t>
      </w:r>
      <w:r>
        <w:rPr>
          <w:color w:val="auto"/>
          <w:highlight w:val="none"/>
        </w:rPr>
        <w:t>”</w:t>
      </w:r>
      <w:r>
        <w:rPr>
          <w:rFonts w:hint="eastAsia" w:cs="宋体"/>
          <w:color w:val="auto"/>
          <w:highlight w:val="none"/>
        </w:rPr>
        <w:t>的组成部分，是对本章第</w:t>
      </w:r>
      <w:r>
        <w:rPr>
          <w:color w:val="auto"/>
          <w:highlight w:val="none"/>
        </w:rPr>
        <w:t>3</w:t>
      </w:r>
      <w:r>
        <w:rPr>
          <w:rFonts w:hint="eastAsia" w:cs="宋体"/>
          <w:color w:val="auto"/>
          <w:highlight w:val="none"/>
        </w:rPr>
        <w:t>条所规定的评标程序的进一步细化，评标委员会应当按照本附件所规定的详细程序开展并完成评标工作。</w:t>
      </w:r>
      <w:bookmarkEnd w:id="196"/>
    </w:p>
    <w:p>
      <w:pPr>
        <w:pStyle w:val="6"/>
        <w:rPr>
          <w:color w:val="auto"/>
          <w:highlight w:val="none"/>
        </w:rPr>
      </w:pPr>
      <w:bookmarkStart w:id="197" w:name="_Toc21646"/>
      <w:bookmarkStart w:id="198" w:name="_Toc407135182"/>
      <w:bookmarkStart w:id="199" w:name="_Toc389065253"/>
      <w:r>
        <w:rPr>
          <w:color w:val="auto"/>
          <w:highlight w:val="none"/>
        </w:rPr>
        <w:t xml:space="preserve">A1 </w:t>
      </w:r>
      <w:r>
        <w:rPr>
          <w:rFonts w:hint="eastAsia" w:cs="黑体"/>
          <w:color w:val="auto"/>
          <w:highlight w:val="none"/>
        </w:rPr>
        <w:t>基本程序</w:t>
      </w:r>
      <w:bookmarkEnd w:id="197"/>
      <w:bookmarkEnd w:id="198"/>
      <w:bookmarkEnd w:id="199"/>
    </w:p>
    <w:p>
      <w:pPr>
        <w:spacing w:line="360" w:lineRule="auto"/>
        <w:ind w:firstLine="420" w:firstLineChars="200"/>
        <w:rPr>
          <w:color w:val="auto"/>
          <w:highlight w:val="none"/>
        </w:rPr>
      </w:pPr>
      <w:r>
        <w:rPr>
          <w:rFonts w:hint="eastAsia" w:cs="宋体"/>
          <w:color w:val="auto"/>
          <w:highlight w:val="none"/>
        </w:rPr>
        <w:t>评标活动将按以下五个步骤进行：</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）评标准备；</w:t>
      </w:r>
    </w:p>
    <w:p>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）初步评审；</w:t>
      </w:r>
    </w:p>
    <w:p>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）详细评审；</w:t>
      </w:r>
    </w:p>
    <w:p>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）澄清、说明或补正；</w:t>
      </w:r>
    </w:p>
    <w:p>
      <w:pPr>
        <w:spacing w:line="360" w:lineRule="auto"/>
        <w:ind w:firstLine="420" w:firstLineChars="200"/>
        <w:rPr>
          <w:b/>
          <w:bCs/>
          <w:color w:val="auto"/>
          <w:highlight w:val="none"/>
        </w:rPr>
      </w:pPr>
      <w:r>
        <w:rPr>
          <w:rFonts w:hint="eastAsia" w:cs="宋体"/>
          <w:color w:val="auto"/>
          <w:highlight w:val="none"/>
        </w:rPr>
        <w:t>（</w:t>
      </w:r>
      <w:r>
        <w:rPr>
          <w:color w:val="auto"/>
          <w:highlight w:val="none"/>
        </w:rPr>
        <w:t>5</w:t>
      </w:r>
      <w:r>
        <w:rPr>
          <w:rFonts w:hint="eastAsia" w:cs="宋体"/>
          <w:color w:val="auto"/>
          <w:highlight w:val="none"/>
        </w:rPr>
        <w:t>）推荐中标候选人或者直接确定中标人及提交评标报告。</w:t>
      </w:r>
    </w:p>
    <w:p>
      <w:pPr>
        <w:pStyle w:val="6"/>
        <w:rPr>
          <w:color w:val="auto"/>
          <w:highlight w:val="none"/>
        </w:rPr>
      </w:pPr>
      <w:bookmarkStart w:id="200" w:name="_Toc407135183"/>
      <w:bookmarkStart w:id="201" w:name="_Toc31637"/>
      <w:r>
        <w:rPr>
          <w:color w:val="auto"/>
          <w:highlight w:val="none"/>
        </w:rPr>
        <w:t xml:space="preserve">A2 </w:t>
      </w:r>
      <w:r>
        <w:rPr>
          <w:rFonts w:hint="eastAsia" w:cs="黑体"/>
          <w:color w:val="auto"/>
          <w:highlight w:val="none"/>
        </w:rPr>
        <w:t>评标准备</w:t>
      </w:r>
      <w:bookmarkEnd w:id="200"/>
      <w:bookmarkEnd w:id="201"/>
    </w:p>
    <w:p>
      <w:pPr>
        <w:spacing w:line="360" w:lineRule="auto"/>
        <w:ind w:firstLine="420" w:firstLineChars="200"/>
        <w:outlineLvl w:val="0"/>
        <w:rPr>
          <w:color w:val="auto"/>
          <w:highlight w:val="none"/>
        </w:rPr>
      </w:pPr>
      <w:r>
        <w:rPr>
          <w:color w:val="auto"/>
          <w:highlight w:val="none"/>
        </w:rPr>
        <w:t xml:space="preserve">A2.1 </w:t>
      </w:r>
      <w:r>
        <w:rPr>
          <w:rFonts w:hint="eastAsia" w:cs="宋体"/>
          <w:color w:val="auto"/>
          <w:highlight w:val="none"/>
        </w:rPr>
        <w:t>评标委员会成员签到</w:t>
      </w:r>
    </w:p>
    <w:p>
      <w:pPr>
        <w:spacing w:line="360" w:lineRule="auto"/>
        <w:ind w:firstLine="420" w:firstLineChars="200"/>
        <w:rPr>
          <w:color w:val="auto"/>
          <w:highlight w:val="none"/>
        </w:rPr>
      </w:pPr>
      <w:r>
        <w:rPr>
          <w:rFonts w:hint="eastAsia" w:cs="宋体"/>
          <w:color w:val="auto"/>
          <w:highlight w:val="none"/>
        </w:rPr>
        <w:t>评标委员会成员到达评标现场时应在签到表上签到以证明其出席。</w:t>
      </w:r>
    </w:p>
    <w:p>
      <w:pPr>
        <w:spacing w:line="360" w:lineRule="auto"/>
        <w:ind w:firstLine="420" w:firstLineChars="200"/>
        <w:rPr>
          <w:color w:val="auto"/>
          <w:highlight w:val="none"/>
        </w:rPr>
      </w:pPr>
      <w:r>
        <w:rPr>
          <w:color w:val="auto"/>
          <w:highlight w:val="none"/>
        </w:rPr>
        <w:t xml:space="preserve">A2.2 </w:t>
      </w:r>
      <w:r>
        <w:rPr>
          <w:rFonts w:hint="eastAsia" w:cs="宋体"/>
          <w:color w:val="auto"/>
          <w:highlight w:val="none"/>
        </w:rPr>
        <w:t>评标委员会的组建和分工</w:t>
      </w:r>
    </w:p>
    <w:p>
      <w:pPr>
        <w:spacing w:line="360" w:lineRule="auto"/>
        <w:ind w:firstLine="420" w:firstLineChars="200"/>
        <w:outlineLvl w:val="0"/>
        <w:rPr>
          <w:rFonts w:hint="eastAsia"/>
          <w:color w:val="auto"/>
          <w:highlight w:val="none"/>
        </w:rPr>
      </w:pPr>
      <w:r>
        <w:rPr>
          <w:rFonts w:hint="eastAsia"/>
          <w:color w:val="auto"/>
          <w:highlight w:val="none"/>
        </w:rPr>
        <w:t>本招标采购项目的评标委员会由采购人代表和有关技术、经济等方面的专家组成，成员人数应当为五人以上单数。其中，技术、经济等方面的专家不得少于成员总数的三分之二。</w:t>
      </w:r>
    </w:p>
    <w:p>
      <w:pPr>
        <w:spacing w:line="360" w:lineRule="auto"/>
        <w:ind w:firstLine="420" w:firstLineChars="200"/>
        <w:outlineLvl w:val="0"/>
        <w:rPr>
          <w:color w:val="auto"/>
          <w:highlight w:val="none"/>
        </w:rPr>
      </w:pPr>
      <w:r>
        <w:rPr>
          <w:color w:val="auto"/>
          <w:highlight w:val="none"/>
        </w:rPr>
        <w:t xml:space="preserve">A2.3 </w:t>
      </w:r>
      <w:r>
        <w:rPr>
          <w:rFonts w:hint="eastAsia" w:cs="宋体"/>
          <w:color w:val="auto"/>
          <w:highlight w:val="none"/>
        </w:rPr>
        <w:t>熟悉文件资料</w:t>
      </w:r>
    </w:p>
    <w:p>
      <w:pPr>
        <w:spacing w:line="360" w:lineRule="auto"/>
        <w:ind w:firstLine="420" w:firstLineChars="200"/>
        <w:rPr>
          <w:color w:val="auto"/>
          <w:highlight w:val="none"/>
        </w:rPr>
      </w:pPr>
      <w:r>
        <w:rPr>
          <w:color w:val="auto"/>
          <w:highlight w:val="none"/>
        </w:rPr>
        <w:t xml:space="preserve">A2.3.1 </w:t>
      </w:r>
      <w:r>
        <w:rPr>
          <w:rFonts w:hint="eastAsia" w:cs="宋体"/>
          <w:color w:val="auto"/>
          <w:highlight w:val="none"/>
        </w:rPr>
        <w:t>评标委员会主任应组织评标委员会成员认真研究招标文件，了解和熟悉招标目的、招标范围、主要合同条件、技术标准和要求、质量标准和工期要求，掌握评标标准和方法，熟悉本章及附件中包括的评标表格的使用。</w:t>
      </w:r>
    </w:p>
    <w:p>
      <w:pPr>
        <w:spacing w:line="360" w:lineRule="auto"/>
        <w:ind w:firstLine="420" w:firstLineChars="200"/>
        <w:rPr>
          <w:b/>
          <w:bCs/>
          <w:color w:val="auto"/>
          <w:highlight w:val="none"/>
        </w:rPr>
      </w:pPr>
      <w:r>
        <w:rPr>
          <w:color w:val="auto"/>
          <w:highlight w:val="none"/>
        </w:rPr>
        <w:t xml:space="preserve">A2.3.2 </w:t>
      </w:r>
      <w:r>
        <w:rPr>
          <w:rFonts w:hint="eastAsia" w:cs="宋体"/>
          <w:color w:val="auto"/>
          <w:highlight w:val="none"/>
        </w:rPr>
        <w:t>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pPr>
        <w:pStyle w:val="6"/>
        <w:rPr>
          <w:color w:val="auto"/>
          <w:highlight w:val="none"/>
        </w:rPr>
      </w:pPr>
      <w:bookmarkStart w:id="202" w:name="_Toc19768"/>
      <w:bookmarkStart w:id="203" w:name="_Toc407135184"/>
      <w:r>
        <w:rPr>
          <w:color w:val="auto"/>
          <w:highlight w:val="none"/>
        </w:rPr>
        <w:t xml:space="preserve">A3 </w:t>
      </w:r>
      <w:r>
        <w:rPr>
          <w:rFonts w:hint="eastAsia" w:cs="黑体"/>
          <w:color w:val="auto"/>
          <w:highlight w:val="none"/>
        </w:rPr>
        <w:t>初步评审</w:t>
      </w:r>
      <w:bookmarkEnd w:id="202"/>
      <w:bookmarkEnd w:id="203"/>
    </w:p>
    <w:p>
      <w:pPr>
        <w:spacing w:line="360" w:lineRule="auto"/>
        <w:ind w:firstLine="420" w:firstLineChars="200"/>
        <w:outlineLvl w:val="0"/>
        <w:rPr>
          <w:color w:val="auto"/>
          <w:spacing w:val="-2"/>
          <w:highlight w:val="none"/>
        </w:rPr>
      </w:pPr>
      <w:r>
        <w:rPr>
          <w:color w:val="auto"/>
          <w:highlight w:val="none"/>
        </w:rPr>
        <w:t xml:space="preserve">A3.1 </w:t>
      </w:r>
      <w:r>
        <w:rPr>
          <w:rFonts w:hint="eastAsia" w:cs="宋体"/>
          <w:color w:val="auto"/>
          <w:highlight w:val="none"/>
        </w:rPr>
        <w:t>资格评审</w:t>
      </w:r>
    </w:p>
    <w:p>
      <w:pPr>
        <w:spacing w:line="360" w:lineRule="auto"/>
        <w:ind w:firstLine="412" w:firstLineChars="200"/>
        <w:rPr>
          <w:color w:val="auto"/>
          <w:highlight w:val="none"/>
        </w:rPr>
      </w:pPr>
      <w:r>
        <w:rPr>
          <w:rFonts w:hint="eastAsia" w:cs="宋体"/>
          <w:color w:val="auto"/>
          <w:spacing w:val="-2"/>
          <w:highlight w:val="none"/>
        </w:rPr>
        <w:t>评标委员会根据</w:t>
      </w:r>
      <w:r>
        <w:rPr>
          <w:color w:val="auto"/>
          <w:spacing w:val="-2"/>
          <w:highlight w:val="none"/>
        </w:rPr>
        <w:t>“</w:t>
      </w:r>
      <w:r>
        <w:rPr>
          <w:rFonts w:hint="eastAsia" w:cs="宋体"/>
          <w:color w:val="auto"/>
          <w:spacing w:val="-2"/>
          <w:highlight w:val="none"/>
        </w:rPr>
        <w:t>评标办法前附表</w:t>
      </w:r>
      <w:r>
        <w:rPr>
          <w:color w:val="auto"/>
          <w:spacing w:val="-2"/>
          <w:highlight w:val="none"/>
        </w:rPr>
        <w:t>”</w:t>
      </w:r>
      <w:r>
        <w:rPr>
          <w:rFonts w:hint="eastAsia" w:cs="宋体"/>
          <w:color w:val="auto"/>
          <w:spacing w:val="-2"/>
          <w:highlight w:val="none"/>
        </w:rPr>
        <w:t>中规定的评审因素和评审标准，对投标人的投标文件进行资格评审。</w:t>
      </w:r>
    </w:p>
    <w:p>
      <w:pPr>
        <w:spacing w:line="360" w:lineRule="auto"/>
        <w:ind w:firstLine="420" w:firstLineChars="200"/>
        <w:rPr>
          <w:color w:val="auto"/>
          <w:spacing w:val="-2"/>
          <w:highlight w:val="none"/>
        </w:rPr>
      </w:pPr>
      <w:r>
        <w:rPr>
          <w:color w:val="auto"/>
          <w:highlight w:val="none"/>
        </w:rPr>
        <w:t>A3.2</w:t>
      </w:r>
      <w:r>
        <w:rPr>
          <w:rFonts w:hint="eastAsia" w:cs="宋体"/>
          <w:color w:val="auto"/>
          <w:highlight w:val="none"/>
          <w:lang w:eastAsia="zh-CN"/>
        </w:rPr>
        <w:t>符合性</w:t>
      </w:r>
      <w:r>
        <w:rPr>
          <w:rFonts w:hint="eastAsia" w:cs="宋体"/>
          <w:color w:val="auto"/>
          <w:highlight w:val="none"/>
        </w:rPr>
        <w:t>评审</w:t>
      </w:r>
    </w:p>
    <w:p>
      <w:pPr>
        <w:spacing w:line="360" w:lineRule="auto"/>
        <w:ind w:firstLine="412" w:firstLineChars="200"/>
        <w:rPr>
          <w:color w:val="auto"/>
          <w:highlight w:val="none"/>
        </w:rPr>
      </w:pPr>
      <w:r>
        <w:rPr>
          <w:rFonts w:hint="eastAsia" w:cs="宋体"/>
          <w:color w:val="auto"/>
          <w:spacing w:val="-2"/>
          <w:highlight w:val="none"/>
        </w:rPr>
        <w:t>评标委员会根据</w:t>
      </w:r>
      <w:r>
        <w:rPr>
          <w:color w:val="auto"/>
          <w:spacing w:val="-2"/>
          <w:highlight w:val="none"/>
        </w:rPr>
        <w:t>“</w:t>
      </w:r>
      <w:r>
        <w:rPr>
          <w:rFonts w:hint="eastAsia" w:cs="宋体"/>
          <w:color w:val="auto"/>
          <w:spacing w:val="-2"/>
          <w:highlight w:val="none"/>
        </w:rPr>
        <w:t>评标办法前附表</w:t>
      </w:r>
      <w:r>
        <w:rPr>
          <w:color w:val="auto"/>
          <w:spacing w:val="-2"/>
          <w:highlight w:val="none"/>
        </w:rPr>
        <w:t>”</w:t>
      </w:r>
      <w:r>
        <w:rPr>
          <w:rFonts w:hint="eastAsia" w:cs="宋体"/>
          <w:color w:val="auto"/>
          <w:spacing w:val="-2"/>
          <w:highlight w:val="none"/>
        </w:rPr>
        <w:t>中规定的评审因素和评审标准，对投标人的投标文件进行</w:t>
      </w:r>
      <w:r>
        <w:rPr>
          <w:rFonts w:hint="eastAsia" w:cs="宋体"/>
          <w:color w:val="auto"/>
          <w:spacing w:val="-2"/>
          <w:highlight w:val="none"/>
          <w:lang w:eastAsia="zh-CN"/>
        </w:rPr>
        <w:t>符合性</w:t>
      </w:r>
      <w:r>
        <w:rPr>
          <w:rFonts w:hint="eastAsia" w:cs="宋体"/>
          <w:color w:val="auto"/>
          <w:spacing w:val="-2"/>
          <w:highlight w:val="none"/>
        </w:rPr>
        <w:t>评审。</w:t>
      </w:r>
    </w:p>
    <w:p>
      <w:pPr>
        <w:spacing w:line="360" w:lineRule="auto"/>
        <w:ind w:firstLine="420" w:firstLineChars="200"/>
        <w:rPr>
          <w:color w:val="auto"/>
          <w:highlight w:val="none"/>
        </w:rPr>
      </w:pPr>
      <w:r>
        <w:rPr>
          <w:color w:val="auto"/>
          <w:highlight w:val="none"/>
        </w:rPr>
        <w:t xml:space="preserve">A3.3.2 </w:t>
      </w:r>
      <w:r>
        <w:rPr>
          <w:rFonts w:hint="eastAsia" w:cs="宋体"/>
          <w:color w:val="auto"/>
          <w:highlight w:val="none"/>
        </w:rPr>
        <w:t>投标人投标总价不得超出（不含等于）招标人公布的招标控制价，凡投标人的投标总价超出招标控制价的，该投标人的投标文件不能通过</w:t>
      </w:r>
      <w:r>
        <w:rPr>
          <w:rFonts w:hint="eastAsia" w:cs="宋体"/>
          <w:color w:val="auto"/>
          <w:highlight w:val="none"/>
          <w:lang w:eastAsia="zh-CN"/>
        </w:rPr>
        <w:t>符合性</w:t>
      </w:r>
      <w:r>
        <w:rPr>
          <w:rFonts w:hint="eastAsia" w:cs="宋体"/>
          <w:color w:val="auto"/>
          <w:highlight w:val="none"/>
        </w:rPr>
        <w:t>评审。</w:t>
      </w:r>
    </w:p>
    <w:p>
      <w:pPr>
        <w:spacing w:line="360" w:lineRule="auto"/>
        <w:ind w:firstLine="420" w:firstLineChars="200"/>
        <w:rPr>
          <w:color w:val="auto"/>
          <w:highlight w:val="none"/>
        </w:rPr>
      </w:pPr>
      <w:r>
        <w:rPr>
          <w:color w:val="auto"/>
          <w:highlight w:val="none"/>
        </w:rPr>
        <w:t xml:space="preserve">A3.4 </w:t>
      </w:r>
      <w:r>
        <w:rPr>
          <w:rFonts w:hint="eastAsia" w:cs="宋体"/>
          <w:color w:val="auto"/>
          <w:highlight w:val="none"/>
        </w:rPr>
        <w:t>判断投标是否为否决投标</w:t>
      </w:r>
    </w:p>
    <w:p>
      <w:pPr>
        <w:spacing w:line="360" w:lineRule="auto"/>
        <w:ind w:firstLine="420" w:firstLineChars="200"/>
        <w:rPr>
          <w:color w:val="auto"/>
          <w:highlight w:val="none"/>
        </w:rPr>
      </w:pPr>
      <w:r>
        <w:rPr>
          <w:color w:val="auto"/>
          <w:highlight w:val="none"/>
        </w:rPr>
        <w:t xml:space="preserve">A3.4.1 </w:t>
      </w:r>
      <w:r>
        <w:rPr>
          <w:rFonts w:hint="eastAsia" w:cs="宋体"/>
          <w:color w:val="auto"/>
          <w:highlight w:val="none"/>
        </w:rPr>
        <w:t>判断投标人的投标是否为否决投标的全部条件（包括本章第</w:t>
      </w:r>
      <w:r>
        <w:rPr>
          <w:color w:val="auto"/>
          <w:highlight w:val="none"/>
        </w:rPr>
        <w:t>3.1.2</w:t>
      </w:r>
      <w:r>
        <w:rPr>
          <w:rFonts w:hint="eastAsia" w:cs="宋体"/>
          <w:color w:val="auto"/>
          <w:highlight w:val="none"/>
        </w:rPr>
        <w:t>项中规定的条件），在本章附件</w:t>
      </w:r>
      <w:r>
        <w:rPr>
          <w:color w:val="auto"/>
          <w:highlight w:val="none"/>
        </w:rPr>
        <w:t>B</w:t>
      </w:r>
      <w:r>
        <w:rPr>
          <w:rFonts w:hint="eastAsia" w:cs="宋体"/>
          <w:color w:val="auto"/>
          <w:highlight w:val="none"/>
        </w:rPr>
        <w:t>中集中列示。</w:t>
      </w:r>
    </w:p>
    <w:p>
      <w:pPr>
        <w:spacing w:line="360" w:lineRule="auto"/>
        <w:ind w:firstLine="420" w:firstLineChars="200"/>
        <w:rPr>
          <w:color w:val="auto"/>
          <w:highlight w:val="none"/>
        </w:rPr>
      </w:pPr>
      <w:r>
        <w:rPr>
          <w:color w:val="auto"/>
          <w:highlight w:val="none"/>
        </w:rPr>
        <w:t xml:space="preserve">A3.4.2 </w:t>
      </w:r>
      <w:r>
        <w:rPr>
          <w:rFonts w:hint="eastAsia" w:cs="宋体"/>
          <w:color w:val="auto"/>
          <w:highlight w:val="none"/>
        </w:rPr>
        <w:t>本章附件</w:t>
      </w:r>
      <w:r>
        <w:rPr>
          <w:color w:val="auto"/>
          <w:highlight w:val="none"/>
        </w:rPr>
        <w:t>B</w:t>
      </w:r>
      <w:r>
        <w:rPr>
          <w:rFonts w:hint="eastAsia" w:cs="宋体"/>
          <w:color w:val="auto"/>
          <w:highlight w:val="none"/>
        </w:rPr>
        <w:t>集中列示的否决投标条件不应与第二章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和本章正文部分包括的否决投标条件抵触，如果出现相互矛盾的情况，以第二章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和本章正文部分的规定为准。</w:t>
      </w:r>
    </w:p>
    <w:p>
      <w:pPr>
        <w:spacing w:line="360" w:lineRule="auto"/>
        <w:ind w:firstLine="420" w:firstLineChars="200"/>
        <w:rPr>
          <w:color w:val="auto"/>
          <w:highlight w:val="none"/>
        </w:rPr>
      </w:pPr>
      <w:r>
        <w:rPr>
          <w:color w:val="auto"/>
          <w:highlight w:val="none"/>
        </w:rPr>
        <w:t xml:space="preserve">A3.4.3 </w:t>
      </w:r>
      <w:r>
        <w:rPr>
          <w:rFonts w:hint="eastAsia" w:cs="宋体"/>
          <w:color w:val="auto"/>
          <w:highlight w:val="none"/>
        </w:rPr>
        <w:t>评标委员会在评标过程中，依据本章附件</w:t>
      </w:r>
      <w:r>
        <w:rPr>
          <w:color w:val="auto"/>
          <w:highlight w:val="none"/>
        </w:rPr>
        <w:t>B</w:t>
      </w:r>
      <w:r>
        <w:rPr>
          <w:rFonts w:hint="eastAsia" w:cs="宋体"/>
          <w:color w:val="auto"/>
          <w:highlight w:val="none"/>
        </w:rPr>
        <w:t>中规定的否决投标条件判断投标人的投标是否为否决投标。</w:t>
      </w:r>
    </w:p>
    <w:p>
      <w:pPr>
        <w:spacing w:line="360" w:lineRule="auto"/>
        <w:ind w:firstLine="420" w:firstLineChars="200"/>
        <w:outlineLvl w:val="0"/>
        <w:rPr>
          <w:color w:val="auto"/>
          <w:highlight w:val="none"/>
        </w:rPr>
      </w:pPr>
      <w:r>
        <w:rPr>
          <w:color w:val="auto"/>
          <w:highlight w:val="none"/>
        </w:rPr>
        <w:t xml:space="preserve">A3.5 </w:t>
      </w:r>
      <w:r>
        <w:rPr>
          <w:rFonts w:hint="eastAsia" w:cs="宋体"/>
          <w:color w:val="auto"/>
          <w:highlight w:val="none"/>
        </w:rPr>
        <w:t>澄清、说明或补正</w:t>
      </w:r>
    </w:p>
    <w:p>
      <w:pPr>
        <w:spacing w:line="360" w:lineRule="auto"/>
        <w:ind w:firstLine="420" w:firstLineChars="200"/>
        <w:rPr>
          <w:color w:val="auto"/>
          <w:highlight w:val="none"/>
        </w:rPr>
      </w:pPr>
      <w:r>
        <w:rPr>
          <w:rFonts w:hint="eastAsia" w:cs="宋体"/>
          <w:color w:val="auto"/>
          <w:highlight w:val="none"/>
        </w:rPr>
        <w:t>在初步评审过程中，评标委员会应当就投标文件中不明确的内容要求投标人进行澄清、说明或者补正。投标人应当根据问题澄清通知要求，以书面形式予以澄清、说明或者补正。澄清、说明或补正根据本章第</w:t>
      </w:r>
      <w:r>
        <w:rPr>
          <w:color w:val="auto"/>
          <w:highlight w:val="none"/>
        </w:rPr>
        <w:t>3.3</w:t>
      </w:r>
      <w:r>
        <w:rPr>
          <w:rFonts w:hint="eastAsia" w:cs="宋体"/>
          <w:color w:val="auto"/>
          <w:highlight w:val="none"/>
        </w:rPr>
        <w:t>款的规定进行。</w:t>
      </w:r>
    </w:p>
    <w:p>
      <w:pPr>
        <w:pStyle w:val="6"/>
        <w:rPr>
          <w:color w:val="auto"/>
          <w:highlight w:val="none"/>
        </w:rPr>
      </w:pPr>
      <w:bookmarkStart w:id="204" w:name="_Toc407135185"/>
      <w:bookmarkStart w:id="205" w:name="_Toc31641"/>
      <w:r>
        <w:rPr>
          <w:color w:val="auto"/>
          <w:highlight w:val="none"/>
        </w:rPr>
        <w:t xml:space="preserve">A4 </w:t>
      </w:r>
      <w:r>
        <w:rPr>
          <w:rFonts w:hint="eastAsia" w:cs="黑体"/>
          <w:color w:val="auto"/>
          <w:highlight w:val="none"/>
        </w:rPr>
        <w:t>详细评审</w:t>
      </w:r>
      <w:bookmarkEnd w:id="204"/>
      <w:bookmarkEnd w:id="205"/>
    </w:p>
    <w:p>
      <w:pPr>
        <w:spacing w:line="360" w:lineRule="auto"/>
        <w:ind w:firstLine="420" w:firstLineChars="200"/>
        <w:rPr>
          <w:color w:val="auto"/>
          <w:highlight w:val="none"/>
        </w:rPr>
      </w:pPr>
      <w:r>
        <w:rPr>
          <w:rFonts w:hint="eastAsia" w:cs="宋体"/>
          <w:color w:val="auto"/>
          <w:highlight w:val="none"/>
        </w:rPr>
        <w:t>只有通过了初步评审、被判定为合格的投标方可进入详细评审。</w:t>
      </w:r>
    </w:p>
    <w:p>
      <w:pPr>
        <w:spacing w:line="360" w:lineRule="auto"/>
        <w:ind w:firstLine="420" w:firstLineChars="200"/>
        <w:rPr>
          <w:color w:val="auto"/>
          <w:highlight w:val="none"/>
        </w:rPr>
      </w:pPr>
      <w:r>
        <w:rPr>
          <w:color w:val="auto"/>
          <w:highlight w:val="none"/>
        </w:rPr>
        <w:t xml:space="preserve">A4.1 </w:t>
      </w:r>
      <w:r>
        <w:rPr>
          <w:rFonts w:hint="eastAsia" w:cs="宋体"/>
          <w:color w:val="auto"/>
          <w:highlight w:val="none"/>
        </w:rPr>
        <w:t>对投标文件进行基础性数据分析和整理工作（清标）</w:t>
      </w:r>
    </w:p>
    <w:p>
      <w:pPr>
        <w:spacing w:line="360" w:lineRule="auto"/>
        <w:ind w:firstLine="420" w:firstLineChars="200"/>
        <w:rPr>
          <w:color w:val="auto"/>
          <w:highlight w:val="none"/>
        </w:rPr>
      </w:pPr>
      <w:r>
        <w:rPr>
          <w:color w:val="auto"/>
          <w:highlight w:val="none"/>
        </w:rPr>
        <w:t xml:space="preserve">A4.2 </w:t>
      </w:r>
      <w:r>
        <w:rPr>
          <w:rFonts w:hint="eastAsia" w:cs="宋体"/>
          <w:color w:val="auto"/>
          <w:highlight w:val="none"/>
        </w:rPr>
        <w:t>算术错误修正</w:t>
      </w:r>
    </w:p>
    <w:p>
      <w:pPr>
        <w:spacing w:line="360" w:lineRule="auto"/>
        <w:ind w:firstLine="420" w:firstLineChars="200"/>
        <w:rPr>
          <w:color w:val="auto"/>
          <w:highlight w:val="none"/>
        </w:rPr>
      </w:pPr>
      <w:r>
        <w:rPr>
          <w:rFonts w:hint="eastAsia" w:cs="宋体"/>
          <w:color w:val="auto"/>
          <w:highlight w:val="none"/>
        </w:rPr>
        <w:t>评标委员会</w:t>
      </w:r>
      <w:r>
        <w:rPr>
          <w:rFonts w:hint="eastAsia" w:cs="宋体"/>
          <w:color w:val="auto"/>
          <w:spacing w:val="-2"/>
          <w:highlight w:val="none"/>
        </w:rPr>
        <w:t>经济组评委</w:t>
      </w:r>
      <w:r>
        <w:rPr>
          <w:rFonts w:hint="eastAsia" w:cs="宋体"/>
          <w:color w:val="auto"/>
          <w:highlight w:val="none"/>
        </w:rPr>
        <w:t>依据本章中规定的相关原则对投标报价中存在的算术错误进行修正，并根据算术错误修正结果计算评标基准价。</w:t>
      </w:r>
    </w:p>
    <w:p>
      <w:pPr>
        <w:spacing w:line="360" w:lineRule="auto"/>
        <w:ind w:firstLine="420" w:firstLineChars="200"/>
        <w:rPr>
          <w:color w:val="auto"/>
          <w:highlight w:val="none"/>
        </w:rPr>
      </w:pPr>
      <w:r>
        <w:rPr>
          <w:color w:val="auto"/>
          <w:highlight w:val="none"/>
        </w:rPr>
        <w:t xml:space="preserve">A4.3 </w:t>
      </w:r>
      <w:r>
        <w:rPr>
          <w:rFonts w:hint="eastAsia" w:cs="宋体"/>
          <w:color w:val="auto"/>
          <w:highlight w:val="none"/>
        </w:rPr>
        <w:t>详细评审的程序</w:t>
      </w:r>
    </w:p>
    <w:p>
      <w:pPr>
        <w:spacing w:line="360" w:lineRule="auto"/>
        <w:ind w:firstLine="420" w:firstLineChars="200"/>
        <w:rPr>
          <w:color w:val="auto"/>
          <w:highlight w:val="none"/>
        </w:rPr>
      </w:pPr>
      <w:r>
        <w:rPr>
          <w:color w:val="auto"/>
          <w:highlight w:val="none"/>
        </w:rPr>
        <w:t xml:space="preserve">A4.3.1 </w:t>
      </w:r>
      <w:r>
        <w:rPr>
          <w:rFonts w:hint="eastAsia" w:cs="宋体"/>
          <w:color w:val="auto"/>
          <w:highlight w:val="none"/>
        </w:rPr>
        <w:t>评标委员会按照本章第</w:t>
      </w:r>
      <w:r>
        <w:rPr>
          <w:color w:val="auto"/>
          <w:highlight w:val="none"/>
        </w:rPr>
        <w:t>3.2</w:t>
      </w:r>
      <w:r>
        <w:rPr>
          <w:rFonts w:hint="eastAsia" w:cs="宋体"/>
          <w:color w:val="auto"/>
          <w:highlight w:val="none"/>
        </w:rPr>
        <w:t>款中规定的程序进行详细评审：</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）技术标评审和评分；</w:t>
      </w:r>
    </w:p>
    <w:p>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）商务标评审和评分；</w:t>
      </w:r>
    </w:p>
    <w:p>
      <w:pPr>
        <w:spacing w:line="360" w:lineRule="auto"/>
        <w:ind w:firstLine="945" w:firstLineChars="450"/>
        <w:rPr>
          <w:rFonts w:hint="eastAsia" w:cs="宋体"/>
          <w:color w:val="auto"/>
          <w:highlight w:val="none"/>
        </w:rPr>
      </w:pPr>
      <w:r>
        <w:rPr>
          <w:rFonts w:hint="eastAsia" w:cs="宋体"/>
          <w:color w:val="auto"/>
          <w:highlight w:val="none"/>
        </w:rPr>
        <w:t>①企业信誉实力评审和评分；</w:t>
      </w:r>
    </w:p>
    <w:p>
      <w:pPr>
        <w:spacing w:line="360" w:lineRule="auto"/>
        <w:ind w:firstLine="945" w:firstLineChars="450"/>
        <w:rPr>
          <w:color w:val="auto"/>
          <w:highlight w:val="none"/>
        </w:rPr>
      </w:pPr>
      <w:r>
        <w:rPr>
          <w:rFonts w:hint="eastAsia" w:cs="宋体"/>
          <w:color w:val="auto"/>
          <w:highlight w:val="none"/>
        </w:rPr>
        <w:t>②报价分评审和评分</w:t>
      </w:r>
    </w:p>
    <w:p>
      <w:pPr>
        <w:spacing w:line="360" w:lineRule="auto"/>
        <w:ind w:firstLine="420" w:firstLineChars="200"/>
        <w:rPr>
          <w:color w:val="auto"/>
          <w:highlight w:val="none"/>
        </w:rPr>
      </w:pPr>
      <w:r>
        <w:rPr>
          <w:rFonts w:hint="eastAsia" w:cs="宋体"/>
          <w:color w:val="auto"/>
          <w:highlight w:val="none"/>
        </w:rPr>
        <w:t>（</w:t>
      </w:r>
      <w:r>
        <w:rPr>
          <w:rFonts w:hint="eastAsia"/>
          <w:color w:val="auto"/>
          <w:highlight w:val="none"/>
        </w:rPr>
        <w:t>3</w:t>
      </w:r>
      <w:r>
        <w:rPr>
          <w:rFonts w:hint="eastAsia" w:cs="宋体"/>
          <w:color w:val="auto"/>
          <w:highlight w:val="none"/>
        </w:rPr>
        <w:t>）汇总评分结果。</w:t>
      </w:r>
    </w:p>
    <w:p>
      <w:pPr>
        <w:spacing w:line="360" w:lineRule="auto"/>
        <w:ind w:firstLine="420" w:firstLineChars="200"/>
        <w:rPr>
          <w:color w:val="auto"/>
          <w:highlight w:val="none"/>
        </w:rPr>
      </w:pPr>
      <w:r>
        <w:rPr>
          <w:color w:val="auto"/>
          <w:highlight w:val="none"/>
        </w:rPr>
        <w:t xml:space="preserve">A4.4 </w:t>
      </w:r>
      <w:r>
        <w:rPr>
          <w:rFonts w:hint="eastAsia" w:cs="宋体"/>
          <w:color w:val="auto"/>
          <w:highlight w:val="none"/>
        </w:rPr>
        <w:t>技术标评审和评分</w:t>
      </w:r>
    </w:p>
    <w:p>
      <w:pPr>
        <w:spacing w:line="360" w:lineRule="auto"/>
        <w:ind w:firstLine="420" w:firstLineChars="200"/>
        <w:rPr>
          <w:color w:val="auto"/>
          <w:highlight w:val="none"/>
        </w:rPr>
      </w:pPr>
      <w:r>
        <w:rPr>
          <w:rFonts w:hint="eastAsia" w:cs="宋体"/>
          <w:color w:val="auto"/>
          <w:highlight w:val="none"/>
        </w:rPr>
        <w:t>按照</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中规定的分值设定、各项评分因素、评分标准，由</w:t>
      </w:r>
      <w:r>
        <w:rPr>
          <w:rFonts w:hint="eastAsia" w:cs="宋体"/>
          <w:color w:val="auto"/>
          <w:spacing w:val="-2"/>
          <w:highlight w:val="none"/>
        </w:rPr>
        <w:t>评标委员会的技术组评委</w:t>
      </w:r>
      <w:r>
        <w:rPr>
          <w:rFonts w:hint="eastAsia" w:cs="宋体"/>
          <w:color w:val="auto"/>
          <w:highlight w:val="none"/>
        </w:rPr>
        <w:t>进行评审和评分。</w:t>
      </w:r>
    </w:p>
    <w:p>
      <w:pPr>
        <w:spacing w:line="360" w:lineRule="auto"/>
        <w:ind w:firstLine="420" w:firstLineChars="200"/>
        <w:rPr>
          <w:color w:val="auto"/>
          <w:highlight w:val="none"/>
        </w:rPr>
      </w:pPr>
      <w:r>
        <w:rPr>
          <w:color w:val="auto"/>
          <w:highlight w:val="none"/>
        </w:rPr>
        <w:t xml:space="preserve">A4.5 </w:t>
      </w:r>
      <w:r>
        <w:rPr>
          <w:rFonts w:hint="eastAsia" w:cs="宋体"/>
          <w:color w:val="auto"/>
          <w:highlight w:val="none"/>
        </w:rPr>
        <w:t>报价分评审和评分</w:t>
      </w:r>
    </w:p>
    <w:p>
      <w:pPr>
        <w:spacing w:line="360" w:lineRule="auto"/>
        <w:ind w:firstLine="420" w:firstLineChars="200"/>
        <w:rPr>
          <w:color w:val="auto"/>
          <w:highlight w:val="none"/>
        </w:rPr>
      </w:pPr>
      <w:r>
        <w:rPr>
          <w:color w:val="auto"/>
          <w:highlight w:val="none"/>
        </w:rPr>
        <w:t>A4.5.1</w:t>
      </w:r>
      <w:r>
        <w:rPr>
          <w:rFonts w:hint="eastAsia" w:cs="宋体"/>
          <w:color w:val="auto"/>
          <w:spacing w:val="-2"/>
          <w:highlight w:val="none"/>
        </w:rPr>
        <w:t>评标委员会的经济组评委</w:t>
      </w:r>
      <w:r>
        <w:rPr>
          <w:rFonts w:hint="eastAsia" w:cs="宋体"/>
          <w:color w:val="auto"/>
          <w:highlight w:val="none"/>
        </w:rPr>
        <w:t>按照</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中规定的方法计算</w:t>
      </w:r>
      <w:r>
        <w:rPr>
          <w:color w:val="auto"/>
          <w:highlight w:val="none"/>
        </w:rPr>
        <w:t>“</w:t>
      </w:r>
      <w:r>
        <w:rPr>
          <w:rFonts w:hint="eastAsia" w:cs="宋体"/>
          <w:color w:val="auto"/>
          <w:highlight w:val="none"/>
        </w:rPr>
        <w:t>评标基准价</w:t>
      </w:r>
      <w:r>
        <w:rPr>
          <w:color w:val="auto"/>
          <w:highlight w:val="none"/>
        </w:rPr>
        <w:t>”</w:t>
      </w:r>
      <w:r>
        <w:rPr>
          <w:rFonts w:hint="eastAsia" w:cs="宋体"/>
          <w:color w:val="auto"/>
          <w:highlight w:val="none"/>
        </w:rPr>
        <w:t>。</w:t>
      </w:r>
    </w:p>
    <w:p>
      <w:pPr>
        <w:spacing w:line="360" w:lineRule="auto"/>
        <w:ind w:firstLine="420" w:firstLineChars="200"/>
        <w:rPr>
          <w:color w:val="auto"/>
          <w:highlight w:val="none"/>
        </w:rPr>
      </w:pPr>
      <w:r>
        <w:rPr>
          <w:color w:val="auto"/>
          <w:highlight w:val="none"/>
        </w:rPr>
        <w:t>A4.5.2</w:t>
      </w:r>
      <w:r>
        <w:rPr>
          <w:rFonts w:hint="eastAsia" w:cs="宋体"/>
          <w:color w:val="auto"/>
          <w:spacing w:val="-2"/>
          <w:highlight w:val="none"/>
        </w:rPr>
        <w:t>评标委员会的经济组评委</w:t>
      </w:r>
      <w:r>
        <w:rPr>
          <w:rFonts w:hint="eastAsia" w:cs="宋体"/>
          <w:color w:val="auto"/>
          <w:highlight w:val="none"/>
        </w:rPr>
        <w:t>按照</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中规定的方法，计算各个已通过了初步评审和技术标评审的报价分得分。</w:t>
      </w:r>
    </w:p>
    <w:p>
      <w:pPr>
        <w:spacing w:line="360" w:lineRule="auto"/>
        <w:ind w:firstLine="420" w:firstLineChars="200"/>
        <w:rPr>
          <w:color w:val="auto"/>
          <w:highlight w:val="none"/>
        </w:rPr>
      </w:pPr>
      <w:r>
        <w:rPr>
          <w:color w:val="auto"/>
          <w:highlight w:val="none"/>
        </w:rPr>
        <w:t xml:space="preserve">A4.6 </w:t>
      </w:r>
      <w:r>
        <w:rPr>
          <w:rFonts w:hint="eastAsia" w:cs="宋体"/>
          <w:color w:val="auto"/>
          <w:highlight w:val="none"/>
        </w:rPr>
        <w:t>企业信誉实力评审和评分</w:t>
      </w:r>
    </w:p>
    <w:p>
      <w:pPr>
        <w:spacing w:line="360" w:lineRule="auto"/>
        <w:ind w:firstLine="412" w:firstLineChars="200"/>
        <w:rPr>
          <w:color w:val="auto"/>
          <w:highlight w:val="none"/>
        </w:rPr>
      </w:pPr>
      <w:r>
        <w:rPr>
          <w:rFonts w:hint="eastAsia" w:cs="宋体"/>
          <w:color w:val="auto"/>
          <w:spacing w:val="-2"/>
          <w:highlight w:val="none"/>
        </w:rPr>
        <w:t>评标委员会</w:t>
      </w:r>
      <w:r>
        <w:rPr>
          <w:rFonts w:hint="eastAsia" w:cs="宋体"/>
          <w:color w:val="auto"/>
          <w:highlight w:val="none"/>
        </w:rPr>
        <w:t>根据</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中规定的分值设定、各项评分因素和相应的评分标准进行评审和评分。</w:t>
      </w:r>
    </w:p>
    <w:p>
      <w:pPr>
        <w:spacing w:line="360" w:lineRule="auto"/>
        <w:ind w:firstLine="420" w:firstLineChars="200"/>
        <w:rPr>
          <w:color w:val="auto"/>
          <w:highlight w:val="none"/>
        </w:rPr>
      </w:pPr>
      <w:r>
        <w:rPr>
          <w:color w:val="auto"/>
          <w:highlight w:val="none"/>
        </w:rPr>
        <w:t xml:space="preserve">A4.7 </w:t>
      </w:r>
      <w:r>
        <w:rPr>
          <w:rFonts w:hint="eastAsia" w:cs="宋体"/>
          <w:color w:val="auto"/>
          <w:highlight w:val="none"/>
        </w:rPr>
        <w:t>判断投标报价是否低于成本</w:t>
      </w:r>
    </w:p>
    <w:p>
      <w:pPr>
        <w:spacing w:line="360" w:lineRule="auto"/>
        <w:ind w:firstLine="420" w:firstLineChars="200"/>
        <w:rPr>
          <w:color w:val="auto"/>
          <w:highlight w:val="none"/>
        </w:rPr>
      </w:pPr>
      <w:r>
        <w:rPr>
          <w:rFonts w:hint="eastAsia" w:cs="宋体"/>
          <w:color w:val="auto"/>
          <w:highlight w:val="none"/>
        </w:rPr>
        <w:t>由评标委员会的经济组评委认定投标人是否以低于成本竞标。</w:t>
      </w:r>
    </w:p>
    <w:p>
      <w:pPr>
        <w:spacing w:line="360" w:lineRule="auto"/>
        <w:ind w:firstLine="420" w:firstLineChars="200"/>
        <w:rPr>
          <w:color w:val="auto"/>
          <w:highlight w:val="none"/>
        </w:rPr>
      </w:pPr>
      <w:r>
        <w:rPr>
          <w:color w:val="auto"/>
          <w:highlight w:val="none"/>
        </w:rPr>
        <w:t xml:space="preserve">A4.8 </w:t>
      </w:r>
      <w:r>
        <w:rPr>
          <w:rFonts w:hint="eastAsia" w:cs="宋体"/>
          <w:color w:val="auto"/>
          <w:highlight w:val="none"/>
        </w:rPr>
        <w:t>澄清、说明或补正</w:t>
      </w:r>
    </w:p>
    <w:p>
      <w:pPr>
        <w:spacing w:line="360" w:lineRule="auto"/>
        <w:ind w:firstLine="420" w:firstLineChars="200"/>
        <w:rPr>
          <w:color w:val="auto"/>
          <w:highlight w:val="none"/>
        </w:rPr>
      </w:pPr>
      <w:r>
        <w:rPr>
          <w:rFonts w:hint="eastAsia" w:cs="宋体"/>
          <w:color w:val="auto"/>
          <w:highlight w:val="none"/>
        </w:rPr>
        <w:t>在评审过程中，评标委员会应当就投标文件中不明确的内容要求投标人进行澄清、说明或者补正。投标人对此以书面形式予以澄清、说明或者补正。澄清、说明或补正根据本章第</w:t>
      </w:r>
      <w:r>
        <w:rPr>
          <w:color w:val="auto"/>
          <w:highlight w:val="none"/>
        </w:rPr>
        <w:t>3.3</w:t>
      </w:r>
      <w:r>
        <w:rPr>
          <w:rFonts w:hint="eastAsia" w:cs="宋体"/>
          <w:color w:val="auto"/>
          <w:highlight w:val="none"/>
        </w:rPr>
        <w:t>款的规定执行。</w:t>
      </w:r>
    </w:p>
    <w:p>
      <w:pPr>
        <w:spacing w:line="360" w:lineRule="auto"/>
        <w:ind w:firstLine="420" w:firstLineChars="200"/>
        <w:rPr>
          <w:color w:val="auto"/>
          <w:highlight w:val="none"/>
        </w:rPr>
      </w:pPr>
      <w:r>
        <w:rPr>
          <w:color w:val="auto"/>
          <w:highlight w:val="none"/>
        </w:rPr>
        <w:t xml:space="preserve">A4.9 </w:t>
      </w:r>
      <w:r>
        <w:rPr>
          <w:rFonts w:hint="eastAsia" w:cs="宋体"/>
          <w:color w:val="auto"/>
          <w:highlight w:val="none"/>
        </w:rPr>
        <w:t>汇总评分结果</w:t>
      </w:r>
    </w:p>
    <w:p>
      <w:pPr>
        <w:spacing w:line="360" w:lineRule="auto"/>
        <w:ind w:firstLine="420" w:firstLineChars="200"/>
        <w:rPr>
          <w:rFonts w:cs="宋体"/>
          <w:color w:val="auto"/>
          <w:highlight w:val="none"/>
        </w:rPr>
      </w:pPr>
      <w:r>
        <w:rPr>
          <w:rFonts w:hint="eastAsia" w:cs="宋体"/>
          <w:color w:val="auto"/>
          <w:highlight w:val="none"/>
        </w:rPr>
        <w:t>详细评审工作全部结束后，汇总评标委员会各成员的详细评审评分结果，并按照详细评审最终得分由高至低的次序对投标人进行排序。</w:t>
      </w:r>
    </w:p>
    <w:p>
      <w:pPr>
        <w:pStyle w:val="6"/>
        <w:rPr>
          <w:color w:val="auto"/>
          <w:highlight w:val="none"/>
        </w:rPr>
      </w:pPr>
      <w:bookmarkStart w:id="206" w:name="_Toc24645"/>
      <w:bookmarkStart w:id="207" w:name="_Toc407135186"/>
      <w:r>
        <w:rPr>
          <w:color w:val="auto"/>
          <w:highlight w:val="none"/>
        </w:rPr>
        <w:t xml:space="preserve">A5 </w:t>
      </w:r>
      <w:r>
        <w:rPr>
          <w:rFonts w:hint="eastAsia" w:cs="黑体"/>
          <w:color w:val="auto"/>
          <w:highlight w:val="none"/>
        </w:rPr>
        <w:t>推荐中标候选人或者直接确定中标人</w:t>
      </w:r>
      <w:bookmarkEnd w:id="206"/>
      <w:bookmarkEnd w:id="207"/>
    </w:p>
    <w:p>
      <w:pPr>
        <w:spacing w:line="360" w:lineRule="auto"/>
        <w:ind w:left="-2" w:leftChars="-1" w:firstLine="420" w:firstLineChars="200"/>
        <w:outlineLvl w:val="0"/>
        <w:rPr>
          <w:color w:val="auto"/>
          <w:highlight w:val="none"/>
        </w:rPr>
      </w:pPr>
      <w:r>
        <w:rPr>
          <w:color w:val="auto"/>
          <w:highlight w:val="none"/>
        </w:rPr>
        <w:t xml:space="preserve">A5.1 </w:t>
      </w:r>
      <w:r>
        <w:rPr>
          <w:rFonts w:hint="eastAsia" w:cs="宋体"/>
          <w:color w:val="auto"/>
          <w:highlight w:val="none"/>
        </w:rPr>
        <w:t>推荐中标候选人</w:t>
      </w:r>
    </w:p>
    <w:p>
      <w:pPr>
        <w:spacing w:line="360" w:lineRule="auto"/>
        <w:ind w:left="-2" w:leftChars="-1" w:firstLine="420" w:firstLineChars="200"/>
        <w:rPr>
          <w:color w:val="auto"/>
          <w:highlight w:val="none"/>
        </w:rPr>
      </w:pPr>
      <w:r>
        <w:rPr>
          <w:color w:val="auto"/>
          <w:highlight w:val="none"/>
        </w:rPr>
        <w:t xml:space="preserve">A5.1.1 </w:t>
      </w:r>
      <w:r>
        <w:rPr>
          <w:rFonts w:hint="eastAsia" w:cs="宋体"/>
          <w:color w:val="auto"/>
          <w:highlight w:val="none"/>
        </w:rPr>
        <w:t>除第二章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前附表第</w:t>
      </w:r>
      <w:r>
        <w:rPr>
          <w:color w:val="auto"/>
          <w:highlight w:val="none"/>
        </w:rPr>
        <w:t>7.1</w:t>
      </w:r>
      <w:r>
        <w:rPr>
          <w:rFonts w:hint="eastAsia" w:cs="宋体"/>
          <w:color w:val="auto"/>
          <w:highlight w:val="none"/>
        </w:rPr>
        <w:t>款授权直接确定中标人外，评标委员会在推荐中标候选人时，应遵照以下原则：</w:t>
      </w:r>
    </w:p>
    <w:p>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）评标委员会按照最终得分由高至低的次序排列，并根据第二章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前附表第</w:t>
      </w:r>
      <w:r>
        <w:rPr>
          <w:color w:val="auto"/>
          <w:highlight w:val="none"/>
        </w:rPr>
        <w:t>7.1</w:t>
      </w:r>
      <w:r>
        <w:rPr>
          <w:rFonts w:hint="eastAsia" w:cs="宋体"/>
          <w:color w:val="auto"/>
          <w:highlight w:val="none"/>
        </w:rPr>
        <w:t>款规定及本章的规定推荐中标候选人。</w:t>
      </w:r>
    </w:p>
    <w:p>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）如果评标委员会根据本章的规定作否决投标处理后，有效投标不足三个，且少于第二章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前附表第</w:t>
      </w:r>
      <w:r>
        <w:rPr>
          <w:color w:val="auto"/>
          <w:highlight w:val="none"/>
        </w:rPr>
        <w:t>7.1</w:t>
      </w:r>
      <w:r>
        <w:rPr>
          <w:rFonts w:hint="eastAsia" w:cs="宋体"/>
          <w:color w:val="auto"/>
          <w:highlight w:val="none"/>
        </w:rPr>
        <w:t>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spacing w:line="360" w:lineRule="auto"/>
        <w:ind w:left="-2" w:leftChars="-1" w:firstLine="420" w:firstLineChars="200"/>
        <w:rPr>
          <w:color w:val="auto"/>
          <w:highlight w:val="none"/>
        </w:rPr>
      </w:pPr>
      <w:r>
        <w:rPr>
          <w:color w:val="auto"/>
          <w:highlight w:val="none"/>
        </w:rPr>
        <w:t xml:space="preserve">A5.1.2 </w:t>
      </w:r>
      <w:r>
        <w:rPr>
          <w:rFonts w:hint="eastAsia" w:cs="宋体"/>
          <w:color w:val="auto"/>
          <w:highlight w:val="none"/>
        </w:rPr>
        <w:t>投标截止时间前递交投标文件的投标人数量少于三个或者所有投标被否决的，招标人应当依法重新招标。</w:t>
      </w:r>
    </w:p>
    <w:p>
      <w:pPr>
        <w:spacing w:line="360" w:lineRule="auto"/>
        <w:ind w:left="-2" w:leftChars="-1" w:firstLine="420" w:firstLineChars="200"/>
        <w:rPr>
          <w:color w:val="auto"/>
          <w:highlight w:val="none"/>
        </w:rPr>
      </w:pPr>
      <w:r>
        <w:rPr>
          <w:color w:val="auto"/>
          <w:highlight w:val="none"/>
        </w:rPr>
        <w:t xml:space="preserve">A5.2 </w:t>
      </w:r>
      <w:r>
        <w:rPr>
          <w:rFonts w:hint="eastAsia" w:cs="宋体"/>
          <w:color w:val="auto"/>
          <w:highlight w:val="none"/>
        </w:rPr>
        <w:t>直接确定中标人</w:t>
      </w:r>
    </w:p>
    <w:p>
      <w:pPr>
        <w:spacing w:line="360" w:lineRule="auto"/>
        <w:ind w:left="-2" w:leftChars="-1" w:firstLine="420" w:firstLineChars="200"/>
        <w:rPr>
          <w:color w:val="auto"/>
          <w:highlight w:val="none"/>
        </w:rPr>
      </w:pPr>
      <w:r>
        <w:rPr>
          <w:rFonts w:hint="eastAsia" w:cs="宋体"/>
          <w:color w:val="auto"/>
          <w:highlight w:val="none"/>
        </w:rPr>
        <w:t>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前附表授权评标委员会直接确定中标人的，评标委员会按照最终得分由高至低的次序排列，按照本章的规定直接确定中标人。</w:t>
      </w:r>
    </w:p>
    <w:p>
      <w:pPr>
        <w:spacing w:line="360" w:lineRule="auto"/>
        <w:ind w:left="-2" w:leftChars="-1" w:firstLine="420" w:firstLineChars="200"/>
        <w:rPr>
          <w:color w:val="auto"/>
          <w:highlight w:val="none"/>
        </w:rPr>
      </w:pPr>
      <w:r>
        <w:rPr>
          <w:color w:val="auto"/>
          <w:highlight w:val="none"/>
        </w:rPr>
        <w:t xml:space="preserve">A5.3 </w:t>
      </w:r>
      <w:r>
        <w:rPr>
          <w:rFonts w:hint="eastAsia" w:cs="宋体"/>
          <w:color w:val="auto"/>
          <w:highlight w:val="none"/>
        </w:rPr>
        <w:t>编制评标报告</w:t>
      </w:r>
    </w:p>
    <w:p>
      <w:pPr>
        <w:spacing w:line="360" w:lineRule="auto"/>
        <w:ind w:left="-2" w:leftChars="-1" w:firstLine="420" w:firstLineChars="200"/>
        <w:rPr>
          <w:color w:val="auto"/>
          <w:highlight w:val="none"/>
        </w:rPr>
      </w:pPr>
      <w:r>
        <w:rPr>
          <w:rFonts w:hint="eastAsia" w:cs="宋体"/>
          <w:color w:val="auto"/>
          <w:highlight w:val="none"/>
        </w:rPr>
        <w:t>评标委员会向招标人提交评标报告。评标报告应当由全体评标委员会成员签字。评标报告应当包括但不限于以下内容：</w:t>
      </w:r>
    </w:p>
    <w:p>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）基本情况和数据表；</w:t>
      </w:r>
    </w:p>
    <w:p>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）评标委员会成员名单；</w:t>
      </w:r>
    </w:p>
    <w:p>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）开标记录；</w:t>
      </w:r>
    </w:p>
    <w:p>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）符合要求的投标一览表；</w:t>
      </w:r>
    </w:p>
    <w:p>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）否决投标情况说明；</w:t>
      </w:r>
    </w:p>
    <w:p>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6</w:t>
      </w:r>
      <w:r>
        <w:rPr>
          <w:rFonts w:hint="eastAsia" w:cs="宋体"/>
          <w:color w:val="auto"/>
          <w:highlight w:val="none"/>
        </w:rPr>
        <w:t>）评标标准、评标方法或者评标因素一览表；</w:t>
      </w:r>
    </w:p>
    <w:p>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7</w:t>
      </w:r>
      <w:r>
        <w:rPr>
          <w:rFonts w:hint="eastAsia" w:cs="宋体"/>
          <w:color w:val="auto"/>
          <w:highlight w:val="none"/>
        </w:rPr>
        <w:t>）经评审的价格一览表（包括评标委员会在评标过程中所形成的所有记载评标结果、结论的表格、说明、记录等文件）；</w:t>
      </w:r>
    </w:p>
    <w:p>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8</w:t>
      </w:r>
      <w:r>
        <w:rPr>
          <w:rFonts w:hint="eastAsia" w:cs="宋体"/>
          <w:color w:val="auto"/>
          <w:highlight w:val="none"/>
        </w:rPr>
        <w:t>）经评审的投标人排序；</w:t>
      </w:r>
    </w:p>
    <w:p>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9</w:t>
      </w:r>
      <w:r>
        <w:rPr>
          <w:rFonts w:hint="eastAsia" w:cs="宋体"/>
          <w:color w:val="auto"/>
          <w:highlight w:val="none"/>
        </w:rPr>
        <w:t>）推荐的中标候选人名单（如果第二章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前附表授权评标委员会直接确定中标人，则为</w:t>
      </w:r>
      <w:r>
        <w:rPr>
          <w:color w:val="auto"/>
          <w:highlight w:val="none"/>
        </w:rPr>
        <w:t>“</w:t>
      </w:r>
      <w:r>
        <w:rPr>
          <w:rFonts w:hint="eastAsia" w:cs="宋体"/>
          <w:color w:val="auto"/>
          <w:highlight w:val="none"/>
        </w:rPr>
        <w:t>确定的中标人</w:t>
      </w:r>
      <w:r>
        <w:rPr>
          <w:color w:val="auto"/>
          <w:highlight w:val="none"/>
        </w:rPr>
        <w:t>”</w:t>
      </w:r>
      <w:r>
        <w:rPr>
          <w:rFonts w:hint="eastAsia" w:cs="宋体"/>
          <w:color w:val="auto"/>
          <w:highlight w:val="none"/>
        </w:rPr>
        <w:t>）与签订合同前要处理的事宜；</w:t>
      </w:r>
    </w:p>
    <w:p>
      <w:pPr>
        <w:spacing w:line="360" w:lineRule="auto"/>
        <w:ind w:left="-2" w:leftChars="-1" w:firstLine="420" w:firstLineChars="200"/>
        <w:rPr>
          <w:b/>
          <w:bCs/>
          <w:color w:val="auto"/>
          <w:highlight w:val="none"/>
        </w:rPr>
      </w:pPr>
      <w:r>
        <w:rPr>
          <w:rFonts w:hint="eastAsia" w:cs="宋体"/>
          <w:color w:val="auto"/>
          <w:highlight w:val="none"/>
        </w:rPr>
        <w:t>（</w:t>
      </w:r>
      <w:r>
        <w:rPr>
          <w:color w:val="auto"/>
          <w:highlight w:val="none"/>
        </w:rPr>
        <w:t>10</w:t>
      </w:r>
      <w:r>
        <w:rPr>
          <w:rFonts w:hint="eastAsia" w:cs="宋体"/>
          <w:color w:val="auto"/>
          <w:highlight w:val="none"/>
        </w:rPr>
        <w:t>）澄清、说明、补正事项纪要。</w:t>
      </w:r>
    </w:p>
    <w:p>
      <w:pPr>
        <w:pStyle w:val="6"/>
        <w:rPr>
          <w:color w:val="auto"/>
          <w:highlight w:val="none"/>
        </w:rPr>
      </w:pPr>
      <w:bookmarkStart w:id="208" w:name="_Toc5570"/>
      <w:bookmarkStart w:id="209" w:name="_Toc407135187"/>
      <w:r>
        <w:rPr>
          <w:color w:val="auto"/>
          <w:highlight w:val="none"/>
        </w:rPr>
        <w:t xml:space="preserve">A6 </w:t>
      </w:r>
      <w:r>
        <w:rPr>
          <w:rFonts w:hint="eastAsia" w:cs="黑体"/>
          <w:color w:val="auto"/>
          <w:highlight w:val="none"/>
        </w:rPr>
        <w:t>特殊情况的处置程序</w:t>
      </w:r>
      <w:bookmarkEnd w:id="208"/>
      <w:bookmarkEnd w:id="209"/>
    </w:p>
    <w:p>
      <w:pPr>
        <w:spacing w:line="360" w:lineRule="auto"/>
        <w:ind w:firstLine="420" w:firstLineChars="200"/>
        <w:rPr>
          <w:color w:val="auto"/>
          <w:highlight w:val="none"/>
        </w:rPr>
      </w:pPr>
      <w:r>
        <w:rPr>
          <w:color w:val="auto"/>
          <w:highlight w:val="none"/>
        </w:rPr>
        <w:t xml:space="preserve">A6.1 </w:t>
      </w:r>
      <w:r>
        <w:rPr>
          <w:rFonts w:hint="eastAsia" w:cs="宋体"/>
          <w:color w:val="auto"/>
          <w:highlight w:val="none"/>
        </w:rPr>
        <w:t>关于评标活动暂停</w:t>
      </w:r>
    </w:p>
    <w:p>
      <w:pPr>
        <w:spacing w:line="360" w:lineRule="auto"/>
        <w:ind w:left="-2" w:leftChars="-1" w:firstLine="420" w:firstLineChars="200"/>
        <w:rPr>
          <w:color w:val="auto"/>
          <w:highlight w:val="none"/>
        </w:rPr>
      </w:pPr>
      <w:r>
        <w:rPr>
          <w:color w:val="auto"/>
          <w:highlight w:val="none"/>
        </w:rPr>
        <w:t xml:space="preserve">A6.1.1 </w:t>
      </w:r>
      <w:r>
        <w:rPr>
          <w:rFonts w:hint="eastAsia" w:cs="宋体"/>
          <w:color w:val="auto"/>
          <w:highlight w:val="none"/>
        </w:rPr>
        <w:t>评标委员会应当执行连续评标的原则，按评标办法中规定的程序、内容、方法、标准完成全部评标工作。只有发生不可抗力导致评标工作无法继续时，评标活动方可暂停。</w:t>
      </w:r>
    </w:p>
    <w:p>
      <w:pPr>
        <w:spacing w:line="360" w:lineRule="auto"/>
        <w:ind w:left="-2" w:leftChars="-1" w:firstLine="420" w:firstLineChars="200"/>
        <w:rPr>
          <w:color w:val="auto"/>
          <w:highlight w:val="none"/>
        </w:rPr>
      </w:pPr>
      <w:r>
        <w:rPr>
          <w:color w:val="auto"/>
          <w:highlight w:val="none"/>
        </w:rPr>
        <w:t xml:space="preserve">A6.1.2 </w:t>
      </w:r>
      <w:r>
        <w:rPr>
          <w:rFonts w:hint="eastAsia" w:cs="宋体"/>
          <w:color w:val="auto"/>
          <w:highlight w:val="none"/>
        </w:rPr>
        <w:t>发生评标暂停情况时，评标委员会应当封存全部投标文件和评标记录，待不可抗力的影响结束且具备继续评标的条件时，由原评标委员会继续评标。</w:t>
      </w:r>
    </w:p>
    <w:p>
      <w:pPr>
        <w:spacing w:line="360" w:lineRule="auto"/>
        <w:ind w:firstLine="420" w:firstLineChars="200"/>
        <w:outlineLvl w:val="0"/>
        <w:rPr>
          <w:color w:val="auto"/>
          <w:highlight w:val="none"/>
        </w:rPr>
      </w:pPr>
      <w:r>
        <w:rPr>
          <w:color w:val="auto"/>
          <w:highlight w:val="none"/>
        </w:rPr>
        <w:t xml:space="preserve">A6.2 </w:t>
      </w:r>
      <w:r>
        <w:rPr>
          <w:rFonts w:hint="eastAsia" w:cs="宋体"/>
          <w:color w:val="auto"/>
          <w:highlight w:val="none"/>
        </w:rPr>
        <w:t>关于评标中途更换评委</w:t>
      </w:r>
    </w:p>
    <w:p>
      <w:pPr>
        <w:spacing w:line="360" w:lineRule="auto"/>
        <w:ind w:firstLine="420" w:firstLineChars="200"/>
        <w:rPr>
          <w:color w:val="auto"/>
          <w:highlight w:val="none"/>
        </w:rPr>
      </w:pPr>
      <w:r>
        <w:rPr>
          <w:color w:val="auto"/>
          <w:highlight w:val="none"/>
        </w:rPr>
        <w:t xml:space="preserve">A6.2.1 </w:t>
      </w:r>
      <w:r>
        <w:rPr>
          <w:rFonts w:hint="eastAsia" w:cs="宋体"/>
          <w:color w:val="auto"/>
          <w:highlight w:val="none"/>
        </w:rPr>
        <w:t>除非发生下列情况之一，评标委员会成员不得在评标中途更换：</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）因不可抗拒的客观原因，不能到场或需在评标中途退出评标活动。</w:t>
      </w:r>
    </w:p>
    <w:p>
      <w:pPr>
        <w:spacing w:line="360" w:lineRule="auto"/>
        <w:ind w:left="-2" w:leftChars="-1"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）根据法律法规规定，某个或某几个评标委员会成员需要回避。</w:t>
      </w:r>
    </w:p>
    <w:p>
      <w:pPr>
        <w:spacing w:line="360" w:lineRule="auto"/>
        <w:ind w:left="-2" w:leftChars="-1" w:firstLine="420" w:firstLineChars="200"/>
        <w:rPr>
          <w:color w:val="auto"/>
          <w:highlight w:val="none"/>
        </w:rPr>
      </w:pPr>
      <w:r>
        <w:rPr>
          <w:color w:val="auto"/>
          <w:highlight w:val="none"/>
        </w:rPr>
        <w:t xml:space="preserve">A6.2.2 </w:t>
      </w:r>
      <w:r>
        <w:rPr>
          <w:rFonts w:hint="eastAsia" w:cs="宋体"/>
          <w:color w:val="auto"/>
          <w:highlight w:val="none"/>
        </w:rPr>
        <w:t>退出评标的评标委员会成员，其已完成的评标行为无效。由招标人根据本招标文件规定的评标委员会成员生产方式另行确定替代者进行评标。</w:t>
      </w:r>
    </w:p>
    <w:p>
      <w:pPr>
        <w:spacing w:line="360" w:lineRule="auto"/>
        <w:ind w:firstLine="420" w:firstLineChars="200"/>
        <w:rPr>
          <w:color w:val="auto"/>
          <w:highlight w:val="none"/>
        </w:rPr>
      </w:pPr>
      <w:r>
        <w:rPr>
          <w:color w:val="auto"/>
          <w:highlight w:val="none"/>
        </w:rPr>
        <w:t xml:space="preserve">A6.3 </w:t>
      </w:r>
      <w:r>
        <w:rPr>
          <w:rFonts w:hint="eastAsia" w:cs="宋体"/>
          <w:color w:val="auto"/>
          <w:highlight w:val="none"/>
        </w:rPr>
        <w:t>记名投票</w:t>
      </w:r>
    </w:p>
    <w:p>
      <w:pPr>
        <w:spacing w:line="360" w:lineRule="auto"/>
        <w:ind w:left="-2" w:leftChars="-1" w:firstLine="420" w:firstLineChars="200"/>
        <w:rPr>
          <w:b/>
          <w:bCs/>
          <w:color w:val="auto"/>
          <w:highlight w:val="none"/>
        </w:rPr>
      </w:pPr>
      <w:r>
        <w:rPr>
          <w:rFonts w:hint="eastAsia" w:cs="宋体"/>
          <w:color w:val="auto"/>
          <w:highlight w:val="none"/>
        </w:rPr>
        <w:t>需评标委员会就某项定性的评审结论做出表决的，由评标委员会全体成员按照少数服从多数的原则，以记名投票方式表决。</w:t>
      </w:r>
    </w:p>
    <w:p>
      <w:pPr>
        <w:pStyle w:val="6"/>
        <w:rPr>
          <w:color w:val="auto"/>
          <w:highlight w:val="none"/>
        </w:rPr>
      </w:pPr>
      <w:bookmarkStart w:id="210" w:name="_Toc407135188"/>
      <w:bookmarkStart w:id="211" w:name="_Toc29181"/>
      <w:r>
        <w:rPr>
          <w:color w:val="auto"/>
          <w:highlight w:val="none"/>
        </w:rPr>
        <w:t xml:space="preserve">A7 </w:t>
      </w:r>
      <w:r>
        <w:rPr>
          <w:rFonts w:hint="eastAsia" w:cs="黑体"/>
          <w:color w:val="auto"/>
          <w:highlight w:val="none"/>
        </w:rPr>
        <w:t>补充条款</w:t>
      </w:r>
      <w:bookmarkEnd w:id="210"/>
      <w:bookmarkEnd w:id="211"/>
    </w:p>
    <w:p>
      <w:pPr>
        <w:spacing w:line="360" w:lineRule="auto"/>
        <w:ind w:left="-2" w:leftChars="-1" w:firstLine="420" w:firstLineChars="200"/>
        <w:rPr>
          <w:rFonts w:cs="宋体"/>
          <w:color w:val="auto"/>
          <w:highlight w:val="none"/>
        </w:rPr>
      </w:pPr>
      <w:r>
        <w:rPr>
          <w:rFonts w:hint="eastAsia" w:cs="宋体"/>
          <w:color w:val="auto"/>
          <w:highlight w:val="none"/>
        </w:rPr>
        <w:t>根据《评标委员会和评标方法暂行规定》《评标专家和评标专家库管理暂行办法》等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rPr>
          <w:color w:val="auto"/>
          <w:highlight w:val="none"/>
        </w:rPr>
        <w:sectPr>
          <w:pgSz w:w="11907" w:h="16840"/>
          <w:pgMar w:top="1440" w:right="1440" w:bottom="1440" w:left="1797" w:header="851" w:footer="851" w:gutter="0"/>
          <w:cols w:space="720" w:num="1"/>
          <w:docGrid w:linePitch="312" w:charSpace="0"/>
        </w:sectPr>
      </w:pPr>
    </w:p>
    <w:p>
      <w:pPr>
        <w:pStyle w:val="5"/>
        <w:jc w:val="center"/>
        <w:rPr>
          <w:b w:val="0"/>
          <w:bCs w:val="0"/>
          <w:color w:val="auto"/>
          <w:sz w:val="28"/>
          <w:szCs w:val="28"/>
          <w:highlight w:val="none"/>
        </w:rPr>
      </w:pPr>
      <w:bookmarkStart w:id="212" w:name="_Toc12716"/>
      <w:bookmarkStart w:id="213" w:name="_Toc407135189"/>
      <w:r>
        <w:rPr>
          <w:rFonts w:hint="eastAsia" w:cs="黑体"/>
          <w:color w:val="auto"/>
          <w:highlight w:val="none"/>
        </w:rPr>
        <w:t>附件</w:t>
      </w:r>
      <w:r>
        <w:rPr>
          <w:color w:val="auto"/>
          <w:highlight w:val="none"/>
        </w:rPr>
        <w:t xml:space="preserve">B  </w:t>
      </w:r>
      <w:r>
        <w:rPr>
          <w:rFonts w:hint="eastAsia" w:cs="黑体"/>
          <w:color w:val="auto"/>
          <w:highlight w:val="none"/>
        </w:rPr>
        <w:t>否决投标条件</w:t>
      </w:r>
      <w:bookmarkEnd w:id="212"/>
      <w:bookmarkEnd w:id="213"/>
    </w:p>
    <w:p>
      <w:pPr>
        <w:pStyle w:val="6"/>
        <w:rPr>
          <w:color w:val="auto"/>
          <w:highlight w:val="none"/>
        </w:rPr>
      </w:pPr>
      <w:bookmarkStart w:id="214" w:name="_Toc22060"/>
      <w:r>
        <w:rPr>
          <w:color w:val="auto"/>
          <w:highlight w:val="none"/>
        </w:rPr>
        <w:t xml:space="preserve">B0 </w:t>
      </w:r>
      <w:r>
        <w:rPr>
          <w:rFonts w:hint="eastAsia" w:cs="黑体"/>
          <w:color w:val="auto"/>
          <w:highlight w:val="none"/>
        </w:rPr>
        <w:t>总</w:t>
      </w:r>
      <w:r>
        <w:rPr>
          <w:color w:val="auto"/>
          <w:highlight w:val="none"/>
        </w:rPr>
        <w:t xml:space="preserve">  </w:t>
      </w:r>
      <w:r>
        <w:rPr>
          <w:rFonts w:hint="eastAsia" w:cs="黑体"/>
          <w:color w:val="auto"/>
          <w:highlight w:val="none"/>
        </w:rPr>
        <w:t>则</w:t>
      </w:r>
      <w:bookmarkEnd w:id="214"/>
    </w:p>
    <w:p>
      <w:pPr>
        <w:spacing w:line="360" w:lineRule="auto"/>
        <w:ind w:firstLine="420" w:firstLineChars="200"/>
        <w:rPr>
          <w:color w:val="auto"/>
          <w:highlight w:val="none"/>
        </w:rPr>
      </w:pPr>
      <w:r>
        <w:rPr>
          <w:rFonts w:hint="eastAsia" w:cs="宋体"/>
          <w:color w:val="auto"/>
          <w:highlight w:val="none"/>
        </w:rPr>
        <w:t>本附件所集中列示的否决投标条件，是本章</w:t>
      </w:r>
      <w:r>
        <w:rPr>
          <w:color w:val="auto"/>
          <w:highlight w:val="none"/>
        </w:rPr>
        <w:t>“</w:t>
      </w:r>
      <w:r>
        <w:rPr>
          <w:rFonts w:hint="eastAsia" w:cs="宋体"/>
          <w:color w:val="auto"/>
          <w:highlight w:val="none"/>
        </w:rPr>
        <w:t>评标办法</w:t>
      </w:r>
      <w:r>
        <w:rPr>
          <w:color w:val="auto"/>
          <w:highlight w:val="none"/>
        </w:rPr>
        <w:t>”</w:t>
      </w:r>
      <w:r>
        <w:rPr>
          <w:rFonts w:hint="eastAsia" w:cs="宋体"/>
          <w:color w:val="auto"/>
          <w:highlight w:val="none"/>
        </w:rPr>
        <w:t>的组成部分，是对第二章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和本章正文部分所规定的否决投标条件的总结和补充，如果出现相互矛盾的情况，以第二章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和本章正文部分的规定为准。</w:t>
      </w:r>
    </w:p>
    <w:p>
      <w:pPr>
        <w:pStyle w:val="6"/>
        <w:rPr>
          <w:color w:val="auto"/>
          <w:highlight w:val="none"/>
        </w:rPr>
      </w:pPr>
      <w:bookmarkStart w:id="215" w:name="_Toc23537"/>
      <w:r>
        <w:rPr>
          <w:color w:val="auto"/>
          <w:highlight w:val="none"/>
        </w:rPr>
        <w:t xml:space="preserve">B1 </w:t>
      </w:r>
      <w:r>
        <w:rPr>
          <w:rFonts w:hint="eastAsia" w:cs="黑体"/>
          <w:color w:val="auto"/>
          <w:highlight w:val="none"/>
        </w:rPr>
        <w:t>否决投标条件</w:t>
      </w:r>
      <w:bookmarkEnd w:id="215"/>
    </w:p>
    <w:p>
      <w:pPr>
        <w:spacing w:line="360" w:lineRule="auto"/>
        <w:ind w:firstLine="420" w:firstLineChars="200"/>
        <w:rPr>
          <w:color w:val="auto"/>
          <w:highlight w:val="none"/>
        </w:rPr>
      </w:pPr>
      <w:r>
        <w:rPr>
          <w:rFonts w:hint="eastAsia" w:cs="宋体"/>
          <w:color w:val="auto"/>
          <w:highlight w:val="none"/>
        </w:rPr>
        <w:t>投标人或其投标文件有下列情形之一的，其投标作否决投标处理：</w:t>
      </w:r>
    </w:p>
    <w:p>
      <w:pPr>
        <w:spacing w:line="360" w:lineRule="auto"/>
        <w:ind w:firstLine="420" w:firstLineChars="200"/>
        <w:rPr>
          <w:color w:val="auto"/>
          <w:highlight w:val="none"/>
        </w:rPr>
      </w:pPr>
      <w:r>
        <w:rPr>
          <w:color w:val="auto"/>
          <w:highlight w:val="none"/>
        </w:rPr>
        <w:t xml:space="preserve">B1.1 </w:t>
      </w:r>
      <w:r>
        <w:rPr>
          <w:rFonts w:hint="eastAsia" w:cs="宋体"/>
          <w:color w:val="auto"/>
          <w:highlight w:val="none"/>
        </w:rPr>
        <w:t>有第二章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第</w:t>
      </w:r>
      <w:r>
        <w:rPr>
          <w:color w:val="auto"/>
          <w:highlight w:val="none"/>
        </w:rPr>
        <w:t>1.4.3</w:t>
      </w:r>
      <w:r>
        <w:rPr>
          <w:rFonts w:hint="eastAsia"/>
          <w:color w:val="auto"/>
          <w:highlight w:val="none"/>
        </w:rPr>
        <w:t>、1.4.4</w:t>
      </w:r>
      <w:r>
        <w:rPr>
          <w:rFonts w:hint="eastAsia" w:cs="宋体"/>
          <w:color w:val="auto"/>
          <w:highlight w:val="none"/>
        </w:rPr>
        <w:t>项规定的任何一种情形的；</w:t>
      </w:r>
    </w:p>
    <w:p>
      <w:pPr>
        <w:spacing w:line="360" w:lineRule="auto"/>
        <w:ind w:firstLine="420" w:firstLineChars="200"/>
        <w:rPr>
          <w:color w:val="auto"/>
          <w:highlight w:val="none"/>
        </w:rPr>
      </w:pPr>
      <w:r>
        <w:rPr>
          <w:color w:val="auto"/>
          <w:highlight w:val="none"/>
        </w:rPr>
        <w:t xml:space="preserve">B1.2 </w:t>
      </w:r>
      <w:r>
        <w:rPr>
          <w:rFonts w:hint="eastAsia" w:cs="宋体"/>
          <w:color w:val="auto"/>
          <w:highlight w:val="none"/>
        </w:rPr>
        <w:t>有串通投标或弄虚作假或有其他违法行为的；</w:t>
      </w:r>
    </w:p>
    <w:p>
      <w:pPr>
        <w:spacing w:line="360" w:lineRule="auto"/>
        <w:ind w:firstLine="420" w:firstLineChars="200"/>
        <w:rPr>
          <w:color w:val="auto"/>
          <w:highlight w:val="none"/>
        </w:rPr>
      </w:pPr>
      <w:r>
        <w:rPr>
          <w:color w:val="auto"/>
          <w:highlight w:val="none"/>
        </w:rPr>
        <w:t xml:space="preserve">B1.3 </w:t>
      </w:r>
      <w:r>
        <w:rPr>
          <w:rFonts w:hint="eastAsia" w:cs="宋体"/>
          <w:color w:val="auto"/>
          <w:highlight w:val="none"/>
        </w:rPr>
        <w:t>不按评标委员会要求澄清、说明或补正的；</w:t>
      </w:r>
    </w:p>
    <w:p>
      <w:pPr>
        <w:spacing w:line="360" w:lineRule="auto"/>
        <w:ind w:firstLine="420" w:firstLineChars="200"/>
        <w:rPr>
          <w:color w:val="auto"/>
          <w:highlight w:val="none"/>
        </w:rPr>
      </w:pPr>
      <w:r>
        <w:rPr>
          <w:color w:val="auto"/>
          <w:highlight w:val="none"/>
        </w:rPr>
        <w:t xml:space="preserve">B1.4 </w:t>
      </w:r>
      <w:r>
        <w:rPr>
          <w:rFonts w:hint="eastAsia" w:cs="宋体"/>
          <w:color w:val="auto"/>
          <w:highlight w:val="none"/>
        </w:rPr>
        <w:t>在资格</w:t>
      </w:r>
      <w:r>
        <w:rPr>
          <w:rFonts w:hint="eastAsia" w:cs="宋体"/>
          <w:color w:val="auto"/>
          <w:highlight w:val="none"/>
          <w:lang w:eastAsia="zh-CN"/>
        </w:rPr>
        <w:t>性</w:t>
      </w:r>
      <w:r>
        <w:rPr>
          <w:rFonts w:hint="eastAsia" w:cs="宋体"/>
          <w:color w:val="auto"/>
          <w:highlight w:val="none"/>
        </w:rPr>
        <w:t>评审、</w:t>
      </w:r>
      <w:r>
        <w:rPr>
          <w:rFonts w:hint="eastAsia" w:cs="宋体"/>
          <w:color w:val="auto"/>
          <w:highlight w:val="none"/>
          <w:lang w:eastAsia="zh-CN"/>
        </w:rPr>
        <w:t>符合性</w:t>
      </w:r>
      <w:r>
        <w:rPr>
          <w:rFonts w:hint="eastAsia" w:cs="宋体"/>
          <w:color w:val="auto"/>
          <w:highlight w:val="none"/>
        </w:rPr>
        <w:t>评审中，评标委员会认定投标人的投标文件不符合</w:t>
      </w:r>
      <w:r>
        <w:rPr>
          <w:color w:val="auto"/>
          <w:highlight w:val="none"/>
        </w:rPr>
        <w:t>“</w:t>
      </w:r>
      <w:r>
        <w:rPr>
          <w:rFonts w:hint="eastAsia" w:cs="宋体"/>
          <w:color w:val="auto"/>
          <w:highlight w:val="none"/>
        </w:rPr>
        <w:t>评标办法前附表</w:t>
      </w:r>
      <w:r>
        <w:rPr>
          <w:color w:val="auto"/>
          <w:highlight w:val="none"/>
        </w:rPr>
        <w:t>”</w:t>
      </w:r>
      <w:r>
        <w:rPr>
          <w:rFonts w:hint="eastAsia" w:cs="宋体"/>
          <w:color w:val="auto"/>
          <w:highlight w:val="none"/>
        </w:rPr>
        <w:t>中规定的任何一项评审标准的</w:t>
      </w:r>
      <w:r>
        <w:rPr>
          <w:rFonts w:hint="eastAsia" w:cs="宋体"/>
          <w:color w:val="auto"/>
          <w:highlight w:val="none"/>
          <w:lang w:eastAsia="zh-CN"/>
        </w:rPr>
        <w:t>，</w:t>
      </w:r>
    </w:p>
    <w:p>
      <w:pPr>
        <w:spacing w:line="360" w:lineRule="auto"/>
        <w:ind w:firstLine="420" w:firstLineChars="200"/>
        <w:rPr>
          <w:color w:val="auto"/>
          <w:highlight w:val="none"/>
        </w:rPr>
      </w:pPr>
      <w:r>
        <w:rPr>
          <w:color w:val="auto"/>
          <w:highlight w:val="none"/>
        </w:rPr>
        <w:t>B1.</w:t>
      </w:r>
      <w:r>
        <w:rPr>
          <w:rFonts w:hint="eastAsia"/>
          <w:color w:val="auto"/>
          <w:highlight w:val="none"/>
          <w:lang w:val="en-US" w:eastAsia="zh-CN"/>
        </w:rPr>
        <w:t>5</w:t>
      </w:r>
      <w:r>
        <w:rPr>
          <w:color w:val="auto"/>
          <w:highlight w:val="none"/>
        </w:rPr>
        <w:t xml:space="preserve"> </w:t>
      </w:r>
      <w:r>
        <w:rPr>
          <w:rFonts w:hint="eastAsia" w:cs="宋体"/>
          <w:color w:val="auto"/>
          <w:highlight w:val="none"/>
        </w:rPr>
        <w:t>不按第二章投标须知前附表第</w:t>
      </w:r>
      <w:r>
        <w:rPr>
          <w:color w:val="auto"/>
          <w:highlight w:val="none"/>
        </w:rPr>
        <w:t>3.1.1</w:t>
      </w:r>
      <w:r>
        <w:rPr>
          <w:rFonts w:hint="eastAsia" w:cs="宋体"/>
          <w:color w:val="auto"/>
          <w:highlight w:val="none"/>
        </w:rPr>
        <w:t>条内容提供资料的；</w:t>
      </w:r>
    </w:p>
    <w:p>
      <w:pPr>
        <w:spacing w:line="360" w:lineRule="auto"/>
        <w:ind w:firstLine="420" w:firstLineChars="200"/>
        <w:rPr>
          <w:color w:val="auto"/>
          <w:highlight w:val="none"/>
        </w:rPr>
      </w:pPr>
      <w:r>
        <w:rPr>
          <w:color w:val="auto"/>
          <w:highlight w:val="none"/>
        </w:rPr>
        <w:t>B1.</w:t>
      </w:r>
      <w:r>
        <w:rPr>
          <w:rFonts w:hint="eastAsia"/>
          <w:color w:val="auto"/>
          <w:highlight w:val="none"/>
          <w:lang w:val="en-US" w:eastAsia="zh-CN"/>
        </w:rPr>
        <w:t>6</w:t>
      </w:r>
      <w:r>
        <w:rPr>
          <w:color w:val="auto"/>
          <w:highlight w:val="none"/>
        </w:rPr>
        <w:t xml:space="preserve"> </w:t>
      </w:r>
      <w:r>
        <w:rPr>
          <w:rFonts w:hint="eastAsia" w:cs="宋体"/>
          <w:color w:val="auto"/>
          <w:highlight w:val="none"/>
        </w:rPr>
        <w:t>没有在招标文件规定的投标文件相关位置加盖投标人法人单位公章的；</w:t>
      </w:r>
    </w:p>
    <w:p>
      <w:pPr>
        <w:spacing w:line="360" w:lineRule="auto"/>
        <w:ind w:firstLine="420" w:firstLineChars="200"/>
        <w:rPr>
          <w:color w:val="auto"/>
          <w:highlight w:val="none"/>
        </w:rPr>
      </w:pPr>
      <w:r>
        <w:rPr>
          <w:color w:val="auto"/>
          <w:highlight w:val="none"/>
        </w:rPr>
        <w:t>B1.</w:t>
      </w:r>
      <w:r>
        <w:rPr>
          <w:rFonts w:hint="eastAsia"/>
          <w:color w:val="auto"/>
          <w:highlight w:val="none"/>
          <w:lang w:val="en-US" w:eastAsia="zh-CN"/>
        </w:rPr>
        <w:t>7</w:t>
      </w:r>
      <w:r>
        <w:rPr>
          <w:color w:val="auto"/>
          <w:highlight w:val="none"/>
        </w:rPr>
        <w:t xml:space="preserve"> </w:t>
      </w:r>
      <w:r>
        <w:rPr>
          <w:rFonts w:hint="eastAsia" w:cs="宋体"/>
          <w:color w:val="auto"/>
          <w:highlight w:val="none"/>
        </w:rPr>
        <w:t>投标文件的关键内容字迹模糊、辨认不清的；</w:t>
      </w:r>
    </w:p>
    <w:p>
      <w:pPr>
        <w:spacing w:line="360" w:lineRule="auto"/>
        <w:ind w:firstLine="420" w:firstLineChars="200"/>
        <w:rPr>
          <w:color w:val="auto"/>
          <w:highlight w:val="none"/>
        </w:rPr>
      </w:pPr>
      <w:r>
        <w:rPr>
          <w:color w:val="auto"/>
          <w:highlight w:val="none"/>
        </w:rPr>
        <w:t>B1.</w:t>
      </w:r>
      <w:r>
        <w:rPr>
          <w:rFonts w:hint="eastAsia"/>
          <w:color w:val="auto"/>
          <w:highlight w:val="none"/>
          <w:lang w:val="en-US" w:eastAsia="zh-CN"/>
        </w:rPr>
        <w:t>8</w:t>
      </w:r>
      <w:r>
        <w:rPr>
          <w:rFonts w:hint="eastAsia" w:cs="宋体"/>
          <w:color w:val="auto"/>
          <w:highlight w:val="none"/>
        </w:rPr>
        <w:t>投标人不接受评标委员会按第三章</w:t>
      </w:r>
      <w:r>
        <w:rPr>
          <w:color w:val="auto"/>
          <w:highlight w:val="none"/>
        </w:rPr>
        <w:t>“</w:t>
      </w:r>
      <w:r>
        <w:rPr>
          <w:rFonts w:hint="eastAsia" w:cs="宋体"/>
          <w:color w:val="auto"/>
          <w:highlight w:val="none"/>
        </w:rPr>
        <w:t>评标办法</w:t>
      </w:r>
      <w:r>
        <w:rPr>
          <w:color w:val="auto"/>
          <w:highlight w:val="none"/>
        </w:rPr>
        <w:t>”</w:t>
      </w:r>
      <w:r>
        <w:rPr>
          <w:rFonts w:hint="eastAsia" w:cs="宋体"/>
          <w:color w:val="auto"/>
          <w:highlight w:val="none"/>
        </w:rPr>
        <w:t>第</w:t>
      </w:r>
      <w:r>
        <w:rPr>
          <w:color w:val="auto"/>
          <w:highlight w:val="none"/>
        </w:rPr>
        <w:t>3.1.3</w:t>
      </w:r>
      <w:r>
        <w:rPr>
          <w:rFonts w:hint="eastAsia" w:cs="宋体"/>
          <w:color w:val="auto"/>
          <w:highlight w:val="none"/>
        </w:rPr>
        <w:t>条的原则对投标报价进行修正的；</w:t>
      </w:r>
    </w:p>
    <w:p>
      <w:pPr>
        <w:spacing w:line="360" w:lineRule="auto"/>
        <w:ind w:firstLine="420" w:firstLineChars="200"/>
        <w:rPr>
          <w:color w:val="auto"/>
          <w:highlight w:val="none"/>
        </w:rPr>
      </w:pPr>
      <w:r>
        <w:rPr>
          <w:color w:val="auto"/>
          <w:highlight w:val="none"/>
        </w:rPr>
        <w:t>B1.</w:t>
      </w:r>
      <w:r>
        <w:rPr>
          <w:rFonts w:hint="eastAsia"/>
          <w:color w:val="auto"/>
          <w:highlight w:val="none"/>
          <w:lang w:val="en-US" w:eastAsia="zh-CN"/>
        </w:rPr>
        <w:t>9</w:t>
      </w:r>
      <w:r>
        <w:rPr>
          <w:color w:val="auto"/>
          <w:highlight w:val="none"/>
        </w:rPr>
        <w:t xml:space="preserve"> </w:t>
      </w:r>
      <w:r>
        <w:rPr>
          <w:rFonts w:hint="eastAsia" w:cs="宋体"/>
          <w:color w:val="auto"/>
          <w:highlight w:val="none"/>
        </w:rPr>
        <w:t>投标人不具备独立法人资格或作为独立法人资格但就本工程提交一个以上的投标文件的；</w:t>
      </w:r>
    </w:p>
    <w:p>
      <w:pPr>
        <w:spacing w:line="360" w:lineRule="auto"/>
        <w:ind w:firstLine="420" w:firstLineChars="200"/>
        <w:rPr>
          <w:color w:val="auto"/>
          <w:highlight w:val="none"/>
        </w:rPr>
      </w:pPr>
      <w:r>
        <w:rPr>
          <w:color w:val="auto"/>
          <w:highlight w:val="none"/>
        </w:rPr>
        <w:t>B1.1</w:t>
      </w:r>
      <w:r>
        <w:rPr>
          <w:rFonts w:hint="eastAsia"/>
          <w:color w:val="auto"/>
          <w:highlight w:val="none"/>
          <w:lang w:val="en-US" w:eastAsia="zh-CN"/>
        </w:rPr>
        <w:t>0</w:t>
      </w:r>
      <w:r>
        <w:rPr>
          <w:rFonts w:hint="eastAsia" w:cs="宋体"/>
          <w:color w:val="auto"/>
          <w:highlight w:val="none"/>
        </w:rPr>
        <w:t>在单价合同工程中投标人采用总价优惠或以总价百分比优惠的方式进行投标报价的；</w:t>
      </w:r>
    </w:p>
    <w:p>
      <w:pPr>
        <w:spacing w:line="360" w:lineRule="auto"/>
        <w:ind w:firstLine="420" w:firstLineChars="200"/>
        <w:rPr>
          <w:color w:val="auto"/>
          <w:highlight w:val="none"/>
        </w:rPr>
      </w:pPr>
      <w:r>
        <w:rPr>
          <w:color w:val="auto"/>
          <w:highlight w:val="none"/>
        </w:rPr>
        <w:t>B1.1</w:t>
      </w:r>
      <w:r>
        <w:rPr>
          <w:rFonts w:hint="eastAsia"/>
          <w:color w:val="auto"/>
          <w:highlight w:val="none"/>
          <w:lang w:val="en-US" w:eastAsia="zh-CN"/>
        </w:rPr>
        <w:t>1</w:t>
      </w:r>
      <w:r>
        <w:rPr>
          <w:color w:val="auto"/>
          <w:highlight w:val="none"/>
        </w:rPr>
        <w:t xml:space="preserve"> </w:t>
      </w:r>
      <w:r>
        <w:rPr>
          <w:rFonts w:hint="eastAsia" w:cs="宋体"/>
          <w:color w:val="auto"/>
          <w:highlight w:val="none"/>
        </w:rPr>
        <w:t>安全文明施工费和规费、增值税不按我区费用定额及造价管理相关文件规定报价的；</w:t>
      </w:r>
    </w:p>
    <w:p>
      <w:pPr>
        <w:spacing w:line="360" w:lineRule="auto"/>
        <w:ind w:firstLine="420" w:firstLineChars="200"/>
        <w:rPr>
          <w:color w:val="auto"/>
          <w:highlight w:val="none"/>
        </w:rPr>
      </w:pPr>
      <w:r>
        <w:rPr>
          <w:color w:val="auto"/>
          <w:highlight w:val="none"/>
        </w:rPr>
        <w:t>B1.</w:t>
      </w:r>
      <w:r>
        <w:rPr>
          <w:rFonts w:hint="eastAsia"/>
          <w:color w:val="auto"/>
          <w:highlight w:val="none"/>
          <w:lang w:val="en-US" w:eastAsia="zh-CN"/>
        </w:rPr>
        <w:t>12</w:t>
      </w:r>
      <w:r>
        <w:rPr>
          <w:rFonts w:hint="eastAsia" w:cs="宋体"/>
          <w:color w:val="auto"/>
          <w:highlight w:val="none"/>
        </w:rPr>
        <w:t>投标人已标价工程量清单的项目编码（12位）、计量单位、工程量任何一处与招标工程量清单不一致的；</w:t>
      </w:r>
    </w:p>
    <w:p>
      <w:pPr>
        <w:spacing w:line="360" w:lineRule="auto"/>
        <w:ind w:firstLine="420" w:firstLineChars="200"/>
        <w:rPr>
          <w:color w:val="auto"/>
          <w:highlight w:val="none"/>
        </w:rPr>
      </w:pPr>
      <w:r>
        <w:rPr>
          <w:color w:val="auto"/>
          <w:highlight w:val="none"/>
        </w:rPr>
        <w:t>B1.1</w:t>
      </w:r>
      <w:r>
        <w:rPr>
          <w:rFonts w:hint="eastAsia"/>
          <w:color w:val="auto"/>
          <w:highlight w:val="none"/>
          <w:lang w:val="en-US" w:eastAsia="zh-CN"/>
        </w:rPr>
        <w:t>3</w:t>
      </w:r>
      <w:r>
        <w:rPr>
          <w:color w:val="auto"/>
          <w:highlight w:val="none"/>
        </w:rPr>
        <w:t xml:space="preserve"> </w:t>
      </w:r>
      <w:r>
        <w:rPr>
          <w:rFonts w:hint="eastAsia" w:cs="宋体"/>
          <w:color w:val="auto"/>
          <w:highlight w:val="none"/>
        </w:rPr>
        <w:t>投标人已标价工程量清单的项目名称或项目特征与招标工程量清单不一致，评标委员会要求澄清、说明或补正，但投标人拒绝澄清、说明或补正的；</w:t>
      </w:r>
    </w:p>
    <w:p>
      <w:pPr>
        <w:spacing w:line="360" w:lineRule="auto"/>
        <w:ind w:firstLine="420" w:firstLineChars="200"/>
        <w:rPr>
          <w:color w:val="auto"/>
          <w:highlight w:val="none"/>
        </w:rPr>
      </w:pPr>
      <w:r>
        <w:rPr>
          <w:color w:val="auto"/>
          <w:highlight w:val="none"/>
        </w:rPr>
        <w:t>B1.1</w:t>
      </w:r>
      <w:r>
        <w:rPr>
          <w:rFonts w:hint="eastAsia"/>
          <w:color w:val="auto"/>
          <w:highlight w:val="none"/>
          <w:lang w:val="en-US" w:eastAsia="zh-CN"/>
        </w:rPr>
        <w:t>4</w:t>
      </w:r>
      <w:r>
        <w:rPr>
          <w:color w:val="auto"/>
          <w:highlight w:val="none"/>
        </w:rPr>
        <w:t xml:space="preserve"> </w:t>
      </w:r>
      <w:r>
        <w:rPr>
          <w:rFonts w:hint="eastAsia" w:cs="宋体"/>
          <w:color w:val="auto"/>
          <w:highlight w:val="none"/>
        </w:rPr>
        <w:t>投标函中的报价与已标价的工程量清单汇总表不一致的；</w:t>
      </w:r>
    </w:p>
    <w:p>
      <w:pPr>
        <w:spacing w:line="360" w:lineRule="auto"/>
        <w:ind w:firstLine="420" w:firstLineChars="200"/>
        <w:rPr>
          <w:color w:val="auto"/>
          <w:highlight w:val="none"/>
        </w:rPr>
      </w:pPr>
      <w:r>
        <w:rPr>
          <w:color w:val="auto"/>
          <w:highlight w:val="none"/>
        </w:rPr>
        <w:t>B1.1</w:t>
      </w:r>
      <w:r>
        <w:rPr>
          <w:rFonts w:hint="eastAsia"/>
          <w:color w:val="auto"/>
          <w:highlight w:val="none"/>
          <w:lang w:val="en-US" w:eastAsia="zh-CN"/>
        </w:rPr>
        <w:t>5</w:t>
      </w:r>
      <w:r>
        <w:rPr>
          <w:color w:val="auto"/>
          <w:highlight w:val="none"/>
        </w:rPr>
        <w:t xml:space="preserve"> </w:t>
      </w:r>
      <w:r>
        <w:rPr>
          <w:rFonts w:hint="eastAsia" w:cs="宋体"/>
          <w:color w:val="auto"/>
          <w:highlight w:val="none"/>
        </w:rPr>
        <w:t>设有暂估价、暂列金额的，投标时未按招标人工程量清单给出的暂估价总价、暂列金额总价计入投标总报价中的；</w:t>
      </w:r>
    </w:p>
    <w:p>
      <w:pPr>
        <w:spacing w:line="360" w:lineRule="auto"/>
        <w:ind w:firstLine="420" w:firstLineChars="200"/>
        <w:rPr>
          <w:rFonts w:cs="宋体"/>
          <w:color w:val="auto"/>
          <w:highlight w:val="none"/>
        </w:rPr>
      </w:pPr>
      <w:r>
        <w:rPr>
          <w:color w:val="auto"/>
          <w:highlight w:val="none"/>
        </w:rPr>
        <w:t>B1.</w:t>
      </w:r>
      <w:r>
        <w:rPr>
          <w:rFonts w:hint="eastAsia"/>
          <w:color w:val="auto"/>
          <w:highlight w:val="none"/>
          <w:lang w:val="en-US" w:eastAsia="zh-CN"/>
        </w:rPr>
        <w:t>16</w:t>
      </w:r>
      <w:r>
        <w:rPr>
          <w:rFonts w:hint="eastAsia" w:cs="宋体"/>
          <w:color w:val="auto"/>
          <w:highlight w:val="none"/>
        </w:rPr>
        <w:t>投标文件实质上没有响应招标文件的要求的(包括</w:t>
      </w:r>
      <w:r>
        <w:rPr>
          <w:rFonts w:cs="宋体"/>
          <w:color w:val="auto"/>
          <w:highlight w:val="none"/>
        </w:rPr>
        <w:t>：质量要求、工期、技术标准和要求、合同</w:t>
      </w:r>
      <w:r>
        <w:rPr>
          <w:rFonts w:hint="eastAsia" w:cs="宋体"/>
          <w:color w:val="auto"/>
          <w:highlight w:val="none"/>
        </w:rPr>
        <w:t>价款</w:t>
      </w:r>
      <w:r>
        <w:rPr>
          <w:rFonts w:cs="宋体"/>
          <w:color w:val="auto"/>
          <w:highlight w:val="none"/>
        </w:rPr>
        <w:t>主要条款、投标有效期等</w:t>
      </w:r>
      <w:r>
        <w:rPr>
          <w:rFonts w:hint="eastAsia" w:cs="宋体"/>
          <w:color w:val="auto"/>
          <w:highlight w:val="none"/>
        </w:rPr>
        <w:t>)；</w:t>
      </w:r>
    </w:p>
    <w:p>
      <w:pPr>
        <w:pStyle w:val="24"/>
        <w:spacing w:line="360" w:lineRule="auto"/>
        <w:ind w:firstLine="420" w:firstLineChars="200"/>
        <w:rPr>
          <w:color w:val="auto"/>
          <w:highlight w:val="none"/>
        </w:rPr>
      </w:pPr>
      <w:r>
        <w:rPr>
          <w:color w:val="auto"/>
          <w:highlight w:val="none"/>
        </w:rPr>
        <w:t>B1.</w:t>
      </w:r>
      <w:r>
        <w:rPr>
          <w:rFonts w:hint="eastAsia"/>
          <w:color w:val="auto"/>
          <w:highlight w:val="none"/>
          <w:lang w:val="en-US" w:eastAsia="zh-CN"/>
        </w:rPr>
        <w:t>17</w:t>
      </w:r>
      <w:r>
        <w:rPr>
          <w:rFonts w:hint="eastAsia" w:cs="宋体"/>
          <w:color w:val="auto"/>
          <w:highlight w:val="none"/>
        </w:rPr>
        <w:t>组成联合体投标的，投标文件未附联合体各方共同投标协议书的；</w:t>
      </w:r>
    </w:p>
    <w:p>
      <w:pPr>
        <w:pStyle w:val="24"/>
        <w:spacing w:line="360" w:lineRule="auto"/>
        <w:ind w:firstLine="420" w:firstLineChars="200"/>
        <w:rPr>
          <w:color w:val="auto"/>
          <w:highlight w:val="none"/>
        </w:rPr>
      </w:pPr>
      <w:r>
        <w:rPr>
          <w:color w:val="auto"/>
          <w:highlight w:val="none"/>
        </w:rPr>
        <w:t>B1.</w:t>
      </w:r>
      <w:r>
        <w:rPr>
          <w:rFonts w:hint="eastAsia"/>
          <w:color w:val="auto"/>
          <w:highlight w:val="none"/>
          <w:lang w:val="en-US" w:eastAsia="zh-CN"/>
        </w:rPr>
        <w:t>18</w:t>
      </w:r>
      <w:r>
        <w:rPr>
          <w:rFonts w:hint="eastAsia" w:cs="宋体"/>
          <w:color w:val="auto"/>
          <w:highlight w:val="none"/>
        </w:rPr>
        <w:t>投标人的投标总价超出招标控制价的；</w:t>
      </w:r>
    </w:p>
    <w:p>
      <w:pPr>
        <w:spacing w:after="100" w:afterAutospacing="1"/>
        <w:ind w:firstLine="420" w:firstLineChars="200"/>
        <w:rPr>
          <w:color w:val="auto"/>
          <w:highlight w:val="none"/>
        </w:rPr>
      </w:pPr>
      <w:r>
        <w:rPr>
          <w:color w:val="auto"/>
          <w:highlight w:val="none"/>
        </w:rPr>
        <w:t>B1.</w:t>
      </w:r>
      <w:r>
        <w:rPr>
          <w:rFonts w:hint="eastAsia"/>
          <w:color w:val="auto"/>
          <w:highlight w:val="none"/>
          <w:lang w:val="en-US" w:eastAsia="zh-CN"/>
        </w:rPr>
        <w:t>19</w:t>
      </w:r>
      <w:r>
        <w:rPr>
          <w:rFonts w:hint="eastAsia" w:cs="宋体"/>
          <w:color w:val="auto"/>
          <w:highlight w:val="none"/>
        </w:rPr>
        <w:t>投标人对招标工程量清单内容进行增减或对招标范围进行调整的；</w:t>
      </w:r>
    </w:p>
    <w:p>
      <w:pPr>
        <w:spacing w:line="360" w:lineRule="auto"/>
        <w:ind w:firstLine="420" w:firstLineChars="200"/>
        <w:rPr>
          <w:color w:val="auto"/>
          <w:highlight w:val="none"/>
        </w:rPr>
      </w:pPr>
      <w:r>
        <w:rPr>
          <w:color w:val="auto"/>
          <w:highlight w:val="none"/>
        </w:rPr>
        <w:t>B1.</w:t>
      </w:r>
      <w:r>
        <w:rPr>
          <w:rFonts w:hint="eastAsia"/>
          <w:color w:val="auto"/>
          <w:highlight w:val="none"/>
          <w:lang w:val="en-US" w:eastAsia="zh-CN"/>
        </w:rPr>
        <w:t>20</w:t>
      </w:r>
      <w:r>
        <w:rPr>
          <w:color w:val="auto"/>
          <w:highlight w:val="none"/>
        </w:rPr>
        <w:t xml:space="preserve"> </w:t>
      </w:r>
      <w:r>
        <w:rPr>
          <w:rFonts w:hint="eastAsia" w:cs="宋体"/>
          <w:color w:val="auto"/>
          <w:highlight w:val="none"/>
        </w:rPr>
        <w:t>法规规定的其他否决投标条款。</w:t>
      </w:r>
    </w:p>
    <w:p>
      <w:pPr>
        <w:pStyle w:val="25"/>
        <w:spacing w:line="360" w:lineRule="auto"/>
        <w:rPr>
          <w:b/>
          <w:bCs/>
          <w:color w:val="auto"/>
          <w:highlight w:val="none"/>
        </w:rPr>
      </w:pPr>
      <w:r>
        <w:rPr>
          <w:rFonts w:hint="eastAsia" w:cs="宋体"/>
          <w:b/>
          <w:bCs/>
          <w:color w:val="auto"/>
          <w:highlight w:val="none"/>
        </w:rPr>
        <w:t>备注：</w:t>
      </w:r>
    </w:p>
    <w:p>
      <w:pPr>
        <w:pStyle w:val="25"/>
        <w:spacing w:line="360" w:lineRule="auto"/>
        <w:ind w:firstLine="420" w:firstLineChars="200"/>
        <w:rPr>
          <w:color w:val="auto"/>
          <w:highlight w:val="none"/>
        </w:rPr>
      </w:pPr>
      <w:r>
        <w:rPr>
          <w:rFonts w:hint="eastAsia" w:cs="宋体"/>
          <w:color w:val="auto"/>
          <w:highlight w:val="none"/>
          <w:lang w:val="en-US" w:eastAsia="zh-CN"/>
        </w:rPr>
        <w:t>1</w:t>
      </w:r>
      <w:r>
        <w:rPr>
          <w:rFonts w:hint="eastAsia" w:cs="宋体"/>
          <w:color w:val="auto"/>
          <w:highlight w:val="none"/>
        </w:rPr>
        <w:t>、招标人可根据招标项目实际情况对上述否决投标情况进行调整，但不应与第二章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和本章正文部分包括的否决投标条件抵触，如果出现相互矛盾的情况，以第二章</w:t>
      </w:r>
      <w:r>
        <w:rPr>
          <w:color w:val="auto"/>
          <w:highlight w:val="none"/>
        </w:rPr>
        <w:t>“</w:t>
      </w:r>
      <w:r>
        <w:rPr>
          <w:rFonts w:hint="eastAsia" w:cs="宋体"/>
          <w:color w:val="auto"/>
          <w:highlight w:val="none"/>
        </w:rPr>
        <w:t>投标人须知</w:t>
      </w:r>
      <w:r>
        <w:rPr>
          <w:color w:val="auto"/>
          <w:highlight w:val="none"/>
        </w:rPr>
        <w:t>”</w:t>
      </w:r>
      <w:r>
        <w:rPr>
          <w:rFonts w:hint="eastAsia" w:cs="宋体"/>
          <w:color w:val="auto"/>
          <w:highlight w:val="none"/>
        </w:rPr>
        <w:t>和本章正文部分的规定为准。</w:t>
      </w:r>
    </w:p>
    <w:p>
      <w:pPr>
        <w:spacing w:line="440" w:lineRule="exact"/>
        <w:ind w:firstLine="420" w:firstLineChars="200"/>
        <w:rPr>
          <w:color w:val="auto"/>
          <w:highlight w:val="none"/>
        </w:rPr>
      </w:pPr>
    </w:p>
    <w:p>
      <w:pPr>
        <w:spacing w:line="420" w:lineRule="exact"/>
        <w:rPr>
          <w:color w:val="auto"/>
          <w:highlight w:val="none"/>
        </w:rPr>
      </w:pPr>
    </w:p>
    <w:p>
      <w:pPr>
        <w:pStyle w:val="25"/>
        <w:spacing w:line="360" w:lineRule="auto"/>
        <w:ind w:firstLine="308" w:firstLineChars="147"/>
        <w:jc w:val="left"/>
        <w:rPr>
          <w:color w:val="auto"/>
          <w:highlight w:val="none"/>
        </w:rPr>
      </w:pPr>
    </w:p>
    <w:p>
      <w:pPr>
        <w:pStyle w:val="25"/>
        <w:spacing w:line="360" w:lineRule="auto"/>
        <w:ind w:firstLine="308" w:firstLineChars="147"/>
        <w:jc w:val="left"/>
        <w:rPr>
          <w:color w:val="auto"/>
          <w:highlight w:val="none"/>
        </w:rPr>
      </w:pPr>
    </w:p>
    <w:p>
      <w:pPr>
        <w:pStyle w:val="25"/>
        <w:spacing w:line="360" w:lineRule="auto"/>
        <w:ind w:firstLine="308" w:firstLineChars="147"/>
        <w:jc w:val="left"/>
        <w:rPr>
          <w:color w:val="auto"/>
          <w:highlight w:val="none"/>
        </w:rPr>
        <w:sectPr>
          <w:pgSz w:w="11907" w:h="16840"/>
          <w:pgMar w:top="1440" w:right="1440" w:bottom="1440" w:left="1797" w:header="851" w:footer="851" w:gutter="0"/>
          <w:cols w:space="720" w:num="1"/>
          <w:docGrid w:linePitch="312" w:charSpace="0"/>
        </w:sectPr>
      </w:pPr>
    </w:p>
    <w:p>
      <w:pPr>
        <w:pStyle w:val="5"/>
        <w:jc w:val="center"/>
        <w:rPr>
          <w:rFonts w:cs="黑体"/>
          <w:color w:val="auto"/>
          <w:highlight w:val="none"/>
        </w:rPr>
      </w:pPr>
      <w:bookmarkStart w:id="216" w:name="_Toc407135190"/>
      <w:bookmarkStart w:id="217" w:name="_Toc22278"/>
      <w:bookmarkStart w:id="218" w:name="_Toc358476596"/>
      <w:r>
        <w:rPr>
          <w:rFonts w:hint="eastAsia" w:cs="黑体"/>
          <w:color w:val="auto"/>
          <w:highlight w:val="none"/>
        </w:rPr>
        <w:t>第四章</w:t>
      </w:r>
      <w:r>
        <w:rPr>
          <w:rFonts w:cs="黑体"/>
          <w:color w:val="auto"/>
          <w:highlight w:val="none"/>
        </w:rPr>
        <w:t xml:space="preserve">  </w:t>
      </w:r>
      <w:r>
        <w:rPr>
          <w:rFonts w:hint="eastAsia" w:cs="黑体"/>
          <w:color w:val="auto"/>
          <w:highlight w:val="none"/>
        </w:rPr>
        <w:t>合同条款及格式</w:t>
      </w:r>
      <w:bookmarkEnd w:id="216"/>
      <w:bookmarkEnd w:id="217"/>
    </w:p>
    <w:bookmarkEnd w:id="218"/>
    <w:p>
      <w:pPr>
        <w:pStyle w:val="5"/>
        <w:jc w:val="center"/>
        <w:rPr>
          <w:color w:val="auto"/>
          <w:highlight w:val="none"/>
        </w:rPr>
      </w:pPr>
      <w:bookmarkStart w:id="219" w:name="_Toc407135191"/>
      <w:bookmarkStart w:id="220" w:name="_Toc296890982"/>
      <w:bookmarkStart w:id="221" w:name="_Toc296503025"/>
      <w:bookmarkStart w:id="222" w:name="_Toc373227552"/>
      <w:bookmarkStart w:id="223" w:name="_Toc389065255"/>
      <w:bookmarkStart w:id="224" w:name="_Toc351203480"/>
      <w:bookmarkStart w:id="225" w:name="_Toc373478199"/>
      <w:bookmarkStart w:id="226" w:name="_Toc19977"/>
      <w:r>
        <w:rPr>
          <w:rFonts w:hint="eastAsia" w:cs="黑体"/>
          <w:color w:val="auto"/>
          <w:highlight w:val="none"/>
        </w:rPr>
        <w:t>第一部分</w:t>
      </w:r>
      <w:r>
        <w:rPr>
          <w:color w:val="auto"/>
          <w:highlight w:val="none"/>
        </w:rPr>
        <w:t xml:space="preserve"> </w:t>
      </w:r>
      <w:r>
        <w:rPr>
          <w:rFonts w:hint="eastAsia" w:cs="黑体"/>
          <w:color w:val="auto"/>
          <w:highlight w:val="none"/>
        </w:rPr>
        <w:t>合同协议书</w:t>
      </w:r>
      <w:bookmarkEnd w:id="219"/>
      <w:bookmarkEnd w:id="220"/>
      <w:bookmarkEnd w:id="221"/>
      <w:bookmarkEnd w:id="222"/>
      <w:bookmarkEnd w:id="223"/>
      <w:bookmarkEnd w:id="224"/>
      <w:bookmarkEnd w:id="225"/>
      <w:bookmarkEnd w:id="226"/>
    </w:p>
    <w:p>
      <w:pPr>
        <w:spacing w:line="360" w:lineRule="auto"/>
        <w:rPr>
          <w:rFonts w:hint="eastAsia" w:eastAsia="宋体"/>
          <w:color w:val="auto"/>
          <w:highlight w:val="none"/>
          <w:u w:val="single"/>
          <w:lang w:eastAsia="zh-CN"/>
        </w:rPr>
      </w:pPr>
      <w:r>
        <w:rPr>
          <w:rFonts w:hint="eastAsia" w:hAnsi="宋体" w:cs="宋体"/>
          <w:color w:val="auto"/>
          <w:highlight w:val="none"/>
        </w:rPr>
        <w:t>发包人（全称）：</w:t>
      </w:r>
      <w:r>
        <w:rPr>
          <w:rFonts w:hAnsi="宋体"/>
          <w:color w:val="auto"/>
          <w:highlight w:val="none"/>
          <w:u w:val="single"/>
        </w:rPr>
        <w:t xml:space="preserve">                              </w:t>
      </w:r>
    </w:p>
    <w:p>
      <w:pPr>
        <w:spacing w:line="360" w:lineRule="auto"/>
        <w:rPr>
          <w:color w:val="auto"/>
          <w:highlight w:val="none"/>
          <w:u w:val="single"/>
        </w:rPr>
      </w:pPr>
      <w:r>
        <w:rPr>
          <w:rFonts w:hint="eastAsia" w:hAnsi="宋体" w:cs="宋体"/>
          <w:color w:val="auto"/>
          <w:highlight w:val="none"/>
        </w:rPr>
        <w:t>承包人（全称）：</w:t>
      </w:r>
      <w:r>
        <w:rPr>
          <w:rFonts w:hAnsi="宋体"/>
          <w:color w:val="auto"/>
          <w:highlight w:val="none"/>
          <w:u w:val="single"/>
        </w:rPr>
        <w:t xml:space="preserve">                              </w:t>
      </w:r>
    </w:p>
    <w:p>
      <w:pPr>
        <w:spacing w:line="360" w:lineRule="auto"/>
        <w:ind w:firstLine="420" w:firstLineChars="200"/>
        <w:rPr>
          <w:rFonts w:hAnsi="宋体"/>
          <w:color w:val="auto"/>
          <w:highlight w:val="none"/>
        </w:rPr>
      </w:pPr>
      <w:r>
        <w:rPr>
          <w:rFonts w:hint="eastAsia" w:hAnsi="宋体" w:cs="宋体"/>
          <w:color w:val="auto"/>
          <w:highlight w:val="none"/>
        </w:rPr>
        <w:t>根据</w:t>
      </w:r>
      <w:r>
        <w:rPr>
          <w:rFonts w:hint="eastAsia" w:hAnsi="宋体" w:cs="宋体"/>
          <w:color w:val="auto"/>
          <w:highlight w:val="none"/>
          <w:lang w:eastAsia="zh-CN"/>
        </w:rPr>
        <w:t>《中华人民共和国民法典》</w:t>
      </w:r>
      <w:r>
        <w:rPr>
          <w:rFonts w:hint="eastAsia" w:hAnsi="宋体" w:cs="宋体"/>
          <w:color w:val="auto"/>
          <w:highlight w:val="none"/>
        </w:rPr>
        <w:t>、《中华人民共和国建筑法》及有关法律规定，遵循平等、自愿、公平和诚实信用的原则，双方就</w:t>
      </w:r>
      <w:r>
        <w:rPr>
          <w:rFonts w:hAnsi="宋体"/>
          <w:color w:val="auto"/>
          <w:highlight w:val="none"/>
          <w:u w:val="single"/>
        </w:rPr>
        <w:t xml:space="preserve">                              </w:t>
      </w:r>
      <w:r>
        <w:rPr>
          <w:rFonts w:hint="eastAsia" w:hAnsi="宋体" w:cs="宋体"/>
          <w:color w:val="auto"/>
          <w:highlight w:val="none"/>
        </w:rPr>
        <w:t>施工及有关事项协商一致，共同达成如下协议：</w:t>
      </w:r>
      <w:bookmarkStart w:id="227" w:name="_Toc351203481"/>
    </w:p>
    <w:p>
      <w:pPr>
        <w:spacing w:line="360" w:lineRule="auto"/>
        <w:ind w:firstLine="422" w:firstLineChars="200"/>
        <w:outlineLvl w:val="0"/>
        <w:rPr>
          <w:b/>
          <w:bCs/>
          <w:color w:val="auto"/>
          <w:highlight w:val="none"/>
        </w:rPr>
      </w:pPr>
      <w:r>
        <w:rPr>
          <w:rFonts w:hint="eastAsia" w:hAnsi="宋体" w:cs="宋体"/>
          <w:b/>
          <w:bCs/>
          <w:color w:val="auto"/>
          <w:highlight w:val="none"/>
        </w:rPr>
        <w:t>一、工程概况</w:t>
      </w:r>
      <w:bookmarkEnd w:id="227"/>
    </w:p>
    <w:p>
      <w:pPr>
        <w:spacing w:line="360" w:lineRule="auto"/>
        <w:ind w:firstLine="411" w:firstLineChars="196"/>
        <w:rPr>
          <w:color w:val="auto"/>
          <w:highlight w:val="none"/>
          <w:u w:val="single"/>
        </w:rPr>
      </w:pPr>
      <w:r>
        <w:rPr>
          <w:color w:val="auto"/>
          <w:highlight w:val="none"/>
        </w:rPr>
        <w:t xml:space="preserve">1. </w:t>
      </w:r>
      <w:r>
        <w:rPr>
          <w:rFonts w:hint="eastAsia" w:hAnsi="宋体" w:cs="宋体"/>
          <w:color w:val="auto"/>
          <w:highlight w:val="none"/>
        </w:rPr>
        <w:t>工程名称：</w:t>
      </w:r>
      <w:r>
        <w:rPr>
          <w:rFonts w:hAnsi="宋体"/>
          <w:color w:val="auto"/>
          <w:highlight w:val="none"/>
          <w:u w:val="single"/>
        </w:rPr>
        <w:t xml:space="preserve">                              </w:t>
      </w:r>
      <w:r>
        <w:rPr>
          <w:rFonts w:hint="eastAsia" w:hAnsi="宋体" w:cs="宋体"/>
          <w:color w:val="auto"/>
          <w:highlight w:val="none"/>
        </w:rPr>
        <w:t>。</w:t>
      </w:r>
    </w:p>
    <w:p>
      <w:pPr>
        <w:spacing w:line="360" w:lineRule="auto"/>
        <w:ind w:firstLine="411" w:firstLineChars="196"/>
        <w:rPr>
          <w:color w:val="auto"/>
          <w:highlight w:val="none"/>
        </w:rPr>
      </w:pPr>
      <w:r>
        <w:rPr>
          <w:color w:val="auto"/>
          <w:highlight w:val="none"/>
        </w:rPr>
        <w:t xml:space="preserve">2. </w:t>
      </w:r>
      <w:r>
        <w:rPr>
          <w:rFonts w:hint="eastAsia" w:hAnsi="宋体" w:cs="宋体"/>
          <w:color w:val="auto"/>
          <w:highlight w:val="none"/>
        </w:rPr>
        <w:t>工程地点：</w:t>
      </w:r>
      <w:r>
        <w:rPr>
          <w:rFonts w:hAnsi="宋体"/>
          <w:color w:val="auto"/>
          <w:highlight w:val="none"/>
          <w:u w:val="single"/>
        </w:rPr>
        <w:t xml:space="preserve">                              </w:t>
      </w:r>
      <w:r>
        <w:rPr>
          <w:rFonts w:hint="eastAsia" w:hAnsi="宋体" w:cs="宋体"/>
          <w:color w:val="auto"/>
          <w:highlight w:val="none"/>
        </w:rPr>
        <w:t>。</w:t>
      </w:r>
    </w:p>
    <w:p>
      <w:pPr>
        <w:spacing w:line="360" w:lineRule="auto"/>
        <w:ind w:firstLine="411" w:firstLineChars="196"/>
        <w:rPr>
          <w:color w:val="auto"/>
          <w:highlight w:val="none"/>
        </w:rPr>
      </w:pPr>
      <w:r>
        <w:rPr>
          <w:color w:val="auto"/>
          <w:highlight w:val="none"/>
        </w:rPr>
        <w:t xml:space="preserve">3. </w:t>
      </w:r>
      <w:r>
        <w:rPr>
          <w:rFonts w:hint="eastAsia" w:hAnsi="宋体" w:cs="宋体"/>
          <w:color w:val="auto"/>
          <w:highlight w:val="none"/>
        </w:rPr>
        <w:t>资金来源：</w:t>
      </w:r>
      <w:r>
        <w:rPr>
          <w:rFonts w:hAnsi="宋体"/>
          <w:color w:val="auto"/>
          <w:highlight w:val="none"/>
          <w:u w:val="single"/>
        </w:rPr>
        <w:t xml:space="preserve">                              </w:t>
      </w:r>
      <w:r>
        <w:rPr>
          <w:rFonts w:hint="eastAsia" w:hAnsi="宋体" w:cs="宋体"/>
          <w:color w:val="auto"/>
          <w:highlight w:val="none"/>
        </w:rPr>
        <w:t>。</w:t>
      </w:r>
    </w:p>
    <w:p>
      <w:pPr>
        <w:spacing w:line="360" w:lineRule="auto"/>
        <w:ind w:firstLine="411" w:firstLineChars="196"/>
        <w:rPr>
          <w:rFonts w:hint="eastAsia" w:eastAsia="宋体"/>
          <w:color w:val="auto"/>
          <w:highlight w:val="none"/>
          <w:u w:val="single"/>
          <w:lang w:eastAsia="zh-CN"/>
        </w:rPr>
      </w:pPr>
      <w:r>
        <w:rPr>
          <w:color w:val="auto"/>
          <w:highlight w:val="none"/>
        </w:rPr>
        <w:t xml:space="preserve">4. </w:t>
      </w:r>
      <w:r>
        <w:rPr>
          <w:rFonts w:hint="eastAsia" w:hAnsi="宋体" w:cs="宋体"/>
          <w:color w:val="auto"/>
          <w:highlight w:val="none"/>
        </w:rPr>
        <w:t>工程内容：</w:t>
      </w:r>
      <w:r>
        <w:rPr>
          <w:rFonts w:hAnsi="宋体"/>
          <w:color w:val="auto"/>
          <w:highlight w:val="none"/>
          <w:u w:val="single"/>
        </w:rPr>
        <w:t xml:space="preserve">                              </w:t>
      </w:r>
      <w:r>
        <w:rPr>
          <w:rFonts w:hint="eastAsia" w:ascii="宋体" w:hAnsi="宋体" w:eastAsia="宋体" w:cs="宋体"/>
          <w:color w:val="auto"/>
          <w:highlight w:val="none"/>
          <w:u w:val="none"/>
          <w:lang w:val="en-US" w:eastAsia="zh-CN"/>
        </w:rPr>
        <w:t>。</w:t>
      </w:r>
    </w:p>
    <w:p>
      <w:pPr>
        <w:spacing w:line="360" w:lineRule="auto"/>
        <w:ind w:firstLine="411" w:firstLineChars="196"/>
        <w:rPr>
          <w:color w:val="auto"/>
          <w:highlight w:val="none"/>
        </w:rPr>
      </w:pPr>
      <w:r>
        <w:rPr>
          <w:color w:val="auto"/>
          <w:highlight w:val="none"/>
        </w:rPr>
        <w:t xml:space="preserve">5. </w:t>
      </w:r>
      <w:r>
        <w:rPr>
          <w:rFonts w:hint="eastAsia" w:hAnsi="宋体" w:cs="宋体"/>
          <w:color w:val="auto"/>
          <w:highlight w:val="none"/>
        </w:rPr>
        <w:t>工程承包范围：</w:t>
      </w:r>
      <w:r>
        <w:rPr>
          <w:rFonts w:hAnsi="宋体"/>
          <w:color w:val="auto"/>
          <w:highlight w:val="none"/>
          <w:u w:val="single"/>
        </w:rPr>
        <w:t xml:space="preserve">                           </w:t>
      </w:r>
      <w:r>
        <w:rPr>
          <w:rFonts w:hint="eastAsia" w:hAnsi="宋体" w:cs="宋体"/>
          <w:color w:val="auto"/>
          <w:highlight w:val="none"/>
        </w:rPr>
        <w:t>。</w:t>
      </w:r>
    </w:p>
    <w:p>
      <w:pPr>
        <w:spacing w:line="360" w:lineRule="auto"/>
        <w:ind w:firstLine="407" w:firstLineChars="193"/>
        <w:outlineLvl w:val="0"/>
        <w:rPr>
          <w:b/>
          <w:bCs/>
          <w:color w:val="auto"/>
          <w:highlight w:val="none"/>
        </w:rPr>
      </w:pPr>
      <w:bookmarkStart w:id="228" w:name="_Toc351203482"/>
      <w:r>
        <w:rPr>
          <w:rFonts w:hint="eastAsia" w:hAnsi="宋体" w:cs="宋体"/>
          <w:b/>
          <w:bCs/>
          <w:color w:val="auto"/>
          <w:highlight w:val="none"/>
        </w:rPr>
        <w:t>二、合同工期</w:t>
      </w:r>
      <w:bookmarkEnd w:id="228"/>
    </w:p>
    <w:p>
      <w:pPr>
        <w:spacing w:line="360" w:lineRule="auto"/>
        <w:ind w:firstLine="459"/>
        <w:rPr>
          <w:color w:val="auto"/>
          <w:highlight w:val="none"/>
        </w:rPr>
      </w:pPr>
      <w:r>
        <w:rPr>
          <w:rFonts w:hint="eastAsia" w:hAnsi="宋体" w:cs="宋体"/>
          <w:color w:val="auto"/>
          <w:highlight w:val="none"/>
        </w:rPr>
        <w:t>计划开工日期：</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（具体以发包人书面通知为准）</w:t>
      </w:r>
    </w:p>
    <w:p>
      <w:pPr>
        <w:spacing w:line="360" w:lineRule="auto"/>
        <w:ind w:firstLine="459"/>
        <w:rPr>
          <w:color w:val="auto"/>
          <w:highlight w:val="none"/>
        </w:rPr>
      </w:pPr>
      <w:r>
        <w:rPr>
          <w:rFonts w:hint="eastAsia" w:hAnsi="宋体" w:cs="宋体"/>
          <w:color w:val="auto"/>
          <w:highlight w:val="none"/>
        </w:rPr>
        <w:t>计划竣工日期：</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w:t>
      </w:r>
    </w:p>
    <w:p>
      <w:pPr>
        <w:spacing w:line="360" w:lineRule="auto"/>
        <w:ind w:firstLine="459"/>
        <w:rPr>
          <w:rFonts w:hAnsi="宋体"/>
          <w:color w:val="auto"/>
          <w:highlight w:val="none"/>
        </w:rPr>
      </w:pPr>
      <w:r>
        <w:rPr>
          <w:rFonts w:hint="eastAsia" w:hAnsi="宋体" w:cs="宋体"/>
          <w:color w:val="auto"/>
          <w:highlight w:val="none"/>
        </w:rPr>
        <w:t>工期总日历天数：</w:t>
      </w:r>
      <w:r>
        <w:rPr>
          <w:rFonts w:hint="eastAsia"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hAnsi="宋体" w:cs="宋体"/>
          <w:color w:val="auto"/>
          <w:highlight w:val="none"/>
          <w:u w:val="single"/>
        </w:rPr>
        <w:t xml:space="preserve"> </w:t>
      </w:r>
      <w:r>
        <w:rPr>
          <w:rFonts w:hint="eastAsia" w:hAnsi="宋体" w:cs="宋体"/>
          <w:color w:val="auto"/>
          <w:highlight w:val="none"/>
        </w:rPr>
        <w:t>天。工期总日历天数与根据前述计划开竣工日期计算的工期天数不一致的，以工期总日历天数为准。</w:t>
      </w:r>
    </w:p>
    <w:p>
      <w:pPr>
        <w:spacing w:line="360" w:lineRule="auto"/>
        <w:ind w:firstLine="459"/>
        <w:outlineLvl w:val="0"/>
        <w:rPr>
          <w:b/>
          <w:bCs/>
          <w:color w:val="auto"/>
          <w:highlight w:val="none"/>
        </w:rPr>
      </w:pPr>
      <w:bookmarkStart w:id="229" w:name="_Toc351203483"/>
      <w:r>
        <w:rPr>
          <w:rFonts w:hint="eastAsia" w:hAnsi="宋体" w:cs="宋体"/>
          <w:b/>
          <w:bCs/>
          <w:color w:val="auto"/>
          <w:highlight w:val="none"/>
        </w:rPr>
        <w:t>三、质量标准</w:t>
      </w:r>
      <w:bookmarkEnd w:id="229"/>
    </w:p>
    <w:p>
      <w:pPr>
        <w:spacing w:line="360" w:lineRule="auto"/>
        <w:ind w:firstLine="459"/>
        <w:rPr>
          <w:rFonts w:hAnsi="宋体"/>
          <w:color w:val="auto"/>
          <w:highlight w:val="none"/>
        </w:rPr>
      </w:pPr>
      <w:r>
        <w:rPr>
          <w:rFonts w:hint="eastAsia" w:hAnsi="宋体" w:cs="宋体"/>
          <w:color w:val="auto"/>
          <w:highlight w:val="none"/>
        </w:rPr>
        <w:t>工程质量符合</w:t>
      </w:r>
      <w:r>
        <w:rPr>
          <w:rFonts w:eastAsia="仿宋_GB2312"/>
          <w:color w:val="auto"/>
          <w:highlight w:val="none"/>
          <w:u w:val="single"/>
        </w:rPr>
        <w:t></w:t>
      </w:r>
      <w:r>
        <w:rPr>
          <w:rFonts w:hint="eastAsia" w:ascii="宋体" w:hAnsi="宋体"/>
          <w:color w:val="auto"/>
          <w:highlight w:val="none"/>
          <w:u w:val="single"/>
        </w:rPr>
        <w:t>国家现行施工验收规范合格</w:t>
      </w:r>
      <w:r>
        <w:rPr>
          <w:rFonts w:ascii="宋体" w:hAnsi="宋体"/>
          <w:color w:val="auto"/>
          <w:highlight w:val="none"/>
          <w:u w:val="single"/>
        </w:rPr>
        <w:t></w:t>
      </w:r>
      <w:r>
        <w:rPr>
          <w:rFonts w:hint="eastAsia" w:hAnsi="宋体" w:cs="宋体"/>
          <w:color w:val="auto"/>
          <w:highlight w:val="none"/>
        </w:rPr>
        <w:t>标准。</w:t>
      </w:r>
    </w:p>
    <w:p>
      <w:pPr>
        <w:spacing w:line="360" w:lineRule="auto"/>
        <w:ind w:firstLine="459"/>
        <w:outlineLvl w:val="0"/>
        <w:rPr>
          <w:rFonts w:hAnsi="宋体"/>
          <w:b/>
          <w:bCs/>
          <w:color w:val="auto"/>
          <w:highlight w:val="none"/>
        </w:rPr>
      </w:pPr>
      <w:bookmarkStart w:id="230" w:name="_Toc351203484"/>
      <w:r>
        <w:rPr>
          <w:rFonts w:hint="eastAsia" w:hAnsi="宋体" w:cs="宋体"/>
          <w:b/>
          <w:bCs/>
          <w:color w:val="auto"/>
          <w:highlight w:val="none"/>
        </w:rPr>
        <w:t>四、签约合同价与合同价格形式</w:t>
      </w:r>
      <w:bookmarkEnd w:id="230"/>
    </w:p>
    <w:p>
      <w:pPr>
        <w:spacing w:line="360" w:lineRule="auto"/>
        <w:ind w:firstLine="459"/>
        <w:rPr>
          <w:color w:val="auto"/>
          <w:highlight w:val="none"/>
        </w:rPr>
      </w:pPr>
      <w:r>
        <w:rPr>
          <w:color w:val="auto"/>
          <w:highlight w:val="none"/>
        </w:rPr>
        <w:t xml:space="preserve">1. </w:t>
      </w:r>
      <w:r>
        <w:rPr>
          <w:rFonts w:hint="eastAsia" w:hAnsi="宋体" w:cs="宋体"/>
          <w:color w:val="auto"/>
          <w:highlight w:val="none"/>
        </w:rPr>
        <w:t>签约合同价为：</w:t>
      </w:r>
    </w:p>
    <w:p>
      <w:pPr>
        <w:spacing w:line="360" w:lineRule="auto"/>
        <w:ind w:firstLine="525"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spacing w:line="360" w:lineRule="auto"/>
        <w:ind w:firstLine="525" w:firstLineChars="250"/>
        <w:rPr>
          <w:rFonts w:hAnsi="宋体"/>
          <w:color w:val="auto"/>
          <w:highlight w:val="none"/>
        </w:rPr>
      </w:pPr>
      <w:r>
        <w:rPr>
          <w:rFonts w:hint="eastAsia" w:hAnsi="宋体" w:cs="宋体"/>
          <w:color w:val="auto"/>
          <w:highlight w:val="none"/>
        </w:rPr>
        <w:t>其中：</w:t>
      </w:r>
    </w:p>
    <w:p>
      <w:pPr>
        <w:spacing w:line="360" w:lineRule="auto"/>
        <w:ind w:firstLine="420" w:firstLineChars="200"/>
        <w:rPr>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）安全文明施工费：</w:t>
      </w:r>
    </w:p>
    <w:p>
      <w:pPr>
        <w:spacing w:line="360" w:lineRule="auto"/>
        <w:ind w:left="420" w:leftChars="200" w:firstLine="525"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）材料和工程设备暂估价金额：</w:t>
      </w:r>
    </w:p>
    <w:p>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）专业工程暂估价金额：</w:t>
      </w:r>
    </w:p>
    <w:p>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）暂列金额：</w:t>
      </w:r>
    </w:p>
    <w:p>
      <w:pPr>
        <w:spacing w:line="360" w:lineRule="auto"/>
        <w:ind w:firstLine="945" w:firstLineChars="4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spacing w:line="360" w:lineRule="auto"/>
        <w:ind w:firstLine="420" w:firstLineChars="200"/>
        <w:rPr>
          <w:rFonts w:hint="eastAsia" w:hAnsi="宋体" w:cs="宋体"/>
          <w:color w:val="auto"/>
          <w:highlight w:val="none"/>
        </w:rPr>
      </w:pPr>
      <w:r>
        <w:rPr>
          <w:color w:val="auto"/>
          <w:highlight w:val="none"/>
        </w:rPr>
        <w:t xml:space="preserve">2. </w:t>
      </w:r>
      <w:r>
        <w:rPr>
          <w:rFonts w:hint="eastAsia" w:hAnsi="宋体" w:cs="宋体"/>
          <w:color w:val="auto"/>
          <w:highlight w:val="none"/>
        </w:rPr>
        <w:t>合同价格形式：</w:t>
      </w:r>
      <w:r>
        <w:rPr>
          <w:color w:val="auto"/>
          <w:highlight w:val="none"/>
        </w:rPr>
        <w:t xml:space="preserve">   </w:t>
      </w:r>
      <w:r>
        <w:rPr>
          <w:rFonts w:hint="eastAsia"/>
          <w:color w:val="auto"/>
          <w:highlight w:val="none"/>
          <w:u w:val="single"/>
        </w:rPr>
        <w:t>固定综合单价</w:t>
      </w:r>
      <w:r>
        <w:rPr>
          <w:rFonts w:hint="eastAsia" w:hAnsi="宋体" w:cs="宋体"/>
          <w:color w:val="auto"/>
          <w:highlight w:val="none"/>
        </w:rPr>
        <w:t>。</w:t>
      </w:r>
    </w:p>
    <w:p>
      <w:pPr>
        <w:spacing w:line="360" w:lineRule="auto"/>
        <w:ind w:firstLine="420" w:firstLineChars="200"/>
        <w:rPr>
          <w:rFonts w:hint="eastAsia" w:hAnsi="宋体"/>
          <w:b/>
          <w:bCs/>
          <w:color w:val="auto"/>
          <w:highlight w:val="none"/>
        </w:rPr>
      </w:pPr>
      <w:r>
        <w:rPr>
          <w:rFonts w:hint="eastAsia" w:hAnsi="宋体" w:cs="宋体"/>
          <w:color w:val="auto"/>
          <w:highlight w:val="none"/>
        </w:rPr>
        <w:t>3.</w:t>
      </w:r>
      <w:r>
        <w:rPr>
          <w:rFonts w:hAnsi="宋体"/>
          <w:b/>
          <w:bCs/>
          <w:color w:val="auto"/>
          <w:highlight w:val="none"/>
        </w:rPr>
        <w:t xml:space="preserve"> </w:t>
      </w:r>
      <w:r>
        <w:rPr>
          <w:rFonts w:hint="eastAsia" w:hAnsi="宋体"/>
          <w:b/>
          <w:bCs/>
          <w:color w:val="auto"/>
          <w:highlight w:val="none"/>
        </w:rPr>
        <w:t>支付时间及支付方式</w:t>
      </w:r>
      <w:r>
        <w:rPr>
          <w:color w:val="auto"/>
          <w:highlight w:val="none"/>
          <w:u w:val="single"/>
        </w:rPr>
        <w:t xml:space="preserve">                     </w:t>
      </w:r>
      <w:r>
        <w:rPr>
          <w:rFonts w:hint="eastAsia" w:hAnsi="宋体"/>
          <w:b/>
          <w:bCs/>
          <w:color w:val="auto"/>
          <w:highlight w:val="none"/>
        </w:rPr>
        <w:t>。</w:t>
      </w:r>
    </w:p>
    <w:p>
      <w:pPr>
        <w:spacing w:line="360" w:lineRule="auto"/>
        <w:ind w:firstLine="422" w:firstLineChars="200"/>
        <w:outlineLvl w:val="0"/>
        <w:rPr>
          <w:b/>
          <w:bCs/>
          <w:color w:val="auto"/>
          <w:highlight w:val="none"/>
        </w:rPr>
      </w:pPr>
      <w:bookmarkStart w:id="231" w:name="_Toc351203485"/>
      <w:r>
        <w:rPr>
          <w:rFonts w:hint="eastAsia" w:hAnsi="宋体" w:cs="宋体"/>
          <w:b/>
          <w:bCs/>
          <w:color w:val="auto"/>
          <w:highlight w:val="none"/>
        </w:rPr>
        <w:t>五、</w:t>
      </w:r>
      <w:bookmarkEnd w:id="231"/>
      <w:r>
        <w:rPr>
          <w:rFonts w:hint="eastAsia" w:hAnsi="宋体" w:cs="宋体"/>
          <w:b/>
          <w:bCs/>
          <w:color w:val="auto"/>
          <w:highlight w:val="none"/>
        </w:rPr>
        <w:t>项目经理</w:t>
      </w:r>
    </w:p>
    <w:p>
      <w:pPr>
        <w:spacing w:line="360" w:lineRule="auto"/>
        <w:ind w:firstLine="420" w:firstLineChars="200"/>
        <w:rPr>
          <w:rFonts w:hAnsi="宋体"/>
          <w:color w:val="auto"/>
          <w:highlight w:val="none"/>
        </w:rPr>
      </w:pPr>
      <w:r>
        <w:rPr>
          <w:rFonts w:hint="eastAsia" w:hAnsi="宋体" w:cs="宋体"/>
          <w:color w:val="auto"/>
          <w:highlight w:val="none"/>
        </w:rPr>
        <w:t>承包人项目经理：</w:t>
      </w:r>
      <w:r>
        <w:rPr>
          <w:color w:val="auto"/>
          <w:highlight w:val="none"/>
          <w:u w:val="single"/>
        </w:rPr>
        <w:t xml:space="preserve">                     </w:t>
      </w:r>
      <w:r>
        <w:rPr>
          <w:rFonts w:hint="eastAsia" w:hAnsi="宋体" w:cs="宋体"/>
          <w:color w:val="auto"/>
          <w:highlight w:val="none"/>
        </w:rPr>
        <w:t>。</w:t>
      </w:r>
    </w:p>
    <w:p>
      <w:pPr>
        <w:spacing w:line="360" w:lineRule="auto"/>
        <w:ind w:firstLine="422" w:firstLineChars="200"/>
        <w:outlineLvl w:val="0"/>
        <w:rPr>
          <w:b/>
          <w:bCs/>
          <w:color w:val="auto"/>
          <w:highlight w:val="none"/>
        </w:rPr>
      </w:pPr>
      <w:bookmarkStart w:id="232" w:name="_Toc351203486"/>
      <w:r>
        <w:rPr>
          <w:rFonts w:hint="eastAsia" w:hAnsi="宋体" w:cs="宋体"/>
          <w:b/>
          <w:bCs/>
          <w:color w:val="auto"/>
          <w:highlight w:val="none"/>
        </w:rPr>
        <w:t>六、合同文件构成</w:t>
      </w:r>
      <w:bookmarkEnd w:id="232"/>
    </w:p>
    <w:p>
      <w:pPr>
        <w:spacing w:line="360" w:lineRule="auto"/>
        <w:ind w:firstLine="420" w:firstLineChars="200"/>
        <w:rPr>
          <w:color w:val="auto"/>
          <w:highlight w:val="none"/>
        </w:rPr>
      </w:pPr>
      <w:r>
        <w:rPr>
          <w:rFonts w:hint="eastAsia" w:hAnsi="宋体" w:cs="宋体"/>
          <w:color w:val="auto"/>
          <w:highlight w:val="none"/>
        </w:rPr>
        <w:t>本协议书与下列文件一起构成合同文件：</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）中标通知书（如有）；</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）投标函及其附录（如有）；</w:t>
      </w:r>
      <w:r>
        <w:rPr>
          <w:color w:val="auto"/>
          <w:highlight w:val="none"/>
        </w:rPr>
        <w:t xml:space="preserve"> </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）专用合同条款及其附件；</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）通用合同条款；</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5</w:t>
      </w:r>
      <w:r>
        <w:rPr>
          <w:rFonts w:hint="eastAsia" w:hAnsi="宋体" w:cs="宋体"/>
          <w:color w:val="auto"/>
          <w:highlight w:val="none"/>
        </w:rPr>
        <w:t>）</w:t>
      </w:r>
      <w:r>
        <w:rPr>
          <w:rFonts w:hint="eastAsia" w:hAnsi="宋体" w:cs="宋体"/>
          <w:color w:val="auto"/>
          <w:highlight w:val="none"/>
          <w:u w:val="single"/>
        </w:rPr>
        <w:t xml:space="preserve"> </w:t>
      </w:r>
      <w:r>
        <w:rPr>
          <w:rFonts w:hAnsi="宋体" w:cs="宋体"/>
          <w:color w:val="auto"/>
          <w:highlight w:val="none"/>
          <w:u w:val="single"/>
        </w:rPr>
        <w:t xml:space="preserve"> </w:t>
      </w:r>
      <w:r>
        <w:rPr>
          <w:rFonts w:hAnsi="宋体"/>
          <w:color w:val="auto"/>
          <w:highlight w:val="none"/>
        </w:rPr>
        <w:t>技术标准和要求；</w:t>
      </w:r>
      <w:r>
        <w:rPr>
          <w:rFonts w:hAnsi="宋体" w:cs="宋体"/>
          <w:color w:val="auto"/>
          <w:highlight w:val="none"/>
          <w:u w:val="single"/>
        </w:rPr>
        <w:t xml:space="preserve"> </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6</w:t>
      </w:r>
      <w:r>
        <w:rPr>
          <w:rFonts w:hint="eastAsia" w:hAnsi="宋体" w:cs="宋体"/>
          <w:color w:val="auto"/>
          <w:highlight w:val="none"/>
        </w:rPr>
        <w:t>）</w:t>
      </w:r>
      <w:r>
        <w:rPr>
          <w:rFonts w:hAnsi="宋体"/>
          <w:color w:val="auto"/>
          <w:highlight w:val="none"/>
        </w:rPr>
        <w:t>已标价工程量清单或预算书；</w:t>
      </w:r>
      <w:r>
        <w:rPr>
          <w:rFonts w:hAnsi="宋体" w:cs="宋体"/>
          <w:color w:val="auto"/>
          <w:highlight w:val="none"/>
          <w:u w:val="single"/>
        </w:rPr>
        <w:t xml:space="preserve"> </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7</w:t>
      </w:r>
      <w:r>
        <w:rPr>
          <w:rFonts w:hint="eastAsia" w:hAnsi="宋体" w:cs="宋体"/>
          <w:color w:val="auto"/>
          <w:highlight w:val="none"/>
        </w:rPr>
        <w:t>）</w:t>
      </w:r>
      <w:r>
        <w:rPr>
          <w:rFonts w:hint="eastAsia" w:hAnsi="宋体" w:cs="宋体"/>
          <w:color w:val="auto"/>
          <w:highlight w:val="none"/>
          <w:u w:val="single"/>
        </w:rPr>
        <w:t xml:space="preserve"> </w:t>
      </w:r>
      <w:r>
        <w:rPr>
          <w:rFonts w:hAnsi="宋体" w:cs="宋体"/>
          <w:color w:val="auto"/>
          <w:highlight w:val="none"/>
          <w:u w:val="single"/>
        </w:rPr>
        <w:t xml:space="preserve"> </w:t>
      </w:r>
      <w:r>
        <w:rPr>
          <w:rFonts w:hAnsi="宋体"/>
          <w:color w:val="auto"/>
          <w:highlight w:val="none"/>
        </w:rPr>
        <w:t>图纸；</w:t>
      </w:r>
      <w:r>
        <w:rPr>
          <w:rFonts w:hAnsi="宋体" w:cs="宋体"/>
          <w:color w:val="auto"/>
          <w:highlight w:val="none"/>
          <w:u w:val="single"/>
        </w:rPr>
        <w:t xml:space="preserve"> </w:t>
      </w:r>
    </w:p>
    <w:p>
      <w:pPr>
        <w:autoSpaceDE w:val="0"/>
        <w:autoSpaceDN w:val="0"/>
        <w:adjustRightInd w:val="0"/>
        <w:spacing w:line="360" w:lineRule="auto"/>
        <w:ind w:firstLine="420" w:firstLineChars="200"/>
        <w:jc w:val="left"/>
        <w:rPr>
          <w:rFonts w:hint="eastAsia" w:hAnsi="宋体" w:cs="宋体"/>
          <w:color w:val="auto"/>
          <w:highlight w:val="none"/>
        </w:rPr>
      </w:pPr>
      <w:r>
        <w:rPr>
          <w:rFonts w:hint="eastAsia" w:hAnsi="宋体" w:cs="宋体"/>
          <w:color w:val="auto"/>
          <w:highlight w:val="none"/>
        </w:rPr>
        <w:t>（</w:t>
      </w:r>
      <w:r>
        <w:rPr>
          <w:color w:val="auto"/>
          <w:highlight w:val="none"/>
        </w:rPr>
        <w:t>8</w:t>
      </w:r>
      <w:r>
        <w:rPr>
          <w:rFonts w:hint="eastAsia" w:hAnsi="宋体" w:cs="宋体"/>
          <w:color w:val="auto"/>
          <w:highlight w:val="none"/>
        </w:rPr>
        <w:t>）其他合同文件；</w:t>
      </w:r>
    </w:p>
    <w:p>
      <w:pPr>
        <w:pStyle w:val="26"/>
        <w:autoSpaceDE w:val="0"/>
        <w:autoSpaceDN w:val="0"/>
        <w:adjustRightInd w:val="0"/>
        <w:spacing w:line="360" w:lineRule="auto"/>
        <w:ind w:firstLine="420" w:firstLineChars="200"/>
        <w:jc w:val="left"/>
        <w:rPr>
          <w:color w:val="auto"/>
          <w:szCs w:val="21"/>
          <w:highlight w:val="none"/>
        </w:rPr>
      </w:pPr>
      <w:r>
        <w:rPr>
          <w:rFonts w:hint="eastAsia"/>
          <w:color w:val="auto"/>
          <w:highlight w:val="none"/>
        </w:rPr>
        <w:t xml:space="preserve"> </w:t>
      </w:r>
      <w:r>
        <w:rPr>
          <w:rFonts w:hint="eastAsia" w:hAnsi="宋体"/>
          <w:color w:val="auto"/>
          <w:szCs w:val="21"/>
          <w:highlight w:val="none"/>
        </w:rPr>
        <w:t>（9）招标文件及附件（含所有补充通知）。</w:t>
      </w:r>
    </w:p>
    <w:p>
      <w:pPr>
        <w:autoSpaceDE w:val="0"/>
        <w:autoSpaceDN w:val="0"/>
        <w:adjustRightInd w:val="0"/>
        <w:spacing w:line="360" w:lineRule="auto"/>
        <w:ind w:firstLine="420" w:firstLineChars="200"/>
        <w:jc w:val="left"/>
        <w:rPr>
          <w:rFonts w:hAnsi="宋体"/>
          <w:color w:val="auto"/>
          <w:highlight w:val="none"/>
        </w:rPr>
      </w:pPr>
      <w:r>
        <w:rPr>
          <w:rFonts w:hint="eastAsia" w:hAnsi="宋体" w:cs="宋体"/>
          <w:color w:val="auto"/>
          <w:highlight w:val="none"/>
        </w:rPr>
        <w:t>上述各项合同文件包括合同当事人就该项合同文件所作出的补充和修改，属于同一类内容的文件，</w:t>
      </w:r>
      <w:bookmarkStart w:id="233" w:name="_Hlk16012092"/>
      <w:r>
        <w:rPr>
          <w:rFonts w:hint="eastAsia" w:hAnsi="宋体" w:cs="宋体"/>
          <w:color w:val="auto"/>
          <w:highlight w:val="none"/>
        </w:rPr>
        <w:t>应以最新签署的为准（违反招标文件</w:t>
      </w:r>
      <w:r>
        <w:rPr>
          <w:rFonts w:hAnsi="宋体" w:cs="宋体"/>
          <w:color w:val="auto"/>
          <w:highlight w:val="none"/>
        </w:rPr>
        <w:t>实质性内容的约定除外</w:t>
      </w:r>
      <w:r>
        <w:rPr>
          <w:rFonts w:hint="eastAsia" w:hAnsi="宋体" w:cs="宋体"/>
          <w:color w:val="auto"/>
          <w:highlight w:val="none"/>
        </w:rPr>
        <w:t>）</w:t>
      </w:r>
      <w:bookmarkEnd w:id="233"/>
      <w:r>
        <w:rPr>
          <w:rFonts w:hint="eastAsia" w:hAnsi="宋体" w:cs="宋体"/>
          <w:color w:val="auto"/>
          <w:highlight w:val="none"/>
        </w:rPr>
        <w:t>。专用合同条款及其附件须经合同当事人签字或盖章。</w:t>
      </w:r>
    </w:p>
    <w:p>
      <w:pPr>
        <w:spacing w:line="360" w:lineRule="auto"/>
        <w:ind w:firstLine="422" w:firstLineChars="200"/>
        <w:rPr>
          <w:rFonts w:hint="eastAsia" w:hAnsi="宋体" w:cs="宋体"/>
          <w:b/>
          <w:bCs/>
          <w:color w:val="auto"/>
          <w:highlight w:val="none"/>
        </w:rPr>
      </w:pPr>
      <w:bookmarkStart w:id="234" w:name="_Toc351203488"/>
      <w:r>
        <w:rPr>
          <w:rFonts w:hint="eastAsia" w:hAnsi="宋体" w:cs="宋体"/>
          <w:b/>
          <w:bCs/>
          <w:color w:val="auto"/>
          <w:highlight w:val="none"/>
        </w:rPr>
        <w:t>七、权力义务</w:t>
      </w:r>
    </w:p>
    <w:p>
      <w:pPr>
        <w:spacing w:line="360" w:lineRule="auto"/>
        <w:ind w:firstLine="420" w:firstLineChars="200"/>
        <w:rPr>
          <w:rFonts w:hint="eastAsia" w:hAnsi="宋体" w:cs="宋体"/>
          <w:b w:val="0"/>
          <w:bCs w:val="0"/>
          <w:color w:val="auto"/>
          <w:highlight w:val="none"/>
        </w:rPr>
      </w:pPr>
      <w:r>
        <w:rPr>
          <w:rFonts w:hint="eastAsia" w:hAnsi="宋体" w:cs="宋体"/>
          <w:b w:val="0"/>
          <w:bCs w:val="0"/>
          <w:color w:val="auto"/>
          <w:highlight w:val="none"/>
        </w:rPr>
        <w:t>1. 甲方需按照法律规定履行项目审批手续、筹集工程建设资金并按照合同约定的期限和方式支付合同价款。</w:t>
      </w:r>
    </w:p>
    <w:p>
      <w:pPr>
        <w:spacing w:line="360" w:lineRule="auto"/>
        <w:ind w:firstLine="420" w:firstLineChars="200"/>
        <w:rPr>
          <w:rFonts w:hint="eastAsia" w:hAnsi="宋体" w:cs="宋体"/>
          <w:b w:val="0"/>
          <w:bCs w:val="0"/>
          <w:color w:val="auto"/>
          <w:highlight w:val="none"/>
        </w:rPr>
      </w:pPr>
      <w:r>
        <w:rPr>
          <w:rFonts w:hint="eastAsia" w:hAnsi="宋体" w:cs="宋体"/>
          <w:b w:val="0"/>
          <w:bCs w:val="0"/>
          <w:color w:val="auto"/>
          <w:highlight w:val="none"/>
        </w:rPr>
        <w:t>2. 乙方需按照法律规定及合同约定组织完成工程施工，确保工程质量和安全，不进行转包及违法分包，并在缺陷责任期及保修期内承担相应的工程维修责任。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int="eastAsia" w:hAnsi="宋体" w:cs="宋体"/>
          <w:b w:val="0"/>
          <w:bCs w:val="0"/>
          <w:color w:val="auto"/>
          <w:highlight w:val="none"/>
        </w:rPr>
      </w:pPr>
      <w:r>
        <w:rPr>
          <w:rFonts w:hint="eastAsia" w:hAnsi="宋体" w:cs="宋体"/>
          <w:b w:val="0"/>
          <w:bCs w:val="0"/>
          <w:color w:val="auto"/>
          <w:highlight w:val="none"/>
        </w:rPr>
        <w:t>3. 甲方和乙方通过招投标形式签订合同的，双方理解并承诺不再就同一工程另行签订与合同实质性内容相背离的协议。</w:t>
      </w:r>
    </w:p>
    <w:p>
      <w:pPr>
        <w:spacing w:line="360" w:lineRule="auto"/>
        <w:ind w:firstLine="422" w:firstLineChars="200"/>
        <w:rPr>
          <w:rFonts w:hint="eastAsia" w:hAnsi="宋体" w:cs="宋体"/>
          <w:b/>
          <w:bCs/>
          <w:color w:val="auto"/>
          <w:highlight w:val="none"/>
        </w:rPr>
      </w:pPr>
      <w:r>
        <w:rPr>
          <w:rFonts w:hint="eastAsia" w:hAnsi="宋体" w:cs="宋体"/>
          <w:b/>
          <w:bCs/>
          <w:color w:val="auto"/>
          <w:highlight w:val="none"/>
        </w:rPr>
        <w:t>八、合同解除</w:t>
      </w:r>
    </w:p>
    <w:p>
      <w:pPr>
        <w:spacing w:line="360" w:lineRule="auto"/>
        <w:ind w:firstLine="420" w:firstLineChars="200"/>
        <w:rPr>
          <w:rFonts w:hint="eastAsia" w:hAnsi="宋体" w:cs="宋体"/>
          <w:b w:val="0"/>
          <w:bCs w:val="0"/>
          <w:color w:val="auto"/>
          <w:highlight w:val="none"/>
        </w:rPr>
      </w:pPr>
      <w:r>
        <w:rPr>
          <w:rFonts w:hint="eastAsia" w:hAnsi="宋体" w:cs="宋体"/>
          <w:b w:val="0"/>
          <w:bCs w:val="0"/>
          <w:color w:val="auto"/>
          <w:highlight w:val="none"/>
        </w:rPr>
        <w:t>1.有下列情形之一的，本合同可予以终止或解除：</w:t>
      </w:r>
    </w:p>
    <w:p>
      <w:pPr>
        <w:spacing w:line="360" w:lineRule="auto"/>
        <w:ind w:firstLine="420" w:firstLineChars="200"/>
        <w:rPr>
          <w:rFonts w:hint="eastAsia" w:hAnsi="宋体" w:cs="宋体"/>
          <w:b w:val="0"/>
          <w:bCs w:val="0"/>
          <w:color w:val="auto"/>
          <w:highlight w:val="none"/>
        </w:rPr>
      </w:pPr>
      <w:r>
        <w:rPr>
          <w:rFonts w:hint="eastAsia" w:hAnsi="宋体" w:cs="宋体"/>
          <w:b w:val="0"/>
          <w:bCs w:val="0"/>
          <w:color w:val="auto"/>
          <w:highlight w:val="none"/>
        </w:rPr>
        <w:t>（1）发生不可抗力事件，致使一方或双方无法履行合同；</w:t>
      </w:r>
    </w:p>
    <w:p>
      <w:pPr>
        <w:spacing w:line="360" w:lineRule="auto"/>
        <w:ind w:firstLine="420" w:firstLineChars="200"/>
        <w:rPr>
          <w:rFonts w:hint="eastAsia" w:hAnsi="宋体" w:cs="宋体"/>
          <w:b w:val="0"/>
          <w:bCs w:val="0"/>
          <w:color w:val="auto"/>
          <w:highlight w:val="none"/>
        </w:rPr>
      </w:pPr>
      <w:r>
        <w:rPr>
          <w:rFonts w:hint="eastAsia" w:hAnsi="宋体" w:cs="宋体"/>
          <w:b w:val="0"/>
          <w:bCs w:val="0"/>
          <w:color w:val="auto"/>
          <w:highlight w:val="none"/>
        </w:rPr>
        <w:t>（2）国家法律法规和政策发生变化，致使一方或双方无法履行合同；</w:t>
      </w:r>
    </w:p>
    <w:p>
      <w:pPr>
        <w:spacing w:line="360" w:lineRule="auto"/>
        <w:ind w:firstLine="420" w:firstLineChars="200"/>
        <w:rPr>
          <w:rFonts w:hint="eastAsia" w:hAnsi="宋体" w:cs="宋体"/>
          <w:b w:val="0"/>
          <w:bCs w:val="0"/>
          <w:color w:val="auto"/>
          <w:highlight w:val="none"/>
        </w:rPr>
      </w:pPr>
      <w:r>
        <w:rPr>
          <w:rFonts w:hint="eastAsia" w:hAnsi="宋体" w:cs="宋体"/>
          <w:b w:val="0"/>
          <w:bCs w:val="0"/>
          <w:color w:val="auto"/>
          <w:highlight w:val="none"/>
        </w:rPr>
        <w:t>（3）一方违约，致对方不能实现合同目的的；</w:t>
      </w:r>
    </w:p>
    <w:p>
      <w:pPr>
        <w:spacing w:line="360" w:lineRule="auto"/>
        <w:ind w:firstLine="420" w:firstLineChars="200"/>
        <w:rPr>
          <w:rFonts w:hint="eastAsia" w:hAnsi="宋体" w:cs="宋体"/>
          <w:b w:val="0"/>
          <w:bCs w:val="0"/>
          <w:color w:val="auto"/>
          <w:highlight w:val="none"/>
        </w:rPr>
      </w:pPr>
      <w:r>
        <w:rPr>
          <w:rFonts w:hint="eastAsia" w:hAnsi="宋体" w:cs="宋体"/>
          <w:b w:val="0"/>
          <w:bCs w:val="0"/>
          <w:color w:val="auto"/>
          <w:highlight w:val="none"/>
        </w:rPr>
        <w:t>（4）法律规定的其他可以终止或解除合同的情形；</w:t>
      </w:r>
    </w:p>
    <w:p>
      <w:pPr>
        <w:spacing w:line="360" w:lineRule="auto"/>
        <w:ind w:firstLine="420" w:firstLineChars="200"/>
        <w:rPr>
          <w:rFonts w:hint="eastAsia" w:hAnsi="宋体" w:cs="宋体"/>
          <w:b w:val="0"/>
          <w:bCs w:val="0"/>
          <w:color w:val="auto"/>
          <w:highlight w:val="none"/>
        </w:rPr>
      </w:pPr>
      <w:r>
        <w:rPr>
          <w:rFonts w:hint="eastAsia" w:hAnsi="宋体" w:cs="宋体"/>
          <w:b w:val="0"/>
          <w:bCs w:val="0"/>
          <w:color w:val="auto"/>
          <w:highlight w:val="none"/>
        </w:rPr>
        <w:t>2.合同终止或解除后，尚未履行的，终止履行；已经履行的，双方协商处理。如因一方违约造成合同终止或解除，守约方还可以要求恢复原状或采取其他补救措施，并有权要求赔偿损失。</w:t>
      </w:r>
    </w:p>
    <w:p>
      <w:pPr>
        <w:spacing w:line="360" w:lineRule="auto"/>
        <w:ind w:firstLine="422" w:firstLineChars="200"/>
        <w:rPr>
          <w:rFonts w:hint="eastAsia" w:hAnsi="宋体" w:cs="宋体"/>
          <w:b/>
          <w:bCs/>
          <w:color w:val="auto"/>
          <w:highlight w:val="none"/>
        </w:rPr>
      </w:pPr>
      <w:r>
        <w:rPr>
          <w:rFonts w:hint="eastAsia" w:hAnsi="宋体" w:cs="宋体"/>
          <w:b/>
          <w:bCs/>
          <w:color w:val="auto"/>
          <w:highlight w:val="none"/>
        </w:rPr>
        <w:t>九、违约责任</w:t>
      </w:r>
    </w:p>
    <w:p>
      <w:pPr>
        <w:spacing w:line="360" w:lineRule="auto"/>
        <w:ind w:firstLine="420" w:firstLineChars="200"/>
        <w:rPr>
          <w:rFonts w:hint="eastAsia" w:hAnsi="宋体" w:cs="宋体"/>
          <w:b w:val="0"/>
          <w:bCs w:val="0"/>
          <w:color w:val="auto"/>
          <w:highlight w:val="none"/>
        </w:rPr>
      </w:pPr>
      <w:r>
        <w:rPr>
          <w:rFonts w:hint="eastAsia" w:hAnsi="宋体" w:cs="宋体"/>
          <w:b w:val="0"/>
          <w:bCs w:val="0"/>
          <w:color w:val="auto"/>
          <w:highlight w:val="none"/>
        </w:rPr>
        <w:t>1.如甲方未按本合同的约定履行项目审批手续、筹集工程建设资金，导致乙方无法进场施工，乙方可向甲方提出延建申请，项目开竣工日期按甲方同意援建的时间相应顺延。如因甲方原因导致乙方自合同签订本合同之日起6个月内无法进场施工建设，乙方有权解除合同，并向甲方主张主合同标的额百分之二十的工程违约金。</w:t>
      </w:r>
    </w:p>
    <w:p>
      <w:pPr>
        <w:spacing w:line="360" w:lineRule="auto"/>
        <w:ind w:firstLine="420" w:firstLineChars="200"/>
        <w:rPr>
          <w:rFonts w:hAnsi="宋体"/>
          <w:b w:val="0"/>
          <w:bCs w:val="0"/>
          <w:color w:val="auto"/>
          <w:highlight w:val="none"/>
        </w:rPr>
      </w:pPr>
      <w:r>
        <w:rPr>
          <w:rFonts w:hint="eastAsia" w:hAnsi="宋体" w:cs="宋体"/>
          <w:b w:val="0"/>
          <w:bCs w:val="0"/>
          <w:color w:val="auto"/>
          <w:highlight w:val="none"/>
        </w:rPr>
        <w:t>2.在甲方已按本合同的约定履行项目审批手续、筹集工程建设资金后6个月内，乙方仍然不进场施工的，或乙方资金不到位等乙方原因造成工程无法按期交付使用的，甲方有权停止该项目的前期工作并解除合同，并向乙方主张主合同标的额百分之二十的工程违约金。</w:t>
      </w:r>
    </w:p>
    <w:p>
      <w:pPr>
        <w:spacing w:line="360" w:lineRule="auto"/>
        <w:ind w:firstLine="422" w:firstLineChars="200"/>
        <w:outlineLvl w:val="0"/>
        <w:rPr>
          <w:b/>
          <w:bCs/>
          <w:color w:val="auto"/>
          <w:highlight w:val="none"/>
        </w:rPr>
      </w:pPr>
      <w:r>
        <w:rPr>
          <w:rFonts w:hint="eastAsia" w:hAnsi="宋体" w:cs="宋体"/>
          <w:b/>
          <w:bCs/>
          <w:color w:val="auto"/>
          <w:highlight w:val="none"/>
          <w:lang w:val="en-US" w:eastAsia="zh-CN"/>
        </w:rPr>
        <w:t>十</w:t>
      </w:r>
      <w:r>
        <w:rPr>
          <w:rFonts w:hint="eastAsia" w:hAnsi="宋体" w:cs="宋体"/>
          <w:b/>
          <w:bCs/>
          <w:color w:val="auto"/>
          <w:highlight w:val="none"/>
        </w:rPr>
        <w:t>、词语含义</w:t>
      </w:r>
      <w:bookmarkEnd w:id="234"/>
    </w:p>
    <w:p>
      <w:pPr>
        <w:spacing w:line="360" w:lineRule="auto"/>
        <w:ind w:firstLine="420" w:firstLineChars="200"/>
        <w:rPr>
          <w:rFonts w:hAnsi="宋体"/>
          <w:color w:val="auto"/>
          <w:highlight w:val="none"/>
        </w:rPr>
      </w:pPr>
      <w:r>
        <w:rPr>
          <w:rFonts w:hint="eastAsia" w:hAnsi="宋体" w:cs="宋体"/>
          <w:color w:val="auto"/>
          <w:highlight w:val="none"/>
        </w:rPr>
        <w:t>本协议书中词语含义与第二部分通用合同条款中赋予的含义相同。</w:t>
      </w:r>
    </w:p>
    <w:p>
      <w:pPr>
        <w:spacing w:line="360" w:lineRule="auto"/>
        <w:ind w:firstLine="422" w:firstLineChars="200"/>
        <w:outlineLvl w:val="0"/>
        <w:rPr>
          <w:b/>
          <w:bCs/>
          <w:color w:val="auto"/>
          <w:highlight w:val="none"/>
        </w:rPr>
      </w:pPr>
      <w:bookmarkStart w:id="235" w:name="_Toc351203489"/>
      <w:r>
        <w:rPr>
          <w:rFonts w:hint="eastAsia" w:hAnsi="宋体" w:cs="宋体"/>
          <w:b/>
          <w:bCs/>
          <w:color w:val="auto"/>
          <w:highlight w:val="none"/>
          <w:lang w:val="en-US" w:eastAsia="zh-CN"/>
        </w:rPr>
        <w:t>十一</w:t>
      </w:r>
      <w:r>
        <w:rPr>
          <w:rFonts w:hint="eastAsia" w:hAnsi="宋体" w:cs="宋体"/>
          <w:b/>
          <w:bCs/>
          <w:color w:val="auto"/>
          <w:highlight w:val="none"/>
        </w:rPr>
        <w:t>、签订时间</w:t>
      </w:r>
      <w:bookmarkEnd w:id="235"/>
    </w:p>
    <w:p>
      <w:pPr>
        <w:spacing w:line="360" w:lineRule="auto"/>
        <w:ind w:firstLine="420" w:firstLineChars="200"/>
        <w:rPr>
          <w:rFonts w:hAnsi="宋体"/>
          <w:color w:val="auto"/>
          <w:highlight w:val="none"/>
        </w:rPr>
      </w:pPr>
      <w:r>
        <w:rPr>
          <w:rFonts w:hint="eastAsia" w:hAnsi="宋体" w:cs="宋体"/>
          <w:color w:val="auto"/>
          <w:highlight w:val="none"/>
        </w:rPr>
        <w:t>本合同于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w:t>
      </w:r>
    </w:p>
    <w:p>
      <w:pPr>
        <w:spacing w:line="360" w:lineRule="auto"/>
        <w:ind w:firstLine="422" w:firstLineChars="200"/>
        <w:outlineLvl w:val="0"/>
        <w:rPr>
          <w:b/>
          <w:bCs/>
          <w:color w:val="auto"/>
          <w:highlight w:val="none"/>
        </w:rPr>
      </w:pPr>
      <w:bookmarkStart w:id="236" w:name="_Toc351203490"/>
      <w:r>
        <w:rPr>
          <w:rFonts w:hint="eastAsia" w:hAnsi="宋体" w:cs="宋体"/>
          <w:b/>
          <w:bCs/>
          <w:color w:val="auto"/>
          <w:highlight w:val="none"/>
        </w:rPr>
        <w:t>十</w:t>
      </w:r>
      <w:r>
        <w:rPr>
          <w:rFonts w:hint="eastAsia" w:hAnsi="宋体" w:cs="宋体"/>
          <w:b/>
          <w:bCs/>
          <w:color w:val="auto"/>
          <w:highlight w:val="none"/>
          <w:lang w:val="en-US" w:eastAsia="zh-CN"/>
        </w:rPr>
        <w:t>二</w:t>
      </w:r>
      <w:r>
        <w:rPr>
          <w:rFonts w:hint="eastAsia" w:hAnsi="宋体" w:cs="宋体"/>
          <w:b/>
          <w:bCs/>
          <w:color w:val="auto"/>
          <w:highlight w:val="none"/>
        </w:rPr>
        <w:t>、签订地点</w:t>
      </w:r>
      <w:bookmarkEnd w:id="236"/>
    </w:p>
    <w:p>
      <w:pPr>
        <w:spacing w:line="360" w:lineRule="auto"/>
        <w:ind w:firstLine="420" w:firstLineChars="200"/>
        <w:rPr>
          <w:rFonts w:hAnsi="宋体"/>
          <w:color w:val="auto"/>
          <w:highlight w:val="none"/>
        </w:rPr>
      </w:pPr>
      <w:r>
        <w:rPr>
          <w:rFonts w:hint="eastAsia" w:hAnsi="宋体" w:cs="宋体"/>
          <w:color w:val="auto"/>
          <w:highlight w:val="none"/>
        </w:rPr>
        <w:t>本合同在</w:t>
      </w:r>
      <w:r>
        <w:rPr>
          <w:rFonts w:hint="eastAsia"/>
          <w:color w:val="auto"/>
          <w:highlight w:val="none"/>
          <w:u w:val="single"/>
          <w:lang w:val="en-US" w:eastAsia="zh-CN"/>
        </w:rPr>
        <w:t>北海市铁山港区</w:t>
      </w:r>
      <w:r>
        <w:rPr>
          <w:rFonts w:hint="eastAsia" w:hAnsi="宋体" w:cs="宋体"/>
          <w:color w:val="auto"/>
          <w:highlight w:val="none"/>
        </w:rPr>
        <w:t>签订。</w:t>
      </w:r>
    </w:p>
    <w:p>
      <w:pPr>
        <w:spacing w:line="360" w:lineRule="auto"/>
        <w:ind w:firstLine="422" w:firstLineChars="200"/>
        <w:outlineLvl w:val="0"/>
        <w:rPr>
          <w:b/>
          <w:bCs/>
          <w:color w:val="auto"/>
          <w:highlight w:val="none"/>
        </w:rPr>
      </w:pPr>
      <w:bookmarkStart w:id="237" w:name="_Toc351203491"/>
      <w:r>
        <w:rPr>
          <w:rFonts w:hint="eastAsia" w:hAnsi="宋体" w:cs="宋体"/>
          <w:b/>
          <w:bCs/>
          <w:color w:val="auto"/>
          <w:highlight w:val="none"/>
        </w:rPr>
        <w:t>十</w:t>
      </w:r>
      <w:r>
        <w:rPr>
          <w:rFonts w:hint="eastAsia" w:hAnsi="宋体" w:cs="宋体"/>
          <w:b/>
          <w:bCs/>
          <w:color w:val="auto"/>
          <w:highlight w:val="none"/>
          <w:lang w:val="en-US" w:eastAsia="zh-CN"/>
        </w:rPr>
        <w:t>三</w:t>
      </w:r>
      <w:r>
        <w:rPr>
          <w:rFonts w:hint="eastAsia" w:hAnsi="宋体" w:cs="宋体"/>
          <w:b/>
          <w:bCs/>
          <w:color w:val="auto"/>
          <w:highlight w:val="none"/>
        </w:rPr>
        <w:t>、补充协议</w:t>
      </w:r>
      <w:bookmarkEnd w:id="237"/>
    </w:p>
    <w:p>
      <w:pPr>
        <w:spacing w:line="360" w:lineRule="auto"/>
        <w:ind w:firstLine="420" w:firstLineChars="200"/>
        <w:rPr>
          <w:rFonts w:hAnsi="宋体"/>
          <w:color w:val="auto"/>
          <w:highlight w:val="none"/>
        </w:rPr>
      </w:pPr>
      <w:r>
        <w:rPr>
          <w:rFonts w:hint="eastAsia" w:hAnsi="宋体" w:cs="宋体"/>
          <w:color w:val="auto"/>
          <w:highlight w:val="none"/>
        </w:rPr>
        <w:t>合同未尽事宜，合同当事人另行签订补充协议，补充协议是合同的组成部分。</w:t>
      </w:r>
    </w:p>
    <w:p>
      <w:pPr>
        <w:spacing w:line="360" w:lineRule="auto"/>
        <w:ind w:firstLine="422" w:firstLineChars="200"/>
        <w:outlineLvl w:val="0"/>
        <w:rPr>
          <w:b/>
          <w:bCs/>
          <w:color w:val="auto"/>
          <w:highlight w:val="none"/>
        </w:rPr>
      </w:pPr>
      <w:bookmarkStart w:id="238" w:name="_Toc351203492"/>
      <w:r>
        <w:rPr>
          <w:rFonts w:hint="eastAsia" w:hAnsi="宋体" w:cs="宋体"/>
          <w:b/>
          <w:bCs/>
          <w:color w:val="auto"/>
          <w:highlight w:val="none"/>
        </w:rPr>
        <w:t>十</w:t>
      </w:r>
      <w:r>
        <w:rPr>
          <w:rFonts w:hint="eastAsia" w:hAnsi="宋体" w:cs="宋体"/>
          <w:b/>
          <w:bCs/>
          <w:color w:val="auto"/>
          <w:highlight w:val="none"/>
          <w:lang w:val="en-US" w:eastAsia="zh-CN"/>
        </w:rPr>
        <w:t>四</w:t>
      </w:r>
      <w:r>
        <w:rPr>
          <w:rFonts w:hint="eastAsia" w:hAnsi="宋体" w:cs="宋体"/>
          <w:b/>
          <w:bCs/>
          <w:color w:val="auto"/>
          <w:highlight w:val="none"/>
        </w:rPr>
        <w:t>、合同生效</w:t>
      </w:r>
      <w:bookmarkEnd w:id="238"/>
    </w:p>
    <w:p>
      <w:pPr>
        <w:spacing w:line="360" w:lineRule="auto"/>
        <w:ind w:firstLine="420" w:firstLineChars="200"/>
        <w:rPr>
          <w:rFonts w:hAnsi="宋体"/>
          <w:color w:val="auto"/>
          <w:highlight w:val="none"/>
        </w:rPr>
      </w:pPr>
      <w:r>
        <w:rPr>
          <w:rFonts w:hint="eastAsia" w:hAnsi="宋体" w:cs="宋体"/>
          <w:color w:val="auto"/>
          <w:highlight w:val="none"/>
        </w:rPr>
        <w:t>本合同自</w:t>
      </w:r>
      <w:r>
        <w:rPr>
          <w:rFonts w:hint="eastAsia" w:hAnsi="宋体"/>
          <w:bCs/>
          <w:color w:val="auto"/>
          <w:highlight w:val="none"/>
          <w:u w:val="single"/>
        </w:rPr>
        <w:t>双方法定代表人或其委托代理人签字或盖章并分别加盖本单位公章后</w:t>
      </w:r>
      <w:r>
        <w:rPr>
          <w:color w:val="auto"/>
          <w:highlight w:val="none"/>
          <w:u w:val="single"/>
        </w:rPr>
        <w:t xml:space="preserve">                                   </w:t>
      </w:r>
      <w:r>
        <w:rPr>
          <w:rFonts w:hint="eastAsia" w:hAnsi="宋体" w:cs="宋体"/>
          <w:color w:val="auto"/>
          <w:highlight w:val="none"/>
        </w:rPr>
        <w:t>生效。</w:t>
      </w:r>
    </w:p>
    <w:p>
      <w:pPr>
        <w:spacing w:line="360" w:lineRule="auto"/>
        <w:ind w:firstLine="422" w:firstLineChars="200"/>
        <w:outlineLvl w:val="0"/>
        <w:rPr>
          <w:b/>
          <w:bCs/>
          <w:color w:val="auto"/>
          <w:highlight w:val="none"/>
        </w:rPr>
      </w:pPr>
      <w:bookmarkStart w:id="239" w:name="_Toc351203493"/>
      <w:r>
        <w:rPr>
          <w:rFonts w:hint="eastAsia" w:hAnsi="宋体" w:cs="宋体"/>
          <w:b/>
          <w:bCs/>
          <w:color w:val="auto"/>
          <w:highlight w:val="none"/>
        </w:rPr>
        <w:t>十</w:t>
      </w:r>
      <w:r>
        <w:rPr>
          <w:rFonts w:hint="eastAsia" w:hAnsi="宋体" w:cs="宋体"/>
          <w:b/>
          <w:bCs/>
          <w:color w:val="auto"/>
          <w:highlight w:val="none"/>
          <w:lang w:val="en-US" w:eastAsia="zh-CN"/>
        </w:rPr>
        <w:t>五</w:t>
      </w:r>
      <w:r>
        <w:rPr>
          <w:rFonts w:hint="eastAsia" w:hAnsi="宋体" w:cs="宋体"/>
          <w:b/>
          <w:bCs/>
          <w:color w:val="auto"/>
          <w:highlight w:val="none"/>
        </w:rPr>
        <w:t>、合同份数</w:t>
      </w:r>
      <w:bookmarkEnd w:id="23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hAnsi="宋体" w:cs="宋体"/>
          <w:color w:val="auto"/>
          <w:highlight w:val="none"/>
        </w:rPr>
        <w:t>本合同一式</w:t>
      </w:r>
      <w:r>
        <w:rPr>
          <w:rFonts w:hint="eastAsia" w:hAnsi="宋体" w:cs="宋体"/>
          <w:color w:val="auto"/>
          <w:highlight w:val="none"/>
          <w:u w:val="single"/>
          <w:lang w:val="en-US" w:eastAsia="zh-CN"/>
        </w:rPr>
        <w:t xml:space="preserve">    </w:t>
      </w:r>
      <w:r>
        <w:rPr>
          <w:rFonts w:hint="eastAsia" w:hAnsi="宋体" w:cs="宋体"/>
          <w:color w:val="auto"/>
          <w:highlight w:val="none"/>
        </w:rPr>
        <w:t>份，</w:t>
      </w:r>
      <w:r>
        <w:rPr>
          <w:rFonts w:hint="eastAsia" w:hAnsi="宋体" w:cs="宋体"/>
          <w:color w:val="auto"/>
          <w:highlight w:val="none"/>
          <w:lang w:eastAsia="zh-CN"/>
        </w:rPr>
        <w:t>正本</w:t>
      </w:r>
      <w:r>
        <w:rPr>
          <w:rFonts w:hint="eastAsia" w:hAnsi="宋体" w:cs="宋体"/>
          <w:color w:val="auto"/>
          <w:highlight w:val="none"/>
          <w:u w:val="single"/>
          <w:lang w:val="en-US" w:eastAsia="zh-CN"/>
        </w:rPr>
        <w:t xml:space="preserve">    </w:t>
      </w:r>
      <w:r>
        <w:rPr>
          <w:rFonts w:hint="eastAsia" w:hAnsi="宋体" w:cs="宋体"/>
          <w:color w:val="auto"/>
          <w:highlight w:val="none"/>
          <w:u w:val="none"/>
          <w:lang w:val="en-US" w:eastAsia="zh-CN"/>
        </w:rPr>
        <w:t>份，副本</w:t>
      </w:r>
      <w:r>
        <w:rPr>
          <w:rFonts w:hint="eastAsia" w:hAnsi="宋体" w:cs="宋体"/>
          <w:color w:val="auto"/>
          <w:highlight w:val="none"/>
          <w:u w:val="single"/>
          <w:lang w:val="en-US" w:eastAsia="zh-CN"/>
        </w:rPr>
        <w:t xml:space="preserve">   </w:t>
      </w:r>
      <w:r>
        <w:rPr>
          <w:rFonts w:hint="eastAsia" w:hAnsi="宋体" w:cs="宋体"/>
          <w:color w:val="auto"/>
          <w:highlight w:val="none"/>
          <w:u w:val="none"/>
          <w:lang w:val="en-US" w:eastAsia="zh-CN"/>
        </w:rPr>
        <w:t>份，</w:t>
      </w:r>
      <w:r>
        <w:rPr>
          <w:rFonts w:hint="eastAsia" w:hAnsi="宋体" w:cs="宋体"/>
          <w:color w:val="auto"/>
          <w:highlight w:val="none"/>
        </w:rPr>
        <w:t>均具有同等法律效力，</w:t>
      </w:r>
      <w:r>
        <w:rPr>
          <w:rFonts w:hint="eastAsia" w:hAnsi="宋体" w:cs="宋体"/>
          <w:color w:val="auto"/>
          <w:highlight w:val="none"/>
          <w:lang w:val="en-US" w:eastAsia="zh-CN"/>
        </w:rPr>
        <w:t>代理机构</w:t>
      </w:r>
      <w:r>
        <w:rPr>
          <w:rFonts w:hint="eastAsia" w:hAnsi="宋体" w:cs="宋体"/>
          <w:color w:val="auto"/>
          <w:highlight w:val="none"/>
          <w:u w:val="single"/>
          <w:lang w:val="en-US" w:eastAsia="zh-CN"/>
        </w:rPr>
        <w:t xml:space="preserve">   </w:t>
      </w:r>
      <w:r>
        <w:rPr>
          <w:rFonts w:hint="eastAsia" w:hAnsi="宋体" w:cs="宋体"/>
          <w:color w:val="auto"/>
          <w:highlight w:val="none"/>
          <w:lang w:val="en-US" w:eastAsia="zh-CN"/>
        </w:rPr>
        <w:t>份，</w:t>
      </w:r>
      <w:r>
        <w:rPr>
          <w:rFonts w:hint="eastAsia" w:hAnsi="宋体" w:cs="宋体"/>
          <w:color w:val="auto"/>
          <w:highlight w:val="none"/>
        </w:rPr>
        <w:t>发包人执</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份，承包人执</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份。</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43"/>
        <w:gridCol w:w="4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highlight w:val="none"/>
                <w:u w:val="single"/>
                <w:vertAlign w:val="baseline"/>
              </w:rPr>
            </w:pPr>
            <w:r>
              <w:rPr>
                <w:rFonts w:hint="eastAsia" w:hAnsi="宋体" w:cs="宋体"/>
                <w:color w:val="auto"/>
                <w:highlight w:val="none"/>
              </w:rPr>
              <w:t>发包人：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p>
        </w:tc>
        <w:tc>
          <w:tcPr>
            <w:tcW w:w="4443" w:type="dxa"/>
            <w:noWrap w:val="0"/>
            <w:vAlign w:val="center"/>
          </w:tcPr>
          <w:p>
            <w:pPr>
              <w:spacing w:line="360" w:lineRule="auto"/>
              <w:jc w:val="both"/>
              <w:rPr>
                <w:color w:val="auto"/>
                <w:highlight w:val="none"/>
                <w:u w:val="single"/>
                <w:vertAlign w:val="baseline"/>
              </w:rPr>
            </w:pPr>
            <w:r>
              <w:rPr>
                <w:rFonts w:hint="eastAsia" w:hAnsi="宋体" w:cs="宋体"/>
                <w:color w:val="auto"/>
                <w:highlight w:val="none"/>
              </w:rPr>
              <w:t>承包人：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3" w:type="dxa"/>
            <w:noWrap w:val="0"/>
            <w:vAlign w:val="center"/>
          </w:tcPr>
          <w:p>
            <w:pPr>
              <w:spacing w:line="360" w:lineRule="auto"/>
              <w:jc w:val="both"/>
              <w:rPr>
                <w:rFonts w:hint="eastAsia"/>
                <w:color w:val="auto"/>
                <w:highlight w:val="none"/>
              </w:rPr>
            </w:pPr>
            <w:r>
              <w:rPr>
                <w:rFonts w:hint="eastAsia"/>
                <w:color w:val="auto"/>
                <w:highlight w:val="none"/>
              </w:rPr>
              <w:t>法定代表人或其委托代理人：</w:t>
            </w:r>
          </w:p>
          <w:p>
            <w:pPr>
              <w:pStyle w:val="2"/>
              <w:spacing w:line="360" w:lineRule="auto"/>
              <w:ind w:left="0" w:leftChars="0" w:firstLine="0" w:firstLineChars="0"/>
              <w:jc w:val="both"/>
              <w:rPr>
                <w:color w:val="auto"/>
                <w:highlight w:val="none"/>
              </w:rPr>
            </w:pPr>
            <w:r>
              <w:rPr>
                <w:rFonts w:hint="eastAsia" w:hAnsi="宋体" w:cs="宋体"/>
                <w:color w:val="auto"/>
                <w:highlight w:val="none"/>
              </w:rPr>
              <w:t>（签字</w:t>
            </w:r>
            <w:r>
              <w:rPr>
                <w:rFonts w:hint="eastAsia" w:hAnsi="宋体"/>
                <w:color w:val="auto"/>
                <w:highlight w:val="none"/>
              </w:rPr>
              <w:t>或盖章</w:t>
            </w:r>
            <w:r>
              <w:rPr>
                <w:rFonts w:hint="eastAsia" w:hAnsi="宋体" w:cs="宋体"/>
                <w:color w:val="auto"/>
                <w:highlight w:val="none"/>
              </w:rPr>
              <w:t>）</w:t>
            </w:r>
          </w:p>
        </w:tc>
        <w:tc>
          <w:tcPr>
            <w:tcW w:w="4443" w:type="dxa"/>
            <w:noWrap w:val="0"/>
            <w:vAlign w:val="center"/>
          </w:tcPr>
          <w:p>
            <w:pPr>
              <w:spacing w:line="360" w:lineRule="auto"/>
              <w:jc w:val="both"/>
              <w:rPr>
                <w:rFonts w:hint="eastAsia"/>
                <w:color w:val="auto"/>
                <w:highlight w:val="none"/>
              </w:rPr>
            </w:pPr>
            <w:r>
              <w:rPr>
                <w:rFonts w:hint="eastAsia"/>
                <w:color w:val="auto"/>
                <w:highlight w:val="none"/>
              </w:rPr>
              <w:t>法定代表人或其委托代理人：</w:t>
            </w:r>
          </w:p>
          <w:p>
            <w:pPr>
              <w:spacing w:line="360" w:lineRule="auto"/>
              <w:jc w:val="both"/>
              <w:rPr>
                <w:color w:val="auto"/>
                <w:highlight w:val="none"/>
                <w:u w:val="single"/>
                <w:vertAlign w:val="baseline"/>
              </w:rPr>
            </w:pPr>
            <w:r>
              <w:rPr>
                <w:rFonts w:hint="eastAsia" w:hAnsi="宋体" w:cs="宋体"/>
                <w:color w:val="auto"/>
                <w:highlight w:val="none"/>
              </w:rPr>
              <w:t>（签字</w:t>
            </w:r>
            <w:r>
              <w:rPr>
                <w:rFonts w:hint="eastAsia" w:hAnsi="宋体"/>
                <w:color w:val="auto"/>
                <w:highlight w:val="none"/>
              </w:rPr>
              <w:t>或盖章</w:t>
            </w:r>
            <w:r>
              <w:rPr>
                <w:rFonts w:hint="eastAsia" w:hAnsi="宋体" w:cs="宋体"/>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3" w:type="dxa"/>
            <w:noWrap w:val="0"/>
            <w:vAlign w:val="center"/>
          </w:tcPr>
          <w:p>
            <w:pPr>
              <w:spacing w:line="360" w:lineRule="auto"/>
              <w:jc w:val="both"/>
              <w:rPr>
                <w:color w:val="auto"/>
                <w:highlight w:val="none"/>
                <w:u w:val="single"/>
                <w:vertAlign w:val="baseline"/>
              </w:rPr>
            </w:pPr>
            <w:r>
              <w:rPr>
                <w:rFonts w:hint="eastAsia" w:hAnsi="宋体" w:cs="宋体"/>
                <w:color w:val="auto"/>
                <w:highlight w:val="none"/>
              </w:rPr>
              <w:t>统一社会信用代码：</w:t>
            </w:r>
          </w:p>
        </w:tc>
        <w:tc>
          <w:tcPr>
            <w:tcW w:w="4443" w:type="dxa"/>
            <w:noWrap w:val="0"/>
            <w:vAlign w:val="center"/>
          </w:tcPr>
          <w:p>
            <w:pPr>
              <w:spacing w:line="360" w:lineRule="auto"/>
              <w:jc w:val="both"/>
              <w:rPr>
                <w:color w:val="auto"/>
                <w:kern w:val="2"/>
                <w:sz w:val="21"/>
                <w:szCs w:val="21"/>
                <w:highlight w:val="none"/>
                <w:u w:val="single"/>
                <w:vertAlign w:val="baseline"/>
                <w:lang w:val="en-US" w:eastAsia="zh-CN" w:bidi="ar-SA"/>
              </w:rPr>
            </w:pPr>
            <w:r>
              <w:rPr>
                <w:rFonts w:hint="eastAsia" w:hAnsi="宋体" w:cs="宋体"/>
                <w:color w:val="auto"/>
                <w:highlight w:val="none"/>
              </w:rPr>
              <w:t>统一社会信用代码：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3" w:type="dxa"/>
            <w:noWrap w:val="0"/>
            <w:vAlign w:val="center"/>
          </w:tcPr>
          <w:p>
            <w:pPr>
              <w:spacing w:line="360" w:lineRule="auto"/>
              <w:jc w:val="both"/>
              <w:rPr>
                <w:color w:val="auto"/>
                <w:highlight w:val="none"/>
                <w:u w:val="single"/>
                <w:vertAlign w:val="baseli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p>
        </w:tc>
        <w:tc>
          <w:tcPr>
            <w:tcW w:w="4443" w:type="dxa"/>
            <w:noWrap w:val="0"/>
            <w:vAlign w:val="center"/>
          </w:tcPr>
          <w:p>
            <w:pPr>
              <w:spacing w:line="360" w:lineRule="auto"/>
              <w:jc w:val="both"/>
              <w:rPr>
                <w:color w:val="auto"/>
                <w:kern w:val="2"/>
                <w:sz w:val="21"/>
                <w:szCs w:val="21"/>
                <w:highlight w:val="none"/>
                <w:u w:val="single"/>
                <w:vertAlign w:val="baseline"/>
                <w:lang w:val="en-US" w:eastAsia="zh-CN" w:bidi="ar-SA"/>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3" w:type="dxa"/>
            <w:noWrap w:val="0"/>
            <w:vAlign w:val="center"/>
          </w:tcPr>
          <w:p>
            <w:pPr>
              <w:spacing w:line="360" w:lineRule="auto"/>
              <w:jc w:val="both"/>
              <w:rPr>
                <w:color w:val="auto"/>
                <w:highlight w:val="none"/>
                <w:u w:val="single"/>
                <w:vertAlign w:val="baseline"/>
              </w:rPr>
            </w:pPr>
            <w:r>
              <w:rPr>
                <w:rFonts w:hint="eastAsia" w:hAnsi="宋体" w:cs="宋体"/>
                <w:color w:val="auto"/>
                <w:highlight w:val="none"/>
              </w:rPr>
              <w:t>邮政编码：</w:t>
            </w:r>
          </w:p>
        </w:tc>
        <w:tc>
          <w:tcPr>
            <w:tcW w:w="4443" w:type="dxa"/>
            <w:noWrap w:val="0"/>
            <w:vAlign w:val="center"/>
          </w:tcPr>
          <w:p>
            <w:pPr>
              <w:spacing w:line="360" w:lineRule="auto"/>
              <w:jc w:val="both"/>
              <w:rPr>
                <w:color w:val="auto"/>
                <w:kern w:val="2"/>
                <w:sz w:val="21"/>
                <w:szCs w:val="21"/>
                <w:highlight w:val="none"/>
                <w:u w:val="single"/>
                <w:vertAlign w:val="baseline"/>
                <w:lang w:val="en-US" w:eastAsia="zh-CN" w:bidi="ar-SA"/>
              </w:rPr>
            </w:pPr>
            <w:r>
              <w:rPr>
                <w:rFonts w:hint="eastAsia" w:hAnsi="宋体" w:cs="宋体"/>
                <w:color w:val="auto"/>
                <w:highlight w:val="none"/>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3" w:type="dxa"/>
            <w:noWrap w:val="0"/>
            <w:vAlign w:val="center"/>
          </w:tcPr>
          <w:p>
            <w:pPr>
              <w:spacing w:line="360" w:lineRule="auto"/>
              <w:jc w:val="both"/>
              <w:rPr>
                <w:color w:val="auto"/>
                <w:highlight w:val="none"/>
                <w:u w:val="single"/>
                <w:vertAlign w:val="baseline"/>
              </w:rPr>
            </w:pPr>
            <w:r>
              <w:rPr>
                <w:rFonts w:hint="eastAsia" w:hAnsi="宋体" w:cs="宋体"/>
                <w:color w:val="auto"/>
                <w:highlight w:val="none"/>
              </w:rPr>
              <w:t>法定代表人：</w:t>
            </w:r>
          </w:p>
        </w:tc>
        <w:tc>
          <w:tcPr>
            <w:tcW w:w="4443" w:type="dxa"/>
            <w:noWrap w:val="0"/>
            <w:vAlign w:val="center"/>
          </w:tcPr>
          <w:p>
            <w:pPr>
              <w:spacing w:line="360" w:lineRule="auto"/>
              <w:jc w:val="both"/>
              <w:rPr>
                <w:color w:val="auto"/>
                <w:kern w:val="2"/>
                <w:sz w:val="21"/>
                <w:szCs w:val="21"/>
                <w:highlight w:val="none"/>
                <w:u w:val="single"/>
                <w:vertAlign w:val="baseline"/>
                <w:lang w:val="en-US" w:eastAsia="zh-CN" w:bidi="ar-SA"/>
              </w:rPr>
            </w:pPr>
            <w:r>
              <w:rPr>
                <w:rFonts w:hint="eastAsia" w:hAnsi="宋体" w:cs="宋体"/>
                <w:color w:val="auto"/>
                <w:highlight w:val="none"/>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3" w:type="dxa"/>
            <w:noWrap w:val="0"/>
            <w:vAlign w:val="center"/>
          </w:tcPr>
          <w:p>
            <w:pPr>
              <w:spacing w:line="360" w:lineRule="auto"/>
              <w:jc w:val="both"/>
              <w:rPr>
                <w:color w:val="auto"/>
                <w:highlight w:val="none"/>
                <w:u w:val="single"/>
                <w:vertAlign w:val="baseline"/>
              </w:rPr>
            </w:pPr>
            <w:r>
              <w:rPr>
                <w:rFonts w:hint="eastAsia" w:hAnsi="宋体" w:cs="宋体"/>
                <w:color w:val="auto"/>
                <w:highlight w:val="none"/>
              </w:rPr>
              <w:t>委托代理人：</w:t>
            </w:r>
          </w:p>
        </w:tc>
        <w:tc>
          <w:tcPr>
            <w:tcW w:w="4443" w:type="dxa"/>
            <w:noWrap w:val="0"/>
            <w:vAlign w:val="center"/>
          </w:tcPr>
          <w:p>
            <w:pPr>
              <w:spacing w:line="360" w:lineRule="auto"/>
              <w:jc w:val="both"/>
              <w:rPr>
                <w:color w:val="auto"/>
                <w:kern w:val="2"/>
                <w:sz w:val="21"/>
                <w:szCs w:val="21"/>
                <w:highlight w:val="none"/>
                <w:u w:val="single"/>
                <w:vertAlign w:val="baseline"/>
                <w:lang w:val="en-US" w:eastAsia="zh-CN" w:bidi="ar-SA"/>
              </w:rPr>
            </w:pPr>
            <w:r>
              <w:rPr>
                <w:rFonts w:hint="eastAsia" w:hAnsi="宋体" w:cs="宋体"/>
                <w:color w:val="auto"/>
                <w:highlight w:val="none"/>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3" w:type="dxa"/>
            <w:noWrap w:val="0"/>
            <w:vAlign w:val="center"/>
          </w:tcPr>
          <w:p>
            <w:pPr>
              <w:spacing w:line="360" w:lineRule="auto"/>
              <w:jc w:val="both"/>
              <w:rPr>
                <w:color w:val="auto"/>
                <w:highlight w:val="none"/>
                <w:u w:val="single"/>
                <w:vertAlign w:val="baselin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p>
        </w:tc>
        <w:tc>
          <w:tcPr>
            <w:tcW w:w="4443" w:type="dxa"/>
            <w:noWrap w:val="0"/>
            <w:vAlign w:val="center"/>
          </w:tcPr>
          <w:p>
            <w:pPr>
              <w:spacing w:line="360" w:lineRule="auto"/>
              <w:jc w:val="both"/>
              <w:rPr>
                <w:color w:val="auto"/>
                <w:kern w:val="2"/>
                <w:sz w:val="21"/>
                <w:szCs w:val="21"/>
                <w:highlight w:val="none"/>
                <w:u w:val="single"/>
                <w:vertAlign w:val="baseline"/>
                <w:lang w:val="en-US" w:eastAsia="zh-CN" w:bidi="ar-SA"/>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3" w:type="dxa"/>
            <w:noWrap w:val="0"/>
            <w:vAlign w:val="center"/>
          </w:tcPr>
          <w:p>
            <w:pPr>
              <w:spacing w:line="360" w:lineRule="auto"/>
              <w:jc w:val="both"/>
              <w:rPr>
                <w:color w:val="auto"/>
                <w:highlight w:val="none"/>
                <w:u w:val="single"/>
                <w:vertAlign w:val="baseline"/>
              </w:rPr>
            </w:pPr>
            <w:r>
              <w:rPr>
                <w:rFonts w:hint="eastAsia" w:hAnsi="宋体" w:cs="宋体"/>
                <w:color w:val="auto"/>
                <w:highlight w:val="none"/>
              </w:rPr>
              <w:t>开户银行：</w:t>
            </w:r>
          </w:p>
        </w:tc>
        <w:tc>
          <w:tcPr>
            <w:tcW w:w="4443" w:type="dxa"/>
            <w:noWrap w:val="0"/>
            <w:vAlign w:val="center"/>
          </w:tcPr>
          <w:p>
            <w:pPr>
              <w:spacing w:line="360" w:lineRule="auto"/>
              <w:jc w:val="both"/>
              <w:rPr>
                <w:color w:val="auto"/>
                <w:kern w:val="2"/>
                <w:sz w:val="21"/>
                <w:szCs w:val="21"/>
                <w:highlight w:val="none"/>
                <w:u w:val="single"/>
                <w:vertAlign w:val="baseline"/>
                <w:lang w:val="en-US" w:eastAsia="zh-CN" w:bidi="ar-SA"/>
              </w:rPr>
            </w:pPr>
            <w:r>
              <w:rPr>
                <w:rFonts w:hint="eastAsia" w:hAnsi="宋体" w:cs="宋体"/>
                <w:color w:val="auto"/>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3" w:type="dxa"/>
            <w:noWrap w:val="0"/>
            <w:vAlign w:val="center"/>
          </w:tcPr>
          <w:p>
            <w:pPr>
              <w:spacing w:line="360" w:lineRule="auto"/>
              <w:jc w:val="both"/>
              <w:rPr>
                <w:color w:val="auto"/>
                <w:highlight w:val="none"/>
                <w:u w:val="single"/>
                <w:vertAlign w:val="baseline"/>
              </w:rPr>
            </w:pP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p>
        </w:tc>
        <w:tc>
          <w:tcPr>
            <w:tcW w:w="4443" w:type="dxa"/>
            <w:noWrap w:val="0"/>
            <w:vAlign w:val="center"/>
          </w:tcPr>
          <w:p>
            <w:pPr>
              <w:spacing w:line="360" w:lineRule="auto"/>
              <w:jc w:val="both"/>
              <w:rPr>
                <w:color w:val="auto"/>
                <w:kern w:val="2"/>
                <w:sz w:val="21"/>
                <w:szCs w:val="21"/>
                <w:highlight w:val="none"/>
                <w:u w:val="single"/>
                <w:vertAlign w:val="baseline"/>
                <w:lang w:val="en-US" w:eastAsia="zh-CN" w:bidi="ar-SA"/>
              </w:rPr>
            </w:pP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3" w:type="dxa"/>
            <w:noWrap w:val="0"/>
            <w:vAlign w:val="center"/>
          </w:tcPr>
          <w:p>
            <w:pPr>
              <w:spacing w:line="360" w:lineRule="auto"/>
              <w:jc w:val="both"/>
              <w:rPr>
                <w:color w:val="auto"/>
                <w:highlight w:val="none"/>
                <w:u w:val="single"/>
                <w:vertAlign w:val="baseline"/>
              </w:rPr>
            </w:pPr>
          </w:p>
        </w:tc>
        <w:tc>
          <w:tcPr>
            <w:tcW w:w="4443" w:type="dxa"/>
            <w:noWrap w:val="0"/>
            <w:vAlign w:val="center"/>
          </w:tcPr>
          <w:p>
            <w:pPr>
              <w:spacing w:line="360" w:lineRule="auto"/>
              <w:jc w:val="both"/>
              <w:rPr>
                <w:color w:val="auto"/>
                <w:highlight w:val="none"/>
                <w:u w:val="single"/>
                <w:vertAlign w:val="baseline"/>
              </w:rPr>
            </w:pPr>
            <w:r>
              <w:rPr>
                <w:rFonts w:hint="eastAsia" w:hAnsi="宋体"/>
                <w:color w:val="auto"/>
                <w:szCs w:val="21"/>
                <w:highlight w:val="none"/>
              </w:rPr>
              <w:t>农民工资专户开户银行：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3" w:type="dxa"/>
            <w:noWrap w:val="0"/>
            <w:vAlign w:val="center"/>
          </w:tcPr>
          <w:p>
            <w:pPr>
              <w:spacing w:line="360" w:lineRule="auto"/>
              <w:jc w:val="both"/>
              <w:rPr>
                <w:color w:val="auto"/>
                <w:highlight w:val="none"/>
                <w:u w:val="single"/>
                <w:vertAlign w:val="baseline"/>
              </w:rPr>
            </w:pPr>
          </w:p>
        </w:tc>
        <w:tc>
          <w:tcPr>
            <w:tcW w:w="4443" w:type="dxa"/>
            <w:noWrap w:val="0"/>
            <w:vAlign w:val="center"/>
          </w:tcPr>
          <w:p>
            <w:pPr>
              <w:spacing w:line="360" w:lineRule="auto"/>
              <w:jc w:val="both"/>
              <w:rPr>
                <w:color w:val="auto"/>
                <w:highlight w:val="none"/>
                <w:u w:val="single"/>
                <w:vertAlign w:val="baseline"/>
              </w:rPr>
            </w:pPr>
            <w:r>
              <w:rPr>
                <w:rFonts w:hAnsi="宋体"/>
                <w:color w:val="auto"/>
                <w:szCs w:val="21"/>
                <w:highlight w:val="none"/>
              </w:rPr>
              <w:t>账</w:t>
            </w:r>
            <w:r>
              <w:rPr>
                <w:color w:val="auto"/>
                <w:szCs w:val="21"/>
                <w:highlight w:val="none"/>
              </w:rPr>
              <w:t xml:space="preserve">  </w:t>
            </w:r>
            <w:r>
              <w:rPr>
                <w:rFonts w:hAnsi="宋体"/>
                <w:color w:val="auto"/>
                <w:szCs w:val="21"/>
                <w:highlight w:val="none"/>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3" w:type="dxa"/>
            <w:noWrap w:val="0"/>
            <w:vAlign w:val="center"/>
          </w:tcPr>
          <w:p>
            <w:pPr>
              <w:spacing w:line="360" w:lineRule="auto"/>
              <w:jc w:val="both"/>
              <w:rPr>
                <w:color w:val="auto"/>
                <w:highlight w:val="none"/>
                <w:u w:val="single"/>
                <w:vertAlign w:val="baseline"/>
              </w:rPr>
            </w:pPr>
          </w:p>
        </w:tc>
        <w:tc>
          <w:tcPr>
            <w:tcW w:w="4443" w:type="dxa"/>
            <w:noWrap w:val="0"/>
            <w:vAlign w:val="center"/>
          </w:tcPr>
          <w:p>
            <w:pPr>
              <w:spacing w:line="360" w:lineRule="auto"/>
              <w:jc w:val="both"/>
              <w:rPr>
                <w:color w:val="auto"/>
                <w:highlight w:val="none"/>
                <w:u w:val="single"/>
                <w:vertAlign w:val="baseline"/>
              </w:rPr>
            </w:pPr>
            <w:r>
              <w:rPr>
                <w:rFonts w:hint="eastAsia" w:ascii="宋体" w:hAnsi="宋体" w:cs="宋体"/>
                <w:color w:val="auto"/>
                <w:szCs w:val="21"/>
                <w:highlight w:val="none"/>
              </w:rPr>
              <w:t>安全生产费用专户开户银行：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3" w:type="dxa"/>
            <w:noWrap w:val="0"/>
            <w:vAlign w:val="center"/>
          </w:tcPr>
          <w:p>
            <w:pPr>
              <w:spacing w:line="360" w:lineRule="auto"/>
              <w:jc w:val="both"/>
              <w:rPr>
                <w:color w:val="auto"/>
                <w:highlight w:val="none"/>
                <w:u w:val="single"/>
                <w:vertAlign w:val="baseline"/>
              </w:rPr>
            </w:pPr>
          </w:p>
        </w:tc>
        <w:tc>
          <w:tcPr>
            <w:tcW w:w="4443" w:type="dxa"/>
            <w:noWrap w:val="0"/>
            <w:vAlign w:val="center"/>
          </w:tcPr>
          <w:p>
            <w:pPr>
              <w:spacing w:line="360" w:lineRule="auto"/>
              <w:jc w:val="both"/>
              <w:rPr>
                <w:color w:val="auto"/>
                <w:highlight w:val="none"/>
                <w:u w:val="single"/>
                <w:vertAlign w:val="baseline"/>
              </w:rPr>
            </w:pPr>
            <w:r>
              <w:rPr>
                <w:rFonts w:hint="eastAsia" w:ascii="宋体" w:hAnsi="宋体" w:cs="宋体"/>
                <w:color w:val="auto"/>
                <w:szCs w:val="21"/>
                <w:highlight w:val="none"/>
              </w:rPr>
              <w:t>账  号：</w:t>
            </w:r>
          </w:p>
        </w:tc>
      </w:tr>
    </w:tbl>
    <w:p>
      <w:pPr>
        <w:rPr>
          <w:color w:val="auto"/>
          <w:highlight w:val="none"/>
          <w:u w:val="single"/>
        </w:rPr>
      </w:pPr>
    </w:p>
    <w:p>
      <w:pPr>
        <w:widowControl/>
        <w:jc w:val="left"/>
        <w:rPr>
          <w:color w:val="auto"/>
          <w:highlight w:val="none"/>
          <w:u w:val="single"/>
        </w:rPr>
      </w:pPr>
      <w:r>
        <w:rPr>
          <w:color w:val="auto"/>
          <w:highlight w:val="none"/>
        </w:rPr>
        <w:br w:type="page"/>
      </w:r>
    </w:p>
    <w:p>
      <w:pPr>
        <w:pStyle w:val="5"/>
        <w:jc w:val="center"/>
        <w:rPr>
          <w:color w:val="auto"/>
          <w:highlight w:val="none"/>
        </w:rPr>
      </w:pPr>
      <w:bookmarkStart w:id="240" w:name="_Toc18409"/>
      <w:bookmarkStart w:id="241" w:name="_Toc407135192"/>
      <w:bookmarkStart w:id="242" w:name="_Toc389065256"/>
      <w:bookmarkStart w:id="243" w:name="_Toc373478338"/>
      <w:bookmarkStart w:id="244" w:name="_Toc373227691"/>
      <w:bookmarkStart w:id="245" w:name="_Toc351203632"/>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bookmarkEnd w:id="240"/>
      <w:bookmarkEnd w:id="241"/>
      <w:bookmarkEnd w:id="242"/>
    </w:p>
    <w:p>
      <w:pPr>
        <w:spacing w:line="360" w:lineRule="auto"/>
        <w:ind w:firstLine="420" w:firstLineChars="200"/>
        <w:rPr>
          <w:rFonts w:hAnsi="宋体"/>
          <w:color w:val="auto"/>
          <w:kern w:val="0"/>
          <w:highlight w:val="none"/>
        </w:rPr>
      </w:pPr>
    </w:p>
    <w:p>
      <w:pPr>
        <w:spacing w:line="360" w:lineRule="auto"/>
        <w:ind w:firstLine="422" w:firstLineChars="200"/>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p>
      <w:pPr>
        <w:pStyle w:val="5"/>
        <w:keepNext w:val="0"/>
        <w:keepLines w:val="0"/>
        <w:jc w:val="center"/>
        <w:rPr>
          <w:rFonts w:hAnsi="宋体"/>
          <w:color w:val="auto"/>
          <w:sz w:val="30"/>
          <w:szCs w:val="30"/>
          <w:highlight w:val="none"/>
        </w:rPr>
      </w:pPr>
      <w:bookmarkStart w:id="246" w:name="_Toc389065257"/>
      <w:bookmarkStart w:id="247" w:name="_Toc407135193"/>
      <w:bookmarkStart w:id="248" w:name="_Toc13950"/>
      <w:r>
        <w:rPr>
          <w:rFonts w:hint="eastAsia" w:hAnsi="宋体" w:cs="黑体"/>
          <w:color w:val="auto"/>
          <w:sz w:val="30"/>
          <w:szCs w:val="30"/>
          <w:highlight w:val="none"/>
        </w:rPr>
        <w:t>第三部分</w:t>
      </w:r>
      <w:r>
        <w:rPr>
          <w:color w:val="auto"/>
          <w:sz w:val="30"/>
          <w:szCs w:val="30"/>
          <w:highlight w:val="none"/>
        </w:rPr>
        <w:t xml:space="preserve"> </w:t>
      </w:r>
      <w:r>
        <w:rPr>
          <w:rFonts w:hint="eastAsia" w:hAnsi="宋体" w:cs="黑体"/>
          <w:color w:val="auto"/>
          <w:sz w:val="30"/>
          <w:szCs w:val="30"/>
          <w:highlight w:val="none"/>
        </w:rPr>
        <w:t>专用合同条款</w:t>
      </w:r>
      <w:bookmarkEnd w:id="243"/>
      <w:bookmarkEnd w:id="244"/>
      <w:bookmarkEnd w:id="245"/>
      <w:bookmarkEnd w:id="246"/>
      <w:bookmarkEnd w:id="247"/>
      <w:bookmarkEnd w:id="248"/>
    </w:p>
    <w:p>
      <w:pPr>
        <w:spacing w:line="360" w:lineRule="auto"/>
        <w:jc w:val="center"/>
        <w:rPr>
          <w:rFonts w:hAnsi="宋体"/>
          <w:b/>
          <w:bCs/>
          <w:color w:val="auto"/>
          <w:kern w:val="0"/>
          <w:highlight w:val="none"/>
        </w:rPr>
      </w:pPr>
      <w:r>
        <w:rPr>
          <w:rFonts w:hint="eastAsia" w:hAnsi="宋体" w:cs="宋体"/>
          <w:b/>
          <w:bCs/>
          <w:color w:val="auto"/>
          <w:kern w:val="0"/>
          <w:highlight w:val="none"/>
        </w:rPr>
        <w:t>（注：专用合同条款每一条均应填写完整！）</w:t>
      </w:r>
    </w:p>
    <w:p>
      <w:pPr>
        <w:rPr>
          <w:b/>
          <w:bCs/>
          <w:color w:val="auto"/>
          <w:sz w:val="24"/>
          <w:szCs w:val="32"/>
          <w:highlight w:val="none"/>
        </w:rPr>
      </w:pPr>
      <w:bookmarkStart w:id="249" w:name="_Toc373478339"/>
      <w:bookmarkStart w:id="250" w:name="_Toc373227692"/>
      <w:bookmarkStart w:id="251" w:name="_Toc389065258"/>
      <w:bookmarkStart w:id="252" w:name="_Toc351203633"/>
      <w:bookmarkStart w:id="253" w:name="_Toc407135194"/>
      <w:bookmarkStart w:id="254" w:name="_Toc9850522"/>
      <w:r>
        <w:rPr>
          <w:b/>
          <w:bCs/>
          <w:color w:val="auto"/>
          <w:sz w:val="24"/>
          <w:szCs w:val="32"/>
          <w:highlight w:val="none"/>
        </w:rPr>
        <w:t>1. 一般约定</w:t>
      </w:r>
    </w:p>
    <w:p>
      <w:pPr>
        <w:pStyle w:val="7"/>
        <w:rPr>
          <w:color w:val="auto"/>
          <w:highlight w:val="none"/>
        </w:rPr>
      </w:pPr>
      <w:bookmarkStart w:id="255" w:name="_Toc491946595"/>
      <w:bookmarkStart w:id="256" w:name="_Toc11092"/>
      <w:r>
        <w:rPr>
          <w:color w:val="auto"/>
          <w:highlight w:val="none"/>
        </w:rPr>
        <w:t xml:space="preserve">1.1 </w:t>
      </w:r>
      <w:r>
        <w:rPr>
          <w:rFonts w:hAnsi="宋体"/>
          <w:color w:val="auto"/>
          <w:highlight w:val="none"/>
        </w:rPr>
        <w:t>词语定义</w:t>
      </w:r>
      <w:bookmarkEnd w:id="255"/>
      <w:bookmarkEnd w:id="256"/>
    </w:p>
    <w:p>
      <w:pPr>
        <w:spacing w:line="360" w:lineRule="auto"/>
        <w:ind w:firstLine="420" w:firstLineChars="200"/>
        <w:rPr>
          <w:color w:val="auto"/>
          <w:kern w:val="0"/>
          <w:szCs w:val="21"/>
          <w:highlight w:val="none"/>
        </w:rPr>
      </w:pPr>
      <w:r>
        <w:rPr>
          <w:color w:val="auto"/>
          <w:kern w:val="0"/>
          <w:szCs w:val="21"/>
          <w:highlight w:val="none"/>
        </w:rPr>
        <w:t>1.1.1</w:t>
      </w:r>
      <w:r>
        <w:rPr>
          <w:rFonts w:hint="eastAsia"/>
          <w:color w:val="auto"/>
          <w:kern w:val="0"/>
          <w:szCs w:val="21"/>
          <w:highlight w:val="none"/>
        </w:rPr>
        <w:t xml:space="preserve"> </w:t>
      </w:r>
      <w:r>
        <w:rPr>
          <w:rFonts w:hAnsi="宋体"/>
          <w:color w:val="auto"/>
          <w:kern w:val="0"/>
          <w:szCs w:val="21"/>
          <w:highlight w:val="none"/>
        </w:rPr>
        <w:t>合同</w:t>
      </w:r>
    </w:p>
    <w:p>
      <w:pPr>
        <w:spacing w:line="360" w:lineRule="auto"/>
        <w:ind w:right="40" w:firstLine="420" w:firstLineChars="200"/>
        <w:rPr>
          <w:color w:val="auto"/>
          <w:szCs w:val="21"/>
          <w:highlight w:val="none"/>
          <w:u w:val="single"/>
        </w:rPr>
      </w:pPr>
      <w:r>
        <w:rPr>
          <w:color w:val="auto"/>
          <w:kern w:val="0"/>
          <w:szCs w:val="21"/>
          <w:highlight w:val="none"/>
        </w:rPr>
        <w:t>1.1.1.10</w:t>
      </w:r>
      <w:r>
        <w:rPr>
          <w:rFonts w:hint="eastAsia"/>
          <w:color w:val="auto"/>
          <w:kern w:val="0"/>
          <w:szCs w:val="21"/>
          <w:highlight w:val="none"/>
        </w:rPr>
        <w:t xml:space="preserve"> </w:t>
      </w:r>
      <w:r>
        <w:rPr>
          <w:rFonts w:hAnsi="宋体"/>
          <w:color w:val="auto"/>
          <w:kern w:val="0"/>
          <w:szCs w:val="21"/>
          <w:highlight w:val="none"/>
        </w:rPr>
        <w:t>其他合同文件包括：</w:t>
      </w:r>
      <w:r>
        <w:rPr>
          <w:rFonts w:hint="eastAsia"/>
          <w:color w:val="auto"/>
          <w:szCs w:val="21"/>
          <w:highlight w:val="none"/>
          <w:u w:val="single"/>
        </w:rPr>
        <w:t>本合同协议书，中标通知书，招标文件及其附件，本合同专用条款，本合同通用条款，标准、规范及有关技术文件，图纸，工程报价单或预算书。</w:t>
      </w:r>
    </w:p>
    <w:p>
      <w:pPr>
        <w:spacing w:line="360" w:lineRule="auto"/>
        <w:ind w:firstLine="420" w:firstLineChars="200"/>
        <w:rPr>
          <w:color w:val="auto"/>
          <w:szCs w:val="21"/>
          <w:highlight w:val="none"/>
        </w:rPr>
      </w:pPr>
      <w:r>
        <w:rPr>
          <w:color w:val="auto"/>
          <w:szCs w:val="21"/>
          <w:highlight w:val="none"/>
        </w:rPr>
        <w:t xml:space="preserve">1.1.2 </w:t>
      </w:r>
      <w:r>
        <w:rPr>
          <w:rFonts w:hAnsi="宋体"/>
          <w:color w:val="auto"/>
          <w:szCs w:val="21"/>
          <w:highlight w:val="none"/>
        </w:rPr>
        <w:t>合同当事人及其他相关方</w:t>
      </w:r>
    </w:p>
    <w:p>
      <w:pPr>
        <w:spacing w:line="360" w:lineRule="auto"/>
        <w:ind w:firstLine="420" w:firstLineChars="200"/>
        <w:rPr>
          <w:rFonts w:hAnsi="宋体"/>
          <w:color w:val="auto"/>
          <w:szCs w:val="21"/>
          <w:highlight w:val="none"/>
        </w:rPr>
      </w:pPr>
      <w:r>
        <w:rPr>
          <w:rFonts w:hAnsi="宋体"/>
          <w:color w:val="auto"/>
          <w:szCs w:val="21"/>
          <w:highlight w:val="none"/>
        </w:rPr>
        <w:t>1.1.2.4</w:t>
      </w:r>
      <w:r>
        <w:rPr>
          <w:rFonts w:hint="eastAsia" w:hAnsi="宋体"/>
          <w:color w:val="auto"/>
          <w:szCs w:val="21"/>
          <w:highlight w:val="none"/>
        </w:rPr>
        <w:t xml:space="preserve"> </w:t>
      </w:r>
      <w:r>
        <w:rPr>
          <w:rFonts w:hAnsi="宋体"/>
          <w:color w:val="auto"/>
          <w:szCs w:val="21"/>
          <w:highlight w:val="none"/>
        </w:rPr>
        <w:t>监理人：</w:t>
      </w:r>
    </w:p>
    <w:p>
      <w:pPr>
        <w:spacing w:line="360" w:lineRule="auto"/>
        <w:ind w:firstLine="420" w:firstLineChars="200"/>
        <w:rPr>
          <w:color w:val="auto"/>
          <w:szCs w:val="21"/>
          <w:highlight w:val="none"/>
        </w:rPr>
      </w:pPr>
      <w:r>
        <w:rPr>
          <w:rFonts w:hAnsi="宋体"/>
          <w:color w:val="auto"/>
          <w:szCs w:val="21"/>
          <w:highlight w:val="none"/>
          <w:u w:val="none"/>
        </w:rPr>
        <w:t>名    称：</w:t>
      </w:r>
      <w:r>
        <w:rPr>
          <w:rFonts w:hint="eastAsia" w:hAnsi="宋体"/>
          <w:color w:val="auto"/>
          <w:szCs w:val="21"/>
          <w:highlight w:val="none"/>
          <w:u w:val="single"/>
          <w:lang w:val="en-US" w:eastAsia="zh-CN"/>
        </w:rPr>
        <w:t xml:space="preserve">                                   </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资质类别和等级：</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联系电话：</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电子信箱：</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通信地址：</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rFonts w:hAnsi="宋体"/>
          <w:color w:val="auto"/>
          <w:szCs w:val="21"/>
          <w:highlight w:val="none"/>
        </w:rPr>
      </w:pPr>
      <w:r>
        <w:rPr>
          <w:rFonts w:hAnsi="宋体"/>
          <w:color w:val="auto"/>
          <w:szCs w:val="21"/>
          <w:highlight w:val="none"/>
        </w:rPr>
        <w:t>1.1.2.5 设计人：</w:t>
      </w:r>
    </w:p>
    <w:p>
      <w:pPr>
        <w:spacing w:line="360" w:lineRule="auto"/>
        <w:ind w:firstLine="420" w:firstLineChars="200"/>
        <w:rPr>
          <w:color w:val="auto"/>
          <w:szCs w:val="21"/>
          <w:highlight w:val="none"/>
        </w:rPr>
      </w:pPr>
      <w:r>
        <w:rPr>
          <w:rFonts w:hAnsi="宋体"/>
          <w:color w:val="auto"/>
          <w:szCs w:val="21"/>
          <w:highlight w:val="none"/>
        </w:rPr>
        <w:t>名    称：</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p>
    <w:p>
      <w:pPr>
        <w:spacing w:line="360" w:lineRule="auto"/>
        <w:ind w:firstLine="420" w:firstLineChars="200"/>
        <w:rPr>
          <w:color w:val="auto"/>
          <w:szCs w:val="21"/>
          <w:highlight w:val="none"/>
        </w:rPr>
      </w:pPr>
      <w:r>
        <w:rPr>
          <w:rFonts w:hAnsi="宋体"/>
          <w:color w:val="auto"/>
          <w:szCs w:val="21"/>
          <w:highlight w:val="none"/>
        </w:rPr>
        <w:t>资质类别和等级：</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联系电话：</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电子信箱：</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通信地址：</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color w:val="auto"/>
          <w:szCs w:val="21"/>
          <w:highlight w:val="none"/>
        </w:rPr>
      </w:pPr>
      <w:r>
        <w:rPr>
          <w:color w:val="auto"/>
          <w:szCs w:val="21"/>
          <w:highlight w:val="none"/>
        </w:rPr>
        <w:t xml:space="preserve">1.1.3 </w:t>
      </w:r>
      <w:r>
        <w:rPr>
          <w:rFonts w:hAnsi="宋体"/>
          <w:color w:val="auto"/>
          <w:szCs w:val="21"/>
          <w:highlight w:val="none"/>
        </w:rPr>
        <w:t>工程和设备</w:t>
      </w:r>
    </w:p>
    <w:p>
      <w:pPr>
        <w:spacing w:line="360" w:lineRule="auto"/>
        <w:ind w:firstLine="420" w:firstLineChars="200"/>
        <w:rPr>
          <w:color w:val="auto"/>
          <w:szCs w:val="21"/>
          <w:highlight w:val="none"/>
        </w:rPr>
      </w:pPr>
      <w:r>
        <w:rPr>
          <w:color w:val="auto"/>
          <w:szCs w:val="21"/>
          <w:highlight w:val="none"/>
        </w:rPr>
        <w:t xml:space="preserve">1.1.3.7 </w:t>
      </w:r>
      <w:r>
        <w:rPr>
          <w:rFonts w:hAnsi="宋体"/>
          <w:color w:val="auto"/>
          <w:szCs w:val="21"/>
          <w:highlight w:val="none"/>
        </w:rPr>
        <w:t>作为施工现场组成部分的其他场所包括：</w:t>
      </w:r>
      <w:r>
        <w:rPr>
          <w:color w:val="auto"/>
          <w:szCs w:val="21"/>
          <w:highlight w:val="none"/>
          <w:u w:val="single"/>
        </w:rPr>
        <w:t xml:space="preserve">         </w:t>
      </w:r>
      <w:r>
        <w:rPr>
          <w:rFonts w:hint="eastAsia"/>
          <w:color w:val="auto"/>
          <w:szCs w:val="21"/>
          <w:highlight w:val="none"/>
          <w:u w:val="single"/>
        </w:rPr>
        <w:t>无</w:t>
      </w:r>
      <w:r>
        <w:rPr>
          <w:rFonts w:hint="eastAsia" w:hAnsi="宋体"/>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kern w:val="0"/>
          <w:szCs w:val="21"/>
          <w:highlight w:val="none"/>
        </w:rPr>
      </w:pPr>
      <w:r>
        <w:rPr>
          <w:color w:val="auto"/>
          <w:kern w:val="0"/>
          <w:szCs w:val="21"/>
          <w:highlight w:val="none"/>
        </w:rPr>
        <w:t xml:space="preserve">1.1.3.9 </w:t>
      </w:r>
      <w:r>
        <w:rPr>
          <w:rFonts w:hAnsi="宋体"/>
          <w:color w:val="auto"/>
          <w:kern w:val="0"/>
          <w:szCs w:val="21"/>
          <w:highlight w:val="none"/>
        </w:rPr>
        <w:t>永久占地包括：</w:t>
      </w:r>
      <w:r>
        <w:rPr>
          <w:color w:val="auto"/>
          <w:szCs w:val="21"/>
          <w:highlight w:val="none"/>
          <w:u w:val="single"/>
        </w:rPr>
        <w:t xml:space="preserve"> 项目规划建设红线范围内的用地为永久用地</w:t>
      </w:r>
      <w:r>
        <w:rPr>
          <w:rFonts w:hAnsi="宋体"/>
          <w:color w:val="auto"/>
          <w:kern w:val="0"/>
          <w:szCs w:val="21"/>
          <w:highlight w:val="none"/>
        </w:rPr>
        <w:t>。</w:t>
      </w:r>
    </w:p>
    <w:p>
      <w:pPr>
        <w:spacing w:line="360" w:lineRule="auto"/>
        <w:ind w:firstLine="420" w:firstLineChars="200"/>
        <w:jc w:val="left"/>
        <w:rPr>
          <w:color w:val="auto"/>
          <w:szCs w:val="21"/>
          <w:highlight w:val="none"/>
        </w:rPr>
      </w:pPr>
      <w:r>
        <w:rPr>
          <w:color w:val="auto"/>
          <w:kern w:val="0"/>
          <w:szCs w:val="21"/>
          <w:highlight w:val="none"/>
        </w:rPr>
        <w:t xml:space="preserve">1.1.3.10 </w:t>
      </w:r>
      <w:r>
        <w:rPr>
          <w:rFonts w:hAnsi="宋体"/>
          <w:color w:val="auto"/>
          <w:kern w:val="0"/>
          <w:szCs w:val="21"/>
          <w:highlight w:val="none"/>
        </w:rPr>
        <w:t>临时占地包括：</w:t>
      </w:r>
      <w:r>
        <w:rPr>
          <w:color w:val="auto"/>
          <w:szCs w:val="21"/>
          <w:highlight w:val="none"/>
          <w:u w:val="single"/>
        </w:rPr>
        <w:t xml:space="preserve">  除永久占地之外，与工程有关的临时用地</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u w:val="single"/>
        </w:rPr>
        <w:t></w:t>
      </w:r>
      <w:r>
        <w:rPr>
          <w:rFonts w:hAnsi="宋体"/>
          <w:color w:val="auto"/>
          <w:kern w:val="0"/>
          <w:szCs w:val="21"/>
          <w:highlight w:val="none"/>
        </w:rPr>
        <w:t>。</w:t>
      </w:r>
    </w:p>
    <w:p>
      <w:pPr>
        <w:pStyle w:val="7"/>
        <w:rPr>
          <w:color w:val="auto"/>
          <w:highlight w:val="none"/>
        </w:rPr>
      </w:pPr>
      <w:bookmarkStart w:id="257" w:name="_Toc491946596"/>
      <w:bookmarkStart w:id="258" w:name="_Toc19329"/>
      <w:r>
        <w:rPr>
          <w:color w:val="auto"/>
          <w:highlight w:val="none"/>
        </w:rPr>
        <w:t>1.3</w:t>
      </w:r>
      <w:r>
        <w:rPr>
          <w:rFonts w:hint="eastAsia"/>
          <w:color w:val="auto"/>
          <w:highlight w:val="none"/>
        </w:rPr>
        <w:t xml:space="preserve"> </w:t>
      </w:r>
      <w:r>
        <w:rPr>
          <w:rFonts w:hAnsi="宋体"/>
          <w:color w:val="auto"/>
          <w:highlight w:val="none"/>
        </w:rPr>
        <w:t>法律</w:t>
      </w:r>
      <w:bookmarkEnd w:id="257"/>
      <w:bookmarkEnd w:id="258"/>
    </w:p>
    <w:p>
      <w:pPr>
        <w:autoSpaceDE w:val="0"/>
        <w:autoSpaceDN w:val="0"/>
        <w:adjustRightInd w:val="0"/>
        <w:spacing w:line="360" w:lineRule="auto"/>
        <w:jc w:val="left"/>
        <w:rPr>
          <w:rFonts w:hint="eastAsia" w:hAnsi="宋体"/>
          <w:color w:val="auto"/>
          <w:szCs w:val="21"/>
          <w:highlight w:val="none"/>
          <w:u w:val="single"/>
        </w:rPr>
      </w:pPr>
      <w:r>
        <w:rPr>
          <w:rFonts w:hAnsi="宋体"/>
          <w:color w:val="auto"/>
          <w:szCs w:val="21"/>
          <w:highlight w:val="none"/>
        </w:rPr>
        <w:t>适用于合同的其他规范性文件：</w:t>
      </w:r>
      <w:r>
        <w:rPr>
          <w:rFonts w:hAnsi="宋体"/>
          <w:color w:val="auto"/>
          <w:szCs w:val="21"/>
          <w:highlight w:val="none"/>
          <w:u w:val="single"/>
        </w:rPr>
        <w:t></w:t>
      </w:r>
      <w:r>
        <w:rPr>
          <w:rFonts w:hint="eastAsia" w:hAnsi="宋体"/>
          <w:color w:val="auto"/>
          <w:szCs w:val="21"/>
          <w:highlight w:val="none"/>
          <w:u w:val="single"/>
        </w:rPr>
        <w:t>《</w:t>
      </w:r>
      <w:r>
        <w:rPr>
          <w:rFonts w:hint="eastAsia" w:hAnsi="宋体"/>
          <w:color w:val="auto"/>
          <w:szCs w:val="21"/>
          <w:highlight w:val="none"/>
          <w:u w:val="single"/>
          <w:lang w:eastAsia="zh-CN"/>
        </w:rPr>
        <w:t>中华人民共和国民法典</w:t>
      </w:r>
      <w:r>
        <w:rPr>
          <w:rFonts w:hint="eastAsia" w:hAnsi="宋体"/>
          <w:color w:val="auto"/>
          <w:szCs w:val="21"/>
          <w:highlight w:val="none"/>
          <w:u w:val="single"/>
        </w:rPr>
        <w:t>》、《建筑法》及国家、广西有关主管部门的现行法规。</w:t>
      </w:r>
      <w:bookmarkStart w:id="259" w:name="_Toc491946597"/>
    </w:p>
    <w:p>
      <w:pPr>
        <w:autoSpaceDE w:val="0"/>
        <w:autoSpaceDN w:val="0"/>
        <w:adjustRightInd w:val="0"/>
        <w:spacing w:line="360" w:lineRule="auto"/>
        <w:jc w:val="left"/>
        <w:rPr>
          <w:color w:val="auto"/>
          <w:highlight w:val="none"/>
        </w:rPr>
      </w:pPr>
      <w:r>
        <w:rPr>
          <w:color w:val="auto"/>
          <w:highlight w:val="none"/>
        </w:rPr>
        <w:t xml:space="preserve">1.4 </w:t>
      </w:r>
      <w:r>
        <w:rPr>
          <w:rFonts w:hAnsi="宋体"/>
          <w:color w:val="auto"/>
          <w:highlight w:val="none"/>
        </w:rPr>
        <w:t>标准和规范</w:t>
      </w:r>
      <w:bookmarkEnd w:id="259"/>
    </w:p>
    <w:p>
      <w:pPr>
        <w:spacing w:line="360" w:lineRule="auto"/>
        <w:rPr>
          <w:color w:val="auto"/>
          <w:szCs w:val="21"/>
          <w:highlight w:val="none"/>
        </w:rPr>
      </w:pPr>
      <w:r>
        <w:rPr>
          <w:color w:val="auto"/>
          <w:szCs w:val="21"/>
          <w:highlight w:val="none"/>
        </w:rPr>
        <w:t>1.4.1</w:t>
      </w:r>
      <w:r>
        <w:rPr>
          <w:rFonts w:hint="eastAsia"/>
          <w:color w:val="auto"/>
          <w:szCs w:val="21"/>
          <w:highlight w:val="none"/>
        </w:rPr>
        <w:t xml:space="preserve"> </w:t>
      </w:r>
      <w:r>
        <w:rPr>
          <w:rFonts w:hAnsi="宋体"/>
          <w:color w:val="auto"/>
          <w:szCs w:val="21"/>
          <w:highlight w:val="none"/>
        </w:rPr>
        <w:t>适用于工程的标准规范包括：</w:t>
      </w:r>
      <w:r>
        <w:rPr>
          <w:rFonts w:hAnsi="宋体"/>
          <w:color w:val="auto"/>
          <w:szCs w:val="21"/>
          <w:highlight w:val="none"/>
          <w:u w:val="single"/>
        </w:rPr>
        <w:t></w:t>
      </w:r>
      <w:r>
        <w:rPr>
          <w:rFonts w:hint="eastAsia" w:hAnsi="宋体"/>
          <w:color w:val="auto"/>
          <w:szCs w:val="21"/>
          <w:highlight w:val="none"/>
          <w:u w:val="single"/>
        </w:rPr>
        <w:t>建筑工程验收规范、质量检验评定标准等</w:t>
      </w:r>
      <w:r>
        <w:rPr>
          <w:rFonts w:hint="eastAsia"/>
          <w:color w:val="auto"/>
          <w:szCs w:val="21"/>
          <w:highlight w:val="none"/>
          <w:u w:val="single"/>
        </w:rPr>
        <w:t xml:space="preserve"> </w:t>
      </w:r>
      <w:r>
        <w:rPr>
          <w:rFonts w:hAnsi="宋体"/>
          <w:color w:val="auto"/>
          <w:szCs w:val="21"/>
          <w:highlight w:val="none"/>
        </w:rPr>
        <w:t>。</w:t>
      </w:r>
    </w:p>
    <w:p>
      <w:pPr>
        <w:spacing w:line="360" w:lineRule="auto"/>
        <w:rPr>
          <w:color w:val="auto"/>
          <w:kern w:val="0"/>
          <w:szCs w:val="21"/>
          <w:highlight w:val="none"/>
        </w:rPr>
      </w:pPr>
      <w:r>
        <w:rPr>
          <w:color w:val="auto"/>
          <w:kern w:val="0"/>
          <w:szCs w:val="21"/>
          <w:highlight w:val="none"/>
        </w:rPr>
        <w:t xml:space="preserve">1.4.2 </w:t>
      </w:r>
      <w:r>
        <w:rPr>
          <w:rFonts w:hAnsi="宋体"/>
          <w:color w:val="auto"/>
          <w:kern w:val="0"/>
          <w:szCs w:val="21"/>
          <w:highlight w:val="none"/>
        </w:rPr>
        <w:t>发包人提供国外标准、规范的名称：</w:t>
      </w:r>
      <w:r>
        <w:rPr>
          <w:color w:val="auto"/>
          <w:szCs w:val="21"/>
          <w:highlight w:val="none"/>
          <w:u w:val="single"/>
        </w:rPr>
        <w:t xml:space="preserve"> </w:t>
      </w:r>
      <w:r>
        <w:rPr>
          <w:rFonts w:hint="eastAsia"/>
          <w:color w:val="auto"/>
          <w:szCs w:val="21"/>
          <w:highlight w:val="none"/>
          <w:u w:val="single"/>
        </w:rPr>
        <w:t xml:space="preserve"> 无     </w:t>
      </w:r>
      <w:r>
        <w:rPr>
          <w:rFonts w:hint="eastAsia" w:hAnsi="宋体"/>
          <w:color w:val="auto"/>
          <w:szCs w:val="21"/>
          <w:highlight w:val="none"/>
        </w:rPr>
        <w:t>；</w:t>
      </w:r>
    </w:p>
    <w:p>
      <w:pPr>
        <w:spacing w:line="360" w:lineRule="auto"/>
        <w:ind w:firstLine="420" w:firstLineChars="200"/>
        <w:rPr>
          <w:color w:val="auto"/>
          <w:kern w:val="0"/>
          <w:szCs w:val="21"/>
          <w:highlight w:val="none"/>
        </w:rPr>
      </w:pPr>
      <w:r>
        <w:rPr>
          <w:rFonts w:hAnsi="宋体"/>
          <w:color w:val="auto"/>
          <w:kern w:val="0"/>
          <w:szCs w:val="21"/>
          <w:highlight w:val="none"/>
        </w:rPr>
        <w:t>发包人提供国外标准、规范的份数：</w:t>
      </w:r>
      <w:r>
        <w:rPr>
          <w:color w:val="auto"/>
          <w:kern w:val="0"/>
          <w:szCs w:val="21"/>
          <w:highlight w:val="none"/>
          <w:u w:val="single"/>
        </w:rPr>
        <w:t xml:space="preserve">    </w:t>
      </w:r>
      <w:r>
        <w:rPr>
          <w:rFonts w:hint="eastAsia"/>
          <w:color w:val="auto"/>
          <w:kern w:val="0"/>
          <w:szCs w:val="21"/>
          <w:highlight w:val="none"/>
          <w:u w:val="single"/>
        </w:rPr>
        <w:t>无</w:t>
      </w:r>
      <w:r>
        <w:rPr>
          <w:color w:val="auto"/>
          <w:kern w:val="0"/>
          <w:szCs w:val="21"/>
          <w:highlight w:val="none"/>
          <w:u w:val="single"/>
        </w:rPr>
        <w:t xml:space="preserve">                  </w:t>
      </w:r>
      <w:r>
        <w:rPr>
          <w:rFonts w:hAnsi="宋体"/>
          <w:color w:val="auto"/>
          <w:kern w:val="0"/>
          <w:szCs w:val="21"/>
          <w:highlight w:val="none"/>
        </w:rPr>
        <w:t>；</w:t>
      </w:r>
    </w:p>
    <w:p>
      <w:pPr>
        <w:spacing w:line="360" w:lineRule="auto"/>
        <w:ind w:firstLine="420" w:firstLineChars="200"/>
        <w:rPr>
          <w:color w:val="auto"/>
          <w:szCs w:val="21"/>
          <w:highlight w:val="none"/>
        </w:rPr>
      </w:pPr>
      <w:r>
        <w:rPr>
          <w:rFonts w:hAnsi="宋体"/>
          <w:color w:val="auto"/>
          <w:kern w:val="0"/>
          <w:szCs w:val="21"/>
          <w:highlight w:val="none"/>
        </w:rPr>
        <w:t>发包人提供国外标准、规范的名称：</w:t>
      </w:r>
      <w:r>
        <w:rPr>
          <w:color w:val="auto"/>
          <w:kern w:val="0"/>
          <w:szCs w:val="21"/>
          <w:highlight w:val="none"/>
          <w:u w:val="single"/>
        </w:rPr>
        <w:t xml:space="preserve">       </w:t>
      </w:r>
      <w:r>
        <w:rPr>
          <w:rFonts w:hint="eastAsia"/>
          <w:color w:val="auto"/>
          <w:kern w:val="0"/>
          <w:szCs w:val="21"/>
          <w:highlight w:val="none"/>
          <w:u w:val="single"/>
        </w:rPr>
        <w:t>无</w:t>
      </w:r>
      <w:r>
        <w:rPr>
          <w:color w:val="auto"/>
          <w:kern w:val="0"/>
          <w:szCs w:val="21"/>
          <w:highlight w:val="none"/>
          <w:u w:val="single"/>
        </w:rPr>
        <w:t xml:space="preserve">               </w:t>
      </w:r>
      <w:r>
        <w:rPr>
          <w:rFonts w:hAnsi="宋体"/>
          <w:color w:val="auto"/>
          <w:kern w:val="0"/>
          <w:szCs w:val="21"/>
          <w:highlight w:val="none"/>
        </w:rPr>
        <w:t>。</w:t>
      </w:r>
    </w:p>
    <w:p>
      <w:pPr>
        <w:spacing w:line="360" w:lineRule="auto"/>
        <w:ind w:firstLine="420" w:firstLineChars="200"/>
        <w:rPr>
          <w:rFonts w:hint="eastAsia" w:hAnsi="宋体"/>
          <w:color w:val="auto"/>
          <w:szCs w:val="21"/>
          <w:highlight w:val="none"/>
          <w:u w:val="single"/>
        </w:rPr>
      </w:pPr>
      <w:r>
        <w:rPr>
          <w:color w:val="auto"/>
          <w:szCs w:val="21"/>
          <w:highlight w:val="none"/>
        </w:rPr>
        <w:t>1.4.3</w:t>
      </w:r>
      <w:r>
        <w:rPr>
          <w:rFonts w:hint="eastAsia"/>
          <w:color w:val="auto"/>
          <w:szCs w:val="21"/>
          <w:highlight w:val="none"/>
        </w:rPr>
        <w:t xml:space="preserve"> </w:t>
      </w:r>
      <w:r>
        <w:rPr>
          <w:rFonts w:hAnsi="宋体"/>
          <w:color w:val="auto"/>
          <w:szCs w:val="21"/>
          <w:highlight w:val="none"/>
        </w:rPr>
        <w:t>发包人对工程的技术标准和功能要求的特殊要求：</w:t>
      </w:r>
      <w:r>
        <w:rPr>
          <w:rFonts w:hint="eastAsia" w:hAnsi="宋体"/>
          <w:color w:val="auto"/>
          <w:szCs w:val="21"/>
          <w:highlight w:val="none"/>
          <w:u w:val="single"/>
        </w:rPr>
        <w:t xml:space="preserve">   无   。</w:t>
      </w:r>
      <w:bookmarkStart w:id="260" w:name="_Toc491946598"/>
    </w:p>
    <w:p>
      <w:pPr>
        <w:spacing w:line="360" w:lineRule="auto"/>
        <w:rPr>
          <w:b/>
          <w:bCs/>
          <w:color w:val="auto"/>
          <w:highlight w:val="none"/>
        </w:rPr>
      </w:pPr>
      <w:r>
        <w:rPr>
          <w:b/>
          <w:bCs/>
          <w:color w:val="auto"/>
          <w:highlight w:val="none"/>
        </w:rPr>
        <w:t>1.5 合同文件的优先顺序</w:t>
      </w:r>
      <w:bookmarkEnd w:id="260"/>
    </w:p>
    <w:p>
      <w:pPr>
        <w:spacing w:line="360" w:lineRule="auto"/>
        <w:ind w:firstLine="420" w:firstLineChars="200"/>
        <w:rPr>
          <w:rFonts w:hAnsi="宋体"/>
          <w:color w:val="auto"/>
          <w:szCs w:val="21"/>
          <w:highlight w:val="none"/>
        </w:rPr>
      </w:pPr>
      <w:r>
        <w:rPr>
          <w:rFonts w:hAnsi="宋体"/>
          <w:color w:val="auto"/>
          <w:szCs w:val="21"/>
          <w:highlight w:val="none"/>
        </w:rPr>
        <w:t>合同文件组成及优先顺序为：</w:t>
      </w:r>
    </w:p>
    <w:p>
      <w:pPr>
        <w:spacing w:line="360" w:lineRule="auto"/>
        <w:ind w:firstLine="420" w:firstLineChars="200"/>
        <w:rPr>
          <w:rFonts w:hAnsi="宋体"/>
          <w:color w:val="auto"/>
          <w:kern w:val="0"/>
          <w:szCs w:val="21"/>
          <w:highlight w:val="none"/>
        </w:rPr>
      </w:pPr>
      <w:r>
        <w:rPr>
          <w:rFonts w:hint="eastAsia" w:hAnsi="宋体"/>
          <w:color w:val="auto"/>
          <w:kern w:val="0"/>
          <w:szCs w:val="21"/>
          <w:highlight w:val="none"/>
        </w:rPr>
        <w:t>（1）合同协议书；</w:t>
      </w:r>
    </w:p>
    <w:p>
      <w:pPr>
        <w:spacing w:line="360" w:lineRule="auto"/>
        <w:ind w:firstLine="420" w:firstLineChars="200"/>
        <w:rPr>
          <w:rFonts w:hAnsi="宋体"/>
          <w:color w:val="auto"/>
          <w:kern w:val="0"/>
          <w:szCs w:val="21"/>
          <w:highlight w:val="none"/>
        </w:rPr>
      </w:pPr>
      <w:r>
        <w:rPr>
          <w:rFonts w:hAnsi="宋体"/>
          <w:color w:val="auto"/>
          <w:kern w:val="0"/>
          <w:szCs w:val="21"/>
          <w:highlight w:val="none"/>
        </w:rPr>
        <w:t>（</w:t>
      </w:r>
      <w:r>
        <w:rPr>
          <w:rFonts w:hint="eastAsia" w:hAnsi="宋体"/>
          <w:color w:val="auto"/>
          <w:kern w:val="0"/>
          <w:szCs w:val="21"/>
          <w:highlight w:val="none"/>
        </w:rPr>
        <w:t>2</w:t>
      </w:r>
      <w:r>
        <w:rPr>
          <w:rFonts w:hAnsi="宋体"/>
          <w:color w:val="auto"/>
          <w:kern w:val="0"/>
          <w:szCs w:val="21"/>
          <w:highlight w:val="none"/>
        </w:rPr>
        <w:t>）中标通知书（如果有）；</w:t>
      </w:r>
    </w:p>
    <w:p>
      <w:pPr>
        <w:spacing w:line="360" w:lineRule="auto"/>
        <w:ind w:firstLine="420" w:firstLineChars="200"/>
        <w:rPr>
          <w:rFonts w:hAnsi="宋体"/>
          <w:color w:val="auto"/>
          <w:kern w:val="0"/>
          <w:szCs w:val="21"/>
          <w:highlight w:val="none"/>
        </w:rPr>
      </w:pPr>
      <w:r>
        <w:rPr>
          <w:rFonts w:hAnsi="宋体"/>
          <w:color w:val="auto"/>
          <w:kern w:val="0"/>
          <w:szCs w:val="21"/>
          <w:highlight w:val="none"/>
        </w:rPr>
        <w:t>（</w:t>
      </w:r>
      <w:r>
        <w:rPr>
          <w:rFonts w:hint="eastAsia" w:hAnsi="宋体"/>
          <w:color w:val="auto"/>
          <w:kern w:val="0"/>
          <w:szCs w:val="21"/>
          <w:highlight w:val="none"/>
        </w:rPr>
        <w:t>3</w:t>
      </w:r>
      <w:r>
        <w:rPr>
          <w:rFonts w:hAnsi="宋体"/>
          <w:color w:val="auto"/>
          <w:kern w:val="0"/>
          <w:szCs w:val="21"/>
          <w:highlight w:val="none"/>
        </w:rPr>
        <w:t>）投标函及其附录（如果有）；</w:t>
      </w:r>
    </w:p>
    <w:p>
      <w:pPr>
        <w:spacing w:line="360" w:lineRule="auto"/>
        <w:ind w:firstLine="420" w:firstLineChars="200"/>
        <w:rPr>
          <w:rFonts w:hAnsi="宋体"/>
          <w:color w:val="auto"/>
          <w:kern w:val="0"/>
          <w:szCs w:val="21"/>
          <w:highlight w:val="none"/>
        </w:rPr>
      </w:pPr>
      <w:r>
        <w:rPr>
          <w:rFonts w:hAnsi="宋体"/>
          <w:color w:val="auto"/>
          <w:kern w:val="0"/>
          <w:szCs w:val="21"/>
          <w:highlight w:val="none"/>
        </w:rPr>
        <w:t>（</w:t>
      </w:r>
      <w:r>
        <w:rPr>
          <w:rFonts w:hint="eastAsia" w:hAnsi="宋体"/>
          <w:color w:val="auto"/>
          <w:kern w:val="0"/>
          <w:szCs w:val="21"/>
          <w:highlight w:val="none"/>
        </w:rPr>
        <w:t>4</w:t>
      </w:r>
      <w:r>
        <w:rPr>
          <w:rFonts w:hAnsi="宋体"/>
          <w:color w:val="auto"/>
          <w:kern w:val="0"/>
          <w:szCs w:val="21"/>
          <w:highlight w:val="none"/>
        </w:rPr>
        <w:t>）专用合同条款及其附件；</w:t>
      </w:r>
    </w:p>
    <w:p>
      <w:pPr>
        <w:spacing w:line="360" w:lineRule="auto"/>
        <w:ind w:firstLine="420" w:firstLineChars="200"/>
        <w:rPr>
          <w:rFonts w:hAnsi="宋体"/>
          <w:color w:val="auto"/>
          <w:kern w:val="0"/>
          <w:szCs w:val="21"/>
          <w:highlight w:val="none"/>
        </w:rPr>
      </w:pPr>
      <w:r>
        <w:rPr>
          <w:rFonts w:hAnsi="宋体"/>
          <w:color w:val="auto"/>
          <w:kern w:val="0"/>
          <w:szCs w:val="21"/>
          <w:highlight w:val="none"/>
        </w:rPr>
        <w:t>（</w:t>
      </w:r>
      <w:r>
        <w:rPr>
          <w:rFonts w:hint="eastAsia" w:hAnsi="宋体"/>
          <w:color w:val="auto"/>
          <w:kern w:val="0"/>
          <w:szCs w:val="21"/>
          <w:highlight w:val="none"/>
        </w:rPr>
        <w:t>5</w:t>
      </w:r>
      <w:r>
        <w:rPr>
          <w:rFonts w:hAnsi="宋体"/>
          <w:color w:val="auto"/>
          <w:kern w:val="0"/>
          <w:szCs w:val="21"/>
          <w:highlight w:val="none"/>
        </w:rPr>
        <w:t>）通用合同条款；</w:t>
      </w:r>
    </w:p>
    <w:p>
      <w:pPr>
        <w:spacing w:line="360" w:lineRule="auto"/>
        <w:ind w:firstLine="420" w:firstLineChars="200"/>
        <w:rPr>
          <w:rFonts w:hAnsi="宋体"/>
          <w:color w:val="auto"/>
          <w:kern w:val="0"/>
          <w:szCs w:val="21"/>
          <w:highlight w:val="none"/>
        </w:rPr>
      </w:pPr>
      <w:r>
        <w:rPr>
          <w:rFonts w:hAnsi="宋体"/>
          <w:color w:val="auto"/>
          <w:kern w:val="0"/>
          <w:szCs w:val="21"/>
          <w:highlight w:val="none"/>
        </w:rPr>
        <w:t>（</w:t>
      </w:r>
      <w:r>
        <w:rPr>
          <w:rFonts w:hint="eastAsia" w:hAnsi="宋体"/>
          <w:color w:val="auto"/>
          <w:kern w:val="0"/>
          <w:szCs w:val="21"/>
          <w:highlight w:val="none"/>
        </w:rPr>
        <w:t>6</w:t>
      </w:r>
      <w:r>
        <w:rPr>
          <w:rFonts w:hAnsi="宋体"/>
          <w:color w:val="auto"/>
          <w:kern w:val="0"/>
          <w:szCs w:val="21"/>
          <w:highlight w:val="none"/>
        </w:rPr>
        <w:t>）</w:t>
      </w:r>
      <w:r>
        <w:rPr>
          <w:rFonts w:hint="eastAsia" w:hAnsi="宋体"/>
          <w:color w:val="auto"/>
          <w:kern w:val="0"/>
          <w:szCs w:val="21"/>
          <w:highlight w:val="none"/>
          <w:u w:val="single"/>
        </w:rPr>
        <w:t xml:space="preserve"> 标准、规范及有关技术文件  </w:t>
      </w:r>
      <w:r>
        <w:rPr>
          <w:rFonts w:hAnsi="宋体"/>
          <w:color w:val="auto"/>
          <w:kern w:val="0"/>
          <w:szCs w:val="21"/>
          <w:highlight w:val="none"/>
        </w:rPr>
        <w:t>；</w:t>
      </w:r>
    </w:p>
    <w:p>
      <w:pPr>
        <w:spacing w:line="360" w:lineRule="auto"/>
        <w:ind w:firstLine="420" w:firstLineChars="200"/>
        <w:rPr>
          <w:rFonts w:hAnsi="宋体"/>
          <w:color w:val="auto"/>
          <w:kern w:val="0"/>
          <w:szCs w:val="21"/>
          <w:highlight w:val="none"/>
        </w:rPr>
      </w:pPr>
      <w:r>
        <w:rPr>
          <w:rFonts w:hAnsi="宋体"/>
          <w:color w:val="auto"/>
          <w:kern w:val="0"/>
          <w:szCs w:val="21"/>
          <w:highlight w:val="none"/>
        </w:rPr>
        <w:t>（</w:t>
      </w:r>
      <w:r>
        <w:rPr>
          <w:rFonts w:hint="eastAsia" w:hAnsi="宋体"/>
          <w:color w:val="auto"/>
          <w:kern w:val="0"/>
          <w:szCs w:val="21"/>
          <w:highlight w:val="none"/>
        </w:rPr>
        <w:t>7</w:t>
      </w:r>
      <w:r>
        <w:rPr>
          <w:rFonts w:hAnsi="宋体"/>
          <w:color w:val="auto"/>
          <w:kern w:val="0"/>
          <w:szCs w:val="21"/>
          <w:highlight w:val="none"/>
        </w:rPr>
        <w:t>）</w:t>
      </w:r>
      <w:r>
        <w:rPr>
          <w:rFonts w:hint="eastAsia" w:hAnsi="宋体"/>
          <w:color w:val="auto"/>
          <w:kern w:val="0"/>
          <w:szCs w:val="21"/>
          <w:highlight w:val="none"/>
          <w:u w:val="single"/>
        </w:rPr>
        <w:t xml:space="preserve"> 图纸，工程报价单或预算书  </w:t>
      </w:r>
      <w:r>
        <w:rPr>
          <w:rFonts w:hAnsi="宋体"/>
          <w:color w:val="auto"/>
          <w:kern w:val="0"/>
          <w:szCs w:val="21"/>
          <w:highlight w:val="none"/>
        </w:rPr>
        <w:t>；</w:t>
      </w:r>
    </w:p>
    <w:p>
      <w:pPr>
        <w:spacing w:line="360" w:lineRule="auto"/>
        <w:ind w:firstLine="420" w:firstLineChars="200"/>
        <w:rPr>
          <w:rFonts w:hAnsi="宋体"/>
          <w:color w:val="auto"/>
          <w:kern w:val="0"/>
          <w:szCs w:val="21"/>
          <w:highlight w:val="none"/>
        </w:rPr>
      </w:pPr>
      <w:r>
        <w:rPr>
          <w:rFonts w:hAnsi="宋体"/>
          <w:color w:val="auto"/>
          <w:kern w:val="0"/>
          <w:szCs w:val="21"/>
          <w:highlight w:val="none"/>
        </w:rPr>
        <w:t>（</w:t>
      </w:r>
      <w:r>
        <w:rPr>
          <w:rFonts w:hint="eastAsia" w:hAnsi="宋体"/>
          <w:color w:val="auto"/>
          <w:kern w:val="0"/>
          <w:szCs w:val="21"/>
          <w:highlight w:val="none"/>
        </w:rPr>
        <w:t>8</w:t>
      </w:r>
      <w:r>
        <w:rPr>
          <w:rFonts w:hAnsi="宋体"/>
          <w:color w:val="auto"/>
          <w:kern w:val="0"/>
          <w:szCs w:val="21"/>
          <w:highlight w:val="none"/>
        </w:rPr>
        <w:t>）</w:t>
      </w:r>
      <w:r>
        <w:rPr>
          <w:rFonts w:hint="eastAsia" w:hAnsi="宋体"/>
          <w:color w:val="auto"/>
          <w:kern w:val="0"/>
          <w:szCs w:val="21"/>
          <w:highlight w:val="none"/>
          <w:u w:val="single"/>
        </w:rPr>
        <w:t xml:space="preserve">  其他合同文件           </w:t>
      </w:r>
      <w:r>
        <w:rPr>
          <w:rFonts w:hAnsi="宋体"/>
          <w:color w:val="auto"/>
          <w:kern w:val="0"/>
          <w:szCs w:val="21"/>
          <w:highlight w:val="none"/>
        </w:rPr>
        <w:t>；</w:t>
      </w:r>
    </w:p>
    <w:p>
      <w:pPr>
        <w:spacing w:line="360" w:lineRule="auto"/>
        <w:ind w:firstLine="420" w:firstLineChars="200"/>
        <w:rPr>
          <w:rFonts w:hAnsi="宋体"/>
          <w:color w:val="auto"/>
          <w:kern w:val="0"/>
          <w:szCs w:val="21"/>
          <w:highlight w:val="none"/>
        </w:rPr>
      </w:pPr>
      <w:r>
        <w:rPr>
          <w:rFonts w:hAnsi="宋体"/>
          <w:color w:val="auto"/>
          <w:kern w:val="0"/>
          <w:szCs w:val="21"/>
          <w:highlight w:val="none"/>
        </w:rPr>
        <w:t>（</w:t>
      </w:r>
      <w:r>
        <w:rPr>
          <w:rFonts w:hint="eastAsia" w:hAnsi="宋体"/>
          <w:color w:val="auto"/>
          <w:kern w:val="0"/>
          <w:szCs w:val="21"/>
          <w:highlight w:val="none"/>
        </w:rPr>
        <w:t>9</w:t>
      </w:r>
      <w:r>
        <w:rPr>
          <w:rFonts w:hAnsi="宋体"/>
          <w:color w:val="auto"/>
          <w:kern w:val="0"/>
          <w:szCs w:val="21"/>
          <w:highlight w:val="none"/>
        </w:rPr>
        <w:t>）</w:t>
      </w:r>
      <w:r>
        <w:rPr>
          <w:rFonts w:hint="eastAsia" w:hAnsi="宋体"/>
          <w:color w:val="auto"/>
          <w:kern w:val="0"/>
          <w:szCs w:val="21"/>
          <w:highlight w:val="none"/>
          <w:u w:val="single"/>
        </w:rPr>
        <w:t xml:space="preserve"> 上述文件内容如有不一致的，以顺序在先者为准。除非另有约定，在本合同的履行过程中，发包人和承包人双方签署的有关工程洽商、变更的协议或其它书面文件亦构成合同文件的组成部分，其优先解释顺序应视其内容与其它合同文件的相互关系而定。合同文件中的各组成部分之间均视为可以互相解释。如承包人发现任何合同文件的组成部分之间有任何不一致或歧义时，应在合同签订前3天以书面方式向发包人指出不一致或歧义之处。发包人有权就此发出有关指令予以解释，该指示为最终决定，承包人应予遵守，并不得以遵照该指令为由向发包人索偿任何额外费用或要求延长工期   </w:t>
      </w:r>
      <w:r>
        <w:rPr>
          <w:rFonts w:hAnsi="宋体"/>
          <w:color w:val="auto"/>
          <w:kern w:val="0"/>
          <w:szCs w:val="21"/>
          <w:highlight w:val="none"/>
        </w:rPr>
        <w:t>。</w:t>
      </w:r>
    </w:p>
    <w:p>
      <w:pPr>
        <w:spacing w:line="360" w:lineRule="auto"/>
        <w:ind w:firstLine="420" w:firstLineChars="200"/>
        <w:rPr>
          <w:rFonts w:hAnsi="宋体"/>
          <w:color w:val="auto"/>
          <w:kern w:val="0"/>
          <w:szCs w:val="21"/>
          <w:highlight w:val="none"/>
        </w:rPr>
      </w:pPr>
      <w:r>
        <w:rPr>
          <w:rFonts w:hint="eastAsia" w:hAnsi="宋体"/>
          <w:color w:val="auto"/>
          <w:kern w:val="0"/>
          <w:szCs w:val="21"/>
          <w:highlight w:val="none"/>
        </w:rPr>
        <w:t>（10）《</w:t>
      </w:r>
      <w:r>
        <w:rPr>
          <w:rFonts w:hAnsi="宋体"/>
          <w:color w:val="auto"/>
          <w:kern w:val="0"/>
          <w:szCs w:val="21"/>
          <w:highlight w:val="none"/>
        </w:rPr>
        <w:t>建设工程工程量清单计价规范（GB5050-2013）</w:t>
      </w:r>
      <w:r>
        <w:rPr>
          <w:rFonts w:hint="eastAsia" w:hAnsi="宋体"/>
          <w:color w:val="auto"/>
          <w:kern w:val="0"/>
          <w:szCs w:val="21"/>
          <w:highlight w:val="none"/>
        </w:rPr>
        <w:t>》及其</w:t>
      </w:r>
      <w:r>
        <w:rPr>
          <w:rFonts w:hAnsi="宋体"/>
          <w:color w:val="auto"/>
          <w:kern w:val="0"/>
          <w:szCs w:val="21"/>
          <w:highlight w:val="none"/>
        </w:rPr>
        <w:t>广西实施细则</w:t>
      </w:r>
      <w:r>
        <w:rPr>
          <w:rFonts w:hint="eastAsia" w:hAnsi="宋体"/>
          <w:color w:val="auto"/>
          <w:kern w:val="0"/>
          <w:szCs w:val="21"/>
          <w:highlight w:val="none"/>
        </w:rPr>
        <w:t>及《关于建筑业实施营业税改征增值税后广西壮族自治区建设工程计价依据调整的通知》（桂建标〔2016〕17号）、《</w:t>
      </w:r>
      <w:r>
        <w:rPr>
          <w:rFonts w:hAnsi="宋体"/>
          <w:color w:val="auto"/>
          <w:kern w:val="0"/>
          <w:szCs w:val="21"/>
          <w:highlight w:val="none"/>
        </w:rPr>
        <w:t>建设工程工程量清单计</w:t>
      </w:r>
      <w:r>
        <w:rPr>
          <w:rFonts w:hint="eastAsia" w:hAnsi="宋体"/>
          <w:color w:val="auto"/>
          <w:kern w:val="0"/>
          <w:szCs w:val="21"/>
          <w:highlight w:val="none"/>
        </w:rPr>
        <w:t>算</w:t>
      </w:r>
      <w:r>
        <w:rPr>
          <w:rFonts w:hAnsi="宋体"/>
          <w:color w:val="auto"/>
          <w:kern w:val="0"/>
          <w:szCs w:val="21"/>
          <w:highlight w:val="none"/>
        </w:rPr>
        <w:t>规范（GB5</w:t>
      </w:r>
      <w:r>
        <w:rPr>
          <w:rFonts w:hint="eastAsia" w:hAnsi="宋体"/>
          <w:color w:val="auto"/>
          <w:kern w:val="0"/>
          <w:szCs w:val="21"/>
          <w:highlight w:val="none"/>
        </w:rPr>
        <w:t>854~50862</w:t>
      </w:r>
      <w:r>
        <w:rPr>
          <w:rFonts w:hAnsi="宋体"/>
          <w:color w:val="auto"/>
          <w:kern w:val="0"/>
          <w:szCs w:val="21"/>
          <w:highlight w:val="none"/>
        </w:rPr>
        <w:t>-2013）</w:t>
      </w:r>
      <w:r>
        <w:rPr>
          <w:rFonts w:hint="eastAsia" w:hAnsi="宋体"/>
          <w:color w:val="auto"/>
          <w:kern w:val="0"/>
          <w:szCs w:val="21"/>
          <w:highlight w:val="none"/>
        </w:rPr>
        <w:t>》及其</w:t>
      </w:r>
      <w:r>
        <w:rPr>
          <w:rFonts w:hAnsi="宋体"/>
          <w:color w:val="auto"/>
          <w:kern w:val="0"/>
          <w:szCs w:val="21"/>
          <w:highlight w:val="none"/>
        </w:rPr>
        <w:t>广西实施细则</w:t>
      </w:r>
      <w:r>
        <w:rPr>
          <w:rFonts w:hint="eastAsia" w:hAnsi="宋体"/>
          <w:color w:val="auto"/>
          <w:kern w:val="0"/>
          <w:szCs w:val="21"/>
          <w:highlight w:val="none"/>
        </w:rPr>
        <w:t>（修订本）</w:t>
      </w:r>
      <w:r>
        <w:rPr>
          <w:rFonts w:hAnsi="宋体"/>
          <w:color w:val="auto"/>
          <w:kern w:val="0"/>
          <w:szCs w:val="21"/>
          <w:highlight w:val="none"/>
        </w:rPr>
        <w:t>。</w:t>
      </w:r>
    </w:p>
    <w:p>
      <w:pPr>
        <w:spacing w:line="360" w:lineRule="auto"/>
        <w:ind w:firstLine="420" w:firstLineChars="200"/>
        <w:rPr>
          <w:color w:val="auto"/>
          <w:szCs w:val="21"/>
          <w:highlight w:val="none"/>
        </w:rPr>
      </w:pPr>
      <w:r>
        <w:rPr>
          <w:rFonts w:hAnsi="宋体"/>
          <w:color w:val="auto"/>
          <w:kern w:val="0"/>
          <w:szCs w:val="21"/>
          <w:highlight w:val="none"/>
        </w:rPr>
        <w:t>说明：</w:t>
      </w:r>
      <w:r>
        <w:rPr>
          <w:rFonts w:hint="eastAsia" w:hAnsi="宋体"/>
          <w:color w:val="auto"/>
          <w:kern w:val="0"/>
          <w:szCs w:val="21"/>
          <w:highlight w:val="none"/>
        </w:rPr>
        <w:t>（6）、（7）</w:t>
      </w:r>
      <w:r>
        <w:rPr>
          <w:rFonts w:hAnsi="宋体"/>
          <w:color w:val="auto"/>
          <w:kern w:val="0"/>
          <w:szCs w:val="21"/>
          <w:highlight w:val="none"/>
        </w:rPr>
        <w:t>、</w:t>
      </w:r>
      <w:r>
        <w:rPr>
          <w:rFonts w:hint="eastAsia" w:hAnsi="宋体"/>
          <w:color w:val="auto"/>
          <w:kern w:val="0"/>
          <w:szCs w:val="21"/>
          <w:highlight w:val="none"/>
        </w:rPr>
        <w:t>（8）</w:t>
      </w:r>
      <w:r>
        <w:rPr>
          <w:rFonts w:hAnsi="宋体"/>
          <w:color w:val="auto"/>
          <w:kern w:val="0"/>
          <w:szCs w:val="21"/>
          <w:highlight w:val="none"/>
        </w:rPr>
        <w:t>、</w:t>
      </w:r>
      <w:r>
        <w:rPr>
          <w:rFonts w:hint="eastAsia" w:hAnsi="宋体"/>
          <w:color w:val="auto"/>
          <w:kern w:val="0"/>
          <w:szCs w:val="21"/>
          <w:highlight w:val="none"/>
        </w:rPr>
        <w:t>（9）</w:t>
      </w:r>
      <w:r>
        <w:rPr>
          <w:rFonts w:hAnsi="宋体"/>
          <w:color w:val="auto"/>
          <w:kern w:val="0"/>
          <w:szCs w:val="21"/>
          <w:highlight w:val="none"/>
        </w:rPr>
        <w:t>填空内容分别限于技术标准和要求、图纸、已标价工程量清单</w:t>
      </w:r>
      <w:r>
        <w:rPr>
          <w:rFonts w:hint="eastAsia" w:hAnsi="宋体"/>
          <w:color w:val="auto"/>
          <w:kern w:val="0"/>
          <w:szCs w:val="21"/>
          <w:highlight w:val="none"/>
        </w:rPr>
        <w:t>或预算书、</w:t>
      </w:r>
      <w:r>
        <w:rPr>
          <w:rFonts w:hAnsi="宋体"/>
          <w:color w:val="auto"/>
          <w:kern w:val="0"/>
          <w:szCs w:val="21"/>
          <w:highlight w:val="none"/>
        </w:rPr>
        <w:t>其他合同文件</w:t>
      </w:r>
      <w:r>
        <w:rPr>
          <w:rFonts w:hint="eastAsia" w:hAnsi="宋体"/>
          <w:color w:val="auto"/>
          <w:kern w:val="0"/>
          <w:szCs w:val="21"/>
          <w:highlight w:val="none"/>
        </w:rPr>
        <w:t>四</w:t>
      </w:r>
      <w:r>
        <w:rPr>
          <w:rFonts w:hAnsi="宋体"/>
          <w:color w:val="auto"/>
          <w:kern w:val="0"/>
          <w:szCs w:val="21"/>
          <w:highlight w:val="none"/>
        </w:rPr>
        <w:t>者之一</w:t>
      </w:r>
      <w:r>
        <w:rPr>
          <w:rFonts w:hint="eastAsia" w:hAnsi="宋体"/>
          <w:color w:val="auto"/>
          <w:kern w:val="0"/>
          <w:szCs w:val="21"/>
          <w:highlight w:val="none"/>
        </w:rPr>
        <w:t>，其优先顺序可根据采取的不同合同方式由双方约定</w:t>
      </w:r>
      <w:r>
        <w:rPr>
          <w:rFonts w:hAnsi="宋体"/>
          <w:color w:val="auto"/>
          <w:kern w:val="0"/>
          <w:szCs w:val="21"/>
          <w:highlight w:val="none"/>
        </w:rPr>
        <w:t>。</w:t>
      </w:r>
    </w:p>
    <w:p>
      <w:pPr>
        <w:pStyle w:val="7"/>
        <w:rPr>
          <w:color w:val="auto"/>
          <w:highlight w:val="none"/>
        </w:rPr>
      </w:pPr>
      <w:bookmarkStart w:id="261" w:name="_Toc28058"/>
      <w:bookmarkStart w:id="262" w:name="_Toc491946599"/>
      <w:r>
        <w:rPr>
          <w:color w:val="auto"/>
          <w:highlight w:val="none"/>
        </w:rPr>
        <w:t>1.6 图纸和承包人文件</w:t>
      </w:r>
      <w:bookmarkEnd w:id="261"/>
      <w:bookmarkEnd w:id="262"/>
      <w:r>
        <w:rPr>
          <w:color w:val="auto"/>
          <w:highlight w:val="none"/>
        </w:rPr>
        <w:tab/>
      </w:r>
    </w:p>
    <w:p>
      <w:pPr>
        <w:spacing w:line="360" w:lineRule="auto"/>
        <w:ind w:firstLine="420" w:firstLineChars="200"/>
        <w:rPr>
          <w:color w:val="auto"/>
          <w:szCs w:val="21"/>
          <w:highlight w:val="none"/>
        </w:rPr>
      </w:pPr>
      <w:r>
        <w:rPr>
          <w:color w:val="auto"/>
          <w:szCs w:val="21"/>
          <w:highlight w:val="none"/>
        </w:rPr>
        <w:t xml:space="preserve">1.6.1 </w:t>
      </w:r>
      <w:r>
        <w:rPr>
          <w:rFonts w:hAnsi="宋体"/>
          <w:color w:val="auto"/>
          <w:szCs w:val="21"/>
          <w:highlight w:val="none"/>
        </w:rPr>
        <w:t>图纸的提供</w:t>
      </w:r>
    </w:p>
    <w:p>
      <w:pPr>
        <w:spacing w:line="360" w:lineRule="auto"/>
        <w:ind w:firstLine="420" w:firstLineChars="200"/>
        <w:rPr>
          <w:color w:val="auto"/>
          <w:szCs w:val="21"/>
          <w:highlight w:val="none"/>
        </w:rPr>
      </w:pPr>
      <w:r>
        <w:rPr>
          <w:rFonts w:hAnsi="宋体"/>
          <w:color w:val="auto"/>
          <w:szCs w:val="21"/>
          <w:highlight w:val="none"/>
        </w:rPr>
        <w:t>发包人向承包人提供图纸的期限：</w:t>
      </w:r>
      <w:r>
        <w:rPr>
          <w:rFonts w:hAnsi="宋体"/>
          <w:color w:val="auto"/>
          <w:szCs w:val="21"/>
          <w:highlight w:val="none"/>
          <w:u w:val="single"/>
        </w:rPr>
        <w:t></w:t>
      </w:r>
      <w:r>
        <w:rPr>
          <w:rFonts w:hint="eastAsia" w:hAnsi="宋体"/>
          <w:color w:val="auto"/>
          <w:szCs w:val="21"/>
          <w:highlight w:val="none"/>
          <w:u w:val="single"/>
        </w:rPr>
        <w:t>合同签订之日起3天内。</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rFonts w:hint="eastAsia" w:hAnsi="宋体"/>
          <w:bCs/>
          <w:color w:val="auto"/>
          <w:szCs w:val="21"/>
          <w:highlight w:val="none"/>
          <w:u w:val="single"/>
        </w:rPr>
      </w:pPr>
      <w:r>
        <w:rPr>
          <w:rFonts w:hAnsi="宋体"/>
          <w:color w:val="auto"/>
          <w:szCs w:val="21"/>
          <w:highlight w:val="none"/>
        </w:rPr>
        <w:t>发包人向承包人提供图纸的数量：</w:t>
      </w:r>
      <w:r>
        <w:rPr>
          <w:rFonts w:hAnsi="宋体"/>
          <w:color w:val="auto"/>
          <w:szCs w:val="21"/>
          <w:highlight w:val="none"/>
          <w:u w:val="single"/>
        </w:rPr>
        <w:t></w:t>
      </w:r>
      <w:r>
        <w:rPr>
          <w:rFonts w:hint="eastAsia" w:hAnsi="宋体"/>
          <w:color w:val="auto"/>
          <w:szCs w:val="21"/>
          <w:highlight w:val="none"/>
          <w:u w:val="single"/>
        </w:rPr>
        <w:t>提供一式贰份全套图纸，</w:t>
      </w:r>
      <w:r>
        <w:rPr>
          <w:rFonts w:hint="eastAsia" w:hAnsi="宋体"/>
          <w:bCs/>
          <w:color w:val="auto"/>
          <w:szCs w:val="21"/>
          <w:highlight w:val="none"/>
          <w:u w:val="single"/>
        </w:rPr>
        <w:t>如发包人对图纸进行了修改，或进行了变更，发包人应在工程进展中免费向承包人提供贰套修改后的设计图纸。</w:t>
      </w:r>
    </w:p>
    <w:p>
      <w:pPr>
        <w:spacing w:line="360" w:lineRule="auto"/>
        <w:ind w:firstLine="420" w:firstLineChars="200"/>
        <w:rPr>
          <w:color w:val="auto"/>
          <w:szCs w:val="21"/>
          <w:highlight w:val="none"/>
        </w:rPr>
      </w:pPr>
      <w:r>
        <w:rPr>
          <w:rFonts w:hAnsi="宋体"/>
          <w:color w:val="auto"/>
          <w:szCs w:val="21"/>
          <w:highlight w:val="none"/>
        </w:rPr>
        <w:t>发包人向承包人提供图纸的内容：</w:t>
      </w:r>
      <w:r>
        <w:rPr>
          <w:rFonts w:hint="eastAsia" w:hAnsi="宋体"/>
          <w:bCs/>
          <w:color w:val="auto"/>
          <w:szCs w:val="21"/>
          <w:highlight w:val="none"/>
          <w:u w:val="single"/>
        </w:rPr>
        <w:t>设计图纸所包含的全部内容</w:t>
      </w:r>
      <w:r>
        <w:rPr>
          <w:rFonts w:hAnsi="宋体"/>
          <w:color w:val="auto"/>
          <w:szCs w:val="21"/>
          <w:highlight w:val="none"/>
        </w:rPr>
        <w:t>。</w:t>
      </w:r>
    </w:p>
    <w:p>
      <w:pPr>
        <w:spacing w:line="360" w:lineRule="auto"/>
        <w:ind w:firstLine="420" w:firstLineChars="200"/>
        <w:rPr>
          <w:color w:val="auto"/>
          <w:szCs w:val="21"/>
          <w:highlight w:val="none"/>
        </w:rPr>
      </w:pPr>
      <w:r>
        <w:rPr>
          <w:color w:val="auto"/>
          <w:szCs w:val="21"/>
          <w:highlight w:val="none"/>
        </w:rPr>
        <w:t xml:space="preserve">1.6.4 </w:t>
      </w:r>
      <w:r>
        <w:rPr>
          <w:rFonts w:hAnsi="宋体"/>
          <w:color w:val="auto"/>
          <w:szCs w:val="21"/>
          <w:highlight w:val="none"/>
        </w:rPr>
        <w:t>承包人文件</w:t>
      </w:r>
    </w:p>
    <w:p>
      <w:pPr>
        <w:spacing w:line="360" w:lineRule="auto"/>
        <w:ind w:firstLine="420" w:firstLineChars="200"/>
        <w:jc w:val="left"/>
        <w:rPr>
          <w:color w:val="auto"/>
          <w:szCs w:val="21"/>
          <w:highlight w:val="none"/>
          <w:u w:val="single"/>
        </w:rPr>
      </w:pPr>
      <w:r>
        <w:rPr>
          <w:rFonts w:hAnsi="宋体"/>
          <w:color w:val="auto"/>
          <w:szCs w:val="21"/>
          <w:highlight w:val="none"/>
        </w:rPr>
        <w:t>需要由承包人提供的文件，包括：</w:t>
      </w:r>
      <w:r>
        <w:rPr>
          <w:rFonts w:hAnsi="宋体"/>
          <w:color w:val="auto"/>
          <w:szCs w:val="21"/>
          <w:highlight w:val="none"/>
          <w:u w:val="single"/>
        </w:rPr>
        <w:t></w:t>
      </w:r>
      <w:r>
        <w:rPr>
          <w:rFonts w:hint="eastAsia" w:hAnsi="宋体"/>
          <w:color w:val="auto"/>
          <w:szCs w:val="21"/>
          <w:highlight w:val="none"/>
          <w:u w:val="single"/>
        </w:rPr>
        <w:t>工程进展周报，施工月报</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承包人提供的文件的期限为：</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int="eastAsia" w:hAnsi="宋体"/>
          <w:color w:val="auto"/>
          <w:szCs w:val="21"/>
          <w:highlight w:val="none"/>
          <w:u w:val="single"/>
        </w:rPr>
        <w:t xml:space="preserve">每月25日   </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承包人提供的文件的数量为：</w:t>
      </w:r>
      <w:r>
        <w:rPr>
          <w:rFonts w:hAnsi="宋体"/>
          <w:color w:val="auto"/>
          <w:szCs w:val="21"/>
          <w:highlight w:val="none"/>
          <w:u w:val="single"/>
        </w:rPr>
        <w:t>一式</w:t>
      </w:r>
      <w:r>
        <w:rPr>
          <w:rFonts w:hint="eastAsia" w:hAnsi="宋体"/>
          <w:color w:val="auto"/>
          <w:szCs w:val="21"/>
          <w:highlight w:val="none"/>
          <w:u w:val="single"/>
        </w:rPr>
        <w:t>肆</w:t>
      </w:r>
      <w:r>
        <w:rPr>
          <w:rFonts w:hAnsi="宋体"/>
          <w:color w:val="auto"/>
          <w:szCs w:val="21"/>
          <w:highlight w:val="none"/>
          <w:u w:val="single"/>
        </w:rPr>
        <w:t>份</w:t>
      </w:r>
      <w:r>
        <w:rPr>
          <w:color w:val="auto"/>
          <w:szCs w:val="21"/>
          <w:highlight w:val="none"/>
          <w:u w:val="single"/>
        </w:rPr>
        <w:t xml:space="preserve">   </w:t>
      </w:r>
      <w:r>
        <w:rPr>
          <w:rFonts w:hint="eastAsia"/>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承包人提供的文件的形式为：</w:t>
      </w:r>
      <w:r>
        <w:rPr>
          <w:rFonts w:hAnsi="宋体"/>
          <w:color w:val="auto"/>
          <w:szCs w:val="21"/>
          <w:highlight w:val="none"/>
          <w:u w:val="single"/>
        </w:rPr>
        <w:t>纸质及电子表格。</w:t>
      </w:r>
      <w:r>
        <w:rPr>
          <w:rFonts w:hint="eastAsia" w:hAnsi="宋体"/>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rFonts w:hAnsi="宋体"/>
          <w:color w:val="auto"/>
          <w:szCs w:val="21"/>
          <w:highlight w:val="none"/>
          <w:u w:val="single"/>
        </w:rPr>
      </w:pPr>
      <w:r>
        <w:rPr>
          <w:rFonts w:hAnsi="宋体"/>
          <w:color w:val="auto"/>
          <w:szCs w:val="21"/>
          <w:highlight w:val="none"/>
        </w:rPr>
        <w:t>发包人审批承包人文件的期限：</w:t>
      </w:r>
      <w:r>
        <w:rPr>
          <w:rFonts w:hAnsi="宋体"/>
          <w:color w:val="auto"/>
          <w:szCs w:val="21"/>
          <w:highlight w:val="none"/>
          <w:u w:val="single"/>
        </w:rPr>
        <w:t>发包人审批承包人文件的期限：7 天（包括监理人 3 天内审查）。</w:t>
      </w:r>
    </w:p>
    <w:p>
      <w:pPr>
        <w:spacing w:line="360" w:lineRule="auto"/>
        <w:ind w:firstLine="420" w:firstLineChars="200"/>
        <w:rPr>
          <w:color w:val="auto"/>
          <w:szCs w:val="21"/>
          <w:highlight w:val="none"/>
        </w:rPr>
      </w:pPr>
      <w:r>
        <w:rPr>
          <w:color w:val="auto"/>
          <w:szCs w:val="21"/>
          <w:highlight w:val="none"/>
        </w:rPr>
        <w:t xml:space="preserve">1.6.5 </w:t>
      </w:r>
      <w:r>
        <w:rPr>
          <w:rFonts w:hAnsi="宋体"/>
          <w:color w:val="auto"/>
          <w:szCs w:val="21"/>
          <w:highlight w:val="none"/>
        </w:rPr>
        <w:t>现场图纸准备</w:t>
      </w:r>
    </w:p>
    <w:p>
      <w:pPr>
        <w:spacing w:line="360" w:lineRule="auto"/>
        <w:ind w:firstLine="420" w:firstLineChars="200"/>
        <w:rPr>
          <w:rFonts w:hAnsi="宋体"/>
          <w:color w:val="auto"/>
          <w:szCs w:val="21"/>
          <w:highlight w:val="none"/>
          <w:u w:val="single"/>
        </w:rPr>
      </w:pPr>
      <w:r>
        <w:rPr>
          <w:rFonts w:hAnsi="宋体"/>
          <w:color w:val="auto"/>
          <w:szCs w:val="21"/>
          <w:highlight w:val="none"/>
        </w:rPr>
        <w:t>关于现场图纸准备的约定：</w:t>
      </w:r>
      <w:r>
        <w:rPr>
          <w:rFonts w:hAnsi="宋体"/>
          <w:color w:val="auto"/>
          <w:szCs w:val="21"/>
          <w:highlight w:val="none"/>
          <w:u w:val="single"/>
        </w:rPr>
        <w:t>按通用条款执行。在该工程或相应部位施工前 7 天。</w:t>
      </w:r>
      <w:bookmarkStart w:id="263" w:name="_Toc491946600"/>
    </w:p>
    <w:p>
      <w:pPr>
        <w:spacing w:line="360" w:lineRule="auto"/>
        <w:ind w:firstLine="420" w:firstLineChars="200"/>
        <w:rPr>
          <w:color w:val="auto"/>
          <w:highlight w:val="none"/>
        </w:rPr>
      </w:pPr>
      <w:r>
        <w:rPr>
          <w:color w:val="auto"/>
          <w:highlight w:val="none"/>
        </w:rPr>
        <w:t xml:space="preserve">1.7 </w:t>
      </w:r>
      <w:r>
        <w:rPr>
          <w:rFonts w:hAnsi="宋体"/>
          <w:color w:val="auto"/>
          <w:highlight w:val="none"/>
        </w:rPr>
        <w:t>联络</w:t>
      </w:r>
      <w:bookmarkEnd w:id="263"/>
    </w:p>
    <w:p>
      <w:pPr>
        <w:spacing w:line="360" w:lineRule="auto"/>
        <w:ind w:firstLine="420" w:firstLineChars="200"/>
        <w:rPr>
          <w:color w:val="auto"/>
          <w:kern w:val="0"/>
          <w:szCs w:val="21"/>
          <w:highlight w:val="none"/>
        </w:rPr>
      </w:pPr>
      <w:r>
        <w:rPr>
          <w:color w:val="auto"/>
          <w:kern w:val="0"/>
          <w:szCs w:val="21"/>
          <w:highlight w:val="none"/>
        </w:rPr>
        <w:t>1.7.1</w:t>
      </w:r>
      <w:r>
        <w:rPr>
          <w:rFonts w:hAnsi="宋体"/>
          <w:color w:val="auto"/>
          <w:kern w:val="0"/>
          <w:szCs w:val="21"/>
          <w:highlight w:val="none"/>
        </w:rPr>
        <w:t>发包人和承包人应当在</w:t>
      </w:r>
      <w:r>
        <w:rPr>
          <w:rFonts w:hAnsi="宋体"/>
          <w:color w:val="auto"/>
          <w:szCs w:val="21"/>
          <w:highlight w:val="none"/>
          <w:u w:val="single"/>
        </w:rPr>
        <w:t></w:t>
      </w:r>
      <w:r>
        <w:rPr>
          <w:rFonts w:hint="eastAsia"/>
          <w:color w:val="auto"/>
          <w:szCs w:val="21"/>
          <w:highlight w:val="none"/>
          <w:u w:val="single"/>
        </w:rPr>
        <w:t xml:space="preserve">3 </w:t>
      </w:r>
      <w:r>
        <w:rPr>
          <w:color w:val="auto"/>
          <w:szCs w:val="21"/>
          <w:highlight w:val="none"/>
          <w:u w:val="single"/>
        </w:rPr>
        <w:t xml:space="preserve"> </w:t>
      </w:r>
      <w:r>
        <w:rPr>
          <w:rFonts w:hAnsi="宋体"/>
          <w:color w:val="auto"/>
          <w:kern w:val="0"/>
          <w:szCs w:val="21"/>
          <w:highlight w:val="none"/>
        </w:rPr>
        <w:t>天内将与合同有关的通知、批准、证明、证书、指示、指令、要求、请求、同意、意见、确定和决定等书面函件送达对方当事人。</w:t>
      </w:r>
    </w:p>
    <w:p>
      <w:pPr>
        <w:spacing w:line="360" w:lineRule="auto"/>
        <w:ind w:firstLine="420" w:firstLineChars="200"/>
        <w:rPr>
          <w:color w:val="auto"/>
          <w:kern w:val="0"/>
          <w:szCs w:val="21"/>
          <w:highlight w:val="none"/>
        </w:rPr>
      </w:pPr>
      <w:r>
        <w:rPr>
          <w:color w:val="auto"/>
          <w:kern w:val="0"/>
          <w:szCs w:val="21"/>
          <w:highlight w:val="none"/>
        </w:rPr>
        <w:t xml:space="preserve">1.7.2 </w:t>
      </w:r>
      <w:r>
        <w:rPr>
          <w:rFonts w:hAnsi="宋体"/>
          <w:color w:val="auto"/>
          <w:kern w:val="0"/>
          <w:szCs w:val="21"/>
          <w:highlight w:val="none"/>
        </w:rPr>
        <w:t>发包人接收文件的地点：</w:t>
      </w:r>
      <w:r>
        <w:rPr>
          <w:rFonts w:hAnsi="宋体"/>
          <w:color w:val="auto"/>
          <w:szCs w:val="21"/>
          <w:highlight w:val="none"/>
          <w:u w:val="single"/>
        </w:rPr>
        <w:t></w:t>
      </w:r>
      <w:r>
        <w:rPr>
          <w:rFonts w:hint="eastAsia" w:hAnsi="宋体"/>
          <w:color w:val="auto"/>
          <w:szCs w:val="21"/>
          <w:highlight w:val="none"/>
          <w:u w:val="single"/>
        </w:rPr>
        <w:t xml:space="preserve"> 另行约定</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kern w:val="0"/>
          <w:szCs w:val="21"/>
          <w:highlight w:val="none"/>
        </w:rPr>
        <w:t>；</w:t>
      </w:r>
    </w:p>
    <w:p>
      <w:pPr>
        <w:spacing w:line="360" w:lineRule="auto"/>
        <w:ind w:firstLine="420" w:firstLineChars="200"/>
        <w:rPr>
          <w:color w:val="auto"/>
          <w:kern w:val="0"/>
          <w:szCs w:val="21"/>
          <w:highlight w:val="none"/>
        </w:rPr>
      </w:pPr>
      <w:r>
        <w:rPr>
          <w:rFonts w:hAnsi="宋体"/>
          <w:color w:val="auto"/>
          <w:kern w:val="0"/>
          <w:szCs w:val="21"/>
          <w:highlight w:val="none"/>
        </w:rPr>
        <w:t>发包人指定的接收人为：</w:t>
      </w:r>
      <w:r>
        <w:rPr>
          <w:rFonts w:hAnsi="宋体"/>
          <w:color w:val="auto"/>
          <w:szCs w:val="21"/>
          <w:highlight w:val="none"/>
          <w:u w:val="single"/>
        </w:rPr>
        <w:t></w:t>
      </w:r>
      <w:r>
        <w:rPr>
          <w:rFonts w:hint="eastAsia" w:ascii="宋体" w:hAnsi="宋体"/>
          <w:color w:val="auto"/>
          <w:szCs w:val="21"/>
          <w:highlight w:val="none"/>
          <w:u w:val="single"/>
        </w:rPr>
        <w:t xml:space="preserve"> 另行约定</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kern w:val="0"/>
          <w:szCs w:val="21"/>
          <w:highlight w:val="none"/>
        </w:rPr>
        <w:t>。</w:t>
      </w:r>
    </w:p>
    <w:p>
      <w:pPr>
        <w:spacing w:line="360" w:lineRule="auto"/>
        <w:ind w:firstLine="420" w:firstLineChars="200"/>
        <w:rPr>
          <w:color w:val="auto"/>
          <w:kern w:val="0"/>
          <w:szCs w:val="21"/>
          <w:highlight w:val="none"/>
        </w:rPr>
      </w:pPr>
      <w:r>
        <w:rPr>
          <w:rFonts w:hAnsi="宋体"/>
          <w:color w:val="auto"/>
          <w:kern w:val="0"/>
          <w:szCs w:val="21"/>
          <w:highlight w:val="none"/>
        </w:rPr>
        <w:t>承包人接收文件的地点：</w:t>
      </w:r>
      <w:r>
        <w:rPr>
          <w:rFonts w:hAnsi="宋体"/>
          <w:color w:val="auto"/>
          <w:szCs w:val="21"/>
          <w:highlight w:val="none"/>
          <w:u w:val="single"/>
        </w:rPr>
        <w:t></w:t>
      </w:r>
      <w:r>
        <w:rPr>
          <w:rFonts w:hint="eastAsia" w:ascii="宋体" w:hAnsi="宋体"/>
          <w:color w:val="auto"/>
          <w:szCs w:val="21"/>
          <w:highlight w:val="none"/>
          <w:u w:val="single"/>
        </w:rPr>
        <w:t xml:space="preserve"> 另行约定</w:t>
      </w:r>
      <w:r>
        <w:rPr>
          <w:color w:val="auto"/>
          <w:szCs w:val="21"/>
          <w:highlight w:val="none"/>
          <w:u w:val="single"/>
        </w:rPr>
        <w:t xml:space="preserve">           </w:t>
      </w:r>
      <w:r>
        <w:rPr>
          <w:rFonts w:hAnsi="宋体"/>
          <w:color w:val="auto"/>
          <w:szCs w:val="21"/>
          <w:highlight w:val="none"/>
          <w:u w:val="single"/>
        </w:rPr>
        <w:t></w:t>
      </w:r>
      <w:r>
        <w:rPr>
          <w:rFonts w:hAnsi="宋体"/>
          <w:color w:val="auto"/>
          <w:kern w:val="0"/>
          <w:szCs w:val="21"/>
          <w:highlight w:val="none"/>
        </w:rPr>
        <w:t>；</w:t>
      </w:r>
    </w:p>
    <w:p>
      <w:pPr>
        <w:spacing w:line="360" w:lineRule="auto"/>
        <w:ind w:firstLine="420" w:firstLineChars="200"/>
        <w:rPr>
          <w:color w:val="auto"/>
          <w:kern w:val="0"/>
          <w:szCs w:val="21"/>
          <w:highlight w:val="none"/>
        </w:rPr>
      </w:pPr>
      <w:r>
        <w:rPr>
          <w:rFonts w:hAnsi="宋体"/>
          <w:color w:val="auto"/>
          <w:kern w:val="0"/>
          <w:szCs w:val="21"/>
          <w:highlight w:val="none"/>
        </w:rPr>
        <w:t>承包人指定的接收人为：</w:t>
      </w:r>
      <w:r>
        <w:rPr>
          <w:rFonts w:hAnsi="宋体"/>
          <w:color w:val="auto"/>
          <w:szCs w:val="21"/>
          <w:highlight w:val="none"/>
          <w:u w:val="single"/>
        </w:rPr>
        <w:t></w:t>
      </w:r>
      <w:r>
        <w:rPr>
          <w:rFonts w:hint="eastAsia" w:ascii="宋体" w:hAnsi="宋体"/>
          <w:color w:val="auto"/>
          <w:szCs w:val="21"/>
          <w:highlight w:val="none"/>
          <w:u w:val="single"/>
        </w:rPr>
        <w:t xml:space="preserve"> 另行约定</w:t>
      </w:r>
      <w:r>
        <w:rPr>
          <w:color w:val="auto"/>
          <w:szCs w:val="21"/>
          <w:highlight w:val="none"/>
          <w:u w:val="single"/>
        </w:rPr>
        <w:t xml:space="preserve">            </w:t>
      </w:r>
      <w:r>
        <w:rPr>
          <w:rFonts w:hAnsi="宋体"/>
          <w:color w:val="auto"/>
          <w:szCs w:val="21"/>
          <w:highlight w:val="none"/>
          <w:u w:val="single"/>
        </w:rPr>
        <w:t></w:t>
      </w:r>
      <w:r>
        <w:rPr>
          <w:rFonts w:hAnsi="宋体"/>
          <w:color w:val="auto"/>
          <w:kern w:val="0"/>
          <w:szCs w:val="21"/>
          <w:highlight w:val="none"/>
        </w:rPr>
        <w:t>。</w:t>
      </w:r>
    </w:p>
    <w:p>
      <w:pPr>
        <w:spacing w:line="360" w:lineRule="auto"/>
        <w:ind w:firstLine="420" w:firstLineChars="200"/>
        <w:rPr>
          <w:color w:val="auto"/>
          <w:kern w:val="0"/>
          <w:szCs w:val="21"/>
          <w:highlight w:val="none"/>
        </w:rPr>
      </w:pPr>
      <w:r>
        <w:rPr>
          <w:rFonts w:hAnsi="宋体"/>
          <w:color w:val="auto"/>
          <w:kern w:val="0"/>
          <w:szCs w:val="21"/>
          <w:highlight w:val="none"/>
        </w:rPr>
        <w:t>监理人接收文件的地点：</w:t>
      </w:r>
      <w:r>
        <w:rPr>
          <w:rFonts w:hAnsi="宋体"/>
          <w:color w:val="auto"/>
          <w:szCs w:val="21"/>
          <w:highlight w:val="none"/>
          <w:u w:val="single"/>
        </w:rPr>
        <w:t></w:t>
      </w:r>
      <w:r>
        <w:rPr>
          <w:rFonts w:hint="eastAsia" w:ascii="宋体" w:hAnsi="宋体"/>
          <w:color w:val="auto"/>
          <w:szCs w:val="21"/>
          <w:highlight w:val="none"/>
          <w:u w:val="single"/>
        </w:rPr>
        <w:t xml:space="preserve"> 另行约定</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kern w:val="0"/>
          <w:szCs w:val="21"/>
          <w:highlight w:val="none"/>
        </w:rPr>
        <w:t>；</w:t>
      </w:r>
    </w:p>
    <w:p>
      <w:pPr>
        <w:spacing w:line="360" w:lineRule="auto"/>
        <w:ind w:firstLine="420" w:firstLineChars="200"/>
        <w:rPr>
          <w:color w:val="auto"/>
          <w:kern w:val="0"/>
          <w:szCs w:val="21"/>
          <w:highlight w:val="none"/>
        </w:rPr>
      </w:pPr>
      <w:r>
        <w:rPr>
          <w:rFonts w:hAnsi="宋体"/>
          <w:color w:val="auto"/>
          <w:kern w:val="0"/>
          <w:szCs w:val="21"/>
          <w:highlight w:val="none"/>
        </w:rPr>
        <w:t>监理人指定的接收人为：</w:t>
      </w:r>
      <w:r>
        <w:rPr>
          <w:rFonts w:hAnsi="宋体"/>
          <w:color w:val="auto"/>
          <w:szCs w:val="21"/>
          <w:highlight w:val="none"/>
          <w:u w:val="single"/>
        </w:rPr>
        <w:t></w:t>
      </w:r>
      <w:r>
        <w:rPr>
          <w:rFonts w:hint="eastAsia" w:ascii="宋体" w:hAnsi="宋体"/>
          <w:color w:val="auto"/>
          <w:szCs w:val="21"/>
          <w:highlight w:val="none"/>
          <w:u w:val="single"/>
        </w:rPr>
        <w:t xml:space="preserve"> 另行约定</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kern w:val="0"/>
          <w:szCs w:val="21"/>
          <w:highlight w:val="none"/>
        </w:rPr>
        <w:t>。</w:t>
      </w:r>
    </w:p>
    <w:p>
      <w:pPr>
        <w:pStyle w:val="7"/>
        <w:rPr>
          <w:color w:val="auto"/>
          <w:highlight w:val="none"/>
        </w:rPr>
      </w:pPr>
      <w:bookmarkStart w:id="264" w:name="_Toc17248"/>
      <w:bookmarkStart w:id="265" w:name="_Toc491946601"/>
      <w:r>
        <w:rPr>
          <w:color w:val="auto"/>
          <w:highlight w:val="none"/>
        </w:rPr>
        <w:t xml:space="preserve">1.10 </w:t>
      </w:r>
      <w:r>
        <w:rPr>
          <w:rFonts w:hAnsi="宋体"/>
          <w:color w:val="auto"/>
          <w:highlight w:val="none"/>
        </w:rPr>
        <w:t>交通运输</w:t>
      </w:r>
      <w:bookmarkEnd w:id="264"/>
      <w:bookmarkEnd w:id="265"/>
    </w:p>
    <w:p>
      <w:pPr>
        <w:spacing w:line="360" w:lineRule="auto"/>
        <w:ind w:firstLine="420" w:firstLineChars="200"/>
        <w:rPr>
          <w:color w:val="auto"/>
          <w:szCs w:val="21"/>
          <w:highlight w:val="none"/>
        </w:rPr>
      </w:pPr>
      <w:r>
        <w:rPr>
          <w:color w:val="auto"/>
          <w:szCs w:val="21"/>
          <w:highlight w:val="none"/>
        </w:rPr>
        <w:t xml:space="preserve">1.10.1 </w:t>
      </w:r>
      <w:r>
        <w:rPr>
          <w:rFonts w:hAnsi="宋体"/>
          <w:color w:val="auto"/>
          <w:szCs w:val="21"/>
          <w:highlight w:val="none"/>
        </w:rPr>
        <w:t>出入现场的权利</w:t>
      </w:r>
    </w:p>
    <w:p>
      <w:pPr>
        <w:spacing w:line="360" w:lineRule="auto"/>
        <w:ind w:firstLine="420" w:firstLineChars="200"/>
        <w:rPr>
          <w:color w:val="auto"/>
          <w:szCs w:val="21"/>
          <w:highlight w:val="none"/>
          <w:u w:val="single"/>
        </w:rPr>
      </w:pPr>
      <w:r>
        <w:rPr>
          <w:rFonts w:hAnsi="宋体"/>
          <w:color w:val="auto"/>
          <w:szCs w:val="21"/>
          <w:highlight w:val="none"/>
        </w:rPr>
        <w:t>关于出入现场的权利的约定：</w:t>
      </w:r>
      <w:r>
        <w:rPr>
          <w:rFonts w:hAnsi="宋体"/>
          <w:color w:val="auto"/>
          <w:szCs w:val="21"/>
          <w:highlight w:val="none"/>
          <w:u w:val="single"/>
        </w:rPr>
        <w:t>由承包人按发包人要求负责取得出入施工现场所需的批准手续和全部权利，并承担相关手续费用和建设费用</w:t>
      </w:r>
      <w:r>
        <w:rPr>
          <w:rFonts w:hint="eastAsia" w:hAnsi="宋体"/>
          <w:color w:val="auto"/>
          <w:szCs w:val="21"/>
          <w:highlight w:val="none"/>
          <w:u w:val="single"/>
        </w:rPr>
        <w:t>。</w:t>
      </w:r>
    </w:p>
    <w:p>
      <w:pPr>
        <w:spacing w:line="360" w:lineRule="auto"/>
        <w:ind w:firstLine="420" w:firstLineChars="200"/>
        <w:jc w:val="left"/>
        <w:rPr>
          <w:color w:val="auto"/>
          <w:szCs w:val="21"/>
          <w:highlight w:val="none"/>
        </w:rPr>
      </w:pPr>
      <w:r>
        <w:rPr>
          <w:color w:val="auto"/>
          <w:szCs w:val="21"/>
          <w:highlight w:val="none"/>
        </w:rPr>
        <w:t xml:space="preserve">1.10.3 </w:t>
      </w:r>
      <w:r>
        <w:rPr>
          <w:rFonts w:hAnsi="宋体"/>
          <w:color w:val="auto"/>
          <w:szCs w:val="21"/>
          <w:highlight w:val="none"/>
        </w:rPr>
        <w:t>场内交通</w:t>
      </w:r>
    </w:p>
    <w:p>
      <w:pPr>
        <w:spacing w:line="360" w:lineRule="auto"/>
        <w:ind w:firstLine="420" w:firstLineChars="200"/>
        <w:jc w:val="left"/>
        <w:rPr>
          <w:color w:val="auto"/>
          <w:kern w:val="0"/>
          <w:szCs w:val="21"/>
          <w:highlight w:val="none"/>
        </w:rPr>
      </w:pPr>
      <w:r>
        <w:rPr>
          <w:rFonts w:hAnsi="宋体"/>
          <w:color w:val="auto"/>
          <w:kern w:val="0"/>
          <w:szCs w:val="21"/>
          <w:highlight w:val="none"/>
        </w:rPr>
        <w:t>关于场外交通和场内交通的边界的约定：</w:t>
      </w:r>
      <w:r>
        <w:rPr>
          <w:rFonts w:hAnsi="宋体"/>
          <w:color w:val="auto"/>
          <w:szCs w:val="21"/>
          <w:highlight w:val="none"/>
          <w:u w:val="single"/>
        </w:rPr>
        <w:t></w:t>
      </w:r>
      <w:r>
        <w:rPr>
          <w:rFonts w:hint="eastAsia" w:hAnsi="宋体"/>
          <w:color w:val="auto"/>
          <w:szCs w:val="21"/>
          <w:highlight w:val="none"/>
          <w:u w:val="single"/>
        </w:rPr>
        <w:t>本项目施工现场为界</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jc w:val="left"/>
        <w:rPr>
          <w:color w:val="auto"/>
          <w:szCs w:val="21"/>
          <w:highlight w:val="none"/>
        </w:rPr>
      </w:pPr>
      <w:r>
        <w:rPr>
          <w:rFonts w:hAnsi="宋体"/>
          <w:color w:val="auto"/>
          <w:szCs w:val="21"/>
          <w:highlight w:val="none"/>
        </w:rPr>
        <w:t>关于发包人向承包人免费提供满足工程施工需要的场内道路和交通设施的约定：</w:t>
      </w:r>
      <w:r>
        <w:rPr>
          <w:rFonts w:hAnsi="宋体"/>
          <w:color w:val="auto"/>
          <w:szCs w:val="21"/>
          <w:highlight w:val="none"/>
          <w:u w:val="single"/>
        </w:rPr>
        <w:t></w:t>
      </w:r>
      <w:r>
        <w:rPr>
          <w:rFonts w:hint="eastAsia" w:hAnsi="宋体"/>
          <w:color w:val="auto"/>
          <w:szCs w:val="21"/>
          <w:highlight w:val="none"/>
          <w:u w:val="single"/>
        </w:rPr>
        <w:t>双方另行确定</w:t>
      </w:r>
      <w:r>
        <w:rPr>
          <w:rFonts w:hAnsi="宋体"/>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rPr>
      </w:pPr>
      <w:r>
        <w:rPr>
          <w:color w:val="auto"/>
          <w:szCs w:val="21"/>
          <w:highlight w:val="none"/>
        </w:rPr>
        <w:t>1.10.4</w:t>
      </w:r>
      <w:r>
        <w:rPr>
          <w:rFonts w:hint="eastAsia"/>
          <w:color w:val="auto"/>
          <w:szCs w:val="21"/>
          <w:highlight w:val="none"/>
        </w:rPr>
        <w:t xml:space="preserve"> </w:t>
      </w:r>
      <w:r>
        <w:rPr>
          <w:rFonts w:hAnsi="宋体"/>
          <w:color w:val="auto"/>
          <w:szCs w:val="21"/>
          <w:highlight w:val="none"/>
        </w:rPr>
        <w:t>超大件和超重件的运输</w:t>
      </w:r>
    </w:p>
    <w:p>
      <w:pPr>
        <w:spacing w:line="360" w:lineRule="auto"/>
        <w:ind w:firstLine="420" w:firstLineChars="200"/>
        <w:jc w:val="left"/>
        <w:rPr>
          <w:color w:val="auto"/>
          <w:szCs w:val="21"/>
          <w:highlight w:val="none"/>
          <w:u w:val="single"/>
        </w:rPr>
      </w:pPr>
      <w:r>
        <w:rPr>
          <w:rFonts w:hAnsi="宋体"/>
          <w:color w:val="auto"/>
          <w:szCs w:val="21"/>
          <w:highlight w:val="none"/>
        </w:rPr>
        <w:t>运输超大件或超重件所需的道路和桥梁临时加固改造费用和其他有关费用由</w:t>
      </w:r>
      <w:r>
        <w:rPr>
          <w:rFonts w:hint="eastAsia"/>
          <w:color w:val="auto"/>
          <w:szCs w:val="21"/>
          <w:highlight w:val="none"/>
          <w:u w:val="single"/>
        </w:rPr>
        <w:t>承包人</w:t>
      </w:r>
      <w:r>
        <w:rPr>
          <w:rFonts w:hAnsi="宋体"/>
          <w:color w:val="auto"/>
          <w:szCs w:val="21"/>
          <w:highlight w:val="none"/>
        </w:rPr>
        <w:t>承担。</w:t>
      </w:r>
    </w:p>
    <w:p>
      <w:pPr>
        <w:pStyle w:val="7"/>
        <w:rPr>
          <w:color w:val="auto"/>
          <w:highlight w:val="none"/>
        </w:rPr>
      </w:pPr>
      <w:bookmarkStart w:id="266" w:name="_Toc491946602"/>
      <w:bookmarkStart w:id="267" w:name="_Toc527"/>
      <w:r>
        <w:rPr>
          <w:color w:val="auto"/>
          <w:highlight w:val="none"/>
        </w:rPr>
        <w:t xml:space="preserve">1.11 </w:t>
      </w:r>
      <w:r>
        <w:rPr>
          <w:rFonts w:hAnsi="宋体"/>
          <w:color w:val="auto"/>
          <w:highlight w:val="none"/>
        </w:rPr>
        <w:t>知识产权</w:t>
      </w:r>
      <w:bookmarkEnd w:id="266"/>
      <w:bookmarkEnd w:id="267"/>
    </w:p>
    <w:p>
      <w:pPr>
        <w:spacing w:line="360" w:lineRule="auto"/>
        <w:ind w:firstLine="420" w:firstLineChars="200"/>
        <w:rPr>
          <w:color w:val="auto"/>
          <w:szCs w:val="21"/>
          <w:highlight w:val="none"/>
        </w:rPr>
      </w:pPr>
      <w:r>
        <w:rPr>
          <w:color w:val="auto"/>
          <w:szCs w:val="21"/>
          <w:highlight w:val="none"/>
        </w:rPr>
        <w:t>1.11.1</w:t>
      </w:r>
      <w:r>
        <w:rPr>
          <w:rFonts w:hint="eastAsia"/>
          <w:color w:val="auto"/>
          <w:szCs w:val="21"/>
          <w:highlight w:val="none"/>
        </w:rPr>
        <w:t xml:space="preserve"> </w:t>
      </w:r>
      <w:r>
        <w:rPr>
          <w:rFonts w:hAnsi="宋体"/>
          <w:color w:val="auto"/>
          <w:szCs w:val="21"/>
          <w:highlight w:val="none"/>
        </w:rPr>
        <w:t>关于发包人提供给承包人的图纸、发包人为实施工程自行编制或委托编制的技术规范以及反映发包人关于合同要求或其他类似性质的文件的著作权的归属：</w:t>
      </w:r>
      <w:r>
        <w:rPr>
          <w:rFonts w:hAnsi="宋体"/>
          <w:color w:val="auto"/>
          <w:szCs w:val="21"/>
          <w:highlight w:val="none"/>
          <w:u w:val="single"/>
        </w:rPr>
        <w:t></w:t>
      </w:r>
      <w:r>
        <w:rPr>
          <w:rFonts w:hint="eastAsia" w:hAnsi="宋体"/>
          <w:color w:val="auto"/>
          <w:szCs w:val="21"/>
          <w:highlight w:val="none"/>
          <w:u w:val="single"/>
        </w:rPr>
        <w:t>执行通用条款</w:t>
      </w:r>
      <w:r>
        <w:rPr>
          <w:rFonts w:hAnsi="宋体"/>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关于发包人提供的上述文件的使用限制的要求：</w:t>
      </w:r>
      <w:r>
        <w:rPr>
          <w:color w:val="auto"/>
          <w:szCs w:val="21"/>
          <w:highlight w:val="none"/>
          <w:u w:val="single"/>
        </w:rPr>
        <w:t xml:space="preserve">     </w:t>
      </w:r>
      <w:r>
        <w:rPr>
          <w:rFonts w:hint="eastAsia"/>
          <w:color w:val="auto"/>
          <w:szCs w:val="21"/>
          <w:highlight w:val="none"/>
          <w:u w:val="single"/>
        </w:rPr>
        <w:t>执行通用条款</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rPr>
          <w:color w:val="auto"/>
          <w:szCs w:val="21"/>
          <w:highlight w:val="none"/>
        </w:rPr>
      </w:pPr>
      <w:r>
        <w:rPr>
          <w:color w:val="auto"/>
          <w:szCs w:val="21"/>
          <w:highlight w:val="none"/>
        </w:rPr>
        <w:t xml:space="preserve">1.11.2 </w:t>
      </w:r>
      <w:r>
        <w:rPr>
          <w:rFonts w:hAnsi="宋体"/>
          <w:color w:val="auto"/>
          <w:szCs w:val="21"/>
          <w:highlight w:val="none"/>
        </w:rPr>
        <w:t>关于承包人为实施工程所编制文件的著作权的归属：</w:t>
      </w:r>
      <w:r>
        <w:rPr>
          <w:color w:val="auto"/>
          <w:szCs w:val="21"/>
          <w:highlight w:val="none"/>
          <w:u w:val="single"/>
        </w:rPr>
        <w:t xml:space="preserve">   </w:t>
      </w:r>
      <w:r>
        <w:rPr>
          <w:rFonts w:hint="eastAsia"/>
          <w:color w:val="auto"/>
          <w:szCs w:val="21"/>
          <w:highlight w:val="none"/>
          <w:u w:val="single"/>
        </w:rPr>
        <w:t>执行通用条款</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rPr>
          <w:color w:val="auto"/>
          <w:szCs w:val="21"/>
          <w:highlight w:val="none"/>
          <w:u w:val="single"/>
        </w:rPr>
      </w:pPr>
      <w:r>
        <w:rPr>
          <w:rFonts w:hAnsi="宋体"/>
          <w:color w:val="auto"/>
          <w:szCs w:val="21"/>
          <w:highlight w:val="none"/>
        </w:rPr>
        <w:t>关于承包人提供的上述文件的使用限制的要求：</w:t>
      </w:r>
      <w:r>
        <w:rPr>
          <w:rFonts w:hAnsi="宋体"/>
          <w:color w:val="auto"/>
          <w:szCs w:val="21"/>
          <w:highlight w:val="none"/>
          <w:u w:val="single"/>
        </w:rPr>
        <w:t></w:t>
      </w:r>
      <w:r>
        <w:rPr>
          <w:rFonts w:hint="eastAsia" w:hAnsi="宋体"/>
          <w:color w:val="auto"/>
          <w:szCs w:val="21"/>
          <w:highlight w:val="none"/>
          <w:u w:val="single"/>
        </w:rPr>
        <w:t>执行通用条款</w:t>
      </w:r>
      <w:r>
        <w:rPr>
          <w:rFonts w:hAnsi="宋体"/>
          <w:color w:val="auto"/>
          <w:szCs w:val="21"/>
          <w:highlight w:val="none"/>
          <w:u w:val="single"/>
        </w:rPr>
        <w:t xml:space="preserve">   </w:t>
      </w:r>
      <w:r>
        <w:rPr>
          <w:rFonts w:hAnsi="宋体"/>
          <w:color w:val="auto"/>
          <w:szCs w:val="21"/>
          <w:highlight w:val="none"/>
        </w:rPr>
        <w:t>。</w:t>
      </w:r>
    </w:p>
    <w:p>
      <w:pPr>
        <w:spacing w:line="360" w:lineRule="auto"/>
        <w:ind w:firstLine="420" w:firstLineChars="200"/>
        <w:rPr>
          <w:rFonts w:hAnsi="宋体"/>
          <w:color w:val="auto"/>
          <w:szCs w:val="21"/>
          <w:highlight w:val="none"/>
          <w:u w:val="single"/>
        </w:rPr>
      </w:pPr>
      <w:r>
        <w:rPr>
          <w:color w:val="auto"/>
          <w:szCs w:val="21"/>
          <w:highlight w:val="none"/>
        </w:rPr>
        <w:t>1.11.</w:t>
      </w:r>
      <w:r>
        <w:rPr>
          <w:rFonts w:hint="eastAsia"/>
          <w:color w:val="auto"/>
          <w:szCs w:val="21"/>
          <w:highlight w:val="none"/>
        </w:rPr>
        <w:t>3</w:t>
      </w:r>
      <w:r>
        <w:rPr>
          <w:color w:val="auto"/>
          <w:szCs w:val="21"/>
          <w:highlight w:val="none"/>
        </w:rPr>
        <w:t xml:space="preserve"> </w:t>
      </w:r>
      <w:r>
        <w:rPr>
          <w:rFonts w:hAnsi="宋体"/>
          <w:color w:val="auto"/>
          <w:szCs w:val="21"/>
          <w:highlight w:val="none"/>
        </w:rPr>
        <w:t>承包人在施工过程中所采用的专利、专有技术、技术秘密的使用费的承担方式：</w:t>
      </w:r>
      <w:r>
        <w:rPr>
          <w:rFonts w:hAnsi="宋体"/>
          <w:color w:val="auto"/>
          <w:szCs w:val="21"/>
          <w:highlight w:val="none"/>
          <w:u w:val="single"/>
        </w:rPr>
        <w:t></w:t>
      </w:r>
    </w:p>
    <w:p>
      <w:pPr>
        <w:spacing w:line="360" w:lineRule="auto"/>
        <w:rPr>
          <w:color w:val="auto"/>
          <w:kern w:val="0"/>
          <w:szCs w:val="21"/>
          <w:highlight w:val="none"/>
        </w:rPr>
      </w:pP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执行通用条款</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kern w:val="0"/>
          <w:szCs w:val="21"/>
          <w:highlight w:val="none"/>
        </w:rPr>
        <w:t>。</w:t>
      </w:r>
    </w:p>
    <w:p>
      <w:pPr>
        <w:pStyle w:val="7"/>
        <w:rPr>
          <w:color w:val="auto"/>
          <w:highlight w:val="none"/>
        </w:rPr>
      </w:pPr>
      <w:bookmarkStart w:id="268" w:name="_Toc26989"/>
      <w:bookmarkStart w:id="269" w:name="_Toc491946603"/>
      <w:r>
        <w:rPr>
          <w:color w:val="auto"/>
          <w:highlight w:val="none"/>
        </w:rPr>
        <w:t>1.13工程量清单错误的修正</w:t>
      </w:r>
      <w:bookmarkEnd w:id="268"/>
      <w:bookmarkEnd w:id="269"/>
    </w:p>
    <w:p>
      <w:pPr>
        <w:spacing w:line="360" w:lineRule="auto"/>
        <w:ind w:firstLine="420" w:firstLineChars="200"/>
        <w:rPr>
          <w:color w:val="auto"/>
          <w:szCs w:val="21"/>
          <w:highlight w:val="none"/>
        </w:rPr>
      </w:pPr>
      <w:r>
        <w:rPr>
          <w:rFonts w:hAnsi="宋体"/>
          <w:color w:val="auto"/>
          <w:szCs w:val="21"/>
          <w:highlight w:val="none"/>
        </w:rPr>
        <w:t>出现工程量清单工程量偏差时，是否调整合同价格：</w:t>
      </w:r>
      <w:r>
        <w:rPr>
          <w:color w:val="auto"/>
          <w:szCs w:val="21"/>
          <w:highlight w:val="none"/>
          <w:u w:val="single"/>
        </w:rPr>
        <w:t xml:space="preserve">     </w:t>
      </w:r>
      <w:r>
        <w:rPr>
          <w:rFonts w:hint="eastAsia"/>
          <w:color w:val="auto"/>
          <w:szCs w:val="21"/>
          <w:highlight w:val="none"/>
          <w:u w:val="single"/>
        </w:rPr>
        <w:t>是</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kern w:val="0"/>
          <w:szCs w:val="21"/>
          <w:highlight w:val="none"/>
        </w:rPr>
        <w:t>。</w:t>
      </w:r>
    </w:p>
    <w:p>
      <w:pPr>
        <w:spacing w:line="360" w:lineRule="auto"/>
        <w:ind w:firstLine="420" w:firstLineChars="200"/>
        <w:rPr>
          <w:rFonts w:hAnsi="宋体"/>
          <w:color w:val="auto"/>
          <w:szCs w:val="21"/>
          <w:highlight w:val="none"/>
        </w:rPr>
      </w:pPr>
      <w:r>
        <w:rPr>
          <w:rFonts w:hAnsi="宋体"/>
          <w:color w:val="auto"/>
          <w:szCs w:val="21"/>
          <w:highlight w:val="none"/>
        </w:rPr>
        <w:t>允许调整合同价格的工程量偏差范围及其调整办法：</w:t>
      </w:r>
      <w:r>
        <w:rPr>
          <w:rFonts w:hAnsi="宋体"/>
          <w:color w:val="auto"/>
          <w:szCs w:val="21"/>
          <w:highlight w:val="none"/>
          <w:u w:val="single"/>
        </w:rPr>
        <w:t></w:t>
      </w:r>
      <w:r>
        <w:rPr>
          <w:rFonts w:hint="eastAsia"/>
          <w:color w:val="auto"/>
          <w:szCs w:val="21"/>
          <w:highlight w:val="none"/>
          <w:u w:val="single"/>
        </w:rPr>
        <w:t>双方另行确定</w:t>
      </w:r>
      <w:r>
        <w:rPr>
          <w:color w:val="auto"/>
          <w:szCs w:val="21"/>
          <w:highlight w:val="none"/>
          <w:u w:val="single"/>
        </w:rPr>
        <w:t xml:space="preserve">   </w:t>
      </w:r>
      <w:r>
        <w:rPr>
          <w:rFonts w:hAnsi="宋体"/>
          <w:color w:val="auto"/>
          <w:kern w:val="0"/>
          <w:szCs w:val="21"/>
          <w:highlight w:val="none"/>
        </w:rPr>
        <w:t>。</w:t>
      </w:r>
      <w:bookmarkStart w:id="270" w:name="_Toc491946604"/>
    </w:p>
    <w:p>
      <w:pPr>
        <w:spacing w:line="360" w:lineRule="auto"/>
        <w:rPr>
          <w:rFonts w:hAnsi="宋体"/>
          <w:b/>
          <w:bCs/>
          <w:color w:val="auto"/>
          <w:sz w:val="24"/>
          <w:szCs w:val="32"/>
          <w:highlight w:val="none"/>
        </w:rPr>
      </w:pPr>
      <w:r>
        <w:rPr>
          <w:rFonts w:hAnsi="宋体"/>
          <w:b/>
          <w:bCs/>
          <w:color w:val="auto"/>
          <w:sz w:val="24"/>
          <w:szCs w:val="32"/>
          <w:highlight w:val="none"/>
        </w:rPr>
        <w:t>2. 发包人</w:t>
      </w:r>
      <w:bookmarkEnd w:id="270"/>
    </w:p>
    <w:p>
      <w:pPr>
        <w:pStyle w:val="7"/>
        <w:rPr>
          <w:color w:val="auto"/>
          <w:highlight w:val="none"/>
        </w:rPr>
      </w:pPr>
      <w:bookmarkStart w:id="271" w:name="_Toc491946605"/>
      <w:bookmarkStart w:id="272" w:name="_Toc24262"/>
      <w:r>
        <w:rPr>
          <w:color w:val="auto"/>
          <w:highlight w:val="none"/>
        </w:rPr>
        <w:t xml:space="preserve">2.2 </w:t>
      </w:r>
      <w:r>
        <w:rPr>
          <w:rFonts w:hAnsi="宋体"/>
          <w:color w:val="auto"/>
          <w:highlight w:val="none"/>
        </w:rPr>
        <w:t>发包人代表</w:t>
      </w:r>
      <w:bookmarkEnd w:id="271"/>
      <w:bookmarkEnd w:id="272"/>
    </w:p>
    <w:p>
      <w:pPr>
        <w:spacing w:line="360" w:lineRule="auto"/>
        <w:ind w:firstLine="420" w:firstLineChars="200"/>
        <w:rPr>
          <w:rFonts w:hAnsi="宋体"/>
          <w:color w:val="auto"/>
          <w:szCs w:val="21"/>
          <w:highlight w:val="none"/>
        </w:rPr>
      </w:pPr>
      <w:r>
        <w:rPr>
          <w:rFonts w:hint="eastAsia" w:hAnsi="宋体"/>
          <w:color w:val="auto"/>
          <w:szCs w:val="21"/>
          <w:highlight w:val="none"/>
          <w:lang w:eastAsia="zh-CN"/>
        </w:rPr>
        <w:t>工地</w:t>
      </w:r>
      <w:r>
        <w:rPr>
          <w:rFonts w:hAnsi="宋体"/>
          <w:color w:val="auto"/>
          <w:szCs w:val="21"/>
          <w:highlight w:val="none"/>
        </w:rPr>
        <w:t>代表</w:t>
      </w:r>
      <w:r>
        <w:rPr>
          <w:rFonts w:hint="eastAsia" w:hAnsi="宋体"/>
          <w:color w:val="auto"/>
          <w:szCs w:val="21"/>
          <w:highlight w:val="none"/>
          <w:lang w:eastAsia="zh-CN"/>
        </w:rPr>
        <w:t>：</w:t>
      </w:r>
      <w:r>
        <w:rPr>
          <w:rFonts w:hAnsi="宋体"/>
          <w:color w:val="auto"/>
          <w:szCs w:val="21"/>
          <w:highlight w:val="none"/>
          <w:u w:val="single"/>
        </w:rPr>
        <w:t></w:t>
      </w:r>
      <w:r>
        <w:rPr>
          <w:rFonts w:hint="eastAsia" w:hAnsi="宋体"/>
          <w:color w:val="auto"/>
          <w:szCs w:val="21"/>
          <w:highlight w:val="none"/>
          <w:u w:val="single"/>
          <w:lang w:val="en-US" w:eastAsia="zh-CN"/>
        </w:rPr>
        <w:t xml:space="preserve">  </w:t>
      </w:r>
      <w:r>
        <w:rPr>
          <w:rFonts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rFonts w:hint="default" w:hAnsi="宋体"/>
          <w:color w:val="auto"/>
          <w:szCs w:val="21"/>
          <w:highlight w:val="none"/>
          <w:u w:val="none"/>
          <w:lang w:val="en-US" w:eastAsia="zh-CN"/>
        </w:rPr>
      </w:pPr>
      <w:r>
        <w:rPr>
          <w:rFonts w:hint="eastAsia" w:hAnsi="宋体"/>
          <w:color w:val="auto"/>
          <w:szCs w:val="21"/>
          <w:highlight w:val="none"/>
          <w:lang w:eastAsia="zh-CN"/>
        </w:rPr>
        <w:t>项目负责人：</w:t>
      </w:r>
      <w:r>
        <w:rPr>
          <w:rFonts w:hint="eastAsia" w:hAnsi="宋体"/>
          <w:color w:val="auto"/>
          <w:szCs w:val="21"/>
          <w:highlight w:val="none"/>
          <w:u w:val="single"/>
          <w:lang w:val="en-US" w:eastAsia="zh-CN"/>
        </w:rPr>
        <w:t xml:space="preserve">                                </w:t>
      </w:r>
      <w:r>
        <w:rPr>
          <w:rFonts w:hint="eastAsia" w:hAnsi="宋体"/>
          <w:color w:val="auto"/>
          <w:szCs w:val="21"/>
          <w:highlight w:val="none"/>
          <w:u w:val="none"/>
          <w:lang w:val="en-US" w:eastAsia="zh-CN"/>
        </w:rPr>
        <w:t xml:space="preserve">； </w:t>
      </w:r>
    </w:p>
    <w:p>
      <w:pPr>
        <w:spacing w:line="360" w:lineRule="auto"/>
        <w:ind w:firstLine="420" w:firstLineChars="200"/>
        <w:rPr>
          <w:color w:val="auto"/>
          <w:szCs w:val="21"/>
          <w:highlight w:val="none"/>
        </w:rPr>
      </w:pPr>
      <w:r>
        <w:rPr>
          <w:rFonts w:hAnsi="宋体"/>
          <w:color w:val="auto"/>
          <w:szCs w:val="21"/>
          <w:highlight w:val="none"/>
        </w:rPr>
        <w:t>身份证号：</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职</w:t>
      </w:r>
      <w:r>
        <w:rPr>
          <w:color w:val="auto"/>
          <w:szCs w:val="21"/>
          <w:highlight w:val="none"/>
        </w:rPr>
        <w:t xml:space="preserve">    </w:t>
      </w:r>
      <w:r>
        <w:rPr>
          <w:rFonts w:hAnsi="宋体"/>
          <w:color w:val="auto"/>
          <w:szCs w:val="21"/>
          <w:highlight w:val="none"/>
        </w:rPr>
        <w:t>务：</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联系电话：</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电子信箱：</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通信地址：</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color w:val="auto"/>
          <w:szCs w:val="21"/>
          <w:highlight w:val="none"/>
          <w:u w:val="single"/>
        </w:rPr>
      </w:pPr>
      <w:r>
        <w:rPr>
          <w:rFonts w:hAnsi="宋体"/>
          <w:color w:val="auto"/>
          <w:szCs w:val="21"/>
          <w:highlight w:val="none"/>
        </w:rPr>
        <w:t>发包人对发包人代表的授权范围如下：</w:t>
      </w:r>
      <w:r>
        <w:rPr>
          <w:rFonts w:hAnsi="宋体"/>
          <w:color w:val="auto"/>
          <w:szCs w:val="21"/>
          <w:highlight w:val="none"/>
          <w:u w:val="single"/>
        </w:rPr>
        <w:t></w:t>
      </w:r>
      <w:r>
        <w:rPr>
          <w:rFonts w:hint="eastAsia" w:hAnsi="宋体"/>
          <w:color w:val="auto"/>
          <w:szCs w:val="21"/>
          <w:highlight w:val="none"/>
          <w:u w:val="single"/>
        </w:rPr>
        <w:t>代表发包人行使对项目质量、进度、投资的控制和安全管理的权力；对承包人完成的图纸的审查权；对施工组织设计和施工方案的审批权；工程建设有关协作单位的组织协调权；工程用材料和施工质量的检验权；工程进度的检查、监督权；施工现场的监督管理权；技术变更签认权；现场签证权。签订合同后，发包人将在第一次工地会议纪要明确发包人派出人员（包括发包人代表及其他发包人派驻施工现场人员）的具体岗位、职责与权限，和发包人对总监理工程师的授权。在合同执行过程中，发包人可增派特别授权代表，特别授权代表的职权由发包人以书面文件予以明确</w:t>
      </w:r>
      <w:r>
        <w:rPr>
          <w:rFonts w:hAnsi="宋体"/>
          <w:color w:val="auto"/>
          <w:szCs w:val="21"/>
          <w:highlight w:val="none"/>
          <w:u w:val="single"/>
        </w:rPr>
        <w:t></w:t>
      </w:r>
      <w:r>
        <w:rPr>
          <w:rFonts w:hAnsi="宋体"/>
          <w:color w:val="auto"/>
          <w:szCs w:val="21"/>
          <w:highlight w:val="none"/>
        </w:rPr>
        <w:t>。</w:t>
      </w:r>
    </w:p>
    <w:p>
      <w:pPr>
        <w:pStyle w:val="7"/>
        <w:rPr>
          <w:color w:val="auto"/>
          <w:highlight w:val="none"/>
        </w:rPr>
      </w:pPr>
      <w:bookmarkStart w:id="273" w:name="_Toc31569"/>
      <w:bookmarkStart w:id="274" w:name="_Toc491946606"/>
      <w:r>
        <w:rPr>
          <w:color w:val="auto"/>
          <w:highlight w:val="none"/>
        </w:rPr>
        <w:t>2.4 施工现场、施工条件和基础资料的提供</w:t>
      </w:r>
      <w:bookmarkEnd w:id="273"/>
      <w:bookmarkEnd w:id="274"/>
    </w:p>
    <w:p>
      <w:pPr>
        <w:spacing w:line="360" w:lineRule="auto"/>
        <w:ind w:firstLine="420" w:firstLineChars="200"/>
        <w:rPr>
          <w:color w:val="auto"/>
          <w:szCs w:val="21"/>
          <w:highlight w:val="none"/>
        </w:rPr>
      </w:pPr>
      <w:r>
        <w:rPr>
          <w:color w:val="auto"/>
          <w:szCs w:val="21"/>
          <w:highlight w:val="none"/>
        </w:rPr>
        <w:t xml:space="preserve">2.4.1 </w:t>
      </w:r>
      <w:r>
        <w:rPr>
          <w:rFonts w:hAnsi="宋体"/>
          <w:color w:val="auto"/>
          <w:szCs w:val="21"/>
          <w:highlight w:val="none"/>
        </w:rPr>
        <w:t>提供施工现场</w:t>
      </w:r>
    </w:p>
    <w:p>
      <w:pPr>
        <w:spacing w:line="360" w:lineRule="auto"/>
        <w:ind w:firstLine="420" w:firstLineChars="200"/>
        <w:jc w:val="left"/>
        <w:rPr>
          <w:color w:val="auto"/>
          <w:szCs w:val="21"/>
          <w:highlight w:val="none"/>
        </w:rPr>
      </w:pPr>
      <w:r>
        <w:rPr>
          <w:rFonts w:hAnsi="宋体"/>
          <w:color w:val="auto"/>
          <w:szCs w:val="21"/>
          <w:highlight w:val="none"/>
        </w:rPr>
        <w:t>关于发包人移交施工现场的期限要求：</w:t>
      </w:r>
      <w:r>
        <w:rPr>
          <w:rFonts w:hAnsi="宋体"/>
          <w:color w:val="auto"/>
          <w:szCs w:val="21"/>
          <w:highlight w:val="none"/>
          <w:u w:val="single"/>
        </w:rPr>
        <w:t>计划开工日前 7 天</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rPr>
          <w:color w:val="auto"/>
          <w:szCs w:val="21"/>
          <w:highlight w:val="none"/>
        </w:rPr>
      </w:pPr>
      <w:r>
        <w:rPr>
          <w:color w:val="auto"/>
          <w:szCs w:val="21"/>
          <w:highlight w:val="none"/>
        </w:rPr>
        <w:t xml:space="preserve">2.4.2 </w:t>
      </w:r>
      <w:r>
        <w:rPr>
          <w:rFonts w:hAnsi="宋体"/>
          <w:color w:val="auto"/>
          <w:szCs w:val="21"/>
          <w:highlight w:val="none"/>
        </w:rPr>
        <w:t>提供施工条件</w:t>
      </w:r>
    </w:p>
    <w:p>
      <w:pPr>
        <w:spacing w:line="360" w:lineRule="auto"/>
        <w:ind w:firstLine="420" w:firstLineChars="200"/>
        <w:rPr>
          <w:color w:val="auto"/>
          <w:szCs w:val="21"/>
          <w:highlight w:val="none"/>
          <w:u w:val="single"/>
        </w:rPr>
      </w:pPr>
      <w:r>
        <w:rPr>
          <w:rFonts w:hAnsi="宋体"/>
          <w:color w:val="auto"/>
          <w:szCs w:val="21"/>
          <w:highlight w:val="none"/>
        </w:rPr>
        <w:t>关于发包人应负责提供施工所需要的条件，包括：</w:t>
      </w:r>
      <w:r>
        <w:rPr>
          <w:color w:val="auto"/>
          <w:szCs w:val="21"/>
          <w:highlight w:val="none"/>
          <w:u w:val="single"/>
        </w:rPr>
        <w:t>（1）将施工所需的水、电、电讯线路接至施工现场的时间、地点和供应要求: 均由承包人自行解决，但最晚期限不得超过 30 天，且费用自理。</w:t>
      </w:r>
    </w:p>
    <w:p>
      <w:pPr>
        <w:spacing w:line="360" w:lineRule="auto"/>
        <w:ind w:firstLine="420" w:firstLineChars="200"/>
        <w:rPr>
          <w:color w:val="auto"/>
          <w:szCs w:val="21"/>
          <w:highlight w:val="none"/>
          <w:u w:val="single"/>
        </w:rPr>
      </w:pPr>
      <w:r>
        <w:rPr>
          <w:color w:val="auto"/>
          <w:szCs w:val="21"/>
          <w:highlight w:val="none"/>
          <w:u w:val="single"/>
        </w:rPr>
        <w:t>（2）施工场地与公共道路的通道开通时间和要求:本工程在市区、施工现场周围道路通畅，但承包人应遵守北海市</w:t>
      </w:r>
      <w:r>
        <w:rPr>
          <w:rFonts w:hint="eastAsia"/>
          <w:color w:val="auto"/>
          <w:szCs w:val="21"/>
          <w:highlight w:val="none"/>
          <w:u w:val="single"/>
        </w:rPr>
        <w:t>铁山港区</w:t>
      </w:r>
      <w:r>
        <w:rPr>
          <w:color w:val="auto"/>
          <w:szCs w:val="21"/>
          <w:highlight w:val="none"/>
          <w:u w:val="single"/>
        </w:rPr>
        <w:t>交通管理部门限制通行的有关规定以及北海市</w:t>
      </w:r>
      <w:r>
        <w:rPr>
          <w:rFonts w:hint="eastAsia"/>
          <w:color w:val="auto"/>
          <w:szCs w:val="21"/>
          <w:highlight w:val="none"/>
          <w:u w:val="single"/>
        </w:rPr>
        <w:t>铁山港区</w:t>
      </w:r>
      <w:r>
        <w:rPr>
          <w:color w:val="auto"/>
          <w:szCs w:val="21"/>
          <w:highlight w:val="none"/>
          <w:u w:val="single"/>
        </w:rPr>
        <w:t>城管部门的有关规定并承担违反规定引起的罚款等任务。</w:t>
      </w:r>
    </w:p>
    <w:p>
      <w:pPr>
        <w:spacing w:line="360" w:lineRule="auto"/>
        <w:ind w:firstLine="420" w:firstLineChars="200"/>
        <w:rPr>
          <w:color w:val="auto"/>
          <w:szCs w:val="21"/>
          <w:highlight w:val="none"/>
          <w:u w:val="single"/>
        </w:rPr>
      </w:pPr>
      <w:r>
        <w:rPr>
          <w:color w:val="auto"/>
          <w:szCs w:val="21"/>
          <w:highlight w:val="none"/>
          <w:u w:val="single"/>
        </w:rPr>
        <w:t>（</w:t>
      </w:r>
      <w:r>
        <w:rPr>
          <w:rFonts w:hint="eastAsia"/>
          <w:color w:val="auto"/>
          <w:szCs w:val="21"/>
          <w:highlight w:val="none"/>
          <w:u w:val="single"/>
        </w:rPr>
        <w:t>4</w:t>
      </w:r>
      <w:r>
        <w:rPr>
          <w:color w:val="auto"/>
          <w:szCs w:val="21"/>
          <w:highlight w:val="none"/>
          <w:u w:val="single"/>
        </w:rPr>
        <w:t>）水准点和坐标控制点交验要求: 开工前5日以书面形式在施工现场交验，由承包人负责复核其准确与合理性,且不得迟于正式开工前向发包人提交其复核成果文件。</w:t>
      </w:r>
    </w:p>
    <w:p>
      <w:pPr>
        <w:spacing w:line="360" w:lineRule="auto"/>
        <w:ind w:firstLine="420" w:firstLineChars="200"/>
        <w:rPr>
          <w:color w:val="auto"/>
          <w:szCs w:val="21"/>
          <w:highlight w:val="none"/>
          <w:u w:val="single"/>
        </w:rPr>
      </w:pPr>
      <w:r>
        <w:rPr>
          <w:color w:val="auto"/>
          <w:szCs w:val="21"/>
          <w:highlight w:val="none"/>
          <w:u w:val="single"/>
        </w:rPr>
        <w:t>（</w:t>
      </w:r>
      <w:r>
        <w:rPr>
          <w:rFonts w:hint="eastAsia"/>
          <w:color w:val="auto"/>
          <w:szCs w:val="21"/>
          <w:highlight w:val="none"/>
          <w:u w:val="single"/>
        </w:rPr>
        <w:t>5</w:t>
      </w:r>
      <w:r>
        <w:rPr>
          <w:color w:val="auto"/>
          <w:szCs w:val="21"/>
          <w:highlight w:val="none"/>
          <w:u w:val="single"/>
        </w:rPr>
        <w:t>）图纸会审和设计交底时间:开工5日前。</w:t>
      </w:r>
    </w:p>
    <w:p>
      <w:pPr>
        <w:spacing w:line="360" w:lineRule="auto"/>
        <w:ind w:firstLine="420" w:firstLineChars="200"/>
        <w:rPr>
          <w:color w:val="auto"/>
          <w:szCs w:val="21"/>
          <w:highlight w:val="none"/>
          <w:u w:val="single"/>
        </w:rPr>
      </w:pPr>
      <w:r>
        <w:rPr>
          <w:color w:val="auto"/>
          <w:szCs w:val="21"/>
          <w:highlight w:val="none"/>
          <w:u w:val="single"/>
        </w:rPr>
        <w:t>（</w:t>
      </w:r>
      <w:r>
        <w:rPr>
          <w:rFonts w:hint="eastAsia"/>
          <w:color w:val="auto"/>
          <w:szCs w:val="21"/>
          <w:highlight w:val="none"/>
          <w:u w:val="single"/>
        </w:rPr>
        <w:t>6</w:t>
      </w:r>
      <w:r>
        <w:rPr>
          <w:color w:val="auto"/>
          <w:szCs w:val="21"/>
          <w:highlight w:val="none"/>
          <w:u w:val="single"/>
        </w:rPr>
        <w:t>）协调处理施工场地周围地下管线和邻近建筑物、构筑物(含文物保护建筑)、古树名木的保</w:t>
      </w:r>
    </w:p>
    <w:p>
      <w:pPr>
        <w:spacing w:line="360" w:lineRule="auto"/>
        <w:rPr>
          <w:color w:val="auto"/>
          <w:szCs w:val="21"/>
          <w:highlight w:val="none"/>
          <w:u w:val="single"/>
        </w:rPr>
      </w:pPr>
      <w:r>
        <w:rPr>
          <w:color w:val="auto"/>
          <w:szCs w:val="21"/>
          <w:highlight w:val="none"/>
          <w:u w:val="single"/>
        </w:rPr>
        <w:t>护工作: 由承包人在正式开工前向工程师提出具体保护措施并负责施工期间保护工作,经发包人同意保护措施的费用由发包人承担。未经发包人同意或因承包人的责任施工时损坏地下管线、邻近建筑物、构筑物和古树名木，所发生的修复及赔偿费用由承包人自理。</w:t>
      </w:r>
    </w:p>
    <w:p>
      <w:pPr>
        <w:spacing w:line="360" w:lineRule="auto"/>
        <w:ind w:firstLine="420" w:firstLineChars="200"/>
        <w:rPr>
          <w:color w:val="auto"/>
          <w:szCs w:val="21"/>
          <w:highlight w:val="none"/>
          <w:u w:val="single"/>
        </w:rPr>
      </w:pPr>
      <w:r>
        <w:rPr>
          <w:color w:val="auto"/>
          <w:szCs w:val="21"/>
          <w:highlight w:val="none"/>
          <w:u w:val="single"/>
        </w:rPr>
        <w:t>（</w:t>
      </w:r>
      <w:r>
        <w:rPr>
          <w:rFonts w:hint="eastAsia"/>
          <w:color w:val="auto"/>
          <w:szCs w:val="21"/>
          <w:highlight w:val="none"/>
          <w:u w:val="single"/>
        </w:rPr>
        <w:t>7</w:t>
      </w:r>
      <w:r>
        <w:rPr>
          <w:color w:val="auto"/>
          <w:szCs w:val="21"/>
          <w:highlight w:val="none"/>
          <w:u w:val="single"/>
        </w:rPr>
        <w:t>）双方约定发包人应做的其他工作: 无。</w:t>
      </w:r>
    </w:p>
    <w:p>
      <w:pPr>
        <w:spacing w:line="360" w:lineRule="auto"/>
        <w:ind w:firstLine="420" w:firstLineChars="200"/>
        <w:rPr>
          <w:color w:val="auto"/>
          <w:szCs w:val="21"/>
          <w:highlight w:val="none"/>
          <w:u w:val="single"/>
        </w:rPr>
      </w:pPr>
      <w:r>
        <w:rPr>
          <w:color w:val="auto"/>
          <w:szCs w:val="21"/>
          <w:highlight w:val="none"/>
          <w:u w:val="single"/>
        </w:rPr>
        <w:t>（</w:t>
      </w:r>
      <w:r>
        <w:rPr>
          <w:rFonts w:hint="eastAsia"/>
          <w:color w:val="auto"/>
          <w:szCs w:val="21"/>
          <w:highlight w:val="none"/>
          <w:u w:val="single"/>
        </w:rPr>
        <w:t>8</w:t>
      </w:r>
      <w:r>
        <w:rPr>
          <w:color w:val="auto"/>
          <w:szCs w:val="21"/>
          <w:highlight w:val="none"/>
          <w:u w:val="single"/>
        </w:rPr>
        <w:t>）发包人委托承包人办理的工作: 如发包人有需要时，具体再由双方协商。</w:t>
      </w:r>
    </w:p>
    <w:p>
      <w:pPr>
        <w:pStyle w:val="7"/>
        <w:rPr>
          <w:color w:val="auto"/>
          <w:highlight w:val="none"/>
        </w:rPr>
      </w:pPr>
      <w:bookmarkStart w:id="275" w:name="_Toc491946607"/>
      <w:bookmarkStart w:id="276" w:name="_Toc29466"/>
      <w:r>
        <w:rPr>
          <w:color w:val="auto"/>
          <w:highlight w:val="none"/>
        </w:rPr>
        <w:t>2.5 资金来源证明及支付担保</w:t>
      </w:r>
      <w:bookmarkEnd w:id="275"/>
      <w:bookmarkEnd w:id="276"/>
    </w:p>
    <w:p>
      <w:pPr>
        <w:spacing w:line="360" w:lineRule="auto"/>
        <w:ind w:firstLine="420" w:firstLineChars="200"/>
        <w:rPr>
          <w:color w:val="auto"/>
          <w:szCs w:val="21"/>
          <w:highlight w:val="none"/>
        </w:rPr>
      </w:pPr>
      <w:r>
        <w:rPr>
          <w:rFonts w:hAnsi="宋体"/>
          <w:color w:val="auto"/>
          <w:szCs w:val="21"/>
          <w:highlight w:val="none"/>
        </w:rPr>
        <w:t>发包人提供资金来源证明的期限要求：</w:t>
      </w:r>
      <w:r>
        <w:rPr>
          <w:rFonts w:hAnsi="宋体"/>
          <w:color w:val="auto"/>
          <w:szCs w:val="21"/>
          <w:highlight w:val="none"/>
          <w:u w:val="single"/>
        </w:rPr>
        <w:t></w:t>
      </w:r>
      <w:r>
        <w:rPr>
          <w:rFonts w:hint="eastAsia"/>
          <w:color w:val="auto"/>
          <w:szCs w:val="21"/>
          <w:highlight w:val="none"/>
          <w:u w:val="single"/>
        </w:rPr>
        <w:t>否</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发包人是否提供支付担保：</w:t>
      </w:r>
      <w:r>
        <w:rPr>
          <w:rFonts w:hAnsi="宋体"/>
          <w:color w:val="auto"/>
          <w:szCs w:val="21"/>
          <w:highlight w:val="none"/>
          <w:u w:val="single"/>
        </w:rPr>
        <w:t></w:t>
      </w:r>
      <w:r>
        <w:rPr>
          <w:rFonts w:hint="eastAsia"/>
          <w:color w:val="auto"/>
          <w:szCs w:val="21"/>
          <w:highlight w:val="none"/>
          <w:u w:val="single"/>
        </w:rPr>
        <w:t>不提供</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rPr>
          <w:rFonts w:hAnsi="宋体"/>
          <w:color w:val="auto"/>
          <w:szCs w:val="21"/>
          <w:highlight w:val="none"/>
        </w:rPr>
      </w:pPr>
      <w:r>
        <w:rPr>
          <w:rFonts w:hAnsi="宋体"/>
          <w:color w:val="auto"/>
          <w:szCs w:val="21"/>
          <w:highlight w:val="none"/>
        </w:rPr>
        <w:t>发包人提供支付担保的形式：</w:t>
      </w:r>
      <w:r>
        <w:rPr>
          <w:rFonts w:hAnsi="宋体"/>
          <w:color w:val="auto"/>
          <w:szCs w:val="21"/>
          <w:highlight w:val="none"/>
          <w:u w:val="single"/>
        </w:rPr>
        <w:t>不提供支付承诺</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rFonts w:hint="eastAsia" w:hAnsi="宋体"/>
          <w:color w:val="auto"/>
          <w:szCs w:val="21"/>
          <w:highlight w:val="none"/>
        </w:rPr>
      </w:pPr>
      <w:r>
        <w:rPr>
          <w:rFonts w:hint="eastAsia" w:hAnsi="宋体"/>
          <w:color w:val="auto"/>
          <w:szCs w:val="21"/>
          <w:highlight w:val="none"/>
        </w:rPr>
        <w:t>发包人提供的支付担保格式见合同附件2。</w:t>
      </w:r>
      <w:bookmarkStart w:id="277" w:name="_Toc491946608"/>
    </w:p>
    <w:p>
      <w:pPr>
        <w:spacing w:line="360" w:lineRule="auto"/>
        <w:rPr>
          <w:rFonts w:hAnsi="宋体"/>
          <w:b/>
          <w:bCs/>
          <w:color w:val="auto"/>
          <w:sz w:val="24"/>
          <w:szCs w:val="32"/>
          <w:highlight w:val="none"/>
        </w:rPr>
      </w:pPr>
      <w:r>
        <w:rPr>
          <w:rFonts w:hAnsi="宋体"/>
          <w:b/>
          <w:bCs/>
          <w:color w:val="auto"/>
          <w:sz w:val="24"/>
          <w:szCs w:val="32"/>
          <w:highlight w:val="none"/>
        </w:rPr>
        <w:t>3. 承包人</w:t>
      </w:r>
      <w:bookmarkEnd w:id="277"/>
    </w:p>
    <w:p>
      <w:pPr>
        <w:pStyle w:val="7"/>
        <w:rPr>
          <w:color w:val="auto"/>
          <w:highlight w:val="none"/>
        </w:rPr>
      </w:pPr>
      <w:bookmarkStart w:id="278" w:name="_Toc491946609"/>
      <w:bookmarkStart w:id="279" w:name="_Toc6639"/>
      <w:r>
        <w:rPr>
          <w:color w:val="auto"/>
          <w:highlight w:val="none"/>
        </w:rPr>
        <w:t>3.1 承包人的一般义务</w:t>
      </w:r>
      <w:bookmarkEnd w:id="278"/>
      <w:bookmarkEnd w:id="279"/>
    </w:p>
    <w:p>
      <w:pPr>
        <w:spacing w:line="360" w:lineRule="auto"/>
        <w:ind w:firstLine="420" w:firstLineChars="200"/>
        <w:jc w:val="left"/>
        <w:rPr>
          <w:rFonts w:hAnsi="宋体"/>
          <w:color w:val="auto"/>
          <w:szCs w:val="21"/>
          <w:highlight w:val="none"/>
        </w:rPr>
      </w:pPr>
      <w:r>
        <w:rPr>
          <w:rFonts w:hAnsi="宋体"/>
          <w:color w:val="auto"/>
          <w:kern w:val="0"/>
          <w:szCs w:val="21"/>
          <w:highlight w:val="none"/>
        </w:rPr>
        <w:t>（</w:t>
      </w:r>
      <w:r>
        <w:rPr>
          <w:rFonts w:hint="eastAsia"/>
          <w:color w:val="auto"/>
          <w:kern w:val="0"/>
          <w:szCs w:val="21"/>
          <w:highlight w:val="none"/>
        </w:rPr>
        <w:t>9</w:t>
      </w:r>
      <w:r>
        <w:rPr>
          <w:rFonts w:hAnsi="宋体"/>
          <w:color w:val="auto"/>
          <w:kern w:val="0"/>
          <w:szCs w:val="21"/>
          <w:highlight w:val="none"/>
        </w:rPr>
        <w:t>）</w:t>
      </w:r>
      <w:r>
        <w:rPr>
          <w:rFonts w:hAnsi="宋体"/>
          <w:color w:val="auto"/>
          <w:szCs w:val="21"/>
          <w:highlight w:val="none"/>
        </w:rPr>
        <w:t>承包人提交的竣工资料的内</w:t>
      </w:r>
      <w:r>
        <w:rPr>
          <w:rFonts w:hint="eastAsia" w:hAnsi="宋体"/>
          <w:color w:val="auto"/>
          <w:szCs w:val="21"/>
          <w:highlight w:val="none"/>
        </w:rPr>
        <w:t>容</w:t>
      </w:r>
      <w:r>
        <w:rPr>
          <w:rFonts w:hAnsi="宋体"/>
          <w:color w:val="auto"/>
          <w:szCs w:val="21"/>
          <w:highlight w:val="none"/>
        </w:rPr>
        <w:t>：</w:t>
      </w:r>
    </w:p>
    <w:p>
      <w:pPr>
        <w:spacing w:line="360" w:lineRule="auto"/>
        <w:ind w:firstLine="420" w:firstLineChars="200"/>
        <w:jc w:val="left"/>
        <w:rPr>
          <w:color w:val="auto"/>
          <w:szCs w:val="21"/>
          <w:highlight w:val="none"/>
          <w:u w:val="single"/>
        </w:rPr>
      </w:pPr>
      <w:r>
        <w:rPr>
          <w:color w:val="auto"/>
          <w:szCs w:val="21"/>
          <w:highlight w:val="none"/>
          <w:u w:val="single"/>
        </w:rPr>
        <w:t xml:space="preserve">   </w:t>
      </w:r>
      <w:r>
        <w:rPr>
          <w:rFonts w:hint="eastAsia"/>
          <w:color w:val="auto"/>
          <w:szCs w:val="21"/>
          <w:highlight w:val="none"/>
          <w:u w:val="single"/>
        </w:rPr>
        <w:t>工程具备竣工验收条件，承包人按工程竣工验收有关规定，向发包人提交完整竣工资料及竣工验收报告和竣工图</w:t>
      </w:r>
      <w:r>
        <w:rPr>
          <w:color w:val="auto"/>
          <w:szCs w:val="21"/>
          <w:highlight w:val="none"/>
          <w:u w:val="single"/>
        </w:rPr>
        <w:t xml:space="preserve">   </w:t>
      </w:r>
      <w:r>
        <w:rPr>
          <w:rFonts w:hint="eastAsia"/>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rPr>
      </w:pPr>
      <w:r>
        <w:rPr>
          <w:rFonts w:hAnsi="宋体"/>
          <w:color w:val="auto"/>
          <w:szCs w:val="21"/>
          <w:highlight w:val="none"/>
        </w:rPr>
        <w:t>承包人需要提交的竣工资料套数：</w:t>
      </w:r>
      <w:r>
        <w:rPr>
          <w:color w:val="auto"/>
          <w:szCs w:val="21"/>
          <w:highlight w:val="none"/>
          <w:u w:val="single"/>
        </w:rPr>
        <w:t xml:space="preserve">      </w:t>
      </w:r>
      <w:r>
        <w:rPr>
          <w:rFonts w:hint="eastAsia"/>
          <w:color w:val="auto"/>
          <w:szCs w:val="21"/>
          <w:highlight w:val="none"/>
          <w:u w:val="single"/>
        </w:rPr>
        <w:t>八套</w:t>
      </w:r>
      <w:r>
        <w:rPr>
          <w:color w:val="auto"/>
          <w:szCs w:val="21"/>
          <w:highlight w:val="none"/>
          <w:u w:val="single"/>
        </w:rPr>
        <w:t xml:space="preserve">         </w:t>
      </w:r>
      <w:r>
        <w:rPr>
          <w:rFonts w:hAnsi="宋体"/>
          <w:color w:val="auto"/>
          <w:szCs w:val="21"/>
          <w:highlight w:val="none"/>
        </w:rPr>
        <w:t>。</w:t>
      </w:r>
    </w:p>
    <w:p>
      <w:pPr>
        <w:spacing w:line="360" w:lineRule="auto"/>
        <w:ind w:left="424" w:leftChars="202"/>
        <w:jc w:val="left"/>
        <w:rPr>
          <w:color w:val="auto"/>
          <w:szCs w:val="21"/>
          <w:highlight w:val="none"/>
        </w:rPr>
      </w:pPr>
      <w:r>
        <w:rPr>
          <w:rFonts w:hAnsi="宋体"/>
          <w:color w:val="auto"/>
          <w:szCs w:val="21"/>
          <w:highlight w:val="none"/>
        </w:rPr>
        <w:t>承包人提交的竣工资料的费用承担：</w:t>
      </w:r>
      <w:r>
        <w:rPr>
          <w:color w:val="auto"/>
          <w:szCs w:val="21"/>
          <w:highlight w:val="none"/>
          <w:u w:val="single"/>
        </w:rPr>
        <w:t xml:space="preserve">      </w:t>
      </w:r>
      <w:r>
        <w:rPr>
          <w:rFonts w:hint="eastAsia"/>
          <w:color w:val="auto"/>
          <w:szCs w:val="21"/>
          <w:highlight w:val="none"/>
          <w:u w:val="single"/>
        </w:rPr>
        <w:t>承包人自行承担</w:t>
      </w:r>
      <w:r>
        <w:rPr>
          <w:color w:val="auto"/>
          <w:szCs w:val="21"/>
          <w:highlight w:val="none"/>
          <w:u w:val="single"/>
        </w:rPr>
        <w:t xml:space="preserve">        </w:t>
      </w:r>
      <w:r>
        <w:rPr>
          <w:rFonts w:hAnsi="宋体"/>
          <w:color w:val="auto"/>
          <w:szCs w:val="21"/>
          <w:highlight w:val="none"/>
        </w:rPr>
        <w:t>。</w:t>
      </w:r>
    </w:p>
    <w:p>
      <w:pPr>
        <w:spacing w:line="360" w:lineRule="auto"/>
        <w:ind w:left="424" w:leftChars="202"/>
        <w:jc w:val="left"/>
        <w:rPr>
          <w:color w:val="auto"/>
          <w:szCs w:val="21"/>
          <w:highlight w:val="none"/>
        </w:rPr>
      </w:pPr>
      <w:r>
        <w:rPr>
          <w:rFonts w:hAnsi="宋体"/>
          <w:color w:val="auto"/>
          <w:szCs w:val="21"/>
          <w:highlight w:val="none"/>
        </w:rPr>
        <w:t>承包人提交的竣工资料移交时间：</w:t>
      </w:r>
      <w:r>
        <w:rPr>
          <w:color w:val="auto"/>
          <w:szCs w:val="21"/>
          <w:highlight w:val="none"/>
          <w:u w:val="single"/>
        </w:rPr>
        <w:t xml:space="preserve">   </w:t>
      </w:r>
      <w:r>
        <w:rPr>
          <w:rFonts w:hint="eastAsia" w:ascii="宋体" w:hAnsi="宋体"/>
          <w:color w:val="auto"/>
          <w:kern w:val="0"/>
          <w:szCs w:val="21"/>
          <w:highlight w:val="none"/>
          <w:u w:val="single"/>
        </w:rPr>
        <w:t xml:space="preserve">竣工资料及竣工验收报告提交的时间是：竣工验收15日前。竣工图提交的时间是：竣工验收合格之日起15日内 </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rPr>
      </w:pPr>
      <w:r>
        <w:rPr>
          <w:rFonts w:hAnsi="宋体"/>
          <w:color w:val="auto"/>
          <w:szCs w:val="21"/>
          <w:highlight w:val="none"/>
        </w:rPr>
        <w:t>承包人提交的竣工资料形式要求：</w:t>
      </w:r>
      <w:r>
        <w:rPr>
          <w:color w:val="auto"/>
          <w:szCs w:val="21"/>
          <w:highlight w:val="none"/>
          <w:u w:val="single"/>
        </w:rPr>
        <w:t xml:space="preserve">   </w:t>
      </w:r>
      <w:r>
        <w:rPr>
          <w:rFonts w:hint="eastAsia"/>
          <w:color w:val="auto"/>
          <w:szCs w:val="21"/>
          <w:highlight w:val="none"/>
          <w:u w:val="single"/>
        </w:rPr>
        <w:t>按竣工资料整理归档的相关要求</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rPr>
          <w:color w:val="auto"/>
          <w:kern w:val="0"/>
          <w:szCs w:val="21"/>
          <w:highlight w:val="none"/>
        </w:rPr>
      </w:pPr>
      <w:r>
        <w:rPr>
          <w:rFonts w:hAnsi="宋体"/>
          <w:color w:val="auto"/>
          <w:kern w:val="0"/>
          <w:szCs w:val="21"/>
          <w:highlight w:val="none"/>
        </w:rPr>
        <w:t>（</w:t>
      </w:r>
      <w:r>
        <w:rPr>
          <w:rFonts w:hint="eastAsia"/>
          <w:color w:val="auto"/>
          <w:kern w:val="0"/>
          <w:szCs w:val="21"/>
          <w:highlight w:val="none"/>
        </w:rPr>
        <w:t>10</w:t>
      </w:r>
      <w:r>
        <w:rPr>
          <w:rFonts w:hAnsi="宋体"/>
          <w:color w:val="auto"/>
          <w:kern w:val="0"/>
          <w:szCs w:val="21"/>
          <w:highlight w:val="none"/>
        </w:rPr>
        <w:t>）承包人应履行的其他义务：</w:t>
      </w:r>
    </w:p>
    <w:p>
      <w:pPr>
        <w:spacing w:line="360" w:lineRule="auto"/>
        <w:ind w:firstLine="420" w:firstLineChars="200"/>
        <w:rPr>
          <w:color w:val="auto"/>
          <w:kern w:val="0"/>
          <w:szCs w:val="21"/>
          <w:highlight w:val="none"/>
          <w:u w:val="single"/>
        </w:rPr>
      </w:pPr>
      <w:r>
        <w:rPr>
          <w:color w:val="auto"/>
          <w:kern w:val="0"/>
          <w:szCs w:val="21"/>
          <w:highlight w:val="none"/>
          <w:u w:val="single"/>
        </w:rPr>
        <w:t xml:space="preserve">  </w:t>
      </w:r>
      <w:r>
        <w:rPr>
          <w:rFonts w:hint="eastAsia" w:ascii="宋体" w:hAnsi="宋体" w:cs="宋体"/>
          <w:color w:val="auto"/>
          <w:kern w:val="0"/>
          <w:szCs w:val="21"/>
          <w:highlight w:val="none"/>
          <w:u w:val="single"/>
        </w:rPr>
        <w:t>①</w:t>
      </w:r>
      <w:r>
        <w:rPr>
          <w:color w:val="auto"/>
          <w:kern w:val="0"/>
          <w:szCs w:val="21"/>
          <w:highlight w:val="none"/>
          <w:u w:val="single"/>
        </w:rPr>
        <w:t>承担施工安全保卫工作及非夜间施工照明的责任和要求： 负责提供和维修非夜间施工使用的照明、围栏设施，并负责安全保卫</w:t>
      </w:r>
      <w:r>
        <w:rPr>
          <w:rFonts w:hint="eastAsia"/>
          <w:color w:val="auto"/>
          <w:kern w:val="0"/>
          <w:szCs w:val="21"/>
          <w:highlight w:val="none"/>
          <w:u w:val="single"/>
        </w:rPr>
        <w:t>，应无条件的遵守工地安全保卫规定。承包人须防止火灾和有安全隐患的危险及采取一切可能的预防措施，承包人承担全部施工安全事故责任</w:t>
      </w:r>
      <w:r>
        <w:rPr>
          <w:color w:val="auto"/>
          <w:kern w:val="0"/>
          <w:szCs w:val="21"/>
          <w:highlight w:val="none"/>
          <w:u w:val="single"/>
        </w:rPr>
        <w:t>。</w:t>
      </w:r>
      <w:r>
        <w:rPr>
          <w:rFonts w:hint="eastAsia"/>
          <w:color w:val="auto"/>
          <w:kern w:val="0"/>
          <w:szCs w:val="21"/>
          <w:highlight w:val="none"/>
          <w:u w:val="single"/>
        </w:rPr>
        <w:t>②</w:t>
      </w:r>
      <w:r>
        <w:rPr>
          <w:color w:val="auto"/>
          <w:kern w:val="0"/>
          <w:szCs w:val="21"/>
          <w:highlight w:val="none"/>
          <w:u w:val="single"/>
        </w:rPr>
        <w:t>向发包人提供的办公和生活房屋及设施的要求</w:t>
      </w:r>
      <w:r>
        <w:rPr>
          <w:rFonts w:hint="eastAsia"/>
          <w:color w:val="auto"/>
          <w:kern w:val="0"/>
          <w:szCs w:val="21"/>
          <w:highlight w:val="none"/>
          <w:u w:val="single"/>
        </w:rPr>
        <w:t>③</w:t>
      </w:r>
      <w:r>
        <w:rPr>
          <w:color w:val="auto"/>
          <w:kern w:val="0"/>
          <w:szCs w:val="21"/>
          <w:highlight w:val="none"/>
          <w:u w:val="single"/>
        </w:rPr>
        <w:t>需承包人办理的有关施工场地交通、环卫和施工噪音管理等手续：承包人应采取一切必需的步骤来减低尘埃和噪音的干扰。承包人必须遵照国家 “《建筑施工场界噪声限值》(GB12523)”“国家《城市区域环境噪声标准》（GB3095-93）”及北海市有关规定，避免或减少由于施工造成的噪音、空气污染而带来的扰民及民扰影响以及施工带来的对日常行人使用道路的干扰。承包人须主动协调同周围居民及有关单位的关系，以免造成窝工、停工、延误工期的现象发生</w:t>
      </w:r>
      <w:r>
        <w:rPr>
          <w:rFonts w:hint="eastAsia"/>
          <w:color w:val="auto"/>
          <w:kern w:val="0"/>
          <w:szCs w:val="21"/>
          <w:highlight w:val="none"/>
          <w:u w:val="single"/>
        </w:rPr>
        <w:t>。如承包人在北海市有关规定中所允许的施工时间以外进行施工，因此而发生噪音、空气污染等扰民事故索赔、额外费用、工期延误等，均由承包人自行承担。承包人不能</w:t>
      </w:r>
      <w:r>
        <w:rPr>
          <w:rFonts w:hint="eastAsia"/>
          <w:color w:val="auto"/>
          <w:kern w:val="0"/>
          <w:szCs w:val="21"/>
          <w:highlight w:val="none"/>
          <w:u w:val="single"/>
          <w:lang w:eastAsia="zh-CN"/>
        </w:rPr>
        <w:t>以</w:t>
      </w:r>
      <w:r>
        <w:rPr>
          <w:rFonts w:hint="eastAsia"/>
          <w:color w:val="auto"/>
          <w:kern w:val="0"/>
          <w:szCs w:val="21"/>
          <w:highlight w:val="none"/>
          <w:u w:val="single"/>
        </w:rPr>
        <w:t>扰民或民扰问题处理为理由，向发包人提出索赔等要求。承包人</w:t>
      </w:r>
      <w:r>
        <w:rPr>
          <w:rFonts w:hint="eastAsia"/>
          <w:color w:val="auto"/>
          <w:kern w:val="0"/>
          <w:szCs w:val="21"/>
          <w:highlight w:val="none"/>
          <w:u w:val="single"/>
          <w:lang w:eastAsia="zh-CN"/>
        </w:rPr>
        <w:t>自行按程序办理相关取土手续，</w:t>
      </w:r>
      <w:r>
        <w:rPr>
          <w:rFonts w:hint="eastAsia"/>
          <w:color w:val="auto"/>
          <w:kern w:val="0"/>
          <w:szCs w:val="21"/>
          <w:highlight w:val="none"/>
          <w:u w:val="single"/>
        </w:rPr>
        <w:t>依法依规自行解决</w:t>
      </w:r>
      <w:r>
        <w:rPr>
          <w:rFonts w:hint="eastAsia"/>
          <w:color w:val="auto"/>
          <w:kern w:val="0"/>
          <w:szCs w:val="21"/>
          <w:highlight w:val="none"/>
          <w:u w:val="single"/>
          <w:lang w:val="zh-CN"/>
        </w:rPr>
        <w:t>取土场地和弃土场地，并承担全部费用和责任。</w:t>
      </w:r>
      <w:r>
        <w:rPr>
          <w:rFonts w:hint="eastAsia"/>
          <w:color w:val="auto"/>
          <w:kern w:val="0"/>
          <w:szCs w:val="21"/>
          <w:highlight w:val="none"/>
          <w:u w:val="single"/>
        </w:rPr>
        <w:t>④</w:t>
      </w:r>
      <w:r>
        <w:rPr>
          <w:color w:val="auto"/>
          <w:kern w:val="0"/>
          <w:szCs w:val="21"/>
          <w:highlight w:val="none"/>
          <w:u w:val="single"/>
        </w:rPr>
        <w:t>已完工程成品保护的特殊要求及费用承担：在发包人同意接受前，已完成的工程仍由承包人负责临时保管。</w:t>
      </w:r>
      <w:r>
        <w:rPr>
          <w:rFonts w:hint="eastAsia"/>
          <w:color w:val="auto"/>
          <w:kern w:val="0"/>
          <w:szCs w:val="21"/>
          <w:highlight w:val="none"/>
          <w:u w:val="single"/>
        </w:rPr>
        <w:t>⑤</w:t>
      </w:r>
      <w:r>
        <w:rPr>
          <w:color w:val="auto"/>
          <w:kern w:val="0"/>
          <w:szCs w:val="21"/>
          <w:highlight w:val="none"/>
          <w:u w:val="single"/>
        </w:rPr>
        <w:t>施工场地周围地下管线和邻近建筑物、构筑物（含文物保护建筑）、古树名木 的保护要求及费用承担：承包人须保护与工程有关的所有公共财产、道路、公共设施、邻近财产、现存管线等，并承担修复上述任何财产、设施或管线上因其保护不善而造成的损坏，按要求承担所需的一切费用。</w:t>
      </w:r>
      <w:r>
        <w:rPr>
          <w:rFonts w:hint="eastAsia"/>
          <w:color w:val="auto"/>
          <w:kern w:val="0"/>
          <w:szCs w:val="21"/>
          <w:highlight w:val="none"/>
          <w:u w:val="single"/>
        </w:rPr>
        <w:t>⑥</w:t>
      </w:r>
      <w:r>
        <w:rPr>
          <w:color w:val="auto"/>
          <w:kern w:val="0"/>
          <w:szCs w:val="21"/>
          <w:highlight w:val="none"/>
          <w:u w:val="single"/>
        </w:rPr>
        <w:t>施工场地清洁卫生的要求：承包人应在工程进行期间内，及时从工地上清除一切垃圾(含施工产生泥浆、建筑垃圾，弃置地点必须符合相关部门文件要求)、不用的支撑、板条箱、多余物料等，使之不阻碍通道且方便于相关方检查任何工程。承包人应遵循发包人作出的关于清除垃圾或整改工地的指示，使工地美观、整洁，承包人不可在工地上燃烧垃圾。工程完成后，承包人应自行将工地及其负责的全部工程清洁干净。</w:t>
      </w:r>
      <w:r>
        <w:rPr>
          <w:rFonts w:hint="eastAsia"/>
          <w:color w:val="auto"/>
          <w:kern w:val="0"/>
          <w:szCs w:val="21"/>
          <w:highlight w:val="none"/>
          <w:u w:val="single"/>
        </w:rPr>
        <w:t>⑦</w:t>
      </w:r>
      <w:r>
        <w:rPr>
          <w:color w:val="auto"/>
          <w:kern w:val="0"/>
          <w:szCs w:val="21"/>
          <w:highlight w:val="none"/>
          <w:u w:val="single"/>
        </w:rPr>
        <w:t>承包人应自行安排及协调一切交通、运输及保护事宜</w:t>
      </w:r>
      <w:r>
        <w:rPr>
          <w:rFonts w:hint="eastAsia"/>
          <w:color w:val="auto"/>
          <w:kern w:val="0"/>
          <w:szCs w:val="21"/>
          <w:highlight w:val="none"/>
          <w:u w:val="single"/>
        </w:rPr>
        <w:t>。</w:t>
      </w:r>
      <w:r>
        <w:rPr>
          <w:color w:val="auto"/>
          <w:kern w:val="0"/>
          <w:szCs w:val="21"/>
          <w:highlight w:val="none"/>
          <w:u w:val="single"/>
        </w:rPr>
        <w:t>承包人应根据工程需要，提供并维护所有施工所需使用（包括夜间使用和非夜间使用）的照明、围栏设施。承包人应负责工地的安全保卫</w:t>
      </w:r>
      <w:r>
        <w:rPr>
          <w:rFonts w:hint="eastAsia"/>
          <w:color w:val="auto"/>
          <w:kern w:val="0"/>
          <w:szCs w:val="21"/>
          <w:highlight w:val="none"/>
          <w:u w:val="single"/>
        </w:rPr>
        <w:t>。</w:t>
      </w:r>
      <w:r>
        <w:rPr>
          <w:color w:val="auto"/>
          <w:kern w:val="0"/>
          <w:szCs w:val="21"/>
          <w:highlight w:val="none"/>
          <w:u w:val="single"/>
        </w:rPr>
        <w:t>承包人须防止火灾的危险及采取一切可能的预防措施。</w:t>
      </w:r>
      <w:r>
        <w:rPr>
          <w:rFonts w:hint="eastAsia"/>
          <w:color w:val="auto"/>
          <w:kern w:val="0"/>
          <w:szCs w:val="21"/>
          <w:highlight w:val="none"/>
          <w:u w:val="single"/>
        </w:rPr>
        <w:t>⑧双方约定承包人应做的其他工作：A：无论是否已在合同文件中写明，在本工程范围内的任何事项上，承包人都应严格遵守与执行发包人或监理人的指令来实施并完成工程以及修补工程上的任何缺陷，以达到工程质量规定要求，但承包人执行发包人或监理人的指令将构成违反法律的情形或执行该等指令在实际上属于不可能做到的除外。从开工日期至质量缺陷责任期终止，承包人应负责保管全部工程以及与工程有关的材料和待安装的工程设备等。B：根据发包人书面给定的基准点、基准线和标高以及发包人认可的图纸，对工程进行精确放线和定位；通过上述精确放线和定位工作后确定的工程所有部分的位置、标高、尺寸和基准线均应正确无误；提供与上述工作相关的全部必要的劳务，配合发包人及监理工程师对其工作成果进行复核。承包人应在本工程开始前核实所有与本工程有关的尺寸和原地面高程。并报监理、发包人、勘察测量单位确认。监理人对任何放线工作或任何基准或标高的检验或复核无论如何都不能在任何方面减轻或解除承包人对上述各项工作的精确性所负的责任，且承包人应仔细保护和保留好工程放线中所用的水准点、基点、测桩和工程放线所用的其它物件。如果在工程实施过程中，工程任何部分的位置、标高、尺寸或基准线出现任何错误，在监理人要求纠正时，承包人应迅速自担费用纠正此类错误，直至达到使发包人满意的程度，并应赔偿因上述错误给发包人造成的全部损失。如果此类错误是因发包人提供了错误的书面资料所致，则由发包人承担相关费用。承包人施工测量、放线应执行相关规定，并向有关测绘单位申请复验本工程的基线位置和尺寸，由有关测绘单位出具表明本工程施工测量放线正确与否的报告；承包人应当配合其复验工作。C：承包人负责并遵从监理人及发包人的指令全面照管工地。工地的出入口由承包人在取得发包人的同意后确定。出入口的大小、位置及因配合工程施工程序和进度的需要而作出的所有改动工作及费用，均由承包人负责。承包人应自行安排及协调一切交通、运输及保护事宜。承包人应遵守北海市</w:t>
      </w:r>
      <w:r>
        <w:rPr>
          <w:rFonts w:hint="eastAsia"/>
          <w:color w:val="auto"/>
          <w:szCs w:val="21"/>
          <w:highlight w:val="none"/>
          <w:u w:val="single"/>
        </w:rPr>
        <w:t>铁山港区</w:t>
      </w:r>
      <w:r>
        <w:rPr>
          <w:rFonts w:hint="eastAsia"/>
          <w:color w:val="auto"/>
          <w:kern w:val="0"/>
          <w:szCs w:val="21"/>
          <w:highlight w:val="none"/>
          <w:u w:val="single"/>
        </w:rPr>
        <w:t>交通行政管理部门和北海市</w:t>
      </w:r>
      <w:r>
        <w:rPr>
          <w:rFonts w:hint="eastAsia"/>
          <w:color w:val="auto"/>
          <w:szCs w:val="21"/>
          <w:highlight w:val="none"/>
          <w:u w:val="single"/>
        </w:rPr>
        <w:t>铁山港区</w:t>
      </w:r>
      <w:r>
        <w:rPr>
          <w:rFonts w:hint="eastAsia"/>
          <w:color w:val="auto"/>
          <w:kern w:val="0"/>
          <w:szCs w:val="21"/>
          <w:highlight w:val="none"/>
          <w:u w:val="single"/>
        </w:rPr>
        <w:t>市政管理部门关于道路的使用、车辆的停泊和道路使用时间等的规定及限制，并负责提交所需的申请及自行承担有关费用。承包人应根据工程需要，提供并维护所有施工所需使用（包括夜间使用和非夜间使用）的照明、围栏设施。承包人应负责工地的安全保卫（必要时发包人有权自行负责工地的安全保卫工作，承包人应予以一切必要的配合并无条件地遵守工地安全保卫规定）。承包人须防止火灾的危险及采取一切可能的预防措施。d: 承包人配合发包人办理本工程的竣工验收备案完成后，应提交本工程的竣工结算书供发包人审查,最终以审核部门的审定结果为准，审定结果作为工程最终结算价。与上述工作有关的费用已包含在合同价款之内</w:t>
      </w:r>
      <w:r>
        <w:rPr>
          <w:color w:val="auto"/>
          <w:kern w:val="0"/>
          <w:szCs w:val="21"/>
          <w:highlight w:val="none"/>
          <w:u w:val="single"/>
        </w:rPr>
        <w:t xml:space="preserve">      </w:t>
      </w:r>
    </w:p>
    <w:p>
      <w:pPr>
        <w:pStyle w:val="7"/>
        <w:rPr>
          <w:rFonts w:hAnsi="宋体"/>
          <w:color w:val="auto"/>
          <w:highlight w:val="none"/>
        </w:rPr>
      </w:pPr>
      <w:bookmarkStart w:id="280" w:name="_Toc491946610"/>
      <w:bookmarkStart w:id="281" w:name="_Toc22419"/>
      <w:r>
        <w:rPr>
          <w:color w:val="auto"/>
          <w:highlight w:val="none"/>
        </w:rPr>
        <w:t xml:space="preserve">3.2 </w:t>
      </w:r>
      <w:r>
        <w:rPr>
          <w:rFonts w:hAnsi="宋体"/>
          <w:color w:val="auto"/>
          <w:highlight w:val="none"/>
        </w:rPr>
        <w:t>项目经理</w:t>
      </w:r>
      <w:bookmarkEnd w:id="280"/>
      <w:bookmarkEnd w:id="281"/>
    </w:p>
    <w:p>
      <w:pPr>
        <w:pStyle w:val="26"/>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pPr>
        <w:pStyle w:val="26"/>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pStyle w:val="26"/>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hAnsi="宋体"/>
          <w:color w:val="auto"/>
          <w:highlight w:val="none"/>
          <w:u w:val="single"/>
          <w:lang w:val="en-US" w:eastAsia="zh-CN"/>
        </w:rPr>
        <w:t xml:space="preserve">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pStyle w:val="26"/>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w:t>
      </w:r>
      <w:r>
        <w:rPr>
          <w:rFonts w:hint="eastAsia" w:hAnsi="宋体"/>
          <w:color w:val="auto"/>
          <w:highlight w:val="none"/>
          <w:u w:val="single"/>
          <w:lang w:val="en-US" w:eastAsia="zh-CN"/>
        </w:rPr>
        <w:t xml:space="preserve"> </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pStyle w:val="26"/>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pStyle w:val="26"/>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xml:space="preserve">   </w:t>
      </w:r>
      <w:r>
        <w:rPr>
          <w:rFonts w:hint="eastAsia" w:hAnsi="宋体"/>
          <w:color w:val="auto"/>
          <w:highlight w:val="none"/>
          <w:u w:val="single"/>
          <w:lang w:val="en-US" w:eastAsia="zh-CN"/>
        </w:rPr>
        <w:t xml:space="preserve">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pPr>
        <w:pStyle w:val="26"/>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w:t>
      </w:r>
      <w:r>
        <w:rPr>
          <w:rFonts w:hint="eastAsia" w:hAnsi="宋体"/>
          <w:color w:val="auto"/>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pPr>
        <w:pStyle w:val="26"/>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pPr>
        <w:pStyle w:val="26"/>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pPr>
        <w:pStyle w:val="26"/>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pPr>
        <w:pStyle w:val="26"/>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color w:val="auto"/>
          <w:szCs w:val="21"/>
          <w:highlight w:val="none"/>
          <w:u w:val="single"/>
        </w:rPr>
        <w:t xml:space="preserve">项目经理仅限于工程现场施工管理，但未经承包人盖章同意，不得以承包人名义向外采购材料设备、租用建筑周转材料、雇用劳动力、签订分包合同等从事一切为承包人设立义务或责任的行为  </w:t>
      </w:r>
      <w:r>
        <w:rPr>
          <w:rFonts w:hint="eastAsia" w:ascii="宋体" w:hAnsi="宋体" w:cs="宋体"/>
          <w:color w:val="auto"/>
          <w:szCs w:val="21"/>
          <w:highlight w:val="none"/>
        </w:rPr>
        <w:t>。</w:t>
      </w:r>
    </w:p>
    <w:p>
      <w:pPr>
        <w:pStyle w:val="26"/>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常驻现场，承包人项目经理短期离开施工场地超过三天的，应事先征得监理人和发包人同意，并委托代表代行其职责</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pPr>
        <w:pStyle w:val="26"/>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color w:val="auto"/>
          <w:szCs w:val="21"/>
          <w:highlight w:val="none"/>
          <w:u w:val="single"/>
        </w:rPr>
        <w:t xml:space="preserve">  按通用条款执行</w:t>
      </w:r>
      <w:r>
        <w:rPr>
          <w:rFonts w:hint="eastAsia" w:ascii="宋体" w:hAnsi="宋体" w:cs="宋体"/>
          <w:color w:val="auto"/>
          <w:szCs w:val="21"/>
          <w:highlight w:val="none"/>
        </w:rPr>
        <w:t>。</w:t>
      </w:r>
    </w:p>
    <w:p>
      <w:pPr>
        <w:pStyle w:val="26"/>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color w:val="auto"/>
          <w:szCs w:val="21"/>
          <w:highlight w:val="none"/>
          <w:u w:val="single"/>
        </w:rPr>
        <w:t>项目经理每月在岗带班时间不得少于当月施工时间的80%。未经发包人同意或正当理由，项目经理每月在岗带班时间少于当月施工时间80%的，少在岗带班一天，发包人有权处违约金500元/日（人民币）  。</w:t>
      </w:r>
    </w:p>
    <w:p>
      <w:pPr>
        <w:pStyle w:val="26"/>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3.2.3 承包人擅自更换项目经理的违约责任：</w:t>
      </w:r>
      <w:r>
        <w:rPr>
          <w:rFonts w:hint="eastAsia" w:ascii="宋体" w:hAnsi="宋体" w:cs="宋体"/>
          <w:color w:val="auto"/>
          <w:szCs w:val="21"/>
          <w:highlight w:val="none"/>
          <w:u w:val="single"/>
        </w:rPr>
        <w:t>承包人项目经理必须与承包人投标时所承诺的人员一致，并在（开工日期） 前到任。在监理人向承包人颁发（竣工证明材料名称）前，项目经理不得同时兼任其他任何项目的项目经理（符合桂建管﹝2013﹞17号和桂建管﹝2014﹞25号文除外）。未经发包人书面同意，承包人擅自更换项目经理的视为违约，违约金处1500元/人•次（人民币）</w:t>
      </w:r>
      <w:r>
        <w:rPr>
          <w:rFonts w:hint="eastAsia" w:ascii="宋体" w:hAnsi="宋体" w:cs="宋体"/>
          <w:color w:val="auto"/>
          <w:szCs w:val="21"/>
          <w:highlight w:val="none"/>
        </w:rPr>
        <w:t>。</w:t>
      </w:r>
    </w:p>
    <w:p>
      <w:pPr>
        <w:pStyle w:val="26"/>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3.2.4 承包人无正当理由拒绝更换项目经理的违约责任：</w:t>
      </w:r>
      <w:r>
        <w:rPr>
          <w:rFonts w:hint="eastAsia" w:ascii="宋体" w:hAnsi="宋体" w:cs="宋体"/>
          <w:color w:val="auto"/>
          <w:szCs w:val="21"/>
          <w:highlight w:val="none"/>
          <w:u w:val="single"/>
        </w:rPr>
        <w:t>因承包人项目经理不称职，发包人要求调换而未及时调换的，视为承包人违约，必须向发包人支付违约金2000元/人•次（人民币）</w:t>
      </w:r>
      <w:r>
        <w:rPr>
          <w:rFonts w:hint="eastAsia" w:ascii="宋体" w:hAnsi="宋体" w:cs="宋体"/>
          <w:color w:val="auto"/>
          <w:szCs w:val="21"/>
          <w:highlight w:val="none"/>
        </w:rPr>
        <w:t>。</w:t>
      </w:r>
    </w:p>
    <w:p>
      <w:pPr>
        <w:pStyle w:val="7"/>
        <w:rPr>
          <w:color w:val="auto"/>
          <w:highlight w:val="none"/>
        </w:rPr>
      </w:pPr>
      <w:bookmarkStart w:id="282" w:name="_Toc491946611"/>
      <w:bookmarkStart w:id="283" w:name="_Toc12848"/>
      <w:r>
        <w:rPr>
          <w:color w:val="auto"/>
          <w:highlight w:val="none"/>
        </w:rPr>
        <w:t xml:space="preserve">3.3 </w:t>
      </w:r>
      <w:r>
        <w:rPr>
          <w:rFonts w:hAnsi="宋体"/>
          <w:color w:val="auto"/>
          <w:highlight w:val="none"/>
        </w:rPr>
        <w:t>承包人人员</w:t>
      </w:r>
      <w:bookmarkEnd w:id="282"/>
      <w:bookmarkEnd w:id="283"/>
    </w:p>
    <w:p>
      <w:pPr>
        <w:spacing w:line="360" w:lineRule="auto"/>
        <w:ind w:firstLine="420" w:firstLineChars="200"/>
        <w:rPr>
          <w:rFonts w:hAnsi="宋体"/>
          <w:color w:val="auto"/>
          <w:szCs w:val="21"/>
          <w:highlight w:val="none"/>
        </w:rPr>
      </w:pPr>
      <w:r>
        <w:rPr>
          <w:color w:val="auto"/>
          <w:szCs w:val="21"/>
          <w:highlight w:val="none"/>
        </w:rPr>
        <w:t xml:space="preserve">3.3.1 </w:t>
      </w:r>
      <w:r>
        <w:rPr>
          <w:rFonts w:hAnsi="宋体"/>
          <w:color w:val="auto"/>
          <w:szCs w:val="21"/>
          <w:highlight w:val="none"/>
        </w:rPr>
        <w:t>承包人提交项目管理机构及施工现场管理人员安排报告</w:t>
      </w:r>
      <w:r>
        <w:rPr>
          <w:rFonts w:hint="eastAsia" w:hAnsi="宋体"/>
          <w:color w:val="auto"/>
          <w:szCs w:val="21"/>
          <w:highlight w:val="none"/>
        </w:rPr>
        <w:t>（格式见合同附件3）</w:t>
      </w:r>
      <w:r>
        <w:rPr>
          <w:rFonts w:hAnsi="宋体"/>
          <w:color w:val="auto"/>
          <w:szCs w:val="21"/>
          <w:highlight w:val="none"/>
        </w:rPr>
        <w:t>的期限：</w:t>
      </w:r>
    </w:p>
    <w:p>
      <w:pPr>
        <w:spacing w:line="360" w:lineRule="auto"/>
        <w:rPr>
          <w:color w:val="auto"/>
          <w:szCs w:val="21"/>
          <w:highlight w:val="none"/>
        </w:rPr>
      </w:pPr>
      <w:r>
        <w:rPr>
          <w:color w:val="auto"/>
          <w:szCs w:val="21"/>
          <w:highlight w:val="none"/>
          <w:u w:val="single"/>
        </w:rPr>
        <w:t>应在接到开工通知后 7 天内，向监理人提交承包人项目管理机构及施工现场人员安排</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rPr>
          <w:color w:val="auto"/>
          <w:szCs w:val="21"/>
          <w:highlight w:val="none"/>
        </w:rPr>
      </w:pPr>
      <w:r>
        <w:rPr>
          <w:color w:val="auto"/>
          <w:szCs w:val="21"/>
          <w:highlight w:val="none"/>
        </w:rPr>
        <w:t xml:space="preserve">3.3.3 </w:t>
      </w:r>
      <w:r>
        <w:rPr>
          <w:rFonts w:hAnsi="宋体"/>
          <w:color w:val="auto"/>
          <w:szCs w:val="21"/>
          <w:highlight w:val="none"/>
        </w:rPr>
        <w:t>承包人无正当理由拒绝撤换主要施工管理人员的违约责任：</w:t>
      </w:r>
      <w:r>
        <w:rPr>
          <w:rFonts w:hAnsi="宋体"/>
          <w:color w:val="auto"/>
          <w:szCs w:val="21"/>
          <w:highlight w:val="none"/>
          <w:u w:val="single"/>
        </w:rPr>
        <w:t>因承包人主要施工管理人员不称职，发包人要求调换而无正当理由拒绝撤换或未及时调换的，视为承包人违约，必须向发包人交纳处罚金，处罚标准：技术负责人</w:t>
      </w:r>
      <w:r>
        <w:rPr>
          <w:rFonts w:hint="eastAsia"/>
          <w:color w:val="auto"/>
          <w:szCs w:val="21"/>
          <w:highlight w:val="none"/>
          <w:u w:val="single"/>
        </w:rPr>
        <w:t>5000</w:t>
      </w:r>
      <w:r>
        <w:rPr>
          <w:rFonts w:hAnsi="宋体"/>
          <w:color w:val="auto"/>
          <w:szCs w:val="21"/>
          <w:highlight w:val="none"/>
          <w:u w:val="single"/>
        </w:rPr>
        <w:t>元</w:t>
      </w:r>
      <w:r>
        <w:rPr>
          <w:color w:val="auto"/>
          <w:szCs w:val="21"/>
          <w:highlight w:val="none"/>
          <w:u w:val="single"/>
        </w:rPr>
        <w:t>/</w:t>
      </w:r>
      <w:r>
        <w:rPr>
          <w:rFonts w:hAnsi="宋体"/>
          <w:color w:val="auto"/>
          <w:szCs w:val="21"/>
          <w:highlight w:val="none"/>
          <w:u w:val="single"/>
        </w:rPr>
        <w:t>人</w:t>
      </w:r>
      <w:r>
        <w:rPr>
          <w:color w:val="auto"/>
          <w:szCs w:val="21"/>
          <w:highlight w:val="none"/>
          <w:u w:val="single"/>
        </w:rPr>
        <w:t>•</w:t>
      </w:r>
      <w:r>
        <w:rPr>
          <w:rFonts w:hAnsi="宋体"/>
          <w:color w:val="auto"/>
          <w:szCs w:val="21"/>
          <w:highlight w:val="none"/>
          <w:u w:val="single"/>
        </w:rPr>
        <w:t>次</w:t>
      </w:r>
      <w:r>
        <w:rPr>
          <w:rFonts w:hint="eastAsia"/>
          <w:color w:val="auto"/>
          <w:szCs w:val="21"/>
          <w:highlight w:val="none"/>
          <w:u w:val="single"/>
        </w:rPr>
        <w:t>（</w:t>
      </w:r>
      <w:r>
        <w:rPr>
          <w:rFonts w:hAnsi="宋体"/>
          <w:color w:val="auto"/>
          <w:szCs w:val="21"/>
          <w:highlight w:val="none"/>
          <w:u w:val="single"/>
        </w:rPr>
        <w:t>人民币</w:t>
      </w:r>
      <w:r>
        <w:rPr>
          <w:rFonts w:hint="eastAsia"/>
          <w:color w:val="auto"/>
          <w:szCs w:val="21"/>
          <w:highlight w:val="none"/>
          <w:u w:val="single"/>
        </w:rPr>
        <w:t>）</w:t>
      </w:r>
      <w:r>
        <w:rPr>
          <w:rFonts w:hAnsi="宋体"/>
          <w:color w:val="auto"/>
          <w:szCs w:val="21"/>
          <w:highlight w:val="none"/>
          <w:u w:val="single"/>
        </w:rPr>
        <w:t>；专业工程师</w:t>
      </w:r>
      <w:r>
        <w:rPr>
          <w:rFonts w:hint="eastAsia"/>
          <w:color w:val="auto"/>
          <w:szCs w:val="21"/>
          <w:highlight w:val="none"/>
          <w:u w:val="single"/>
        </w:rPr>
        <w:t>2000</w:t>
      </w:r>
      <w:r>
        <w:rPr>
          <w:rFonts w:hAnsi="宋体"/>
          <w:color w:val="auto"/>
          <w:szCs w:val="21"/>
          <w:highlight w:val="none"/>
          <w:u w:val="single"/>
        </w:rPr>
        <w:t>元</w:t>
      </w:r>
      <w:r>
        <w:rPr>
          <w:color w:val="auto"/>
          <w:szCs w:val="21"/>
          <w:highlight w:val="none"/>
          <w:u w:val="single"/>
        </w:rPr>
        <w:t>/</w:t>
      </w:r>
      <w:r>
        <w:rPr>
          <w:rFonts w:hAnsi="宋体"/>
          <w:color w:val="auto"/>
          <w:szCs w:val="21"/>
          <w:highlight w:val="none"/>
          <w:u w:val="single"/>
        </w:rPr>
        <w:t>人</w:t>
      </w:r>
      <w:r>
        <w:rPr>
          <w:color w:val="auto"/>
          <w:szCs w:val="21"/>
          <w:highlight w:val="none"/>
          <w:u w:val="single"/>
        </w:rPr>
        <w:t>•</w:t>
      </w:r>
      <w:r>
        <w:rPr>
          <w:rFonts w:hAnsi="宋体"/>
          <w:color w:val="auto"/>
          <w:szCs w:val="21"/>
          <w:highlight w:val="none"/>
          <w:u w:val="single"/>
        </w:rPr>
        <w:t>次</w:t>
      </w:r>
      <w:r>
        <w:rPr>
          <w:rFonts w:hint="eastAsia"/>
          <w:color w:val="auto"/>
          <w:szCs w:val="21"/>
          <w:highlight w:val="none"/>
          <w:u w:val="single"/>
        </w:rPr>
        <w:t>（</w:t>
      </w:r>
      <w:r>
        <w:rPr>
          <w:rFonts w:hAnsi="宋体"/>
          <w:color w:val="auto"/>
          <w:szCs w:val="21"/>
          <w:highlight w:val="none"/>
          <w:u w:val="single"/>
        </w:rPr>
        <w:t>人民币</w:t>
      </w:r>
      <w:r>
        <w:rPr>
          <w:rFonts w:hint="eastAsia"/>
          <w:color w:val="auto"/>
          <w:szCs w:val="21"/>
          <w:highlight w:val="none"/>
          <w:u w:val="single"/>
        </w:rPr>
        <w:t>）</w:t>
      </w:r>
      <w:r>
        <w:rPr>
          <w:rFonts w:hAnsi="宋体"/>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 xml:space="preserve">3.3.4 </w:t>
      </w:r>
      <w:r>
        <w:rPr>
          <w:rFonts w:hAnsi="宋体"/>
          <w:color w:val="auto"/>
          <w:szCs w:val="21"/>
          <w:highlight w:val="none"/>
        </w:rPr>
        <w:t>承包人主要施工管理人员离开施工现场的批准要求：</w:t>
      </w:r>
      <w:r>
        <w:rPr>
          <w:rFonts w:hint="eastAsia"/>
          <w:color w:val="auto"/>
          <w:szCs w:val="21"/>
          <w:highlight w:val="none"/>
          <w:u w:val="single"/>
        </w:rPr>
        <w:t>工程开工前2天</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rPr>
          <w:color w:val="auto"/>
          <w:szCs w:val="21"/>
          <w:highlight w:val="none"/>
        </w:rPr>
      </w:pPr>
      <w:r>
        <w:rPr>
          <w:color w:val="auto"/>
          <w:szCs w:val="21"/>
          <w:highlight w:val="none"/>
        </w:rPr>
        <w:t>3.3.5</w:t>
      </w:r>
      <w:r>
        <w:rPr>
          <w:rFonts w:hint="eastAsia"/>
          <w:color w:val="auto"/>
          <w:szCs w:val="21"/>
          <w:highlight w:val="none"/>
        </w:rPr>
        <w:t xml:space="preserve"> </w:t>
      </w:r>
      <w:r>
        <w:rPr>
          <w:rFonts w:hAnsi="宋体"/>
          <w:color w:val="auto"/>
          <w:szCs w:val="21"/>
          <w:highlight w:val="none"/>
        </w:rPr>
        <w:t>承包人擅自更换主要施工管理人员的违约责任：</w:t>
      </w:r>
      <w:r>
        <w:rPr>
          <w:rFonts w:hint="eastAsia" w:hAnsi="宋体"/>
          <w:color w:val="auto"/>
          <w:szCs w:val="21"/>
          <w:highlight w:val="none"/>
          <w:u w:val="single"/>
        </w:rPr>
        <w:t>项目</w:t>
      </w:r>
      <w:r>
        <w:rPr>
          <w:rFonts w:hAnsi="宋体"/>
          <w:color w:val="auto"/>
          <w:szCs w:val="21"/>
          <w:highlight w:val="none"/>
          <w:u w:val="single"/>
        </w:rPr>
        <w:t>技术负责人、</w:t>
      </w:r>
      <w:r>
        <w:rPr>
          <w:rFonts w:hint="eastAsia" w:hAnsi="宋体"/>
          <w:color w:val="auto"/>
          <w:szCs w:val="21"/>
          <w:highlight w:val="none"/>
          <w:u w:val="single"/>
        </w:rPr>
        <w:t>专职安全员及其承诺的其它在场管理人员</w:t>
      </w:r>
      <w:r>
        <w:rPr>
          <w:rFonts w:hAnsi="宋体"/>
          <w:color w:val="auto"/>
          <w:szCs w:val="21"/>
          <w:highlight w:val="none"/>
          <w:u w:val="single"/>
        </w:rPr>
        <w:t>未经发包人书面同意不准擅自更换，擅自更换</w:t>
      </w:r>
      <w:r>
        <w:rPr>
          <w:rFonts w:hint="eastAsia" w:hAnsi="宋体"/>
          <w:color w:val="auto"/>
          <w:szCs w:val="21"/>
          <w:highlight w:val="none"/>
          <w:u w:val="single"/>
        </w:rPr>
        <w:t>项目</w:t>
      </w:r>
      <w:r>
        <w:rPr>
          <w:rFonts w:hAnsi="宋体"/>
          <w:color w:val="auto"/>
          <w:szCs w:val="21"/>
          <w:highlight w:val="none"/>
          <w:u w:val="single"/>
        </w:rPr>
        <w:t>技术负责人处</w:t>
      </w:r>
      <w:r>
        <w:rPr>
          <w:rFonts w:hint="eastAsia" w:hAnsi="宋体"/>
          <w:color w:val="auto"/>
          <w:szCs w:val="21"/>
          <w:highlight w:val="none"/>
          <w:u w:val="single"/>
        </w:rPr>
        <w:t>5</w:t>
      </w:r>
      <w:r>
        <w:rPr>
          <w:rFonts w:hint="eastAsia"/>
          <w:color w:val="auto"/>
          <w:szCs w:val="21"/>
          <w:highlight w:val="none"/>
          <w:u w:val="single"/>
        </w:rPr>
        <w:t>000</w:t>
      </w:r>
      <w:r>
        <w:rPr>
          <w:color w:val="auto"/>
          <w:szCs w:val="21"/>
          <w:highlight w:val="none"/>
          <w:u w:val="single"/>
        </w:rPr>
        <w:t xml:space="preserve"> </w:t>
      </w:r>
      <w:r>
        <w:rPr>
          <w:rFonts w:hAnsi="宋体"/>
          <w:color w:val="auto"/>
          <w:szCs w:val="21"/>
          <w:highlight w:val="none"/>
          <w:u w:val="single"/>
        </w:rPr>
        <w:t>元</w:t>
      </w:r>
      <w:r>
        <w:rPr>
          <w:color w:val="auto"/>
          <w:szCs w:val="21"/>
          <w:highlight w:val="none"/>
          <w:u w:val="single"/>
        </w:rPr>
        <w:t>/</w:t>
      </w:r>
      <w:r>
        <w:rPr>
          <w:rFonts w:hAnsi="宋体"/>
          <w:color w:val="auto"/>
          <w:szCs w:val="21"/>
          <w:highlight w:val="none"/>
          <w:u w:val="single"/>
        </w:rPr>
        <w:t>人</w:t>
      </w:r>
      <w:r>
        <w:rPr>
          <w:color w:val="auto"/>
          <w:szCs w:val="21"/>
          <w:highlight w:val="none"/>
          <w:u w:val="single"/>
        </w:rPr>
        <w:t>•</w:t>
      </w:r>
      <w:r>
        <w:rPr>
          <w:rFonts w:hAnsi="宋体"/>
          <w:color w:val="auto"/>
          <w:szCs w:val="21"/>
          <w:highlight w:val="none"/>
          <w:u w:val="single"/>
        </w:rPr>
        <w:t>次</w:t>
      </w:r>
      <w:r>
        <w:rPr>
          <w:rFonts w:hint="eastAsia"/>
          <w:color w:val="auto"/>
          <w:szCs w:val="21"/>
          <w:highlight w:val="none"/>
          <w:u w:val="single"/>
        </w:rPr>
        <w:t>（</w:t>
      </w:r>
      <w:r>
        <w:rPr>
          <w:rFonts w:hAnsi="宋体"/>
          <w:color w:val="auto"/>
          <w:szCs w:val="21"/>
          <w:highlight w:val="none"/>
          <w:u w:val="single"/>
        </w:rPr>
        <w:t>人民币</w:t>
      </w:r>
      <w:r>
        <w:rPr>
          <w:rFonts w:hint="eastAsia"/>
          <w:color w:val="auto"/>
          <w:szCs w:val="21"/>
          <w:highlight w:val="none"/>
          <w:u w:val="single"/>
        </w:rPr>
        <w:t>）</w:t>
      </w:r>
      <w:r>
        <w:rPr>
          <w:rFonts w:hAnsi="宋体"/>
          <w:color w:val="auto"/>
          <w:szCs w:val="21"/>
          <w:highlight w:val="none"/>
          <w:u w:val="single"/>
        </w:rPr>
        <w:t>违约金；擅自更换</w:t>
      </w:r>
      <w:r>
        <w:rPr>
          <w:rFonts w:hint="eastAsia" w:hAnsi="宋体"/>
          <w:color w:val="auto"/>
          <w:szCs w:val="21"/>
          <w:highlight w:val="none"/>
          <w:u w:val="single"/>
        </w:rPr>
        <w:t>专职安全员</w:t>
      </w:r>
      <w:r>
        <w:rPr>
          <w:rFonts w:hAnsi="宋体"/>
          <w:color w:val="auto"/>
          <w:szCs w:val="21"/>
          <w:highlight w:val="none"/>
          <w:u w:val="single"/>
        </w:rPr>
        <w:t>处</w:t>
      </w:r>
      <w:r>
        <w:rPr>
          <w:rFonts w:hint="eastAsia"/>
          <w:color w:val="auto"/>
          <w:szCs w:val="21"/>
          <w:highlight w:val="none"/>
          <w:u w:val="single"/>
        </w:rPr>
        <w:t>2000</w:t>
      </w:r>
      <w:r>
        <w:rPr>
          <w:rFonts w:hAnsi="宋体"/>
          <w:color w:val="auto"/>
          <w:szCs w:val="21"/>
          <w:highlight w:val="none"/>
          <w:u w:val="single"/>
        </w:rPr>
        <w:t>元</w:t>
      </w:r>
      <w:r>
        <w:rPr>
          <w:color w:val="auto"/>
          <w:szCs w:val="21"/>
          <w:highlight w:val="none"/>
          <w:u w:val="single"/>
        </w:rPr>
        <w:t>/</w:t>
      </w:r>
      <w:r>
        <w:rPr>
          <w:rFonts w:hAnsi="宋体"/>
          <w:color w:val="auto"/>
          <w:szCs w:val="21"/>
          <w:highlight w:val="none"/>
          <w:u w:val="single"/>
        </w:rPr>
        <w:t>人</w:t>
      </w:r>
      <w:r>
        <w:rPr>
          <w:color w:val="auto"/>
          <w:szCs w:val="21"/>
          <w:highlight w:val="none"/>
          <w:u w:val="single"/>
        </w:rPr>
        <w:t>•</w:t>
      </w:r>
      <w:r>
        <w:rPr>
          <w:rFonts w:hAnsi="宋体"/>
          <w:color w:val="auto"/>
          <w:szCs w:val="21"/>
          <w:highlight w:val="none"/>
          <w:u w:val="single"/>
        </w:rPr>
        <w:t>次</w:t>
      </w:r>
      <w:r>
        <w:rPr>
          <w:rFonts w:hint="eastAsia"/>
          <w:color w:val="auto"/>
          <w:szCs w:val="21"/>
          <w:highlight w:val="none"/>
          <w:u w:val="single"/>
        </w:rPr>
        <w:t>（</w:t>
      </w:r>
      <w:r>
        <w:rPr>
          <w:rFonts w:hAnsi="宋体"/>
          <w:color w:val="auto"/>
          <w:szCs w:val="21"/>
          <w:highlight w:val="none"/>
          <w:u w:val="single"/>
        </w:rPr>
        <w:t>人民币</w:t>
      </w:r>
      <w:r>
        <w:rPr>
          <w:rFonts w:hint="eastAsia"/>
          <w:color w:val="auto"/>
          <w:szCs w:val="21"/>
          <w:highlight w:val="none"/>
          <w:u w:val="single"/>
        </w:rPr>
        <w:t>）</w:t>
      </w:r>
      <w:r>
        <w:rPr>
          <w:rFonts w:hAnsi="宋体"/>
          <w:color w:val="auto"/>
          <w:szCs w:val="21"/>
          <w:highlight w:val="none"/>
          <w:u w:val="single"/>
        </w:rPr>
        <w:t>违约金</w:t>
      </w:r>
      <w:r>
        <w:rPr>
          <w:rFonts w:hint="eastAsia" w:hAnsi="宋体"/>
          <w:color w:val="auto"/>
          <w:szCs w:val="21"/>
          <w:highlight w:val="none"/>
          <w:u w:val="single"/>
        </w:rPr>
        <w:t>；</w:t>
      </w:r>
      <w:r>
        <w:rPr>
          <w:rFonts w:hAnsi="宋体"/>
          <w:color w:val="auto"/>
          <w:szCs w:val="21"/>
          <w:highlight w:val="none"/>
          <w:u w:val="single"/>
        </w:rPr>
        <w:t>擅自更换</w:t>
      </w:r>
      <w:r>
        <w:rPr>
          <w:rFonts w:hint="eastAsia" w:hAnsi="宋体"/>
          <w:color w:val="auto"/>
          <w:szCs w:val="21"/>
          <w:highlight w:val="none"/>
          <w:u w:val="single"/>
        </w:rPr>
        <w:t>其它在场管理人员</w:t>
      </w:r>
      <w:r>
        <w:rPr>
          <w:rFonts w:hAnsi="宋体"/>
          <w:color w:val="auto"/>
          <w:szCs w:val="21"/>
          <w:highlight w:val="none"/>
          <w:u w:val="single"/>
        </w:rPr>
        <w:t>处</w:t>
      </w:r>
      <w:r>
        <w:rPr>
          <w:rFonts w:hint="eastAsia"/>
          <w:color w:val="auto"/>
          <w:szCs w:val="21"/>
          <w:highlight w:val="none"/>
          <w:u w:val="single"/>
        </w:rPr>
        <w:t>1500</w:t>
      </w:r>
      <w:r>
        <w:rPr>
          <w:rFonts w:hAnsi="宋体"/>
          <w:color w:val="auto"/>
          <w:szCs w:val="21"/>
          <w:highlight w:val="none"/>
          <w:u w:val="single"/>
        </w:rPr>
        <w:t>元</w:t>
      </w:r>
      <w:r>
        <w:rPr>
          <w:color w:val="auto"/>
          <w:szCs w:val="21"/>
          <w:highlight w:val="none"/>
          <w:u w:val="single"/>
        </w:rPr>
        <w:t>/</w:t>
      </w:r>
      <w:r>
        <w:rPr>
          <w:rFonts w:hAnsi="宋体"/>
          <w:color w:val="auto"/>
          <w:szCs w:val="21"/>
          <w:highlight w:val="none"/>
          <w:u w:val="single"/>
        </w:rPr>
        <w:t>人</w:t>
      </w:r>
      <w:r>
        <w:rPr>
          <w:color w:val="auto"/>
          <w:szCs w:val="21"/>
          <w:highlight w:val="none"/>
          <w:u w:val="single"/>
        </w:rPr>
        <w:t>•</w:t>
      </w:r>
      <w:r>
        <w:rPr>
          <w:rFonts w:hAnsi="宋体"/>
          <w:color w:val="auto"/>
          <w:szCs w:val="21"/>
          <w:highlight w:val="none"/>
          <w:u w:val="single"/>
        </w:rPr>
        <w:t>次</w:t>
      </w:r>
      <w:r>
        <w:rPr>
          <w:rFonts w:hint="eastAsia"/>
          <w:color w:val="auto"/>
          <w:szCs w:val="21"/>
          <w:highlight w:val="none"/>
          <w:u w:val="single"/>
        </w:rPr>
        <w:t>（</w:t>
      </w:r>
      <w:r>
        <w:rPr>
          <w:rFonts w:hAnsi="宋体"/>
          <w:color w:val="auto"/>
          <w:szCs w:val="21"/>
          <w:highlight w:val="none"/>
          <w:u w:val="single"/>
        </w:rPr>
        <w:t>人民币</w:t>
      </w:r>
      <w:r>
        <w:rPr>
          <w:rFonts w:hint="eastAsia"/>
          <w:color w:val="auto"/>
          <w:szCs w:val="21"/>
          <w:highlight w:val="none"/>
          <w:u w:val="single"/>
        </w:rPr>
        <w:t>）</w:t>
      </w:r>
      <w:r>
        <w:rPr>
          <w:rFonts w:hAnsi="宋体"/>
          <w:color w:val="auto"/>
          <w:szCs w:val="21"/>
          <w:highlight w:val="none"/>
          <w:u w:val="single"/>
        </w:rPr>
        <w:t>违约金</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承包人主要施工管理人员擅自离开施工现场的违约责任：</w:t>
      </w:r>
      <w:r>
        <w:rPr>
          <w:rFonts w:hAnsi="宋体"/>
          <w:color w:val="auto"/>
          <w:szCs w:val="21"/>
          <w:highlight w:val="none"/>
          <w:u w:val="single"/>
        </w:rPr>
        <w:t>未经发包人同意，</w:t>
      </w:r>
      <w:r>
        <w:rPr>
          <w:rFonts w:hint="eastAsia" w:hAnsi="宋体"/>
          <w:color w:val="auto"/>
          <w:szCs w:val="21"/>
          <w:highlight w:val="none"/>
          <w:u w:val="single"/>
        </w:rPr>
        <w:t>项目</w:t>
      </w:r>
      <w:r>
        <w:rPr>
          <w:rFonts w:hAnsi="宋体"/>
          <w:color w:val="auto"/>
          <w:szCs w:val="21"/>
          <w:highlight w:val="none"/>
          <w:u w:val="single"/>
        </w:rPr>
        <w:t>技术负责人擅自离岗的，视为承包人违约，发包人有权处违约金</w:t>
      </w:r>
      <w:r>
        <w:rPr>
          <w:rFonts w:hint="eastAsia" w:hAnsi="宋体"/>
          <w:color w:val="auto"/>
          <w:szCs w:val="21"/>
          <w:highlight w:val="none"/>
          <w:u w:val="single"/>
        </w:rPr>
        <w:t>1</w:t>
      </w:r>
      <w:r>
        <w:rPr>
          <w:rFonts w:hint="eastAsia"/>
          <w:color w:val="auto"/>
          <w:szCs w:val="21"/>
          <w:highlight w:val="none"/>
          <w:u w:val="single"/>
        </w:rPr>
        <w:t>000</w:t>
      </w:r>
      <w:r>
        <w:rPr>
          <w:rFonts w:hAnsi="宋体"/>
          <w:color w:val="auto"/>
          <w:szCs w:val="21"/>
          <w:highlight w:val="none"/>
          <w:u w:val="single"/>
        </w:rPr>
        <w:t>元</w:t>
      </w:r>
      <w:r>
        <w:rPr>
          <w:color w:val="auto"/>
          <w:szCs w:val="21"/>
          <w:highlight w:val="none"/>
          <w:u w:val="single"/>
        </w:rPr>
        <w:t>/</w:t>
      </w:r>
      <w:r>
        <w:rPr>
          <w:rFonts w:hAnsi="宋体"/>
          <w:color w:val="auto"/>
          <w:szCs w:val="21"/>
          <w:highlight w:val="none"/>
          <w:u w:val="single"/>
        </w:rPr>
        <w:t>人</w:t>
      </w:r>
      <w:r>
        <w:rPr>
          <w:color w:val="auto"/>
          <w:szCs w:val="21"/>
          <w:highlight w:val="none"/>
          <w:u w:val="single"/>
        </w:rPr>
        <w:t>•</w:t>
      </w:r>
      <w:r>
        <w:rPr>
          <w:rFonts w:hAnsi="宋体"/>
          <w:color w:val="auto"/>
          <w:szCs w:val="21"/>
          <w:highlight w:val="none"/>
          <w:u w:val="single"/>
        </w:rPr>
        <w:t>次</w:t>
      </w:r>
      <w:r>
        <w:rPr>
          <w:rFonts w:hint="eastAsia"/>
          <w:color w:val="auto"/>
          <w:szCs w:val="21"/>
          <w:highlight w:val="none"/>
          <w:u w:val="single"/>
        </w:rPr>
        <w:t>（</w:t>
      </w:r>
      <w:r>
        <w:rPr>
          <w:rFonts w:hAnsi="宋体"/>
          <w:color w:val="auto"/>
          <w:szCs w:val="21"/>
          <w:highlight w:val="none"/>
          <w:u w:val="single"/>
        </w:rPr>
        <w:t>人民币</w:t>
      </w:r>
      <w:r>
        <w:rPr>
          <w:rFonts w:hint="eastAsia"/>
          <w:color w:val="auto"/>
          <w:szCs w:val="21"/>
          <w:highlight w:val="none"/>
          <w:u w:val="single"/>
        </w:rPr>
        <w:t>）</w:t>
      </w:r>
      <w:r>
        <w:rPr>
          <w:rFonts w:hAnsi="宋体"/>
          <w:color w:val="auto"/>
          <w:szCs w:val="21"/>
          <w:highlight w:val="none"/>
          <w:u w:val="single"/>
        </w:rPr>
        <w:t>；未经发包人同意，</w:t>
      </w:r>
      <w:r>
        <w:rPr>
          <w:rFonts w:hint="eastAsia" w:hAnsi="宋体"/>
          <w:color w:val="auto"/>
          <w:szCs w:val="21"/>
          <w:highlight w:val="none"/>
          <w:u w:val="single"/>
        </w:rPr>
        <w:t>专职安全员</w:t>
      </w:r>
      <w:r>
        <w:rPr>
          <w:rFonts w:hAnsi="宋体"/>
          <w:color w:val="auto"/>
          <w:szCs w:val="21"/>
          <w:highlight w:val="none"/>
          <w:u w:val="single"/>
        </w:rPr>
        <w:t>擅自离岗的，视为承包人违约，发包人有权处违约金</w:t>
      </w:r>
      <w:r>
        <w:rPr>
          <w:rFonts w:hint="eastAsia" w:hAnsi="宋体"/>
          <w:color w:val="auto"/>
          <w:szCs w:val="21"/>
          <w:highlight w:val="none"/>
          <w:u w:val="single"/>
        </w:rPr>
        <w:t>1</w:t>
      </w:r>
      <w:r>
        <w:rPr>
          <w:rFonts w:hint="eastAsia"/>
          <w:color w:val="auto"/>
          <w:szCs w:val="21"/>
          <w:highlight w:val="none"/>
          <w:u w:val="single"/>
        </w:rPr>
        <w:t>000</w:t>
      </w:r>
      <w:r>
        <w:rPr>
          <w:rFonts w:hAnsi="宋体"/>
          <w:color w:val="auto"/>
          <w:szCs w:val="21"/>
          <w:highlight w:val="none"/>
          <w:u w:val="single"/>
        </w:rPr>
        <w:t>元</w:t>
      </w:r>
      <w:r>
        <w:rPr>
          <w:color w:val="auto"/>
          <w:szCs w:val="21"/>
          <w:highlight w:val="none"/>
          <w:u w:val="single"/>
        </w:rPr>
        <w:t>/</w:t>
      </w:r>
      <w:r>
        <w:rPr>
          <w:rFonts w:hAnsi="宋体"/>
          <w:color w:val="auto"/>
          <w:szCs w:val="21"/>
          <w:highlight w:val="none"/>
          <w:u w:val="single"/>
        </w:rPr>
        <w:t>人</w:t>
      </w:r>
      <w:r>
        <w:rPr>
          <w:color w:val="auto"/>
          <w:szCs w:val="21"/>
          <w:highlight w:val="none"/>
          <w:u w:val="single"/>
        </w:rPr>
        <w:t>•</w:t>
      </w:r>
      <w:r>
        <w:rPr>
          <w:rFonts w:hAnsi="宋体"/>
          <w:color w:val="auto"/>
          <w:szCs w:val="21"/>
          <w:highlight w:val="none"/>
          <w:u w:val="single"/>
        </w:rPr>
        <w:t>次</w:t>
      </w:r>
      <w:r>
        <w:rPr>
          <w:rFonts w:hint="eastAsia"/>
          <w:color w:val="auto"/>
          <w:szCs w:val="21"/>
          <w:highlight w:val="none"/>
          <w:u w:val="single"/>
        </w:rPr>
        <w:t>（</w:t>
      </w:r>
      <w:r>
        <w:rPr>
          <w:rFonts w:hAnsi="宋体"/>
          <w:color w:val="auto"/>
          <w:szCs w:val="21"/>
          <w:highlight w:val="none"/>
          <w:u w:val="single"/>
        </w:rPr>
        <w:t>人民币</w:t>
      </w:r>
      <w:r>
        <w:rPr>
          <w:rFonts w:hint="eastAsia"/>
          <w:color w:val="auto"/>
          <w:szCs w:val="21"/>
          <w:highlight w:val="none"/>
          <w:u w:val="single"/>
        </w:rPr>
        <w:t>）</w:t>
      </w:r>
      <w:r>
        <w:rPr>
          <w:rFonts w:hAnsi="宋体"/>
          <w:color w:val="auto"/>
          <w:szCs w:val="21"/>
          <w:highlight w:val="none"/>
          <w:u w:val="single"/>
        </w:rPr>
        <w:t>；</w:t>
      </w:r>
      <w:r>
        <w:rPr>
          <w:rFonts w:hint="eastAsia" w:hAnsi="宋体"/>
          <w:color w:val="auto"/>
          <w:szCs w:val="21"/>
          <w:highlight w:val="none"/>
          <w:u w:val="single"/>
        </w:rPr>
        <w:t>其它在场管理人员</w:t>
      </w:r>
      <w:r>
        <w:rPr>
          <w:rFonts w:hAnsi="宋体"/>
          <w:color w:val="auto"/>
          <w:szCs w:val="21"/>
          <w:highlight w:val="none"/>
          <w:u w:val="single"/>
        </w:rPr>
        <w:t>擅自离岗的，视为承包人违约，发包人有权处违约金</w:t>
      </w:r>
      <w:r>
        <w:rPr>
          <w:rFonts w:hint="eastAsia" w:hAnsi="宋体"/>
          <w:color w:val="auto"/>
          <w:szCs w:val="21"/>
          <w:highlight w:val="none"/>
          <w:u w:val="single"/>
        </w:rPr>
        <w:t>1</w:t>
      </w:r>
      <w:r>
        <w:rPr>
          <w:rFonts w:hint="eastAsia"/>
          <w:color w:val="auto"/>
          <w:szCs w:val="21"/>
          <w:highlight w:val="none"/>
          <w:u w:val="single"/>
        </w:rPr>
        <w:t>000</w:t>
      </w:r>
      <w:r>
        <w:rPr>
          <w:rFonts w:hAnsi="宋体"/>
          <w:color w:val="auto"/>
          <w:szCs w:val="21"/>
          <w:highlight w:val="none"/>
          <w:u w:val="single"/>
        </w:rPr>
        <w:t>元</w:t>
      </w:r>
      <w:r>
        <w:rPr>
          <w:color w:val="auto"/>
          <w:szCs w:val="21"/>
          <w:highlight w:val="none"/>
          <w:u w:val="single"/>
        </w:rPr>
        <w:t>/</w:t>
      </w:r>
      <w:r>
        <w:rPr>
          <w:rFonts w:hAnsi="宋体"/>
          <w:color w:val="auto"/>
          <w:szCs w:val="21"/>
          <w:highlight w:val="none"/>
          <w:u w:val="single"/>
        </w:rPr>
        <w:t>人</w:t>
      </w:r>
      <w:r>
        <w:rPr>
          <w:color w:val="auto"/>
          <w:szCs w:val="21"/>
          <w:highlight w:val="none"/>
          <w:u w:val="single"/>
        </w:rPr>
        <w:t>•</w:t>
      </w:r>
      <w:r>
        <w:rPr>
          <w:rFonts w:hAnsi="宋体"/>
          <w:color w:val="auto"/>
          <w:szCs w:val="21"/>
          <w:highlight w:val="none"/>
          <w:u w:val="single"/>
        </w:rPr>
        <w:t>次</w:t>
      </w:r>
      <w:r>
        <w:rPr>
          <w:rFonts w:hint="eastAsia"/>
          <w:color w:val="auto"/>
          <w:szCs w:val="21"/>
          <w:highlight w:val="none"/>
          <w:u w:val="single"/>
        </w:rPr>
        <w:t>（</w:t>
      </w:r>
      <w:r>
        <w:rPr>
          <w:rFonts w:hAnsi="宋体"/>
          <w:color w:val="auto"/>
          <w:szCs w:val="21"/>
          <w:highlight w:val="none"/>
          <w:u w:val="single"/>
        </w:rPr>
        <w:t>人民币</w:t>
      </w:r>
      <w:r>
        <w:rPr>
          <w:rFonts w:hint="eastAsia"/>
          <w:color w:val="auto"/>
          <w:szCs w:val="21"/>
          <w:highlight w:val="none"/>
          <w:u w:val="single"/>
        </w:rPr>
        <w:t>）</w:t>
      </w:r>
      <w:r>
        <w:rPr>
          <w:rFonts w:hAnsi="宋体"/>
          <w:color w:val="auto"/>
          <w:szCs w:val="21"/>
          <w:highlight w:val="none"/>
        </w:rPr>
        <w:t>。</w:t>
      </w:r>
    </w:p>
    <w:p>
      <w:pPr>
        <w:pStyle w:val="7"/>
        <w:rPr>
          <w:color w:val="auto"/>
          <w:highlight w:val="none"/>
        </w:rPr>
      </w:pPr>
      <w:bookmarkStart w:id="284" w:name="_Toc10731"/>
      <w:bookmarkStart w:id="285" w:name="_Toc491946612"/>
      <w:r>
        <w:rPr>
          <w:color w:val="auto"/>
          <w:highlight w:val="none"/>
        </w:rPr>
        <w:t xml:space="preserve">3.5 </w:t>
      </w:r>
      <w:r>
        <w:rPr>
          <w:rFonts w:hAnsi="宋体"/>
          <w:color w:val="auto"/>
          <w:highlight w:val="none"/>
        </w:rPr>
        <w:t>分包</w:t>
      </w:r>
      <w:bookmarkEnd w:id="284"/>
      <w:bookmarkEnd w:id="285"/>
    </w:p>
    <w:p>
      <w:pPr>
        <w:spacing w:line="360" w:lineRule="auto"/>
        <w:ind w:firstLine="420" w:firstLineChars="200"/>
        <w:rPr>
          <w:color w:val="auto"/>
          <w:szCs w:val="21"/>
          <w:highlight w:val="none"/>
        </w:rPr>
      </w:pPr>
      <w:r>
        <w:rPr>
          <w:color w:val="auto"/>
          <w:szCs w:val="21"/>
          <w:highlight w:val="none"/>
        </w:rPr>
        <w:t xml:space="preserve">3.5.1 </w:t>
      </w:r>
      <w:r>
        <w:rPr>
          <w:rFonts w:hAnsi="宋体"/>
          <w:color w:val="auto"/>
          <w:szCs w:val="21"/>
          <w:highlight w:val="none"/>
        </w:rPr>
        <w:t>分包的一般约定</w:t>
      </w:r>
    </w:p>
    <w:p>
      <w:pPr>
        <w:spacing w:line="360" w:lineRule="auto"/>
        <w:ind w:firstLine="420" w:firstLineChars="200"/>
        <w:jc w:val="left"/>
        <w:rPr>
          <w:color w:val="auto"/>
          <w:szCs w:val="21"/>
          <w:highlight w:val="none"/>
        </w:rPr>
      </w:pPr>
      <w:r>
        <w:rPr>
          <w:rFonts w:hAnsi="宋体"/>
          <w:color w:val="auto"/>
          <w:szCs w:val="21"/>
          <w:highlight w:val="none"/>
        </w:rPr>
        <w:t>禁止分包的工程包括：</w:t>
      </w:r>
      <w:r>
        <w:rPr>
          <w:rFonts w:hAnsi="宋体"/>
          <w:color w:val="auto"/>
          <w:szCs w:val="21"/>
          <w:highlight w:val="none"/>
          <w:u w:val="single"/>
        </w:rPr>
        <w:t></w:t>
      </w:r>
      <w:r>
        <w:rPr>
          <w:rFonts w:hint="eastAsia" w:hAnsi="宋体"/>
          <w:color w:val="auto"/>
          <w:szCs w:val="21"/>
          <w:highlight w:val="none"/>
          <w:u w:val="single"/>
        </w:rPr>
        <w:t>本工程不得分包</w:t>
      </w:r>
      <w:r>
        <w:rPr>
          <w:rFonts w:hint="eastAsia" w:hAnsi="宋体"/>
          <w:color w:val="auto"/>
          <w:szCs w:val="21"/>
          <w:highlight w:val="none"/>
          <w:u w:val="single"/>
          <w:lang w:val="en-US" w:eastAsia="zh-CN"/>
        </w:rPr>
        <w:t xml:space="preserve"> </w:t>
      </w:r>
      <w:r>
        <w:rPr>
          <w:rFonts w:hAnsi="宋体"/>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rFonts w:hAnsi="宋体"/>
          <w:color w:val="auto"/>
          <w:szCs w:val="21"/>
          <w:highlight w:val="none"/>
        </w:rPr>
      </w:pPr>
      <w:r>
        <w:rPr>
          <w:rFonts w:hAnsi="宋体"/>
          <w:color w:val="auto"/>
          <w:szCs w:val="21"/>
          <w:highlight w:val="none"/>
        </w:rPr>
        <w:t>主体结构、关键性工作的范围：</w:t>
      </w:r>
      <w:r>
        <w:rPr>
          <w:rFonts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rPr>
      </w:pPr>
      <w:r>
        <w:rPr>
          <w:color w:val="auto"/>
          <w:szCs w:val="21"/>
          <w:highlight w:val="none"/>
        </w:rPr>
        <w:t>3.5.2</w:t>
      </w:r>
      <w:r>
        <w:rPr>
          <w:rFonts w:hint="eastAsia"/>
          <w:color w:val="auto"/>
          <w:szCs w:val="21"/>
          <w:highlight w:val="none"/>
        </w:rPr>
        <w:t xml:space="preserve"> </w:t>
      </w:r>
      <w:r>
        <w:rPr>
          <w:rFonts w:hAnsi="宋体"/>
          <w:color w:val="auto"/>
          <w:szCs w:val="21"/>
          <w:highlight w:val="none"/>
        </w:rPr>
        <w:t>分包的确定</w:t>
      </w:r>
    </w:p>
    <w:p>
      <w:pPr>
        <w:spacing w:line="360" w:lineRule="auto"/>
        <w:ind w:firstLine="420" w:firstLineChars="200"/>
        <w:rPr>
          <w:color w:val="auto"/>
          <w:szCs w:val="21"/>
          <w:highlight w:val="none"/>
          <w:u w:val="single"/>
        </w:rPr>
      </w:pPr>
      <w:r>
        <w:rPr>
          <w:rFonts w:hAnsi="宋体"/>
          <w:color w:val="auto"/>
          <w:szCs w:val="21"/>
          <w:highlight w:val="none"/>
        </w:rPr>
        <w:t>允许分包的专业工程包括：</w:t>
      </w:r>
      <w:r>
        <w:rPr>
          <w:rFonts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rPr>
          <w:color w:val="auto"/>
          <w:szCs w:val="21"/>
          <w:highlight w:val="none"/>
          <w:u w:val="single"/>
        </w:rPr>
      </w:pPr>
      <w:r>
        <w:rPr>
          <w:rFonts w:hAnsi="宋体"/>
          <w:color w:val="auto"/>
          <w:szCs w:val="21"/>
          <w:highlight w:val="none"/>
        </w:rPr>
        <w:t>其他关于分包的约定：</w:t>
      </w:r>
      <w:r>
        <w:rPr>
          <w:rFonts w:hint="eastAsia" w:hAnsi="宋体"/>
          <w:color w:val="auto"/>
          <w:szCs w:val="21"/>
          <w:highlight w:val="none"/>
          <w:u w:val="single"/>
        </w:rPr>
        <w:t xml:space="preserve">             /             </w:t>
      </w:r>
      <w:r>
        <w:rPr>
          <w:rFonts w:hAnsi="宋体"/>
          <w:color w:val="auto"/>
          <w:szCs w:val="21"/>
          <w:highlight w:val="none"/>
        </w:rPr>
        <w:t>。</w:t>
      </w:r>
    </w:p>
    <w:p>
      <w:pPr>
        <w:pStyle w:val="7"/>
        <w:rPr>
          <w:color w:val="auto"/>
          <w:highlight w:val="none"/>
        </w:rPr>
      </w:pPr>
      <w:bookmarkStart w:id="286" w:name="_Toc491946613"/>
      <w:bookmarkStart w:id="287" w:name="_Toc9594"/>
      <w:r>
        <w:rPr>
          <w:color w:val="auto"/>
          <w:highlight w:val="none"/>
        </w:rPr>
        <w:t>3.6 工程照管与成品、半成品保护</w:t>
      </w:r>
      <w:bookmarkEnd w:id="286"/>
      <w:bookmarkEnd w:id="287"/>
    </w:p>
    <w:p>
      <w:pPr>
        <w:spacing w:line="360" w:lineRule="auto"/>
        <w:ind w:firstLine="420" w:firstLineChars="200"/>
        <w:rPr>
          <w:color w:val="auto"/>
          <w:kern w:val="0"/>
          <w:szCs w:val="21"/>
          <w:highlight w:val="none"/>
          <w:u w:val="single"/>
        </w:rPr>
      </w:pPr>
      <w:r>
        <w:rPr>
          <w:rFonts w:hAnsi="宋体"/>
          <w:color w:val="auto"/>
          <w:kern w:val="0"/>
          <w:szCs w:val="21"/>
          <w:highlight w:val="none"/>
        </w:rPr>
        <w:t>承包人负责照管工程及工程相关的材料、工程设备的起始时间：</w:t>
      </w:r>
      <w:r>
        <w:rPr>
          <w:color w:val="auto"/>
          <w:kern w:val="0"/>
          <w:szCs w:val="21"/>
          <w:highlight w:val="none"/>
          <w:u w:val="single"/>
        </w:rPr>
        <w:t xml:space="preserve">        </w:t>
      </w:r>
      <w:r>
        <w:rPr>
          <w:rFonts w:hint="eastAsia"/>
          <w:color w:val="auto"/>
          <w:kern w:val="0"/>
          <w:szCs w:val="21"/>
          <w:highlight w:val="none"/>
          <w:u w:val="single"/>
        </w:rPr>
        <w:t>/</w:t>
      </w:r>
      <w:r>
        <w:rPr>
          <w:color w:val="auto"/>
          <w:kern w:val="0"/>
          <w:szCs w:val="21"/>
          <w:highlight w:val="none"/>
          <w:u w:val="single"/>
        </w:rPr>
        <w:t xml:space="preserve">           </w:t>
      </w:r>
      <w:r>
        <w:rPr>
          <w:rFonts w:hAnsi="宋体"/>
          <w:color w:val="auto"/>
          <w:kern w:val="0"/>
          <w:szCs w:val="21"/>
          <w:highlight w:val="none"/>
        </w:rPr>
        <w:t>。</w:t>
      </w:r>
    </w:p>
    <w:p>
      <w:pPr>
        <w:pStyle w:val="7"/>
        <w:rPr>
          <w:rFonts w:hint="eastAsia" w:hAnsi="宋体"/>
          <w:color w:val="auto"/>
          <w:highlight w:val="none"/>
        </w:rPr>
      </w:pPr>
      <w:bookmarkStart w:id="288" w:name="_Toc491946614"/>
      <w:bookmarkStart w:id="289" w:name="_Toc24122"/>
      <w:r>
        <w:rPr>
          <w:color w:val="auto"/>
          <w:highlight w:val="none"/>
        </w:rPr>
        <w:t xml:space="preserve">3.7 </w:t>
      </w:r>
      <w:r>
        <w:rPr>
          <w:rFonts w:hAnsi="宋体"/>
          <w:color w:val="auto"/>
          <w:highlight w:val="none"/>
        </w:rPr>
        <w:t>履约</w:t>
      </w:r>
      <w:r>
        <w:rPr>
          <w:rFonts w:hint="eastAsia" w:hAnsi="宋体"/>
          <w:color w:val="auto"/>
          <w:highlight w:val="none"/>
        </w:rPr>
        <w:t>保证金</w:t>
      </w:r>
      <w:bookmarkEnd w:id="288"/>
      <w:bookmarkEnd w:id="289"/>
    </w:p>
    <w:p>
      <w:pPr>
        <w:pStyle w:val="27"/>
        <w:spacing w:line="360" w:lineRule="auto"/>
        <w:ind w:firstLine="420" w:firstLineChars="200"/>
        <w:jc w:val="left"/>
        <w:rPr>
          <w:rFonts w:hint="eastAsia" w:ascii="宋体" w:hAnsi="宋体" w:cs="宋体"/>
          <w:color w:val="auto"/>
          <w:szCs w:val="21"/>
          <w:highlight w:val="none"/>
        </w:rPr>
      </w:pPr>
      <w:bookmarkStart w:id="290" w:name="_Toc491946615"/>
      <w:r>
        <w:rPr>
          <w:rFonts w:hint="eastAsia" w:ascii="宋体" w:hAnsi="宋体" w:cs="宋体"/>
          <w:color w:val="auto"/>
          <w:szCs w:val="21"/>
          <w:highlight w:val="none"/>
          <w:lang w:eastAsia="zh-CN"/>
        </w:rPr>
        <w:t>承</w:t>
      </w:r>
      <w:r>
        <w:rPr>
          <w:rFonts w:hint="eastAsia" w:ascii="宋体" w:hAnsi="宋体" w:cs="宋体"/>
          <w:color w:val="auto"/>
          <w:szCs w:val="21"/>
          <w:highlight w:val="none"/>
        </w:rPr>
        <w:t>包人是否提供履约担保：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27"/>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rPr>
        <w:t>履约保证金的形式可以采用现金、银行保函、工程担保或保证保险等形式，承包人在收到</w:t>
      </w:r>
      <w:r>
        <w:rPr>
          <w:rFonts w:hint="eastAsia" w:ascii="宋体" w:hAnsi="宋体" w:cs="宋体"/>
          <w:color w:val="auto"/>
          <w:szCs w:val="21"/>
          <w:highlight w:val="none"/>
          <w:u w:val="single"/>
          <w:lang w:eastAsia="zh-CN"/>
        </w:rPr>
        <w:t>成交</w:t>
      </w:r>
      <w:r>
        <w:rPr>
          <w:rFonts w:hint="eastAsia" w:ascii="宋体" w:hAnsi="宋体" w:cs="宋体"/>
          <w:color w:val="auto"/>
          <w:szCs w:val="21"/>
          <w:highlight w:val="none"/>
          <w:u w:val="single"/>
        </w:rPr>
        <w:t>通知书后，须在15日内向发包人提交合同价款扣除建安劳保费、发包人材料设备价款、暂估专业工程、暂列金额后的5%的履约保证金。履约担保的有效期应当自本合同生效之日起至发包人签认并由监理人向承包人出具  （竣工证明材料名称）之日止。如果承包人无法获得一份不带具体截止日期的担保，履约担保中应当有“变更工程竣工日期的，保证期间按照变更后的竣工日期做相应调整”或类似约定的条款。</w:t>
      </w:r>
    </w:p>
    <w:p>
      <w:pPr>
        <w:pStyle w:val="27"/>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工程竣工验收合格并对验收发现的问题完成整改后且竣工资料移交手续后，可向发包人申请退还履约保证金，发包人应在收到申请之日起28个日历天内扣减承包人赔偿金和其他应从承包人扣回的款项后，将履约保证金退还给承包人。</w:t>
      </w:r>
    </w:p>
    <w:p>
      <w:pPr>
        <w:pStyle w:val="27"/>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u w:val="single"/>
        </w:rPr>
        <w:t>承包人在中标后7个工作日内，按（各市住房城乡建设行政主管部门规定）规定将农民工工资保障金存入帐户。工程竣工验收结算经审定后，按照规定程序，将农民工工资保障金没有使用或剩余的金额退还给承包人</w:t>
      </w:r>
      <w:r>
        <w:rPr>
          <w:rFonts w:hint="eastAsia" w:ascii="宋体" w:hAnsi="宋体" w:cs="宋体"/>
          <w:color w:val="auto"/>
          <w:szCs w:val="21"/>
          <w:highlight w:val="none"/>
        </w:rPr>
        <w:t>。</w:t>
      </w:r>
    </w:p>
    <w:p>
      <w:pPr>
        <w:adjustRightInd w:val="0"/>
        <w:snapToGrid w:val="0"/>
        <w:spacing w:line="360" w:lineRule="auto"/>
        <w:ind w:firstLine="420" w:firstLineChars="200"/>
        <w:rPr>
          <w:rFonts w:hint="eastAsia" w:ascii="宋体" w:hAnsi="宋体"/>
          <w:color w:val="auto"/>
          <w:szCs w:val="21"/>
          <w:highlight w:val="none"/>
        </w:rPr>
      </w:pPr>
    </w:p>
    <w:p>
      <w:pPr>
        <w:adjustRightInd w:val="0"/>
        <w:snapToGrid w:val="0"/>
        <w:spacing w:line="360" w:lineRule="auto"/>
        <w:rPr>
          <w:rFonts w:hAnsi="宋体"/>
          <w:b/>
          <w:bCs/>
          <w:color w:val="auto"/>
          <w:sz w:val="24"/>
          <w:szCs w:val="32"/>
          <w:highlight w:val="none"/>
        </w:rPr>
      </w:pPr>
      <w:r>
        <w:rPr>
          <w:rFonts w:hAnsi="宋体"/>
          <w:b/>
          <w:bCs/>
          <w:color w:val="auto"/>
          <w:sz w:val="24"/>
          <w:szCs w:val="32"/>
          <w:highlight w:val="none"/>
        </w:rPr>
        <w:t>4. 监理人</w:t>
      </w:r>
      <w:bookmarkEnd w:id="290"/>
    </w:p>
    <w:p>
      <w:pPr>
        <w:pStyle w:val="7"/>
        <w:rPr>
          <w:color w:val="auto"/>
          <w:highlight w:val="none"/>
        </w:rPr>
      </w:pPr>
      <w:bookmarkStart w:id="291" w:name="_Toc30371"/>
      <w:bookmarkStart w:id="292" w:name="_Toc491946616"/>
      <w:r>
        <w:rPr>
          <w:color w:val="auto"/>
          <w:highlight w:val="none"/>
        </w:rPr>
        <w:t>4.1</w:t>
      </w:r>
      <w:r>
        <w:rPr>
          <w:rFonts w:hint="eastAsia"/>
          <w:color w:val="auto"/>
          <w:highlight w:val="none"/>
        </w:rPr>
        <w:t xml:space="preserve"> </w:t>
      </w:r>
      <w:r>
        <w:rPr>
          <w:color w:val="auto"/>
          <w:highlight w:val="none"/>
        </w:rPr>
        <w:t>监理人的一般规定</w:t>
      </w:r>
      <w:bookmarkEnd w:id="291"/>
      <w:bookmarkEnd w:id="292"/>
    </w:p>
    <w:p>
      <w:pPr>
        <w:spacing w:line="360" w:lineRule="auto"/>
        <w:ind w:firstLine="420" w:firstLineChars="200"/>
        <w:jc w:val="left"/>
        <w:rPr>
          <w:color w:val="auto"/>
          <w:szCs w:val="21"/>
          <w:highlight w:val="none"/>
        </w:rPr>
      </w:pPr>
      <w:r>
        <w:rPr>
          <w:rFonts w:hAnsi="宋体"/>
          <w:color w:val="auto"/>
          <w:szCs w:val="21"/>
          <w:highlight w:val="none"/>
        </w:rPr>
        <w:t>关于监理人的监理内容：</w:t>
      </w:r>
      <w:r>
        <w:rPr>
          <w:color w:val="auto"/>
          <w:szCs w:val="21"/>
          <w:highlight w:val="none"/>
          <w:u w:val="single"/>
        </w:rPr>
        <w:t xml:space="preserve"> </w:t>
      </w:r>
      <w:r>
        <w:rPr>
          <w:rFonts w:hint="eastAsia"/>
          <w:color w:val="auto"/>
          <w:szCs w:val="21"/>
          <w:highlight w:val="none"/>
          <w:u w:val="single"/>
        </w:rPr>
        <w:t xml:space="preserve">    </w:t>
      </w:r>
      <w:r>
        <w:rPr>
          <w:rFonts w:hint="eastAsia" w:ascii="宋体" w:hAnsi="宋体" w:cs="宋体"/>
          <w:color w:val="auto"/>
          <w:szCs w:val="21"/>
          <w:highlight w:val="none"/>
          <w:u w:val="single"/>
        </w:rPr>
        <w:t xml:space="preserve">按本工程施工内容  </w:t>
      </w:r>
      <w:r>
        <w:rPr>
          <w:color w:val="auto"/>
          <w:szCs w:val="21"/>
          <w:highlight w:val="none"/>
          <w:u w:val="single"/>
        </w:rPr>
        <w:t xml:space="preserve">  </w:t>
      </w:r>
      <w:r>
        <w:rPr>
          <w:rFonts w:hAnsi="宋体"/>
          <w:color w:val="auto"/>
          <w:szCs w:val="21"/>
          <w:highlight w:val="none"/>
        </w:rPr>
        <w:t>。</w:t>
      </w:r>
    </w:p>
    <w:p>
      <w:pPr>
        <w:pStyle w:val="26"/>
        <w:spacing w:line="360" w:lineRule="auto"/>
        <w:ind w:firstLine="420" w:firstLineChars="200"/>
        <w:jc w:val="left"/>
        <w:rPr>
          <w:rFonts w:hint="eastAsia" w:ascii="宋体" w:hAnsi="宋体" w:cs="宋体"/>
          <w:color w:val="auto"/>
          <w:szCs w:val="21"/>
          <w:highlight w:val="none"/>
        </w:rPr>
      </w:pPr>
      <w:r>
        <w:rPr>
          <w:rFonts w:hAnsi="宋体"/>
          <w:color w:val="auto"/>
          <w:szCs w:val="21"/>
          <w:highlight w:val="none"/>
        </w:rPr>
        <w:t>关于监理人的监理权限：</w:t>
      </w:r>
      <w:r>
        <w:rPr>
          <w:color w:val="auto"/>
          <w:szCs w:val="21"/>
          <w:highlight w:val="none"/>
          <w:u w:val="single"/>
        </w:rPr>
        <w:t xml:space="preserve">  </w:t>
      </w:r>
      <w:r>
        <w:rPr>
          <w:rFonts w:hint="eastAsia"/>
          <w:color w:val="auto"/>
          <w:szCs w:val="21"/>
          <w:highlight w:val="none"/>
          <w:u w:val="single"/>
        </w:rPr>
        <w:t>⑴</w:t>
      </w:r>
      <w:r>
        <w:rPr>
          <w:color w:val="auto"/>
          <w:szCs w:val="21"/>
          <w:highlight w:val="none"/>
          <w:u w:val="single"/>
        </w:rPr>
        <w:t xml:space="preserve"> </w:t>
      </w:r>
      <w:r>
        <w:rPr>
          <w:rFonts w:hint="eastAsia"/>
          <w:color w:val="auto"/>
          <w:szCs w:val="21"/>
          <w:highlight w:val="none"/>
          <w:u w:val="single"/>
        </w:rPr>
        <w:t>审定承包人提交的开工报告、施工组织设计、施工技术方案、施工进度计划、施工质量保证措施和施工安全保证措施，协助委托人填写开工报告。⑵</w:t>
      </w:r>
      <w:r>
        <w:rPr>
          <w:color w:val="auto"/>
          <w:szCs w:val="21"/>
          <w:highlight w:val="none"/>
          <w:u w:val="single"/>
        </w:rPr>
        <w:t xml:space="preserve"> </w:t>
      </w:r>
      <w:r>
        <w:rPr>
          <w:rFonts w:hint="eastAsia"/>
          <w:color w:val="auto"/>
          <w:szCs w:val="21"/>
          <w:highlight w:val="none"/>
          <w:u w:val="single"/>
        </w:rPr>
        <w:t>审查承包人依法选择的分包人。⑶</w:t>
      </w:r>
      <w:r>
        <w:rPr>
          <w:color w:val="auto"/>
          <w:szCs w:val="21"/>
          <w:highlight w:val="none"/>
          <w:u w:val="single"/>
        </w:rPr>
        <w:t xml:space="preserve"> </w:t>
      </w:r>
      <w:r>
        <w:rPr>
          <w:rFonts w:hint="eastAsia"/>
          <w:color w:val="auto"/>
          <w:szCs w:val="21"/>
          <w:highlight w:val="none"/>
          <w:u w:val="single"/>
        </w:rPr>
        <w:t>协助发包人组织施工图纸会审。⑷定期主持召开工地例会，监督承包人严格履行工程施工合同和严格按国家技术规范、标准、地方建筑安装规程以及设计文件的要求进行施工，协调委托人和承包人之间的关系。⑸审核承包人或委托人提供的材料、构配件和设备清单所列的规格、数量及质量。⑹对用于工程的主要材料、构件的出厂合格证、材质试验单等进行核定，如发现不实之处，有权要求承包人（并指定试验单位）对材质进行再化验，防止不合格的材料、构件等用于工程上。⑺检查工程使用的主要设备及关键材料是否符合设计文件或标书所规定的厂家、型号、规格及质量标准。在订货前，根据需要对生产厂家进行了解考察，所发生的差旅费用由订货单位负担。⑻控制工程进度、质量和投资，督促、检查承包人落实文明施工及安全保证措施。⑼审核签认各分项工程和隐蔽工程的各工序检查、验收，签署工程付款凭证。对于每一期的工程付款凭证签署，监理人必须由总监理工程师出具关于申请付款报告中所包含施工内容的质量评估报告，以作为发包人审批的依据。质量评估报告须包含但不限于以下内容：①</w:t>
      </w:r>
      <w:r>
        <w:rPr>
          <w:color w:val="auto"/>
          <w:szCs w:val="21"/>
          <w:highlight w:val="none"/>
          <w:u w:val="single"/>
        </w:rPr>
        <w:t xml:space="preserve"> </w:t>
      </w:r>
      <w:r>
        <w:rPr>
          <w:rFonts w:hint="eastAsia"/>
          <w:color w:val="auto"/>
          <w:szCs w:val="21"/>
          <w:highlight w:val="none"/>
          <w:u w:val="single"/>
        </w:rPr>
        <w:t>材料检验情况②</w:t>
      </w:r>
      <w:r>
        <w:rPr>
          <w:color w:val="auto"/>
          <w:szCs w:val="21"/>
          <w:highlight w:val="none"/>
          <w:u w:val="single"/>
        </w:rPr>
        <w:t xml:space="preserve"> </w:t>
      </w:r>
      <w:r>
        <w:rPr>
          <w:rFonts w:hint="eastAsia"/>
          <w:color w:val="auto"/>
          <w:szCs w:val="21"/>
          <w:highlight w:val="none"/>
          <w:u w:val="single"/>
        </w:rPr>
        <w:t>施工过程检测检验情况，按《城镇道路工程施工与质量验收规范》（</w:t>
      </w:r>
      <w:r>
        <w:rPr>
          <w:color w:val="auto"/>
          <w:szCs w:val="21"/>
          <w:highlight w:val="none"/>
          <w:u w:val="single"/>
        </w:rPr>
        <w:t>CJJ1</w:t>
      </w:r>
      <w:r>
        <w:rPr>
          <w:rFonts w:hint="eastAsia"/>
          <w:color w:val="auto"/>
          <w:szCs w:val="21"/>
          <w:highlight w:val="none"/>
          <w:u w:val="single"/>
        </w:rPr>
        <w:t>－</w:t>
      </w:r>
      <w:r>
        <w:rPr>
          <w:color w:val="auto"/>
          <w:szCs w:val="21"/>
          <w:highlight w:val="none"/>
          <w:u w:val="single"/>
        </w:rPr>
        <w:t>2008</w:t>
      </w:r>
      <w:r>
        <w:rPr>
          <w:rFonts w:hint="eastAsia"/>
          <w:color w:val="auto"/>
          <w:szCs w:val="21"/>
          <w:highlight w:val="none"/>
          <w:u w:val="single"/>
        </w:rPr>
        <w:t>）、《给水排水管道工程施工及验收规范》（</w:t>
      </w:r>
      <w:r>
        <w:rPr>
          <w:color w:val="auto"/>
          <w:szCs w:val="21"/>
          <w:highlight w:val="none"/>
          <w:u w:val="single"/>
        </w:rPr>
        <w:t>GB50268—2008</w:t>
      </w:r>
      <w:r>
        <w:rPr>
          <w:rFonts w:hint="eastAsia"/>
          <w:color w:val="auto"/>
          <w:szCs w:val="21"/>
          <w:highlight w:val="none"/>
          <w:u w:val="single"/>
        </w:rPr>
        <w:t>）要求的主控项目检验情况。</w:t>
      </w:r>
      <w:r>
        <w:rPr>
          <w:color w:val="auto"/>
          <w:szCs w:val="21"/>
          <w:highlight w:val="none"/>
          <w:u w:val="single"/>
        </w:rPr>
        <w:t xml:space="preserve"> </w:t>
      </w:r>
      <w:r>
        <w:rPr>
          <w:rFonts w:hint="eastAsia"/>
          <w:color w:val="auto"/>
          <w:szCs w:val="21"/>
          <w:highlight w:val="none"/>
          <w:u w:val="single"/>
        </w:rPr>
        <w:t>③</w:t>
      </w:r>
      <w:r>
        <w:rPr>
          <w:color w:val="auto"/>
          <w:szCs w:val="21"/>
          <w:highlight w:val="none"/>
          <w:u w:val="single"/>
        </w:rPr>
        <w:t xml:space="preserve"> </w:t>
      </w:r>
      <w:r>
        <w:rPr>
          <w:rFonts w:hint="eastAsia"/>
          <w:color w:val="auto"/>
          <w:szCs w:val="21"/>
          <w:highlight w:val="none"/>
          <w:u w:val="single"/>
        </w:rPr>
        <w:t>实体尺寸检验情况</w:t>
      </w:r>
      <w:r>
        <w:rPr>
          <w:color w:val="auto"/>
          <w:szCs w:val="21"/>
          <w:highlight w:val="none"/>
          <w:u w:val="single"/>
        </w:rPr>
        <w:t xml:space="preserve"> </w:t>
      </w:r>
      <w:r>
        <w:rPr>
          <w:rFonts w:hint="eastAsia"/>
          <w:color w:val="auto"/>
          <w:szCs w:val="21"/>
          <w:highlight w:val="none"/>
          <w:u w:val="single"/>
        </w:rPr>
        <w:t>④</w:t>
      </w:r>
      <w:r>
        <w:rPr>
          <w:color w:val="auto"/>
          <w:szCs w:val="21"/>
          <w:highlight w:val="none"/>
          <w:u w:val="single"/>
        </w:rPr>
        <w:t xml:space="preserve"> </w:t>
      </w:r>
      <w:r>
        <w:rPr>
          <w:rFonts w:hint="eastAsia"/>
          <w:color w:val="auto"/>
          <w:szCs w:val="21"/>
          <w:highlight w:val="none"/>
          <w:u w:val="single"/>
        </w:rPr>
        <w:t>施工过程关键证明图像资料。</w:t>
      </w:r>
      <w:r>
        <w:rPr>
          <w:color w:val="auto"/>
          <w:szCs w:val="21"/>
          <w:highlight w:val="none"/>
          <w:u w:val="single"/>
        </w:rPr>
        <w:t xml:space="preserve"> </w:t>
      </w:r>
      <w:r>
        <w:rPr>
          <w:rFonts w:hint="eastAsia"/>
          <w:color w:val="auto"/>
          <w:szCs w:val="21"/>
          <w:highlight w:val="none"/>
          <w:u w:val="single"/>
        </w:rPr>
        <w:t>⑽审查和处理工程变更，确认施工现场签证。⑾督促承包人整理合同文件和技术档案资料。⑿</w:t>
      </w:r>
      <w:r>
        <w:rPr>
          <w:color w:val="auto"/>
          <w:szCs w:val="21"/>
          <w:highlight w:val="none"/>
          <w:u w:val="single"/>
        </w:rPr>
        <w:t xml:space="preserve"> </w:t>
      </w:r>
      <w:r>
        <w:rPr>
          <w:rFonts w:hint="eastAsia"/>
          <w:color w:val="auto"/>
          <w:szCs w:val="21"/>
          <w:highlight w:val="none"/>
          <w:u w:val="single"/>
        </w:rPr>
        <w:t>协助委托人组织工程交工初步验收。⒀审查承包人提出交工或竣工验收申请报告，其中申请报告所附的竣工图必须盖有总监理工程师的执业印章和监理人公章。参加工程验收，审核工程结算书（结算书须经总监理工程师签字、盖章）。⒁</w:t>
      </w:r>
      <w:r>
        <w:rPr>
          <w:color w:val="auto"/>
          <w:szCs w:val="21"/>
          <w:highlight w:val="none"/>
          <w:u w:val="single"/>
        </w:rPr>
        <w:t xml:space="preserve"> </w:t>
      </w:r>
      <w:r>
        <w:rPr>
          <w:rFonts w:hint="eastAsia"/>
          <w:color w:val="auto"/>
          <w:szCs w:val="21"/>
          <w:highlight w:val="none"/>
          <w:u w:val="single"/>
        </w:rPr>
        <w:t>有权就工程竣工验收后工程质量缺陷责任期及保修阶段的质量整改责任认定，并依合同约定提出监理意见。⒂负责对承包人项目人员组织结构进行日常考勤并保持记录。</w:t>
      </w:r>
      <w:r>
        <w:rPr>
          <w:rFonts w:hint="eastAsia" w:ascii="宋体" w:hAnsi="宋体" w:cs="宋体"/>
          <w:color w:val="auto"/>
          <w:szCs w:val="21"/>
          <w:highlight w:val="none"/>
        </w:rPr>
        <w:t xml:space="preserve"> </w:t>
      </w:r>
    </w:p>
    <w:p>
      <w:pPr>
        <w:spacing w:line="360" w:lineRule="auto"/>
        <w:rPr>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color w:val="auto"/>
          <w:szCs w:val="21"/>
          <w:highlight w:val="none"/>
          <w:u w:val="single"/>
        </w:rPr>
        <w:t>承包人负责</w:t>
      </w:r>
      <w:r>
        <w:rPr>
          <w:color w:val="auto"/>
          <w:szCs w:val="21"/>
          <w:highlight w:val="none"/>
          <w:u w:val="single"/>
        </w:rPr>
        <w:t>2</w:t>
      </w:r>
      <w:r>
        <w:rPr>
          <w:rFonts w:hint="eastAsia"/>
          <w:color w:val="auto"/>
          <w:szCs w:val="21"/>
          <w:highlight w:val="none"/>
          <w:u w:val="single"/>
        </w:rPr>
        <w:t>间不少于</w:t>
      </w:r>
      <w:r>
        <w:rPr>
          <w:color w:val="auto"/>
          <w:szCs w:val="21"/>
          <w:highlight w:val="none"/>
          <w:u w:val="single"/>
        </w:rPr>
        <w:t>20</w:t>
      </w:r>
      <w:r>
        <w:rPr>
          <w:rFonts w:hint="eastAsia"/>
          <w:color w:val="auto"/>
          <w:szCs w:val="21"/>
          <w:highlight w:val="none"/>
          <w:u w:val="single"/>
        </w:rPr>
        <w:t>㎡</w:t>
      </w:r>
      <w:r>
        <w:rPr>
          <w:color w:val="auto"/>
          <w:szCs w:val="21"/>
          <w:highlight w:val="none"/>
          <w:u w:val="single"/>
        </w:rPr>
        <w:t>/</w:t>
      </w:r>
      <w:r>
        <w:rPr>
          <w:rFonts w:hint="eastAsia"/>
          <w:color w:val="auto"/>
          <w:szCs w:val="21"/>
          <w:highlight w:val="none"/>
          <w:u w:val="single"/>
        </w:rPr>
        <w:t>间的现场办公用房，生活场所及相关费用已包含在监理费内，由监理人自行解决</w:t>
      </w:r>
      <w:r>
        <w:rPr>
          <w:rFonts w:hint="eastAsia" w:ascii="宋体" w:hAnsi="宋体" w:cs="宋体"/>
          <w:color w:val="auto"/>
          <w:szCs w:val="21"/>
          <w:highlight w:val="none"/>
        </w:rPr>
        <w:t>。</w:t>
      </w:r>
    </w:p>
    <w:p>
      <w:pPr>
        <w:pStyle w:val="7"/>
        <w:rPr>
          <w:color w:val="auto"/>
          <w:highlight w:val="none"/>
        </w:rPr>
      </w:pPr>
      <w:bookmarkStart w:id="293" w:name="_Toc22170"/>
      <w:bookmarkStart w:id="294" w:name="_Toc491946617"/>
      <w:r>
        <w:rPr>
          <w:color w:val="auto"/>
          <w:highlight w:val="none"/>
        </w:rPr>
        <w:t xml:space="preserve">4.2 </w:t>
      </w:r>
      <w:r>
        <w:rPr>
          <w:rFonts w:hAnsi="宋体"/>
          <w:color w:val="auto"/>
          <w:highlight w:val="none"/>
        </w:rPr>
        <w:t>监理人员</w:t>
      </w:r>
      <w:bookmarkEnd w:id="293"/>
      <w:bookmarkEnd w:id="294"/>
    </w:p>
    <w:p>
      <w:pPr>
        <w:spacing w:line="360" w:lineRule="auto"/>
        <w:ind w:firstLine="420" w:firstLineChars="200"/>
        <w:rPr>
          <w:color w:val="auto"/>
          <w:szCs w:val="21"/>
          <w:highlight w:val="none"/>
        </w:rPr>
      </w:pPr>
      <w:r>
        <w:rPr>
          <w:rFonts w:hAnsi="宋体"/>
          <w:color w:val="auto"/>
          <w:szCs w:val="21"/>
          <w:highlight w:val="none"/>
        </w:rPr>
        <w:t>总监理工程师：</w:t>
      </w:r>
    </w:p>
    <w:p>
      <w:pPr>
        <w:spacing w:line="360" w:lineRule="auto"/>
        <w:ind w:firstLine="420" w:firstLineChars="200"/>
        <w:rPr>
          <w:color w:val="auto"/>
          <w:szCs w:val="21"/>
          <w:highlight w:val="none"/>
        </w:rPr>
      </w:pPr>
      <w:r>
        <w:rPr>
          <w:rFonts w:hAnsi="宋体"/>
          <w:color w:val="auto"/>
          <w:szCs w:val="21"/>
          <w:highlight w:val="none"/>
        </w:rPr>
        <w:t>姓</w:t>
      </w:r>
      <w:r>
        <w:rPr>
          <w:color w:val="auto"/>
          <w:szCs w:val="21"/>
          <w:highlight w:val="none"/>
        </w:rPr>
        <w:t xml:space="preserve">    </w:t>
      </w:r>
      <w:r>
        <w:rPr>
          <w:rFonts w:hAnsi="宋体"/>
          <w:color w:val="auto"/>
          <w:szCs w:val="21"/>
          <w:highlight w:val="none"/>
        </w:rPr>
        <w:t>名：</w:t>
      </w:r>
      <w:r>
        <w:rPr>
          <w:rFonts w:hAnsi="宋体"/>
          <w:color w:val="auto"/>
          <w:szCs w:val="21"/>
          <w:highlight w:val="none"/>
          <w:u w:val="single"/>
        </w:rPr>
        <w:t></w:t>
      </w:r>
      <w:r>
        <w:rPr>
          <w:rFonts w:hint="eastAsia" w:hAnsi="宋体"/>
          <w:color w:val="auto"/>
          <w:szCs w:val="21"/>
          <w:highlight w:val="none"/>
          <w:u w:val="single"/>
          <w:lang w:val="en-US" w:eastAsia="zh-CN"/>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职</w:t>
      </w:r>
      <w:r>
        <w:rPr>
          <w:color w:val="auto"/>
          <w:szCs w:val="21"/>
          <w:highlight w:val="none"/>
        </w:rPr>
        <w:t xml:space="preserve">    </w:t>
      </w:r>
      <w:r>
        <w:rPr>
          <w:rFonts w:hAnsi="宋体"/>
          <w:color w:val="auto"/>
          <w:szCs w:val="21"/>
          <w:highlight w:val="none"/>
        </w:rPr>
        <w:t>务：</w:t>
      </w:r>
      <w:r>
        <w:rPr>
          <w:rFonts w:hAnsi="宋体"/>
          <w:color w:val="auto"/>
          <w:szCs w:val="21"/>
          <w:highlight w:val="none"/>
          <w:u w:val="single"/>
        </w:rPr>
        <w:t></w:t>
      </w:r>
      <w:r>
        <w:rPr>
          <w:rFonts w:hint="eastAsia" w:hAnsi="宋体"/>
          <w:color w:val="auto"/>
          <w:kern w:val="0"/>
          <w:szCs w:val="21"/>
          <w:highlight w:val="none"/>
          <w:u w:val="single"/>
          <w:lang w:val="en-US" w:eastAsia="zh-CN"/>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rFonts w:hAnsi="宋体"/>
          <w:color w:val="auto"/>
          <w:szCs w:val="21"/>
          <w:highlight w:val="none"/>
        </w:rPr>
      </w:pPr>
      <w:r>
        <w:rPr>
          <w:rFonts w:hAnsi="宋体"/>
          <w:color w:val="auto"/>
          <w:szCs w:val="21"/>
          <w:highlight w:val="none"/>
        </w:rPr>
        <w:t>监理工程师执业资格证书号：</w:t>
      </w:r>
      <w:r>
        <w:rPr>
          <w:rFonts w:hint="eastAsia"/>
          <w:color w:val="auto"/>
          <w:kern w:val="0"/>
          <w:szCs w:val="21"/>
          <w:highlight w:val="none"/>
          <w:u w:val="single"/>
        </w:rPr>
        <w:t xml:space="preserve">      </w:t>
      </w:r>
      <w:r>
        <w:rPr>
          <w:rFonts w:hint="eastAsia"/>
          <w:color w:val="auto"/>
          <w:kern w:val="0"/>
          <w:szCs w:val="21"/>
          <w:highlight w:val="none"/>
          <w:u w:val="single"/>
          <w:lang w:val="en-US" w:eastAsia="zh-CN"/>
        </w:rPr>
        <w:t xml:space="preserve">       </w:t>
      </w:r>
      <w:r>
        <w:rPr>
          <w:rFonts w:hint="eastAsia"/>
          <w:color w:val="auto"/>
          <w:kern w:val="0"/>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color w:val="auto"/>
          <w:szCs w:val="21"/>
          <w:highlight w:val="none"/>
        </w:rPr>
      </w:pPr>
      <w:r>
        <w:rPr>
          <w:rFonts w:hint="eastAsia" w:hAnsi="宋体"/>
          <w:color w:val="auto"/>
          <w:szCs w:val="21"/>
          <w:highlight w:val="none"/>
        </w:rPr>
        <w:t>广西建筑市场诚信卡卡号：</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w:t>
      </w:r>
      <w:r>
        <w:rPr>
          <w:rFonts w:hint="eastAsia" w:hAnsi="宋体"/>
          <w:color w:val="auto"/>
          <w:szCs w:val="21"/>
          <w:highlight w:val="none"/>
          <w:u w:val="single"/>
        </w:rPr>
        <w:t xml:space="preserve">        </w:t>
      </w:r>
      <w:r>
        <w:rPr>
          <w:rFonts w:hint="eastAsia"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联系电话：</w:t>
      </w:r>
      <w:r>
        <w:rPr>
          <w:rFonts w:hAnsi="宋体"/>
          <w:color w:val="auto"/>
          <w:szCs w:val="21"/>
          <w:highlight w:val="none"/>
          <w:u w:val="single"/>
        </w:rPr>
        <w:t></w:t>
      </w:r>
      <w:r>
        <w:rPr>
          <w:rFonts w:hint="eastAsia" w:hAnsi="宋体"/>
          <w:color w:val="auto"/>
          <w:szCs w:val="21"/>
          <w:highlight w:val="none"/>
          <w:u w:val="single"/>
          <w:lang w:val="en-US" w:eastAsia="zh-CN"/>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电子信箱：</w:t>
      </w:r>
      <w:r>
        <w:rPr>
          <w:rFonts w:hAnsi="宋体"/>
          <w:color w:val="auto"/>
          <w:szCs w:val="21"/>
          <w:highlight w:val="none"/>
          <w:u w:val="single"/>
        </w:rPr>
        <w:t></w:t>
      </w:r>
      <w:r>
        <w:rPr>
          <w:rFonts w:hint="eastAsia" w:hAnsi="宋体"/>
          <w:color w:val="auto"/>
          <w:szCs w:val="21"/>
          <w:highlight w:val="none"/>
          <w:u w:val="single"/>
          <w:lang w:val="en-US" w:eastAsia="zh-CN"/>
        </w:rPr>
        <w:t>/</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通信地址：</w:t>
      </w:r>
      <w:r>
        <w:rPr>
          <w:rFonts w:hAnsi="宋体"/>
          <w:color w:val="auto"/>
          <w:szCs w:val="21"/>
          <w:highlight w:val="none"/>
          <w:u w:val="single"/>
        </w:rPr>
        <w:t></w:t>
      </w:r>
      <w:r>
        <w:rPr>
          <w:rFonts w:hint="eastAsia" w:hAnsi="宋体"/>
          <w:color w:val="auto"/>
          <w:szCs w:val="21"/>
          <w:highlight w:val="none"/>
          <w:u w:val="single"/>
          <w:lang w:val="en-US" w:eastAsia="zh-CN"/>
        </w:rPr>
        <w:t>/</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关于监理人的其他约定：</w:t>
      </w:r>
      <w:r>
        <w:rPr>
          <w:rFonts w:hAnsi="宋体"/>
          <w:color w:val="auto"/>
          <w:szCs w:val="21"/>
          <w:highlight w:val="none"/>
          <w:u w:val="single"/>
        </w:rPr>
        <w:t></w:t>
      </w:r>
      <w:r>
        <w:rPr>
          <w:rFonts w:hint="eastAsia" w:hAnsi="宋体"/>
          <w:color w:val="auto"/>
          <w:szCs w:val="21"/>
          <w:highlight w:val="none"/>
          <w:u w:val="single"/>
          <w:lang w:val="en-US" w:eastAsia="zh-CN"/>
        </w:rPr>
        <w:t>/</w:t>
      </w:r>
      <w:r>
        <w:rPr>
          <w:color w:val="auto"/>
          <w:szCs w:val="21"/>
          <w:highlight w:val="none"/>
          <w:u w:val="single"/>
        </w:rPr>
        <w:t xml:space="preserve">  </w:t>
      </w:r>
      <w:r>
        <w:rPr>
          <w:rFonts w:hAnsi="宋体"/>
          <w:color w:val="auto"/>
          <w:szCs w:val="21"/>
          <w:highlight w:val="none"/>
          <w:u w:val="single"/>
        </w:rPr>
        <w:t></w:t>
      </w:r>
      <w:r>
        <w:rPr>
          <w:color w:val="auto"/>
          <w:szCs w:val="21"/>
          <w:highlight w:val="none"/>
          <w:u w:val="single"/>
        </w:rPr>
        <w:t xml:space="preserve"> </w:t>
      </w:r>
      <w:r>
        <w:rPr>
          <w:rFonts w:hAnsi="宋体"/>
          <w:color w:val="auto"/>
          <w:szCs w:val="21"/>
          <w:highlight w:val="none"/>
          <w:u w:val="single"/>
        </w:rPr>
        <w:t></w:t>
      </w:r>
      <w:r>
        <w:rPr>
          <w:rFonts w:hAnsi="宋体"/>
          <w:color w:val="auto"/>
          <w:szCs w:val="21"/>
          <w:highlight w:val="none"/>
        </w:rPr>
        <w:t>。</w:t>
      </w:r>
    </w:p>
    <w:p>
      <w:pPr>
        <w:pStyle w:val="7"/>
        <w:rPr>
          <w:color w:val="auto"/>
          <w:highlight w:val="none"/>
        </w:rPr>
      </w:pPr>
      <w:bookmarkStart w:id="295" w:name="_Toc491946618"/>
      <w:bookmarkStart w:id="296" w:name="_Toc10132"/>
      <w:r>
        <w:rPr>
          <w:color w:val="auto"/>
          <w:highlight w:val="none"/>
        </w:rPr>
        <w:t xml:space="preserve">4.4 </w:t>
      </w:r>
      <w:r>
        <w:rPr>
          <w:rFonts w:hAnsi="宋体"/>
          <w:color w:val="auto"/>
          <w:highlight w:val="none"/>
        </w:rPr>
        <w:t>商定或确定</w:t>
      </w:r>
      <w:bookmarkEnd w:id="295"/>
      <w:bookmarkEnd w:id="296"/>
    </w:p>
    <w:p>
      <w:pPr>
        <w:spacing w:line="360" w:lineRule="auto"/>
        <w:ind w:firstLine="420" w:firstLineChars="200"/>
        <w:rPr>
          <w:color w:val="auto"/>
          <w:szCs w:val="21"/>
          <w:highlight w:val="none"/>
        </w:rPr>
      </w:pPr>
      <w:r>
        <w:rPr>
          <w:rFonts w:hAnsi="宋体"/>
          <w:color w:val="auto"/>
          <w:szCs w:val="21"/>
          <w:highlight w:val="none"/>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rFonts w:hint="eastAsia"/>
          <w:color w:val="auto"/>
          <w:kern w:val="0"/>
          <w:szCs w:val="21"/>
          <w:highlight w:val="none"/>
        </w:rPr>
      </w:pPr>
      <w:r>
        <w:rPr>
          <w:rFonts w:hAnsi="宋体"/>
          <w:color w:val="auto"/>
          <w:kern w:val="0"/>
          <w:szCs w:val="21"/>
          <w:highlight w:val="none"/>
        </w:rPr>
        <w:t>（</w:t>
      </w:r>
      <w:r>
        <w:rPr>
          <w:color w:val="auto"/>
          <w:kern w:val="0"/>
          <w:szCs w:val="21"/>
          <w:highlight w:val="none"/>
        </w:rPr>
        <w:t>1</w:t>
      </w:r>
      <w:r>
        <w:rPr>
          <w:rFonts w:hAnsi="宋体"/>
          <w:color w:val="auto"/>
          <w:kern w:val="0"/>
          <w:szCs w:val="21"/>
          <w:highlight w:val="none"/>
        </w:rPr>
        <w:t>）</w:t>
      </w:r>
      <w:r>
        <w:rPr>
          <w:color w:val="auto"/>
          <w:szCs w:val="21"/>
          <w:highlight w:val="none"/>
          <w:u w:val="single"/>
        </w:rPr>
        <w:t xml:space="preserve">              </w:t>
      </w:r>
      <w:r>
        <w:rPr>
          <w:rFonts w:hint="eastAsia"/>
          <w:bCs/>
          <w:color w:val="auto"/>
          <w:szCs w:val="21"/>
          <w:highlight w:val="none"/>
          <w:u w:val="single"/>
        </w:rPr>
        <w:t>另行约定</w:t>
      </w:r>
      <w:r>
        <w:rPr>
          <w:color w:val="auto"/>
          <w:szCs w:val="21"/>
          <w:highlight w:val="none"/>
          <w:u w:val="single"/>
        </w:rPr>
        <w:t xml:space="preserve">               </w:t>
      </w:r>
      <w:r>
        <w:rPr>
          <w:rFonts w:hint="eastAsia"/>
          <w:color w:val="auto"/>
          <w:szCs w:val="21"/>
          <w:highlight w:val="none"/>
          <w:u w:val="single"/>
        </w:rPr>
        <w:t>。</w:t>
      </w:r>
    </w:p>
    <w:p>
      <w:pPr>
        <w:autoSpaceDE w:val="0"/>
        <w:autoSpaceDN w:val="0"/>
        <w:adjustRightInd w:val="0"/>
        <w:spacing w:line="360" w:lineRule="auto"/>
        <w:ind w:firstLine="420" w:firstLineChars="200"/>
        <w:jc w:val="left"/>
        <w:rPr>
          <w:rFonts w:hAnsi="宋体"/>
          <w:color w:val="auto"/>
          <w:szCs w:val="21"/>
          <w:highlight w:val="none"/>
        </w:rPr>
      </w:pPr>
      <w:bookmarkStart w:id="297" w:name="_Toc491946619"/>
    </w:p>
    <w:p>
      <w:pPr>
        <w:autoSpaceDE w:val="0"/>
        <w:autoSpaceDN w:val="0"/>
        <w:adjustRightInd w:val="0"/>
        <w:spacing w:line="360" w:lineRule="auto"/>
        <w:jc w:val="left"/>
        <w:rPr>
          <w:rFonts w:hAnsi="宋体"/>
          <w:b/>
          <w:bCs/>
          <w:color w:val="auto"/>
          <w:sz w:val="24"/>
          <w:szCs w:val="32"/>
          <w:highlight w:val="none"/>
        </w:rPr>
      </w:pPr>
      <w:r>
        <w:rPr>
          <w:rFonts w:hAnsi="宋体"/>
          <w:b/>
          <w:bCs/>
          <w:color w:val="auto"/>
          <w:sz w:val="24"/>
          <w:szCs w:val="32"/>
          <w:highlight w:val="none"/>
        </w:rPr>
        <w:t>5. 工程质量</w:t>
      </w:r>
      <w:bookmarkEnd w:id="297"/>
    </w:p>
    <w:p>
      <w:pPr>
        <w:pStyle w:val="7"/>
        <w:rPr>
          <w:color w:val="auto"/>
          <w:highlight w:val="none"/>
        </w:rPr>
      </w:pPr>
      <w:bookmarkStart w:id="298" w:name="_Toc491946620"/>
      <w:bookmarkStart w:id="299" w:name="_Toc23737"/>
      <w:r>
        <w:rPr>
          <w:color w:val="auto"/>
          <w:highlight w:val="none"/>
        </w:rPr>
        <w:t xml:space="preserve">5.1 </w:t>
      </w:r>
      <w:r>
        <w:rPr>
          <w:rFonts w:hAnsi="宋体"/>
          <w:color w:val="auto"/>
          <w:highlight w:val="none"/>
        </w:rPr>
        <w:t>质量要求</w:t>
      </w:r>
      <w:bookmarkEnd w:id="298"/>
      <w:bookmarkEnd w:id="299"/>
    </w:p>
    <w:p>
      <w:pPr>
        <w:spacing w:line="360" w:lineRule="auto"/>
        <w:ind w:firstLine="420" w:firstLineChars="200"/>
        <w:jc w:val="left"/>
        <w:rPr>
          <w:color w:val="auto"/>
          <w:szCs w:val="21"/>
          <w:highlight w:val="none"/>
          <w:u w:val="single"/>
        </w:rPr>
      </w:pPr>
      <w:r>
        <w:rPr>
          <w:color w:val="auto"/>
          <w:szCs w:val="21"/>
          <w:highlight w:val="none"/>
        </w:rPr>
        <w:t xml:space="preserve">5.1.1 </w:t>
      </w:r>
      <w:r>
        <w:rPr>
          <w:rFonts w:hAnsi="宋体"/>
          <w:color w:val="auto"/>
          <w:szCs w:val="21"/>
          <w:highlight w:val="none"/>
        </w:rPr>
        <w:t>特殊质量标准和要求：</w:t>
      </w:r>
      <w:r>
        <w:rPr>
          <w:color w:val="auto"/>
          <w:szCs w:val="21"/>
          <w:highlight w:val="none"/>
          <w:u w:val="single"/>
        </w:rPr>
        <w:t xml:space="preserve">              </w:t>
      </w:r>
      <w:r>
        <w:rPr>
          <w:rFonts w:hint="eastAsia"/>
          <w:color w:val="auto"/>
          <w:szCs w:val="21"/>
          <w:highlight w:val="none"/>
          <w:u w:val="single"/>
        </w:rPr>
        <w:t>合格</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rPr>
      </w:pPr>
      <w:r>
        <w:rPr>
          <w:rFonts w:hAnsi="宋体"/>
          <w:color w:val="auto"/>
          <w:szCs w:val="21"/>
          <w:highlight w:val="none"/>
        </w:rPr>
        <w:t>关于工程奖项的约定：</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rPr>
      </w:pPr>
      <w:r>
        <w:rPr>
          <w:color w:val="auto"/>
          <w:szCs w:val="21"/>
          <w:highlight w:val="none"/>
        </w:rPr>
        <w:t xml:space="preserve">5.3 </w:t>
      </w:r>
      <w:r>
        <w:rPr>
          <w:rFonts w:hAnsi="宋体"/>
          <w:color w:val="auto"/>
          <w:szCs w:val="21"/>
          <w:highlight w:val="none"/>
        </w:rPr>
        <w:t>隐蔽工程检查</w:t>
      </w:r>
    </w:p>
    <w:p>
      <w:pPr>
        <w:spacing w:line="360" w:lineRule="auto"/>
        <w:ind w:firstLine="420" w:firstLineChars="200"/>
        <w:jc w:val="left"/>
        <w:rPr>
          <w:color w:val="auto"/>
          <w:szCs w:val="21"/>
          <w:highlight w:val="none"/>
          <w:u w:val="single"/>
        </w:rPr>
      </w:pPr>
      <w:r>
        <w:rPr>
          <w:color w:val="auto"/>
          <w:szCs w:val="21"/>
          <w:highlight w:val="none"/>
        </w:rPr>
        <w:t>5.3.2</w:t>
      </w:r>
      <w:r>
        <w:rPr>
          <w:rFonts w:hAnsi="宋体"/>
          <w:color w:val="auto"/>
          <w:szCs w:val="21"/>
          <w:highlight w:val="none"/>
        </w:rPr>
        <w:t>承包人提前通知监理人隐蔽工程检查的期限的约定：</w:t>
      </w:r>
      <w:r>
        <w:rPr>
          <w:rFonts w:hAnsi="宋体"/>
          <w:bCs/>
          <w:color w:val="auto"/>
          <w:szCs w:val="21"/>
          <w:highlight w:val="none"/>
        </w:rPr>
        <w:t>工程隐蔽或中间验收前</w:t>
      </w:r>
      <w:r>
        <w:rPr>
          <w:bCs/>
          <w:color w:val="auto"/>
          <w:szCs w:val="21"/>
          <w:highlight w:val="none"/>
        </w:rPr>
        <w:t>12</w:t>
      </w:r>
      <w:r>
        <w:rPr>
          <w:rFonts w:hAnsi="宋体"/>
          <w:bCs/>
          <w:color w:val="auto"/>
          <w:szCs w:val="21"/>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20" w:firstLineChars="200"/>
        <w:jc w:val="left"/>
        <w:rPr>
          <w:color w:val="auto"/>
          <w:szCs w:val="21"/>
          <w:highlight w:val="none"/>
        </w:rPr>
      </w:pPr>
      <w:r>
        <w:rPr>
          <w:rFonts w:hAnsi="宋体"/>
          <w:color w:val="auto"/>
          <w:szCs w:val="21"/>
          <w:highlight w:val="none"/>
        </w:rPr>
        <w:t>监理人不能按时进行检查时，应提前</w:t>
      </w:r>
      <w:r>
        <w:rPr>
          <w:color w:val="auto"/>
          <w:szCs w:val="21"/>
          <w:highlight w:val="none"/>
          <w:u w:val="single"/>
        </w:rPr>
        <w:t xml:space="preserve">    </w:t>
      </w:r>
      <w:r>
        <w:rPr>
          <w:rFonts w:hint="eastAsia"/>
          <w:color w:val="auto"/>
          <w:szCs w:val="21"/>
          <w:highlight w:val="none"/>
          <w:u w:val="single"/>
        </w:rPr>
        <w:t>8</w:t>
      </w:r>
      <w:r>
        <w:rPr>
          <w:color w:val="auto"/>
          <w:szCs w:val="21"/>
          <w:highlight w:val="none"/>
          <w:u w:val="single"/>
        </w:rPr>
        <w:t xml:space="preserve">   </w:t>
      </w:r>
      <w:r>
        <w:rPr>
          <w:rFonts w:hAnsi="宋体"/>
          <w:color w:val="auto"/>
          <w:szCs w:val="21"/>
          <w:highlight w:val="none"/>
        </w:rPr>
        <w:t>小时提交书面延期要求。</w:t>
      </w:r>
    </w:p>
    <w:p>
      <w:pPr>
        <w:spacing w:line="360" w:lineRule="auto"/>
        <w:ind w:firstLine="420" w:firstLineChars="200"/>
        <w:jc w:val="left"/>
        <w:rPr>
          <w:rFonts w:hAnsi="宋体"/>
          <w:color w:val="auto"/>
          <w:szCs w:val="21"/>
          <w:highlight w:val="none"/>
        </w:rPr>
      </w:pPr>
      <w:r>
        <w:rPr>
          <w:rFonts w:hAnsi="宋体"/>
          <w:color w:val="auto"/>
          <w:szCs w:val="21"/>
          <w:highlight w:val="none"/>
        </w:rPr>
        <w:t>关于延期最长不得超过：</w:t>
      </w:r>
      <w:r>
        <w:rPr>
          <w:color w:val="auto"/>
          <w:szCs w:val="21"/>
          <w:highlight w:val="none"/>
          <w:u w:val="single"/>
        </w:rPr>
        <w:t xml:space="preserve">    </w:t>
      </w:r>
      <w:r>
        <w:rPr>
          <w:rFonts w:hint="eastAsia"/>
          <w:color w:val="auto"/>
          <w:szCs w:val="21"/>
          <w:highlight w:val="none"/>
          <w:u w:val="single"/>
        </w:rPr>
        <w:t>24</w:t>
      </w:r>
      <w:r>
        <w:rPr>
          <w:color w:val="auto"/>
          <w:szCs w:val="21"/>
          <w:highlight w:val="none"/>
          <w:u w:val="single"/>
        </w:rPr>
        <w:t xml:space="preserve">     </w:t>
      </w:r>
      <w:r>
        <w:rPr>
          <w:rFonts w:hAnsi="宋体"/>
          <w:color w:val="auto"/>
          <w:szCs w:val="21"/>
          <w:highlight w:val="none"/>
        </w:rPr>
        <w:t>小时。</w:t>
      </w:r>
      <w:bookmarkStart w:id="300" w:name="_Toc491946621"/>
    </w:p>
    <w:p>
      <w:pPr>
        <w:spacing w:line="360" w:lineRule="auto"/>
        <w:jc w:val="left"/>
        <w:rPr>
          <w:rFonts w:hAnsi="宋体"/>
          <w:b/>
          <w:bCs/>
          <w:color w:val="auto"/>
          <w:sz w:val="24"/>
          <w:szCs w:val="32"/>
          <w:highlight w:val="none"/>
        </w:rPr>
      </w:pPr>
      <w:r>
        <w:rPr>
          <w:rFonts w:hAnsi="宋体"/>
          <w:b/>
          <w:bCs/>
          <w:color w:val="auto"/>
          <w:sz w:val="24"/>
          <w:szCs w:val="32"/>
          <w:highlight w:val="none"/>
        </w:rPr>
        <w:t>6. 安全文明施工与环境保护</w:t>
      </w:r>
      <w:bookmarkEnd w:id="300"/>
    </w:p>
    <w:p>
      <w:pPr>
        <w:pStyle w:val="7"/>
        <w:rPr>
          <w:color w:val="auto"/>
          <w:highlight w:val="none"/>
        </w:rPr>
      </w:pPr>
      <w:bookmarkStart w:id="301" w:name="_Toc5376"/>
      <w:bookmarkStart w:id="302" w:name="_Toc491946622"/>
      <w:r>
        <w:rPr>
          <w:color w:val="auto"/>
          <w:highlight w:val="none"/>
        </w:rPr>
        <w:t>6.1</w:t>
      </w:r>
      <w:r>
        <w:rPr>
          <w:rFonts w:hint="eastAsia"/>
          <w:color w:val="auto"/>
          <w:highlight w:val="none"/>
        </w:rPr>
        <w:t xml:space="preserve"> </w:t>
      </w:r>
      <w:r>
        <w:rPr>
          <w:color w:val="auto"/>
          <w:highlight w:val="none"/>
        </w:rPr>
        <w:t>安全文明施工</w:t>
      </w:r>
      <w:bookmarkEnd w:id="301"/>
      <w:bookmarkEnd w:id="302"/>
    </w:p>
    <w:p>
      <w:pPr>
        <w:spacing w:line="360" w:lineRule="auto"/>
        <w:ind w:firstLine="420" w:firstLineChars="200"/>
        <w:jc w:val="left"/>
        <w:rPr>
          <w:rFonts w:hAnsi="宋体"/>
          <w:color w:val="auto"/>
          <w:szCs w:val="21"/>
          <w:highlight w:val="none"/>
        </w:rPr>
      </w:pPr>
      <w:r>
        <w:rPr>
          <w:color w:val="auto"/>
          <w:szCs w:val="21"/>
          <w:highlight w:val="none"/>
        </w:rPr>
        <w:t xml:space="preserve">6.1.1 </w:t>
      </w:r>
      <w:r>
        <w:rPr>
          <w:rFonts w:hAnsi="宋体"/>
          <w:color w:val="auto"/>
          <w:szCs w:val="21"/>
          <w:highlight w:val="none"/>
        </w:rPr>
        <w:t>项目安全生产的达标目标及相应事项的约定：</w:t>
      </w:r>
      <w:r>
        <w:rPr>
          <w:color w:val="auto"/>
          <w:szCs w:val="21"/>
          <w:highlight w:val="none"/>
          <w:u w:val="single"/>
        </w:rPr>
        <w:t xml:space="preserve">  无一般事故            </w:t>
      </w:r>
      <w:r>
        <w:rPr>
          <w:rFonts w:hAnsi="宋体"/>
          <w:color w:val="auto"/>
          <w:szCs w:val="21"/>
          <w:highlight w:val="none"/>
        </w:rPr>
        <w:t>。</w:t>
      </w:r>
    </w:p>
    <w:p>
      <w:pPr>
        <w:spacing w:line="360" w:lineRule="auto"/>
        <w:ind w:firstLine="420" w:firstLineChars="200"/>
        <w:jc w:val="left"/>
        <w:rPr>
          <w:color w:val="auto"/>
          <w:szCs w:val="21"/>
          <w:highlight w:val="none"/>
        </w:rPr>
      </w:pPr>
      <w:r>
        <w:rPr>
          <w:rFonts w:hAnsi="宋体"/>
          <w:color w:val="auto"/>
          <w:szCs w:val="21"/>
          <w:highlight w:val="none"/>
        </w:rPr>
        <w:t>关于</w:t>
      </w:r>
      <w:r>
        <w:rPr>
          <w:rFonts w:hint="eastAsia" w:hAnsi="宋体"/>
          <w:color w:val="auto"/>
          <w:szCs w:val="21"/>
          <w:highlight w:val="none"/>
        </w:rPr>
        <w:t>安全文明施工</w:t>
      </w:r>
      <w:r>
        <w:rPr>
          <w:rFonts w:hAnsi="宋体"/>
          <w:color w:val="auto"/>
          <w:szCs w:val="21"/>
          <w:highlight w:val="none"/>
        </w:rPr>
        <w:t>奖项的约定：</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u w:val="single"/>
        </w:rPr>
      </w:pPr>
      <w:r>
        <w:rPr>
          <w:color w:val="auto"/>
          <w:szCs w:val="21"/>
          <w:highlight w:val="none"/>
        </w:rPr>
        <w:t xml:space="preserve">6.1.4 </w:t>
      </w:r>
      <w:r>
        <w:rPr>
          <w:rFonts w:hAnsi="宋体"/>
          <w:color w:val="auto"/>
          <w:szCs w:val="21"/>
          <w:highlight w:val="none"/>
        </w:rPr>
        <w:t>关于治安保卫的特别约定：</w:t>
      </w:r>
      <w:r>
        <w:rPr>
          <w:rFonts w:hAnsi="宋体"/>
          <w:color w:val="auto"/>
          <w:szCs w:val="21"/>
          <w:highlight w:val="none"/>
          <w:u w:val="single"/>
        </w:rPr>
        <w:t>承包人应承担施工安全保卫工作及非夜间施工照明的责任，承包人应采取一切合理的预防措施，防止人员伤亡、财产损失事故，费用由承包人承担</w:t>
      </w:r>
      <w:r>
        <w:rPr>
          <w:rFonts w:hint="eastAsia" w:hAnsi="宋体"/>
          <w:color w:val="auto"/>
          <w:szCs w:val="21"/>
          <w:highlight w:val="none"/>
          <w:u w:val="single"/>
        </w:rPr>
        <w:t>，施工现场所发生的一切责任事故由承包人负责。</w:t>
      </w:r>
      <w:r>
        <w:rPr>
          <w:rFonts w:hAnsi="宋体"/>
          <w:color w:val="auto"/>
          <w:szCs w:val="21"/>
          <w:highlight w:val="none"/>
          <w:u w:val="single"/>
        </w:rPr>
        <w:t>承包人生活设施及施工场应自费配备消防设备，防止火灾发生。</w:t>
      </w:r>
    </w:p>
    <w:p>
      <w:pPr>
        <w:spacing w:line="360" w:lineRule="auto"/>
        <w:ind w:firstLine="420" w:firstLineChars="200"/>
        <w:jc w:val="left"/>
        <w:rPr>
          <w:color w:val="auto"/>
          <w:szCs w:val="21"/>
          <w:highlight w:val="none"/>
          <w:u w:val="single"/>
        </w:rPr>
      </w:pPr>
      <w:r>
        <w:rPr>
          <w:rFonts w:hAnsi="宋体"/>
          <w:color w:val="auto"/>
          <w:szCs w:val="21"/>
          <w:highlight w:val="none"/>
        </w:rPr>
        <w:t>关于编制施工场地治安管理计划的约定：</w:t>
      </w:r>
      <w:r>
        <w:rPr>
          <w:color w:val="auto"/>
          <w:szCs w:val="21"/>
          <w:highlight w:val="none"/>
          <w:u w:val="single"/>
        </w:rPr>
        <w:t xml:space="preserve">  承包人应在开工前 3 天内编制施工场地治安管理计划，并制定应对突发治安事件的紧急预案 。</w:t>
      </w:r>
    </w:p>
    <w:p>
      <w:pPr>
        <w:spacing w:line="360" w:lineRule="auto"/>
        <w:ind w:firstLine="420" w:firstLineChars="200"/>
        <w:jc w:val="left"/>
        <w:rPr>
          <w:color w:val="auto"/>
          <w:szCs w:val="21"/>
          <w:highlight w:val="none"/>
        </w:rPr>
      </w:pPr>
      <w:r>
        <w:rPr>
          <w:color w:val="auto"/>
          <w:szCs w:val="21"/>
          <w:highlight w:val="none"/>
        </w:rPr>
        <w:t xml:space="preserve">6.1.5 </w:t>
      </w:r>
      <w:r>
        <w:rPr>
          <w:rFonts w:hAnsi="宋体"/>
          <w:color w:val="auto"/>
          <w:szCs w:val="21"/>
          <w:highlight w:val="none"/>
        </w:rPr>
        <w:t>文明施工</w:t>
      </w:r>
    </w:p>
    <w:p>
      <w:pPr>
        <w:spacing w:line="360" w:lineRule="auto"/>
        <w:ind w:firstLine="420" w:firstLineChars="200"/>
        <w:jc w:val="left"/>
        <w:rPr>
          <w:b/>
          <w:color w:val="auto"/>
          <w:szCs w:val="21"/>
          <w:highlight w:val="none"/>
          <w:u w:val="single"/>
        </w:rPr>
      </w:pPr>
      <w:r>
        <w:rPr>
          <w:rFonts w:hAnsi="宋体"/>
          <w:color w:val="auto"/>
          <w:szCs w:val="21"/>
          <w:highlight w:val="none"/>
        </w:rPr>
        <w:t>合同当事人对文明施工的要求：</w:t>
      </w:r>
    </w:p>
    <w:p>
      <w:pPr>
        <w:spacing w:line="360" w:lineRule="auto"/>
        <w:ind w:firstLine="420" w:firstLineChars="200"/>
        <w:jc w:val="left"/>
        <w:rPr>
          <w:color w:val="auto"/>
          <w:szCs w:val="21"/>
          <w:highlight w:val="none"/>
        </w:rPr>
      </w:pPr>
      <w:r>
        <w:rPr>
          <w:color w:val="auto"/>
          <w:szCs w:val="21"/>
          <w:highlight w:val="none"/>
          <w:u w:val="single"/>
        </w:rPr>
        <w:t>承包人应按北海市有关规定做好工程质量和安全管理、环境保护和文明施工的工作，建立完善的工程质量和安全管理、环境保护和文明施工体系，严格遵照由发包人提供经相关行政部门批复</w:t>
      </w:r>
      <w:r>
        <w:rPr>
          <w:color w:val="auto"/>
          <w:szCs w:val="21"/>
          <w:highlight w:val="none"/>
        </w:rPr>
        <w:t>。</w:t>
      </w:r>
    </w:p>
    <w:p>
      <w:pPr>
        <w:spacing w:line="360" w:lineRule="auto"/>
        <w:ind w:firstLine="420" w:firstLineChars="200"/>
        <w:jc w:val="left"/>
        <w:rPr>
          <w:rFonts w:hint="eastAsia" w:hAnsi="宋体"/>
          <w:color w:val="auto"/>
          <w:szCs w:val="21"/>
          <w:highlight w:val="none"/>
          <w:u w:val="single"/>
        </w:rPr>
      </w:pPr>
      <w:r>
        <w:rPr>
          <w:color w:val="auto"/>
          <w:szCs w:val="21"/>
          <w:highlight w:val="none"/>
        </w:rPr>
        <w:t xml:space="preserve">6.1.6 </w:t>
      </w:r>
      <w:r>
        <w:rPr>
          <w:rFonts w:hAnsi="宋体"/>
          <w:color w:val="auto"/>
          <w:szCs w:val="21"/>
          <w:highlight w:val="none"/>
        </w:rPr>
        <w:t>关于安全文明施工费支付比例和支付期限的约定：</w:t>
      </w:r>
      <w:r>
        <w:rPr>
          <w:rFonts w:hint="eastAsia" w:hAnsi="宋体"/>
          <w:color w:val="auto"/>
          <w:szCs w:val="21"/>
          <w:highlight w:val="none"/>
          <w:u w:val="single"/>
        </w:rPr>
        <w:t xml:space="preserve"> （1）本合同价款已包含安全文明施工费 </w:t>
      </w:r>
      <w:r>
        <w:rPr>
          <w:rFonts w:hint="eastAsia" w:hAnsi="宋体"/>
          <w:color w:val="auto"/>
          <w:szCs w:val="21"/>
          <w:highlight w:val="none"/>
          <w:u w:val="single"/>
        </w:rPr>
        <w:tab/>
      </w:r>
      <w:r>
        <w:rPr>
          <w:rFonts w:hint="eastAsia" w:hAnsi="宋体"/>
          <w:color w:val="auto"/>
          <w:szCs w:val="21"/>
          <w:highlight w:val="none"/>
          <w:u w:val="single"/>
        </w:rPr>
        <w:t>元。</w:t>
      </w:r>
    </w:p>
    <w:p>
      <w:pPr>
        <w:spacing w:line="360" w:lineRule="auto"/>
        <w:ind w:firstLine="420" w:firstLineChars="200"/>
        <w:jc w:val="left"/>
        <w:rPr>
          <w:rFonts w:hint="eastAsia" w:hAnsi="宋体" w:eastAsia="宋体"/>
          <w:color w:val="auto"/>
          <w:szCs w:val="21"/>
          <w:highlight w:val="none"/>
          <w:u w:val="single"/>
          <w:lang w:val="en-US" w:eastAsia="zh-CN"/>
        </w:rPr>
      </w:pPr>
      <w:r>
        <w:rPr>
          <w:rFonts w:hint="eastAsia" w:hAnsi="宋体"/>
          <w:color w:val="auto"/>
          <w:szCs w:val="21"/>
          <w:highlight w:val="none"/>
          <w:u w:val="single"/>
        </w:rPr>
        <w:t xml:space="preserve">（2）使用要求：专款专用。具体按《广西壮族自治区建筑工程安全防护、文明施工措施费及管理细则》（桂建质〔2015〕16号）和 </w:t>
      </w:r>
      <w:r>
        <w:rPr>
          <w:rFonts w:hint="eastAsia" w:hAnsi="宋体"/>
          <w:color w:val="auto"/>
          <w:szCs w:val="21"/>
          <w:highlight w:val="none"/>
          <w:u w:val="single"/>
        </w:rPr>
        <w:tab/>
      </w:r>
      <w:r>
        <w:rPr>
          <w:rFonts w:hint="eastAsia" w:hAnsi="宋体"/>
          <w:color w:val="auto"/>
          <w:szCs w:val="21"/>
          <w:highlight w:val="none"/>
          <w:u w:val="single"/>
        </w:rPr>
        <w:t>北海市相关规定执行</w:t>
      </w:r>
      <w:r>
        <w:rPr>
          <w:rFonts w:hint="eastAsia" w:hAnsi="宋体"/>
          <w:color w:val="auto"/>
          <w:szCs w:val="21"/>
          <w:highlight w:val="none"/>
          <w:u w:val="single"/>
          <w:lang w:eastAsia="zh-CN"/>
        </w:rPr>
        <w:t>。</w:t>
      </w:r>
    </w:p>
    <w:p>
      <w:pPr>
        <w:autoSpaceDE w:val="0"/>
        <w:autoSpaceDN w:val="0"/>
        <w:adjustRightInd w:val="0"/>
        <w:spacing w:line="360" w:lineRule="auto"/>
        <w:ind w:firstLine="420" w:firstLineChars="200"/>
        <w:jc w:val="left"/>
        <w:rPr>
          <w:color w:val="auto"/>
          <w:highlight w:val="none"/>
        </w:rPr>
      </w:pPr>
      <w:r>
        <w:rPr>
          <w:color w:val="auto"/>
          <w:highlight w:val="none"/>
        </w:rPr>
        <w:t>6.3</w:t>
      </w:r>
      <w:r>
        <w:rPr>
          <w:rFonts w:hint="eastAsia"/>
          <w:color w:val="auto"/>
          <w:highlight w:val="none"/>
        </w:rPr>
        <w:t xml:space="preserve"> </w:t>
      </w:r>
      <w:r>
        <w:rPr>
          <w:rFonts w:hAnsi="宋体"/>
          <w:color w:val="auto"/>
          <w:highlight w:val="none"/>
        </w:rPr>
        <w:t>环境保护</w:t>
      </w:r>
    </w:p>
    <w:p>
      <w:pPr>
        <w:spacing w:line="360" w:lineRule="auto"/>
        <w:ind w:firstLine="420" w:firstLineChars="200"/>
        <w:jc w:val="left"/>
        <w:rPr>
          <w:color w:val="auto"/>
          <w:szCs w:val="21"/>
          <w:highlight w:val="none"/>
          <w:u w:val="single"/>
        </w:rPr>
      </w:pPr>
      <w:r>
        <w:rPr>
          <w:rFonts w:hAnsi="宋体"/>
          <w:color w:val="auto"/>
          <w:szCs w:val="21"/>
          <w:highlight w:val="none"/>
          <w:u w:val="single"/>
        </w:rPr>
        <w:t>因施工需要，经发包人批准，由承包人办理有关施工场地交通、环卫和施工噪音管理等手续，费用由承包人负责。</w:t>
      </w:r>
    </w:p>
    <w:p>
      <w:pPr>
        <w:spacing w:line="360" w:lineRule="auto"/>
        <w:ind w:firstLine="420" w:firstLineChars="200"/>
        <w:jc w:val="left"/>
        <w:rPr>
          <w:rFonts w:hAnsi="宋体"/>
          <w:color w:val="auto"/>
          <w:szCs w:val="21"/>
          <w:highlight w:val="none"/>
          <w:u w:val="single"/>
        </w:rPr>
      </w:pPr>
      <w:r>
        <w:rPr>
          <w:rFonts w:hAnsi="宋体"/>
          <w:color w:val="auto"/>
          <w:szCs w:val="21"/>
          <w:highlight w:val="none"/>
          <w:u w:val="single"/>
        </w:rPr>
        <w:t>经过城市道路的施工车辆，必须按交警、城管、运输等部门相关规定执行。由于施工车辆造成的道路、环境等污染，其责任和费用均由承包人承担。</w:t>
      </w:r>
      <w:bookmarkStart w:id="303" w:name="_Toc491946623"/>
    </w:p>
    <w:p>
      <w:pPr>
        <w:numPr>
          <w:ilvl w:val="0"/>
          <w:numId w:val="2"/>
        </w:numPr>
        <w:spacing w:line="360" w:lineRule="auto"/>
        <w:jc w:val="left"/>
        <w:rPr>
          <w:rFonts w:hAnsi="宋体"/>
          <w:b/>
          <w:bCs/>
          <w:color w:val="auto"/>
          <w:sz w:val="24"/>
          <w:szCs w:val="32"/>
          <w:highlight w:val="none"/>
        </w:rPr>
      </w:pPr>
      <w:r>
        <w:rPr>
          <w:rFonts w:hAnsi="宋体"/>
          <w:b/>
          <w:bCs/>
          <w:color w:val="auto"/>
          <w:sz w:val="24"/>
          <w:szCs w:val="32"/>
          <w:highlight w:val="none"/>
        </w:rPr>
        <w:t>工期和进度</w:t>
      </w:r>
      <w:bookmarkEnd w:id="303"/>
      <w:bookmarkStart w:id="304" w:name="_Toc491946624"/>
    </w:p>
    <w:p>
      <w:pPr>
        <w:spacing w:line="360" w:lineRule="auto"/>
        <w:jc w:val="left"/>
        <w:rPr>
          <w:rFonts w:hAnsi="宋体"/>
          <w:b/>
          <w:bCs/>
          <w:color w:val="auto"/>
          <w:sz w:val="24"/>
          <w:szCs w:val="32"/>
          <w:highlight w:val="none"/>
        </w:rPr>
      </w:pPr>
      <w:r>
        <w:rPr>
          <w:rFonts w:hAnsi="宋体"/>
          <w:b/>
          <w:bCs/>
          <w:color w:val="auto"/>
          <w:sz w:val="24"/>
          <w:szCs w:val="32"/>
          <w:highlight w:val="none"/>
        </w:rPr>
        <w:t>7.1 施工组织设计</w:t>
      </w:r>
      <w:bookmarkEnd w:id="304"/>
    </w:p>
    <w:p>
      <w:pPr>
        <w:autoSpaceDE w:val="0"/>
        <w:autoSpaceDN w:val="0"/>
        <w:adjustRightInd w:val="0"/>
        <w:spacing w:line="360" w:lineRule="auto"/>
        <w:ind w:firstLine="420" w:firstLineChars="200"/>
        <w:jc w:val="left"/>
        <w:rPr>
          <w:color w:val="auto"/>
          <w:szCs w:val="21"/>
          <w:highlight w:val="none"/>
          <w:u w:val="single"/>
        </w:rPr>
      </w:pPr>
      <w:r>
        <w:rPr>
          <w:color w:val="auto"/>
          <w:szCs w:val="21"/>
          <w:highlight w:val="none"/>
        </w:rPr>
        <w:t xml:space="preserve">7.1.1 </w:t>
      </w:r>
      <w:r>
        <w:rPr>
          <w:rFonts w:hAnsi="宋体"/>
          <w:color w:val="auto"/>
          <w:szCs w:val="21"/>
          <w:highlight w:val="none"/>
        </w:rPr>
        <w:t>合</w:t>
      </w:r>
      <w:r>
        <w:rPr>
          <w:rFonts w:hAnsi="宋体"/>
          <w:color w:val="auto"/>
          <w:kern w:val="0"/>
          <w:szCs w:val="21"/>
          <w:highlight w:val="none"/>
        </w:rPr>
        <w:t>同当事人约定的施工组织设计应包括的其他内容：</w:t>
      </w:r>
      <w:r>
        <w:rPr>
          <w:color w:val="auto"/>
          <w:szCs w:val="21"/>
          <w:highlight w:val="none"/>
          <w:u w:val="single"/>
        </w:rPr>
        <w:t xml:space="preserve">   工程进度计划应按照关键线路网络图和主要工作横道图两种形式分别编绘，并应包括预计完成的工作量和形象进度        </w:t>
      </w:r>
      <w:r>
        <w:rPr>
          <w:rFonts w:hAnsi="宋体"/>
          <w:color w:val="auto"/>
          <w:szCs w:val="21"/>
          <w:highlight w:val="none"/>
        </w:rPr>
        <w:t>。</w:t>
      </w:r>
    </w:p>
    <w:p>
      <w:pPr>
        <w:autoSpaceDE w:val="0"/>
        <w:autoSpaceDN w:val="0"/>
        <w:adjustRightInd w:val="0"/>
        <w:spacing w:line="360" w:lineRule="auto"/>
        <w:ind w:firstLine="420" w:firstLineChars="200"/>
        <w:jc w:val="left"/>
        <w:rPr>
          <w:color w:val="auto"/>
          <w:kern w:val="0"/>
          <w:szCs w:val="21"/>
          <w:highlight w:val="none"/>
        </w:rPr>
      </w:pPr>
      <w:r>
        <w:rPr>
          <w:color w:val="auto"/>
          <w:szCs w:val="21"/>
          <w:highlight w:val="none"/>
        </w:rPr>
        <w:t xml:space="preserve">7.1.2 </w:t>
      </w:r>
      <w:r>
        <w:rPr>
          <w:rFonts w:hAnsi="宋体"/>
          <w:color w:val="auto"/>
          <w:kern w:val="0"/>
          <w:szCs w:val="21"/>
          <w:highlight w:val="none"/>
        </w:rPr>
        <w:t>施工组织设计的提交和修改</w:t>
      </w:r>
    </w:p>
    <w:p>
      <w:pPr>
        <w:autoSpaceDE w:val="0"/>
        <w:autoSpaceDN w:val="0"/>
        <w:adjustRightInd w:val="0"/>
        <w:spacing w:line="360" w:lineRule="auto"/>
        <w:ind w:firstLine="420" w:firstLineChars="200"/>
        <w:jc w:val="left"/>
        <w:rPr>
          <w:color w:val="auto"/>
          <w:szCs w:val="21"/>
          <w:highlight w:val="none"/>
          <w:u w:val="single"/>
        </w:rPr>
      </w:pPr>
      <w:r>
        <w:rPr>
          <w:rFonts w:hAnsi="宋体"/>
          <w:color w:val="auto"/>
          <w:kern w:val="0"/>
          <w:szCs w:val="21"/>
          <w:highlight w:val="none"/>
        </w:rPr>
        <w:t>承包人提交详细施工组织设计的期限的约定：</w:t>
      </w:r>
      <w:r>
        <w:rPr>
          <w:color w:val="auto"/>
          <w:szCs w:val="21"/>
          <w:highlight w:val="none"/>
          <w:u w:val="single"/>
        </w:rPr>
        <w:t xml:space="preserve">   承包人在与发包人签订合同协议后的 14 天内提交给监理人，但至迟不得晚于专用合同条款 7.3.2 项[开工通知]载明的开工日期前 7 天   </w:t>
      </w:r>
      <w:r>
        <w:rPr>
          <w:rFonts w:hAnsi="宋体"/>
          <w:color w:val="auto"/>
          <w:szCs w:val="21"/>
          <w:highlight w:val="none"/>
        </w:rPr>
        <w:t>。</w:t>
      </w:r>
    </w:p>
    <w:p>
      <w:pPr>
        <w:spacing w:line="360" w:lineRule="auto"/>
        <w:ind w:firstLine="420" w:firstLineChars="200"/>
        <w:jc w:val="left"/>
        <w:rPr>
          <w:color w:val="auto"/>
          <w:szCs w:val="21"/>
          <w:highlight w:val="none"/>
        </w:rPr>
      </w:pPr>
      <w:r>
        <w:rPr>
          <w:rFonts w:hAnsi="宋体"/>
          <w:color w:val="auto"/>
          <w:szCs w:val="21"/>
          <w:highlight w:val="none"/>
        </w:rPr>
        <w:t>发包人和监理人在收到详细的施工组织设计后确认或提出修改意见的期限：</w:t>
      </w:r>
      <w:r>
        <w:rPr>
          <w:color w:val="auto"/>
          <w:szCs w:val="21"/>
          <w:highlight w:val="none"/>
          <w:u w:val="single"/>
        </w:rPr>
        <w:t xml:space="preserve">  </w:t>
      </w:r>
      <w:r>
        <w:rPr>
          <w:rFonts w:hint="eastAsia"/>
          <w:color w:val="auto"/>
          <w:szCs w:val="21"/>
          <w:highlight w:val="none"/>
          <w:u w:val="single"/>
        </w:rPr>
        <w:t>7天</w:t>
      </w:r>
      <w:r>
        <w:rPr>
          <w:color w:val="auto"/>
          <w:szCs w:val="21"/>
          <w:highlight w:val="none"/>
          <w:u w:val="single"/>
        </w:rPr>
        <w:t xml:space="preserve">      </w:t>
      </w:r>
      <w:r>
        <w:rPr>
          <w:rFonts w:hAnsi="宋体"/>
          <w:color w:val="auto"/>
          <w:szCs w:val="21"/>
          <w:highlight w:val="none"/>
        </w:rPr>
        <w:t>。</w:t>
      </w:r>
    </w:p>
    <w:p>
      <w:pPr>
        <w:pStyle w:val="7"/>
        <w:rPr>
          <w:color w:val="auto"/>
          <w:highlight w:val="none"/>
        </w:rPr>
      </w:pPr>
      <w:bookmarkStart w:id="305" w:name="_Toc491946625"/>
      <w:bookmarkStart w:id="306" w:name="_Toc13623"/>
      <w:r>
        <w:rPr>
          <w:color w:val="auto"/>
          <w:highlight w:val="none"/>
        </w:rPr>
        <w:t>7.2 施工进度计划</w:t>
      </w:r>
      <w:bookmarkEnd w:id="305"/>
      <w:bookmarkEnd w:id="306"/>
    </w:p>
    <w:p>
      <w:pPr>
        <w:spacing w:line="360" w:lineRule="auto"/>
        <w:ind w:firstLine="420" w:firstLineChars="200"/>
        <w:jc w:val="left"/>
        <w:rPr>
          <w:color w:val="auto"/>
          <w:szCs w:val="21"/>
          <w:highlight w:val="none"/>
        </w:rPr>
      </w:pPr>
      <w:r>
        <w:rPr>
          <w:color w:val="auto"/>
          <w:szCs w:val="21"/>
          <w:highlight w:val="none"/>
        </w:rPr>
        <w:t xml:space="preserve">7.2.2 </w:t>
      </w:r>
      <w:r>
        <w:rPr>
          <w:rFonts w:hAnsi="宋体"/>
          <w:color w:val="auto"/>
          <w:szCs w:val="21"/>
          <w:highlight w:val="none"/>
        </w:rPr>
        <w:t>施工进度计划的修订</w:t>
      </w:r>
    </w:p>
    <w:p>
      <w:pPr>
        <w:spacing w:line="360" w:lineRule="auto"/>
        <w:ind w:firstLine="420" w:firstLineChars="200"/>
        <w:jc w:val="left"/>
        <w:rPr>
          <w:color w:val="auto"/>
          <w:szCs w:val="21"/>
          <w:highlight w:val="none"/>
        </w:rPr>
      </w:pPr>
      <w:r>
        <w:rPr>
          <w:rFonts w:hAnsi="宋体"/>
          <w:color w:val="auto"/>
          <w:szCs w:val="21"/>
          <w:highlight w:val="none"/>
        </w:rPr>
        <w:t>发包人和监理人在收到修订的施工进度计划后确认或提出修改意见的期限：</w:t>
      </w:r>
      <w:r>
        <w:rPr>
          <w:color w:val="auto"/>
          <w:szCs w:val="21"/>
          <w:highlight w:val="none"/>
          <w:u w:val="single"/>
        </w:rPr>
        <w:t xml:space="preserve">   </w:t>
      </w:r>
      <w:r>
        <w:rPr>
          <w:rFonts w:hint="eastAsia"/>
          <w:color w:val="auto"/>
          <w:szCs w:val="21"/>
          <w:highlight w:val="none"/>
          <w:u w:val="single"/>
        </w:rPr>
        <w:t>7天</w:t>
      </w:r>
      <w:r>
        <w:rPr>
          <w:color w:val="auto"/>
          <w:szCs w:val="21"/>
          <w:highlight w:val="none"/>
          <w:u w:val="single"/>
        </w:rPr>
        <w:t xml:space="preserve">      </w:t>
      </w:r>
      <w:r>
        <w:rPr>
          <w:rFonts w:hAnsi="宋体"/>
          <w:color w:val="auto"/>
          <w:szCs w:val="21"/>
          <w:highlight w:val="none"/>
        </w:rPr>
        <w:t>。</w:t>
      </w:r>
    </w:p>
    <w:p>
      <w:pPr>
        <w:pStyle w:val="7"/>
        <w:rPr>
          <w:color w:val="auto"/>
          <w:highlight w:val="none"/>
        </w:rPr>
      </w:pPr>
      <w:bookmarkStart w:id="307" w:name="_Toc491946626"/>
      <w:bookmarkStart w:id="308" w:name="_Toc18650"/>
      <w:r>
        <w:rPr>
          <w:color w:val="auto"/>
          <w:highlight w:val="none"/>
        </w:rPr>
        <w:t>7.3 开工</w:t>
      </w:r>
      <w:bookmarkEnd w:id="307"/>
      <w:bookmarkEnd w:id="308"/>
    </w:p>
    <w:p>
      <w:pPr>
        <w:spacing w:line="360" w:lineRule="auto"/>
        <w:ind w:firstLine="420" w:firstLineChars="200"/>
        <w:jc w:val="left"/>
        <w:rPr>
          <w:color w:val="auto"/>
          <w:szCs w:val="21"/>
          <w:highlight w:val="none"/>
        </w:rPr>
      </w:pPr>
      <w:r>
        <w:rPr>
          <w:color w:val="auto"/>
          <w:szCs w:val="21"/>
          <w:highlight w:val="none"/>
        </w:rPr>
        <w:t xml:space="preserve">7.3.1 </w:t>
      </w:r>
      <w:r>
        <w:rPr>
          <w:rFonts w:hAnsi="宋体"/>
          <w:color w:val="auto"/>
          <w:szCs w:val="21"/>
          <w:highlight w:val="none"/>
        </w:rPr>
        <w:t>开工准备</w:t>
      </w:r>
    </w:p>
    <w:p>
      <w:pPr>
        <w:spacing w:line="360" w:lineRule="auto"/>
        <w:ind w:firstLine="426"/>
        <w:jc w:val="left"/>
        <w:rPr>
          <w:color w:val="auto"/>
          <w:szCs w:val="21"/>
          <w:highlight w:val="none"/>
          <w:u w:val="single"/>
        </w:rPr>
      </w:pPr>
      <w:r>
        <w:rPr>
          <w:rFonts w:hAnsi="宋体"/>
          <w:color w:val="auto"/>
          <w:szCs w:val="21"/>
          <w:highlight w:val="none"/>
        </w:rPr>
        <w:t>关于承包人提交</w:t>
      </w:r>
      <w:r>
        <w:rPr>
          <w:rFonts w:hAnsi="宋体"/>
          <w:color w:val="auto"/>
          <w:kern w:val="0"/>
          <w:szCs w:val="21"/>
          <w:highlight w:val="none"/>
        </w:rPr>
        <w:t>工程开工报审表的期限：</w:t>
      </w:r>
      <w:r>
        <w:rPr>
          <w:color w:val="auto"/>
          <w:szCs w:val="21"/>
          <w:highlight w:val="none"/>
          <w:u w:val="single"/>
        </w:rPr>
        <w:t xml:space="preserve"> 承包人在与发包人签订合同协议后的 14 天内提交给监理人，但至迟不得晚于专用合同条款 7.3.2 项[开工通知]载明的开工日期前 7 天    </w:t>
      </w:r>
      <w:r>
        <w:rPr>
          <w:rFonts w:hAnsi="宋体"/>
          <w:color w:val="auto"/>
          <w:szCs w:val="21"/>
          <w:highlight w:val="none"/>
        </w:rPr>
        <w:t>。</w:t>
      </w:r>
    </w:p>
    <w:p>
      <w:pPr>
        <w:spacing w:line="360" w:lineRule="auto"/>
        <w:ind w:firstLine="426"/>
        <w:jc w:val="left"/>
        <w:rPr>
          <w:color w:val="auto"/>
          <w:szCs w:val="21"/>
          <w:highlight w:val="none"/>
          <w:u w:val="single"/>
        </w:rPr>
      </w:pPr>
      <w:r>
        <w:rPr>
          <w:rFonts w:hAnsi="宋体"/>
          <w:color w:val="auto"/>
          <w:szCs w:val="21"/>
          <w:highlight w:val="none"/>
        </w:rPr>
        <w:t>关于发包人应完成的其他开工准备工作及期限：</w:t>
      </w:r>
      <w:r>
        <w:rPr>
          <w:color w:val="auto"/>
          <w:szCs w:val="21"/>
          <w:highlight w:val="none"/>
          <w:u w:val="single"/>
        </w:rPr>
        <w:t xml:space="preserve">  开工日期 7 天前移交施工现场   </w:t>
      </w:r>
      <w:r>
        <w:rPr>
          <w:rFonts w:hAnsi="宋体"/>
          <w:color w:val="auto"/>
          <w:szCs w:val="21"/>
          <w:highlight w:val="none"/>
        </w:rPr>
        <w:t>。</w:t>
      </w:r>
    </w:p>
    <w:p>
      <w:pPr>
        <w:spacing w:line="360" w:lineRule="auto"/>
        <w:ind w:firstLine="420" w:firstLineChars="200"/>
        <w:jc w:val="left"/>
        <w:rPr>
          <w:color w:val="auto"/>
          <w:szCs w:val="21"/>
          <w:highlight w:val="none"/>
          <w:u w:val="single"/>
        </w:rPr>
      </w:pPr>
      <w:r>
        <w:rPr>
          <w:rFonts w:hAnsi="宋体"/>
          <w:color w:val="auto"/>
          <w:szCs w:val="21"/>
          <w:highlight w:val="none"/>
        </w:rPr>
        <w:t>关于承包人应完成的其他开工准备工作及期限：</w:t>
      </w:r>
      <w:r>
        <w:rPr>
          <w:color w:val="auto"/>
          <w:szCs w:val="21"/>
          <w:highlight w:val="none"/>
          <w:u w:val="single"/>
        </w:rPr>
        <w:t xml:space="preserve"> 承包人在与发包人签订合同协议后的 14 天内，但最迟不得晚于专用合同条款 7.3.2 [开工通知]载明的开工日期前 2 天  </w:t>
      </w:r>
      <w:r>
        <w:rPr>
          <w:rFonts w:hAnsi="宋体"/>
          <w:color w:val="auto"/>
          <w:szCs w:val="21"/>
          <w:highlight w:val="none"/>
        </w:rPr>
        <w:t>。</w:t>
      </w:r>
    </w:p>
    <w:p>
      <w:pPr>
        <w:spacing w:line="360" w:lineRule="auto"/>
        <w:ind w:firstLine="420" w:firstLineChars="200"/>
        <w:jc w:val="left"/>
        <w:rPr>
          <w:color w:val="auto"/>
          <w:szCs w:val="21"/>
          <w:highlight w:val="none"/>
        </w:rPr>
      </w:pPr>
      <w:r>
        <w:rPr>
          <w:color w:val="auto"/>
          <w:szCs w:val="21"/>
          <w:highlight w:val="none"/>
        </w:rPr>
        <w:t>7.3.2</w:t>
      </w:r>
      <w:r>
        <w:rPr>
          <w:rFonts w:hint="eastAsia"/>
          <w:color w:val="auto"/>
          <w:szCs w:val="21"/>
          <w:highlight w:val="none"/>
        </w:rPr>
        <w:t xml:space="preserve"> </w:t>
      </w:r>
      <w:r>
        <w:rPr>
          <w:rFonts w:hAnsi="宋体"/>
          <w:color w:val="auto"/>
          <w:szCs w:val="21"/>
          <w:highlight w:val="none"/>
        </w:rPr>
        <w:t>开工通知</w:t>
      </w:r>
    </w:p>
    <w:p>
      <w:pPr>
        <w:spacing w:line="360" w:lineRule="auto"/>
        <w:ind w:firstLine="420" w:firstLineChars="200"/>
        <w:jc w:val="left"/>
        <w:rPr>
          <w:color w:val="auto"/>
          <w:szCs w:val="21"/>
          <w:highlight w:val="none"/>
        </w:rPr>
      </w:pPr>
      <w:r>
        <w:rPr>
          <w:rFonts w:hAnsi="宋体"/>
          <w:color w:val="auto"/>
          <w:szCs w:val="21"/>
          <w:highlight w:val="none"/>
        </w:rPr>
        <w:t>因发包人原因造成监理人未能在计划开工日期之日起</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Ansi="宋体"/>
          <w:color w:val="auto"/>
          <w:szCs w:val="21"/>
          <w:highlight w:val="none"/>
        </w:rPr>
        <w:t>天内发出开工通知的，承包人有权提出价格调整要求，或者解除合同。</w:t>
      </w:r>
    </w:p>
    <w:p>
      <w:pPr>
        <w:pStyle w:val="7"/>
        <w:rPr>
          <w:color w:val="auto"/>
          <w:highlight w:val="none"/>
        </w:rPr>
      </w:pPr>
      <w:bookmarkStart w:id="309" w:name="_Toc491946627"/>
      <w:bookmarkStart w:id="310" w:name="_Toc712"/>
      <w:r>
        <w:rPr>
          <w:color w:val="auto"/>
          <w:highlight w:val="none"/>
        </w:rPr>
        <w:t xml:space="preserve">7.4 </w:t>
      </w:r>
      <w:r>
        <w:rPr>
          <w:rFonts w:hAnsi="宋体"/>
          <w:color w:val="auto"/>
          <w:highlight w:val="none"/>
        </w:rPr>
        <w:t>测量放线</w:t>
      </w:r>
      <w:bookmarkEnd w:id="309"/>
      <w:bookmarkEnd w:id="310"/>
    </w:p>
    <w:p>
      <w:pPr>
        <w:spacing w:line="360" w:lineRule="auto"/>
        <w:ind w:firstLine="420" w:firstLineChars="200"/>
        <w:jc w:val="left"/>
        <w:rPr>
          <w:rFonts w:hAnsi="宋体"/>
          <w:color w:val="auto"/>
          <w:szCs w:val="21"/>
          <w:highlight w:val="none"/>
        </w:rPr>
      </w:pPr>
      <w:r>
        <w:rPr>
          <w:color w:val="auto"/>
          <w:szCs w:val="21"/>
          <w:highlight w:val="none"/>
        </w:rPr>
        <w:t>7.4.1</w:t>
      </w:r>
      <w:r>
        <w:rPr>
          <w:rFonts w:hAnsi="宋体"/>
          <w:color w:val="auto"/>
          <w:szCs w:val="21"/>
          <w:highlight w:val="none"/>
        </w:rPr>
        <w:t>发包人通过监理人向承包人提供测量基准点、基准线和水准点及其书面资料的期限：</w:t>
      </w:r>
    </w:p>
    <w:p>
      <w:pPr>
        <w:spacing w:line="360" w:lineRule="auto"/>
        <w:jc w:val="left"/>
        <w:rPr>
          <w:color w:val="auto"/>
          <w:szCs w:val="21"/>
          <w:highlight w:val="none"/>
          <w:u w:val="single"/>
        </w:rPr>
      </w:pPr>
      <w:r>
        <w:rPr>
          <w:color w:val="auto"/>
          <w:highlight w:val="none"/>
          <w:u w:val="single"/>
        </w:rPr>
        <w:t>发包人应在至迟不得晚于开工通知载明的开工日期前</w:t>
      </w:r>
      <w:r>
        <w:rPr>
          <w:color w:val="auto"/>
          <w:spacing w:val="-65"/>
          <w:highlight w:val="none"/>
          <w:u w:val="single"/>
        </w:rPr>
        <w:t xml:space="preserve"> </w:t>
      </w:r>
      <w:r>
        <w:rPr>
          <w:color w:val="auto"/>
          <w:highlight w:val="none"/>
          <w:u w:val="single"/>
        </w:rPr>
        <w:t>5</w:t>
      </w:r>
      <w:r>
        <w:rPr>
          <w:color w:val="auto"/>
          <w:spacing w:val="-45"/>
          <w:highlight w:val="none"/>
          <w:u w:val="single"/>
        </w:rPr>
        <w:t xml:space="preserve"> </w:t>
      </w:r>
      <w:r>
        <w:rPr>
          <w:color w:val="auto"/>
          <w:highlight w:val="none"/>
          <w:u w:val="single"/>
        </w:rPr>
        <w:t>天通过监理人向承包人提供测量基准点、基准线和水准点及其书面资料</w:t>
      </w:r>
      <w:r>
        <w:rPr>
          <w:rFonts w:hint="eastAsia"/>
          <w:color w:val="auto"/>
          <w:szCs w:val="21"/>
          <w:highlight w:val="none"/>
          <w:u w:val="single"/>
        </w:rPr>
        <w:t xml:space="preserve">     </w:t>
      </w:r>
      <w:r>
        <w:rPr>
          <w:rFonts w:hAnsi="宋体"/>
          <w:color w:val="auto"/>
          <w:szCs w:val="21"/>
          <w:highlight w:val="none"/>
        </w:rPr>
        <w:t>。</w:t>
      </w:r>
    </w:p>
    <w:p>
      <w:pPr>
        <w:pStyle w:val="7"/>
        <w:rPr>
          <w:color w:val="auto"/>
          <w:highlight w:val="none"/>
        </w:rPr>
      </w:pPr>
      <w:bookmarkStart w:id="311" w:name="_Toc491946628"/>
      <w:bookmarkStart w:id="312" w:name="_Toc16750"/>
      <w:r>
        <w:rPr>
          <w:color w:val="auto"/>
          <w:highlight w:val="none"/>
        </w:rPr>
        <w:t xml:space="preserve">7.5 </w:t>
      </w:r>
      <w:r>
        <w:rPr>
          <w:rFonts w:hAnsi="宋体"/>
          <w:color w:val="auto"/>
          <w:highlight w:val="none"/>
        </w:rPr>
        <w:t>工期延误</w:t>
      </w:r>
      <w:bookmarkEnd w:id="311"/>
      <w:bookmarkEnd w:id="312"/>
    </w:p>
    <w:p>
      <w:pPr>
        <w:spacing w:line="360" w:lineRule="auto"/>
        <w:ind w:firstLine="420" w:firstLineChars="200"/>
        <w:jc w:val="left"/>
        <w:rPr>
          <w:color w:val="auto"/>
          <w:szCs w:val="21"/>
          <w:highlight w:val="none"/>
        </w:rPr>
      </w:pPr>
      <w:r>
        <w:rPr>
          <w:color w:val="auto"/>
          <w:szCs w:val="21"/>
          <w:highlight w:val="none"/>
        </w:rPr>
        <w:t xml:space="preserve">7.5.1 </w:t>
      </w:r>
      <w:r>
        <w:rPr>
          <w:rFonts w:hAnsi="宋体"/>
          <w:color w:val="auto"/>
          <w:szCs w:val="21"/>
          <w:highlight w:val="none"/>
        </w:rPr>
        <w:t>因发包人原因导致工期延误</w:t>
      </w:r>
    </w:p>
    <w:p>
      <w:pPr>
        <w:spacing w:line="360" w:lineRule="auto"/>
        <w:ind w:firstLine="420" w:firstLineChars="200"/>
        <w:jc w:val="left"/>
        <w:rPr>
          <w:color w:val="auto"/>
          <w:szCs w:val="21"/>
          <w:highlight w:val="none"/>
          <w:u w:val="single"/>
        </w:rPr>
      </w:pPr>
      <w:r>
        <w:rPr>
          <w:rFonts w:hAnsi="宋体"/>
          <w:color w:val="auto"/>
          <w:szCs w:val="21"/>
          <w:highlight w:val="none"/>
        </w:rPr>
        <w:t>（</w:t>
      </w:r>
      <w:r>
        <w:rPr>
          <w:color w:val="auto"/>
          <w:szCs w:val="21"/>
          <w:highlight w:val="none"/>
        </w:rPr>
        <w:t>7</w:t>
      </w:r>
      <w:r>
        <w:rPr>
          <w:rFonts w:hAnsi="宋体"/>
          <w:color w:val="auto"/>
          <w:szCs w:val="21"/>
          <w:highlight w:val="none"/>
        </w:rPr>
        <w:t>）因发包人原因导致工期延误的其他情形：</w:t>
      </w:r>
      <w:r>
        <w:rPr>
          <w:color w:val="auto"/>
          <w:szCs w:val="21"/>
          <w:highlight w:val="none"/>
          <w:u w:val="single"/>
        </w:rPr>
        <w:t xml:space="preserve">  </w:t>
      </w:r>
      <w:r>
        <w:rPr>
          <w:rFonts w:hint="eastAsia" w:ascii="宋体" w:hAnsi="宋体"/>
          <w:color w:val="auto"/>
          <w:szCs w:val="21"/>
          <w:highlight w:val="none"/>
          <w:u w:val="single"/>
        </w:rPr>
        <w:t>①重大图纸变更影响关健线路工序施工；②施工期间如因停电、停水连续</w:t>
      </w:r>
      <w:r>
        <w:rPr>
          <w:rFonts w:ascii="宋体" w:hAnsi="宋体"/>
          <w:color w:val="auto"/>
          <w:szCs w:val="21"/>
          <w:highlight w:val="none"/>
          <w:u w:val="single"/>
        </w:rPr>
        <w:t>8</w:t>
      </w:r>
      <w:r>
        <w:rPr>
          <w:rFonts w:hint="eastAsia" w:ascii="宋体" w:hAnsi="宋体"/>
          <w:color w:val="auto"/>
          <w:szCs w:val="21"/>
          <w:highlight w:val="none"/>
          <w:u w:val="single"/>
        </w:rPr>
        <w:t>小时以上或一周内间歇性停水、停电累计</w:t>
      </w:r>
      <w:r>
        <w:rPr>
          <w:rFonts w:ascii="宋体" w:hAnsi="宋体"/>
          <w:color w:val="auto"/>
          <w:szCs w:val="21"/>
          <w:highlight w:val="none"/>
          <w:u w:val="single"/>
        </w:rPr>
        <w:t>8</w:t>
      </w:r>
      <w:r>
        <w:rPr>
          <w:rFonts w:hint="eastAsia" w:ascii="宋体" w:hAnsi="宋体"/>
          <w:color w:val="auto"/>
          <w:szCs w:val="21"/>
          <w:highlight w:val="none"/>
          <w:u w:val="single"/>
        </w:rPr>
        <w:t>小时（含</w:t>
      </w:r>
      <w:r>
        <w:rPr>
          <w:rFonts w:ascii="宋体" w:hAnsi="宋体"/>
          <w:color w:val="auto"/>
          <w:szCs w:val="21"/>
          <w:highlight w:val="none"/>
          <w:u w:val="single"/>
        </w:rPr>
        <w:t>8</w:t>
      </w:r>
      <w:r>
        <w:rPr>
          <w:rFonts w:hint="eastAsia" w:ascii="宋体" w:hAnsi="宋体"/>
          <w:color w:val="auto"/>
          <w:szCs w:val="21"/>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hAnsi="宋体"/>
          <w:color w:val="auto"/>
          <w:szCs w:val="21"/>
          <w:highlight w:val="none"/>
        </w:rPr>
        <w:t xml:space="preserve">                                           </w:t>
      </w:r>
    </w:p>
    <w:p>
      <w:pPr>
        <w:spacing w:line="360" w:lineRule="auto"/>
        <w:ind w:firstLine="420" w:firstLineChars="200"/>
        <w:jc w:val="left"/>
        <w:rPr>
          <w:color w:val="auto"/>
          <w:szCs w:val="21"/>
          <w:highlight w:val="none"/>
        </w:rPr>
      </w:pPr>
      <w:r>
        <w:rPr>
          <w:color w:val="auto"/>
          <w:szCs w:val="21"/>
          <w:highlight w:val="none"/>
        </w:rPr>
        <w:t xml:space="preserve">7.5.2 </w:t>
      </w:r>
      <w:r>
        <w:rPr>
          <w:rFonts w:hAnsi="宋体"/>
          <w:color w:val="auto"/>
          <w:szCs w:val="21"/>
          <w:highlight w:val="none"/>
        </w:rPr>
        <w:t>因承包人原因导致工期延误</w:t>
      </w:r>
    </w:p>
    <w:p>
      <w:pPr>
        <w:spacing w:line="360" w:lineRule="auto"/>
        <w:ind w:firstLine="420" w:firstLineChars="200"/>
        <w:jc w:val="left"/>
        <w:rPr>
          <w:color w:val="auto"/>
          <w:szCs w:val="21"/>
          <w:highlight w:val="none"/>
        </w:rPr>
      </w:pPr>
      <w:r>
        <w:rPr>
          <w:rFonts w:hAnsi="宋体"/>
          <w:color w:val="auto"/>
          <w:szCs w:val="21"/>
          <w:highlight w:val="none"/>
        </w:rPr>
        <w:t>双方约定经监理工程师确认，工期相应顺延的情况：</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u w:val="single"/>
        </w:rPr>
      </w:pPr>
      <w:r>
        <w:rPr>
          <w:rFonts w:hAnsi="宋体"/>
          <w:color w:val="auto"/>
          <w:szCs w:val="21"/>
          <w:highlight w:val="none"/>
        </w:rPr>
        <w:t>因承包人原因造成工期延误，逾期竣工违约金的计算方法为：</w:t>
      </w:r>
      <w:r>
        <w:rPr>
          <w:rFonts w:hAnsi="宋体"/>
          <w:color w:val="auto"/>
          <w:szCs w:val="21"/>
          <w:highlight w:val="none"/>
          <w:u w:val="single"/>
        </w:rPr>
        <w:t>非上述原因，承包人不能按合同约定的时间竣工，承包人应承担违约责任。应向发包人支付误期赔偿费（赔偿费</w:t>
      </w:r>
      <w:r>
        <w:rPr>
          <w:rFonts w:hint="eastAsia" w:ascii="宋体" w:hAnsi="宋体"/>
          <w:color w:val="auto"/>
          <w:szCs w:val="21"/>
          <w:highlight w:val="none"/>
          <w:u w:val="single"/>
        </w:rPr>
        <w:t>按逾期竣工的单栋工程罚款，每延误一天,按该工程结算造价</w:t>
      </w:r>
      <w:r>
        <w:rPr>
          <w:rFonts w:ascii="宋体" w:hAnsi="宋体"/>
          <w:color w:val="auto"/>
          <w:szCs w:val="21"/>
          <w:highlight w:val="none"/>
          <w:u w:val="single"/>
        </w:rPr>
        <w:t>扣除建安劳保费、发包人材料</w:t>
      </w:r>
      <w:r>
        <w:rPr>
          <w:rFonts w:hint="eastAsia" w:ascii="宋体" w:hAnsi="宋体"/>
          <w:color w:val="auto"/>
          <w:szCs w:val="21"/>
          <w:highlight w:val="none"/>
          <w:u w:val="single"/>
        </w:rPr>
        <w:t>设备</w:t>
      </w:r>
      <w:r>
        <w:rPr>
          <w:rFonts w:ascii="宋体" w:hAnsi="宋体"/>
          <w:color w:val="auto"/>
          <w:szCs w:val="21"/>
          <w:highlight w:val="none"/>
          <w:u w:val="single"/>
        </w:rPr>
        <w:t>价款、暂估专业工程、暂列金额后</w:t>
      </w:r>
      <w:r>
        <w:rPr>
          <w:rFonts w:hint="eastAsia" w:ascii="宋体" w:hAnsi="宋体"/>
          <w:color w:val="auto"/>
          <w:szCs w:val="21"/>
          <w:highlight w:val="none"/>
          <w:u w:val="single"/>
        </w:rPr>
        <w:t>的万分之三处罚,罚款直接从结算款中扣除。</w:t>
      </w:r>
      <w:r>
        <w:rPr>
          <w:rFonts w:hAnsi="宋体"/>
          <w:color w:val="auto"/>
          <w:szCs w:val="21"/>
          <w:highlight w:val="none"/>
          <w:u w:val="single"/>
        </w:rPr>
        <w:t>），误期时间从规定竣工日期起直到相应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color w:val="auto"/>
          <w:szCs w:val="21"/>
          <w:highlight w:val="none"/>
          <w:u w:val="single"/>
        </w:rPr>
        <w:t xml:space="preserve"> </w:t>
      </w:r>
    </w:p>
    <w:p>
      <w:pPr>
        <w:spacing w:line="360" w:lineRule="auto"/>
        <w:ind w:firstLine="420" w:firstLineChars="200"/>
        <w:jc w:val="left"/>
        <w:rPr>
          <w:rFonts w:hAnsi="宋体"/>
          <w:color w:val="auto"/>
          <w:szCs w:val="21"/>
          <w:highlight w:val="none"/>
        </w:rPr>
      </w:pPr>
      <w:r>
        <w:rPr>
          <w:rFonts w:hAnsi="宋体"/>
          <w:color w:val="auto"/>
          <w:szCs w:val="21"/>
          <w:highlight w:val="none"/>
        </w:rPr>
        <w:t>因承包人原因造成工期延误，逾期竣工违约金的上限：</w:t>
      </w:r>
      <w:r>
        <w:rPr>
          <w:rFonts w:hint="eastAsia" w:ascii="宋体" w:hAnsi="宋体"/>
          <w:color w:val="auto"/>
          <w:szCs w:val="21"/>
          <w:highlight w:val="none"/>
          <w:u w:val="single"/>
        </w:rPr>
        <w:t>逾期竣工的单位工程结算造价</w:t>
      </w:r>
      <w:r>
        <w:rPr>
          <w:rFonts w:ascii="宋体" w:hAnsi="宋体"/>
          <w:color w:val="auto"/>
          <w:szCs w:val="21"/>
          <w:highlight w:val="none"/>
          <w:u w:val="single"/>
        </w:rPr>
        <w:t>扣</w:t>
      </w:r>
      <w:r>
        <w:rPr>
          <w:rFonts w:hAnsi="宋体"/>
          <w:color w:val="auto"/>
          <w:szCs w:val="21"/>
          <w:highlight w:val="none"/>
          <w:u w:val="single"/>
        </w:rPr>
        <w:t>除建安劳保费、发包人材料</w:t>
      </w:r>
      <w:r>
        <w:rPr>
          <w:rFonts w:hint="eastAsia" w:hAnsi="宋体"/>
          <w:color w:val="auto"/>
          <w:szCs w:val="21"/>
          <w:highlight w:val="none"/>
          <w:u w:val="single"/>
        </w:rPr>
        <w:t>设备</w:t>
      </w:r>
      <w:r>
        <w:rPr>
          <w:rFonts w:hAnsi="宋体"/>
          <w:color w:val="auto"/>
          <w:szCs w:val="21"/>
          <w:highlight w:val="none"/>
          <w:u w:val="single"/>
        </w:rPr>
        <w:t>价款、暂估专业工程、暂列金额后的</w:t>
      </w:r>
      <w:r>
        <w:rPr>
          <w:rFonts w:hint="eastAsia"/>
          <w:color w:val="auto"/>
          <w:szCs w:val="21"/>
          <w:highlight w:val="none"/>
          <w:u w:val="single"/>
        </w:rPr>
        <w:t>5</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highlight w:val="none"/>
        </w:rPr>
      </w:pPr>
      <w:r>
        <w:rPr>
          <w:color w:val="auto"/>
          <w:highlight w:val="none"/>
        </w:rPr>
        <w:t>7.6 不利物质条件</w:t>
      </w:r>
    </w:p>
    <w:p>
      <w:pPr>
        <w:spacing w:line="360" w:lineRule="auto"/>
        <w:ind w:firstLine="420" w:firstLineChars="200"/>
        <w:jc w:val="left"/>
        <w:rPr>
          <w:color w:val="auto"/>
          <w:szCs w:val="21"/>
          <w:highlight w:val="none"/>
          <w:u w:val="single"/>
        </w:rPr>
      </w:pPr>
      <w:r>
        <w:rPr>
          <w:rFonts w:hAnsi="宋体"/>
          <w:color w:val="auto"/>
          <w:szCs w:val="21"/>
          <w:highlight w:val="none"/>
        </w:rPr>
        <w:t>不利物质条件的其他情形和有关约定：</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Ansi="宋体"/>
          <w:color w:val="auto"/>
          <w:szCs w:val="21"/>
          <w:highlight w:val="none"/>
        </w:rPr>
        <w:t>。</w:t>
      </w:r>
    </w:p>
    <w:p>
      <w:pPr>
        <w:pStyle w:val="7"/>
        <w:rPr>
          <w:color w:val="auto"/>
          <w:highlight w:val="none"/>
        </w:rPr>
      </w:pPr>
      <w:bookmarkStart w:id="313" w:name="_Toc8033"/>
      <w:bookmarkStart w:id="314" w:name="_Toc491946629"/>
      <w:r>
        <w:rPr>
          <w:color w:val="auto"/>
          <w:highlight w:val="none"/>
        </w:rPr>
        <w:t>7.7</w:t>
      </w:r>
      <w:r>
        <w:rPr>
          <w:rFonts w:hint="eastAsia"/>
          <w:color w:val="auto"/>
          <w:highlight w:val="none"/>
        </w:rPr>
        <w:t xml:space="preserve"> </w:t>
      </w:r>
      <w:r>
        <w:rPr>
          <w:color w:val="auto"/>
          <w:highlight w:val="none"/>
        </w:rPr>
        <w:t>异常恶劣的气候条件</w:t>
      </w:r>
      <w:bookmarkEnd w:id="313"/>
      <w:bookmarkEnd w:id="314"/>
    </w:p>
    <w:p>
      <w:pPr>
        <w:spacing w:line="360" w:lineRule="auto"/>
        <w:ind w:firstLine="420" w:firstLineChars="200"/>
        <w:jc w:val="left"/>
        <w:rPr>
          <w:rFonts w:hAnsi="宋体"/>
          <w:color w:val="auto"/>
          <w:szCs w:val="21"/>
          <w:highlight w:val="none"/>
        </w:rPr>
      </w:pPr>
      <w:r>
        <w:rPr>
          <w:rFonts w:hAnsi="宋体"/>
          <w:color w:val="auto"/>
          <w:szCs w:val="21"/>
          <w:highlight w:val="none"/>
        </w:rPr>
        <w:t>发包人和承包人同意以下情形视为异常恶劣的气候条件：</w:t>
      </w:r>
    </w:p>
    <w:p>
      <w:pPr>
        <w:spacing w:line="360" w:lineRule="auto"/>
        <w:ind w:firstLine="420" w:firstLineChars="200"/>
        <w:jc w:val="left"/>
        <w:rPr>
          <w:rFonts w:hAnsi="宋体"/>
          <w:color w:val="auto"/>
          <w:szCs w:val="21"/>
          <w:highlight w:val="none"/>
        </w:rPr>
      </w:pPr>
      <w:r>
        <w:rPr>
          <w:rFonts w:hAnsi="宋体"/>
          <w:color w:val="auto"/>
          <w:szCs w:val="21"/>
          <w:highlight w:val="none"/>
        </w:rPr>
        <w:t>（1）八级及其以上台风、5 级及其以上地震等自然灾害（合同约定的不可抗力除外）。</w:t>
      </w:r>
    </w:p>
    <w:p>
      <w:pPr>
        <w:spacing w:line="360" w:lineRule="auto"/>
        <w:ind w:firstLine="420" w:firstLineChars="200"/>
        <w:jc w:val="left"/>
        <w:rPr>
          <w:rFonts w:hAnsi="宋体"/>
          <w:color w:val="auto"/>
          <w:szCs w:val="21"/>
          <w:highlight w:val="none"/>
        </w:rPr>
      </w:pPr>
      <w:r>
        <w:rPr>
          <w:rFonts w:hAnsi="宋体"/>
          <w:color w:val="auto"/>
          <w:szCs w:val="21"/>
          <w:highlight w:val="none"/>
        </w:rPr>
        <w:t>（2）异常恶劣的气候条件引起的工程延误，由监理工程师根据承包人提交的证明予以评定， 但在进行上述评定时，还将考虑按同等标准以同期或其它月份异常良好的气候予以抵补，异常气候在每月对工程进度影响的评定，应在整个合同内予以累计。</w:t>
      </w:r>
    </w:p>
    <w:p>
      <w:pPr>
        <w:spacing w:line="360" w:lineRule="auto"/>
        <w:ind w:firstLine="420" w:firstLineChars="200"/>
        <w:jc w:val="left"/>
        <w:rPr>
          <w:rFonts w:hAnsi="宋体"/>
          <w:color w:val="auto"/>
          <w:szCs w:val="21"/>
          <w:highlight w:val="none"/>
        </w:rPr>
      </w:pPr>
      <w:r>
        <w:rPr>
          <w:rFonts w:hAnsi="宋体"/>
          <w:color w:val="auto"/>
          <w:szCs w:val="21"/>
          <w:highlight w:val="none"/>
        </w:rPr>
        <w:t>（3）承包人应采取克服异常恶劣的气候条件的合理措施继续施工，并在发生后 48 小时内及时通知发包人和监理人。监理人应在接到通知后 48 小时内报发包人同意后应当及时发出指示，指示构成变更的，按专用合同条款第 10 条〔变更〕约定办理。承包人因采取合理措施而延误的工期由发包人承担，但发包人不承担增加的费用</w:t>
      </w:r>
      <w:r>
        <w:rPr>
          <w:rFonts w:hAnsi="宋体"/>
          <w:color w:val="auto"/>
          <w:szCs w:val="21"/>
          <w:highlight w:val="none"/>
        </w:rPr>
        <w:tab/>
      </w:r>
    </w:p>
    <w:p>
      <w:pPr>
        <w:pStyle w:val="7"/>
        <w:rPr>
          <w:color w:val="auto"/>
          <w:highlight w:val="none"/>
        </w:rPr>
      </w:pPr>
      <w:bookmarkStart w:id="315" w:name="_Toc491946630"/>
      <w:bookmarkStart w:id="316" w:name="_Toc23109"/>
      <w:r>
        <w:rPr>
          <w:color w:val="auto"/>
          <w:highlight w:val="none"/>
        </w:rPr>
        <w:t xml:space="preserve">7.9 </w:t>
      </w:r>
      <w:r>
        <w:rPr>
          <w:rFonts w:hAnsi="宋体"/>
          <w:color w:val="auto"/>
          <w:highlight w:val="none"/>
        </w:rPr>
        <w:t>提前竣工</w:t>
      </w:r>
      <w:bookmarkEnd w:id="315"/>
      <w:bookmarkEnd w:id="316"/>
    </w:p>
    <w:p>
      <w:pPr>
        <w:spacing w:line="360" w:lineRule="auto"/>
        <w:ind w:firstLine="420" w:firstLineChars="200"/>
        <w:jc w:val="left"/>
        <w:rPr>
          <w:rFonts w:hAnsi="宋体"/>
          <w:color w:val="auto"/>
          <w:szCs w:val="21"/>
          <w:highlight w:val="none"/>
        </w:rPr>
      </w:pPr>
      <w:r>
        <w:rPr>
          <w:color w:val="auto"/>
          <w:szCs w:val="21"/>
          <w:highlight w:val="none"/>
        </w:rPr>
        <w:t>7.9.2</w:t>
      </w:r>
      <w:r>
        <w:rPr>
          <w:rFonts w:hAnsi="宋体"/>
          <w:color w:val="auto"/>
          <w:szCs w:val="21"/>
          <w:highlight w:val="none"/>
        </w:rPr>
        <w:t>提前竣工</w:t>
      </w:r>
      <w:r>
        <w:rPr>
          <w:rFonts w:hint="eastAsia" w:hAnsi="宋体"/>
          <w:color w:val="auto"/>
          <w:szCs w:val="21"/>
          <w:highlight w:val="none"/>
        </w:rPr>
        <w:t>（赶工）增加费</w:t>
      </w:r>
      <w:r>
        <w:rPr>
          <w:rFonts w:hAnsi="宋体"/>
          <w:color w:val="auto"/>
          <w:szCs w:val="21"/>
          <w:highlight w:val="none"/>
        </w:rPr>
        <w:t>的</w:t>
      </w:r>
      <w:r>
        <w:rPr>
          <w:rFonts w:hint="eastAsia" w:hAnsi="宋体"/>
          <w:color w:val="auto"/>
          <w:szCs w:val="21"/>
          <w:highlight w:val="none"/>
        </w:rPr>
        <w:t>计算方法</w:t>
      </w:r>
      <w:r>
        <w:rPr>
          <w:rFonts w:hAnsi="宋体"/>
          <w:color w:val="auto"/>
          <w:szCs w:val="21"/>
          <w:highlight w:val="none"/>
        </w:rPr>
        <w:t>：</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Ansi="宋体"/>
          <w:color w:val="auto"/>
          <w:szCs w:val="21"/>
          <w:highlight w:val="none"/>
        </w:rPr>
        <w:t>。</w:t>
      </w:r>
      <w:bookmarkStart w:id="317" w:name="_Toc491946631"/>
    </w:p>
    <w:p>
      <w:pPr>
        <w:spacing w:line="360" w:lineRule="auto"/>
        <w:jc w:val="left"/>
        <w:rPr>
          <w:rFonts w:hAnsi="宋体"/>
          <w:b/>
          <w:bCs/>
          <w:color w:val="auto"/>
          <w:sz w:val="24"/>
          <w:szCs w:val="32"/>
          <w:highlight w:val="none"/>
        </w:rPr>
      </w:pPr>
      <w:r>
        <w:rPr>
          <w:rFonts w:hAnsi="宋体"/>
          <w:b/>
          <w:bCs/>
          <w:color w:val="auto"/>
          <w:sz w:val="24"/>
          <w:szCs w:val="32"/>
          <w:highlight w:val="none"/>
        </w:rPr>
        <w:t>8. 材料与设备</w:t>
      </w:r>
      <w:bookmarkEnd w:id="317"/>
    </w:p>
    <w:p>
      <w:pPr>
        <w:pStyle w:val="7"/>
        <w:rPr>
          <w:color w:val="auto"/>
          <w:highlight w:val="none"/>
        </w:rPr>
      </w:pPr>
      <w:bookmarkStart w:id="318" w:name="_Toc491946632"/>
      <w:bookmarkStart w:id="319" w:name="_Toc1037"/>
      <w:r>
        <w:rPr>
          <w:color w:val="auto"/>
          <w:highlight w:val="none"/>
        </w:rPr>
        <w:t>8.2</w:t>
      </w:r>
      <w:r>
        <w:rPr>
          <w:rFonts w:hint="eastAsia"/>
          <w:color w:val="auto"/>
          <w:highlight w:val="none"/>
        </w:rPr>
        <w:t xml:space="preserve"> </w:t>
      </w:r>
      <w:r>
        <w:rPr>
          <w:color w:val="auto"/>
          <w:highlight w:val="none"/>
        </w:rPr>
        <w:t>承包人采购材料与工程设备</w:t>
      </w:r>
      <w:bookmarkEnd w:id="318"/>
      <w:bookmarkEnd w:id="319"/>
    </w:p>
    <w:p>
      <w:pPr>
        <w:autoSpaceDE w:val="0"/>
        <w:autoSpaceDN w:val="0"/>
        <w:adjustRightInd w:val="0"/>
        <w:spacing w:line="360" w:lineRule="auto"/>
        <w:ind w:firstLine="420" w:firstLineChars="200"/>
        <w:jc w:val="left"/>
        <w:rPr>
          <w:rFonts w:hint="eastAsia"/>
          <w:color w:val="auto"/>
          <w:kern w:val="0"/>
          <w:highlight w:val="none"/>
        </w:rPr>
      </w:pPr>
      <w:r>
        <w:rPr>
          <w:color w:val="auto"/>
          <w:kern w:val="0"/>
          <w:highlight w:val="none"/>
        </w:rPr>
        <w:t>除</w:t>
      </w:r>
      <w:r>
        <w:rPr>
          <w:rFonts w:hint="eastAsia"/>
          <w:color w:val="auto"/>
          <w:kern w:val="0"/>
          <w:highlight w:val="none"/>
        </w:rPr>
        <w:t>已标价工程量清单</w:t>
      </w:r>
      <w:r>
        <w:rPr>
          <w:color w:val="auto"/>
          <w:kern w:val="0"/>
          <w:highlight w:val="none"/>
        </w:rPr>
        <w:t>《发包人</w:t>
      </w:r>
      <w:r>
        <w:rPr>
          <w:rFonts w:hint="eastAsia"/>
          <w:color w:val="auto"/>
          <w:kern w:val="0"/>
          <w:highlight w:val="none"/>
        </w:rPr>
        <w:t>提供主要</w:t>
      </w:r>
      <w:r>
        <w:rPr>
          <w:color w:val="auto"/>
          <w:kern w:val="0"/>
          <w:highlight w:val="none"/>
        </w:rPr>
        <w:t>材料</w:t>
      </w:r>
      <w:r>
        <w:rPr>
          <w:rFonts w:hint="eastAsia"/>
          <w:color w:val="auto"/>
          <w:kern w:val="0"/>
          <w:highlight w:val="none"/>
        </w:rPr>
        <w:t>和工程</w:t>
      </w:r>
      <w:r>
        <w:rPr>
          <w:color w:val="auto"/>
          <w:kern w:val="0"/>
          <w:highlight w:val="none"/>
        </w:rPr>
        <w:t>设备一览表》</w:t>
      </w:r>
      <w:r>
        <w:rPr>
          <w:rFonts w:hint="eastAsia"/>
          <w:color w:val="auto"/>
          <w:kern w:val="0"/>
          <w:highlight w:val="none"/>
        </w:rPr>
        <w:t>（表-21）</w:t>
      </w:r>
      <w:r>
        <w:rPr>
          <w:color w:val="auto"/>
          <w:kern w:val="0"/>
          <w:highlight w:val="none"/>
        </w:rPr>
        <w:t>中明确的材料、工程设备外，由承包人负责材料和工程设备的采购、运输和保管</w:t>
      </w:r>
      <w:r>
        <w:rPr>
          <w:rFonts w:hint="eastAsia"/>
          <w:color w:val="auto"/>
          <w:kern w:val="0"/>
          <w:highlight w:val="none"/>
        </w:rPr>
        <w:t>，并自行负责解决取土问题，费用自费</w:t>
      </w:r>
      <w:r>
        <w:rPr>
          <w:color w:val="auto"/>
          <w:kern w:val="0"/>
          <w:highlight w:val="none"/>
        </w:rPr>
        <w:t>。</w:t>
      </w:r>
      <w:r>
        <w:rPr>
          <w:rFonts w:hint="eastAsia"/>
          <w:color w:val="auto"/>
          <w:kern w:val="0"/>
          <w:highlight w:val="none"/>
        </w:rPr>
        <w:t>《</w:t>
      </w:r>
      <w:r>
        <w:rPr>
          <w:color w:val="auto"/>
          <w:highlight w:val="none"/>
        </w:rPr>
        <w:t>承包人提供主要材料和工程设备一览表</w:t>
      </w:r>
      <w:r>
        <w:rPr>
          <w:rFonts w:hint="eastAsia"/>
          <w:color w:val="auto"/>
          <w:highlight w:val="none"/>
        </w:rPr>
        <w:t>》</w:t>
      </w:r>
      <w:r>
        <w:rPr>
          <w:rFonts w:hint="eastAsia"/>
          <w:color w:val="auto"/>
          <w:kern w:val="0"/>
          <w:highlight w:val="none"/>
        </w:rPr>
        <w:t>（表-22）见已标价工程量清单。</w:t>
      </w:r>
    </w:p>
    <w:p>
      <w:pPr>
        <w:autoSpaceDE w:val="0"/>
        <w:autoSpaceDN w:val="0"/>
        <w:adjustRightInd w:val="0"/>
        <w:spacing w:line="360" w:lineRule="auto"/>
        <w:ind w:firstLine="420" w:firstLineChars="200"/>
        <w:jc w:val="left"/>
        <w:rPr>
          <w:color w:val="auto"/>
          <w:szCs w:val="21"/>
          <w:highlight w:val="none"/>
        </w:rPr>
      </w:pPr>
      <w:r>
        <w:rPr>
          <w:rFonts w:hint="eastAsia"/>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pPr>
        <w:pStyle w:val="7"/>
        <w:rPr>
          <w:color w:val="auto"/>
          <w:highlight w:val="none"/>
        </w:rPr>
      </w:pPr>
      <w:bookmarkStart w:id="320" w:name="_Toc11591"/>
      <w:bookmarkStart w:id="321" w:name="_Toc491946633"/>
      <w:r>
        <w:rPr>
          <w:color w:val="auto"/>
          <w:highlight w:val="none"/>
        </w:rPr>
        <w:t>8.4</w:t>
      </w:r>
      <w:r>
        <w:rPr>
          <w:rFonts w:hint="eastAsia"/>
          <w:color w:val="auto"/>
          <w:highlight w:val="none"/>
        </w:rPr>
        <w:t xml:space="preserve"> </w:t>
      </w:r>
      <w:r>
        <w:rPr>
          <w:color w:val="auto"/>
          <w:highlight w:val="none"/>
        </w:rPr>
        <w:t>材料与工程设备的保管与使用</w:t>
      </w:r>
      <w:bookmarkEnd w:id="320"/>
      <w:bookmarkEnd w:id="321"/>
    </w:p>
    <w:p>
      <w:pPr>
        <w:spacing w:line="360" w:lineRule="auto"/>
        <w:ind w:firstLine="420" w:firstLineChars="200"/>
        <w:jc w:val="left"/>
        <w:rPr>
          <w:color w:val="auto"/>
          <w:szCs w:val="21"/>
          <w:highlight w:val="none"/>
          <w:u w:val="single"/>
        </w:rPr>
      </w:pPr>
      <w:r>
        <w:rPr>
          <w:color w:val="auto"/>
          <w:szCs w:val="21"/>
          <w:highlight w:val="none"/>
        </w:rPr>
        <w:t>8.4.1</w:t>
      </w:r>
      <w:r>
        <w:rPr>
          <w:rFonts w:hAnsi="宋体"/>
          <w:color w:val="auto"/>
          <w:szCs w:val="21"/>
          <w:highlight w:val="none"/>
        </w:rPr>
        <w:t>发包人供应的材料设备的保管费用的承担：</w:t>
      </w:r>
      <w:r>
        <w:rPr>
          <w:color w:val="auto"/>
          <w:szCs w:val="21"/>
          <w:highlight w:val="none"/>
          <w:u w:val="single"/>
        </w:rPr>
        <w:t xml:space="preserve"> </w:t>
      </w:r>
      <w:r>
        <w:rPr>
          <w:rFonts w:hint="eastAsia"/>
          <w:color w:val="auto"/>
          <w:szCs w:val="21"/>
          <w:highlight w:val="none"/>
          <w:u w:val="single"/>
        </w:rPr>
        <w:t>承包人承担</w:t>
      </w:r>
      <w:r>
        <w:rPr>
          <w:color w:val="auto"/>
          <w:szCs w:val="21"/>
          <w:highlight w:val="none"/>
          <w:u w:val="single"/>
        </w:rPr>
        <w:t xml:space="preserve">    </w:t>
      </w:r>
    </w:p>
    <w:p>
      <w:pPr>
        <w:pStyle w:val="7"/>
        <w:rPr>
          <w:color w:val="auto"/>
          <w:highlight w:val="none"/>
        </w:rPr>
      </w:pPr>
      <w:bookmarkStart w:id="322" w:name="_Toc23572"/>
      <w:bookmarkStart w:id="323" w:name="_Toc491946634"/>
      <w:r>
        <w:rPr>
          <w:color w:val="auto"/>
          <w:highlight w:val="none"/>
        </w:rPr>
        <w:t xml:space="preserve">8.6 </w:t>
      </w:r>
      <w:r>
        <w:rPr>
          <w:rFonts w:hAnsi="宋体"/>
          <w:color w:val="auto"/>
          <w:highlight w:val="none"/>
        </w:rPr>
        <w:t>样品</w:t>
      </w:r>
      <w:bookmarkEnd w:id="322"/>
      <w:bookmarkEnd w:id="323"/>
    </w:p>
    <w:p>
      <w:pPr>
        <w:autoSpaceDE w:val="0"/>
        <w:autoSpaceDN w:val="0"/>
        <w:adjustRightInd w:val="0"/>
        <w:spacing w:line="360" w:lineRule="auto"/>
        <w:ind w:firstLine="420" w:firstLineChars="200"/>
        <w:jc w:val="left"/>
        <w:rPr>
          <w:color w:val="auto"/>
          <w:kern w:val="0"/>
          <w:szCs w:val="21"/>
          <w:highlight w:val="none"/>
        </w:rPr>
      </w:pPr>
      <w:r>
        <w:rPr>
          <w:color w:val="auto"/>
          <w:kern w:val="0"/>
          <w:szCs w:val="21"/>
          <w:highlight w:val="none"/>
        </w:rPr>
        <w:t>8.6.1</w:t>
      </w:r>
      <w:r>
        <w:rPr>
          <w:rFonts w:hint="eastAsia"/>
          <w:color w:val="auto"/>
          <w:kern w:val="0"/>
          <w:szCs w:val="21"/>
          <w:highlight w:val="none"/>
        </w:rPr>
        <w:t xml:space="preserve"> </w:t>
      </w:r>
      <w:r>
        <w:rPr>
          <w:rFonts w:hAnsi="宋体"/>
          <w:color w:val="auto"/>
          <w:kern w:val="0"/>
          <w:szCs w:val="21"/>
          <w:highlight w:val="none"/>
        </w:rPr>
        <w:t>样品的报送与封存</w:t>
      </w:r>
    </w:p>
    <w:p>
      <w:pPr>
        <w:autoSpaceDE w:val="0"/>
        <w:autoSpaceDN w:val="0"/>
        <w:adjustRightInd w:val="0"/>
        <w:spacing w:line="360" w:lineRule="auto"/>
        <w:ind w:firstLine="420" w:firstLineChars="200"/>
        <w:jc w:val="left"/>
        <w:rPr>
          <w:color w:val="auto"/>
          <w:szCs w:val="21"/>
          <w:highlight w:val="none"/>
          <w:u w:val="single"/>
        </w:rPr>
      </w:pPr>
      <w:r>
        <w:rPr>
          <w:rFonts w:hAnsi="宋体"/>
          <w:color w:val="auto"/>
          <w:kern w:val="0"/>
          <w:szCs w:val="21"/>
          <w:highlight w:val="none"/>
        </w:rPr>
        <w:t>需要承包人报送样品的材料或工程设备，样品的种类、名称、规格、数量要求：</w:t>
      </w:r>
      <w:r>
        <w:rPr>
          <w:rFonts w:hAnsi="宋体"/>
          <w:color w:val="auto"/>
          <w:szCs w:val="21"/>
          <w:highlight w:val="none"/>
          <w:u w:val="single"/>
        </w:rPr>
        <w:t>主要材料涉及品种、款式、颜色等方面内容的，承包人应提交准备合格的材料样品送发包人选定。</w:t>
      </w:r>
    </w:p>
    <w:p>
      <w:pPr>
        <w:pStyle w:val="7"/>
        <w:rPr>
          <w:color w:val="auto"/>
          <w:highlight w:val="none"/>
        </w:rPr>
      </w:pPr>
      <w:bookmarkStart w:id="324" w:name="_Toc491946635"/>
      <w:bookmarkStart w:id="325" w:name="_Toc13741"/>
      <w:r>
        <w:rPr>
          <w:color w:val="auto"/>
          <w:highlight w:val="none"/>
        </w:rPr>
        <w:t>8.8 施工设备和临时设施</w:t>
      </w:r>
      <w:bookmarkEnd w:id="324"/>
      <w:bookmarkEnd w:id="325"/>
    </w:p>
    <w:p>
      <w:pPr>
        <w:autoSpaceDE w:val="0"/>
        <w:autoSpaceDN w:val="0"/>
        <w:adjustRightInd w:val="0"/>
        <w:spacing w:line="360" w:lineRule="auto"/>
        <w:ind w:firstLine="420" w:firstLineChars="200"/>
        <w:jc w:val="left"/>
        <w:rPr>
          <w:color w:val="auto"/>
          <w:szCs w:val="21"/>
          <w:highlight w:val="none"/>
        </w:rPr>
      </w:pPr>
      <w:r>
        <w:rPr>
          <w:color w:val="auto"/>
          <w:szCs w:val="21"/>
          <w:highlight w:val="none"/>
        </w:rPr>
        <w:t xml:space="preserve">8.8.1 </w:t>
      </w:r>
      <w:r>
        <w:rPr>
          <w:rFonts w:hAnsi="宋体"/>
          <w:color w:val="auto"/>
          <w:szCs w:val="21"/>
          <w:highlight w:val="none"/>
        </w:rPr>
        <w:t>承包人提供的施工设备和临时设施</w:t>
      </w:r>
    </w:p>
    <w:p>
      <w:pPr>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olor w:val="auto"/>
          <w:szCs w:val="21"/>
          <w:highlight w:val="none"/>
        </w:rPr>
        <w:t>承包人用于本工程的主要机械设备清单见合同附件6。</w:t>
      </w:r>
    </w:p>
    <w:p>
      <w:pPr>
        <w:autoSpaceDE w:val="0"/>
        <w:autoSpaceDN w:val="0"/>
        <w:adjustRightInd w:val="0"/>
        <w:spacing w:line="360" w:lineRule="auto"/>
        <w:ind w:firstLine="420" w:firstLineChars="200"/>
        <w:jc w:val="left"/>
        <w:rPr>
          <w:rFonts w:hAnsi="宋体"/>
          <w:color w:val="auto"/>
          <w:szCs w:val="21"/>
          <w:highlight w:val="none"/>
        </w:rPr>
      </w:pPr>
      <w:r>
        <w:rPr>
          <w:rFonts w:hAnsi="宋体"/>
          <w:color w:val="auto"/>
          <w:szCs w:val="21"/>
          <w:highlight w:val="none"/>
        </w:rPr>
        <w:t>关于修建临时设施费用承担的约定：</w:t>
      </w:r>
    </w:p>
    <w:p>
      <w:pPr>
        <w:autoSpaceDE w:val="0"/>
        <w:autoSpaceDN w:val="0"/>
        <w:adjustRightInd w:val="0"/>
        <w:spacing w:line="360" w:lineRule="auto"/>
        <w:ind w:firstLine="420" w:firstLineChars="200"/>
        <w:jc w:val="left"/>
        <w:rPr>
          <w:color w:val="auto"/>
          <w:szCs w:val="21"/>
          <w:highlight w:val="none"/>
          <w:u w:val="single"/>
        </w:rPr>
      </w:pPr>
      <w:r>
        <w:rPr>
          <w:rFonts w:hAnsi="宋体"/>
          <w:color w:val="auto"/>
          <w:szCs w:val="21"/>
          <w:highlight w:val="none"/>
          <w:u w:val="single"/>
        </w:rPr>
        <w:t>①承包人的临时用地（含项目部驻地等）租用费（含拆迁补偿）、临时用地的环保、恢复、临时用地及地面附着物拆除等费用均由承包人负责，以上费用在投标报价中综合考虑。</w:t>
      </w:r>
    </w:p>
    <w:p>
      <w:pPr>
        <w:autoSpaceDE w:val="0"/>
        <w:autoSpaceDN w:val="0"/>
        <w:adjustRightInd w:val="0"/>
        <w:spacing w:line="360" w:lineRule="auto"/>
        <w:ind w:firstLine="420" w:firstLineChars="200"/>
        <w:jc w:val="left"/>
        <w:rPr>
          <w:color w:val="auto"/>
          <w:szCs w:val="21"/>
          <w:highlight w:val="none"/>
          <w:u w:val="single"/>
        </w:rPr>
      </w:pPr>
      <w:r>
        <w:rPr>
          <w:rFonts w:hAnsi="宋体"/>
          <w:color w:val="auto"/>
          <w:szCs w:val="21"/>
          <w:highlight w:val="none"/>
          <w:u w:val="single"/>
        </w:rPr>
        <w:t>②承包人负责合同实施期间其合同段内临时交通道路（含场内连接公共交通道路）和交通设施的修建、维修、养护和交通管理工作，并承担一切费用。</w:t>
      </w:r>
    </w:p>
    <w:p>
      <w:pPr>
        <w:autoSpaceDE w:val="0"/>
        <w:autoSpaceDN w:val="0"/>
        <w:adjustRightInd w:val="0"/>
        <w:spacing w:line="360" w:lineRule="auto"/>
        <w:ind w:firstLine="420" w:firstLineChars="200"/>
        <w:jc w:val="left"/>
        <w:rPr>
          <w:rFonts w:hint="eastAsia" w:hAnsi="宋体"/>
          <w:color w:val="auto"/>
          <w:szCs w:val="21"/>
          <w:highlight w:val="none"/>
          <w:u w:val="single"/>
        </w:rPr>
      </w:pPr>
      <w:r>
        <w:rPr>
          <w:rFonts w:hAnsi="宋体"/>
          <w:color w:val="auto"/>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hint="eastAsia" w:hAnsi="宋体"/>
          <w:color w:val="auto"/>
          <w:szCs w:val="21"/>
          <w:highlight w:val="none"/>
          <w:u w:val="single"/>
        </w:rPr>
        <w:t xml:space="preserve"> </w:t>
      </w:r>
    </w:p>
    <w:p>
      <w:pPr>
        <w:autoSpaceDE w:val="0"/>
        <w:autoSpaceDN w:val="0"/>
        <w:adjustRightInd w:val="0"/>
        <w:spacing w:line="360" w:lineRule="auto"/>
        <w:ind w:firstLine="420" w:firstLineChars="200"/>
        <w:jc w:val="left"/>
        <w:rPr>
          <w:color w:val="auto"/>
          <w:szCs w:val="21"/>
          <w:highlight w:val="none"/>
        </w:rPr>
      </w:pPr>
      <w:r>
        <w:rPr>
          <w:color w:val="auto"/>
          <w:szCs w:val="21"/>
          <w:highlight w:val="none"/>
        </w:rPr>
        <w:t xml:space="preserve">8.8.2 </w:t>
      </w:r>
      <w:r>
        <w:rPr>
          <w:rFonts w:hAnsi="宋体"/>
          <w:color w:val="auto"/>
          <w:szCs w:val="21"/>
          <w:highlight w:val="none"/>
        </w:rPr>
        <w:t>发包人提供的施工设备和临时设施</w:t>
      </w:r>
    </w:p>
    <w:p>
      <w:pPr>
        <w:autoSpaceDE w:val="0"/>
        <w:autoSpaceDN w:val="0"/>
        <w:adjustRightInd w:val="0"/>
        <w:spacing w:line="360" w:lineRule="auto"/>
        <w:ind w:firstLine="420" w:firstLineChars="200"/>
        <w:jc w:val="left"/>
        <w:rPr>
          <w:color w:val="auto"/>
          <w:szCs w:val="21"/>
          <w:highlight w:val="none"/>
        </w:rPr>
      </w:pPr>
      <w:r>
        <w:rPr>
          <w:rFonts w:hAnsi="宋体"/>
          <w:color w:val="auto"/>
          <w:szCs w:val="21"/>
          <w:highlight w:val="none"/>
        </w:rPr>
        <w:t>发包人提供的施工设备和临时设施：</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Ansi="宋体"/>
          <w:color w:val="auto"/>
          <w:szCs w:val="21"/>
          <w:highlight w:val="none"/>
        </w:rPr>
        <w:t>。</w:t>
      </w:r>
    </w:p>
    <w:p>
      <w:pPr>
        <w:autoSpaceDE w:val="0"/>
        <w:autoSpaceDN w:val="0"/>
        <w:adjustRightInd w:val="0"/>
        <w:spacing w:line="360" w:lineRule="auto"/>
        <w:ind w:firstLine="420" w:firstLineChars="200"/>
        <w:jc w:val="left"/>
        <w:rPr>
          <w:rFonts w:hAnsi="宋体"/>
          <w:color w:val="auto"/>
          <w:szCs w:val="21"/>
          <w:highlight w:val="none"/>
        </w:rPr>
      </w:pPr>
      <w:r>
        <w:rPr>
          <w:rFonts w:hAnsi="宋体"/>
          <w:color w:val="auto"/>
          <w:szCs w:val="21"/>
          <w:highlight w:val="none"/>
        </w:rPr>
        <w:t>发包人提供的施工设备和临时设施的运行、维护、拆除、清运费用的承担人：</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Ansi="宋体"/>
          <w:color w:val="auto"/>
          <w:szCs w:val="21"/>
          <w:highlight w:val="none"/>
        </w:rPr>
        <w:t>。</w:t>
      </w:r>
      <w:bookmarkStart w:id="326" w:name="_Toc491946636"/>
    </w:p>
    <w:p>
      <w:pPr>
        <w:autoSpaceDE w:val="0"/>
        <w:autoSpaceDN w:val="0"/>
        <w:adjustRightInd w:val="0"/>
        <w:spacing w:line="360" w:lineRule="auto"/>
        <w:jc w:val="left"/>
        <w:rPr>
          <w:rFonts w:hAnsi="宋体"/>
          <w:b/>
          <w:bCs/>
          <w:color w:val="auto"/>
          <w:sz w:val="24"/>
          <w:szCs w:val="32"/>
          <w:highlight w:val="none"/>
        </w:rPr>
      </w:pPr>
      <w:r>
        <w:rPr>
          <w:rFonts w:hAnsi="宋体"/>
          <w:b/>
          <w:bCs/>
          <w:color w:val="auto"/>
          <w:sz w:val="24"/>
          <w:szCs w:val="32"/>
          <w:highlight w:val="none"/>
        </w:rPr>
        <w:t>9. 试验与检验</w:t>
      </w:r>
      <w:bookmarkEnd w:id="326"/>
    </w:p>
    <w:p>
      <w:pPr>
        <w:pStyle w:val="7"/>
        <w:rPr>
          <w:color w:val="auto"/>
          <w:highlight w:val="none"/>
        </w:rPr>
      </w:pPr>
      <w:bookmarkStart w:id="327" w:name="_Toc491946637"/>
      <w:bookmarkStart w:id="328" w:name="_Toc1683"/>
      <w:r>
        <w:rPr>
          <w:color w:val="auto"/>
          <w:highlight w:val="none"/>
        </w:rPr>
        <w:t>9.1</w:t>
      </w:r>
      <w:r>
        <w:rPr>
          <w:rFonts w:hint="eastAsia"/>
          <w:color w:val="auto"/>
          <w:highlight w:val="none"/>
        </w:rPr>
        <w:t xml:space="preserve"> </w:t>
      </w:r>
      <w:r>
        <w:rPr>
          <w:color w:val="auto"/>
          <w:highlight w:val="none"/>
        </w:rPr>
        <w:t>试验设备与试验人员</w:t>
      </w:r>
      <w:bookmarkEnd w:id="327"/>
      <w:bookmarkEnd w:id="328"/>
    </w:p>
    <w:p>
      <w:pPr>
        <w:spacing w:line="360" w:lineRule="auto"/>
        <w:ind w:firstLine="420" w:firstLineChars="200"/>
        <w:jc w:val="left"/>
        <w:rPr>
          <w:color w:val="auto"/>
          <w:szCs w:val="21"/>
          <w:highlight w:val="none"/>
        </w:rPr>
      </w:pPr>
      <w:r>
        <w:rPr>
          <w:color w:val="auto"/>
          <w:szCs w:val="21"/>
          <w:highlight w:val="none"/>
        </w:rPr>
        <w:t xml:space="preserve">9.1.2 </w:t>
      </w:r>
      <w:r>
        <w:rPr>
          <w:rFonts w:hAnsi="宋体"/>
          <w:color w:val="auto"/>
          <w:szCs w:val="21"/>
          <w:highlight w:val="none"/>
        </w:rPr>
        <w:t>试验设备</w:t>
      </w:r>
    </w:p>
    <w:p>
      <w:pPr>
        <w:spacing w:line="360" w:lineRule="auto"/>
        <w:ind w:firstLine="420" w:firstLineChars="200"/>
        <w:jc w:val="left"/>
        <w:rPr>
          <w:color w:val="auto"/>
          <w:szCs w:val="21"/>
          <w:highlight w:val="none"/>
          <w:u w:val="single"/>
        </w:rPr>
      </w:pPr>
      <w:r>
        <w:rPr>
          <w:rFonts w:hAnsi="宋体"/>
          <w:color w:val="auto"/>
          <w:szCs w:val="21"/>
          <w:highlight w:val="none"/>
        </w:rPr>
        <w:t>施工现场需要配置的试验场所：</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u w:val="single"/>
        </w:rPr>
      </w:pPr>
      <w:r>
        <w:rPr>
          <w:rFonts w:hAnsi="宋体"/>
          <w:color w:val="auto"/>
          <w:szCs w:val="21"/>
          <w:highlight w:val="none"/>
        </w:rPr>
        <w:t>施工现场需要配备的试验设备：</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u w:val="single"/>
        </w:rPr>
      </w:pPr>
      <w:r>
        <w:rPr>
          <w:rFonts w:hAnsi="宋体"/>
          <w:color w:val="auto"/>
          <w:szCs w:val="21"/>
          <w:highlight w:val="none"/>
        </w:rPr>
        <w:t>施工现场需要具备的其他试验条件：</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w:t>
      </w:r>
    </w:p>
    <w:p>
      <w:pPr>
        <w:pStyle w:val="7"/>
        <w:rPr>
          <w:color w:val="auto"/>
          <w:highlight w:val="none"/>
        </w:rPr>
      </w:pPr>
      <w:bookmarkStart w:id="329" w:name="_Toc491946638"/>
      <w:bookmarkStart w:id="330" w:name="_Toc3009"/>
      <w:r>
        <w:rPr>
          <w:color w:val="auto"/>
          <w:highlight w:val="none"/>
        </w:rPr>
        <w:t xml:space="preserve">9.4 </w:t>
      </w:r>
      <w:r>
        <w:rPr>
          <w:rFonts w:hAnsi="宋体"/>
          <w:color w:val="auto"/>
          <w:highlight w:val="none"/>
        </w:rPr>
        <w:t>现场工艺试验</w:t>
      </w:r>
      <w:bookmarkEnd w:id="329"/>
      <w:bookmarkEnd w:id="330"/>
      <w:r>
        <w:rPr>
          <w:color w:val="auto"/>
          <w:highlight w:val="none"/>
        </w:rPr>
        <w:t xml:space="preserve"> </w:t>
      </w:r>
    </w:p>
    <w:p>
      <w:pPr>
        <w:spacing w:line="360" w:lineRule="auto"/>
        <w:ind w:firstLine="420" w:firstLineChars="200"/>
        <w:jc w:val="left"/>
        <w:rPr>
          <w:color w:val="auto"/>
          <w:szCs w:val="21"/>
          <w:highlight w:val="none"/>
        </w:rPr>
      </w:pPr>
      <w:r>
        <w:rPr>
          <w:rFonts w:hAnsi="宋体"/>
          <w:color w:val="auto"/>
          <w:szCs w:val="21"/>
          <w:highlight w:val="none"/>
        </w:rPr>
        <w:t>现场工艺试验的有关约定：</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Ansi="宋体"/>
          <w:color w:val="auto"/>
          <w:szCs w:val="21"/>
          <w:highlight w:val="none"/>
        </w:rPr>
        <w:t>。</w:t>
      </w:r>
    </w:p>
    <w:p>
      <w:pPr>
        <w:pStyle w:val="7"/>
        <w:rPr>
          <w:color w:val="auto"/>
          <w:highlight w:val="none"/>
        </w:rPr>
      </w:pPr>
      <w:bookmarkStart w:id="331" w:name="_Toc491946639"/>
      <w:bookmarkStart w:id="332" w:name="_Toc8643"/>
      <w:r>
        <w:rPr>
          <w:color w:val="auto"/>
          <w:highlight w:val="none"/>
        </w:rPr>
        <w:t xml:space="preserve">9.5 </w:t>
      </w:r>
      <w:r>
        <w:rPr>
          <w:rFonts w:hAnsi="宋体"/>
          <w:color w:val="auto"/>
          <w:highlight w:val="none"/>
        </w:rPr>
        <w:t>检验费用</w:t>
      </w:r>
      <w:bookmarkEnd w:id="331"/>
      <w:bookmarkEnd w:id="332"/>
    </w:p>
    <w:p>
      <w:pPr>
        <w:spacing w:line="360" w:lineRule="auto"/>
        <w:ind w:firstLine="411" w:firstLineChars="196"/>
        <w:rPr>
          <w:rFonts w:hint="eastAsia" w:hAnsi="宋体"/>
          <w:color w:val="auto"/>
          <w:szCs w:val="21"/>
          <w:highlight w:val="none"/>
        </w:rPr>
      </w:pPr>
      <w:r>
        <w:rPr>
          <w:rFonts w:hAnsi="宋体"/>
          <w:color w:val="auto"/>
          <w:szCs w:val="21"/>
          <w:highlight w:val="none"/>
        </w:rPr>
        <w:t>根据《建设工程质量检测管理办法》（建设部令第</w:t>
      </w:r>
      <w:r>
        <w:rPr>
          <w:color w:val="auto"/>
          <w:szCs w:val="21"/>
          <w:highlight w:val="none"/>
        </w:rPr>
        <w:t>141</w:t>
      </w:r>
      <w:r>
        <w:rPr>
          <w:rFonts w:hAnsi="宋体"/>
          <w:color w:val="auto"/>
          <w:szCs w:val="21"/>
          <w:highlight w:val="none"/>
        </w:rPr>
        <w:t>号）以及</w:t>
      </w:r>
      <w:r>
        <w:rPr>
          <w:rFonts w:hAnsi="宋体"/>
          <w:bCs/>
          <w:color w:val="auto"/>
          <w:szCs w:val="21"/>
          <w:highlight w:val="none"/>
        </w:rPr>
        <w:t>《广西壮族自治区建设工程质量检测管理规定》</w:t>
      </w:r>
      <w:r>
        <w:rPr>
          <w:rFonts w:hint="eastAsia"/>
          <w:bCs/>
          <w:color w:val="auto"/>
          <w:szCs w:val="21"/>
          <w:highlight w:val="none"/>
        </w:rPr>
        <w:t>（</w:t>
      </w:r>
      <w:r>
        <w:rPr>
          <w:rFonts w:hAnsi="宋体"/>
          <w:bCs/>
          <w:color w:val="auto"/>
          <w:szCs w:val="21"/>
          <w:highlight w:val="none"/>
        </w:rPr>
        <w:t>桂建管</w:t>
      </w:r>
      <w:r>
        <w:rPr>
          <w:rFonts w:hint="eastAsia"/>
          <w:bCs/>
          <w:color w:val="auto"/>
          <w:szCs w:val="21"/>
          <w:highlight w:val="none"/>
        </w:rPr>
        <w:t>〔</w:t>
      </w:r>
      <w:r>
        <w:rPr>
          <w:bCs/>
          <w:color w:val="auto"/>
          <w:szCs w:val="21"/>
          <w:highlight w:val="none"/>
        </w:rPr>
        <w:t>2013</w:t>
      </w:r>
      <w:r>
        <w:rPr>
          <w:rFonts w:hint="eastAsia"/>
          <w:bCs/>
          <w:color w:val="auto"/>
          <w:szCs w:val="21"/>
          <w:highlight w:val="none"/>
        </w:rPr>
        <w:t>〕</w:t>
      </w:r>
      <w:r>
        <w:rPr>
          <w:bCs/>
          <w:color w:val="auto"/>
          <w:szCs w:val="21"/>
          <w:highlight w:val="none"/>
        </w:rPr>
        <w:t>11</w:t>
      </w:r>
      <w:r>
        <w:rPr>
          <w:rFonts w:hAnsi="宋体"/>
          <w:bCs/>
          <w:color w:val="auto"/>
          <w:szCs w:val="21"/>
          <w:highlight w:val="none"/>
        </w:rPr>
        <w:t>号</w:t>
      </w:r>
      <w:r>
        <w:rPr>
          <w:rFonts w:hint="eastAsia"/>
          <w:bCs/>
          <w:color w:val="auto"/>
          <w:szCs w:val="21"/>
          <w:highlight w:val="none"/>
        </w:rPr>
        <w:t>）</w:t>
      </w:r>
      <w:r>
        <w:rPr>
          <w:rFonts w:hAnsi="宋体"/>
          <w:color w:val="auto"/>
          <w:szCs w:val="21"/>
          <w:highlight w:val="none"/>
        </w:rPr>
        <w:t>规定，工程质量检测业务由</w:t>
      </w:r>
      <w:r>
        <w:rPr>
          <w:rFonts w:hint="eastAsia" w:hAnsi="宋体"/>
          <w:color w:val="auto"/>
          <w:szCs w:val="21"/>
          <w:highlight w:val="none"/>
        </w:rPr>
        <w:t>发包人</w:t>
      </w:r>
      <w:r>
        <w:rPr>
          <w:rFonts w:hAnsi="宋体"/>
          <w:color w:val="auto"/>
          <w:szCs w:val="21"/>
          <w:highlight w:val="none"/>
        </w:rPr>
        <w:t>委托有相应资质的检测机构检测。费用</w:t>
      </w:r>
      <w:r>
        <w:rPr>
          <w:rFonts w:hint="eastAsia" w:hAnsi="宋体"/>
          <w:color w:val="auto"/>
          <w:szCs w:val="21"/>
          <w:highlight w:val="none"/>
        </w:rPr>
        <w:t>由发包人</w:t>
      </w:r>
      <w:r>
        <w:rPr>
          <w:rFonts w:hAnsi="宋体"/>
          <w:color w:val="auto"/>
          <w:szCs w:val="21"/>
          <w:highlight w:val="none"/>
        </w:rPr>
        <w:t>直接支付给检测机构，不计入合同价款内。</w:t>
      </w:r>
      <w:r>
        <w:rPr>
          <w:rFonts w:hint="eastAsia" w:hAnsi="宋体"/>
          <w:color w:val="auto"/>
          <w:szCs w:val="21"/>
          <w:highlight w:val="none"/>
        </w:rPr>
        <w:t>检验试验配合费按费用定额规定计取，计入本合同价款内。</w:t>
      </w:r>
      <w:bookmarkStart w:id="333" w:name="_Toc491946640"/>
    </w:p>
    <w:p>
      <w:pPr>
        <w:spacing w:line="360" w:lineRule="auto"/>
        <w:rPr>
          <w:rFonts w:hAnsi="宋体"/>
          <w:b/>
          <w:bCs/>
          <w:color w:val="auto"/>
          <w:sz w:val="24"/>
          <w:szCs w:val="32"/>
          <w:highlight w:val="none"/>
        </w:rPr>
      </w:pPr>
      <w:r>
        <w:rPr>
          <w:rFonts w:hAnsi="宋体"/>
          <w:b/>
          <w:bCs/>
          <w:color w:val="auto"/>
          <w:sz w:val="24"/>
          <w:szCs w:val="32"/>
          <w:highlight w:val="none"/>
        </w:rPr>
        <w:t>10. 变更</w:t>
      </w:r>
      <w:bookmarkEnd w:id="333"/>
    </w:p>
    <w:p>
      <w:pPr>
        <w:pStyle w:val="7"/>
        <w:rPr>
          <w:color w:val="auto"/>
          <w:highlight w:val="none"/>
        </w:rPr>
      </w:pPr>
      <w:bookmarkStart w:id="334" w:name="_Toc1931"/>
      <w:bookmarkStart w:id="335" w:name="_Toc491946641"/>
      <w:r>
        <w:rPr>
          <w:color w:val="auto"/>
          <w:highlight w:val="none"/>
        </w:rPr>
        <w:t>10.1</w:t>
      </w:r>
      <w:r>
        <w:rPr>
          <w:rFonts w:hint="eastAsia"/>
          <w:color w:val="auto"/>
          <w:highlight w:val="none"/>
        </w:rPr>
        <w:t xml:space="preserve"> </w:t>
      </w:r>
      <w:r>
        <w:rPr>
          <w:rFonts w:hAnsi="宋体"/>
          <w:color w:val="auto"/>
          <w:highlight w:val="none"/>
        </w:rPr>
        <w:t>变更的范围</w:t>
      </w:r>
      <w:bookmarkEnd w:id="334"/>
      <w:bookmarkEnd w:id="335"/>
    </w:p>
    <w:p>
      <w:pPr>
        <w:spacing w:line="360" w:lineRule="auto"/>
        <w:ind w:firstLine="426"/>
        <w:jc w:val="left"/>
        <w:rPr>
          <w:color w:val="auto"/>
          <w:szCs w:val="21"/>
          <w:highlight w:val="none"/>
          <w:u w:val="single"/>
        </w:rPr>
      </w:pPr>
      <w:r>
        <w:rPr>
          <w:rFonts w:hAnsi="宋体"/>
          <w:color w:val="auto"/>
          <w:szCs w:val="21"/>
          <w:highlight w:val="none"/>
        </w:rPr>
        <w:t>关于变更的范围的约定：</w:t>
      </w:r>
      <w:r>
        <w:rPr>
          <w:color w:val="auto"/>
          <w:szCs w:val="21"/>
          <w:highlight w:val="none"/>
          <w:u w:val="single"/>
        </w:rPr>
        <w:t>（1）增加或减少合同中任何工作，或追加额外的工作；</w:t>
      </w:r>
    </w:p>
    <w:p>
      <w:pPr>
        <w:spacing w:line="360" w:lineRule="auto"/>
        <w:ind w:firstLine="426"/>
        <w:jc w:val="left"/>
        <w:rPr>
          <w:color w:val="auto"/>
          <w:szCs w:val="21"/>
          <w:highlight w:val="none"/>
          <w:u w:val="single"/>
        </w:rPr>
      </w:pPr>
      <w:r>
        <w:rPr>
          <w:color w:val="auto"/>
          <w:szCs w:val="21"/>
          <w:highlight w:val="none"/>
          <w:u w:val="single"/>
        </w:rPr>
        <w:t>（2）取消合同中任何工作，但转由他人实施的工作除外；</w:t>
      </w:r>
    </w:p>
    <w:p>
      <w:pPr>
        <w:spacing w:line="360" w:lineRule="auto"/>
        <w:ind w:firstLine="426"/>
        <w:jc w:val="left"/>
        <w:rPr>
          <w:color w:val="auto"/>
          <w:szCs w:val="21"/>
          <w:highlight w:val="none"/>
          <w:u w:val="single"/>
        </w:rPr>
      </w:pPr>
      <w:r>
        <w:rPr>
          <w:color w:val="auto"/>
          <w:szCs w:val="21"/>
          <w:highlight w:val="none"/>
          <w:u w:val="single"/>
        </w:rPr>
        <w:t>（3）改变合同中任何工作的质量标准或其他特性；</w:t>
      </w:r>
    </w:p>
    <w:p>
      <w:pPr>
        <w:spacing w:line="360" w:lineRule="auto"/>
        <w:ind w:firstLine="426"/>
        <w:jc w:val="left"/>
        <w:rPr>
          <w:color w:val="auto"/>
          <w:szCs w:val="21"/>
          <w:highlight w:val="none"/>
          <w:u w:val="single"/>
        </w:rPr>
      </w:pPr>
      <w:r>
        <w:rPr>
          <w:color w:val="auto"/>
          <w:szCs w:val="21"/>
          <w:highlight w:val="none"/>
          <w:u w:val="single"/>
        </w:rPr>
        <w:t>（4）改变工程的基线、标高、位置和尺寸；</w:t>
      </w:r>
    </w:p>
    <w:p>
      <w:pPr>
        <w:spacing w:line="360" w:lineRule="auto"/>
        <w:ind w:firstLine="426"/>
        <w:jc w:val="left"/>
        <w:rPr>
          <w:color w:val="auto"/>
          <w:szCs w:val="21"/>
          <w:highlight w:val="none"/>
        </w:rPr>
      </w:pPr>
      <w:r>
        <w:rPr>
          <w:color w:val="auto"/>
          <w:szCs w:val="21"/>
          <w:highlight w:val="none"/>
          <w:u w:val="single"/>
        </w:rPr>
        <w:t xml:space="preserve">（5）改变工程的时间安排或实施顺序    </w:t>
      </w:r>
      <w:r>
        <w:rPr>
          <w:rFonts w:hAnsi="宋体"/>
          <w:color w:val="auto"/>
          <w:szCs w:val="21"/>
          <w:highlight w:val="none"/>
        </w:rPr>
        <w:t>。</w:t>
      </w:r>
    </w:p>
    <w:p>
      <w:pPr>
        <w:pStyle w:val="7"/>
        <w:rPr>
          <w:color w:val="auto"/>
          <w:highlight w:val="none"/>
        </w:rPr>
      </w:pPr>
      <w:bookmarkStart w:id="336" w:name="_Toc491946642"/>
      <w:bookmarkStart w:id="337" w:name="_Toc21881"/>
      <w:r>
        <w:rPr>
          <w:color w:val="auto"/>
          <w:highlight w:val="none"/>
        </w:rPr>
        <w:t xml:space="preserve">10.3 </w:t>
      </w:r>
      <w:r>
        <w:rPr>
          <w:rFonts w:hAnsi="宋体"/>
          <w:color w:val="auto"/>
          <w:highlight w:val="none"/>
        </w:rPr>
        <w:t>变更程序</w:t>
      </w:r>
      <w:bookmarkEnd w:id="336"/>
      <w:bookmarkEnd w:id="337"/>
    </w:p>
    <w:p>
      <w:pPr>
        <w:pStyle w:val="11"/>
        <w:spacing w:line="360" w:lineRule="auto"/>
        <w:ind w:firstLine="441" w:firstLineChars="210"/>
        <w:rPr>
          <w:rFonts w:ascii="Times New Roman" w:hAnsi="Times New Roman"/>
          <w:bCs/>
          <w:color w:val="auto"/>
          <w:sz w:val="21"/>
          <w:szCs w:val="21"/>
          <w:highlight w:val="none"/>
        </w:rPr>
      </w:pPr>
      <w:r>
        <w:rPr>
          <w:rFonts w:ascii="Times New Roman" w:hAnsi="Times New Roman"/>
          <w:bCs/>
          <w:color w:val="auto"/>
          <w:sz w:val="21"/>
          <w:szCs w:val="21"/>
          <w:highlight w:val="none"/>
        </w:rPr>
        <w:t>10.3.1</w:t>
      </w:r>
      <w:r>
        <w:rPr>
          <w:rFonts w:hint="eastAsia" w:ascii="Times New Roman" w:hAnsi="Times New Roman"/>
          <w:bCs/>
          <w:color w:val="auto"/>
          <w:sz w:val="21"/>
          <w:szCs w:val="21"/>
          <w:highlight w:val="none"/>
        </w:rPr>
        <w:t xml:space="preserve"> </w:t>
      </w:r>
      <w:r>
        <w:rPr>
          <w:rFonts w:ascii="Times New Roman" w:hAnsi="Times New Roman"/>
          <w:bCs/>
          <w:color w:val="auto"/>
          <w:sz w:val="21"/>
          <w:szCs w:val="21"/>
          <w:highlight w:val="none"/>
        </w:rPr>
        <w:t>国有投资项目：</w:t>
      </w:r>
    </w:p>
    <w:p>
      <w:pPr>
        <w:pStyle w:val="11"/>
        <w:spacing w:line="360" w:lineRule="auto"/>
        <w:ind w:firstLine="441" w:firstLineChars="210"/>
        <w:rPr>
          <w:rFonts w:ascii="Times New Roman" w:hAnsi="Times New Roman"/>
          <w:bCs/>
          <w:color w:val="auto"/>
          <w:sz w:val="21"/>
          <w:szCs w:val="21"/>
          <w:highlight w:val="none"/>
        </w:rPr>
      </w:pPr>
      <w:r>
        <w:rPr>
          <w:rFonts w:ascii="Times New Roman" w:hAnsi="Times New Roman"/>
          <w:bCs/>
          <w:color w:val="auto"/>
          <w:sz w:val="21"/>
          <w:szCs w:val="21"/>
          <w:highlight w:val="none"/>
        </w:rPr>
        <w:t>⑴设计变更和工程签证，按各市政府或相关部门的规定办理。属不可抗力（自然灾害、突发事件等）造成变更的，按特事特办原则予以办理。</w:t>
      </w:r>
    </w:p>
    <w:p>
      <w:pPr>
        <w:pStyle w:val="11"/>
        <w:spacing w:line="360" w:lineRule="auto"/>
        <w:ind w:firstLine="441" w:firstLineChars="210"/>
        <w:rPr>
          <w:rFonts w:ascii="Times New Roman" w:hAnsi="Times New Roman"/>
          <w:bCs/>
          <w:color w:val="auto"/>
          <w:sz w:val="21"/>
          <w:szCs w:val="21"/>
          <w:highlight w:val="none"/>
        </w:rPr>
      </w:pPr>
      <w:r>
        <w:rPr>
          <w:rFonts w:ascii="Times New Roman" w:hAnsi="Times New Roman"/>
          <w:bCs/>
          <w:color w:val="auto"/>
          <w:sz w:val="21"/>
          <w:szCs w:val="21"/>
          <w:highlight w:val="none"/>
        </w:rPr>
        <w:t>⑵建设单位在实施项目过程中，若发生单价变动，由建设单位、监理单位、施工单位及其他相关单位共同商定并签字确认。</w:t>
      </w:r>
    </w:p>
    <w:p>
      <w:pPr>
        <w:spacing w:line="360" w:lineRule="auto"/>
        <w:ind w:firstLine="420" w:firstLineChars="200"/>
        <w:jc w:val="left"/>
        <w:rPr>
          <w:bCs/>
          <w:color w:val="auto"/>
          <w:szCs w:val="21"/>
          <w:highlight w:val="none"/>
        </w:rPr>
      </w:pPr>
      <w:r>
        <w:rPr>
          <w:rFonts w:hAnsi="宋体"/>
          <w:bCs/>
          <w:color w:val="auto"/>
          <w:szCs w:val="21"/>
          <w:highlight w:val="none"/>
        </w:rPr>
        <w:t>⑶</w:t>
      </w:r>
      <w:r>
        <w:rPr>
          <w:bCs/>
          <w:color w:val="auto"/>
          <w:szCs w:val="21"/>
          <w:highlight w:val="none"/>
        </w:rPr>
        <w:t xml:space="preserve"> 当合同规定的合同价款调整情况发生后，承包人未在规定时间内通知发包人，或者未在规定时间内提出调整报告，发包人可以根据有关资料，决定是否调整和调整的金额，并书面通知承包人。</w:t>
      </w:r>
    </w:p>
    <w:p>
      <w:pPr>
        <w:spacing w:line="360" w:lineRule="auto"/>
        <w:ind w:firstLine="420" w:firstLineChars="200"/>
        <w:jc w:val="left"/>
        <w:rPr>
          <w:bCs/>
          <w:color w:val="auto"/>
          <w:szCs w:val="21"/>
          <w:highlight w:val="none"/>
        </w:rPr>
      </w:pPr>
      <w:r>
        <w:rPr>
          <w:bCs/>
          <w:color w:val="auto"/>
          <w:szCs w:val="21"/>
          <w:highlight w:val="none"/>
        </w:rPr>
        <w:t>10.3.2</w:t>
      </w:r>
      <w:r>
        <w:rPr>
          <w:rFonts w:hint="eastAsia"/>
          <w:bCs/>
          <w:color w:val="auto"/>
          <w:szCs w:val="21"/>
          <w:highlight w:val="none"/>
        </w:rPr>
        <w:t xml:space="preserve"> </w:t>
      </w:r>
      <w:r>
        <w:rPr>
          <w:bCs/>
          <w:color w:val="auto"/>
          <w:szCs w:val="21"/>
          <w:highlight w:val="none"/>
        </w:rPr>
        <w:t xml:space="preserve">非国有投资项目： </w:t>
      </w:r>
      <w:r>
        <w:rPr>
          <w:bCs/>
          <w:color w:val="auto"/>
          <w:szCs w:val="21"/>
          <w:highlight w:val="none"/>
          <w:u w:val="single"/>
        </w:rPr>
        <w:t xml:space="preserve">             </w:t>
      </w:r>
      <w:r>
        <w:rPr>
          <w:rFonts w:hint="eastAsia"/>
          <w:bCs/>
          <w:color w:val="auto"/>
          <w:szCs w:val="21"/>
          <w:highlight w:val="none"/>
          <w:u w:val="single"/>
        </w:rPr>
        <w:t>无</w:t>
      </w:r>
      <w:r>
        <w:rPr>
          <w:bCs/>
          <w:color w:val="auto"/>
          <w:szCs w:val="21"/>
          <w:highlight w:val="none"/>
          <w:u w:val="single"/>
        </w:rPr>
        <w:t xml:space="preserve">                </w:t>
      </w:r>
      <w:r>
        <w:rPr>
          <w:rFonts w:hAnsi="宋体"/>
          <w:bCs/>
          <w:color w:val="auto"/>
          <w:szCs w:val="21"/>
          <w:highlight w:val="none"/>
        </w:rPr>
        <w:t>。</w:t>
      </w:r>
    </w:p>
    <w:p>
      <w:pPr>
        <w:pStyle w:val="7"/>
        <w:rPr>
          <w:color w:val="auto"/>
          <w:highlight w:val="none"/>
        </w:rPr>
      </w:pPr>
      <w:bookmarkStart w:id="338" w:name="_Toc18894"/>
      <w:bookmarkStart w:id="339" w:name="_Toc491946643"/>
      <w:r>
        <w:rPr>
          <w:color w:val="auto"/>
          <w:highlight w:val="none"/>
        </w:rPr>
        <w:t xml:space="preserve">10.4 </w:t>
      </w:r>
      <w:r>
        <w:rPr>
          <w:rFonts w:hAnsi="宋体"/>
          <w:color w:val="auto"/>
          <w:highlight w:val="none"/>
        </w:rPr>
        <w:t>变更估价</w:t>
      </w:r>
      <w:bookmarkEnd w:id="338"/>
      <w:bookmarkEnd w:id="339"/>
    </w:p>
    <w:p>
      <w:pPr>
        <w:spacing w:line="360" w:lineRule="auto"/>
        <w:ind w:firstLine="420" w:firstLineChars="200"/>
        <w:jc w:val="left"/>
        <w:rPr>
          <w:color w:val="auto"/>
          <w:szCs w:val="21"/>
          <w:highlight w:val="none"/>
        </w:rPr>
      </w:pPr>
      <w:r>
        <w:rPr>
          <w:color w:val="auto"/>
          <w:szCs w:val="21"/>
          <w:highlight w:val="none"/>
        </w:rPr>
        <w:t xml:space="preserve">10.4.1 </w:t>
      </w:r>
      <w:r>
        <w:rPr>
          <w:rFonts w:hAnsi="宋体"/>
          <w:color w:val="auto"/>
          <w:szCs w:val="21"/>
          <w:highlight w:val="none"/>
        </w:rPr>
        <w:t>变更估价原则</w:t>
      </w:r>
    </w:p>
    <w:p>
      <w:pPr>
        <w:spacing w:line="360" w:lineRule="auto"/>
        <w:ind w:firstLine="420" w:firstLineChars="200"/>
        <w:jc w:val="left"/>
        <w:rPr>
          <w:rFonts w:hint="eastAsia" w:hAnsi="宋体"/>
          <w:color w:val="auto"/>
          <w:szCs w:val="21"/>
          <w:highlight w:val="none"/>
        </w:rPr>
      </w:pPr>
      <w:r>
        <w:rPr>
          <w:rFonts w:hAnsi="宋体"/>
          <w:color w:val="auto"/>
          <w:szCs w:val="21"/>
          <w:highlight w:val="none"/>
        </w:rPr>
        <w:t>关于变更估价的约定</w:t>
      </w:r>
      <w:r>
        <w:rPr>
          <w:color w:val="auto"/>
          <w:szCs w:val="21"/>
          <w:highlight w:val="none"/>
        </w:rPr>
        <w:t xml:space="preserve">: </w:t>
      </w:r>
      <w:r>
        <w:rPr>
          <w:rFonts w:hint="eastAsia" w:hAnsi="宋体"/>
          <w:bCs/>
          <w:color w:val="auto"/>
          <w:szCs w:val="21"/>
          <w:highlight w:val="none"/>
          <w:u w:val="single"/>
        </w:rPr>
        <w:t>工程</w:t>
      </w:r>
      <w:r>
        <w:rPr>
          <w:rFonts w:hAnsi="宋体"/>
          <w:bCs/>
          <w:color w:val="auto"/>
          <w:szCs w:val="21"/>
          <w:highlight w:val="none"/>
          <w:u w:val="single"/>
        </w:rPr>
        <w:t>变更合同价款按下列方法进行：（</w:t>
      </w:r>
      <w:r>
        <w:rPr>
          <w:bCs/>
          <w:color w:val="auto"/>
          <w:szCs w:val="21"/>
          <w:highlight w:val="none"/>
          <w:u w:val="single"/>
        </w:rPr>
        <w:t>1</w:t>
      </w:r>
      <w:r>
        <w:rPr>
          <w:rFonts w:hAnsi="宋体"/>
          <w:bCs/>
          <w:color w:val="auto"/>
          <w:szCs w:val="21"/>
          <w:highlight w:val="none"/>
          <w:u w:val="single"/>
        </w:rPr>
        <w:t>）合同中已有相同清单项目的，按合同该清单项目价格进行计算；（</w:t>
      </w:r>
      <w:r>
        <w:rPr>
          <w:bCs/>
          <w:color w:val="auto"/>
          <w:szCs w:val="21"/>
          <w:highlight w:val="none"/>
          <w:u w:val="single"/>
        </w:rPr>
        <w:t>2</w:t>
      </w:r>
      <w:r>
        <w:rPr>
          <w:rFonts w:hAnsi="宋体"/>
          <w:bCs/>
          <w:color w:val="auto"/>
          <w:szCs w:val="21"/>
          <w:highlight w:val="none"/>
          <w:u w:val="single"/>
        </w:rPr>
        <w:t>）合同中只有类似清单项目的，参照该类似清单项目价格进行计算；（</w:t>
      </w:r>
      <w:r>
        <w:rPr>
          <w:bCs/>
          <w:color w:val="auto"/>
          <w:szCs w:val="21"/>
          <w:highlight w:val="none"/>
          <w:u w:val="single"/>
        </w:rPr>
        <w:t>3</w:t>
      </w:r>
      <w:r>
        <w:rPr>
          <w:rFonts w:hAnsi="宋体"/>
          <w:bCs/>
          <w:color w:val="auto"/>
          <w:szCs w:val="21"/>
          <w:highlight w:val="none"/>
          <w:u w:val="single"/>
        </w:rPr>
        <w:t>）合同中没有适用或类似清单项目的价格计算方法：有定额的套定额，并</w:t>
      </w:r>
      <w:r>
        <w:rPr>
          <w:rFonts w:hint="eastAsia" w:hAnsi="宋体"/>
          <w:bCs/>
          <w:color w:val="auto"/>
          <w:szCs w:val="21"/>
          <w:highlight w:val="none"/>
          <w:u w:val="single"/>
        </w:rPr>
        <w:t>（■</w:t>
      </w:r>
      <w:r>
        <w:rPr>
          <w:rFonts w:hAnsi="宋体"/>
          <w:bCs/>
          <w:color w:val="auto"/>
          <w:szCs w:val="21"/>
          <w:highlight w:val="none"/>
          <w:u w:val="single"/>
        </w:rPr>
        <w:t>乘以下浮系数</w:t>
      </w:r>
      <w:r>
        <w:rPr>
          <w:rFonts w:hint="eastAsia"/>
          <w:bCs/>
          <w:color w:val="auto"/>
          <w:szCs w:val="21"/>
          <w:highlight w:val="none"/>
          <w:u w:val="single"/>
          <w:lang w:val="en-US" w:eastAsia="zh-CN"/>
        </w:rPr>
        <w:t xml:space="preserve">       </w:t>
      </w:r>
      <w:r>
        <w:rPr>
          <w:rFonts w:hint="eastAsia"/>
          <w:bCs/>
          <w:color w:val="auto"/>
          <w:szCs w:val="21"/>
          <w:highlight w:val="none"/>
          <w:u w:val="single"/>
        </w:rPr>
        <w:t>%，</w:t>
      </w:r>
      <w:r>
        <w:rPr>
          <w:rFonts w:hint="eastAsia"/>
          <w:b/>
          <w:color w:val="auto"/>
          <w:highlight w:val="none"/>
        </w:rPr>
        <w:t>□</w:t>
      </w:r>
      <w:r>
        <w:rPr>
          <w:rFonts w:hint="eastAsia" w:hAnsi="宋体"/>
          <w:bCs/>
          <w:color w:val="auto"/>
          <w:szCs w:val="21"/>
          <w:highlight w:val="none"/>
          <w:u w:val="single"/>
        </w:rPr>
        <w:t>不乘下浮系数）</w:t>
      </w:r>
      <w:r>
        <w:rPr>
          <w:rFonts w:hAnsi="宋体"/>
          <w:bCs/>
          <w:color w:val="auto"/>
          <w:szCs w:val="21"/>
          <w:highlight w:val="none"/>
          <w:u w:val="single"/>
        </w:rPr>
        <w:t>计算，其中材料价格按施工期间的《</w:t>
      </w:r>
      <w:r>
        <w:rPr>
          <w:rFonts w:hint="eastAsia"/>
          <w:bCs/>
          <w:color w:val="auto"/>
          <w:szCs w:val="21"/>
          <w:highlight w:val="none"/>
          <w:u w:val="single"/>
        </w:rPr>
        <w:t>北海市</w:t>
      </w:r>
      <w:r>
        <w:rPr>
          <w:rFonts w:hAnsi="宋体"/>
          <w:bCs/>
          <w:color w:val="auto"/>
          <w:szCs w:val="21"/>
          <w:highlight w:val="none"/>
          <w:u w:val="single"/>
        </w:rPr>
        <w:t>建设工程造价信息》相应价格信息进行计算；《</w:t>
      </w:r>
      <w:r>
        <w:rPr>
          <w:rFonts w:hint="eastAsia"/>
          <w:bCs/>
          <w:color w:val="auto"/>
          <w:szCs w:val="21"/>
          <w:highlight w:val="none"/>
          <w:u w:val="single"/>
        </w:rPr>
        <w:t>北海</w:t>
      </w:r>
      <w:r>
        <w:rPr>
          <w:rFonts w:hAnsi="宋体"/>
          <w:bCs/>
          <w:color w:val="auto"/>
          <w:szCs w:val="21"/>
          <w:highlight w:val="none"/>
          <w:u w:val="single"/>
        </w:rPr>
        <w:t>市建设工程造价信息》没有相应价格信息的按市场价计算；无定额可套的，根据市场价格协商确定综合价格；对于国有资产投资的项目，新增项目的单价必须经</w:t>
      </w:r>
      <w:r>
        <w:rPr>
          <w:rFonts w:hint="eastAsia"/>
          <w:bCs/>
          <w:color w:val="auto"/>
          <w:szCs w:val="21"/>
          <w:highlight w:val="none"/>
          <w:u w:val="single"/>
        </w:rPr>
        <w:t>有关审核部门</w:t>
      </w:r>
      <w:r>
        <w:rPr>
          <w:rFonts w:hAnsi="宋体"/>
          <w:bCs/>
          <w:color w:val="auto"/>
          <w:szCs w:val="21"/>
          <w:highlight w:val="none"/>
          <w:u w:val="single"/>
        </w:rPr>
        <w:t>审定</w:t>
      </w:r>
      <w:r>
        <w:rPr>
          <w:rFonts w:hAnsi="宋体"/>
          <w:color w:val="auto"/>
          <w:szCs w:val="21"/>
          <w:highlight w:val="none"/>
        </w:rPr>
        <w:t>。</w:t>
      </w:r>
    </w:p>
    <w:p>
      <w:pPr>
        <w:spacing w:line="360" w:lineRule="auto"/>
        <w:ind w:firstLine="420" w:firstLineChars="200"/>
        <w:jc w:val="left"/>
        <w:rPr>
          <w:rFonts w:hint="eastAsia"/>
          <w:color w:val="auto"/>
          <w:szCs w:val="21"/>
          <w:highlight w:val="none"/>
          <w:u w:val="single"/>
        </w:rPr>
      </w:pPr>
      <w:r>
        <w:rPr>
          <w:rFonts w:hint="eastAsia"/>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pPr>
        <w:pStyle w:val="7"/>
        <w:rPr>
          <w:color w:val="auto"/>
          <w:highlight w:val="none"/>
        </w:rPr>
      </w:pPr>
      <w:bookmarkStart w:id="340" w:name="_Toc32423"/>
      <w:bookmarkStart w:id="341" w:name="_Toc491946644"/>
      <w:r>
        <w:rPr>
          <w:color w:val="auto"/>
          <w:highlight w:val="none"/>
        </w:rPr>
        <w:t>10.5</w:t>
      </w:r>
      <w:r>
        <w:rPr>
          <w:rFonts w:hint="eastAsia"/>
          <w:color w:val="auto"/>
          <w:highlight w:val="none"/>
        </w:rPr>
        <w:t xml:space="preserve"> </w:t>
      </w:r>
      <w:r>
        <w:rPr>
          <w:color w:val="auto"/>
          <w:highlight w:val="none"/>
        </w:rPr>
        <w:t>承包人的合理化建议</w:t>
      </w:r>
      <w:bookmarkEnd w:id="340"/>
      <w:bookmarkEnd w:id="341"/>
    </w:p>
    <w:p>
      <w:pPr>
        <w:spacing w:line="360" w:lineRule="auto"/>
        <w:ind w:firstLine="420" w:firstLineChars="200"/>
        <w:jc w:val="left"/>
        <w:rPr>
          <w:color w:val="auto"/>
          <w:szCs w:val="21"/>
          <w:highlight w:val="none"/>
        </w:rPr>
      </w:pPr>
      <w:r>
        <w:rPr>
          <w:rFonts w:hAnsi="宋体"/>
          <w:color w:val="auto"/>
          <w:szCs w:val="21"/>
          <w:highlight w:val="none"/>
        </w:rPr>
        <w:t>监理人审查承包人合理化建议的期限：</w:t>
      </w:r>
      <w:r>
        <w:rPr>
          <w:color w:val="auto"/>
          <w:szCs w:val="21"/>
          <w:highlight w:val="none"/>
          <w:u w:val="single"/>
        </w:rPr>
        <w:t xml:space="preserve"> 在收到承包人提交的合理化建议后 7 天内  </w:t>
      </w:r>
      <w:r>
        <w:rPr>
          <w:rFonts w:hAnsi="宋体"/>
          <w:color w:val="auto"/>
          <w:szCs w:val="21"/>
          <w:highlight w:val="none"/>
        </w:rPr>
        <w:t>。</w:t>
      </w:r>
    </w:p>
    <w:p>
      <w:pPr>
        <w:spacing w:line="360" w:lineRule="auto"/>
        <w:ind w:firstLine="420" w:firstLineChars="200"/>
        <w:jc w:val="left"/>
        <w:rPr>
          <w:color w:val="auto"/>
          <w:szCs w:val="21"/>
          <w:highlight w:val="none"/>
        </w:rPr>
      </w:pPr>
      <w:r>
        <w:rPr>
          <w:rFonts w:hAnsi="宋体"/>
          <w:color w:val="auto"/>
          <w:szCs w:val="21"/>
          <w:highlight w:val="none"/>
        </w:rPr>
        <w:t>发包人审批承包人合理化建议的期限：</w:t>
      </w:r>
      <w:r>
        <w:rPr>
          <w:color w:val="auto"/>
          <w:szCs w:val="21"/>
          <w:highlight w:val="none"/>
          <w:u w:val="single"/>
        </w:rPr>
        <w:t xml:space="preserve"> </w:t>
      </w:r>
      <w:r>
        <w:rPr>
          <w:color w:val="auto"/>
          <w:highlight w:val="none"/>
          <w:u w:val="single"/>
        </w:rPr>
        <w:t xml:space="preserve">在收到承包人提交的合理化建议后 </w:t>
      </w:r>
      <w:r>
        <w:rPr>
          <w:rFonts w:eastAsia="Calibri"/>
          <w:color w:val="auto"/>
          <w:highlight w:val="none"/>
          <w:u w:val="single"/>
        </w:rPr>
        <w:t xml:space="preserve">7 </w:t>
      </w:r>
      <w:r>
        <w:rPr>
          <w:color w:val="auto"/>
          <w:highlight w:val="none"/>
          <w:u w:val="single"/>
        </w:rPr>
        <w:t>天内</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u w:val="single"/>
        </w:rPr>
      </w:pPr>
      <w:r>
        <w:rPr>
          <w:rFonts w:hAnsi="宋体"/>
          <w:color w:val="auto"/>
          <w:szCs w:val="21"/>
          <w:highlight w:val="none"/>
        </w:rPr>
        <w:t>承包人提出的合理化建议降低了合同价格或者提高了工程经济效益的奖励的方法和金额为：</w:t>
      </w:r>
      <w:r>
        <w:rPr>
          <w:color w:val="auto"/>
          <w:szCs w:val="21"/>
          <w:highlight w:val="none"/>
          <w:u w:val="single"/>
        </w:rPr>
        <w:t xml:space="preserve"> 如有，则由双方另行商定  </w:t>
      </w:r>
      <w:r>
        <w:rPr>
          <w:rFonts w:hAnsi="宋体"/>
          <w:color w:val="auto"/>
          <w:szCs w:val="21"/>
          <w:highlight w:val="none"/>
        </w:rPr>
        <w:t>。</w:t>
      </w:r>
    </w:p>
    <w:p>
      <w:pPr>
        <w:pStyle w:val="7"/>
        <w:rPr>
          <w:color w:val="auto"/>
          <w:highlight w:val="none"/>
        </w:rPr>
      </w:pPr>
      <w:bookmarkStart w:id="342" w:name="_Toc491946645"/>
      <w:bookmarkStart w:id="343" w:name="_Toc26115"/>
      <w:r>
        <w:rPr>
          <w:color w:val="auto"/>
          <w:highlight w:val="none"/>
        </w:rPr>
        <w:t xml:space="preserve">10.7 </w:t>
      </w:r>
      <w:r>
        <w:rPr>
          <w:rFonts w:hAnsi="宋体"/>
          <w:color w:val="auto"/>
          <w:highlight w:val="none"/>
        </w:rPr>
        <w:t>暂估价</w:t>
      </w:r>
      <w:bookmarkEnd w:id="342"/>
      <w:bookmarkEnd w:id="343"/>
    </w:p>
    <w:p>
      <w:pPr>
        <w:spacing w:line="360" w:lineRule="auto"/>
        <w:ind w:firstLine="420" w:firstLineChars="200"/>
        <w:jc w:val="left"/>
        <w:rPr>
          <w:color w:val="auto"/>
          <w:szCs w:val="21"/>
          <w:highlight w:val="none"/>
        </w:rPr>
      </w:pPr>
      <w:r>
        <w:rPr>
          <w:rFonts w:hAnsi="宋体"/>
          <w:color w:val="auto"/>
          <w:kern w:val="0"/>
          <w:szCs w:val="21"/>
          <w:highlight w:val="none"/>
        </w:rPr>
        <w:t>暂估价材料和工程设备的明细详见</w:t>
      </w:r>
      <w:r>
        <w:rPr>
          <w:rFonts w:hint="eastAsia" w:hAnsi="宋体"/>
          <w:color w:val="auto"/>
          <w:kern w:val="0"/>
          <w:szCs w:val="21"/>
          <w:highlight w:val="none"/>
        </w:rPr>
        <w:t>已标价工程量清单《</w:t>
      </w:r>
      <w:r>
        <w:rPr>
          <w:color w:val="auto"/>
          <w:szCs w:val="21"/>
          <w:highlight w:val="none"/>
        </w:rPr>
        <w:t>材料（工程设备）暂估价格及调整表</w:t>
      </w:r>
      <w:r>
        <w:rPr>
          <w:rFonts w:hint="eastAsia"/>
          <w:color w:val="auto"/>
          <w:szCs w:val="21"/>
          <w:highlight w:val="none"/>
        </w:rPr>
        <w:t>》</w:t>
      </w:r>
      <w:r>
        <w:rPr>
          <w:rFonts w:hint="eastAsia" w:hAnsi="宋体"/>
          <w:color w:val="auto"/>
          <w:kern w:val="0"/>
          <w:szCs w:val="21"/>
          <w:highlight w:val="none"/>
        </w:rPr>
        <w:t>（表12-2）和《</w:t>
      </w:r>
      <w:r>
        <w:rPr>
          <w:color w:val="auto"/>
          <w:szCs w:val="21"/>
          <w:highlight w:val="none"/>
        </w:rPr>
        <w:t>专业工程暂估价表</w:t>
      </w:r>
      <w:r>
        <w:rPr>
          <w:rFonts w:hint="eastAsia"/>
          <w:color w:val="auto"/>
          <w:szCs w:val="21"/>
          <w:highlight w:val="none"/>
        </w:rPr>
        <w:t>》（</w:t>
      </w:r>
      <w:r>
        <w:rPr>
          <w:rFonts w:hint="eastAsia" w:hAnsi="宋体"/>
          <w:color w:val="auto"/>
          <w:kern w:val="0"/>
          <w:szCs w:val="21"/>
          <w:highlight w:val="none"/>
        </w:rPr>
        <w:t>表12-3）</w:t>
      </w:r>
      <w:r>
        <w:rPr>
          <w:rFonts w:hAnsi="宋体"/>
          <w:color w:val="auto"/>
          <w:kern w:val="0"/>
          <w:szCs w:val="21"/>
          <w:highlight w:val="none"/>
        </w:rPr>
        <w:t>。</w:t>
      </w:r>
    </w:p>
    <w:p>
      <w:pPr>
        <w:spacing w:line="360" w:lineRule="auto"/>
        <w:ind w:firstLine="420" w:firstLineChars="200"/>
        <w:jc w:val="left"/>
        <w:rPr>
          <w:color w:val="auto"/>
          <w:szCs w:val="21"/>
          <w:highlight w:val="none"/>
        </w:rPr>
      </w:pPr>
      <w:r>
        <w:rPr>
          <w:color w:val="auto"/>
          <w:szCs w:val="21"/>
          <w:highlight w:val="none"/>
        </w:rPr>
        <w:t xml:space="preserve">10.7.1 </w:t>
      </w:r>
      <w:r>
        <w:rPr>
          <w:rFonts w:hAnsi="宋体"/>
          <w:color w:val="auto"/>
          <w:szCs w:val="21"/>
          <w:highlight w:val="none"/>
        </w:rPr>
        <w:t>依法必须招标的暂估价项目</w:t>
      </w:r>
    </w:p>
    <w:p>
      <w:pPr>
        <w:spacing w:line="360" w:lineRule="auto"/>
        <w:ind w:firstLine="420" w:firstLineChars="200"/>
        <w:jc w:val="left"/>
        <w:rPr>
          <w:color w:val="auto"/>
          <w:szCs w:val="21"/>
          <w:highlight w:val="none"/>
        </w:rPr>
      </w:pPr>
      <w:r>
        <w:rPr>
          <w:rFonts w:hAnsi="宋体"/>
          <w:color w:val="auto"/>
          <w:szCs w:val="21"/>
          <w:highlight w:val="none"/>
        </w:rPr>
        <w:t>对于依法必须招标的暂估价项目的确认和批准采取第</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Ansi="宋体"/>
          <w:color w:val="auto"/>
          <w:szCs w:val="21"/>
          <w:highlight w:val="none"/>
        </w:rPr>
        <w:t>种方式确定。</w:t>
      </w:r>
    </w:p>
    <w:p>
      <w:pPr>
        <w:spacing w:line="360" w:lineRule="auto"/>
        <w:ind w:firstLine="420" w:firstLineChars="200"/>
        <w:jc w:val="left"/>
        <w:rPr>
          <w:color w:val="auto"/>
          <w:szCs w:val="21"/>
          <w:highlight w:val="none"/>
        </w:rPr>
      </w:pPr>
      <w:r>
        <w:rPr>
          <w:color w:val="auto"/>
          <w:szCs w:val="21"/>
          <w:highlight w:val="none"/>
        </w:rPr>
        <w:t xml:space="preserve">10.7.2 </w:t>
      </w:r>
      <w:r>
        <w:rPr>
          <w:rFonts w:hAnsi="宋体"/>
          <w:color w:val="auto"/>
          <w:szCs w:val="21"/>
          <w:highlight w:val="none"/>
        </w:rPr>
        <w:t>不属于依法必须招标的暂估价项目</w:t>
      </w:r>
    </w:p>
    <w:p>
      <w:pPr>
        <w:spacing w:line="360" w:lineRule="auto"/>
        <w:ind w:firstLine="420" w:firstLineChars="200"/>
        <w:jc w:val="left"/>
        <w:rPr>
          <w:color w:val="auto"/>
          <w:szCs w:val="21"/>
          <w:highlight w:val="none"/>
        </w:rPr>
      </w:pPr>
      <w:r>
        <w:rPr>
          <w:rFonts w:hAnsi="宋体"/>
          <w:color w:val="auto"/>
          <w:szCs w:val="21"/>
          <w:highlight w:val="none"/>
        </w:rPr>
        <w:t>对于不属于依法必须招标的暂估价项目的确认和批准采取第</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Ansi="宋体"/>
          <w:color w:val="auto"/>
          <w:szCs w:val="21"/>
          <w:highlight w:val="none"/>
        </w:rPr>
        <w:t>种方式确定。</w:t>
      </w:r>
    </w:p>
    <w:p>
      <w:pPr>
        <w:spacing w:line="360" w:lineRule="auto"/>
        <w:ind w:firstLine="420" w:firstLineChars="200"/>
        <w:jc w:val="left"/>
        <w:rPr>
          <w:color w:val="auto"/>
          <w:kern w:val="0"/>
          <w:szCs w:val="21"/>
          <w:highlight w:val="none"/>
        </w:rPr>
      </w:pPr>
      <w:r>
        <w:rPr>
          <w:rFonts w:hAnsi="宋体"/>
          <w:color w:val="auto"/>
          <w:szCs w:val="21"/>
          <w:highlight w:val="none"/>
        </w:rPr>
        <w:t>第</w:t>
      </w:r>
      <w:r>
        <w:rPr>
          <w:color w:val="auto"/>
          <w:szCs w:val="21"/>
          <w:highlight w:val="none"/>
        </w:rPr>
        <w:t>3</w:t>
      </w:r>
      <w:r>
        <w:rPr>
          <w:rFonts w:hAnsi="宋体"/>
          <w:color w:val="auto"/>
          <w:szCs w:val="21"/>
          <w:highlight w:val="none"/>
        </w:rPr>
        <w:t>种方式：</w:t>
      </w:r>
      <w:r>
        <w:rPr>
          <w:rFonts w:hAnsi="宋体"/>
          <w:color w:val="auto"/>
          <w:kern w:val="0"/>
          <w:szCs w:val="21"/>
          <w:highlight w:val="none"/>
        </w:rPr>
        <w:t>承包人直接实施的暂估价项目</w:t>
      </w:r>
    </w:p>
    <w:p>
      <w:pPr>
        <w:spacing w:line="360" w:lineRule="auto"/>
        <w:ind w:firstLine="420" w:firstLineChars="200"/>
        <w:jc w:val="left"/>
        <w:rPr>
          <w:color w:val="auto"/>
          <w:szCs w:val="21"/>
          <w:highlight w:val="none"/>
        </w:rPr>
      </w:pPr>
      <w:r>
        <w:rPr>
          <w:rFonts w:hAnsi="宋体"/>
          <w:color w:val="auto"/>
          <w:szCs w:val="21"/>
          <w:highlight w:val="none"/>
        </w:rPr>
        <w:t>承包人直接实施的暂估价项目的约定：</w:t>
      </w:r>
      <w:r>
        <w:rPr>
          <w:color w:val="auto"/>
          <w:szCs w:val="21"/>
          <w:highlight w:val="none"/>
          <w:u w:val="single"/>
        </w:rPr>
        <w:t xml:space="preserve">   </w:t>
      </w:r>
      <w:r>
        <w:rPr>
          <w:rFonts w:hint="eastAsia"/>
          <w:color w:val="auto"/>
          <w:szCs w:val="21"/>
          <w:highlight w:val="none"/>
          <w:u w:val="single"/>
        </w:rPr>
        <w:t>另行约定</w:t>
      </w:r>
      <w:r>
        <w:rPr>
          <w:color w:val="auto"/>
          <w:szCs w:val="21"/>
          <w:highlight w:val="none"/>
          <w:u w:val="single"/>
        </w:rPr>
        <w:t xml:space="preserve">        </w:t>
      </w:r>
      <w:r>
        <w:rPr>
          <w:rFonts w:hAnsi="宋体"/>
          <w:color w:val="auto"/>
          <w:szCs w:val="21"/>
          <w:highlight w:val="none"/>
        </w:rPr>
        <w:t>。</w:t>
      </w:r>
    </w:p>
    <w:p>
      <w:pPr>
        <w:pStyle w:val="7"/>
        <w:rPr>
          <w:color w:val="auto"/>
          <w:highlight w:val="none"/>
        </w:rPr>
      </w:pPr>
      <w:bookmarkStart w:id="344" w:name="_Toc11239"/>
      <w:bookmarkStart w:id="345" w:name="_Toc491946646"/>
      <w:r>
        <w:rPr>
          <w:color w:val="auto"/>
          <w:highlight w:val="none"/>
        </w:rPr>
        <w:t xml:space="preserve">10.8 </w:t>
      </w:r>
      <w:r>
        <w:rPr>
          <w:rFonts w:hAnsi="宋体"/>
          <w:color w:val="auto"/>
          <w:highlight w:val="none"/>
        </w:rPr>
        <w:t>暂列金额</w:t>
      </w:r>
      <w:bookmarkEnd w:id="344"/>
      <w:bookmarkEnd w:id="345"/>
    </w:p>
    <w:p>
      <w:pPr>
        <w:autoSpaceDE w:val="0"/>
        <w:autoSpaceDN w:val="0"/>
        <w:adjustRightInd w:val="0"/>
        <w:spacing w:line="360" w:lineRule="auto"/>
        <w:ind w:firstLine="420" w:firstLineChars="200"/>
        <w:jc w:val="left"/>
        <w:rPr>
          <w:rFonts w:hAnsi="宋体"/>
          <w:color w:val="auto"/>
          <w:kern w:val="0"/>
          <w:szCs w:val="21"/>
          <w:highlight w:val="none"/>
        </w:rPr>
      </w:pPr>
      <w:r>
        <w:rPr>
          <w:rFonts w:hAnsi="宋体"/>
          <w:color w:val="auto"/>
          <w:kern w:val="0"/>
          <w:szCs w:val="21"/>
          <w:highlight w:val="none"/>
        </w:rPr>
        <w:t>合同当事人关于暂列金额使用的约定：</w:t>
      </w:r>
      <w:r>
        <w:rPr>
          <w:color w:val="auto"/>
          <w:szCs w:val="21"/>
          <w:highlight w:val="none"/>
          <w:u w:val="single"/>
        </w:rPr>
        <w:t xml:space="preserve">     </w:t>
      </w:r>
      <w:r>
        <w:rPr>
          <w:rFonts w:hint="eastAsia"/>
          <w:color w:val="auto"/>
          <w:szCs w:val="21"/>
          <w:highlight w:val="none"/>
          <w:u w:val="single"/>
        </w:rPr>
        <w:t>另行约定</w:t>
      </w:r>
      <w:r>
        <w:rPr>
          <w:color w:val="auto"/>
          <w:szCs w:val="21"/>
          <w:highlight w:val="none"/>
          <w:u w:val="single"/>
        </w:rPr>
        <w:t xml:space="preserve">           </w:t>
      </w:r>
      <w:r>
        <w:rPr>
          <w:rFonts w:hAnsi="宋体"/>
          <w:color w:val="auto"/>
          <w:kern w:val="0"/>
          <w:szCs w:val="21"/>
          <w:highlight w:val="none"/>
        </w:rPr>
        <w:t>。</w:t>
      </w:r>
      <w:bookmarkStart w:id="346" w:name="_Toc491946647"/>
    </w:p>
    <w:p>
      <w:pPr>
        <w:autoSpaceDE w:val="0"/>
        <w:autoSpaceDN w:val="0"/>
        <w:adjustRightInd w:val="0"/>
        <w:spacing w:line="360" w:lineRule="auto"/>
        <w:jc w:val="left"/>
        <w:rPr>
          <w:rFonts w:hAnsi="宋体"/>
          <w:b/>
          <w:bCs/>
          <w:color w:val="auto"/>
          <w:sz w:val="24"/>
          <w:szCs w:val="32"/>
          <w:highlight w:val="none"/>
        </w:rPr>
      </w:pPr>
      <w:r>
        <w:rPr>
          <w:rFonts w:hAnsi="宋体"/>
          <w:b/>
          <w:bCs/>
          <w:color w:val="auto"/>
          <w:sz w:val="24"/>
          <w:szCs w:val="32"/>
          <w:highlight w:val="none"/>
        </w:rPr>
        <w:t>11. 价格调整</w:t>
      </w:r>
      <w:bookmarkEnd w:id="346"/>
    </w:p>
    <w:p>
      <w:pPr>
        <w:pStyle w:val="7"/>
        <w:rPr>
          <w:color w:val="auto"/>
          <w:highlight w:val="none"/>
        </w:rPr>
      </w:pPr>
      <w:bookmarkStart w:id="347" w:name="_Toc491946648"/>
      <w:bookmarkStart w:id="348" w:name="_Toc32064"/>
      <w:r>
        <w:rPr>
          <w:color w:val="auto"/>
          <w:highlight w:val="none"/>
        </w:rPr>
        <w:t>11.1 市场价格波动引起的调整</w:t>
      </w:r>
      <w:bookmarkEnd w:id="347"/>
      <w:bookmarkEnd w:id="348"/>
    </w:p>
    <w:p>
      <w:pPr>
        <w:spacing w:line="360" w:lineRule="auto"/>
        <w:ind w:firstLine="420" w:firstLineChars="200"/>
        <w:jc w:val="left"/>
        <w:rPr>
          <w:color w:val="auto"/>
          <w:szCs w:val="21"/>
          <w:highlight w:val="none"/>
        </w:rPr>
      </w:pPr>
      <w:r>
        <w:rPr>
          <w:rFonts w:hAnsi="宋体"/>
          <w:color w:val="auto"/>
          <w:kern w:val="0"/>
          <w:szCs w:val="21"/>
          <w:highlight w:val="none"/>
        </w:rPr>
        <w:t>市场价格波动是否调整合同价格的约定：</w:t>
      </w:r>
      <w:r>
        <w:rPr>
          <w:color w:val="auto"/>
          <w:szCs w:val="21"/>
          <w:highlight w:val="none"/>
          <w:u w:val="single"/>
        </w:rPr>
        <w:t xml:space="preserve">  </w:t>
      </w:r>
      <w:r>
        <w:rPr>
          <w:rFonts w:hint="eastAsia"/>
          <w:color w:val="auto"/>
          <w:szCs w:val="21"/>
          <w:highlight w:val="none"/>
          <w:u w:val="single"/>
        </w:rPr>
        <w:t>可调价</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rPr>
      </w:pPr>
      <w:r>
        <w:rPr>
          <w:rFonts w:hAnsi="宋体"/>
          <w:color w:val="auto"/>
          <w:szCs w:val="21"/>
          <w:highlight w:val="none"/>
        </w:rPr>
        <w:t>因市场价格波动调整合同价格，采用以下第</w:t>
      </w:r>
      <w:r>
        <w:rPr>
          <w:color w:val="auto"/>
          <w:szCs w:val="21"/>
          <w:highlight w:val="none"/>
          <w:u w:val="single"/>
        </w:rPr>
        <w:t xml:space="preserve"> </w:t>
      </w:r>
      <w:r>
        <w:rPr>
          <w:rFonts w:hint="eastAsia"/>
          <w:color w:val="auto"/>
          <w:szCs w:val="21"/>
          <w:highlight w:val="none"/>
          <w:u w:val="single"/>
        </w:rPr>
        <w:t>3</w:t>
      </w:r>
      <w:r>
        <w:rPr>
          <w:color w:val="auto"/>
          <w:szCs w:val="21"/>
          <w:highlight w:val="none"/>
          <w:u w:val="single"/>
        </w:rPr>
        <w:t xml:space="preserve"> </w:t>
      </w:r>
      <w:r>
        <w:rPr>
          <w:rFonts w:hAnsi="宋体"/>
          <w:color w:val="auto"/>
          <w:szCs w:val="21"/>
          <w:highlight w:val="none"/>
        </w:rPr>
        <w:t>种方式对合同价格进行调整：</w:t>
      </w:r>
    </w:p>
    <w:p>
      <w:pPr>
        <w:spacing w:line="360" w:lineRule="auto"/>
        <w:ind w:firstLine="420" w:firstLineChars="200"/>
        <w:jc w:val="left"/>
        <w:rPr>
          <w:color w:val="auto"/>
          <w:szCs w:val="21"/>
          <w:highlight w:val="none"/>
        </w:rPr>
      </w:pPr>
      <w:r>
        <w:rPr>
          <w:rFonts w:hAnsi="宋体"/>
          <w:color w:val="auto"/>
          <w:szCs w:val="21"/>
          <w:highlight w:val="none"/>
        </w:rPr>
        <w:t>第</w:t>
      </w:r>
      <w:r>
        <w:rPr>
          <w:color w:val="auto"/>
          <w:szCs w:val="21"/>
          <w:highlight w:val="none"/>
        </w:rPr>
        <w:t>1</w:t>
      </w:r>
      <w:r>
        <w:rPr>
          <w:rFonts w:hAnsi="宋体"/>
          <w:color w:val="auto"/>
          <w:szCs w:val="21"/>
          <w:highlight w:val="none"/>
        </w:rPr>
        <w:t>种方式：采用价格指数进行价格调整。</w:t>
      </w:r>
    </w:p>
    <w:p>
      <w:pPr>
        <w:spacing w:line="360" w:lineRule="auto"/>
        <w:ind w:firstLine="420" w:firstLineChars="200"/>
        <w:jc w:val="left"/>
        <w:rPr>
          <w:color w:val="auto"/>
          <w:szCs w:val="21"/>
          <w:highlight w:val="none"/>
          <w:u w:val="single"/>
        </w:rPr>
      </w:pPr>
      <w:r>
        <w:rPr>
          <w:rFonts w:hAnsi="宋体"/>
          <w:color w:val="auto"/>
          <w:szCs w:val="21"/>
          <w:highlight w:val="none"/>
        </w:rPr>
        <w:t>关于各可调因子、定值和变值权重，以及基本价格指数及其来源的约定：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Ansi="宋体"/>
          <w:color w:val="auto"/>
          <w:szCs w:val="21"/>
          <w:highlight w:val="none"/>
        </w:rPr>
        <w:t>；</w:t>
      </w:r>
      <w:r>
        <w:rPr>
          <w:color w:val="auto"/>
          <w:szCs w:val="21"/>
          <w:highlight w:val="none"/>
        </w:rPr>
        <w:t xml:space="preserve">  </w:t>
      </w:r>
    </w:p>
    <w:p>
      <w:pPr>
        <w:spacing w:line="360" w:lineRule="auto"/>
        <w:ind w:firstLine="420" w:firstLineChars="200"/>
        <w:jc w:val="left"/>
        <w:rPr>
          <w:rFonts w:hAnsi="宋体"/>
          <w:color w:val="auto"/>
          <w:szCs w:val="21"/>
          <w:highlight w:val="none"/>
        </w:rPr>
      </w:pPr>
      <w:r>
        <w:rPr>
          <w:rFonts w:hAnsi="宋体"/>
          <w:color w:val="auto"/>
          <w:szCs w:val="21"/>
          <w:highlight w:val="none"/>
        </w:rPr>
        <w:t>第</w:t>
      </w:r>
      <w:r>
        <w:rPr>
          <w:color w:val="auto"/>
          <w:szCs w:val="21"/>
          <w:highlight w:val="none"/>
        </w:rPr>
        <w:t>2</w:t>
      </w:r>
      <w:r>
        <w:rPr>
          <w:rFonts w:hAnsi="宋体"/>
          <w:color w:val="auto"/>
          <w:szCs w:val="21"/>
          <w:highlight w:val="none"/>
        </w:rPr>
        <w:t>种方式：采用造价信息进行价格调整。</w:t>
      </w:r>
    </w:p>
    <w:p>
      <w:pPr>
        <w:spacing w:line="360" w:lineRule="auto"/>
        <w:ind w:firstLine="420" w:firstLineChars="200"/>
        <w:jc w:val="left"/>
        <w:rPr>
          <w:rFonts w:hAnsi="宋体"/>
          <w:color w:val="auto"/>
          <w:szCs w:val="21"/>
          <w:highlight w:val="none"/>
        </w:rPr>
      </w:pPr>
      <w:r>
        <w:rPr>
          <w:rFonts w:hAnsi="宋体"/>
          <w:color w:val="auto"/>
          <w:szCs w:val="21"/>
          <w:highlight w:val="none"/>
        </w:rPr>
        <w:t>（</w:t>
      </w:r>
      <w:r>
        <w:rPr>
          <w:color w:val="auto"/>
          <w:szCs w:val="21"/>
          <w:highlight w:val="none"/>
        </w:rPr>
        <w:t>1</w:t>
      </w:r>
      <w:r>
        <w:rPr>
          <w:rFonts w:hAnsi="宋体"/>
          <w:color w:val="auto"/>
          <w:szCs w:val="21"/>
          <w:highlight w:val="none"/>
        </w:rPr>
        <w:t>）允许调整的主要材料</w:t>
      </w:r>
      <w:r>
        <w:rPr>
          <w:rFonts w:hint="eastAsia" w:hAnsi="宋体"/>
          <w:color w:val="auto"/>
          <w:szCs w:val="21"/>
          <w:highlight w:val="none"/>
        </w:rPr>
        <w:t>和</w:t>
      </w:r>
      <w:r>
        <w:rPr>
          <w:rFonts w:hAnsi="宋体"/>
          <w:color w:val="auto"/>
          <w:szCs w:val="21"/>
          <w:highlight w:val="none"/>
        </w:rPr>
        <w:t>设备、基期价格、风险系数、投标报价：详见《承包人提供主要材料和设备一览表》。</w:t>
      </w:r>
    </w:p>
    <w:p>
      <w:pPr>
        <w:spacing w:line="360" w:lineRule="auto"/>
        <w:ind w:firstLine="420" w:firstLineChars="200"/>
        <w:jc w:val="left"/>
        <w:rPr>
          <w:rFonts w:hAnsi="宋体"/>
          <w:color w:val="auto"/>
          <w:szCs w:val="21"/>
          <w:highlight w:val="none"/>
        </w:rPr>
      </w:pPr>
      <w:r>
        <w:rPr>
          <w:rFonts w:hAnsi="宋体"/>
          <w:color w:val="auto"/>
          <w:szCs w:val="21"/>
          <w:highlight w:val="none"/>
        </w:rPr>
        <w:t>（</w:t>
      </w:r>
      <w:r>
        <w:rPr>
          <w:color w:val="auto"/>
          <w:szCs w:val="21"/>
          <w:highlight w:val="none"/>
        </w:rPr>
        <w:t>2</w:t>
      </w:r>
      <w:r>
        <w:rPr>
          <w:rFonts w:hAnsi="宋体"/>
          <w:color w:val="auto"/>
          <w:szCs w:val="21"/>
          <w:highlight w:val="none"/>
        </w:rPr>
        <w:t>）主要材料</w:t>
      </w:r>
      <w:r>
        <w:rPr>
          <w:rFonts w:hint="eastAsia" w:hAnsi="宋体"/>
          <w:color w:val="auto"/>
          <w:szCs w:val="21"/>
          <w:highlight w:val="none"/>
        </w:rPr>
        <w:t>和设备</w:t>
      </w:r>
      <w:r>
        <w:rPr>
          <w:rFonts w:hAnsi="宋体"/>
          <w:color w:val="auto"/>
          <w:szCs w:val="21"/>
          <w:highlight w:val="none"/>
        </w:rPr>
        <w:t>确认价：</w:t>
      </w:r>
    </w:p>
    <w:p>
      <w:pPr>
        <w:spacing w:line="360" w:lineRule="auto"/>
        <w:ind w:firstLine="420" w:firstLineChars="200"/>
        <w:jc w:val="left"/>
        <w:rPr>
          <w:color w:val="auto"/>
          <w:szCs w:val="21"/>
          <w:highlight w:val="none"/>
        </w:rPr>
      </w:pPr>
      <w:r>
        <w:rPr>
          <w:rFonts w:hAnsi="宋体"/>
          <w:color w:val="auto"/>
          <w:szCs w:val="21"/>
          <w:highlight w:val="none"/>
        </w:rPr>
        <w:t>按施工期间《</w:t>
      </w:r>
      <w:r>
        <w:rPr>
          <w:color w:val="auto"/>
          <w:szCs w:val="21"/>
          <w:highlight w:val="none"/>
          <w:u w:val="single"/>
        </w:rPr>
        <w:t xml:space="preserve"> </w:t>
      </w:r>
      <w:r>
        <w:rPr>
          <w:rFonts w:hint="eastAsia"/>
          <w:color w:val="auto"/>
          <w:szCs w:val="21"/>
          <w:highlight w:val="none"/>
          <w:u w:val="single"/>
        </w:rPr>
        <w:t>北海</w:t>
      </w:r>
      <w:r>
        <w:rPr>
          <w:color w:val="auto"/>
          <w:szCs w:val="21"/>
          <w:highlight w:val="none"/>
          <w:u w:val="single"/>
        </w:rPr>
        <w:t xml:space="preserve"> </w:t>
      </w:r>
      <w:r>
        <w:rPr>
          <w:rFonts w:hAnsi="宋体"/>
          <w:color w:val="auto"/>
          <w:szCs w:val="21"/>
          <w:highlight w:val="none"/>
        </w:rPr>
        <w:t>市建设工程造价信息》加权平均计算，信息价没有的按通用条款规定确定。</w:t>
      </w:r>
    </w:p>
    <w:p>
      <w:pPr>
        <w:spacing w:line="360" w:lineRule="auto"/>
        <w:ind w:firstLine="420" w:firstLineChars="200"/>
        <w:jc w:val="left"/>
        <w:rPr>
          <w:rFonts w:hAnsi="宋体"/>
          <w:color w:val="auto"/>
          <w:szCs w:val="21"/>
          <w:highlight w:val="none"/>
        </w:rPr>
      </w:pPr>
      <w:r>
        <w:rPr>
          <w:rFonts w:hAnsi="宋体"/>
          <w:color w:val="auto"/>
          <w:szCs w:val="21"/>
          <w:highlight w:val="none"/>
        </w:rPr>
        <w:t>（</w:t>
      </w:r>
      <w:r>
        <w:rPr>
          <w:color w:val="auto"/>
          <w:szCs w:val="21"/>
          <w:highlight w:val="none"/>
        </w:rPr>
        <w:t>3</w:t>
      </w:r>
      <w:r>
        <w:rPr>
          <w:rFonts w:hAnsi="宋体"/>
          <w:color w:val="auto"/>
          <w:szCs w:val="21"/>
          <w:highlight w:val="none"/>
        </w:rPr>
        <w:t>）价差计算方法：</w:t>
      </w:r>
    </w:p>
    <w:p>
      <w:pPr>
        <w:spacing w:line="360" w:lineRule="auto"/>
        <w:ind w:firstLine="420" w:firstLineChars="200"/>
        <w:jc w:val="left"/>
        <w:rPr>
          <w:rFonts w:hAnsi="宋体"/>
          <w:color w:val="auto"/>
          <w:szCs w:val="21"/>
          <w:highlight w:val="none"/>
        </w:rPr>
      </w:pPr>
      <w:r>
        <w:rPr>
          <w:rFonts w:hAnsi="宋体"/>
          <w:color w:val="auto"/>
          <w:szCs w:val="21"/>
          <w:highlight w:val="none"/>
        </w:rPr>
        <w:t>①《承包人提供主要材料和设备一览表》中载明的材料投标报价低于基准价格的：合同履行期间材料</w:t>
      </w:r>
      <w:r>
        <w:rPr>
          <w:rFonts w:hint="eastAsia" w:hAnsi="宋体"/>
          <w:color w:val="auto"/>
          <w:szCs w:val="21"/>
          <w:highlight w:val="none"/>
        </w:rPr>
        <w:t>和设备</w:t>
      </w:r>
      <w:r>
        <w:rPr>
          <w:rFonts w:hAnsi="宋体"/>
          <w:color w:val="auto"/>
          <w:szCs w:val="21"/>
          <w:highlight w:val="none"/>
        </w:rPr>
        <w:t>单价涨幅以基准价格为基础超过约定的风险范围时，或材料</w:t>
      </w:r>
      <w:r>
        <w:rPr>
          <w:rFonts w:hint="eastAsia" w:hAnsi="宋体"/>
          <w:color w:val="auto"/>
          <w:szCs w:val="21"/>
          <w:highlight w:val="none"/>
        </w:rPr>
        <w:t>和设备</w:t>
      </w:r>
      <w:r>
        <w:rPr>
          <w:rFonts w:hAnsi="宋体"/>
          <w:color w:val="auto"/>
          <w:szCs w:val="21"/>
          <w:highlight w:val="none"/>
        </w:rPr>
        <w:t>单价跌幅以投标报价为基础超过约定的风险范围时，其超过部分据实调整。</w:t>
      </w:r>
    </w:p>
    <w:p>
      <w:pPr>
        <w:spacing w:line="360" w:lineRule="auto"/>
        <w:ind w:firstLine="420" w:firstLineChars="200"/>
        <w:jc w:val="left"/>
        <w:rPr>
          <w:rFonts w:hAnsi="宋体"/>
          <w:color w:val="auto"/>
          <w:szCs w:val="21"/>
          <w:highlight w:val="none"/>
        </w:rPr>
      </w:pPr>
      <w:r>
        <w:rPr>
          <w:rFonts w:hAnsi="宋体"/>
          <w:color w:val="auto"/>
          <w:szCs w:val="21"/>
          <w:highlight w:val="none"/>
        </w:rPr>
        <w:t>②承包人在《承包人提供主要材料和设备一览表》中载明的材料</w:t>
      </w:r>
      <w:r>
        <w:rPr>
          <w:rFonts w:hint="eastAsia" w:hAnsi="宋体"/>
          <w:color w:val="auto"/>
          <w:szCs w:val="21"/>
          <w:highlight w:val="none"/>
        </w:rPr>
        <w:t>和设备</w:t>
      </w:r>
      <w:r>
        <w:rPr>
          <w:rFonts w:hAnsi="宋体"/>
          <w:color w:val="auto"/>
          <w:szCs w:val="21"/>
          <w:highlight w:val="none"/>
        </w:rPr>
        <w:t>投标报价高于基准价格的：专用合同条款合同履行期间材料</w:t>
      </w:r>
      <w:r>
        <w:rPr>
          <w:rFonts w:hint="eastAsia" w:hAnsi="宋体"/>
          <w:color w:val="auto"/>
          <w:szCs w:val="21"/>
          <w:highlight w:val="none"/>
        </w:rPr>
        <w:t>和设备</w:t>
      </w:r>
      <w:r>
        <w:rPr>
          <w:rFonts w:hAnsi="宋体"/>
          <w:color w:val="auto"/>
          <w:szCs w:val="21"/>
          <w:highlight w:val="none"/>
        </w:rPr>
        <w:t>单价跌幅以基准价格为基础超过约定的风险范围时，材料</w:t>
      </w:r>
      <w:r>
        <w:rPr>
          <w:rFonts w:hint="eastAsia" w:hAnsi="宋体"/>
          <w:color w:val="auto"/>
          <w:szCs w:val="21"/>
          <w:highlight w:val="none"/>
        </w:rPr>
        <w:t>和设备</w:t>
      </w:r>
      <w:r>
        <w:rPr>
          <w:rFonts w:hAnsi="宋体"/>
          <w:color w:val="auto"/>
          <w:szCs w:val="21"/>
          <w:highlight w:val="none"/>
        </w:rPr>
        <w:t>单价涨幅以投标报价为基础超过约定的风险范围时，其超过部分据实调整。</w:t>
      </w:r>
    </w:p>
    <w:p>
      <w:pPr>
        <w:spacing w:line="360" w:lineRule="auto"/>
        <w:ind w:firstLine="420" w:firstLineChars="200"/>
        <w:jc w:val="left"/>
        <w:rPr>
          <w:color w:val="auto"/>
          <w:szCs w:val="21"/>
          <w:highlight w:val="none"/>
        </w:rPr>
      </w:pPr>
      <w:r>
        <w:rPr>
          <w:rFonts w:hAnsi="宋体"/>
          <w:color w:val="auto"/>
          <w:szCs w:val="21"/>
          <w:highlight w:val="none"/>
        </w:rPr>
        <w:t>③承包人在《承包人提供主要材料和设备一览表》中载明的材料</w:t>
      </w:r>
      <w:r>
        <w:rPr>
          <w:rFonts w:hint="eastAsia" w:hAnsi="宋体"/>
          <w:color w:val="auto"/>
          <w:szCs w:val="21"/>
          <w:highlight w:val="none"/>
        </w:rPr>
        <w:t>和设备</w:t>
      </w:r>
      <w:r>
        <w:rPr>
          <w:rFonts w:hAnsi="宋体"/>
          <w:color w:val="auto"/>
          <w:szCs w:val="21"/>
          <w:highlight w:val="none"/>
        </w:rPr>
        <w:t>单价等于基准单价的：合同履行期间材料</w:t>
      </w:r>
      <w:r>
        <w:rPr>
          <w:rFonts w:hint="eastAsia" w:hAnsi="宋体"/>
          <w:color w:val="auto"/>
          <w:szCs w:val="21"/>
          <w:highlight w:val="none"/>
        </w:rPr>
        <w:t>和 设备</w:t>
      </w:r>
      <w:r>
        <w:rPr>
          <w:rFonts w:hAnsi="宋体"/>
          <w:color w:val="auto"/>
          <w:szCs w:val="21"/>
          <w:highlight w:val="none"/>
        </w:rPr>
        <w:t>单价涨跌幅以基准单价为基础超过约定的风险范围时，其超过部分据实调整。</w:t>
      </w:r>
    </w:p>
    <w:p>
      <w:pPr>
        <w:spacing w:line="360" w:lineRule="auto"/>
        <w:ind w:firstLine="645"/>
        <w:jc w:val="left"/>
        <w:rPr>
          <w:color w:val="auto"/>
          <w:szCs w:val="21"/>
          <w:highlight w:val="none"/>
          <w:u w:val="single"/>
        </w:rPr>
      </w:pPr>
      <w:r>
        <w:rPr>
          <w:rFonts w:hAnsi="宋体"/>
          <w:color w:val="auto"/>
          <w:szCs w:val="21"/>
          <w:highlight w:val="none"/>
        </w:rPr>
        <w:t>第</w:t>
      </w:r>
      <w:r>
        <w:rPr>
          <w:rFonts w:hint="eastAsia" w:hAnsi="宋体"/>
          <w:color w:val="auto"/>
          <w:szCs w:val="21"/>
          <w:highlight w:val="none"/>
        </w:rPr>
        <w:t>3</w:t>
      </w:r>
      <w:r>
        <w:rPr>
          <w:rFonts w:hAnsi="宋体"/>
          <w:color w:val="auto"/>
          <w:szCs w:val="21"/>
          <w:highlight w:val="none"/>
        </w:rPr>
        <w:t>种方</w:t>
      </w:r>
      <w:r>
        <w:rPr>
          <w:rFonts w:hint="eastAsia" w:hAnsi="宋体"/>
          <w:color w:val="auto"/>
          <w:szCs w:val="21"/>
          <w:highlight w:val="none"/>
        </w:rPr>
        <w:t>式</w:t>
      </w:r>
      <w:r>
        <w:rPr>
          <w:rFonts w:hAnsi="宋体"/>
          <w:color w:val="auto"/>
          <w:szCs w:val="21"/>
          <w:highlight w:val="none"/>
        </w:rPr>
        <w:t>：</w:t>
      </w:r>
      <w:r>
        <w:rPr>
          <w:color w:val="auto"/>
          <w:szCs w:val="21"/>
          <w:highlight w:val="none"/>
          <w:u w:val="single"/>
        </w:rPr>
        <w:t xml:space="preserve">   施工期间主要材料平均价以施工期间《北海工程造价信息》公布的信息价平均值与预算控制价采用的材料价偏差在±5%内不调整,调整超出部份仅计差额及相应的税金（分部分项工程量清单（单价清单）和图纸未含项目除外</w:t>
      </w:r>
      <w:r>
        <w:rPr>
          <w:rFonts w:hint="eastAsia"/>
          <w:color w:val="auto"/>
          <w:szCs w:val="21"/>
          <w:highlight w:val="none"/>
          <w:u w:val="single"/>
        </w:rPr>
        <w:t xml:space="preserve"> 。</w:t>
      </w:r>
      <w:r>
        <w:rPr>
          <w:color w:val="auto"/>
          <w:szCs w:val="21"/>
          <w:highlight w:val="none"/>
          <w:u w:val="single"/>
        </w:rPr>
        <w:t xml:space="preserve"> </w:t>
      </w:r>
    </w:p>
    <w:p>
      <w:pPr>
        <w:spacing w:line="360" w:lineRule="auto"/>
        <w:jc w:val="left"/>
        <w:rPr>
          <w:rFonts w:hAnsi="宋体"/>
          <w:b/>
          <w:bCs/>
          <w:color w:val="auto"/>
          <w:sz w:val="24"/>
          <w:szCs w:val="32"/>
          <w:highlight w:val="none"/>
        </w:rPr>
      </w:pPr>
      <w:bookmarkStart w:id="349" w:name="_Toc491946649"/>
      <w:r>
        <w:rPr>
          <w:rFonts w:hAnsi="宋体"/>
          <w:b/>
          <w:bCs/>
          <w:color w:val="auto"/>
          <w:sz w:val="24"/>
          <w:szCs w:val="32"/>
          <w:highlight w:val="none"/>
        </w:rPr>
        <w:t>12. 合同价格、计量与支付</w:t>
      </w:r>
      <w:bookmarkEnd w:id="349"/>
    </w:p>
    <w:p>
      <w:pPr>
        <w:pStyle w:val="7"/>
        <w:rPr>
          <w:color w:val="auto"/>
          <w:highlight w:val="none"/>
        </w:rPr>
      </w:pPr>
      <w:bookmarkStart w:id="350" w:name="_Toc491946650"/>
      <w:bookmarkStart w:id="351" w:name="_Toc6998"/>
      <w:r>
        <w:rPr>
          <w:color w:val="auto"/>
          <w:highlight w:val="none"/>
        </w:rPr>
        <w:t xml:space="preserve">12.1 </w:t>
      </w:r>
      <w:r>
        <w:rPr>
          <w:rFonts w:hAnsi="宋体"/>
          <w:color w:val="auto"/>
          <w:highlight w:val="none"/>
        </w:rPr>
        <w:t>合同价格形式</w:t>
      </w:r>
      <w:bookmarkEnd w:id="350"/>
      <w:bookmarkEnd w:id="351"/>
    </w:p>
    <w:p>
      <w:pPr>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本工程采用</w:t>
      </w:r>
      <w:r>
        <w:rPr>
          <w:rFonts w:hint="eastAsia" w:hAnsi="宋体"/>
          <w:color w:val="auto"/>
          <w:szCs w:val="21"/>
          <w:highlight w:val="none"/>
          <w:u w:val="single"/>
        </w:rPr>
        <w:t xml:space="preserve">  固定综合单价   </w:t>
      </w:r>
      <w:r>
        <w:rPr>
          <w:rFonts w:hint="eastAsia" w:hAnsi="宋体"/>
          <w:color w:val="auto"/>
          <w:szCs w:val="21"/>
          <w:highlight w:val="none"/>
        </w:rPr>
        <w:t>合同价格形式。</w:t>
      </w:r>
    </w:p>
    <w:p>
      <w:pPr>
        <w:spacing w:line="360" w:lineRule="auto"/>
        <w:ind w:firstLine="420" w:firstLineChars="200"/>
        <w:jc w:val="left"/>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w:t>
      </w:r>
      <w:r>
        <w:rPr>
          <w:rFonts w:hAnsi="宋体"/>
          <w:color w:val="auto"/>
          <w:szCs w:val="21"/>
          <w:highlight w:val="none"/>
        </w:rPr>
        <w:t>单价合同。</w:t>
      </w:r>
    </w:p>
    <w:p>
      <w:pPr>
        <w:spacing w:line="360" w:lineRule="auto"/>
        <w:ind w:firstLine="420" w:firstLineChars="200"/>
        <w:jc w:val="left"/>
        <w:rPr>
          <w:rFonts w:hAnsi="宋体"/>
          <w:color w:val="auto"/>
          <w:szCs w:val="21"/>
          <w:highlight w:val="none"/>
        </w:rPr>
      </w:pPr>
      <w:r>
        <w:rPr>
          <w:rFonts w:hint="eastAsia" w:hAnsi="宋体"/>
          <w:color w:val="auto"/>
          <w:szCs w:val="21"/>
          <w:highlight w:val="none"/>
        </w:rPr>
        <w:t>单价合同</w:t>
      </w:r>
      <w:r>
        <w:rPr>
          <w:rFonts w:hAnsi="宋体"/>
          <w:color w:val="auto"/>
          <w:szCs w:val="21"/>
          <w:highlight w:val="none"/>
        </w:rPr>
        <w:t>采用综合单价方式确定</w:t>
      </w:r>
      <w:r>
        <w:rPr>
          <w:rFonts w:hint="eastAsia" w:hAnsi="宋体"/>
          <w:color w:val="auto"/>
          <w:szCs w:val="21"/>
          <w:highlight w:val="none"/>
        </w:rPr>
        <w:t>，工程量按实际结算</w:t>
      </w:r>
      <w:r>
        <w:rPr>
          <w:rFonts w:hAnsi="宋体"/>
          <w:color w:val="auto"/>
          <w:szCs w:val="21"/>
          <w:highlight w:val="none"/>
        </w:rPr>
        <w:t>。</w:t>
      </w:r>
    </w:p>
    <w:p>
      <w:pPr>
        <w:spacing w:line="360" w:lineRule="auto"/>
        <w:ind w:firstLine="420" w:firstLineChars="200"/>
        <w:jc w:val="left"/>
        <w:rPr>
          <w:rFonts w:hAnsi="宋体"/>
          <w:color w:val="auto"/>
          <w:szCs w:val="21"/>
          <w:highlight w:val="none"/>
        </w:rPr>
      </w:pPr>
      <w:r>
        <w:rPr>
          <w:rFonts w:hAnsi="宋体"/>
          <w:color w:val="auto"/>
          <w:szCs w:val="21"/>
          <w:highlight w:val="none"/>
        </w:rPr>
        <w:t>综合单价包含的风险范围：</w:t>
      </w:r>
      <w:r>
        <w:rPr>
          <w:rFonts w:hAnsi="宋体"/>
          <w:color w:val="auto"/>
          <w:szCs w:val="21"/>
          <w:highlight w:val="none"/>
          <w:u w:val="single"/>
        </w:rPr>
        <w:t>除工程变更、</w:t>
      </w:r>
      <w:r>
        <w:rPr>
          <w:rFonts w:hint="eastAsia" w:hAnsi="宋体"/>
          <w:color w:val="auto"/>
          <w:szCs w:val="21"/>
          <w:highlight w:val="none"/>
          <w:u w:val="single"/>
        </w:rPr>
        <w:t>项目特征不符、</w:t>
      </w:r>
      <w:r>
        <w:rPr>
          <w:rFonts w:hAnsi="宋体"/>
          <w:color w:val="auto"/>
          <w:szCs w:val="21"/>
          <w:highlight w:val="none"/>
          <w:u w:val="single"/>
        </w:rPr>
        <w:t>政策性调整、《承包人提供主要材料和设备一览表》约定的材料、设备价格变动风险以外因素。</w:t>
      </w:r>
    </w:p>
    <w:p>
      <w:pPr>
        <w:pStyle w:val="11"/>
        <w:spacing w:line="360" w:lineRule="auto"/>
        <w:ind w:firstLine="441" w:firstLineChars="210"/>
        <w:rPr>
          <w:rFonts w:ascii="Times New Roman" w:hAnsi="宋体"/>
          <w:color w:val="auto"/>
          <w:sz w:val="21"/>
          <w:szCs w:val="21"/>
          <w:highlight w:val="none"/>
        </w:rPr>
      </w:pPr>
      <w:r>
        <w:rPr>
          <w:rFonts w:ascii="Times New Roman" w:hAnsi="宋体"/>
          <w:color w:val="auto"/>
          <w:sz w:val="21"/>
          <w:szCs w:val="21"/>
          <w:highlight w:val="none"/>
        </w:rPr>
        <w:t>风险范围以外合同价格的调整方法：</w:t>
      </w:r>
    </w:p>
    <w:p>
      <w:pPr>
        <w:pStyle w:val="11"/>
        <w:spacing w:line="360" w:lineRule="auto"/>
        <w:ind w:firstLine="441" w:firstLineChars="210"/>
        <w:rPr>
          <w:rFonts w:ascii="Times New Roman" w:hAnsi="宋体"/>
          <w:color w:val="auto"/>
          <w:sz w:val="21"/>
          <w:szCs w:val="21"/>
          <w:highlight w:val="none"/>
        </w:rPr>
      </w:pPr>
      <w:r>
        <w:rPr>
          <w:rFonts w:ascii="Times New Roman" w:hAnsi="宋体"/>
          <w:color w:val="auto"/>
          <w:sz w:val="21"/>
          <w:szCs w:val="21"/>
          <w:highlight w:val="none"/>
        </w:rPr>
        <w:t>①工程变更：按10.4.1变更估价原则的约定调整。</w:t>
      </w:r>
    </w:p>
    <w:p>
      <w:pPr>
        <w:pStyle w:val="11"/>
        <w:spacing w:line="360" w:lineRule="auto"/>
        <w:ind w:firstLine="441" w:firstLineChars="210"/>
        <w:rPr>
          <w:rFonts w:ascii="Times New Roman" w:hAnsi="宋体"/>
          <w:color w:val="auto"/>
          <w:sz w:val="21"/>
          <w:szCs w:val="21"/>
          <w:highlight w:val="none"/>
        </w:rPr>
      </w:pPr>
      <w:r>
        <w:rPr>
          <w:rFonts w:ascii="Times New Roman" w:hAnsi="宋体"/>
          <w:color w:val="auto"/>
          <w:sz w:val="21"/>
          <w:szCs w:val="21"/>
          <w:highlight w:val="none"/>
        </w:rPr>
        <w:t>②政策性调整：按自治区建设行政主管部门颁布的文件执行。</w:t>
      </w:r>
    </w:p>
    <w:p>
      <w:pPr>
        <w:pStyle w:val="11"/>
        <w:spacing w:line="360" w:lineRule="auto"/>
        <w:ind w:firstLine="441" w:firstLineChars="210"/>
        <w:rPr>
          <w:rFonts w:ascii="Times New Roman" w:hAnsi="宋体"/>
          <w:color w:val="auto"/>
          <w:sz w:val="21"/>
          <w:szCs w:val="21"/>
          <w:highlight w:val="none"/>
        </w:rPr>
      </w:pPr>
      <w:r>
        <w:rPr>
          <w:rFonts w:ascii="Times New Roman" w:hAnsi="宋体"/>
          <w:color w:val="auto"/>
          <w:sz w:val="21"/>
          <w:szCs w:val="21"/>
          <w:highlight w:val="none"/>
        </w:rPr>
        <w:t>③材料价格风险：按11.1的约定调整。</w:t>
      </w:r>
    </w:p>
    <w:p>
      <w:pPr>
        <w:spacing w:line="360" w:lineRule="auto"/>
        <w:ind w:firstLine="420" w:firstLineChars="200"/>
        <w:jc w:val="left"/>
        <w:rPr>
          <w:rFonts w:hAnsi="宋体"/>
          <w:color w:val="auto"/>
          <w:szCs w:val="21"/>
          <w:highlight w:val="none"/>
        </w:rPr>
      </w:pPr>
      <w:r>
        <w:rPr>
          <w:rFonts w:hAnsi="宋体"/>
          <w:color w:val="auto"/>
          <w:szCs w:val="21"/>
          <w:highlight w:val="none"/>
        </w:rPr>
        <w:t>④其它：</w:t>
      </w:r>
      <w:r>
        <w:rPr>
          <w:rFonts w:hAnsi="宋体"/>
          <w:color w:val="auto"/>
          <w:szCs w:val="21"/>
          <w:highlight w:val="none"/>
          <w:u w:val="single"/>
        </w:rPr>
        <w:t xml:space="preserve">       </w:t>
      </w:r>
      <w:r>
        <w:rPr>
          <w:rFonts w:hint="eastAsia" w:hAnsi="宋体"/>
          <w:color w:val="auto"/>
          <w:szCs w:val="21"/>
          <w:highlight w:val="none"/>
          <w:u w:val="single"/>
        </w:rPr>
        <w:t>无</w:t>
      </w:r>
      <w:r>
        <w:rPr>
          <w:rFonts w:hAnsi="宋体"/>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w:t>
      </w:r>
      <w:r>
        <w:rPr>
          <w:rFonts w:hAnsi="宋体"/>
          <w:color w:val="auto"/>
          <w:szCs w:val="21"/>
          <w:highlight w:val="none"/>
        </w:rPr>
        <w:t>总价合同。</w:t>
      </w:r>
    </w:p>
    <w:p>
      <w:pPr>
        <w:spacing w:line="360" w:lineRule="auto"/>
        <w:ind w:firstLine="420" w:firstLineChars="200"/>
        <w:jc w:val="left"/>
        <w:rPr>
          <w:rFonts w:hAnsi="宋体"/>
          <w:color w:val="auto"/>
          <w:szCs w:val="21"/>
          <w:highlight w:val="none"/>
        </w:rPr>
      </w:pPr>
      <w:r>
        <w:rPr>
          <w:rFonts w:hAnsi="宋体"/>
          <w:color w:val="auto"/>
          <w:szCs w:val="21"/>
          <w:highlight w:val="none"/>
        </w:rPr>
        <w:t>总价包含的风险范围：</w:t>
      </w:r>
      <w:r>
        <w:rPr>
          <w:rFonts w:hAnsi="宋体"/>
          <w:color w:val="auto"/>
          <w:szCs w:val="21"/>
          <w:highlight w:val="none"/>
          <w:u w:val="single"/>
        </w:rPr>
        <w:t xml:space="preserve">          </w:t>
      </w:r>
      <w:r>
        <w:rPr>
          <w:rFonts w:hint="eastAsia" w:hAnsi="宋体"/>
          <w:color w:val="auto"/>
          <w:szCs w:val="21"/>
          <w:highlight w:val="none"/>
          <w:u w:val="single"/>
        </w:rPr>
        <w:t>无</w:t>
      </w: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Ansi="宋体"/>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highlight w:val="none"/>
        </w:rPr>
      </w:pPr>
      <w:r>
        <w:rPr>
          <w:color w:val="auto"/>
          <w:highlight w:val="none"/>
        </w:rPr>
        <w:t>风险范围以外合同价格的调整方法：</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pPr>
        <w:spacing w:line="360" w:lineRule="auto"/>
        <w:ind w:firstLine="420" w:firstLineChars="200"/>
        <w:jc w:val="left"/>
        <w:rPr>
          <w:color w:val="auto"/>
          <w:highlight w:val="none"/>
        </w:rPr>
      </w:pPr>
      <w:r>
        <w:rPr>
          <w:rFonts w:hint="eastAsia"/>
          <w:color w:val="auto"/>
          <w:highlight w:val="none"/>
        </w:rPr>
        <w:t>（</w:t>
      </w:r>
      <w:r>
        <w:rPr>
          <w:color w:val="auto"/>
          <w:highlight w:val="none"/>
        </w:rPr>
        <w:t>3</w:t>
      </w:r>
      <w:r>
        <w:rPr>
          <w:rFonts w:hint="eastAsia"/>
          <w:color w:val="auto"/>
          <w:highlight w:val="none"/>
        </w:rPr>
        <w:t>）</w:t>
      </w:r>
      <w:r>
        <w:rPr>
          <w:color w:val="auto"/>
          <w:highlight w:val="none"/>
        </w:rPr>
        <w:t>其他价格方式：</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w:t>
      </w:r>
    </w:p>
    <w:p>
      <w:pPr>
        <w:pStyle w:val="7"/>
        <w:rPr>
          <w:color w:val="auto"/>
          <w:highlight w:val="none"/>
        </w:rPr>
      </w:pPr>
      <w:bookmarkStart w:id="352" w:name="_Toc22818"/>
      <w:bookmarkStart w:id="353" w:name="_Toc491946651"/>
      <w:r>
        <w:rPr>
          <w:color w:val="auto"/>
          <w:highlight w:val="none"/>
        </w:rPr>
        <w:t xml:space="preserve">12.2 </w:t>
      </w:r>
      <w:r>
        <w:rPr>
          <w:rFonts w:hAnsi="宋体"/>
          <w:color w:val="auto"/>
          <w:highlight w:val="none"/>
        </w:rPr>
        <w:t>预付款</w:t>
      </w:r>
      <w:bookmarkEnd w:id="352"/>
      <w:bookmarkEnd w:id="353"/>
    </w:p>
    <w:p>
      <w:pPr>
        <w:spacing w:line="360" w:lineRule="auto"/>
        <w:ind w:firstLine="420" w:firstLineChars="200"/>
        <w:jc w:val="left"/>
        <w:rPr>
          <w:color w:val="auto"/>
          <w:szCs w:val="21"/>
          <w:highlight w:val="none"/>
        </w:rPr>
      </w:pPr>
      <w:r>
        <w:rPr>
          <w:color w:val="auto"/>
          <w:szCs w:val="21"/>
          <w:highlight w:val="none"/>
        </w:rPr>
        <w:t xml:space="preserve">12.2.1 </w:t>
      </w:r>
      <w:r>
        <w:rPr>
          <w:rFonts w:hAnsi="宋体"/>
          <w:color w:val="auto"/>
          <w:szCs w:val="21"/>
          <w:highlight w:val="none"/>
        </w:rPr>
        <w:t>预付款的支付</w:t>
      </w:r>
    </w:p>
    <w:p>
      <w:pPr>
        <w:pStyle w:val="7"/>
        <w:ind w:firstLine="420" w:firstLineChars="200"/>
        <w:rPr>
          <w:rFonts w:ascii="Times New Roman" w:hAnsi="宋体" w:eastAsia="宋体" w:cs="Times New Roman"/>
          <w:b w:val="0"/>
          <w:bCs w:val="0"/>
          <w:color w:val="auto"/>
          <w:kern w:val="2"/>
          <w:sz w:val="21"/>
          <w:szCs w:val="21"/>
          <w:highlight w:val="none"/>
          <w:lang w:val="en-US" w:eastAsia="zh-CN" w:bidi="ar-SA"/>
        </w:rPr>
      </w:pPr>
      <w:bookmarkStart w:id="354" w:name="_Toc491946652"/>
      <w:bookmarkStart w:id="355" w:name="_Toc11334"/>
      <w:r>
        <w:rPr>
          <w:rFonts w:hint="eastAsia" w:ascii="Times New Roman" w:hAnsi="宋体" w:eastAsia="宋体" w:cs="Times New Roman"/>
          <w:b w:val="0"/>
          <w:bCs w:val="0"/>
          <w:color w:val="auto"/>
          <w:kern w:val="2"/>
          <w:sz w:val="21"/>
          <w:szCs w:val="21"/>
          <w:highlight w:val="none"/>
          <w:lang w:val="en-US" w:eastAsia="zh-CN" w:bidi="ar-SA"/>
        </w:rPr>
        <w:t>1.预付款的支付</w:t>
      </w:r>
    </w:p>
    <w:p>
      <w:pPr>
        <w:pStyle w:val="7"/>
        <w:ind w:firstLine="420" w:firstLineChars="200"/>
        <w:rPr>
          <w:rFonts w:ascii="Times New Roman" w:hAnsi="宋体" w:eastAsia="宋体" w:cs="Times New Roman"/>
          <w:b w:val="0"/>
          <w:bCs w:val="0"/>
          <w:color w:val="auto"/>
          <w:kern w:val="2"/>
          <w:sz w:val="21"/>
          <w:szCs w:val="21"/>
          <w:highlight w:val="none"/>
          <w:lang w:val="en-US" w:eastAsia="zh-CN" w:bidi="ar-SA"/>
        </w:rPr>
      </w:pPr>
      <w:r>
        <w:rPr>
          <w:rFonts w:hint="eastAsia" w:ascii="Times New Roman" w:hAnsi="宋体" w:eastAsia="宋体" w:cs="Times New Roman"/>
          <w:b w:val="0"/>
          <w:bCs w:val="0"/>
          <w:color w:val="auto"/>
          <w:kern w:val="2"/>
          <w:sz w:val="21"/>
          <w:szCs w:val="21"/>
          <w:highlight w:val="none"/>
          <w:lang w:val="en-US" w:eastAsia="zh-CN" w:bidi="ar-SA"/>
        </w:rPr>
        <w:t>预付款支付比例或金额：</w:t>
      </w:r>
      <w:r>
        <w:rPr>
          <w:rFonts w:hint="eastAsia" w:ascii="Times New Roman" w:hAnsi="宋体" w:eastAsia="宋体" w:cs="Times New Roman"/>
          <w:b w:val="0"/>
          <w:bCs w:val="0"/>
          <w:color w:val="auto"/>
          <w:kern w:val="2"/>
          <w:sz w:val="21"/>
          <w:szCs w:val="21"/>
          <w:highlight w:val="none"/>
          <w:u w:val="single"/>
          <w:lang w:val="en-US" w:eastAsia="zh-CN" w:bidi="ar-SA"/>
        </w:rPr>
        <w:t>合同价的</w:t>
      </w:r>
      <w:r>
        <w:rPr>
          <w:rFonts w:hint="eastAsia" w:hAnsi="宋体" w:eastAsia="宋体" w:cs="Times New Roman"/>
          <w:b w:val="0"/>
          <w:bCs w:val="0"/>
          <w:color w:val="auto"/>
          <w:kern w:val="2"/>
          <w:sz w:val="21"/>
          <w:szCs w:val="21"/>
          <w:highlight w:val="none"/>
          <w:u w:val="single"/>
          <w:lang w:val="en-US" w:eastAsia="zh-CN" w:bidi="ar-SA"/>
        </w:rPr>
        <w:t>5</w:t>
      </w:r>
      <w:r>
        <w:rPr>
          <w:rFonts w:hint="eastAsia" w:ascii="Times New Roman" w:hAnsi="宋体" w:eastAsia="宋体" w:cs="Times New Roman"/>
          <w:b w:val="0"/>
          <w:bCs w:val="0"/>
          <w:color w:val="auto"/>
          <w:kern w:val="2"/>
          <w:sz w:val="21"/>
          <w:szCs w:val="21"/>
          <w:highlight w:val="none"/>
          <w:u w:val="single"/>
          <w:lang w:val="en-US" w:eastAsia="zh-CN" w:bidi="ar-SA"/>
        </w:rPr>
        <w:t>0%</w:t>
      </w:r>
      <w:r>
        <w:rPr>
          <w:rFonts w:ascii="Times New Roman" w:hAnsi="宋体" w:eastAsia="宋体" w:cs="Times New Roman"/>
          <w:b w:val="0"/>
          <w:bCs w:val="0"/>
          <w:color w:val="auto"/>
          <w:kern w:val="2"/>
          <w:sz w:val="21"/>
          <w:szCs w:val="21"/>
          <w:highlight w:val="none"/>
          <w:u w:val="single"/>
          <w:lang w:val="en-US" w:eastAsia="zh-CN" w:bidi="ar-SA"/>
        </w:rPr>
        <w:t xml:space="preserve"> </w:t>
      </w:r>
      <w:r>
        <w:rPr>
          <w:rFonts w:hint="eastAsia" w:ascii="Times New Roman" w:hAnsi="宋体" w:eastAsia="宋体" w:cs="Times New Roman"/>
          <w:b w:val="0"/>
          <w:bCs w:val="0"/>
          <w:color w:val="auto"/>
          <w:kern w:val="2"/>
          <w:sz w:val="21"/>
          <w:szCs w:val="21"/>
          <w:highlight w:val="none"/>
          <w:u w:val="single"/>
          <w:lang w:val="en-US" w:eastAsia="zh-CN" w:bidi="ar-SA"/>
        </w:rPr>
        <w:t xml:space="preserve">  </w:t>
      </w:r>
      <w:r>
        <w:rPr>
          <w:rFonts w:ascii="Times New Roman" w:hAnsi="宋体" w:eastAsia="宋体" w:cs="Times New Roman"/>
          <w:b w:val="0"/>
          <w:bCs w:val="0"/>
          <w:color w:val="auto"/>
          <w:kern w:val="2"/>
          <w:sz w:val="21"/>
          <w:szCs w:val="21"/>
          <w:highlight w:val="none"/>
          <w:u w:val="single"/>
          <w:lang w:val="en-US" w:eastAsia="zh-CN" w:bidi="ar-SA"/>
        </w:rPr>
        <w:t xml:space="preserve"> </w:t>
      </w:r>
      <w:r>
        <w:rPr>
          <w:rFonts w:hint="eastAsia" w:ascii="Times New Roman" w:hAnsi="宋体" w:eastAsia="宋体" w:cs="Times New Roman"/>
          <w:b w:val="0"/>
          <w:bCs w:val="0"/>
          <w:color w:val="auto"/>
          <w:kern w:val="2"/>
          <w:sz w:val="21"/>
          <w:szCs w:val="21"/>
          <w:highlight w:val="none"/>
          <w:lang w:val="en-US" w:eastAsia="zh-CN" w:bidi="ar-SA"/>
        </w:rPr>
        <w:t>。</w:t>
      </w:r>
    </w:p>
    <w:p>
      <w:pPr>
        <w:pStyle w:val="7"/>
        <w:ind w:firstLine="420" w:firstLineChars="200"/>
        <w:rPr>
          <w:rFonts w:ascii="Times New Roman" w:hAnsi="宋体" w:eastAsia="宋体" w:cs="Times New Roman"/>
          <w:b w:val="0"/>
          <w:bCs w:val="0"/>
          <w:color w:val="auto"/>
          <w:kern w:val="2"/>
          <w:sz w:val="21"/>
          <w:szCs w:val="21"/>
          <w:highlight w:val="none"/>
          <w:lang w:val="en-US" w:eastAsia="zh-CN" w:bidi="ar-SA"/>
        </w:rPr>
      </w:pPr>
      <w:r>
        <w:rPr>
          <w:rFonts w:hint="eastAsia" w:ascii="Times New Roman" w:hAnsi="宋体" w:eastAsia="宋体" w:cs="Times New Roman"/>
          <w:b w:val="0"/>
          <w:bCs w:val="0"/>
          <w:color w:val="auto"/>
          <w:kern w:val="2"/>
          <w:sz w:val="21"/>
          <w:szCs w:val="21"/>
          <w:highlight w:val="none"/>
          <w:lang w:val="en-US" w:eastAsia="zh-CN" w:bidi="ar-SA"/>
        </w:rPr>
        <w:t>预付款支付期限：</w:t>
      </w:r>
      <w:r>
        <w:rPr>
          <w:rFonts w:ascii="Times New Roman" w:hAnsi="宋体" w:eastAsia="宋体" w:cs="Times New Roman"/>
          <w:b w:val="0"/>
          <w:bCs w:val="0"/>
          <w:color w:val="auto"/>
          <w:kern w:val="2"/>
          <w:sz w:val="21"/>
          <w:szCs w:val="21"/>
          <w:highlight w:val="none"/>
          <w:u w:val="single"/>
          <w:lang w:val="en-US" w:eastAsia="zh-CN" w:bidi="ar-SA"/>
        </w:rPr>
        <w:t xml:space="preserve"> </w:t>
      </w:r>
      <w:r>
        <w:rPr>
          <w:rFonts w:hint="eastAsia" w:ascii="Times New Roman" w:hAnsi="宋体" w:eastAsia="宋体" w:cs="Times New Roman"/>
          <w:b w:val="0"/>
          <w:bCs w:val="0"/>
          <w:color w:val="auto"/>
          <w:kern w:val="2"/>
          <w:sz w:val="21"/>
          <w:szCs w:val="21"/>
          <w:highlight w:val="none"/>
          <w:u w:val="single"/>
          <w:lang w:val="en-US" w:eastAsia="zh-CN" w:bidi="ar-SA"/>
        </w:rPr>
        <w:t xml:space="preserve">签订合同后15个工作日内支付     </w:t>
      </w:r>
      <w:r>
        <w:rPr>
          <w:rFonts w:ascii="Times New Roman" w:hAnsi="宋体" w:eastAsia="宋体" w:cs="Times New Roman"/>
          <w:b w:val="0"/>
          <w:bCs w:val="0"/>
          <w:color w:val="auto"/>
          <w:kern w:val="2"/>
          <w:sz w:val="21"/>
          <w:szCs w:val="21"/>
          <w:highlight w:val="none"/>
          <w:u w:val="single"/>
          <w:lang w:val="en-US" w:eastAsia="zh-CN" w:bidi="ar-SA"/>
        </w:rPr>
        <w:t xml:space="preserve"> </w:t>
      </w:r>
      <w:r>
        <w:rPr>
          <w:rFonts w:ascii="Times New Roman" w:hAnsi="宋体" w:eastAsia="宋体" w:cs="Times New Roman"/>
          <w:b w:val="0"/>
          <w:bCs w:val="0"/>
          <w:color w:val="auto"/>
          <w:kern w:val="2"/>
          <w:sz w:val="21"/>
          <w:szCs w:val="21"/>
          <w:highlight w:val="none"/>
          <w:lang w:val="en-US" w:eastAsia="zh-CN" w:bidi="ar-SA"/>
        </w:rPr>
        <w:t xml:space="preserve"> </w:t>
      </w:r>
      <w:r>
        <w:rPr>
          <w:rFonts w:hint="eastAsia" w:ascii="Times New Roman" w:hAnsi="宋体" w:eastAsia="宋体" w:cs="Times New Roman"/>
          <w:b w:val="0"/>
          <w:bCs w:val="0"/>
          <w:color w:val="auto"/>
          <w:kern w:val="2"/>
          <w:sz w:val="21"/>
          <w:szCs w:val="21"/>
          <w:highlight w:val="none"/>
          <w:lang w:val="en-US" w:eastAsia="zh-CN" w:bidi="ar-SA"/>
        </w:rPr>
        <w:t>。</w:t>
      </w:r>
    </w:p>
    <w:p>
      <w:pPr>
        <w:pStyle w:val="7"/>
        <w:ind w:firstLine="420" w:firstLineChars="200"/>
        <w:rPr>
          <w:rFonts w:ascii="Times New Roman" w:hAnsi="宋体" w:eastAsia="宋体" w:cs="Times New Roman"/>
          <w:b w:val="0"/>
          <w:bCs w:val="0"/>
          <w:color w:val="auto"/>
          <w:kern w:val="2"/>
          <w:sz w:val="21"/>
          <w:szCs w:val="21"/>
          <w:highlight w:val="none"/>
          <w:lang w:val="en-US" w:eastAsia="zh-CN" w:bidi="ar-SA"/>
        </w:rPr>
      </w:pPr>
      <w:r>
        <w:rPr>
          <w:rFonts w:hint="eastAsia" w:ascii="Times New Roman" w:hAnsi="宋体" w:eastAsia="宋体" w:cs="Times New Roman"/>
          <w:b w:val="0"/>
          <w:bCs w:val="0"/>
          <w:color w:val="auto"/>
          <w:kern w:val="2"/>
          <w:sz w:val="21"/>
          <w:szCs w:val="21"/>
          <w:highlight w:val="none"/>
          <w:lang w:val="en-US" w:eastAsia="zh-CN" w:bidi="ar-SA"/>
        </w:rPr>
        <w:t>预付款扣回的方式：</w:t>
      </w:r>
      <w:r>
        <w:rPr>
          <w:rFonts w:hint="eastAsia" w:ascii="Times New Roman" w:hAnsi="宋体" w:eastAsia="宋体" w:cs="Times New Roman"/>
          <w:b w:val="0"/>
          <w:bCs w:val="0"/>
          <w:color w:val="auto"/>
          <w:kern w:val="2"/>
          <w:sz w:val="21"/>
          <w:szCs w:val="21"/>
          <w:highlight w:val="none"/>
          <w:u w:val="single"/>
          <w:lang w:val="en-US" w:eastAsia="zh-CN" w:bidi="ar-SA"/>
        </w:rPr>
        <w:t xml:space="preserve">  进度款达到</w:t>
      </w:r>
      <w:r>
        <w:rPr>
          <w:rFonts w:hint="eastAsia" w:hAnsi="宋体" w:eastAsia="宋体" w:cs="Times New Roman"/>
          <w:b w:val="0"/>
          <w:bCs w:val="0"/>
          <w:color w:val="auto"/>
          <w:kern w:val="2"/>
          <w:sz w:val="21"/>
          <w:szCs w:val="21"/>
          <w:highlight w:val="none"/>
          <w:u w:val="single"/>
          <w:lang w:val="en-US" w:eastAsia="zh-CN" w:bidi="ar-SA"/>
        </w:rPr>
        <w:t>5</w:t>
      </w:r>
      <w:r>
        <w:rPr>
          <w:rFonts w:hint="eastAsia" w:ascii="Times New Roman" w:hAnsi="宋体" w:eastAsia="宋体" w:cs="Times New Roman"/>
          <w:b w:val="0"/>
          <w:bCs w:val="0"/>
          <w:color w:val="auto"/>
          <w:kern w:val="2"/>
          <w:sz w:val="21"/>
          <w:szCs w:val="21"/>
          <w:highlight w:val="none"/>
          <w:u w:val="single"/>
          <w:lang w:val="en-US" w:eastAsia="zh-CN" w:bidi="ar-SA"/>
        </w:rPr>
        <w:t xml:space="preserve">0%，申请支付时一次性扣回    </w:t>
      </w:r>
      <w:r>
        <w:rPr>
          <w:rFonts w:hint="eastAsia" w:ascii="Times New Roman" w:hAnsi="宋体" w:eastAsia="宋体" w:cs="Times New Roman"/>
          <w:b w:val="0"/>
          <w:bCs w:val="0"/>
          <w:color w:val="auto"/>
          <w:kern w:val="2"/>
          <w:sz w:val="21"/>
          <w:szCs w:val="21"/>
          <w:highlight w:val="none"/>
          <w:lang w:val="en-US" w:eastAsia="zh-CN" w:bidi="ar-SA"/>
        </w:rPr>
        <w:t xml:space="preserve"> 。</w:t>
      </w:r>
    </w:p>
    <w:p>
      <w:pPr>
        <w:pStyle w:val="7"/>
        <w:rPr>
          <w:color w:val="auto"/>
          <w:highlight w:val="none"/>
        </w:rPr>
      </w:pPr>
      <w:r>
        <w:rPr>
          <w:color w:val="auto"/>
          <w:highlight w:val="none"/>
        </w:rPr>
        <w:t xml:space="preserve">12.3 </w:t>
      </w:r>
      <w:r>
        <w:rPr>
          <w:rFonts w:hAnsi="宋体"/>
          <w:color w:val="auto"/>
          <w:highlight w:val="none"/>
        </w:rPr>
        <w:t>计量</w:t>
      </w:r>
      <w:bookmarkEnd w:id="354"/>
      <w:bookmarkEnd w:id="355"/>
    </w:p>
    <w:p>
      <w:pPr>
        <w:spacing w:line="360" w:lineRule="auto"/>
        <w:ind w:firstLine="420" w:firstLineChars="200"/>
        <w:jc w:val="left"/>
        <w:rPr>
          <w:color w:val="auto"/>
          <w:szCs w:val="21"/>
          <w:highlight w:val="none"/>
        </w:rPr>
      </w:pPr>
      <w:r>
        <w:rPr>
          <w:color w:val="auto"/>
          <w:szCs w:val="21"/>
          <w:highlight w:val="none"/>
        </w:rPr>
        <w:t xml:space="preserve">12.3.1 </w:t>
      </w:r>
      <w:r>
        <w:rPr>
          <w:rFonts w:hAnsi="宋体"/>
          <w:color w:val="auto"/>
          <w:szCs w:val="21"/>
          <w:highlight w:val="none"/>
        </w:rPr>
        <w:t>计量原则</w:t>
      </w:r>
    </w:p>
    <w:p>
      <w:pPr>
        <w:spacing w:line="360" w:lineRule="auto"/>
        <w:ind w:firstLine="420" w:firstLineChars="200"/>
        <w:jc w:val="left"/>
        <w:rPr>
          <w:color w:val="auto"/>
          <w:szCs w:val="21"/>
          <w:highlight w:val="none"/>
        </w:rPr>
      </w:pPr>
      <w:r>
        <w:rPr>
          <w:rFonts w:hAnsi="宋体"/>
          <w:color w:val="auto"/>
          <w:szCs w:val="21"/>
          <w:highlight w:val="none"/>
        </w:rPr>
        <w:t>工程量计算规则：</w:t>
      </w:r>
      <w:r>
        <w:rPr>
          <w:rFonts w:hAnsi="宋体"/>
          <w:color w:val="auto"/>
          <w:szCs w:val="21"/>
          <w:highlight w:val="none"/>
          <w:u w:val="single"/>
        </w:rPr>
        <w:t>工程的计量均以《建设工程工程量清单计价规范》（</w:t>
      </w:r>
      <w:r>
        <w:rPr>
          <w:color w:val="auto"/>
          <w:szCs w:val="21"/>
          <w:highlight w:val="none"/>
          <w:u w:val="single"/>
        </w:rPr>
        <w:t>GB50500</w:t>
      </w:r>
      <w:r>
        <w:rPr>
          <w:rFonts w:hAnsi="宋体"/>
          <w:color w:val="auto"/>
          <w:szCs w:val="21"/>
          <w:highlight w:val="none"/>
          <w:u w:val="single"/>
        </w:rPr>
        <w:t>－</w:t>
      </w:r>
      <w:r>
        <w:rPr>
          <w:color w:val="auto"/>
          <w:szCs w:val="21"/>
          <w:highlight w:val="none"/>
          <w:u w:val="single"/>
        </w:rPr>
        <w:t>2013</w:t>
      </w:r>
      <w:r>
        <w:rPr>
          <w:rFonts w:hAnsi="宋体"/>
          <w:color w:val="auto"/>
          <w:szCs w:val="21"/>
          <w:highlight w:val="none"/>
          <w:u w:val="single"/>
        </w:rPr>
        <w:t>）和及其广西壮族自治区实施细则、《建设工程工程量清单计算规范》（</w:t>
      </w:r>
      <w:r>
        <w:rPr>
          <w:color w:val="auto"/>
          <w:szCs w:val="21"/>
          <w:highlight w:val="none"/>
          <w:u w:val="single"/>
        </w:rPr>
        <w:t>GB50854~50862</w:t>
      </w:r>
      <w:r>
        <w:rPr>
          <w:rFonts w:hAnsi="宋体"/>
          <w:color w:val="auto"/>
          <w:szCs w:val="21"/>
          <w:highlight w:val="none"/>
          <w:u w:val="single"/>
        </w:rPr>
        <w:t>－</w:t>
      </w:r>
      <w:r>
        <w:rPr>
          <w:color w:val="auto"/>
          <w:szCs w:val="21"/>
          <w:highlight w:val="none"/>
          <w:u w:val="single"/>
        </w:rPr>
        <w:t>2013</w:t>
      </w:r>
      <w:r>
        <w:rPr>
          <w:rFonts w:hAnsi="宋体"/>
          <w:color w:val="auto"/>
          <w:szCs w:val="21"/>
          <w:highlight w:val="none"/>
          <w:u w:val="single"/>
        </w:rPr>
        <w:t>）及其广西实施细则、本工程补充项目清单为准。</w:t>
      </w:r>
    </w:p>
    <w:p>
      <w:pPr>
        <w:spacing w:line="360" w:lineRule="auto"/>
        <w:ind w:firstLine="420" w:firstLineChars="200"/>
        <w:jc w:val="left"/>
        <w:rPr>
          <w:color w:val="auto"/>
          <w:szCs w:val="21"/>
          <w:highlight w:val="none"/>
        </w:rPr>
      </w:pPr>
      <w:r>
        <w:rPr>
          <w:color w:val="auto"/>
          <w:szCs w:val="21"/>
          <w:highlight w:val="none"/>
        </w:rPr>
        <w:t xml:space="preserve">12.3.2 </w:t>
      </w:r>
      <w:r>
        <w:rPr>
          <w:rFonts w:hAnsi="宋体"/>
          <w:color w:val="auto"/>
          <w:szCs w:val="21"/>
          <w:highlight w:val="none"/>
        </w:rPr>
        <w:t>计量周期</w:t>
      </w:r>
    </w:p>
    <w:p>
      <w:pPr>
        <w:spacing w:line="360" w:lineRule="auto"/>
        <w:ind w:firstLine="420" w:firstLineChars="200"/>
        <w:jc w:val="left"/>
        <w:rPr>
          <w:color w:val="auto"/>
          <w:szCs w:val="21"/>
          <w:highlight w:val="none"/>
        </w:rPr>
      </w:pPr>
      <w:r>
        <w:rPr>
          <w:rFonts w:hAnsi="宋体"/>
          <w:color w:val="auto"/>
          <w:szCs w:val="21"/>
          <w:highlight w:val="none"/>
        </w:rPr>
        <w:t>关于计量周期的约定：</w:t>
      </w:r>
      <w:r>
        <w:rPr>
          <w:rFonts w:hint="eastAsia" w:hAnsi="宋体"/>
          <w:color w:val="auto"/>
          <w:szCs w:val="21"/>
          <w:highlight w:val="none"/>
          <w:u w:val="single"/>
        </w:rPr>
        <w:t xml:space="preserve">     /    </w:t>
      </w:r>
      <w:r>
        <w:rPr>
          <w:rFonts w:hAnsi="宋体"/>
          <w:color w:val="auto"/>
          <w:szCs w:val="21"/>
          <w:highlight w:val="none"/>
        </w:rPr>
        <w:t>。</w:t>
      </w:r>
    </w:p>
    <w:p>
      <w:pPr>
        <w:spacing w:line="360" w:lineRule="auto"/>
        <w:ind w:firstLine="420" w:firstLineChars="200"/>
        <w:jc w:val="left"/>
        <w:rPr>
          <w:color w:val="auto"/>
          <w:szCs w:val="21"/>
          <w:highlight w:val="none"/>
        </w:rPr>
      </w:pPr>
      <w:r>
        <w:rPr>
          <w:color w:val="auto"/>
          <w:szCs w:val="21"/>
          <w:highlight w:val="none"/>
        </w:rPr>
        <w:t xml:space="preserve">12.3.3 </w:t>
      </w:r>
      <w:r>
        <w:rPr>
          <w:rFonts w:hAnsi="宋体"/>
          <w:color w:val="auto"/>
          <w:szCs w:val="21"/>
          <w:highlight w:val="none"/>
        </w:rPr>
        <w:t>单价合同的计量</w:t>
      </w:r>
    </w:p>
    <w:p>
      <w:pPr>
        <w:spacing w:line="360" w:lineRule="auto"/>
        <w:ind w:firstLine="420" w:firstLineChars="200"/>
        <w:jc w:val="left"/>
        <w:rPr>
          <w:color w:val="auto"/>
          <w:szCs w:val="21"/>
          <w:highlight w:val="none"/>
        </w:rPr>
      </w:pPr>
      <w:r>
        <w:rPr>
          <w:rFonts w:hAnsi="宋体"/>
          <w:color w:val="auto"/>
          <w:szCs w:val="21"/>
          <w:highlight w:val="none"/>
        </w:rPr>
        <w:t>关于单价合同计量的约定：</w:t>
      </w:r>
    </w:p>
    <w:p>
      <w:pPr>
        <w:spacing w:line="360" w:lineRule="auto"/>
        <w:ind w:firstLine="441" w:firstLineChars="210"/>
        <w:rPr>
          <w:color w:val="auto"/>
          <w:szCs w:val="21"/>
          <w:highlight w:val="none"/>
        </w:rPr>
      </w:pPr>
      <w:r>
        <w:rPr>
          <w:color w:val="auto"/>
          <w:szCs w:val="21"/>
          <w:highlight w:val="none"/>
        </w:rPr>
        <w:t xml:space="preserve">(1) </w:t>
      </w:r>
      <w:r>
        <w:rPr>
          <w:rFonts w:hAnsi="宋体"/>
          <w:color w:val="auto"/>
          <w:szCs w:val="21"/>
          <w:highlight w:val="none"/>
        </w:rPr>
        <w:t>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rPr>
          <w:color w:val="auto"/>
          <w:szCs w:val="21"/>
          <w:highlight w:val="none"/>
        </w:rPr>
      </w:pPr>
      <w:r>
        <w:rPr>
          <w:color w:val="auto"/>
          <w:szCs w:val="21"/>
          <w:highlight w:val="none"/>
        </w:rPr>
        <w:t xml:space="preserve">(2) </w:t>
      </w:r>
      <w:r>
        <w:rPr>
          <w:rFonts w:hAnsi="宋体"/>
          <w:color w:val="auto"/>
          <w:szCs w:val="21"/>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rPr>
          <w:color w:val="auto"/>
          <w:szCs w:val="21"/>
          <w:highlight w:val="none"/>
        </w:rPr>
      </w:pPr>
      <w:r>
        <w:rPr>
          <w:color w:val="auto"/>
          <w:szCs w:val="21"/>
          <w:highlight w:val="none"/>
        </w:rPr>
        <w:t xml:space="preserve">12.3.4 </w:t>
      </w:r>
      <w:r>
        <w:rPr>
          <w:rFonts w:hAnsi="宋体"/>
          <w:color w:val="auto"/>
          <w:szCs w:val="21"/>
          <w:highlight w:val="none"/>
        </w:rPr>
        <w:t>总价合同的计量</w:t>
      </w:r>
    </w:p>
    <w:p>
      <w:pPr>
        <w:spacing w:line="360" w:lineRule="auto"/>
        <w:ind w:firstLine="420" w:firstLineChars="200"/>
        <w:jc w:val="left"/>
        <w:rPr>
          <w:color w:val="auto"/>
          <w:szCs w:val="21"/>
          <w:highlight w:val="none"/>
        </w:rPr>
      </w:pPr>
      <w:r>
        <w:rPr>
          <w:rFonts w:hAnsi="宋体"/>
          <w:color w:val="auto"/>
          <w:szCs w:val="21"/>
          <w:highlight w:val="none"/>
        </w:rPr>
        <w:t>关于总价合同计量的约定：</w:t>
      </w:r>
      <w:r>
        <w:rPr>
          <w:rFonts w:hint="eastAsia" w:hAnsi="宋体"/>
          <w:color w:val="auto"/>
          <w:szCs w:val="21"/>
          <w:highlight w:val="none"/>
        </w:rPr>
        <w:t>除工程变更外，原图纸范围内的工程量不得按实计量。进度款按支付分解表支付</w:t>
      </w:r>
      <w:r>
        <w:rPr>
          <w:rFonts w:hint="eastAsia"/>
          <w:color w:val="auto"/>
          <w:szCs w:val="21"/>
          <w:highlight w:val="none"/>
        </w:rPr>
        <w:t>，</w:t>
      </w:r>
      <w:r>
        <w:rPr>
          <w:rFonts w:hint="eastAsia" w:hAnsi="宋体"/>
          <w:color w:val="auto"/>
          <w:szCs w:val="21"/>
          <w:highlight w:val="none"/>
        </w:rPr>
        <w:t>按通用条款</w:t>
      </w:r>
      <w:r>
        <w:rPr>
          <w:rFonts w:hAnsi="宋体"/>
          <w:color w:val="auto"/>
          <w:szCs w:val="21"/>
          <w:highlight w:val="none"/>
        </w:rPr>
        <w:t>第</w:t>
      </w:r>
      <w:r>
        <w:rPr>
          <w:color w:val="auto"/>
          <w:kern w:val="0"/>
          <w:szCs w:val="21"/>
          <w:highlight w:val="none"/>
        </w:rPr>
        <w:t>12.3.4</w:t>
      </w:r>
      <w:r>
        <w:rPr>
          <w:rFonts w:hAnsi="宋体"/>
          <w:color w:val="auto"/>
          <w:szCs w:val="21"/>
          <w:highlight w:val="none"/>
        </w:rPr>
        <w:t>项</w:t>
      </w:r>
      <w:r>
        <w:rPr>
          <w:rFonts w:hAnsi="宋体"/>
          <w:color w:val="auto"/>
          <w:kern w:val="0"/>
          <w:szCs w:val="21"/>
          <w:highlight w:val="none"/>
        </w:rPr>
        <w:t>〔总价合同的计量〕</w:t>
      </w:r>
      <w:r>
        <w:rPr>
          <w:rFonts w:hAnsi="宋体"/>
          <w:color w:val="auto"/>
          <w:szCs w:val="21"/>
          <w:highlight w:val="none"/>
        </w:rPr>
        <w:t>约定</w:t>
      </w:r>
      <w:r>
        <w:rPr>
          <w:rFonts w:hint="eastAsia" w:hAnsi="宋体"/>
          <w:color w:val="auto"/>
          <w:szCs w:val="21"/>
          <w:highlight w:val="none"/>
        </w:rPr>
        <w:t>进行计量，但</w:t>
      </w:r>
      <w:r>
        <w:rPr>
          <w:rFonts w:ascii="宋体" w:hAnsi="宋体"/>
          <w:color w:val="auto"/>
          <w:kern w:val="0"/>
          <w:szCs w:val="21"/>
          <w:highlight w:val="none"/>
        </w:rPr>
        <w:t>合同价款按照支付分解表进行支付。</w:t>
      </w:r>
    </w:p>
    <w:p>
      <w:pPr>
        <w:spacing w:line="360" w:lineRule="auto"/>
        <w:ind w:firstLine="420" w:firstLineChars="200"/>
        <w:jc w:val="left"/>
        <w:rPr>
          <w:color w:val="auto"/>
          <w:szCs w:val="21"/>
          <w:highlight w:val="none"/>
        </w:rPr>
      </w:pPr>
      <w:r>
        <w:rPr>
          <w:color w:val="auto"/>
          <w:szCs w:val="21"/>
          <w:highlight w:val="none"/>
        </w:rPr>
        <w:t xml:space="preserve">12.3.6 </w:t>
      </w:r>
      <w:r>
        <w:rPr>
          <w:rFonts w:hAnsi="宋体"/>
          <w:color w:val="auto"/>
          <w:szCs w:val="21"/>
          <w:highlight w:val="none"/>
        </w:rPr>
        <w:t>其他价格形式合同的计量</w:t>
      </w:r>
    </w:p>
    <w:p>
      <w:pPr>
        <w:spacing w:line="360" w:lineRule="auto"/>
        <w:ind w:firstLine="420" w:firstLineChars="200"/>
        <w:jc w:val="left"/>
        <w:rPr>
          <w:color w:val="auto"/>
          <w:szCs w:val="21"/>
          <w:highlight w:val="none"/>
          <w:u w:val="single"/>
        </w:rPr>
      </w:pPr>
      <w:r>
        <w:rPr>
          <w:rFonts w:hAnsi="宋体"/>
          <w:color w:val="auto"/>
          <w:szCs w:val="21"/>
          <w:highlight w:val="none"/>
        </w:rPr>
        <w:t>其他价格形式的计量方式和程序：</w:t>
      </w:r>
      <w:r>
        <w:rPr>
          <w:color w:val="auto"/>
          <w:szCs w:val="21"/>
          <w:highlight w:val="none"/>
          <w:u w:val="single"/>
        </w:rPr>
        <w:t xml:space="preserve">         </w:t>
      </w:r>
      <w:r>
        <w:rPr>
          <w:rFonts w:hint="eastAsia"/>
          <w:color w:val="auto"/>
          <w:szCs w:val="21"/>
          <w:highlight w:val="none"/>
          <w:u w:val="single"/>
        </w:rPr>
        <w:t>按通用条款</w:t>
      </w:r>
      <w:r>
        <w:rPr>
          <w:color w:val="auto"/>
          <w:szCs w:val="21"/>
          <w:highlight w:val="none"/>
          <w:u w:val="single"/>
        </w:rPr>
        <w:t xml:space="preserve">           </w:t>
      </w:r>
      <w:r>
        <w:rPr>
          <w:rFonts w:hAnsi="宋体"/>
          <w:color w:val="auto"/>
          <w:szCs w:val="21"/>
          <w:highlight w:val="none"/>
        </w:rPr>
        <w:t>。</w:t>
      </w:r>
    </w:p>
    <w:p>
      <w:pPr>
        <w:pStyle w:val="7"/>
        <w:rPr>
          <w:color w:val="auto"/>
          <w:highlight w:val="none"/>
        </w:rPr>
      </w:pPr>
      <w:bookmarkStart w:id="356" w:name="_Toc491946653"/>
      <w:bookmarkStart w:id="357" w:name="_Toc20273"/>
      <w:r>
        <w:rPr>
          <w:color w:val="auto"/>
          <w:highlight w:val="none"/>
        </w:rPr>
        <w:t>12.4 工程进度款支付</w:t>
      </w:r>
      <w:bookmarkEnd w:id="356"/>
      <w:bookmarkEnd w:id="357"/>
    </w:p>
    <w:p>
      <w:pPr>
        <w:spacing w:line="360" w:lineRule="auto"/>
        <w:ind w:firstLine="420" w:firstLineChars="200"/>
        <w:jc w:val="left"/>
        <w:rPr>
          <w:color w:val="auto"/>
          <w:szCs w:val="21"/>
          <w:highlight w:val="none"/>
        </w:rPr>
      </w:pPr>
      <w:r>
        <w:rPr>
          <w:color w:val="auto"/>
          <w:szCs w:val="21"/>
          <w:highlight w:val="none"/>
        </w:rPr>
        <w:t xml:space="preserve">12.4.1 </w:t>
      </w:r>
      <w:r>
        <w:rPr>
          <w:rFonts w:hAnsi="宋体"/>
          <w:color w:val="auto"/>
          <w:szCs w:val="21"/>
          <w:highlight w:val="none"/>
        </w:rPr>
        <w:t>付款周期</w:t>
      </w:r>
    </w:p>
    <w:p>
      <w:pPr>
        <w:spacing w:line="360" w:lineRule="auto"/>
        <w:ind w:firstLine="420" w:firstLineChars="200"/>
        <w:jc w:val="left"/>
        <w:rPr>
          <w:color w:val="auto"/>
          <w:szCs w:val="21"/>
          <w:highlight w:val="none"/>
        </w:rPr>
      </w:pPr>
      <w:r>
        <w:rPr>
          <w:rFonts w:hAnsi="宋体"/>
          <w:color w:val="auto"/>
          <w:szCs w:val="21"/>
          <w:highlight w:val="none"/>
        </w:rPr>
        <w:t>关于付款周期的约定：</w:t>
      </w:r>
      <w:r>
        <w:rPr>
          <w:rFonts w:hint="eastAsia" w:hAnsi="宋体"/>
          <w:color w:val="auto"/>
          <w:szCs w:val="21"/>
          <w:highlight w:val="none"/>
          <w:lang w:val="en-US" w:eastAsia="zh-CN"/>
        </w:rPr>
        <w:t>工程款按月支付，合同内进度款支付限额为已完成工程量的80%，工程变更部分进度款支付限额为已完成工程量的60%。工程完工验收达到质量要求，累计支付额度以不超合同总额90%；结算经财政部门或发包人审定，并提交完整合格的竣工备案资料给发包人后，工程款支付至结算总价的97%，剩余工程价款结算总额的3％作为工程质量保修金，待缺陷责任期满后无息返还。</w:t>
      </w:r>
    </w:p>
    <w:p>
      <w:pPr>
        <w:spacing w:line="360" w:lineRule="auto"/>
        <w:ind w:firstLine="420" w:firstLineChars="200"/>
        <w:jc w:val="left"/>
        <w:rPr>
          <w:color w:val="auto"/>
          <w:szCs w:val="21"/>
          <w:highlight w:val="none"/>
        </w:rPr>
      </w:pPr>
      <w:r>
        <w:rPr>
          <w:color w:val="auto"/>
          <w:szCs w:val="21"/>
          <w:highlight w:val="none"/>
        </w:rPr>
        <w:t xml:space="preserve">12.4.2 </w:t>
      </w:r>
      <w:r>
        <w:rPr>
          <w:rFonts w:hAnsi="宋体"/>
          <w:color w:val="auto"/>
          <w:szCs w:val="21"/>
          <w:highlight w:val="none"/>
        </w:rPr>
        <w:t>进度付款申请单的编制</w:t>
      </w:r>
    </w:p>
    <w:p>
      <w:pPr>
        <w:spacing w:line="360" w:lineRule="auto"/>
        <w:ind w:firstLine="420" w:firstLineChars="200"/>
        <w:jc w:val="left"/>
        <w:rPr>
          <w:color w:val="auto"/>
          <w:szCs w:val="21"/>
          <w:highlight w:val="none"/>
          <w:u w:val="single"/>
        </w:rPr>
      </w:pPr>
      <w:r>
        <w:rPr>
          <w:rFonts w:hAnsi="宋体"/>
          <w:color w:val="auto"/>
          <w:szCs w:val="21"/>
          <w:highlight w:val="none"/>
        </w:rPr>
        <w:t>关于进度付款申请单编制的约定：</w:t>
      </w:r>
      <w:r>
        <w:rPr>
          <w:color w:val="auto"/>
          <w:szCs w:val="21"/>
          <w:highlight w:val="none"/>
          <w:u w:val="single"/>
        </w:rPr>
        <w:t xml:space="preserve">    依据发包人指令        </w:t>
      </w:r>
      <w:r>
        <w:rPr>
          <w:rFonts w:hAnsi="宋体"/>
          <w:color w:val="auto"/>
          <w:szCs w:val="21"/>
          <w:highlight w:val="none"/>
        </w:rPr>
        <w:t>。</w:t>
      </w:r>
    </w:p>
    <w:p>
      <w:pPr>
        <w:spacing w:line="360" w:lineRule="auto"/>
        <w:ind w:firstLine="420" w:firstLineChars="200"/>
        <w:jc w:val="left"/>
        <w:rPr>
          <w:color w:val="auto"/>
          <w:szCs w:val="21"/>
          <w:highlight w:val="none"/>
        </w:rPr>
      </w:pPr>
      <w:r>
        <w:rPr>
          <w:color w:val="auto"/>
          <w:szCs w:val="21"/>
          <w:highlight w:val="none"/>
        </w:rPr>
        <w:t xml:space="preserve">12.4.3 </w:t>
      </w:r>
      <w:r>
        <w:rPr>
          <w:rFonts w:hAnsi="宋体"/>
          <w:color w:val="auto"/>
          <w:szCs w:val="21"/>
          <w:highlight w:val="none"/>
        </w:rPr>
        <w:t>进度付款申请单的提交</w:t>
      </w:r>
    </w:p>
    <w:p>
      <w:pPr>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1</w:t>
      </w:r>
      <w:r>
        <w:rPr>
          <w:rFonts w:hAnsi="宋体"/>
          <w:color w:val="auto"/>
          <w:szCs w:val="21"/>
          <w:highlight w:val="none"/>
        </w:rPr>
        <w:t>）单价合同进度付款申请单提交的约定：</w:t>
      </w:r>
      <w:r>
        <w:rPr>
          <w:bCs/>
          <w:color w:val="auto"/>
          <w:szCs w:val="21"/>
          <w:highlight w:val="none"/>
          <w:u w:val="single"/>
        </w:rPr>
        <w:t xml:space="preserve"> </w:t>
      </w:r>
      <w:r>
        <w:rPr>
          <w:color w:val="auto"/>
          <w:szCs w:val="21"/>
          <w:highlight w:val="none"/>
          <w:u w:val="single"/>
        </w:rPr>
        <w:t xml:space="preserve">按《通用合同条款》执行   </w:t>
      </w:r>
      <w:r>
        <w:rPr>
          <w:rFonts w:hAnsi="宋体"/>
          <w:color w:val="auto"/>
          <w:szCs w:val="21"/>
          <w:highlight w:val="none"/>
        </w:rPr>
        <w:t>。</w:t>
      </w:r>
    </w:p>
    <w:p>
      <w:pPr>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2</w:t>
      </w:r>
      <w:r>
        <w:rPr>
          <w:rFonts w:hAnsi="宋体"/>
          <w:color w:val="auto"/>
          <w:szCs w:val="21"/>
          <w:highlight w:val="none"/>
        </w:rPr>
        <w:t>）总价合同进度付款申请单提交的约定：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u w:val="single"/>
        </w:rPr>
      </w:pPr>
      <w:r>
        <w:rPr>
          <w:rFonts w:hAnsi="宋体"/>
          <w:color w:val="auto"/>
          <w:szCs w:val="21"/>
          <w:highlight w:val="none"/>
        </w:rPr>
        <w:t>（</w:t>
      </w:r>
      <w:r>
        <w:rPr>
          <w:color w:val="auto"/>
          <w:szCs w:val="21"/>
          <w:highlight w:val="none"/>
        </w:rPr>
        <w:t>3</w:t>
      </w:r>
      <w:r>
        <w:rPr>
          <w:rFonts w:hAnsi="宋体"/>
          <w:color w:val="auto"/>
          <w:szCs w:val="21"/>
          <w:highlight w:val="none"/>
        </w:rPr>
        <w:t>）其他价格形式合同进度付款申请单提交的约定：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rPr>
      </w:pPr>
      <w:r>
        <w:rPr>
          <w:color w:val="auto"/>
          <w:szCs w:val="21"/>
          <w:highlight w:val="none"/>
        </w:rPr>
        <w:t xml:space="preserve">12.4.4 </w:t>
      </w:r>
      <w:r>
        <w:rPr>
          <w:rFonts w:hAnsi="宋体"/>
          <w:color w:val="auto"/>
          <w:szCs w:val="21"/>
          <w:highlight w:val="none"/>
        </w:rPr>
        <w:t>进度款审核和支付</w:t>
      </w:r>
    </w:p>
    <w:p>
      <w:pPr>
        <w:spacing w:line="360" w:lineRule="auto"/>
        <w:ind w:firstLine="420" w:firstLineChars="200"/>
        <w:jc w:val="left"/>
        <w:rPr>
          <w:color w:val="auto"/>
          <w:szCs w:val="21"/>
          <w:highlight w:val="none"/>
          <w:u w:val="single"/>
        </w:rPr>
      </w:pPr>
      <w:r>
        <w:rPr>
          <w:rFonts w:hAnsi="宋体"/>
          <w:color w:val="auto"/>
          <w:szCs w:val="21"/>
          <w:highlight w:val="none"/>
        </w:rPr>
        <w:t>（</w:t>
      </w:r>
      <w:r>
        <w:rPr>
          <w:color w:val="auto"/>
          <w:szCs w:val="21"/>
          <w:highlight w:val="none"/>
        </w:rPr>
        <w:t>1</w:t>
      </w:r>
      <w:r>
        <w:rPr>
          <w:rFonts w:hAnsi="宋体"/>
          <w:color w:val="auto"/>
          <w:szCs w:val="21"/>
          <w:highlight w:val="none"/>
        </w:rPr>
        <w:t>）监理人审查并报送发包人的期限：</w:t>
      </w:r>
      <w:r>
        <w:rPr>
          <w:color w:val="auto"/>
          <w:szCs w:val="21"/>
          <w:highlight w:val="none"/>
          <w:u w:val="single"/>
        </w:rPr>
        <w:t xml:space="preserve">   </w:t>
      </w:r>
      <w:r>
        <w:rPr>
          <w:rFonts w:eastAsia="Calibri"/>
          <w:color w:val="auto"/>
          <w:highlight w:val="none"/>
          <w:u w:val="single"/>
        </w:rPr>
        <w:t>7</w:t>
      </w:r>
      <w:r>
        <w:rPr>
          <w:rFonts w:eastAsia="Calibri"/>
          <w:color w:val="auto"/>
          <w:spacing w:val="11"/>
          <w:highlight w:val="none"/>
          <w:u w:val="single"/>
        </w:rPr>
        <w:t xml:space="preserve"> </w:t>
      </w:r>
      <w:r>
        <w:rPr>
          <w:color w:val="auto"/>
          <w:highlight w:val="none"/>
          <w:u w:val="single"/>
        </w:rPr>
        <w:t>天内</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u w:val="single"/>
        </w:rPr>
      </w:pPr>
      <w:r>
        <w:rPr>
          <w:rFonts w:hAnsi="宋体"/>
          <w:color w:val="auto"/>
          <w:szCs w:val="21"/>
          <w:highlight w:val="none"/>
        </w:rPr>
        <w:t>发包人完成审批并签发进度款支付证书的期限：</w:t>
      </w:r>
      <w:r>
        <w:rPr>
          <w:color w:val="auto"/>
          <w:szCs w:val="21"/>
          <w:highlight w:val="none"/>
          <w:u w:val="single"/>
        </w:rPr>
        <w:t xml:space="preserve">        </w:t>
      </w:r>
      <w:r>
        <w:rPr>
          <w:rFonts w:hint="eastAsia"/>
          <w:color w:val="auto"/>
          <w:szCs w:val="21"/>
          <w:highlight w:val="none"/>
          <w:u w:val="single"/>
        </w:rPr>
        <w:t>14</w:t>
      </w:r>
      <w:r>
        <w:rPr>
          <w:color w:val="auto"/>
          <w:highlight w:val="none"/>
          <w:u w:val="single"/>
        </w:rPr>
        <w:t>天内</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2</w:t>
      </w:r>
      <w:r>
        <w:rPr>
          <w:rFonts w:hAnsi="宋体"/>
          <w:color w:val="auto"/>
          <w:szCs w:val="21"/>
          <w:highlight w:val="none"/>
        </w:rPr>
        <w:t>）发包人支付进度款的期限：</w:t>
      </w:r>
      <w:r>
        <w:rPr>
          <w:color w:val="auto"/>
          <w:szCs w:val="21"/>
          <w:highlight w:val="none"/>
          <w:u w:val="single"/>
        </w:rPr>
        <w:t xml:space="preserve">        </w:t>
      </w:r>
      <w:r>
        <w:rPr>
          <w:rFonts w:hint="eastAsia"/>
          <w:color w:val="auto"/>
          <w:szCs w:val="21"/>
          <w:highlight w:val="none"/>
          <w:u w:val="single"/>
        </w:rPr>
        <w:t>28天</w:t>
      </w:r>
      <w:r>
        <w:rPr>
          <w:color w:val="auto"/>
          <w:szCs w:val="21"/>
          <w:highlight w:val="none"/>
          <w:u w:val="single"/>
        </w:rPr>
        <w:t xml:space="preserve">        </w:t>
      </w:r>
      <w:r>
        <w:rPr>
          <w:rFonts w:hAnsi="宋体"/>
          <w:color w:val="auto"/>
          <w:szCs w:val="21"/>
          <w:highlight w:val="none"/>
        </w:rPr>
        <w:t>。</w:t>
      </w:r>
    </w:p>
    <w:p>
      <w:pPr>
        <w:spacing w:line="360" w:lineRule="auto"/>
        <w:ind w:firstLine="525" w:firstLineChars="250"/>
        <w:jc w:val="left"/>
        <w:rPr>
          <w:color w:val="auto"/>
          <w:szCs w:val="21"/>
          <w:highlight w:val="none"/>
        </w:rPr>
      </w:pPr>
      <w:r>
        <w:rPr>
          <w:rFonts w:hAnsi="宋体"/>
          <w:color w:val="auto"/>
          <w:szCs w:val="21"/>
          <w:highlight w:val="none"/>
        </w:rPr>
        <w:t>发包人逾期支付进度款的违约金的计算方式：</w:t>
      </w:r>
      <w:r>
        <w:rPr>
          <w:color w:val="auto"/>
          <w:szCs w:val="21"/>
          <w:highlight w:val="none"/>
          <w:u w:val="single"/>
        </w:rPr>
        <w:t xml:space="preserve">   按专用合同条款 16.1.2 </w:t>
      </w:r>
      <w:r>
        <w:rPr>
          <w:rFonts w:hint="eastAsia"/>
          <w:color w:val="auto"/>
          <w:szCs w:val="21"/>
          <w:highlight w:val="none"/>
          <w:u w:val="single"/>
        </w:rPr>
        <w:t>执行</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w:t>
      </w:r>
    </w:p>
    <w:p>
      <w:pPr>
        <w:spacing w:line="360" w:lineRule="auto"/>
        <w:ind w:firstLine="525" w:firstLineChars="250"/>
        <w:jc w:val="left"/>
        <w:rPr>
          <w:rFonts w:hAnsi="宋体"/>
          <w:color w:val="auto"/>
          <w:szCs w:val="21"/>
          <w:highlight w:val="none"/>
        </w:rPr>
      </w:pPr>
      <w:r>
        <w:rPr>
          <w:rFonts w:hAnsi="宋体"/>
          <w:color w:val="auto"/>
          <w:szCs w:val="21"/>
          <w:highlight w:val="none"/>
        </w:rPr>
        <w:t>进度款支付方式：</w:t>
      </w:r>
      <w:r>
        <w:rPr>
          <w:rFonts w:hAnsi="宋体"/>
          <w:color w:val="auto"/>
          <w:szCs w:val="21"/>
          <w:highlight w:val="none"/>
          <w:u w:val="single"/>
        </w:rPr>
        <w:t>银行转账</w:t>
      </w:r>
      <w:r>
        <w:rPr>
          <w:rFonts w:hAnsi="宋体"/>
          <w:color w:val="auto"/>
          <w:szCs w:val="21"/>
          <w:highlight w:val="none"/>
        </w:rPr>
        <w:t>。</w:t>
      </w:r>
    </w:p>
    <w:p>
      <w:pPr>
        <w:spacing w:line="360" w:lineRule="auto"/>
        <w:ind w:firstLine="525" w:firstLineChars="250"/>
        <w:jc w:val="left"/>
        <w:rPr>
          <w:rFonts w:hAnsi="宋体"/>
          <w:color w:val="auto"/>
          <w:szCs w:val="21"/>
          <w:highlight w:val="none"/>
        </w:rPr>
      </w:pPr>
      <w:r>
        <w:rPr>
          <w:color w:val="auto"/>
          <w:szCs w:val="21"/>
          <w:highlight w:val="none"/>
        </w:rPr>
        <w:t xml:space="preserve">12.4.6 </w:t>
      </w:r>
      <w:r>
        <w:rPr>
          <w:rFonts w:hAnsi="宋体"/>
          <w:color w:val="auto"/>
          <w:szCs w:val="21"/>
          <w:highlight w:val="none"/>
        </w:rPr>
        <w:t>支付分解表的编制</w:t>
      </w:r>
    </w:p>
    <w:p>
      <w:pPr>
        <w:spacing w:line="360" w:lineRule="auto"/>
        <w:ind w:firstLine="525" w:firstLineChars="250"/>
        <w:jc w:val="left"/>
        <w:rPr>
          <w:color w:val="auto"/>
          <w:szCs w:val="21"/>
          <w:highlight w:val="none"/>
          <w:u w:val="single"/>
        </w:rPr>
      </w:pPr>
      <w:r>
        <w:rPr>
          <w:color w:val="auto"/>
          <w:szCs w:val="21"/>
          <w:highlight w:val="none"/>
        </w:rPr>
        <w:t>2</w:t>
      </w:r>
      <w:r>
        <w:rPr>
          <w:rFonts w:hint="eastAsia" w:hAnsi="宋体"/>
          <w:color w:val="auto"/>
          <w:szCs w:val="21"/>
          <w:highlight w:val="none"/>
        </w:rPr>
        <w:t xml:space="preserve">. </w:t>
      </w:r>
      <w:r>
        <w:rPr>
          <w:rFonts w:hAnsi="宋体"/>
          <w:color w:val="auto"/>
          <w:szCs w:val="21"/>
          <w:highlight w:val="none"/>
        </w:rPr>
        <w:t>总价合同支付分解表的编制与审批：</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Ansi="宋体"/>
          <w:color w:val="auto"/>
          <w:szCs w:val="21"/>
          <w:highlight w:val="none"/>
        </w:rPr>
        <w:t>。</w:t>
      </w:r>
    </w:p>
    <w:p>
      <w:pPr>
        <w:spacing w:line="360" w:lineRule="auto"/>
        <w:ind w:firstLine="525" w:firstLineChars="250"/>
        <w:jc w:val="left"/>
        <w:rPr>
          <w:rFonts w:hAnsi="宋体"/>
          <w:color w:val="auto"/>
          <w:szCs w:val="21"/>
          <w:highlight w:val="none"/>
        </w:rPr>
      </w:pPr>
      <w:r>
        <w:rPr>
          <w:color w:val="auto"/>
          <w:szCs w:val="21"/>
          <w:highlight w:val="none"/>
        </w:rPr>
        <w:t>3</w:t>
      </w:r>
      <w:r>
        <w:rPr>
          <w:rFonts w:hint="eastAsia" w:hAnsi="宋体"/>
          <w:color w:val="auto"/>
          <w:szCs w:val="21"/>
          <w:highlight w:val="none"/>
        </w:rPr>
        <w:t xml:space="preserve">. </w:t>
      </w:r>
      <w:r>
        <w:rPr>
          <w:rFonts w:hAnsi="宋体"/>
          <w:color w:val="auto"/>
          <w:szCs w:val="21"/>
          <w:highlight w:val="none"/>
        </w:rPr>
        <w:t>单价合同的总价项目支付分解表的编制与审批：</w:t>
      </w:r>
      <w:r>
        <w:rPr>
          <w:rFonts w:hint="eastAsia" w:hAnsi="宋体"/>
          <w:color w:val="auto"/>
          <w:szCs w:val="21"/>
          <w:highlight w:val="none"/>
        </w:rPr>
        <w:t>总价项目不采用支付分解表的方式计算，而按《建设工程工程量清单计价规范（GB50500-2013）广西壮族自治区实施细则》的规定执行</w:t>
      </w:r>
      <w:r>
        <w:rPr>
          <w:rFonts w:hAnsi="宋体"/>
          <w:color w:val="auto"/>
          <w:szCs w:val="21"/>
          <w:highlight w:val="none"/>
        </w:rPr>
        <w:t>。</w:t>
      </w:r>
      <w:bookmarkStart w:id="358" w:name="_Toc491946654"/>
    </w:p>
    <w:p>
      <w:pPr>
        <w:spacing w:line="360" w:lineRule="auto"/>
        <w:jc w:val="left"/>
        <w:rPr>
          <w:rFonts w:hAnsi="宋体"/>
          <w:b/>
          <w:bCs/>
          <w:color w:val="auto"/>
          <w:sz w:val="24"/>
          <w:szCs w:val="32"/>
          <w:highlight w:val="none"/>
        </w:rPr>
      </w:pPr>
      <w:r>
        <w:rPr>
          <w:rFonts w:hAnsi="宋体"/>
          <w:b/>
          <w:bCs/>
          <w:color w:val="auto"/>
          <w:sz w:val="24"/>
          <w:szCs w:val="32"/>
          <w:highlight w:val="none"/>
        </w:rPr>
        <w:t>13. 验收和工程试车</w:t>
      </w:r>
      <w:bookmarkEnd w:id="358"/>
    </w:p>
    <w:p>
      <w:pPr>
        <w:pStyle w:val="7"/>
        <w:rPr>
          <w:color w:val="auto"/>
          <w:highlight w:val="none"/>
        </w:rPr>
      </w:pPr>
      <w:bookmarkStart w:id="359" w:name="_Toc2967"/>
      <w:bookmarkStart w:id="360" w:name="_Toc491946655"/>
      <w:r>
        <w:rPr>
          <w:color w:val="auto"/>
          <w:highlight w:val="none"/>
        </w:rPr>
        <w:t>13.1 分部分项工程验收</w:t>
      </w:r>
      <w:bookmarkEnd w:id="359"/>
      <w:bookmarkEnd w:id="360"/>
    </w:p>
    <w:p>
      <w:pPr>
        <w:spacing w:line="360" w:lineRule="auto"/>
        <w:ind w:firstLine="420" w:firstLineChars="200"/>
        <w:jc w:val="left"/>
        <w:rPr>
          <w:color w:val="auto"/>
          <w:szCs w:val="21"/>
          <w:highlight w:val="none"/>
        </w:rPr>
      </w:pPr>
      <w:r>
        <w:rPr>
          <w:color w:val="auto"/>
          <w:szCs w:val="21"/>
          <w:highlight w:val="none"/>
        </w:rPr>
        <w:t>13.1.2</w:t>
      </w:r>
      <w:r>
        <w:rPr>
          <w:rFonts w:hAnsi="宋体"/>
          <w:color w:val="auto"/>
          <w:szCs w:val="21"/>
          <w:highlight w:val="none"/>
        </w:rPr>
        <w:t>监理人不能按时进行验收时，应提前</w:t>
      </w:r>
      <w:r>
        <w:rPr>
          <w:color w:val="auto"/>
          <w:szCs w:val="21"/>
          <w:highlight w:val="none"/>
          <w:u w:val="single"/>
        </w:rPr>
        <w:t xml:space="preserve"> </w:t>
      </w:r>
      <w:r>
        <w:rPr>
          <w:rFonts w:hint="eastAsia"/>
          <w:color w:val="auto"/>
          <w:szCs w:val="21"/>
          <w:highlight w:val="none"/>
          <w:u w:val="single"/>
        </w:rPr>
        <w:t>24</w:t>
      </w:r>
      <w:r>
        <w:rPr>
          <w:color w:val="auto"/>
          <w:szCs w:val="21"/>
          <w:highlight w:val="none"/>
          <w:u w:val="single"/>
        </w:rPr>
        <w:t xml:space="preserve">   </w:t>
      </w:r>
      <w:r>
        <w:rPr>
          <w:rFonts w:hAnsi="宋体"/>
          <w:color w:val="auto"/>
          <w:szCs w:val="21"/>
          <w:highlight w:val="none"/>
        </w:rPr>
        <w:t>小时提交书面延期要求。</w:t>
      </w:r>
    </w:p>
    <w:p>
      <w:pPr>
        <w:spacing w:line="360" w:lineRule="auto"/>
        <w:ind w:firstLine="420" w:firstLineChars="200"/>
        <w:jc w:val="left"/>
        <w:rPr>
          <w:b/>
          <w:color w:val="auto"/>
          <w:szCs w:val="21"/>
          <w:highlight w:val="none"/>
        </w:rPr>
      </w:pPr>
      <w:r>
        <w:rPr>
          <w:rFonts w:hAnsi="宋体"/>
          <w:color w:val="auto"/>
          <w:szCs w:val="21"/>
          <w:highlight w:val="none"/>
        </w:rPr>
        <w:t>关于延期最长不得超过：</w:t>
      </w:r>
      <w:r>
        <w:rPr>
          <w:color w:val="auto"/>
          <w:szCs w:val="21"/>
          <w:highlight w:val="none"/>
          <w:u w:val="single"/>
        </w:rPr>
        <w:t xml:space="preserve">  </w:t>
      </w:r>
      <w:r>
        <w:rPr>
          <w:rFonts w:hint="eastAsia"/>
          <w:color w:val="auto"/>
          <w:szCs w:val="21"/>
          <w:highlight w:val="none"/>
          <w:u w:val="single"/>
        </w:rPr>
        <w:t>48</w:t>
      </w:r>
      <w:r>
        <w:rPr>
          <w:color w:val="auto"/>
          <w:szCs w:val="21"/>
          <w:highlight w:val="none"/>
          <w:u w:val="single"/>
        </w:rPr>
        <w:t xml:space="preserve">   </w:t>
      </w:r>
      <w:r>
        <w:rPr>
          <w:rFonts w:hAnsi="宋体"/>
          <w:color w:val="auto"/>
          <w:szCs w:val="21"/>
          <w:highlight w:val="none"/>
        </w:rPr>
        <w:t>小时。</w:t>
      </w:r>
    </w:p>
    <w:p>
      <w:pPr>
        <w:pStyle w:val="7"/>
        <w:rPr>
          <w:color w:val="auto"/>
          <w:highlight w:val="none"/>
        </w:rPr>
      </w:pPr>
      <w:bookmarkStart w:id="361" w:name="_Toc491946656"/>
      <w:bookmarkStart w:id="362" w:name="_Toc14436"/>
      <w:r>
        <w:rPr>
          <w:color w:val="auto"/>
          <w:highlight w:val="none"/>
        </w:rPr>
        <w:t xml:space="preserve">13.2 </w:t>
      </w:r>
      <w:r>
        <w:rPr>
          <w:rFonts w:hAnsi="宋体"/>
          <w:color w:val="auto"/>
          <w:highlight w:val="none"/>
        </w:rPr>
        <w:t>竣工验收</w:t>
      </w:r>
      <w:bookmarkEnd w:id="361"/>
      <w:bookmarkEnd w:id="362"/>
    </w:p>
    <w:p>
      <w:pPr>
        <w:spacing w:line="360" w:lineRule="auto"/>
        <w:ind w:firstLine="420" w:firstLineChars="200"/>
        <w:jc w:val="left"/>
        <w:rPr>
          <w:color w:val="auto"/>
          <w:szCs w:val="21"/>
          <w:highlight w:val="none"/>
        </w:rPr>
      </w:pPr>
      <w:r>
        <w:rPr>
          <w:color w:val="auto"/>
          <w:szCs w:val="21"/>
          <w:highlight w:val="none"/>
        </w:rPr>
        <w:t>13.2.1</w:t>
      </w:r>
      <w:r>
        <w:rPr>
          <w:rFonts w:hAnsi="宋体"/>
          <w:color w:val="auto"/>
          <w:szCs w:val="21"/>
          <w:highlight w:val="none"/>
        </w:rPr>
        <w:t>竣工验收条件</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w:t>
      </w:r>
      <w:r>
        <w:rPr>
          <w:rFonts w:hAnsi="宋体"/>
          <w:color w:val="auto"/>
          <w:szCs w:val="21"/>
          <w:highlight w:val="none"/>
        </w:rPr>
        <w:t>承包人负责整理和提交的竣工验收资料应当符合工程所在地建设行政主管部门和</w:t>
      </w:r>
      <w:r>
        <w:rPr>
          <w:color w:val="auto"/>
          <w:szCs w:val="21"/>
          <w:highlight w:val="none"/>
        </w:rPr>
        <w:t>(</w:t>
      </w:r>
      <w:r>
        <w:rPr>
          <w:rFonts w:hAnsi="宋体"/>
          <w:color w:val="auto"/>
          <w:szCs w:val="21"/>
          <w:highlight w:val="none"/>
        </w:rPr>
        <w:t>或</w:t>
      </w:r>
      <w:r>
        <w:rPr>
          <w:color w:val="auto"/>
          <w:szCs w:val="21"/>
          <w:highlight w:val="none"/>
        </w:rPr>
        <w:t>)</w:t>
      </w:r>
      <w:r>
        <w:rPr>
          <w:rFonts w:hAnsi="宋体"/>
          <w:color w:val="auto"/>
          <w:szCs w:val="21"/>
          <w:highlight w:val="none"/>
        </w:rPr>
        <w:t>城市建设档案管理机构有关施工资料的要求，具体内容包括：</w:t>
      </w:r>
      <w:r>
        <w:rPr>
          <w:color w:val="auto"/>
          <w:szCs w:val="21"/>
          <w:highlight w:val="none"/>
          <w:u w:val="single"/>
        </w:rPr>
        <w:t xml:space="preserve">     </w:t>
      </w:r>
      <w:r>
        <w:rPr>
          <w:rFonts w:hint="eastAsia"/>
          <w:color w:val="auto"/>
          <w:szCs w:val="21"/>
          <w:highlight w:val="none"/>
          <w:u w:val="single"/>
        </w:rPr>
        <w:t>另行约定</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rPr>
          <w:color w:val="auto"/>
          <w:szCs w:val="21"/>
          <w:highlight w:val="none"/>
        </w:rPr>
      </w:pPr>
      <w:r>
        <w:rPr>
          <w:rFonts w:hAnsi="宋体"/>
          <w:color w:val="auto"/>
          <w:szCs w:val="21"/>
          <w:highlight w:val="none"/>
        </w:rPr>
        <w:t>竣工验收资料的份数：</w:t>
      </w:r>
      <w:r>
        <w:rPr>
          <w:color w:val="auto"/>
          <w:szCs w:val="21"/>
          <w:highlight w:val="none"/>
          <w:u w:val="single"/>
        </w:rPr>
        <w:t xml:space="preserve">  </w:t>
      </w:r>
      <w:r>
        <w:rPr>
          <w:rFonts w:hint="eastAsia"/>
          <w:color w:val="auto"/>
          <w:szCs w:val="21"/>
          <w:highlight w:val="none"/>
          <w:u w:val="single"/>
        </w:rPr>
        <w:t>一式四套</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rPr>
      </w:pPr>
      <w:r>
        <w:rPr>
          <w:rFonts w:hAnsi="宋体"/>
          <w:bCs/>
          <w:color w:val="auto"/>
          <w:szCs w:val="21"/>
          <w:highlight w:val="none"/>
        </w:rPr>
        <w:t>承包人提供竣工图的约定：</w:t>
      </w:r>
      <w:r>
        <w:rPr>
          <w:rFonts w:hAnsi="宋体"/>
          <w:bCs/>
          <w:color w:val="auto"/>
          <w:szCs w:val="21"/>
          <w:highlight w:val="none"/>
          <w:u w:val="single"/>
        </w:rPr>
        <w:t>竣工验收正式通过后</w:t>
      </w:r>
      <w:r>
        <w:rPr>
          <w:bCs/>
          <w:color w:val="auto"/>
          <w:szCs w:val="21"/>
          <w:highlight w:val="none"/>
          <w:u w:val="single"/>
        </w:rPr>
        <w:t>5</w:t>
      </w:r>
      <w:r>
        <w:rPr>
          <w:rFonts w:hAnsi="宋体"/>
          <w:bCs/>
          <w:color w:val="auto"/>
          <w:szCs w:val="21"/>
          <w:highlight w:val="none"/>
          <w:u w:val="single"/>
        </w:rPr>
        <w:t>天（工程造价在</w:t>
      </w:r>
      <w:r>
        <w:rPr>
          <w:bCs/>
          <w:color w:val="auto"/>
          <w:szCs w:val="21"/>
          <w:highlight w:val="none"/>
          <w:u w:val="single"/>
        </w:rPr>
        <w:t>500</w:t>
      </w:r>
      <w:r>
        <w:rPr>
          <w:rFonts w:hAnsi="宋体"/>
          <w:bCs/>
          <w:color w:val="auto"/>
          <w:szCs w:val="21"/>
          <w:highlight w:val="none"/>
          <w:u w:val="single"/>
        </w:rPr>
        <w:t>万元以下含</w:t>
      </w:r>
      <w:r>
        <w:rPr>
          <w:bCs/>
          <w:color w:val="auto"/>
          <w:szCs w:val="21"/>
          <w:highlight w:val="none"/>
          <w:u w:val="single"/>
        </w:rPr>
        <w:t>500</w:t>
      </w:r>
      <w:r>
        <w:rPr>
          <w:rFonts w:hAnsi="宋体"/>
          <w:bCs/>
          <w:color w:val="auto"/>
          <w:szCs w:val="21"/>
          <w:highlight w:val="none"/>
          <w:u w:val="single"/>
        </w:rPr>
        <w:t>万元）、</w:t>
      </w:r>
      <w:r>
        <w:rPr>
          <w:bCs/>
          <w:color w:val="auto"/>
          <w:szCs w:val="21"/>
          <w:highlight w:val="none"/>
          <w:u w:val="single"/>
        </w:rPr>
        <w:t>10</w:t>
      </w:r>
      <w:r>
        <w:rPr>
          <w:rFonts w:hAnsi="宋体"/>
          <w:bCs/>
          <w:color w:val="auto"/>
          <w:szCs w:val="21"/>
          <w:highlight w:val="none"/>
          <w:u w:val="single"/>
        </w:rPr>
        <w:t>天（工程造价在</w:t>
      </w:r>
      <w:r>
        <w:rPr>
          <w:bCs/>
          <w:color w:val="auto"/>
          <w:szCs w:val="21"/>
          <w:highlight w:val="none"/>
          <w:u w:val="single"/>
        </w:rPr>
        <w:t>500</w:t>
      </w:r>
      <w:r>
        <w:rPr>
          <w:rFonts w:hAnsi="宋体"/>
          <w:bCs/>
          <w:color w:val="auto"/>
          <w:szCs w:val="21"/>
          <w:highlight w:val="none"/>
          <w:u w:val="single"/>
        </w:rPr>
        <w:t>万元至</w:t>
      </w:r>
      <w:r>
        <w:rPr>
          <w:bCs/>
          <w:color w:val="auto"/>
          <w:szCs w:val="21"/>
          <w:highlight w:val="none"/>
          <w:u w:val="single"/>
        </w:rPr>
        <w:t>1000</w:t>
      </w:r>
      <w:r>
        <w:rPr>
          <w:rFonts w:hAnsi="宋体"/>
          <w:bCs/>
          <w:color w:val="auto"/>
          <w:szCs w:val="21"/>
          <w:highlight w:val="none"/>
          <w:u w:val="single"/>
        </w:rPr>
        <w:t>万元之间含</w:t>
      </w:r>
      <w:r>
        <w:rPr>
          <w:bCs/>
          <w:color w:val="auto"/>
          <w:szCs w:val="21"/>
          <w:highlight w:val="none"/>
          <w:u w:val="single"/>
        </w:rPr>
        <w:t>1000</w:t>
      </w:r>
      <w:r>
        <w:rPr>
          <w:rFonts w:hAnsi="宋体"/>
          <w:bCs/>
          <w:color w:val="auto"/>
          <w:szCs w:val="21"/>
          <w:highlight w:val="none"/>
          <w:u w:val="single"/>
        </w:rPr>
        <w:t>万元）、</w:t>
      </w:r>
      <w:r>
        <w:rPr>
          <w:bCs/>
          <w:color w:val="auto"/>
          <w:szCs w:val="21"/>
          <w:highlight w:val="none"/>
          <w:u w:val="single"/>
        </w:rPr>
        <w:t>15</w:t>
      </w:r>
      <w:r>
        <w:rPr>
          <w:rFonts w:hAnsi="宋体"/>
          <w:bCs/>
          <w:color w:val="auto"/>
          <w:szCs w:val="21"/>
          <w:highlight w:val="none"/>
          <w:u w:val="single"/>
        </w:rPr>
        <w:t>天（工程造价在</w:t>
      </w:r>
      <w:r>
        <w:rPr>
          <w:bCs/>
          <w:color w:val="auto"/>
          <w:szCs w:val="21"/>
          <w:highlight w:val="none"/>
          <w:u w:val="single"/>
        </w:rPr>
        <w:t>1000</w:t>
      </w:r>
      <w:r>
        <w:rPr>
          <w:rFonts w:hAnsi="宋体"/>
          <w:bCs/>
          <w:color w:val="auto"/>
          <w:szCs w:val="21"/>
          <w:highlight w:val="none"/>
          <w:u w:val="single"/>
        </w:rPr>
        <w:t>万元以上），提供竣工图的数量分别为</w:t>
      </w:r>
      <w:r>
        <w:rPr>
          <w:bCs/>
          <w:color w:val="auto"/>
          <w:szCs w:val="21"/>
          <w:highlight w:val="none"/>
          <w:u w:val="single"/>
        </w:rPr>
        <w:t>2</w:t>
      </w:r>
      <w:r>
        <w:rPr>
          <w:rFonts w:hAnsi="宋体"/>
          <w:bCs/>
          <w:color w:val="auto"/>
          <w:szCs w:val="21"/>
          <w:highlight w:val="none"/>
          <w:u w:val="single"/>
        </w:rPr>
        <w:t>套、</w:t>
      </w:r>
      <w:r>
        <w:rPr>
          <w:bCs/>
          <w:color w:val="auto"/>
          <w:szCs w:val="21"/>
          <w:highlight w:val="none"/>
          <w:u w:val="single"/>
        </w:rPr>
        <w:t>4</w:t>
      </w:r>
      <w:r>
        <w:rPr>
          <w:rFonts w:hAnsi="宋体"/>
          <w:bCs/>
          <w:color w:val="auto"/>
          <w:szCs w:val="21"/>
          <w:highlight w:val="none"/>
          <w:u w:val="single"/>
        </w:rPr>
        <w:t>套、</w:t>
      </w:r>
      <w:r>
        <w:rPr>
          <w:bCs/>
          <w:color w:val="auto"/>
          <w:szCs w:val="21"/>
          <w:highlight w:val="none"/>
          <w:u w:val="single"/>
        </w:rPr>
        <w:t>6</w:t>
      </w:r>
      <w:r>
        <w:rPr>
          <w:rFonts w:hAnsi="宋体"/>
          <w:bCs/>
          <w:color w:val="auto"/>
          <w:szCs w:val="21"/>
          <w:highlight w:val="none"/>
          <w:u w:val="single"/>
        </w:rPr>
        <w:t>套。</w:t>
      </w:r>
    </w:p>
    <w:p>
      <w:pPr>
        <w:spacing w:line="360" w:lineRule="auto"/>
        <w:ind w:firstLine="420" w:firstLineChars="200"/>
        <w:jc w:val="left"/>
        <w:rPr>
          <w:color w:val="auto"/>
          <w:szCs w:val="21"/>
          <w:highlight w:val="none"/>
        </w:rPr>
      </w:pPr>
      <w:r>
        <w:rPr>
          <w:color w:val="auto"/>
          <w:szCs w:val="21"/>
          <w:highlight w:val="none"/>
        </w:rPr>
        <w:t>13.2.2</w:t>
      </w:r>
      <w:r>
        <w:rPr>
          <w:rFonts w:hAnsi="宋体"/>
          <w:color w:val="auto"/>
          <w:szCs w:val="21"/>
          <w:highlight w:val="none"/>
        </w:rPr>
        <w:t>竣工验收程序</w:t>
      </w:r>
    </w:p>
    <w:p>
      <w:pPr>
        <w:spacing w:line="360" w:lineRule="auto"/>
        <w:ind w:firstLine="420" w:firstLineChars="200"/>
        <w:jc w:val="left"/>
        <w:rPr>
          <w:color w:val="auto"/>
          <w:szCs w:val="21"/>
          <w:highlight w:val="none"/>
          <w:u w:val="single"/>
        </w:rPr>
      </w:pPr>
      <w:r>
        <w:rPr>
          <w:rFonts w:hAnsi="宋体"/>
          <w:color w:val="auto"/>
          <w:kern w:val="0"/>
          <w:szCs w:val="21"/>
          <w:highlight w:val="none"/>
        </w:rPr>
        <w:t>关于竣工验收程序的约定：</w:t>
      </w:r>
      <w:r>
        <w:rPr>
          <w:color w:val="auto"/>
          <w:szCs w:val="21"/>
          <w:highlight w:val="none"/>
          <w:u w:val="single"/>
        </w:rPr>
        <w:t xml:space="preserve">     </w:t>
      </w:r>
      <w:r>
        <w:rPr>
          <w:color w:val="auto"/>
          <w:spacing w:val="3"/>
          <w:highlight w:val="none"/>
          <w:u w:val="single"/>
        </w:rPr>
        <w:t xml:space="preserve"> </w:t>
      </w:r>
      <w:r>
        <w:rPr>
          <w:color w:val="auto"/>
          <w:highlight w:val="none"/>
          <w:u w:val="single"/>
        </w:rPr>
        <w:t>按《通用合同条款》执行</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rPr>
      </w:pPr>
      <w:r>
        <w:rPr>
          <w:rFonts w:hAnsi="宋体"/>
          <w:color w:val="auto"/>
          <w:kern w:val="0"/>
          <w:szCs w:val="21"/>
          <w:highlight w:val="none"/>
        </w:rPr>
        <w:t>发包人不按照本项约定组织竣工验收、颁发工程接收证书的违约金的计算方法：</w:t>
      </w:r>
      <w:r>
        <w:rPr>
          <w:color w:val="auto"/>
          <w:szCs w:val="21"/>
          <w:highlight w:val="none"/>
          <w:u w:val="single"/>
        </w:rPr>
        <w:t xml:space="preserve">      </w:t>
      </w:r>
      <w:r>
        <w:rPr>
          <w:rFonts w:hint="eastAsia"/>
          <w:color w:val="auto"/>
          <w:spacing w:val="3"/>
          <w:highlight w:val="none"/>
          <w:u w:val="single"/>
        </w:rPr>
        <w:t>无</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rPr>
      </w:pPr>
      <w:r>
        <w:rPr>
          <w:color w:val="auto"/>
          <w:szCs w:val="21"/>
          <w:highlight w:val="none"/>
        </w:rPr>
        <w:t>13.2.5</w:t>
      </w:r>
      <w:r>
        <w:rPr>
          <w:rFonts w:hAnsi="宋体"/>
          <w:color w:val="auto"/>
          <w:szCs w:val="21"/>
          <w:highlight w:val="none"/>
        </w:rPr>
        <w:t>移交、接收全部与部分工程</w:t>
      </w:r>
    </w:p>
    <w:p>
      <w:pPr>
        <w:spacing w:line="360" w:lineRule="auto"/>
        <w:ind w:firstLine="420" w:firstLineChars="200"/>
        <w:jc w:val="left"/>
        <w:rPr>
          <w:color w:val="auto"/>
          <w:kern w:val="0"/>
          <w:szCs w:val="21"/>
          <w:highlight w:val="none"/>
        </w:rPr>
      </w:pPr>
      <w:r>
        <w:rPr>
          <w:rFonts w:hAnsi="宋体"/>
          <w:color w:val="auto"/>
          <w:kern w:val="0"/>
          <w:szCs w:val="21"/>
          <w:highlight w:val="none"/>
        </w:rPr>
        <w:t>承包人向发包人移交工程的期限：</w:t>
      </w:r>
      <w:r>
        <w:rPr>
          <w:color w:val="auto"/>
          <w:szCs w:val="21"/>
          <w:highlight w:val="none"/>
          <w:u w:val="single"/>
        </w:rPr>
        <w:t xml:space="preserve">   </w:t>
      </w:r>
      <w:r>
        <w:rPr>
          <w:rFonts w:hint="eastAsia"/>
          <w:color w:val="auto"/>
          <w:spacing w:val="3"/>
          <w:highlight w:val="none"/>
          <w:u w:val="single"/>
        </w:rPr>
        <w:t>竣工验收意见书签发后7天内</w:t>
      </w:r>
      <w:r>
        <w:rPr>
          <w:color w:val="auto"/>
          <w:spacing w:val="3"/>
          <w:highlight w:val="none"/>
          <w:u w:val="single"/>
        </w:rPr>
        <w:t xml:space="preserve">  </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u w:val="single"/>
        </w:rPr>
      </w:pPr>
      <w:r>
        <w:rPr>
          <w:rFonts w:hAnsi="宋体"/>
          <w:color w:val="auto"/>
          <w:kern w:val="0"/>
          <w:szCs w:val="21"/>
          <w:highlight w:val="none"/>
        </w:rPr>
        <w:t>发包人未按本合同约定接收全部或部分工程的，违约金的计算方法为：</w:t>
      </w:r>
      <w:r>
        <w:rPr>
          <w:rFonts w:hint="eastAsia"/>
          <w:color w:val="auto"/>
          <w:highlight w:val="none"/>
          <w:u w:val="single"/>
        </w:rPr>
        <w:t xml:space="preserve">双方另行约定  </w:t>
      </w:r>
      <w:r>
        <w:rPr>
          <w:color w:val="auto"/>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u w:val="single"/>
        </w:rPr>
      </w:pPr>
      <w:r>
        <w:rPr>
          <w:rFonts w:hAnsi="宋体"/>
          <w:color w:val="auto"/>
          <w:szCs w:val="21"/>
          <w:highlight w:val="none"/>
        </w:rPr>
        <w:t>承包人未按时移交工程的，违约金的计算方法为：</w:t>
      </w:r>
      <w:r>
        <w:rPr>
          <w:rFonts w:hint="eastAsia"/>
          <w:color w:val="auto"/>
          <w:szCs w:val="21"/>
          <w:highlight w:val="none"/>
          <w:u w:val="single"/>
        </w:rPr>
        <w:t xml:space="preserve">双方另行约定  </w:t>
      </w:r>
      <w:r>
        <w:rPr>
          <w:color w:val="auto"/>
          <w:szCs w:val="21"/>
          <w:highlight w:val="none"/>
          <w:u w:val="single"/>
        </w:rPr>
        <w:t xml:space="preserve">   </w:t>
      </w:r>
      <w:r>
        <w:rPr>
          <w:rFonts w:hAnsi="宋体"/>
          <w:color w:val="auto"/>
          <w:szCs w:val="21"/>
          <w:highlight w:val="none"/>
        </w:rPr>
        <w:t>。</w:t>
      </w:r>
    </w:p>
    <w:p>
      <w:pPr>
        <w:pStyle w:val="7"/>
        <w:rPr>
          <w:color w:val="auto"/>
          <w:highlight w:val="none"/>
        </w:rPr>
      </w:pPr>
      <w:bookmarkStart w:id="363" w:name="_Toc491946657"/>
      <w:bookmarkStart w:id="364" w:name="_Toc22449"/>
      <w:r>
        <w:rPr>
          <w:color w:val="auto"/>
          <w:highlight w:val="none"/>
        </w:rPr>
        <w:t xml:space="preserve">13.3 </w:t>
      </w:r>
      <w:r>
        <w:rPr>
          <w:rFonts w:hAnsi="宋体"/>
          <w:color w:val="auto"/>
          <w:highlight w:val="none"/>
        </w:rPr>
        <w:t>工程试车</w:t>
      </w:r>
      <w:bookmarkEnd w:id="363"/>
      <w:bookmarkEnd w:id="364"/>
    </w:p>
    <w:p>
      <w:pPr>
        <w:spacing w:line="360" w:lineRule="auto"/>
        <w:ind w:firstLine="420" w:firstLineChars="200"/>
        <w:jc w:val="left"/>
        <w:rPr>
          <w:color w:val="auto"/>
          <w:kern w:val="0"/>
          <w:szCs w:val="21"/>
          <w:highlight w:val="none"/>
        </w:rPr>
      </w:pPr>
      <w:r>
        <w:rPr>
          <w:color w:val="auto"/>
          <w:kern w:val="0"/>
          <w:szCs w:val="21"/>
          <w:highlight w:val="none"/>
        </w:rPr>
        <w:t xml:space="preserve">13.3.1 </w:t>
      </w:r>
      <w:r>
        <w:rPr>
          <w:rFonts w:hAnsi="宋体"/>
          <w:color w:val="auto"/>
          <w:kern w:val="0"/>
          <w:szCs w:val="21"/>
          <w:highlight w:val="none"/>
        </w:rPr>
        <w:t>试车程序</w:t>
      </w:r>
    </w:p>
    <w:p>
      <w:pPr>
        <w:spacing w:line="360" w:lineRule="auto"/>
        <w:ind w:firstLine="420" w:firstLineChars="200"/>
        <w:jc w:val="left"/>
        <w:rPr>
          <w:color w:val="auto"/>
          <w:szCs w:val="21"/>
          <w:highlight w:val="none"/>
          <w:u w:val="single"/>
        </w:rPr>
      </w:pPr>
      <w:r>
        <w:rPr>
          <w:rFonts w:hAnsi="宋体"/>
          <w:color w:val="auto"/>
          <w:kern w:val="0"/>
          <w:szCs w:val="21"/>
          <w:highlight w:val="none"/>
        </w:rPr>
        <w:t>工程试车内容：</w:t>
      </w:r>
      <w:r>
        <w:rPr>
          <w:color w:val="auto"/>
          <w:szCs w:val="21"/>
          <w:highlight w:val="none"/>
          <w:u w:val="single"/>
        </w:rPr>
        <w:t xml:space="preserve">       </w:t>
      </w:r>
      <w:r>
        <w:rPr>
          <w:color w:val="auto"/>
          <w:highlight w:val="none"/>
          <w:u w:val="single"/>
        </w:rPr>
        <w:t>按通用条款约定执行</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1</w:t>
      </w:r>
      <w:r>
        <w:rPr>
          <w:rFonts w:hAnsi="宋体"/>
          <w:color w:val="auto"/>
          <w:kern w:val="0"/>
          <w:szCs w:val="21"/>
          <w:highlight w:val="none"/>
        </w:rPr>
        <w:t>）单机无负荷试车费用由</w:t>
      </w:r>
      <w:r>
        <w:rPr>
          <w:color w:val="auto"/>
          <w:szCs w:val="21"/>
          <w:highlight w:val="none"/>
          <w:u w:val="single"/>
        </w:rPr>
        <w:t xml:space="preserve">   </w:t>
      </w:r>
      <w:r>
        <w:rPr>
          <w:rFonts w:hint="eastAsia"/>
          <w:color w:val="auto"/>
          <w:szCs w:val="21"/>
          <w:highlight w:val="none"/>
          <w:u w:val="single"/>
        </w:rPr>
        <w:t>承包人</w:t>
      </w:r>
      <w:r>
        <w:rPr>
          <w:color w:val="auto"/>
          <w:szCs w:val="21"/>
          <w:highlight w:val="none"/>
          <w:u w:val="single"/>
        </w:rPr>
        <w:t xml:space="preserve">       </w:t>
      </w:r>
      <w:r>
        <w:rPr>
          <w:rFonts w:hAnsi="宋体"/>
          <w:color w:val="auto"/>
          <w:kern w:val="0"/>
          <w:szCs w:val="21"/>
          <w:highlight w:val="none"/>
        </w:rPr>
        <w:t>承担；</w:t>
      </w:r>
    </w:p>
    <w:p>
      <w:pPr>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2</w:t>
      </w:r>
      <w:r>
        <w:rPr>
          <w:rFonts w:hAnsi="宋体"/>
          <w:color w:val="auto"/>
          <w:kern w:val="0"/>
          <w:szCs w:val="21"/>
          <w:highlight w:val="none"/>
        </w:rPr>
        <w:t>）无负荷联动试车费用由</w:t>
      </w:r>
      <w:r>
        <w:rPr>
          <w:color w:val="auto"/>
          <w:szCs w:val="21"/>
          <w:highlight w:val="none"/>
          <w:u w:val="single"/>
        </w:rPr>
        <w:t xml:space="preserve">   </w:t>
      </w:r>
      <w:r>
        <w:rPr>
          <w:rFonts w:hint="eastAsia"/>
          <w:color w:val="auto"/>
          <w:szCs w:val="21"/>
          <w:highlight w:val="none"/>
          <w:u w:val="single"/>
        </w:rPr>
        <w:t>承包人</w:t>
      </w:r>
      <w:r>
        <w:rPr>
          <w:color w:val="auto"/>
          <w:szCs w:val="21"/>
          <w:highlight w:val="none"/>
          <w:u w:val="single"/>
        </w:rPr>
        <w:t xml:space="preserve">           </w:t>
      </w:r>
      <w:r>
        <w:rPr>
          <w:rFonts w:hAnsi="宋体"/>
          <w:color w:val="auto"/>
          <w:kern w:val="0"/>
          <w:szCs w:val="21"/>
          <w:highlight w:val="none"/>
        </w:rPr>
        <w:t>承担。</w:t>
      </w:r>
    </w:p>
    <w:p>
      <w:pPr>
        <w:spacing w:line="360" w:lineRule="auto"/>
        <w:ind w:firstLine="420" w:firstLineChars="200"/>
        <w:jc w:val="left"/>
        <w:rPr>
          <w:color w:val="auto"/>
          <w:kern w:val="0"/>
          <w:szCs w:val="21"/>
          <w:highlight w:val="none"/>
        </w:rPr>
      </w:pPr>
      <w:r>
        <w:rPr>
          <w:color w:val="auto"/>
          <w:kern w:val="0"/>
          <w:szCs w:val="21"/>
          <w:highlight w:val="none"/>
        </w:rPr>
        <w:t xml:space="preserve">13.3.3 </w:t>
      </w:r>
      <w:r>
        <w:rPr>
          <w:rFonts w:hAnsi="宋体"/>
          <w:color w:val="auto"/>
          <w:kern w:val="0"/>
          <w:szCs w:val="21"/>
          <w:highlight w:val="none"/>
        </w:rPr>
        <w:t>投料试车</w:t>
      </w:r>
    </w:p>
    <w:p>
      <w:pPr>
        <w:spacing w:line="360" w:lineRule="auto"/>
        <w:ind w:firstLine="420" w:firstLineChars="200"/>
        <w:jc w:val="left"/>
        <w:rPr>
          <w:color w:val="auto"/>
          <w:szCs w:val="21"/>
          <w:highlight w:val="none"/>
          <w:u w:val="single"/>
        </w:rPr>
      </w:pPr>
      <w:r>
        <w:rPr>
          <w:rFonts w:hAnsi="宋体"/>
          <w:color w:val="auto"/>
          <w:kern w:val="0"/>
          <w:szCs w:val="21"/>
          <w:highlight w:val="none"/>
        </w:rPr>
        <w:t>关于投料试车相关事项的约定：</w:t>
      </w:r>
      <w:r>
        <w:rPr>
          <w:color w:val="auto"/>
          <w:szCs w:val="21"/>
          <w:highlight w:val="none"/>
          <w:u w:val="single"/>
        </w:rPr>
        <w:t xml:space="preserve"> 承包人应配合发包人在工程竣工验收后组织投料试车   </w:t>
      </w:r>
      <w:r>
        <w:rPr>
          <w:rFonts w:hAnsi="宋体"/>
          <w:color w:val="auto"/>
          <w:szCs w:val="21"/>
          <w:highlight w:val="none"/>
        </w:rPr>
        <w:t>。</w:t>
      </w:r>
    </w:p>
    <w:p>
      <w:pPr>
        <w:pStyle w:val="7"/>
        <w:rPr>
          <w:color w:val="auto"/>
          <w:highlight w:val="none"/>
        </w:rPr>
      </w:pPr>
      <w:bookmarkStart w:id="365" w:name="_Toc26018"/>
      <w:bookmarkStart w:id="366" w:name="_Toc491946658"/>
      <w:r>
        <w:rPr>
          <w:color w:val="auto"/>
          <w:highlight w:val="none"/>
        </w:rPr>
        <w:t xml:space="preserve">13.6 </w:t>
      </w:r>
      <w:r>
        <w:rPr>
          <w:rFonts w:hAnsi="宋体"/>
          <w:color w:val="auto"/>
          <w:highlight w:val="none"/>
        </w:rPr>
        <w:t>竣工退场</w:t>
      </w:r>
      <w:bookmarkEnd w:id="365"/>
      <w:bookmarkEnd w:id="366"/>
    </w:p>
    <w:p>
      <w:pPr>
        <w:spacing w:line="360" w:lineRule="auto"/>
        <w:ind w:firstLine="420" w:firstLineChars="200"/>
        <w:jc w:val="left"/>
        <w:rPr>
          <w:color w:val="auto"/>
          <w:kern w:val="0"/>
          <w:szCs w:val="21"/>
          <w:highlight w:val="none"/>
        </w:rPr>
      </w:pPr>
      <w:r>
        <w:rPr>
          <w:color w:val="auto"/>
          <w:kern w:val="0"/>
          <w:szCs w:val="21"/>
          <w:highlight w:val="none"/>
        </w:rPr>
        <w:t xml:space="preserve">13.6.1 </w:t>
      </w:r>
      <w:r>
        <w:rPr>
          <w:rFonts w:hAnsi="宋体"/>
          <w:color w:val="auto"/>
          <w:kern w:val="0"/>
          <w:szCs w:val="21"/>
          <w:highlight w:val="none"/>
        </w:rPr>
        <w:t>竣工退场</w:t>
      </w:r>
    </w:p>
    <w:p>
      <w:pPr>
        <w:spacing w:line="360" w:lineRule="auto"/>
        <w:ind w:firstLine="420" w:firstLineChars="200"/>
        <w:jc w:val="left"/>
        <w:rPr>
          <w:rFonts w:hAnsi="宋体"/>
          <w:color w:val="auto"/>
          <w:kern w:val="0"/>
          <w:szCs w:val="21"/>
          <w:highlight w:val="none"/>
        </w:rPr>
      </w:pPr>
      <w:r>
        <w:rPr>
          <w:rFonts w:hAnsi="宋体"/>
          <w:color w:val="auto"/>
          <w:kern w:val="0"/>
          <w:szCs w:val="21"/>
          <w:highlight w:val="none"/>
        </w:rPr>
        <w:t>承包人完成竣工退场的期限：</w:t>
      </w:r>
      <w:r>
        <w:rPr>
          <w:color w:val="auto"/>
          <w:szCs w:val="21"/>
          <w:highlight w:val="none"/>
          <w:u w:val="single"/>
        </w:rPr>
        <w:t xml:space="preserve">   </w:t>
      </w:r>
      <w:r>
        <w:rPr>
          <w:rFonts w:hint="eastAsia"/>
          <w:color w:val="auto"/>
          <w:szCs w:val="21"/>
          <w:highlight w:val="none"/>
          <w:u w:val="single"/>
        </w:rPr>
        <w:t>10天</w:t>
      </w:r>
      <w:r>
        <w:rPr>
          <w:color w:val="auto"/>
          <w:szCs w:val="21"/>
          <w:highlight w:val="none"/>
          <w:u w:val="single"/>
        </w:rPr>
        <w:t xml:space="preserve">             </w:t>
      </w:r>
      <w:r>
        <w:rPr>
          <w:rFonts w:hAnsi="宋体"/>
          <w:color w:val="auto"/>
          <w:kern w:val="0"/>
          <w:szCs w:val="21"/>
          <w:highlight w:val="none"/>
        </w:rPr>
        <w:t>。</w:t>
      </w:r>
      <w:bookmarkStart w:id="367" w:name="_Toc491946659"/>
    </w:p>
    <w:p>
      <w:pPr>
        <w:spacing w:line="360" w:lineRule="auto"/>
        <w:jc w:val="left"/>
        <w:rPr>
          <w:rFonts w:hAnsi="宋体"/>
          <w:b/>
          <w:bCs/>
          <w:color w:val="auto"/>
          <w:sz w:val="24"/>
          <w:szCs w:val="32"/>
          <w:highlight w:val="none"/>
        </w:rPr>
      </w:pPr>
      <w:r>
        <w:rPr>
          <w:rFonts w:hAnsi="宋体"/>
          <w:b/>
          <w:bCs/>
          <w:color w:val="auto"/>
          <w:sz w:val="24"/>
          <w:szCs w:val="32"/>
          <w:highlight w:val="none"/>
        </w:rPr>
        <w:t>14. 竣工结算</w:t>
      </w:r>
      <w:bookmarkEnd w:id="367"/>
    </w:p>
    <w:p>
      <w:pPr>
        <w:pStyle w:val="7"/>
        <w:rPr>
          <w:color w:val="auto"/>
          <w:highlight w:val="none"/>
        </w:rPr>
      </w:pPr>
      <w:bookmarkStart w:id="368" w:name="_Toc491946660"/>
      <w:bookmarkStart w:id="369" w:name="_Toc8565"/>
      <w:r>
        <w:rPr>
          <w:color w:val="auto"/>
          <w:highlight w:val="none"/>
        </w:rPr>
        <w:t xml:space="preserve">14.1 </w:t>
      </w:r>
      <w:r>
        <w:rPr>
          <w:rFonts w:hAnsi="宋体"/>
          <w:color w:val="auto"/>
          <w:highlight w:val="none"/>
        </w:rPr>
        <w:t>竣工付款申请</w:t>
      </w:r>
      <w:bookmarkEnd w:id="368"/>
      <w:bookmarkEnd w:id="369"/>
    </w:p>
    <w:p>
      <w:pPr>
        <w:spacing w:line="360" w:lineRule="auto"/>
        <w:ind w:firstLine="420" w:firstLineChars="200"/>
        <w:jc w:val="left"/>
        <w:rPr>
          <w:color w:val="auto"/>
          <w:szCs w:val="21"/>
          <w:highlight w:val="none"/>
        </w:rPr>
      </w:pPr>
      <w:r>
        <w:rPr>
          <w:rFonts w:hAnsi="宋体"/>
          <w:color w:val="auto"/>
          <w:szCs w:val="21"/>
          <w:highlight w:val="none"/>
        </w:rPr>
        <w:t>承包人提交竣工付款申请单的期限：</w:t>
      </w:r>
      <w:r>
        <w:rPr>
          <w:color w:val="auto"/>
          <w:szCs w:val="21"/>
          <w:highlight w:val="none"/>
          <w:u w:val="single"/>
        </w:rPr>
        <w:t xml:space="preserve">    </w:t>
      </w:r>
      <w:r>
        <w:rPr>
          <w:rFonts w:hint="eastAsia"/>
          <w:color w:val="auto"/>
          <w:szCs w:val="21"/>
          <w:highlight w:val="none"/>
          <w:u w:val="single"/>
        </w:rPr>
        <w:t>另行约定</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u w:val="single"/>
        </w:rPr>
      </w:pPr>
      <w:r>
        <w:rPr>
          <w:rFonts w:hAnsi="宋体"/>
          <w:color w:val="auto"/>
          <w:szCs w:val="21"/>
          <w:highlight w:val="none"/>
        </w:rPr>
        <w:t>竣工付款申请单应包括的内容：</w:t>
      </w:r>
      <w:r>
        <w:rPr>
          <w:color w:val="auto"/>
          <w:szCs w:val="21"/>
          <w:highlight w:val="none"/>
          <w:u w:val="single"/>
        </w:rPr>
        <w:t xml:space="preserve">       </w:t>
      </w:r>
      <w:r>
        <w:rPr>
          <w:rFonts w:hint="eastAsia"/>
          <w:color w:val="auto"/>
          <w:szCs w:val="21"/>
          <w:highlight w:val="none"/>
          <w:u w:val="single"/>
        </w:rPr>
        <w:t>另行约定</w:t>
      </w:r>
      <w:r>
        <w:rPr>
          <w:color w:val="auto"/>
          <w:szCs w:val="21"/>
          <w:highlight w:val="none"/>
          <w:u w:val="single"/>
        </w:rPr>
        <w:t xml:space="preserve">                 </w:t>
      </w:r>
      <w:r>
        <w:rPr>
          <w:rFonts w:hAnsi="宋体"/>
          <w:color w:val="auto"/>
          <w:szCs w:val="21"/>
          <w:highlight w:val="none"/>
        </w:rPr>
        <w:t>。</w:t>
      </w:r>
    </w:p>
    <w:p>
      <w:pPr>
        <w:pStyle w:val="7"/>
        <w:rPr>
          <w:color w:val="auto"/>
          <w:highlight w:val="none"/>
        </w:rPr>
      </w:pPr>
      <w:bookmarkStart w:id="370" w:name="_Toc491946661"/>
      <w:bookmarkStart w:id="371" w:name="_Toc377"/>
      <w:r>
        <w:rPr>
          <w:color w:val="auto"/>
          <w:highlight w:val="none"/>
        </w:rPr>
        <w:t xml:space="preserve">14.2 </w:t>
      </w:r>
      <w:r>
        <w:rPr>
          <w:rFonts w:hAnsi="宋体"/>
          <w:color w:val="auto"/>
          <w:highlight w:val="none"/>
        </w:rPr>
        <w:t>竣工结算审核</w:t>
      </w:r>
      <w:bookmarkEnd w:id="370"/>
      <w:bookmarkEnd w:id="371"/>
    </w:p>
    <w:p>
      <w:pPr>
        <w:spacing w:line="360" w:lineRule="auto"/>
        <w:ind w:firstLine="420" w:firstLineChars="200"/>
        <w:jc w:val="left"/>
        <w:rPr>
          <w:color w:val="auto"/>
          <w:szCs w:val="21"/>
          <w:highlight w:val="none"/>
        </w:rPr>
      </w:pPr>
      <w:r>
        <w:rPr>
          <w:rFonts w:hAnsi="宋体"/>
          <w:color w:val="auto"/>
          <w:szCs w:val="21"/>
          <w:highlight w:val="none"/>
        </w:rPr>
        <w:t>发包人审批竣工付款申请单的期限：</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rPr>
                <w:bCs/>
                <w:color w:val="auto"/>
                <w:szCs w:val="21"/>
                <w:highlight w:val="none"/>
              </w:rPr>
            </w:pPr>
          </w:p>
        </w:tc>
        <w:tc>
          <w:tcPr>
            <w:tcW w:w="2466" w:type="dxa"/>
            <w:noWrap w:val="0"/>
            <w:vAlign w:val="center"/>
          </w:tcPr>
          <w:p>
            <w:pPr>
              <w:spacing w:line="360" w:lineRule="auto"/>
              <w:ind w:firstLine="27" w:firstLineChars="13"/>
              <w:jc w:val="center"/>
              <w:rPr>
                <w:bCs/>
                <w:color w:val="auto"/>
                <w:szCs w:val="21"/>
                <w:highlight w:val="none"/>
              </w:rPr>
            </w:pPr>
            <w:r>
              <w:rPr>
                <w:rFonts w:hAnsi="宋体"/>
                <w:bCs/>
                <w:color w:val="auto"/>
                <w:szCs w:val="21"/>
                <w:highlight w:val="none"/>
              </w:rPr>
              <w:t>工程竣工结算报告金额</w:t>
            </w:r>
          </w:p>
        </w:tc>
        <w:tc>
          <w:tcPr>
            <w:tcW w:w="5967" w:type="dxa"/>
            <w:noWrap w:val="0"/>
            <w:vAlign w:val="center"/>
          </w:tcPr>
          <w:p>
            <w:pPr>
              <w:spacing w:line="360" w:lineRule="auto"/>
              <w:ind w:firstLine="441" w:firstLineChars="210"/>
              <w:jc w:val="center"/>
              <w:rPr>
                <w:bCs/>
                <w:color w:val="auto"/>
                <w:szCs w:val="21"/>
                <w:highlight w:val="none"/>
              </w:rPr>
            </w:pPr>
            <w:r>
              <w:rPr>
                <w:rFonts w:hAnsi="宋体"/>
                <w:bCs/>
                <w:color w:val="auto"/>
                <w:szCs w:val="21"/>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bCs/>
                <w:color w:val="auto"/>
                <w:szCs w:val="21"/>
                <w:highlight w:val="none"/>
              </w:rPr>
            </w:pPr>
            <w:r>
              <w:rPr>
                <w:bCs/>
                <w:color w:val="auto"/>
                <w:szCs w:val="21"/>
                <w:highlight w:val="none"/>
              </w:rPr>
              <w:t>1</w:t>
            </w:r>
          </w:p>
        </w:tc>
        <w:tc>
          <w:tcPr>
            <w:tcW w:w="2466" w:type="dxa"/>
            <w:noWrap w:val="0"/>
            <w:vAlign w:val="center"/>
          </w:tcPr>
          <w:p>
            <w:pPr>
              <w:spacing w:line="360" w:lineRule="auto"/>
              <w:ind w:firstLine="27" w:firstLineChars="13"/>
              <w:jc w:val="center"/>
              <w:rPr>
                <w:bCs/>
                <w:color w:val="auto"/>
                <w:szCs w:val="21"/>
                <w:highlight w:val="none"/>
              </w:rPr>
            </w:pPr>
            <w:r>
              <w:rPr>
                <w:bCs/>
                <w:color w:val="auto"/>
                <w:szCs w:val="21"/>
                <w:highlight w:val="none"/>
              </w:rPr>
              <w:t>500</w:t>
            </w:r>
            <w:r>
              <w:rPr>
                <w:rFonts w:hAnsi="宋体"/>
                <w:bCs/>
                <w:color w:val="auto"/>
                <w:szCs w:val="21"/>
                <w:highlight w:val="none"/>
              </w:rPr>
              <w:t>万元以下</w:t>
            </w:r>
          </w:p>
        </w:tc>
        <w:tc>
          <w:tcPr>
            <w:tcW w:w="5967" w:type="dxa"/>
            <w:noWrap w:val="0"/>
            <w:vAlign w:val="center"/>
          </w:tcPr>
          <w:p>
            <w:pPr>
              <w:spacing w:line="360" w:lineRule="auto"/>
              <w:ind w:firstLine="441" w:firstLineChars="210"/>
              <w:jc w:val="center"/>
              <w:rPr>
                <w:bCs/>
                <w:color w:val="auto"/>
                <w:szCs w:val="21"/>
                <w:highlight w:val="none"/>
              </w:rPr>
            </w:pPr>
            <w:r>
              <w:rPr>
                <w:rFonts w:hAnsi="宋体"/>
                <w:bCs/>
                <w:color w:val="auto"/>
                <w:szCs w:val="21"/>
                <w:highlight w:val="none"/>
              </w:rPr>
              <w:t>从接到竣工结算报告和完整的竣工结算资料之日起</w:t>
            </w:r>
            <w:r>
              <w:rPr>
                <w:bCs/>
                <w:color w:val="auto"/>
                <w:szCs w:val="21"/>
                <w:highlight w:val="none"/>
              </w:rPr>
              <w:t>20</w:t>
            </w:r>
            <w:r>
              <w:rPr>
                <w:rFonts w:hAnsi="宋体"/>
                <w:bCs/>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bCs/>
                <w:color w:val="auto"/>
                <w:szCs w:val="21"/>
                <w:highlight w:val="none"/>
              </w:rPr>
            </w:pPr>
            <w:r>
              <w:rPr>
                <w:bCs/>
                <w:color w:val="auto"/>
                <w:szCs w:val="21"/>
                <w:highlight w:val="none"/>
              </w:rPr>
              <w:t>2</w:t>
            </w:r>
          </w:p>
        </w:tc>
        <w:tc>
          <w:tcPr>
            <w:tcW w:w="2466" w:type="dxa"/>
            <w:noWrap w:val="0"/>
            <w:vAlign w:val="center"/>
          </w:tcPr>
          <w:p>
            <w:pPr>
              <w:spacing w:line="360" w:lineRule="auto"/>
              <w:ind w:firstLine="27" w:firstLineChars="13"/>
              <w:jc w:val="center"/>
              <w:rPr>
                <w:bCs/>
                <w:color w:val="auto"/>
                <w:szCs w:val="21"/>
                <w:highlight w:val="none"/>
              </w:rPr>
            </w:pPr>
            <w:r>
              <w:rPr>
                <w:bCs/>
                <w:color w:val="auto"/>
                <w:szCs w:val="21"/>
                <w:highlight w:val="none"/>
              </w:rPr>
              <w:t>500</w:t>
            </w:r>
            <w:r>
              <w:rPr>
                <w:rFonts w:hAnsi="宋体"/>
                <w:bCs/>
                <w:color w:val="auto"/>
                <w:szCs w:val="21"/>
                <w:highlight w:val="none"/>
              </w:rPr>
              <w:t>万元</w:t>
            </w:r>
            <w:r>
              <w:rPr>
                <w:bCs/>
                <w:color w:val="auto"/>
                <w:szCs w:val="21"/>
                <w:highlight w:val="none"/>
              </w:rPr>
              <w:t>-2000</w:t>
            </w:r>
            <w:r>
              <w:rPr>
                <w:rFonts w:hAnsi="宋体"/>
                <w:bCs/>
                <w:color w:val="auto"/>
                <w:szCs w:val="21"/>
                <w:highlight w:val="none"/>
              </w:rPr>
              <w:t>万元</w:t>
            </w:r>
          </w:p>
        </w:tc>
        <w:tc>
          <w:tcPr>
            <w:tcW w:w="5967" w:type="dxa"/>
            <w:noWrap w:val="0"/>
            <w:vAlign w:val="center"/>
          </w:tcPr>
          <w:p>
            <w:pPr>
              <w:spacing w:line="360" w:lineRule="auto"/>
              <w:ind w:firstLine="441" w:firstLineChars="210"/>
              <w:jc w:val="center"/>
              <w:rPr>
                <w:bCs/>
                <w:color w:val="auto"/>
                <w:szCs w:val="21"/>
                <w:highlight w:val="none"/>
              </w:rPr>
            </w:pPr>
            <w:r>
              <w:rPr>
                <w:rFonts w:hAnsi="宋体"/>
                <w:bCs/>
                <w:color w:val="auto"/>
                <w:szCs w:val="21"/>
                <w:highlight w:val="none"/>
              </w:rPr>
              <w:t>从接到竣工结算报告和完整的竣工结算资料之日起</w:t>
            </w:r>
            <w:r>
              <w:rPr>
                <w:bCs/>
                <w:color w:val="auto"/>
                <w:szCs w:val="21"/>
                <w:highlight w:val="none"/>
              </w:rPr>
              <w:t>30</w:t>
            </w:r>
            <w:r>
              <w:rPr>
                <w:rFonts w:hAnsi="宋体"/>
                <w:bCs/>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bCs/>
                <w:color w:val="auto"/>
                <w:szCs w:val="21"/>
                <w:highlight w:val="none"/>
              </w:rPr>
            </w:pPr>
            <w:r>
              <w:rPr>
                <w:bCs/>
                <w:color w:val="auto"/>
                <w:szCs w:val="21"/>
                <w:highlight w:val="none"/>
              </w:rPr>
              <w:t>3</w:t>
            </w:r>
          </w:p>
        </w:tc>
        <w:tc>
          <w:tcPr>
            <w:tcW w:w="2466" w:type="dxa"/>
            <w:noWrap w:val="0"/>
            <w:vAlign w:val="center"/>
          </w:tcPr>
          <w:p>
            <w:pPr>
              <w:spacing w:line="360" w:lineRule="auto"/>
              <w:ind w:firstLine="27" w:firstLineChars="13"/>
              <w:jc w:val="center"/>
              <w:rPr>
                <w:bCs/>
                <w:color w:val="auto"/>
                <w:szCs w:val="21"/>
                <w:highlight w:val="none"/>
              </w:rPr>
            </w:pPr>
            <w:r>
              <w:rPr>
                <w:bCs/>
                <w:color w:val="auto"/>
                <w:szCs w:val="21"/>
                <w:highlight w:val="none"/>
              </w:rPr>
              <w:t>2000</w:t>
            </w:r>
            <w:r>
              <w:rPr>
                <w:rFonts w:hAnsi="宋体"/>
                <w:bCs/>
                <w:color w:val="auto"/>
                <w:szCs w:val="21"/>
                <w:highlight w:val="none"/>
              </w:rPr>
              <w:t>万元</w:t>
            </w:r>
            <w:r>
              <w:rPr>
                <w:bCs/>
                <w:color w:val="auto"/>
                <w:szCs w:val="21"/>
                <w:highlight w:val="none"/>
              </w:rPr>
              <w:t>-5000</w:t>
            </w:r>
            <w:r>
              <w:rPr>
                <w:rFonts w:hAnsi="宋体"/>
                <w:bCs/>
                <w:color w:val="auto"/>
                <w:szCs w:val="21"/>
                <w:highlight w:val="none"/>
              </w:rPr>
              <w:t>万元</w:t>
            </w:r>
          </w:p>
        </w:tc>
        <w:tc>
          <w:tcPr>
            <w:tcW w:w="5967" w:type="dxa"/>
            <w:noWrap w:val="0"/>
            <w:vAlign w:val="center"/>
          </w:tcPr>
          <w:p>
            <w:pPr>
              <w:spacing w:line="360" w:lineRule="auto"/>
              <w:ind w:firstLine="441" w:firstLineChars="210"/>
              <w:jc w:val="center"/>
              <w:rPr>
                <w:bCs/>
                <w:color w:val="auto"/>
                <w:szCs w:val="21"/>
                <w:highlight w:val="none"/>
              </w:rPr>
            </w:pPr>
            <w:r>
              <w:rPr>
                <w:rFonts w:hAnsi="宋体"/>
                <w:bCs/>
                <w:color w:val="auto"/>
                <w:szCs w:val="21"/>
                <w:highlight w:val="none"/>
              </w:rPr>
              <w:t>从接到竣工结算报告和完整的竣工结算资料之日起</w:t>
            </w:r>
            <w:r>
              <w:rPr>
                <w:bCs/>
                <w:color w:val="auto"/>
                <w:szCs w:val="21"/>
                <w:highlight w:val="none"/>
              </w:rPr>
              <w:t>45</w:t>
            </w:r>
            <w:r>
              <w:rPr>
                <w:rFonts w:hAnsi="宋体"/>
                <w:bCs/>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bCs/>
                <w:color w:val="auto"/>
                <w:szCs w:val="21"/>
                <w:highlight w:val="none"/>
              </w:rPr>
            </w:pPr>
            <w:r>
              <w:rPr>
                <w:bCs/>
                <w:color w:val="auto"/>
                <w:szCs w:val="21"/>
                <w:highlight w:val="none"/>
              </w:rPr>
              <w:t>4</w:t>
            </w:r>
          </w:p>
        </w:tc>
        <w:tc>
          <w:tcPr>
            <w:tcW w:w="2466" w:type="dxa"/>
            <w:noWrap w:val="0"/>
            <w:vAlign w:val="center"/>
          </w:tcPr>
          <w:p>
            <w:pPr>
              <w:spacing w:line="360" w:lineRule="auto"/>
              <w:ind w:firstLine="27" w:firstLineChars="13"/>
              <w:jc w:val="center"/>
              <w:rPr>
                <w:bCs/>
                <w:color w:val="auto"/>
                <w:szCs w:val="21"/>
                <w:highlight w:val="none"/>
              </w:rPr>
            </w:pPr>
            <w:r>
              <w:rPr>
                <w:bCs/>
                <w:color w:val="auto"/>
                <w:szCs w:val="21"/>
                <w:highlight w:val="none"/>
              </w:rPr>
              <w:t>5000</w:t>
            </w:r>
            <w:r>
              <w:rPr>
                <w:rFonts w:hAnsi="宋体"/>
                <w:bCs/>
                <w:color w:val="auto"/>
                <w:szCs w:val="21"/>
                <w:highlight w:val="none"/>
              </w:rPr>
              <w:t>万元以上</w:t>
            </w:r>
          </w:p>
        </w:tc>
        <w:tc>
          <w:tcPr>
            <w:tcW w:w="5967" w:type="dxa"/>
            <w:noWrap w:val="0"/>
            <w:vAlign w:val="center"/>
          </w:tcPr>
          <w:p>
            <w:pPr>
              <w:spacing w:line="360" w:lineRule="auto"/>
              <w:ind w:firstLine="441" w:firstLineChars="210"/>
              <w:jc w:val="center"/>
              <w:rPr>
                <w:bCs/>
                <w:color w:val="auto"/>
                <w:szCs w:val="21"/>
                <w:highlight w:val="none"/>
              </w:rPr>
            </w:pPr>
            <w:r>
              <w:rPr>
                <w:rFonts w:hAnsi="宋体"/>
                <w:bCs/>
                <w:color w:val="auto"/>
                <w:szCs w:val="21"/>
                <w:highlight w:val="none"/>
              </w:rPr>
              <w:t>从接到竣工结算报告和完整的竣工结算资料之日起</w:t>
            </w:r>
            <w:r>
              <w:rPr>
                <w:bCs/>
                <w:color w:val="auto"/>
                <w:szCs w:val="21"/>
                <w:highlight w:val="none"/>
              </w:rPr>
              <w:t>60</w:t>
            </w:r>
            <w:r>
              <w:rPr>
                <w:rFonts w:hAnsi="宋体"/>
                <w:bCs/>
                <w:color w:val="auto"/>
                <w:szCs w:val="21"/>
                <w:highlight w:val="none"/>
              </w:rPr>
              <w:t>天</w:t>
            </w:r>
          </w:p>
        </w:tc>
      </w:tr>
    </w:tbl>
    <w:p>
      <w:pPr>
        <w:spacing w:line="400" w:lineRule="exact"/>
        <w:ind w:firstLine="420" w:firstLineChars="200"/>
        <w:jc w:val="left"/>
        <w:rPr>
          <w:rFonts w:hAnsi="宋体"/>
          <w:color w:val="auto"/>
          <w:szCs w:val="21"/>
          <w:highlight w:val="none"/>
        </w:rPr>
      </w:pPr>
      <w:r>
        <w:rPr>
          <w:rFonts w:hAnsi="宋体"/>
          <w:bCs/>
          <w:color w:val="auto"/>
          <w:szCs w:val="21"/>
          <w:highlight w:val="none"/>
        </w:rPr>
        <w:t>因承包人提供的结算资料不完整而需要补充或承包人不按时对账耽误时间时，审查时间应相应顺延</w:t>
      </w:r>
      <w:r>
        <w:rPr>
          <w:rFonts w:hAnsi="宋体"/>
          <w:color w:val="auto"/>
          <w:szCs w:val="21"/>
          <w:highlight w:val="none"/>
        </w:rPr>
        <w:t>。</w:t>
      </w:r>
    </w:p>
    <w:p>
      <w:pPr>
        <w:spacing w:line="400" w:lineRule="exact"/>
        <w:ind w:firstLine="411" w:firstLineChars="196"/>
        <w:rPr>
          <w:rFonts w:hint="eastAsia" w:hAnsi="宋体"/>
          <w:bCs/>
          <w:color w:val="auto"/>
          <w:szCs w:val="21"/>
          <w:highlight w:val="none"/>
        </w:rPr>
      </w:pPr>
      <w:r>
        <w:rPr>
          <w:rFonts w:hint="eastAsia" w:hAnsi="宋体"/>
          <w:bCs/>
          <w:color w:val="auto"/>
          <w:szCs w:val="21"/>
          <w:highlight w:val="none"/>
        </w:rPr>
        <w:t>结算审核约定：</w:t>
      </w:r>
    </w:p>
    <w:p>
      <w:pPr>
        <w:spacing w:line="400" w:lineRule="exact"/>
        <w:ind w:firstLine="411" w:firstLineChars="196"/>
        <w:rPr>
          <w:rFonts w:hint="eastAsia" w:hAnsi="宋体"/>
          <w:bCs/>
          <w:color w:val="auto"/>
          <w:szCs w:val="21"/>
          <w:highlight w:val="none"/>
          <w:u w:val="single"/>
        </w:rPr>
      </w:pPr>
      <w:r>
        <w:rPr>
          <w:rFonts w:hint="eastAsia" w:hAnsi="宋体"/>
          <w:bCs/>
          <w:color w:val="auto"/>
          <w:szCs w:val="21"/>
          <w:highlight w:val="none"/>
        </w:rPr>
        <w:t>非国有投资项目：</w:t>
      </w:r>
      <w:r>
        <w:rPr>
          <w:rFonts w:hint="eastAsia" w:hAnsi="宋体"/>
          <w:bCs/>
          <w:color w:val="auto"/>
          <w:szCs w:val="21"/>
          <w:highlight w:val="none"/>
          <w:u w:val="single"/>
        </w:rPr>
        <w:t xml:space="preserve">             /             </w:t>
      </w:r>
    </w:p>
    <w:p>
      <w:pPr>
        <w:spacing w:line="400" w:lineRule="exact"/>
        <w:ind w:firstLine="411" w:firstLineChars="196"/>
        <w:rPr>
          <w:rFonts w:hint="eastAsia" w:hAnsi="宋体"/>
          <w:bCs/>
          <w:color w:val="auto"/>
          <w:szCs w:val="21"/>
          <w:highlight w:val="none"/>
          <w:u w:val="single"/>
        </w:rPr>
      </w:pPr>
      <w:r>
        <w:rPr>
          <w:rFonts w:hint="eastAsia" w:hAnsi="宋体"/>
          <w:bCs/>
          <w:color w:val="auto"/>
          <w:szCs w:val="21"/>
          <w:highlight w:val="none"/>
          <w:u w:val="single"/>
        </w:rPr>
        <w:t xml:space="preserve">国有投资项目：（双方结合各地政府或有关部门出台的管理规定进行约定）     </w:t>
      </w:r>
    </w:p>
    <w:p>
      <w:pPr>
        <w:spacing w:line="360" w:lineRule="auto"/>
        <w:ind w:firstLine="420" w:firstLineChars="200"/>
        <w:jc w:val="left"/>
        <w:rPr>
          <w:color w:val="auto"/>
          <w:szCs w:val="21"/>
          <w:highlight w:val="none"/>
        </w:rPr>
      </w:pPr>
      <w:r>
        <w:rPr>
          <w:rFonts w:hAnsi="宋体"/>
          <w:color w:val="auto"/>
          <w:szCs w:val="21"/>
          <w:highlight w:val="none"/>
        </w:rPr>
        <w:t>发包人完成竣工付款的期限：</w:t>
      </w:r>
      <w:r>
        <w:rPr>
          <w:color w:val="auto"/>
          <w:szCs w:val="21"/>
          <w:highlight w:val="none"/>
          <w:u w:val="single"/>
        </w:rPr>
        <w:t xml:space="preserve">    </w:t>
      </w:r>
      <w:r>
        <w:rPr>
          <w:rFonts w:hint="eastAsia"/>
          <w:color w:val="auto"/>
          <w:szCs w:val="21"/>
          <w:highlight w:val="none"/>
          <w:u w:val="single"/>
        </w:rPr>
        <w:t>180天</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u w:val="single"/>
        </w:rPr>
      </w:pPr>
      <w:r>
        <w:rPr>
          <w:rFonts w:hAnsi="宋体"/>
          <w:color w:val="auto"/>
          <w:szCs w:val="21"/>
          <w:highlight w:val="none"/>
        </w:rPr>
        <w:t>关于竣工付款证书异议部分复核的方式和程序：</w:t>
      </w:r>
      <w:r>
        <w:rPr>
          <w:color w:val="auto"/>
          <w:szCs w:val="21"/>
          <w:highlight w:val="none"/>
          <w:u w:val="single"/>
        </w:rPr>
        <w:t xml:space="preserve">       </w:t>
      </w:r>
      <w:r>
        <w:rPr>
          <w:color w:val="auto"/>
          <w:highlight w:val="none"/>
          <w:u w:val="single"/>
        </w:rPr>
        <w:t>按《通用合同条款》</w:t>
      </w:r>
      <w:r>
        <w:rPr>
          <w:color w:val="auto"/>
          <w:szCs w:val="21"/>
          <w:highlight w:val="none"/>
          <w:u w:val="single"/>
        </w:rPr>
        <w:t xml:space="preserve">           </w:t>
      </w:r>
      <w:r>
        <w:rPr>
          <w:rFonts w:hAnsi="宋体"/>
          <w:color w:val="auto"/>
          <w:szCs w:val="21"/>
          <w:highlight w:val="none"/>
        </w:rPr>
        <w:t>。</w:t>
      </w:r>
    </w:p>
    <w:p>
      <w:pPr>
        <w:pStyle w:val="7"/>
        <w:rPr>
          <w:color w:val="auto"/>
          <w:highlight w:val="none"/>
        </w:rPr>
      </w:pPr>
      <w:bookmarkStart w:id="372" w:name="_Toc6566"/>
      <w:bookmarkStart w:id="373" w:name="_Toc491946662"/>
      <w:r>
        <w:rPr>
          <w:color w:val="auto"/>
          <w:highlight w:val="none"/>
        </w:rPr>
        <w:t xml:space="preserve">14.4 </w:t>
      </w:r>
      <w:r>
        <w:rPr>
          <w:rFonts w:hAnsi="宋体"/>
          <w:color w:val="auto"/>
          <w:highlight w:val="none"/>
        </w:rPr>
        <w:t>最终结清</w:t>
      </w:r>
      <w:bookmarkEnd w:id="372"/>
      <w:bookmarkEnd w:id="373"/>
    </w:p>
    <w:p>
      <w:pPr>
        <w:spacing w:line="360" w:lineRule="auto"/>
        <w:ind w:firstLine="420" w:firstLineChars="200"/>
        <w:jc w:val="left"/>
        <w:rPr>
          <w:color w:val="auto"/>
          <w:kern w:val="0"/>
          <w:szCs w:val="21"/>
          <w:highlight w:val="none"/>
        </w:rPr>
      </w:pPr>
      <w:r>
        <w:rPr>
          <w:color w:val="auto"/>
          <w:kern w:val="0"/>
          <w:szCs w:val="21"/>
          <w:highlight w:val="none"/>
        </w:rPr>
        <w:t xml:space="preserve">14.4.1 </w:t>
      </w:r>
      <w:r>
        <w:rPr>
          <w:rFonts w:hAnsi="宋体"/>
          <w:color w:val="auto"/>
          <w:kern w:val="0"/>
          <w:szCs w:val="21"/>
          <w:highlight w:val="none"/>
        </w:rPr>
        <w:t>最终结清申请单</w:t>
      </w:r>
    </w:p>
    <w:p>
      <w:pPr>
        <w:spacing w:line="360" w:lineRule="auto"/>
        <w:ind w:firstLine="420" w:firstLineChars="200"/>
        <w:jc w:val="left"/>
        <w:rPr>
          <w:color w:val="auto"/>
          <w:kern w:val="0"/>
          <w:szCs w:val="21"/>
          <w:highlight w:val="none"/>
        </w:rPr>
      </w:pPr>
      <w:r>
        <w:rPr>
          <w:rFonts w:hAnsi="宋体"/>
          <w:color w:val="auto"/>
          <w:kern w:val="0"/>
          <w:szCs w:val="21"/>
          <w:highlight w:val="none"/>
        </w:rPr>
        <w:t>承包人提交最终结清申请单的份数：</w:t>
      </w:r>
      <w:r>
        <w:rPr>
          <w:color w:val="auto"/>
          <w:szCs w:val="21"/>
          <w:highlight w:val="none"/>
          <w:u w:val="single"/>
        </w:rPr>
        <w:t xml:space="preserve"> </w:t>
      </w:r>
      <w:r>
        <w:rPr>
          <w:color w:val="auto"/>
          <w:highlight w:val="none"/>
          <w:u w:val="single"/>
        </w:rPr>
        <w:t>提交最终结清申请书一式五份</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rPr>
      </w:pPr>
      <w:r>
        <w:rPr>
          <w:rFonts w:hAnsi="宋体"/>
          <w:color w:val="auto"/>
          <w:kern w:val="0"/>
          <w:szCs w:val="21"/>
          <w:highlight w:val="none"/>
        </w:rPr>
        <w:t>承包人提交最终结算申请单的期限：</w:t>
      </w:r>
      <w:r>
        <w:rPr>
          <w:color w:val="auto"/>
          <w:szCs w:val="21"/>
          <w:highlight w:val="none"/>
          <w:u w:val="single"/>
        </w:rPr>
        <w:t xml:space="preserve"> </w:t>
      </w:r>
      <w:r>
        <w:rPr>
          <w:color w:val="auto"/>
          <w:highlight w:val="none"/>
          <w:u w:val="single"/>
        </w:rPr>
        <w:t xml:space="preserve">缺陷责任期终止证书签发后 </w:t>
      </w:r>
      <w:r>
        <w:rPr>
          <w:rFonts w:eastAsia="Calibri"/>
          <w:color w:val="auto"/>
          <w:highlight w:val="none"/>
          <w:u w:val="single"/>
        </w:rPr>
        <w:t xml:space="preserve">28 </w:t>
      </w:r>
      <w:r>
        <w:rPr>
          <w:color w:val="auto"/>
          <w:highlight w:val="none"/>
          <w:u w:val="single"/>
        </w:rPr>
        <w:t>天内</w:t>
      </w:r>
      <w:r>
        <w:rPr>
          <w:color w:val="auto"/>
          <w:szCs w:val="21"/>
          <w:highlight w:val="none"/>
          <w:u w:val="single"/>
        </w:rPr>
        <w:t xml:space="preserve">      </w:t>
      </w:r>
      <w:r>
        <w:rPr>
          <w:rFonts w:hAnsi="宋体"/>
          <w:color w:val="auto"/>
          <w:szCs w:val="21"/>
          <w:highlight w:val="none"/>
        </w:rPr>
        <w:t>。</w:t>
      </w:r>
      <w:r>
        <w:rPr>
          <w:color w:val="auto"/>
          <w:szCs w:val="21"/>
          <w:highlight w:val="none"/>
        </w:rPr>
        <w:t xml:space="preserve"> </w:t>
      </w:r>
    </w:p>
    <w:p>
      <w:pPr>
        <w:spacing w:line="360" w:lineRule="auto"/>
        <w:ind w:firstLine="420" w:firstLineChars="200"/>
        <w:jc w:val="left"/>
        <w:rPr>
          <w:color w:val="auto"/>
          <w:szCs w:val="21"/>
          <w:highlight w:val="none"/>
        </w:rPr>
      </w:pPr>
      <w:r>
        <w:rPr>
          <w:color w:val="auto"/>
          <w:szCs w:val="21"/>
          <w:highlight w:val="none"/>
        </w:rPr>
        <w:t xml:space="preserve">14.4.2 </w:t>
      </w:r>
      <w:r>
        <w:rPr>
          <w:rFonts w:hAnsi="宋体"/>
          <w:color w:val="auto"/>
          <w:szCs w:val="21"/>
          <w:highlight w:val="none"/>
        </w:rPr>
        <w:t>最终结清证书和支付</w:t>
      </w:r>
    </w:p>
    <w:p>
      <w:pPr>
        <w:spacing w:line="360" w:lineRule="auto"/>
        <w:ind w:firstLine="420" w:firstLineChars="200"/>
        <w:jc w:val="left"/>
        <w:rPr>
          <w:color w:val="auto"/>
          <w:szCs w:val="21"/>
          <w:highlight w:val="none"/>
        </w:rPr>
      </w:pPr>
      <w:r>
        <w:rPr>
          <w:rFonts w:hAnsi="宋体"/>
          <w:color w:val="auto"/>
          <w:szCs w:val="21"/>
          <w:highlight w:val="none"/>
        </w:rPr>
        <w:t>（</w:t>
      </w:r>
      <w:r>
        <w:rPr>
          <w:color w:val="auto"/>
          <w:szCs w:val="21"/>
          <w:highlight w:val="none"/>
        </w:rPr>
        <w:t>1</w:t>
      </w:r>
      <w:r>
        <w:rPr>
          <w:rFonts w:hAnsi="宋体"/>
          <w:color w:val="auto"/>
          <w:szCs w:val="21"/>
          <w:highlight w:val="none"/>
        </w:rPr>
        <w:t>）发包人完成最终结清申请单的审批并颁发最终结清证书的期限：</w:t>
      </w:r>
      <w:r>
        <w:rPr>
          <w:color w:val="auto"/>
          <w:szCs w:val="21"/>
          <w:highlight w:val="none"/>
          <w:u w:val="single"/>
        </w:rPr>
        <w:t xml:space="preserve">    </w:t>
      </w:r>
      <w:r>
        <w:rPr>
          <w:rFonts w:hint="eastAsia"/>
          <w:color w:val="auto"/>
          <w:szCs w:val="21"/>
          <w:highlight w:val="none"/>
          <w:u w:val="single"/>
        </w:rPr>
        <w:t>28天</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rFonts w:hAnsi="宋体"/>
          <w:color w:val="auto"/>
          <w:szCs w:val="21"/>
          <w:highlight w:val="none"/>
        </w:rPr>
      </w:pPr>
      <w:r>
        <w:rPr>
          <w:rFonts w:hAnsi="宋体"/>
          <w:color w:val="auto"/>
          <w:szCs w:val="21"/>
          <w:highlight w:val="none"/>
        </w:rPr>
        <w:t>（</w:t>
      </w:r>
      <w:r>
        <w:rPr>
          <w:color w:val="auto"/>
          <w:szCs w:val="21"/>
          <w:highlight w:val="none"/>
        </w:rPr>
        <w:t>2</w:t>
      </w:r>
      <w:r>
        <w:rPr>
          <w:rFonts w:hAnsi="宋体"/>
          <w:color w:val="auto"/>
          <w:szCs w:val="21"/>
          <w:highlight w:val="none"/>
        </w:rPr>
        <w:t>）发包人完成支付的期限：</w:t>
      </w:r>
      <w:r>
        <w:rPr>
          <w:color w:val="auto"/>
          <w:szCs w:val="21"/>
          <w:highlight w:val="none"/>
          <w:u w:val="single"/>
        </w:rPr>
        <w:t xml:space="preserve">    </w:t>
      </w:r>
      <w:r>
        <w:rPr>
          <w:rFonts w:hint="eastAsia"/>
          <w:color w:val="auto"/>
          <w:szCs w:val="21"/>
          <w:highlight w:val="none"/>
          <w:u w:val="single"/>
        </w:rPr>
        <w:t>180天</w:t>
      </w:r>
      <w:r>
        <w:rPr>
          <w:color w:val="auto"/>
          <w:szCs w:val="21"/>
          <w:highlight w:val="none"/>
          <w:u w:val="single"/>
        </w:rPr>
        <w:t xml:space="preserve">           </w:t>
      </w:r>
      <w:r>
        <w:rPr>
          <w:rFonts w:hAnsi="宋体"/>
          <w:color w:val="auto"/>
          <w:szCs w:val="21"/>
          <w:highlight w:val="none"/>
        </w:rPr>
        <w:t>。</w:t>
      </w:r>
      <w:bookmarkStart w:id="374" w:name="_Toc491946663"/>
    </w:p>
    <w:p>
      <w:pPr>
        <w:spacing w:line="360" w:lineRule="auto"/>
        <w:jc w:val="left"/>
        <w:rPr>
          <w:rFonts w:hAnsi="宋体"/>
          <w:b/>
          <w:bCs/>
          <w:color w:val="auto"/>
          <w:sz w:val="24"/>
          <w:szCs w:val="32"/>
          <w:highlight w:val="none"/>
        </w:rPr>
      </w:pPr>
      <w:r>
        <w:rPr>
          <w:rFonts w:hAnsi="宋体"/>
          <w:b/>
          <w:bCs/>
          <w:color w:val="auto"/>
          <w:sz w:val="24"/>
          <w:szCs w:val="32"/>
          <w:highlight w:val="none"/>
        </w:rPr>
        <w:t>15. 缺陷责任期与保修</w:t>
      </w:r>
      <w:bookmarkEnd w:id="374"/>
    </w:p>
    <w:p>
      <w:pPr>
        <w:pStyle w:val="7"/>
        <w:rPr>
          <w:color w:val="auto"/>
          <w:highlight w:val="none"/>
        </w:rPr>
      </w:pPr>
      <w:bookmarkStart w:id="375" w:name="_Toc491946664"/>
      <w:bookmarkStart w:id="376" w:name="_Toc4194"/>
      <w:r>
        <w:rPr>
          <w:color w:val="auto"/>
          <w:highlight w:val="none"/>
        </w:rPr>
        <w:t>15.2</w:t>
      </w:r>
      <w:r>
        <w:rPr>
          <w:rFonts w:hint="eastAsia"/>
          <w:color w:val="auto"/>
          <w:highlight w:val="none"/>
        </w:rPr>
        <w:t xml:space="preserve"> </w:t>
      </w:r>
      <w:r>
        <w:rPr>
          <w:rFonts w:hAnsi="宋体"/>
          <w:color w:val="auto"/>
          <w:highlight w:val="none"/>
        </w:rPr>
        <w:t>缺陷责任期</w:t>
      </w:r>
      <w:bookmarkEnd w:id="375"/>
      <w:bookmarkEnd w:id="376"/>
    </w:p>
    <w:p>
      <w:pPr>
        <w:spacing w:line="360" w:lineRule="auto"/>
        <w:ind w:firstLine="420" w:firstLineChars="200"/>
        <w:jc w:val="left"/>
        <w:rPr>
          <w:color w:val="auto"/>
          <w:szCs w:val="21"/>
          <w:highlight w:val="none"/>
          <w:u w:val="single"/>
        </w:rPr>
      </w:pPr>
      <w:r>
        <w:rPr>
          <w:rFonts w:hAnsi="宋体"/>
          <w:color w:val="auto"/>
          <w:szCs w:val="21"/>
          <w:highlight w:val="none"/>
        </w:rPr>
        <w:t>缺陷责任期的具体期限：</w:t>
      </w:r>
      <w:r>
        <w:rPr>
          <w:color w:val="auto"/>
          <w:szCs w:val="21"/>
          <w:highlight w:val="none"/>
          <w:u w:val="single"/>
        </w:rPr>
        <w:t xml:space="preserve">    </w:t>
      </w:r>
      <w:r>
        <w:rPr>
          <w:rFonts w:hint="eastAsia"/>
          <w:color w:val="auto"/>
          <w:szCs w:val="21"/>
          <w:highlight w:val="none"/>
          <w:u w:val="single"/>
          <w:lang w:val="en-US" w:eastAsia="zh-CN"/>
        </w:rPr>
        <w:t>12</w:t>
      </w:r>
      <w:r>
        <w:rPr>
          <w:rFonts w:hint="eastAsia"/>
          <w:color w:val="auto"/>
          <w:szCs w:val="21"/>
          <w:highlight w:val="none"/>
          <w:u w:val="single"/>
        </w:rPr>
        <w:t>个月（自实际交工日期起计算）</w:t>
      </w:r>
      <w:r>
        <w:rPr>
          <w:color w:val="auto"/>
          <w:szCs w:val="21"/>
          <w:highlight w:val="none"/>
          <w:u w:val="single"/>
        </w:rPr>
        <w:t xml:space="preserve">   </w:t>
      </w:r>
      <w:r>
        <w:rPr>
          <w:rFonts w:hAnsi="宋体"/>
          <w:color w:val="auto"/>
          <w:szCs w:val="21"/>
          <w:highlight w:val="none"/>
        </w:rPr>
        <w:t>。</w:t>
      </w:r>
    </w:p>
    <w:p>
      <w:pPr>
        <w:pStyle w:val="7"/>
        <w:rPr>
          <w:color w:val="auto"/>
          <w:highlight w:val="none"/>
        </w:rPr>
      </w:pPr>
      <w:bookmarkStart w:id="377" w:name="_Toc30354"/>
      <w:bookmarkStart w:id="378" w:name="_Toc491946665"/>
      <w:r>
        <w:rPr>
          <w:color w:val="auto"/>
          <w:highlight w:val="none"/>
        </w:rPr>
        <w:t xml:space="preserve">15.3 </w:t>
      </w:r>
      <w:r>
        <w:rPr>
          <w:rFonts w:hAnsi="宋体"/>
          <w:color w:val="auto"/>
          <w:highlight w:val="none"/>
        </w:rPr>
        <w:t>质量保证金</w:t>
      </w:r>
      <w:bookmarkEnd w:id="377"/>
      <w:bookmarkEnd w:id="378"/>
    </w:p>
    <w:p>
      <w:pPr>
        <w:spacing w:line="360" w:lineRule="auto"/>
        <w:ind w:firstLine="420" w:firstLineChars="200"/>
        <w:jc w:val="left"/>
        <w:rPr>
          <w:color w:val="auto"/>
          <w:szCs w:val="21"/>
          <w:highlight w:val="none"/>
        </w:rPr>
      </w:pPr>
      <w:r>
        <w:rPr>
          <w:rFonts w:hAnsi="宋体"/>
          <w:color w:val="auto"/>
          <w:szCs w:val="21"/>
          <w:highlight w:val="none"/>
        </w:rPr>
        <w:t>关于是否扣留质量保证金的约定：</w:t>
      </w:r>
      <w:r>
        <w:rPr>
          <w:color w:val="auto"/>
          <w:szCs w:val="21"/>
          <w:highlight w:val="none"/>
          <w:u w:val="single"/>
        </w:rPr>
        <w:t xml:space="preserve">    </w:t>
      </w:r>
      <w:r>
        <w:rPr>
          <w:rFonts w:hint="eastAsia"/>
          <w:color w:val="auto"/>
          <w:szCs w:val="21"/>
          <w:highlight w:val="none"/>
          <w:u w:val="single"/>
        </w:rPr>
        <w:t xml:space="preserve">       扣留</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rPr>
      </w:pPr>
      <w:r>
        <w:rPr>
          <w:color w:val="auto"/>
          <w:szCs w:val="21"/>
          <w:highlight w:val="none"/>
        </w:rPr>
        <w:t xml:space="preserve">15.3.1 </w:t>
      </w:r>
      <w:r>
        <w:rPr>
          <w:rFonts w:hAnsi="宋体"/>
          <w:color w:val="auto"/>
          <w:szCs w:val="21"/>
          <w:highlight w:val="none"/>
        </w:rPr>
        <w:t>承包人提供质量保证金的方式</w:t>
      </w:r>
    </w:p>
    <w:p>
      <w:pPr>
        <w:spacing w:line="360" w:lineRule="auto"/>
        <w:ind w:firstLine="420" w:firstLineChars="200"/>
        <w:jc w:val="left"/>
        <w:rPr>
          <w:color w:val="auto"/>
          <w:szCs w:val="21"/>
          <w:highlight w:val="none"/>
        </w:rPr>
      </w:pPr>
      <w:r>
        <w:rPr>
          <w:rFonts w:hAnsi="宋体"/>
          <w:color w:val="auto"/>
          <w:szCs w:val="21"/>
          <w:highlight w:val="none"/>
        </w:rPr>
        <w:t>质量保证金采用以下第</w:t>
      </w:r>
      <w:r>
        <w:rPr>
          <w:color w:val="auto"/>
          <w:szCs w:val="21"/>
          <w:highlight w:val="none"/>
          <w:u w:val="single"/>
        </w:rPr>
        <w:t xml:space="preserve">  </w:t>
      </w:r>
      <w:r>
        <w:rPr>
          <w:rFonts w:hint="eastAsia"/>
          <w:color w:val="auto"/>
          <w:szCs w:val="21"/>
          <w:highlight w:val="none"/>
          <w:u w:val="single"/>
        </w:rPr>
        <w:t>2</w:t>
      </w:r>
      <w:r>
        <w:rPr>
          <w:color w:val="auto"/>
          <w:szCs w:val="21"/>
          <w:highlight w:val="none"/>
          <w:u w:val="single"/>
        </w:rPr>
        <w:t xml:space="preserve">   </w:t>
      </w:r>
      <w:r>
        <w:rPr>
          <w:rFonts w:hAnsi="宋体"/>
          <w:color w:val="auto"/>
          <w:szCs w:val="21"/>
          <w:highlight w:val="none"/>
        </w:rPr>
        <w:t>种方式：</w:t>
      </w:r>
    </w:p>
    <w:p>
      <w:pPr>
        <w:autoSpaceDE w:val="0"/>
        <w:autoSpaceDN w:val="0"/>
        <w:adjustRightInd w:val="0"/>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1</w:t>
      </w:r>
      <w:r>
        <w:rPr>
          <w:rFonts w:hAnsi="宋体"/>
          <w:color w:val="auto"/>
          <w:kern w:val="0"/>
          <w:szCs w:val="21"/>
          <w:highlight w:val="none"/>
        </w:rPr>
        <w:t>）质量保证金保函，保证金额为：</w:t>
      </w:r>
      <w:r>
        <w:rPr>
          <w:color w:val="auto"/>
          <w:kern w:val="0"/>
          <w:szCs w:val="21"/>
          <w:highlight w:val="none"/>
          <w:u w:val="single"/>
        </w:rPr>
        <w:t xml:space="preserve">         </w:t>
      </w:r>
      <w:r>
        <w:rPr>
          <w:rFonts w:hint="eastAsia"/>
          <w:color w:val="auto"/>
          <w:kern w:val="0"/>
          <w:szCs w:val="21"/>
          <w:highlight w:val="none"/>
          <w:u w:val="single"/>
        </w:rPr>
        <w:t>无</w:t>
      </w:r>
      <w:r>
        <w:rPr>
          <w:color w:val="auto"/>
          <w:kern w:val="0"/>
          <w:szCs w:val="21"/>
          <w:highlight w:val="none"/>
          <w:u w:val="single"/>
        </w:rPr>
        <w:t xml:space="preserve">          </w:t>
      </w:r>
      <w:r>
        <w:rPr>
          <w:rFonts w:hAnsi="宋体"/>
          <w:color w:val="auto"/>
          <w:kern w:val="0"/>
          <w:szCs w:val="21"/>
          <w:highlight w:val="none"/>
        </w:rPr>
        <w:t>；</w:t>
      </w:r>
    </w:p>
    <w:p>
      <w:pPr>
        <w:autoSpaceDE w:val="0"/>
        <w:autoSpaceDN w:val="0"/>
        <w:adjustRightInd w:val="0"/>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2</w:t>
      </w:r>
      <w:r>
        <w:rPr>
          <w:rFonts w:hAnsi="宋体"/>
          <w:color w:val="auto"/>
          <w:kern w:val="0"/>
          <w:szCs w:val="21"/>
          <w:highlight w:val="none"/>
        </w:rPr>
        <w:t>）</w:t>
      </w:r>
      <w:r>
        <w:rPr>
          <w:rFonts w:hAnsi="宋体"/>
          <w:bCs/>
          <w:color w:val="auto"/>
          <w:szCs w:val="21"/>
          <w:highlight w:val="none"/>
        </w:rPr>
        <w:t>发包人按工程价款结算总额的</w:t>
      </w:r>
      <w:r>
        <w:rPr>
          <w:rFonts w:hint="eastAsia" w:hAnsi="宋体"/>
          <w:bCs/>
          <w:color w:val="auto"/>
          <w:szCs w:val="21"/>
          <w:highlight w:val="none"/>
          <w:u w:val="single"/>
        </w:rPr>
        <w:t xml:space="preserve"> 3  </w:t>
      </w:r>
      <w:r>
        <w:rPr>
          <w:bCs/>
          <w:color w:val="auto"/>
          <w:szCs w:val="21"/>
          <w:highlight w:val="none"/>
        </w:rPr>
        <w:t>%</w:t>
      </w:r>
      <w:r>
        <w:rPr>
          <w:rFonts w:hint="eastAsia"/>
          <w:bCs/>
          <w:color w:val="auto"/>
          <w:szCs w:val="21"/>
          <w:highlight w:val="none"/>
        </w:rPr>
        <w:t>（3%-5%）</w:t>
      </w:r>
      <w:r>
        <w:rPr>
          <w:rFonts w:hAnsi="宋体"/>
          <w:bCs/>
          <w:color w:val="auto"/>
          <w:szCs w:val="21"/>
          <w:highlight w:val="none"/>
        </w:rPr>
        <w:t>预留工程质量保修金，待</w:t>
      </w:r>
      <w:r>
        <w:rPr>
          <w:rFonts w:hint="eastAsia" w:hAnsi="宋体"/>
          <w:bCs/>
          <w:color w:val="auto"/>
          <w:szCs w:val="21"/>
          <w:highlight w:val="none"/>
        </w:rPr>
        <w:t>缺陷责任期</w:t>
      </w:r>
      <w:r>
        <w:rPr>
          <w:rFonts w:hAnsi="宋体"/>
          <w:bCs/>
          <w:color w:val="auto"/>
          <w:szCs w:val="21"/>
          <w:highlight w:val="none"/>
        </w:rPr>
        <w:t>满后返还</w:t>
      </w:r>
      <w:r>
        <w:rPr>
          <w:rFonts w:hAnsi="宋体"/>
          <w:color w:val="auto"/>
          <w:kern w:val="0"/>
          <w:szCs w:val="21"/>
          <w:highlight w:val="none"/>
        </w:rPr>
        <w:t>；</w:t>
      </w:r>
    </w:p>
    <w:p>
      <w:pPr>
        <w:autoSpaceDE w:val="0"/>
        <w:autoSpaceDN w:val="0"/>
        <w:adjustRightInd w:val="0"/>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3</w:t>
      </w:r>
      <w:r>
        <w:rPr>
          <w:rFonts w:hAnsi="宋体"/>
          <w:color w:val="auto"/>
          <w:kern w:val="0"/>
          <w:szCs w:val="21"/>
          <w:highlight w:val="none"/>
        </w:rPr>
        <w:t>）其他方式</w:t>
      </w:r>
      <w:r>
        <w:rPr>
          <w:rFonts w:hint="eastAsia"/>
          <w:color w:val="auto"/>
          <w:kern w:val="0"/>
          <w:szCs w:val="21"/>
          <w:highlight w:val="none"/>
        </w:rPr>
        <w:t>：</w:t>
      </w:r>
      <w:r>
        <w:rPr>
          <w:rFonts w:hint="eastAsia" w:hAnsi="宋体"/>
          <w:bCs/>
          <w:color w:val="auto"/>
          <w:szCs w:val="21"/>
          <w:highlight w:val="none"/>
          <w:u w:val="single"/>
        </w:rPr>
        <w:t xml:space="preserve">                  /             </w:t>
      </w:r>
      <w:r>
        <w:rPr>
          <w:rFonts w:hAnsi="宋体"/>
          <w:bCs/>
          <w:color w:val="auto"/>
          <w:szCs w:val="21"/>
          <w:highlight w:val="none"/>
        </w:rPr>
        <w:t>。</w:t>
      </w:r>
    </w:p>
    <w:p>
      <w:pPr>
        <w:spacing w:line="360" w:lineRule="auto"/>
        <w:ind w:firstLine="420" w:firstLineChars="200"/>
        <w:jc w:val="left"/>
        <w:rPr>
          <w:color w:val="auto"/>
          <w:szCs w:val="21"/>
          <w:highlight w:val="none"/>
        </w:rPr>
      </w:pPr>
      <w:r>
        <w:rPr>
          <w:color w:val="auto"/>
          <w:szCs w:val="21"/>
          <w:highlight w:val="none"/>
        </w:rPr>
        <w:t xml:space="preserve">15.3.2 </w:t>
      </w:r>
      <w:r>
        <w:rPr>
          <w:rFonts w:hAnsi="宋体"/>
          <w:color w:val="auto"/>
          <w:szCs w:val="21"/>
          <w:highlight w:val="none"/>
        </w:rPr>
        <w:t>质量保证金的扣留</w:t>
      </w:r>
    </w:p>
    <w:p>
      <w:pPr>
        <w:spacing w:line="360" w:lineRule="auto"/>
        <w:ind w:firstLine="420" w:firstLineChars="200"/>
        <w:jc w:val="left"/>
        <w:rPr>
          <w:color w:val="auto"/>
          <w:szCs w:val="21"/>
          <w:highlight w:val="none"/>
        </w:rPr>
      </w:pPr>
      <w:r>
        <w:rPr>
          <w:rFonts w:hAnsi="宋体"/>
          <w:color w:val="auto"/>
          <w:szCs w:val="21"/>
          <w:highlight w:val="none"/>
        </w:rPr>
        <w:t>质量保证金的扣留采取以下第</w:t>
      </w:r>
      <w:r>
        <w:rPr>
          <w:color w:val="auto"/>
          <w:szCs w:val="21"/>
          <w:highlight w:val="none"/>
          <w:u w:val="single"/>
        </w:rPr>
        <w:t xml:space="preserve">  </w:t>
      </w:r>
      <w:r>
        <w:rPr>
          <w:rFonts w:hint="eastAsia"/>
          <w:color w:val="auto"/>
          <w:szCs w:val="21"/>
          <w:highlight w:val="none"/>
          <w:u w:val="single"/>
        </w:rPr>
        <w:t>（2）</w:t>
      </w:r>
      <w:r>
        <w:rPr>
          <w:color w:val="auto"/>
          <w:szCs w:val="21"/>
          <w:highlight w:val="none"/>
          <w:u w:val="single"/>
        </w:rPr>
        <w:t xml:space="preserve">   </w:t>
      </w:r>
      <w:r>
        <w:rPr>
          <w:rFonts w:hAnsi="宋体"/>
          <w:color w:val="auto"/>
          <w:szCs w:val="21"/>
          <w:highlight w:val="none"/>
        </w:rPr>
        <w:t>种方式：</w:t>
      </w:r>
    </w:p>
    <w:p>
      <w:pPr>
        <w:autoSpaceDE w:val="0"/>
        <w:autoSpaceDN w:val="0"/>
        <w:adjustRightInd w:val="0"/>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1</w:t>
      </w:r>
      <w:r>
        <w:rPr>
          <w:rFonts w:hAnsi="宋体"/>
          <w:color w:val="auto"/>
          <w:kern w:val="0"/>
          <w:szCs w:val="21"/>
          <w:highlight w:val="none"/>
        </w:rPr>
        <w:t>）在支付工程进度款时逐次扣留，在此情形下，质量保证金的计算基数不包括预付款的支付、扣回以及价格调整的金额；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2</w:t>
      </w:r>
      <w:r>
        <w:rPr>
          <w:rFonts w:hAnsi="宋体"/>
          <w:color w:val="auto"/>
          <w:kern w:val="0"/>
          <w:szCs w:val="21"/>
          <w:highlight w:val="none"/>
        </w:rPr>
        <w:t>）工程竣工结算时一次性扣留质量保证金；</w:t>
      </w:r>
    </w:p>
    <w:p>
      <w:pPr>
        <w:autoSpaceDE w:val="0"/>
        <w:autoSpaceDN w:val="0"/>
        <w:adjustRightInd w:val="0"/>
        <w:spacing w:line="360" w:lineRule="auto"/>
        <w:ind w:firstLine="420" w:firstLineChars="200"/>
        <w:jc w:val="left"/>
        <w:rPr>
          <w:color w:val="auto"/>
          <w:kern w:val="0"/>
          <w:szCs w:val="21"/>
          <w:highlight w:val="none"/>
        </w:rPr>
      </w:pPr>
      <w:r>
        <w:rPr>
          <w:rFonts w:hAnsi="宋体"/>
          <w:color w:val="auto"/>
          <w:kern w:val="0"/>
          <w:szCs w:val="21"/>
          <w:highlight w:val="none"/>
        </w:rPr>
        <w:t>（</w:t>
      </w:r>
      <w:r>
        <w:rPr>
          <w:color w:val="auto"/>
          <w:kern w:val="0"/>
          <w:szCs w:val="21"/>
          <w:highlight w:val="none"/>
        </w:rPr>
        <w:t>3</w:t>
      </w:r>
      <w:r>
        <w:rPr>
          <w:rFonts w:hAnsi="宋体"/>
          <w:color w:val="auto"/>
          <w:kern w:val="0"/>
          <w:szCs w:val="21"/>
          <w:highlight w:val="none"/>
        </w:rPr>
        <w:t>）其他扣留方式</w:t>
      </w:r>
      <w:r>
        <w:rPr>
          <w:color w:val="auto"/>
          <w:kern w:val="0"/>
          <w:szCs w:val="21"/>
          <w:highlight w:val="none"/>
        </w:rPr>
        <w:t>:</w:t>
      </w:r>
      <w:r>
        <w:rPr>
          <w:color w:val="auto"/>
          <w:kern w:val="0"/>
          <w:szCs w:val="21"/>
          <w:highlight w:val="none"/>
          <w:u w:val="single"/>
        </w:rPr>
        <w:t xml:space="preserve">                  </w:t>
      </w:r>
      <w:r>
        <w:rPr>
          <w:rFonts w:hint="eastAsia"/>
          <w:color w:val="auto"/>
          <w:kern w:val="0"/>
          <w:szCs w:val="21"/>
          <w:highlight w:val="none"/>
          <w:u w:val="single"/>
        </w:rPr>
        <w:t>/</w:t>
      </w:r>
      <w:r>
        <w:rPr>
          <w:color w:val="auto"/>
          <w:kern w:val="0"/>
          <w:szCs w:val="21"/>
          <w:highlight w:val="none"/>
          <w:u w:val="single"/>
        </w:rPr>
        <w:t xml:space="preserve">                   </w:t>
      </w:r>
      <w:r>
        <w:rPr>
          <w:rFonts w:hAnsi="宋体"/>
          <w:color w:val="auto"/>
          <w:kern w:val="0"/>
          <w:szCs w:val="21"/>
          <w:highlight w:val="none"/>
        </w:rPr>
        <w:t>。</w:t>
      </w:r>
    </w:p>
    <w:p>
      <w:pPr>
        <w:spacing w:line="360" w:lineRule="auto"/>
        <w:ind w:firstLine="420" w:firstLineChars="200"/>
        <w:jc w:val="left"/>
        <w:rPr>
          <w:color w:val="auto"/>
          <w:kern w:val="0"/>
          <w:szCs w:val="21"/>
          <w:highlight w:val="none"/>
          <w:u w:val="single"/>
        </w:rPr>
      </w:pPr>
      <w:r>
        <w:rPr>
          <w:rFonts w:hAnsi="宋体"/>
          <w:color w:val="auto"/>
          <w:szCs w:val="21"/>
          <w:highlight w:val="none"/>
        </w:rPr>
        <w:t>关于质量保证金的补充约定：</w:t>
      </w:r>
      <w:r>
        <w:rPr>
          <w:rFonts w:hint="eastAsia"/>
          <w:color w:val="auto"/>
          <w:kern w:val="0"/>
          <w:szCs w:val="21"/>
          <w:highlight w:val="none"/>
          <w:u w:val="single"/>
        </w:rPr>
        <w:t>质量保证金在质量缺陷期（质量保修期）满后一次性无息返还承包人</w:t>
      </w:r>
      <w:r>
        <w:rPr>
          <w:color w:val="auto"/>
          <w:kern w:val="0"/>
          <w:szCs w:val="21"/>
          <w:highlight w:val="none"/>
          <w:u w:val="single"/>
        </w:rPr>
        <w:t xml:space="preserve">  </w:t>
      </w:r>
      <w:r>
        <w:rPr>
          <w:rFonts w:hAnsi="宋体"/>
          <w:color w:val="auto"/>
          <w:kern w:val="0"/>
          <w:szCs w:val="21"/>
          <w:highlight w:val="none"/>
        </w:rPr>
        <w:t>。</w:t>
      </w:r>
    </w:p>
    <w:p>
      <w:pPr>
        <w:pStyle w:val="7"/>
        <w:rPr>
          <w:color w:val="auto"/>
          <w:highlight w:val="none"/>
        </w:rPr>
      </w:pPr>
      <w:bookmarkStart w:id="379" w:name="_Toc491946666"/>
      <w:bookmarkStart w:id="380" w:name="_Toc3144"/>
      <w:r>
        <w:rPr>
          <w:color w:val="auto"/>
          <w:highlight w:val="none"/>
        </w:rPr>
        <w:t>15.4</w:t>
      </w:r>
      <w:r>
        <w:rPr>
          <w:rFonts w:hint="eastAsia"/>
          <w:color w:val="auto"/>
          <w:highlight w:val="none"/>
        </w:rPr>
        <w:t xml:space="preserve"> </w:t>
      </w:r>
      <w:r>
        <w:rPr>
          <w:rFonts w:hAnsi="宋体"/>
          <w:color w:val="auto"/>
          <w:highlight w:val="none"/>
        </w:rPr>
        <w:t>保修</w:t>
      </w:r>
      <w:bookmarkEnd w:id="379"/>
      <w:bookmarkEnd w:id="380"/>
    </w:p>
    <w:p>
      <w:pPr>
        <w:spacing w:line="360" w:lineRule="auto"/>
        <w:ind w:firstLine="409" w:firstLineChars="195"/>
        <w:jc w:val="left"/>
        <w:rPr>
          <w:color w:val="auto"/>
          <w:szCs w:val="21"/>
          <w:highlight w:val="none"/>
        </w:rPr>
      </w:pPr>
      <w:r>
        <w:rPr>
          <w:color w:val="auto"/>
          <w:szCs w:val="21"/>
          <w:highlight w:val="none"/>
        </w:rPr>
        <w:t xml:space="preserve">15.4.1 </w:t>
      </w:r>
      <w:r>
        <w:rPr>
          <w:rFonts w:hAnsi="宋体"/>
          <w:color w:val="auto"/>
          <w:szCs w:val="21"/>
          <w:highlight w:val="none"/>
        </w:rPr>
        <w:t>保修责任</w:t>
      </w:r>
    </w:p>
    <w:p>
      <w:pPr>
        <w:spacing w:line="360" w:lineRule="auto"/>
        <w:ind w:firstLine="409" w:firstLineChars="195"/>
        <w:jc w:val="left"/>
        <w:rPr>
          <w:rFonts w:hAnsi="宋体"/>
          <w:color w:val="auto"/>
          <w:kern w:val="0"/>
          <w:szCs w:val="21"/>
          <w:highlight w:val="none"/>
        </w:rPr>
      </w:pPr>
      <w:r>
        <w:rPr>
          <w:rFonts w:hAnsi="宋体"/>
          <w:color w:val="auto"/>
          <w:szCs w:val="21"/>
          <w:highlight w:val="none"/>
        </w:rPr>
        <w:t>工程保修期为：</w:t>
      </w:r>
      <w:r>
        <w:rPr>
          <w:color w:val="auto"/>
          <w:kern w:val="0"/>
          <w:szCs w:val="21"/>
          <w:highlight w:val="none"/>
          <w:u w:val="single"/>
        </w:rPr>
        <w:t xml:space="preserve">          </w:t>
      </w:r>
      <w:r>
        <w:rPr>
          <w:rFonts w:hint="eastAsia"/>
          <w:color w:val="auto"/>
          <w:kern w:val="0"/>
          <w:szCs w:val="21"/>
          <w:highlight w:val="none"/>
          <w:u w:val="single"/>
        </w:rPr>
        <w:t>保修期</w:t>
      </w:r>
      <w:r>
        <w:rPr>
          <w:rFonts w:hint="eastAsia"/>
          <w:color w:val="auto"/>
          <w:kern w:val="0"/>
          <w:szCs w:val="21"/>
          <w:highlight w:val="none"/>
          <w:u w:val="single"/>
          <w:lang w:eastAsia="zh-CN"/>
        </w:rPr>
        <w:t>壹</w:t>
      </w:r>
      <w:r>
        <w:rPr>
          <w:rFonts w:hint="eastAsia"/>
          <w:color w:val="auto"/>
          <w:kern w:val="0"/>
          <w:szCs w:val="21"/>
          <w:highlight w:val="none"/>
          <w:u w:val="single"/>
        </w:rPr>
        <w:t>年</w:t>
      </w:r>
      <w:r>
        <w:rPr>
          <w:color w:val="auto"/>
          <w:kern w:val="0"/>
          <w:szCs w:val="21"/>
          <w:highlight w:val="none"/>
          <w:u w:val="single"/>
        </w:rPr>
        <w:t xml:space="preserve">                   </w:t>
      </w:r>
      <w:r>
        <w:rPr>
          <w:rFonts w:hAnsi="宋体"/>
          <w:color w:val="auto"/>
          <w:kern w:val="0"/>
          <w:szCs w:val="21"/>
          <w:highlight w:val="none"/>
        </w:rPr>
        <w:t>。</w:t>
      </w:r>
    </w:p>
    <w:p>
      <w:pPr>
        <w:spacing w:line="360" w:lineRule="auto"/>
        <w:ind w:firstLine="409" w:firstLineChars="195"/>
        <w:jc w:val="left"/>
        <w:rPr>
          <w:color w:val="auto"/>
          <w:kern w:val="0"/>
          <w:szCs w:val="21"/>
          <w:highlight w:val="none"/>
          <w:u w:val="single"/>
        </w:rPr>
      </w:pPr>
      <w:r>
        <w:rPr>
          <w:rFonts w:hint="eastAsia" w:ascii="宋体" w:hAnsi="宋体"/>
          <w:color w:val="auto"/>
          <w:szCs w:val="21"/>
          <w:highlight w:val="none"/>
        </w:rPr>
        <w:t>工程保修书具体内容见合同附件8。</w:t>
      </w:r>
    </w:p>
    <w:p>
      <w:pPr>
        <w:spacing w:line="360" w:lineRule="auto"/>
        <w:ind w:firstLine="409" w:firstLineChars="195"/>
        <w:jc w:val="left"/>
        <w:rPr>
          <w:color w:val="auto"/>
          <w:szCs w:val="21"/>
          <w:highlight w:val="none"/>
        </w:rPr>
      </w:pPr>
      <w:r>
        <w:rPr>
          <w:color w:val="auto"/>
          <w:szCs w:val="21"/>
          <w:highlight w:val="none"/>
        </w:rPr>
        <w:t xml:space="preserve">15.4.3 </w:t>
      </w:r>
      <w:r>
        <w:rPr>
          <w:rFonts w:hAnsi="宋体"/>
          <w:color w:val="auto"/>
          <w:szCs w:val="21"/>
          <w:highlight w:val="none"/>
        </w:rPr>
        <w:t>修复通知</w:t>
      </w:r>
    </w:p>
    <w:p>
      <w:pPr>
        <w:spacing w:line="360" w:lineRule="auto"/>
        <w:ind w:firstLine="409" w:firstLineChars="195"/>
        <w:jc w:val="left"/>
        <w:rPr>
          <w:rFonts w:hAnsi="宋体"/>
          <w:color w:val="auto"/>
          <w:kern w:val="0"/>
          <w:szCs w:val="21"/>
          <w:highlight w:val="none"/>
        </w:rPr>
      </w:pPr>
      <w:r>
        <w:rPr>
          <w:rFonts w:hAnsi="宋体"/>
          <w:color w:val="auto"/>
          <w:kern w:val="0"/>
          <w:szCs w:val="21"/>
          <w:highlight w:val="none"/>
        </w:rPr>
        <w:t>承包人收到保修通知并到达工程现场的合理时间：</w:t>
      </w:r>
      <w:r>
        <w:rPr>
          <w:color w:val="auto"/>
          <w:kern w:val="0"/>
          <w:szCs w:val="21"/>
          <w:highlight w:val="none"/>
          <w:u w:val="single"/>
        </w:rPr>
        <w:t xml:space="preserve">    </w:t>
      </w:r>
      <w:r>
        <w:rPr>
          <w:rFonts w:hint="eastAsia"/>
          <w:color w:val="auto"/>
          <w:kern w:val="0"/>
          <w:szCs w:val="21"/>
          <w:highlight w:val="none"/>
          <w:u w:val="single"/>
        </w:rPr>
        <w:t>/</w:t>
      </w:r>
      <w:r>
        <w:rPr>
          <w:color w:val="auto"/>
          <w:kern w:val="0"/>
          <w:szCs w:val="21"/>
          <w:highlight w:val="none"/>
          <w:u w:val="single"/>
        </w:rPr>
        <w:t xml:space="preserve">      </w:t>
      </w:r>
      <w:r>
        <w:rPr>
          <w:rFonts w:hAnsi="宋体"/>
          <w:color w:val="auto"/>
          <w:kern w:val="0"/>
          <w:szCs w:val="21"/>
          <w:highlight w:val="none"/>
        </w:rPr>
        <w:t>。</w:t>
      </w:r>
      <w:bookmarkStart w:id="381" w:name="_Toc491946667"/>
    </w:p>
    <w:p>
      <w:pPr>
        <w:spacing w:line="360" w:lineRule="auto"/>
        <w:jc w:val="left"/>
        <w:rPr>
          <w:rFonts w:hAnsi="宋体"/>
          <w:b/>
          <w:bCs/>
          <w:color w:val="auto"/>
          <w:sz w:val="24"/>
          <w:szCs w:val="32"/>
          <w:highlight w:val="none"/>
        </w:rPr>
      </w:pPr>
      <w:r>
        <w:rPr>
          <w:rFonts w:hAnsi="宋体"/>
          <w:b/>
          <w:bCs/>
          <w:color w:val="auto"/>
          <w:sz w:val="24"/>
          <w:szCs w:val="32"/>
          <w:highlight w:val="none"/>
        </w:rPr>
        <w:t>16. 违约</w:t>
      </w:r>
      <w:bookmarkEnd w:id="381"/>
    </w:p>
    <w:p>
      <w:pPr>
        <w:pStyle w:val="7"/>
        <w:rPr>
          <w:color w:val="auto"/>
          <w:highlight w:val="none"/>
        </w:rPr>
      </w:pPr>
      <w:bookmarkStart w:id="382" w:name="_Toc15362"/>
      <w:bookmarkStart w:id="383" w:name="_Toc491946668"/>
      <w:r>
        <w:rPr>
          <w:color w:val="auto"/>
          <w:highlight w:val="none"/>
        </w:rPr>
        <w:t xml:space="preserve">16.1 </w:t>
      </w:r>
      <w:r>
        <w:rPr>
          <w:rFonts w:hAnsi="宋体"/>
          <w:color w:val="auto"/>
          <w:highlight w:val="none"/>
        </w:rPr>
        <w:t>发包人违约</w:t>
      </w:r>
      <w:bookmarkEnd w:id="382"/>
      <w:bookmarkEnd w:id="383"/>
    </w:p>
    <w:p>
      <w:pPr>
        <w:spacing w:line="360" w:lineRule="auto"/>
        <w:ind w:firstLine="420" w:firstLineChars="200"/>
        <w:jc w:val="left"/>
        <w:rPr>
          <w:color w:val="auto"/>
          <w:szCs w:val="21"/>
          <w:highlight w:val="none"/>
        </w:rPr>
      </w:pPr>
      <w:r>
        <w:rPr>
          <w:color w:val="auto"/>
          <w:szCs w:val="21"/>
          <w:highlight w:val="none"/>
        </w:rPr>
        <w:t>16.1.1</w:t>
      </w:r>
      <w:r>
        <w:rPr>
          <w:rFonts w:hAnsi="宋体"/>
          <w:color w:val="auto"/>
          <w:szCs w:val="21"/>
          <w:highlight w:val="none"/>
        </w:rPr>
        <w:t>发包人违约的情形</w:t>
      </w:r>
    </w:p>
    <w:p>
      <w:pPr>
        <w:spacing w:line="360" w:lineRule="auto"/>
        <w:ind w:firstLine="420" w:firstLineChars="200"/>
        <w:jc w:val="left"/>
        <w:rPr>
          <w:rFonts w:hAnsi="宋体"/>
          <w:color w:val="auto"/>
          <w:kern w:val="0"/>
          <w:szCs w:val="21"/>
          <w:highlight w:val="none"/>
        </w:rPr>
      </w:pPr>
      <w:r>
        <w:rPr>
          <w:rFonts w:hAnsi="宋体"/>
          <w:color w:val="auto"/>
          <w:kern w:val="0"/>
          <w:szCs w:val="21"/>
          <w:highlight w:val="none"/>
        </w:rPr>
        <w:t>发包人违约的其他情形：</w:t>
      </w:r>
      <w:r>
        <w:rPr>
          <w:color w:val="auto"/>
          <w:kern w:val="0"/>
          <w:szCs w:val="21"/>
          <w:highlight w:val="none"/>
          <w:u w:val="single"/>
        </w:rPr>
        <w:t xml:space="preserve">  </w:t>
      </w:r>
      <w:r>
        <w:rPr>
          <w:rFonts w:hint="eastAsia"/>
          <w:color w:val="auto"/>
          <w:kern w:val="0"/>
          <w:szCs w:val="21"/>
          <w:highlight w:val="none"/>
          <w:u w:val="single"/>
        </w:rPr>
        <w:t>按通用条款及相关法律法规执行</w:t>
      </w:r>
      <w:r>
        <w:rPr>
          <w:color w:val="auto"/>
          <w:kern w:val="0"/>
          <w:szCs w:val="21"/>
          <w:highlight w:val="none"/>
          <w:u w:val="single"/>
        </w:rPr>
        <w:t xml:space="preserve"> </w:t>
      </w:r>
      <w:r>
        <w:rPr>
          <w:rFonts w:hAnsi="宋体"/>
          <w:color w:val="auto"/>
          <w:kern w:val="0"/>
          <w:szCs w:val="21"/>
          <w:highlight w:val="none"/>
        </w:rPr>
        <w:t>。</w:t>
      </w:r>
    </w:p>
    <w:p>
      <w:pPr>
        <w:spacing w:line="360" w:lineRule="auto"/>
        <w:ind w:firstLine="420" w:firstLineChars="200"/>
        <w:jc w:val="left"/>
        <w:rPr>
          <w:color w:val="auto"/>
          <w:kern w:val="0"/>
          <w:szCs w:val="21"/>
          <w:highlight w:val="none"/>
        </w:rPr>
      </w:pPr>
      <w:r>
        <w:rPr>
          <w:color w:val="auto"/>
          <w:kern w:val="0"/>
          <w:szCs w:val="21"/>
          <w:highlight w:val="none"/>
        </w:rPr>
        <w:t xml:space="preserve">16.1.2 </w:t>
      </w:r>
      <w:r>
        <w:rPr>
          <w:rFonts w:hAnsi="宋体"/>
          <w:color w:val="auto"/>
          <w:kern w:val="0"/>
          <w:szCs w:val="21"/>
          <w:highlight w:val="none"/>
        </w:rPr>
        <w:t>发包人违约的责任</w:t>
      </w:r>
    </w:p>
    <w:p>
      <w:pPr>
        <w:spacing w:line="360" w:lineRule="auto"/>
        <w:ind w:firstLine="420" w:firstLineChars="200"/>
        <w:jc w:val="left"/>
        <w:rPr>
          <w:color w:val="auto"/>
          <w:kern w:val="0"/>
          <w:szCs w:val="21"/>
          <w:highlight w:val="none"/>
        </w:rPr>
      </w:pPr>
      <w:r>
        <w:rPr>
          <w:rFonts w:hAnsi="宋体"/>
          <w:color w:val="auto"/>
          <w:kern w:val="0"/>
          <w:szCs w:val="21"/>
          <w:highlight w:val="none"/>
        </w:rPr>
        <w:t>发包人违约责任的承担方式和计算方法：</w:t>
      </w:r>
    </w:p>
    <w:p>
      <w:pPr>
        <w:spacing w:line="360" w:lineRule="auto"/>
        <w:ind w:firstLine="420" w:firstLineChars="200"/>
        <w:jc w:val="left"/>
        <w:rPr>
          <w:color w:val="auto"/>
          <w:kern w:val="0"/>
          <w:szCs w:val="21"/>
          <w:highlight w:val="none"/>
          <w:u w:val="single"/>
        </w:rPr>
      </w:pPr>
      <w:r>
        <w:rPr>
          <w:rFonts w:hAnsi="宋体"/>
          <w:color w:val="auto"/>
          <w:kern w:val="0"/>
          <w:szCs w:val="21"/>
          <w:highlight w:val="none"/>
        </w:rPr>
        <w:t>（</w:t>
      </w:r>
      <w:r>
        <w:rPr>
          <w:color w:val="auto"/>
          <w:kern w:val="0"/>
          <w:szCs w:val="21"/>
          <w:highlight w:val="none"/>
        </w:rPr>
        <w:t>1</w:t>
      </w:r>
      <w:r>
        <w:rPr>
          <w:rFonts w:hAnsi="宋体"/>
          <w:color w:val="auto"/>
          <w:kern w:val="0"/>
          <w:szCs w:val="21"/>
          <w:highlight w:val="none"/>
        </w:rPr>
        <w:t>）因发包人原因未能在计划开工日期前</w:t>
      </w:r>
      <w:r>
        <w:rPr>
          <w:color w:val="auto"/>
          <w:kern w:val="0"/>
          <w:szCs w:val="21"/>
          <w:highlight w:val="none"/>
        </w:rPr>
        <w:t>7</w:t>
      </w:r>
      <w:r>
        <w:rPr>
          <w:rFonts w:hAnsi="宋体"/>
          <w:color w:val="auto"/>
          <w:kern w:val="0"/>
          <w:szCs w:val="21"/>
          <w:highlight w:val="none"/>
        </w:rPr>
        <w:t>天内下达开工通知的违约责任：</w:t>
      </w:r>
      <w:r>
        <w:rPr>
          <w:color w:val="auto"/>
          <w:kern w:val="0"/>
          <w:szCs w:val="21"/>
          <w:highlight w:val="none"/>
          <w:u w:val="single"/>
        </w:rPr>
        <w:t xml:space="preserve">  </w:t>
      </w:r>
      <w:r>
        <w:rPr>
          <w:rFonts w:hint="eastAsia"/>
          <w:color w:val="auto"/>
          <w:kern w:val="0"/>
          <w:szCs w:val="21"/>
          <w:highlight w:val="none"/>
          <w:u w:val="single"/>
        </w:rPr>
        <w:t>工期顺延</w:t>
      </w:r>
      <w:r>
        <w:rPr>
          <w:color w:val="auto"/>
          <w:kern w:val="0"/>
          <w:szCs w:val="21"/>
          <w:highlight w:val="none"/>
          <w:u w:val="single"/>
        </w:rPr>
        <w:t xml:space="preserve">  </w:t>
      </w:r>
      <w:r>
        <w:rPr>
          <w:rFonts w:hAnsi="宋体"/>
          <w:color w:val="auto"/>
          <w:kern w:val="0"/>
          <w:szCs w:val="21"/>
          <w:highlight w:val="none"/>
        </w:rPr>
        <w:t>。</w:t>
      </w:r>
    </w:p>
    <w:p>
      <w:pPr>
        <w:spacing w:line="360" w:lineRule="auto"/>
        <w:ind w:firstLine="420" w:firstLineChars="200"/>
        <w:jc w:val="left"/>
        <w:rPr>
          <w:color w:val="auto"/>
          <w:kern w:val="0"/>
          <w:szCs w:val="21"/>
          <w:highlight w:val="none"/>
        </w:rPr>
      </w:pPr>
      <w:r>
        <w:rPr>
          <w:rFonts w:hAnsi="宋体"/>
          <w:color w:val="auto"/>
          <w:kern w:val="0"/>
          <w:szCs w:val="21"/>
          <w:highlight w:val="none"/>
        </w:rPr>
        <w:t>（</w:t>
      </w:r>
      <w:r>
        <w:rPr>
          <w:rFonts w:hint="eastAsia" w:hAnsi="宋体"/>
          <w:color w:val="auto"/>
          <w:kern w:val="0"/>
          <w:szCs w:val="21"/>
          <w:highlight w:val="none"/>
        </w:rPr>
        <w:t>2</w:t>
      </w:r>
      <w:r>
        <w:rPr>
          <w:rFonts w:hAnsi="宋体"/>
          <w:color w:val="auto"/>
          <w:kern w:val="0"/>
          <w:szCs w:val="21"/>
          <w:highlight w:val="none"/>
        </w:rPr>
        <w:t>）发包人违反第</w:t>
      </w:r>
      <w:r>
        <w:rPr>
          <w:color w:val="auto"/>
          <w:kern w:val="0"/>
          <w:szCs w:val="21"/>
          <w:highlight w:val="none"/>
        </w:rPr>
        <w:t>10.1</w:t>
      </w:r>
      <w:r>
        <w:rPr>
          <w:rFonts w:hAnsi="宋体"/>
          <w:color w:val="auto"/>
          <w:kern w:val="0"/>
          <w:szCs w:val="21"/>
          <w:highlight w:val="none"/>
        </w:rPr>
        <w:t>款〔变更的范围〕第（</w:t>
      </w:r>
      <w:r>
        <w:rPr>
          <w:color w:val="auto"/>
          <w:kern w:val="0"/>
          <w:szCs w:val="21"/>
          <w:highlight w:val="none"/>
        </w:rPr>
        <w:t>2</w:t>
      </w:r>
      <w:r>
        <w:rPr>
          <w:rFonts w:hAnsi="宋体"/>
          <w:color w:val="auto"/>
          <w:kern w:val="0"/>
          <w:szCs w:val="21"/>
          <w:highlight w:val="none"/>
        </w:rPr>
        <w:t>）项约定，自行实施被取消的工作或转由他人实施的违约责任：</w:t>
      </w:r>
      <w:r>
        <w:rPr>
          <w:color w:val="auto"/>
          <w:kern w:val="0"/>
          <w:szCs w:val="21"/>
          <w:highlight w:val="none"/>
          <w:u w:val="single"/>
        </w:rPr>
        <w:t xml:space="preserve">                 </w:t>
      </w:r>
      <w:r>
        <w:rPr>
          <w:rFonts w:hint="eastAsia"/>
          <w:color w:val="auto"/>
          <w:kern w:val="0"/>
          <w:szCs w:val="21"/>
          <w:highlight w:val="none"/>
          <w:u w:val="single"/>
        </w:rPr>
        <w:t>无</w:t>
      </w:r>
      <w:r>
        <w:rPr>
          <w:color w:val="auto"/>
          <w:kern w:val="0"/>
          <w:szCs w:val="21"/>
          <w:highlight w:val="none"/>
          <w:u w:val="single"/>
        </w:rPr>
        <w:t xml:space="preserve">            </w:t>
      </w:r>
      <w:r>
        <w:rPr>
          <w:rFonts w:hAnsi="宋体"/>
          <w:color w:val="auto"/>
          <w:kern w:val="0"/>
          <w:szCs w:val="21"/>
          <w:highlight w:val="none"/>
        </w:rPr>
        <w:t>。</w:t>
      </w:r>
    </w:p>
    <w:p>
      <w:pPr>
        <w:spacing w:line="360" w:lineRule="auto"/>
        <w:ind w:firstLine="420" w:firstLineChars="200"/>
        <w:jc w:val="left"/>
        <w:rPr>
          <w:color w:val="auto"/>
          <w:kern w:val="0"/>
          <w:szCs w:val="21"/>
          <w:highlight w:val="none"/>
        </w:rPr>
      </w:pPr>
      <w:r>
        <w:rPr>
          <w:rFonts w:hAnsi="宋体"/>
          <w:color w:val="auto"/>
          <w:kern w:val="0"/>
          <w:szCs w:val="21"/>
          <w:highlight w:val="none"/>
        </w:rPr>
        <w:t>（</w:t>
      </w:r>
      <w:r>
        <w:rPr>
          <w:rFonts w:hint="eastAsia"/>
          <w:color w:val="auto"/>
          <w:kern w:val="0"/>
          <w:szCs w:val="21"/>
          <w:highlight w:val="none"/>
        </w:rPr>
        <w:t>3</w:t>
      </w:r>
      <w:r>
        <w:rPr>
          <w:rFonts w:hAnsi="宋体"/>
          <w:color w:val="auto"/>
          <w:kern w:val="0"/>
          <w:szCs w:val="21"/>
          <w:highlight w:val="none"/>
        </w:rPr>
        <w:t>）发包人提供的材料、工程设备的规格、数量或质量不符合合同约定，或因发包人原因导致交货日期延误或交货地点变更等情况的违约责任：</w:t>
      </w:r>
      <w:r>
        <w:rPr>
          <w:color w:val="auto"/>
          <w:kern w:val="0"/>
          <w:szCs w:val="21"/>
          <w:highlight w:val="none"/>
          <w:u w:val="single"/>
        </w:rPr>
        <w:t xml:space="preserve">  </w:t>
      </w:r>
      <w:r>
        <w:rPr>
          <w:rFonts w:hAnsi="宋体"/>
          <w:color w:val="auto"/>
          <w:kern w:val="0"/>
          <w:szCs w:val="21"/>
          <w:highlight w:val="none"/>
          <w:u w:val="single"/>
        </w:rPr>
        <w:t>发包人</w:t>
      </w:r>
      <w:r>
        <w:rPr>
          <w:rFonts w:hint="eastAsia" w:hAnsi="宋体"/>
          <w:color w:val="auto"/>
          <w:kern w:val="0"/>
          <w:szCs w:val="21"/>
          <w:highlight w:val="none"/>
          <w:u w:val="single"/>
        </w:rPr>
        <w:t>不提供材料、设备等</w:t>
      </w:r>
      <w:r>
        <w:rPr>
          <w:color w:val="auto"/>
          <w:kern w:val="0"/>
          <w:szCs w:val="21"/>
          <w:highlight w:val="none"/>
          <w:u w:val="single"/>
        </w:rPr>
        <w:t xml:space="preserve">   </w:t>
      </w:r>
      <w:r>
        <w:rPr>
          <w:rFonts w:hAnsi="宋体"/>
          <w:color w:val="auto"/>
          <w:kern w:val="0"/>
          <w:szCs w:val="21"/>
          <w:highlight w:val="none"/>
        </w:rPr>
        <w:t>。</w:t>
      </w:r>
    </w:p>
    <w:p>
      <w:pPr>
        <w:spacing w:line="360" w:lineRule="auto"/>
        <w:ind w:firstLine="420" w:firstLineChars="200"/>
        <w:jc w:val="left"/>
        <w:rPr>
          <w:color w:val="auto"/>
          <w:kern w:val="0"/>
          <w:szCs w:val="21"/>
          <w:highlight w:val="none"/>
          <w:u w:val="single"/>
        </w:rPr>
      </w:pPr>
      <w:r>
        <w:rPr>
          <w:rFonts w:hAnsi="宋体"/>
          <w:color w:val="auto"/>
          <w:kern w:val="0"/>
          <w:szCs w:val="21"/>
          <w:highlight w:val="none"/>
        </w:rPr>
        <w:t>（</w:t>
      </w:r>
      <w:r>
        <w:rPr>
          <w:rFonts w:hint="eastAsia"/>
          <w:color w:val="auto"/>
          <w:kern w:val="0"/>
          <w:szCs w:val="21"/>
          <w:highlight w:val="none"/>
        </w:rPr>
        <w:t>4</w:t>
      </w:r>
      <w:r>
        <w:rPr>
          <w:rFonts w:hAnsi="宋体"/>
          <w:color w:val="auto"/>
          <w:kern w:val="0"/>
          <w:szCs w:val="21"/>
          <w:highlight w:val="none"/>
        </w:rPr>
        <w:t>）因发包人违反合同约定造成暂停施工的违约责任：</w:t>
      </w:r>
      <w:r>
        <w:rPr>
          <w:color w:val="auto"/>
          <w:kern w:val="0"/>
          <w:szCs w:val="21"/>
          <w:highlight w:val="none"/>
          <w:u w:val="single"/>
        </w:rPr>
        <w:t xml:space="preserve">     </w:t>
      </w:r>
      <w:r>
        <w:rPr>
          <w:rFonts w:hint="eastAsia"/>
          <w:color w:val="auto"/>
          <w:kern w:val="0"/>
          <w:szCs w:val="21"/>
          <w:highlight w:val="none"/>
          <w:u w:val="single"/>
        </w:rPr>
        <w:t>工期顺延</w:t>
      </w:r>
      <w:r>
        <w:rPr>
          <w:color w:val="auto"/>
          <w:kern w:val="0"/>
          <w:szCs w:val="21"/>
          <w:highlight w:val="none"/>
          <w:u w:val="single"/>
        </w:rPr>
        <w:t xml:space="preserve">     </w:t>
      </w:r>
      <w:r>
        <w:rPr>
          <w:rFonts w:hAnsi="宋体"/>
          <w:color w:val="auto"/>
          <w:kern w:val="0"/>
          <w:szCs w:val="21"/>
          <w:highlight w:val="none"/>
        </w:rPr>
        <w:t>。</w:t>
      </w:r>
    </w:p>
    <w:p>
      <w:pPr>
        <w:spacing w:line="360" w:lineRule="auto"/>
        <w:ind w:firstLine="420" w:firstLineChars="200"/>
        <w:jc w:val="left"/>
        <w:rPr>
          <w:color w:val="auto"/>
          <w:kern w:val="0"/>
          <w:szCs w:val="21"/>
          <w:highlight w:val="none"/>
        </w:rPr>
      </w:pPr>
      <w:r>
        <w:rPr>
          <w:rFonts w:hAnsi="宋体"/>
          <w:color w:val="auto"/>
          <w:kern w:val="0"/>
          <w:szCs w:val="21"/>
          <w:highlight w:val="none"/>
        </w:rPr>
        <w:t>（</w:t>
      </w:r>
      <w:r>
        <w:rPr>
          <w:rFonts w:hint="eastAsia"/>
          <w:color w:val="auto"/>
          <w:kern w:val="0"/>
          <w:szCs w:val="21"/>
          <w:highlight w:val="none"/>
        </w:rPr>
        <w:t>5</w:t>
      </w:r>
      <w:r>
        <w:rPr>
          <w:rFonts w:hAnsi="宋体"/>
          <w:color w:val="auto"/>
          <w:kern w:val="0"/>
          <w:szCs w:val="21"/>
          <w:highlight w:val="none"/>
        </w:rPr>
        <w:t>）发包人无正当理由没有在约定期限内发出复工指示，导致承包人无法复工的违约责任：</w:t>
      </w:r>
      <w:r>
        <w:rPr>
          <w:rFonts w:hint="eastAsia"/>
          <w:color w:val="auto"/>
          <w:kern w:val="0"/>
          <w:szCs w:val="21"/>
          <w:highlight w:val="none"/>
          <w:u w:val="single"/>
        </w:rPr>
        <w:t xml:space="preserve">由发包人承担 </w:t>
      </w:r>
      <w:r>
        <w:rPr>
          <w:rFonts w:hAnsi="宋体"/>
          <w:color w:val="auto"/>
          <w:kern w:val="0"/>
          <w:szCs w:val="21"/>
          <w:highlight w:val="none"/>
        </w:rPr>
        <w:t>。</w:t>
      </w:r>
    </w:p>
    <w:p>
      <w:pPr>
        <w:spacing w:line="360" w:lineRule="auto"/>
        <w:ind w:firstLine="420" w:firstLineChars="200"/>
        <w:jc w:val="left"/>
        <w:rPr>
          <w:color w:val="auto"/>
          <w:kern w:val="0"/>
          <w:szCs w:val="21"/>
          <w:highlight w:val="none"/>
        </w:rPr>
      </w:pPr>
      <w:r>
        <w:rPr>
          <w:rFonts w:hAnsi="宋体"/>
          <w:color w:val="auto"/>
          <w:kern w:val="0"/>
          <w:szCs w:val="21"/>
          <w:highlight w:val="none"/>
        </w:rPr>
        <w:t>（</w:t>
      </w:r>
      <w:r>
        <w:rPr>
          <w:rFonts w:hint="eastAsia"/>
          <w:color w:val="auto"/>
          <w:kern w:val="0"/>
          <w:szCs w:val="21"/>
          <w:highlight w:val="none"/>
        </w:rPr>
        <w:t>6</w:t>
      </w:r>
      <w:r>
        <w:rPr>
          <w:rFonts w:hAnsi="宋体"/>
          <w:color w:val="auto"/>
          <w:kern w:val="0"/>
          <w:szCs w:val="21"/>
          <w:highlight w:val="none"/>
        </w:rPr>
        <w:t>）其他：</w:t>
      </w:r>
      <w:r>
        <w:rPr>
          <w:color w:val="auto"/>
          <w:kern w:val="0"/>
          <w:szCs w:val="21"/>
          <w:highlight w:val="none"/>
          <w:u w:val="single"/>
        </w:rPr>
        <w:t xml:space="preserve">   </w:t>
      </w:r>
      <w:r>
        <w:rPr>
          <w:rFonts w:hint="eastAsia"/>
          <w:color w:val="auto"/>
          <w:kern w:val="0"/>
          <w:szCs w:val="21"/>
          <w:highlight w:val="none"/>
          <w:u w:val="single"/>
        </w:rPr>
        <w:t>无</w:t>
      </w:r>
      <w:r>
        <w:rPr>
          <w:color w:val="auto"/>
          <w:kern w:val="0"/>
          <w:szCs w:val="21"/>
          <w:highlight w:val="none"/>
          <w:u w:val="single"/>
        </w:rPr>
        <w:t xml:space="preserve">   </w:t>
      </w:r>
      <w:r>
        <w:rPr>
          <w:rFonts w:hAnsi="宋体"/>
          <w:color w:val="auto"/>
          <w:kern w:val="0"/>
          <w:szCs w:val="21"/>
          <w:highlight w:val="none"/>
        </w:rPr>
        <w:t>。</w:t>
      </w:r>
    </w:p>
    <w:p>
      <w:pPr>
        <w:spacing w:line="360" w:lineRule="auto"/>
        <w:ind w:firstLine="420" w:firstLineChars="200"/>
        <w:jc w:val="left"/>
        <w:rPr>
          <w:color w:val="auto"/>
          <w:kern w:val="0"/>
          <w:szCs w:val="21"/>
          <w:highlight w:val="none"/>
        </w:rPr>
      </w:pPr>
    </w:p>
    <w:p>
      <w:pPr>
        <w:spacing w:line="360" w:lineRule="auto"/>
        <w:ind w:firstLine="420" w:firstLineChars="200"/>
        <w:jc w:val="left"/>
        <w:rPr>
          <w:color w:val="auto"/>
          <w:szCs w:val="21"/>
          <w:highlight w:val="none"/>
        </w:rPr>
      </w:pPr>
      <w:r>
        <w:rPr>
          <w:color w:val="auto"/>
          <w:szCs w:val="21"/>
          <w:highlight w:val="none"/>
        </w:rPr>
        <w:t xml:space="preserve">16.1.3 </w:t>
      </w:r>
      <w:r>
        <w:rPr>
          <w:rFonts w:hAnsi="宋体"/>
          <w:color w:val="auto"/>
          <w:szCs w:val="21"/>
          <w:highlight w:val="none"/>
        </w:rPr>
        <w:t>因发包人违约解除合同</w:t>
      </w:r>
    </w:p>
    <w:p>
      <w:pPr>
        <w:autoSpaceDE w:val="0"/>
        <w:autoSpaceDN w:val="0"/>
        <w:adjustRightInd w:val="0"/>
        <w:spacing w:line="360" w:lineRule="auto"/>
        <w:ind w:firstLine="420" w:firstLineChars="200"/>
        <w:jc w:val="left"/>
        <w:rPr>
          <w:color w:val="auto"/>
          <w:kern w:val="0"/>
          <w:szCs w:val="21"/>
          <w:highlight w:val="none"/>
        </w:rPr>
      </w:pPr>
      <w:r>
        <w:rPr>
          <w:rFonts w:hAnsi="宋体"/>
          <w:color w:val="auto"/>
          <w:kern w:val="0"/>
          <w:szCs w:val="21"/>
          <w:highlight w:val="none"/>
        </w:rPr>
        <w:t>承包人按</w:t>
      </w:r>
      <w:r>
        <w:rPr>
          <w:color w:val="auto"/>
          <w:kern w:val="0"/>
          <w:szCs w:val="21"/>
          <w:highlight w:val="none"/>
        </w:rPr>
        <w:t>16.1.1</w:t>
      </w:r>
      <w:r>
        <w:rPr>
          <w:rFonts w:hAnsi="宋体"/>
          <w:color w:val="auto"/>
          <w:kern w:val="0"/>
          <w:szCs w:val="21"/>
          <w:highlight w:val="none"/>
        </w:rPr>
        <w:t>项〔发包人违约的情形〕约定暂停施工满</w:t>
      </w:r>
      <w:r>
        <w:rPr>
          <w:color w:val="auto"/>
          <w:kern w:val="0"/>
          <w:szCs w:val="21"/>
          <w:highlight w:val="none"/>
          <w:u w:val="single"/>
        </w:rPr>
        <w:t xml:space="preserve"> </w:t>
      </w:r>
      <w:r>
        <w:rPr>
          <w:rFonts w:hint="eastAsia"/>
          <w:color w:val="auto"/>
          <w:kern w:val="0"/>
          <w:szCs w:val="21"/>
          <w:highlight w:val="none"/>
          <w:u w:val="single"/>
        </w:rPr>
        <w:t>28</w:t>
      </w:r>
      <w:r>
        <w:rPr>
          <w:color w:val="auto"/>
          <w:kern w:val="0"/>
          <w:szCs w:val="21"/>
          <w:highlight w:val="none"/>
          <w:u w:val="single"/>
        </w:rPr>
        <w:t xml:space="preserve"> </w:t>
      </w:r>
      <w:r>
        <w:rPr>
          <w:rFonts w:hAnsi="宋体"/>
          <w:color w:val="auto"/>
          <w:kern w:val="0"/>
          <w:szCs w:val="21"/>
          <w:highlight w:val="none"/>
        </w:rPr>
        <w:t>天后发包人仍不纠正其违约行为并致使合同目的不能实现的，承包人有权解除合同。</w:t>
      </w:r>
    </w:p>
    <w:p>
      <w:pPr>
        <w:pStyle w:val="7"/>
        <w:rPr>
          <w:color w:val="auto"/>
          <w:highlight w:val="none"/>
        </w:rPr>
      </w:pPr>
      <w:bookmarkStart w:id="384" w:name="_Toc15666"/>
      <w:bookmarkStart w:id="385" w:name="_Toc491946669"/>
      <w:r>
        <w:rPr>
          <w:color w:val="auto"/>
          <w:highlight w:val="none"/>
        </w:rPr>
        <w:t xml:space="preserve">16.2 </w:t>
      </w:r>
      <w:r>
        <w:rPr>
          <w:rFonts w:hAnsi="宋体"/>
          <w:color w:val="auto"/>
          <w:highlight w:val="none"/>
        </w:rPr>
        <w:t>承包人违约</w:t>
      </w:r>
      <w:bookmarkEnd w:id="384"/>
      <w:bookmarkEnd w:id="385"/>
    </w:p>
    <w:p>
      <w:pPr>
        <w:spacing w:line="360" w:lineRule="auto"/>
        <w:ind w:firstLine="420" w:firstLineChars="200"/>
        <w:jc w:val="left"/>
        <w:rPr>
          <w:color w:val="auto"/>
          <w:kern w:val="0"/>
          <w:szCs w:val="21"/>
          <w:highlight w:val="none"/>
        </w:rPr>
      </w:pPr>
      <w:r>
        <w:rPr>
          <w:color w:val="auto"/>
          <w:kern w:val="0"/>
          <w:szCs w:val="21"/>
          <w:highlight w:val="none"/>
        </w:rPr>
        <w:t xml:space="preserve">16.2.1 </w:t>
      </w:r>
      <w:r>
        <w:rPr>
          <w:rFonts w:hAnsi="宋体"/>
          <w:color w:val="auto"/>
          <w:kern w:val="0"/>
          <w:szCs w:val="21"/>
          <w:highlight w:val="none"/>
        </w:rPr>
        <w:t>承包人违约的情形</w:t>
      </w:r>
    </w:p>
    <w:p>
      <w:pPr>
        <w:spacing w:line="360" w:lineRule="auto"/>
        <w:ind w:firstLine="420" w:firstLineChars="200"/>
        <w:jc w:val="left"/>
        <w:rPr>
          <w:color w:val="auto"/>
          <w:kern w:val="0"/>
          <w:szCs w:val="21"/>
          <w:highlight w:val="none"/>
          <w:u w:val="single"/>
        </w:rPr>
      </w:pPr>
      <w:r>
        <w:rPr>
          <w:rFonts w:hAnsi="宋体"/>
          <w:color w:val="auto"/>
          <w:kern w:val="0"/>
          <w:szCs w:val="21"/>
          <w:highlight w:val="none"/>
        </w:rPr>
        <w:t>承包人违约的其他情形：</w:t>
      </w:r>
      <w:r>
        <w:rPr>
          <w:color w:val="auto"/>
          <w:kern w:val="0"/>
          <w:szCs w:val="21"/>
          <w:highlight w:val="none"/>
          <w:u w:val="single"/>
        </w:rPr>
        <w:t xml:space="preserve">   </w:t>
      </w:r>
      <w:r>
        <w:rPr>
          <w:rFonts w:hint="eastAsia"/>
          <w:color w:val="auto"/>
          <w:kern w:val="0"/>
          <w:szCs w:val="21"/>
          <w:highlight w:val="none"/>
          <w:u w:val="single"/>
        </w:rPr>
        <w:t>（1）违反合同专用条款第5条款关于工程质量的要求；（2）违反合同专用条款第6.1条款关于安全文明施工的要求；（3）违反合同专用条款第7条款关于工期和进度的要求；（4）违反合同专用条款第8.6条款关于材料样品送检的要求；（5）a、无视发包人或监理人事先的书面警告，一贯或公然忽视履行其合同规定的义务；或b、没有按投标文件及时配备称职的关键管理与技术人员的规定，以及承包人承诺配备的关键施工设备；或c、在接到根据通用条款第8款关于修复或运走、替换不合格材料、设备的规定发出的通知或指令后的28天内不遵守该通知或指令；或d、无正当理由而未能根据通用条款第7.3款规定开工；或在接在发包人或监理人的通知后的14天内无正当理由未能采取措施加快进行本工程或其关键部分的施工；或e、已经违反专用条款第3.5条关于分包的规定；或f、在施工阶段至工程保修期终止，承包人不履行合同义务；或g、违反合同专用条款可能规定的其他重要规定。（6）施工中出现质量隐患或质量问题、严重安全隐患的；（7）因项目管理不善或其它原因发生质量、安全事故，发包人发函约见承包人法定代表人的，承包人法定代表人必须于2天内到位</w:t>
      </w:r>
      <w:r>
        <w:rPr>
          <w:color w:val="auto"/>
          <w:kern w:val="0"/>
          <w:szCs w:val="21"/>
          <w:highlight w:val="none"/>
          <w:u w:val="single"/>
        </w:rPr>
        <w:t xml:space="preserve">   。 </w:t>
      </w:r>
    </w:p>
    <w:p>
      <w:pPr>
        <w:spacing w:line="360" w:lineRule="auto"/>
        <w:ind w:firstLine="420" w:firstLineChars="200"/>
        <w:jc w:val="left"/>
        <w:rPr>
          <w:color w:val="auto"/>
          <w:kern w:val="0"/>
          <w:szCs w:val="21"/>
          <w:highlight w:val="none"/>
        </w:rPr>
      </w:pPr>
      <w:r>
        <w:rPr>
          <w:color w:val="auto"/>
          <w:kern w:val="0"/>
          <w:szCs w:val="21"/>
          <w:highlight w:val="none"/>
        </w:rPr>
        <w:t>16.2.2</w:t>
      </w:r>
      <w:r>
        <w:rPr>
          <w:rFonts w:hAnsi="宋体"/>
          <w:color w:val="auto"/>
          <w:kern w:val="0"/>
          <w:szCs w:val="21"/>
          <w:highlight w:val="none"/>
        </w:rPr>
        <w:t>承包人违约的责任</w:t>
      </w:r>
    </w:p>
    <w:p>
      <w:pPr>
        <w:spacing w:line="360" w:lineRule="auto"/>
        <w:ind w:firstLine="420" w:firstLineChars="200"/>
        <w:jc w:val="left"/>
        <w:rPr>
          <w:color w:val="auto"/>
          <w:kern w:val="0"/>
          <w:szCs w:val="21"/>
          <w:highlight w:val="none"/>
        </w:rPr>
      </w:pPr>
      <w:r>
        <w:rPr>
          <w:rFonts w:hAnsi="宋体"/>
          <w:color w:val="auto"/>
          <w:kern w:val="0"/>
          <w:szCs w:val="21"/>
          <w:highlight w:val="none"/>
        </w:rPr>
        <w:t>承包人违约责任的承担方式和计算方法：</w:t>
      </w:r>
    </w:p>
    <w:p>
      <w:pPr>
        <w:spacing w:line="360" w:lineRule="auto"/>
        <w:ind w:firstLine="420" w:firstLineChars="200"/>
        <w:jc w:val="left"/>
        <w:rPr>
          <w:rFonts w:hAnsi="宋体"/>
          <w:color w:val="auto"/>
          <w:kern w:val="0"/>
          <w:szCs w:val="21"/>
          <w:highlight w:val="none"/>
        </w:rPr>
      </w:pPr>
      <w:r>
        <w:rPr>
          <w:rFonts w:hAnsi="宋体"/>
          <w:color w:val="auto"/>
          <w:kern w:val="0"/>
          <w:szCs w:val="21"/>
          <w:highlight w:val="none"/>
        </w:rPr>
        <w:t>（</w:t>
      </w:r>
      <w:r>
        <w:rPr>
          <w:color w:val="auto"/>
          <w:kern w:val="0"/>
          <w:szCs w:val="21"/>
          <w:highlight w:val="none"/>
        </w:rPr>
        <w:t>1</w:t>
      </w:r>
      <w:r>
        <w:rPr>
          <w:rFonts w:hAnsi="宋体"/>
          <w:color w:val="auto"/>
          <w:kern w:val="0"/>
          <w:szCs w:val="21"/>
          <w:highlight w:val="none"/>
        </w:rPr>
        <w:t>）承包人未按本合同通用条款第</w:t>
      </w:r>
      <w:r>
        <w:rPr>
          <w:color w:val="auto"/>
          <w:kern w:val="0"/>
          <w:szCs w:val="21"/>
          <w:highlight w:val="none"/>
        </w:rPr>
        <w:t>16.2.1</w:t>
      </w:r>
      <w:r>
        <w:rPr>
          <w:rFonts w:hAnsi="宋体"/>
          <w:color w:val="auto"/>
          <w:kern w:val="0"/>
          <w:szCs w:val="21"/>
          <w:highlight w:val="none"/>
        </w:rPr>
        <w:t>（</w:t>
      </w:r>
      <w:r>
        <w:rPr>
          <w:color w:val="auto"/>
          <w:kern w:val="0"/>
          <w:szCs w:val="21"/>
          <w:highlight w:val="none"/>
        </w:rPr>
        <w:t>2</w:t>
      </w:r>
      <w:r>
        <w:rPr>
          <w:rFonts w:hAnsi="宋体"/>
          <w:color w:val="auto"/>
          <w:kern w:val="0"/>
          <w:szCs w:val="21"/>
          <w:highlight w:val="none"/>
        </w:rPr>
        <w:t>）</w:t>
      </w:r>
      <w:r>
        <w:rPr>
          <w:rFonts w:hint="eastAsia" w:hAnsi="宋体"/>
          <w:color w:val="auto"/>
          <w:kern w:val="0"/>
          <w:szCs w:val="21"/>
          <w:highlight w:val="none"/>
        </w:rPr>
        <w:t>、</w:t>
      </w:r>
      <w:r>
        <w:rPr>
          <w:rFonts w:hAnsi="宋体"/>
          <w:color w:val="auto"/>
          <w:kern w:val="0"/>
          <w:szCs w:val="21"/>
          <w:highlight w:val="none"/>
        </w:rPr>
        <w:t>（</w:t>
      </w:r>
      <w:r>
        <w:rPr>
          <w:color w:val="auto"/>
          <w:kern w:val="0"/>
          <w:szCs w:val="21"/>
          <w:highlight w:val="none"/>
        </w:rPr>
        <w:t>3</w:t>
      </w:r>
      <w:r>
        <w:rPr>
          <w:rFonts w:hAnsi="宋体"/>
          <w:color w:val="auto"/>
          <w:kern w:val="0"/>
          <w:szCs w:val="21"/>
          <w:highlight w:val="none"/>
        </w:rPr>
        <w:t>）条内容完成的，承包人无条件返工处理，修复至工程质量要求并承担相关费用，并在发包人规定的时间内完成返工，否则发包人有权扣罚该分项工程</w:t>
      </w:r>
      <w:r>
        <w:rPr>
          <w:color w:val="auto"/>
          <w:kern w:val="0"/>
          <w:szCs w:val="21"/>
          <w:highlight w:val="none"/>
        </w:rPr>
        <w:t>10%</w:t>
      </w:r>
      <w:r>
        <w:rPr>
          <w:rFonts w:hAnsi="宋体"/>
          <w:color w:val="auto"/>
          <w:kern w:val="0"/>
          <w:szCs w:val="21"/>
          <w:highlight w:val="none"/>
        </w:rPr>
        <w:t>的工程款作为处罚。</w:t>
      </w:r>
    </w:p>
    <w:p>
      <w:pPr>
        <w:spacing w:line="360" w:lineRule="auto"/>
        <w:ind w:firstLine="420" w:firstLineChars="200"/>
        <w:jc w:val="left"/>
        <w:rPr>
          <w:rFonts w:hAnsi="宋体"/>
          <w:color w:val="auto"/>
          <w:kern w:val="0"/>
          <w:szCs w:val="21"/>
          <w:highlight w:val="none"/>
        </w:rPr>
      </w:pPr>
      <w:r>
        <w:rPr>
          <w:rFonts w:hAnsi="宋体"/>
          <w:color w:val="auto"/>
          <w:kern w:val="0"/>
          <w:szCs w:val="21"/>
          <w:highlight w:val="none"/>
        </w:rPr>
        <w:t>（</w:t>
      </w:r>
      <w:r>
        <w:rPr>
          <w:color w:val="auto"/>
          <w:kern w:val="0"/>
          <w:szCs w:val="21"/>
          <w:highlight w:val="none"/>
        </w:rPr>
        <w:t>2</w:t>
      </w:r>
      <w:r>
        <w:rPr>
          <w:rFonts w:hAnsi="宋体"/>
          <w:color w:val="auto"/>
          <w:kern w:val="0"/>
          <w:szCs w:val="21"/>
          <w:highlight w:val="none"/>
        </w:rPr>
        <w:t>）承包人有本合同通用条款第</w:t>
      </w:r>
      <w:r>
        <w:rPr>
          <w:color w:val="auto"/>
          <w:kern w:val="0"/>
          <w:szCs w:val="21"/>
          <w:highlight w:val="none"/>
        </w:rPr>
        <w:t>16.2.1</w:t>
      </w:r>
      <w:r>
        <w:rPr>
          <w:rFonts w:hAnsi="宋体"/>
          <w:color w:val="auto"/>
          <w:kern w:val="0"/>
          <w:szCs w:val="21"/>
          <w:highlight w:val="none"/>
        </w:rPr>
        <w:t>（</w:t>
      </w:r>
      <w:r>
        <w:rPr>
          <w:color w:val="auto"/>
          <w:kern w:val="0"/>
          <w:szCs w:val="21"/>
          <w:highlight w:val="none"/>
        </w:rPr>
        <w:t>6</w:t>
      </w:r>
      <w:r>
        <w:rPr>
          <w:rFonts w:hAnsi="宋体"/>
          <w:color w:val="auto"/>
          <w:kern w:val="0"/>
          <w:szCs w:val="21"/>
          <w:highlight w:val="none"/>
        </w:rPr>
        <w:t>）条情形的，或经监理人检验认为修复质量不合格而承包人拒绝再进行修补的，发包人将扣除承包人全部质量保修金。</w:t>
      </w:r>
    </w:p>
    <w:p>
      <w:pPr>
        <w:spacing w:line="360" w:lineRule="auto"/>
        <w:ind w:firstLine="420" w:firstLineChars="200"/>
        <w:jc w:val="left"/>
        <w:rPr>
          <w:rFonts w:hAnsi="宋体"/>
          <w:color w:val="auto"/>
          <w:kern w:val="0"/>
          <w:szCs w:val="21"/>
          <w:highlight w:val="none"/>
        </w:rPr>
      </w:pPr>
      <w:r>
        <w:rPr>
          <w:rFonts w:hAnsi="宋体"/>
          <w:color w:val="auto"/>
          <w:kern w:val="0"/>
          <w:szCs w:val="21"/>
          <w:highlight w:val="none"/>
        </w:rPr>
        <w:t>（</w:t>
      </w:r>
      <w:r>
        <w:rPr>
          <w:color w:val="auto"/>
          <w:kern w:val="0"/>
          <w:szCs w:val="21"/>
          <w:highlight w:val="none"/>
        </w:rPr>
        <w:t>3</w:t>
      </w:r>
      <w:r>
        <w:rPr>
          <w:rFonts w:hAnsi="宋体"/>
          <w:color w:val="auto"/>
          <w:kern w:val="0"/>
          <w:szCs w:val="21"/>
          <w:highlight w:val="none"/>
        </w:rPr>
        <w:t>）承包人有本专用合同条款</w:t>
      </w:r>
      <w:r>
        <w:rPr>
          <w:color w:val="auto"/>
          <w:kern w:val="0"/>
          <w:szCs w:val="21"/>
          <w:highlight w:val="none"/>
        </w:rPr>
        <w:t>3.2</w:t>
      </w:r>
      <w:r>
        <w:rPr>
          <w:rFonts w:hAnsi="宋体"/>
          <w:color w:val="auto"/>
          <w:kern w:val="0"/>
          <w:szCs w:val="21"/>
          <w:highlight w:val="none"/>
        </w:rPr>
        <w:t>、</w:t>
      </w:r>
      <w:r>
        <w:rPr>
          <w:color w:val="auto"/>
          <w:kern w:val="0"/>
          <w:szCs w:val="21"/>
          <w:highlight w:val="none"/>
        </w:rPr>
        <w:t>3.3</w:t>
      </w:r>
      <w:r>
        <w:rPr>
          <w:rFonts w:hAnsi="宋体"/>
          <w:color w:val="auto"/>
          <w:kern w:val="0"/>
          <w:szCs w:val="21"/>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20" w:firstLineChars="200"/>
        <w:jc w:val="left"/>
        <w:rPr>
          <w:rFonts w:hAnsi="宋体"/>
          <w:color w:val="auto"/>
          <w:szCs w:val="21"/>
          <w:highlight w:val="none"/>
        </w:rPr>
      </w:pPr>
      <w:r>
        <w:rPr>
          <w:color w:val="auto"/>
          <w:szCs w:val="21"/>
          <w:highlight w:val="none"/>
        </w:rPr>
        <w:t xml:space="preserve">16.2.3 </w:t>
      </w:r>
      <w:r>
        <w:rPr>
          <w:rFonts w:hAnsi="宋体"/>
          <w:color w:val="auto"/>
          <w:szCs w:val="21"/>
          <w:highlight w:val="none"/>
        </w:rPr>
        <w:t>因承包人违约解除合同</w:t>
      </w:r>
    </w:p>
    <w:p>
      <w:pPr>
        <w:spacing w:line="360" w:lineRule="auto"/>
        <w:ind w:firstLine="420" w:firstLineChars="200"/>
        <w:jc w:val="left"/>
        <w:rPr>
          <w:rFonts w:hAnsi="宋体"/>
          <w:color w:val="auto"/>
          <w:kern w:val="0"/>
          <w:szCs w:val="21"/>
          <w:highlight w:val="none"/>
        </w:rPr>
      </w:pPr>
      <w:r>
        <w:rPr>
          <w:rFonts w:hAnsi="宋体"/>
          <w:color w:val="auto"/>
          <w:kern w:val="0"/>
          <w:szCs w:val="21"/>
          <w:highlight w:val="none"/>
        </w:rPr>
        <w:t>关于承包人违约解除合同的特别约定：</w:t>
      </w:r>
      <w:r>
        <w:rPr>
          <w:rFonts w:hAnsi="宋体"/>
          <w:color w:val="auto"/>
          <w:kern w:val="0"/>
          <w:szCs w:val="21"/>
          <w:highlight w:val="none"/>
          <w:u w:val="single"/>
        </w:rPr>
        <w:t>承包人有违反以下情况之一的，发包人有权解除合同，并没收其全部履约保证金</w:t>
      </w:r>
      <w:r>
        <w:rPr>
          <w:rFonts w:hAnsi="宋体"/>
          <w:color w:val="auto"/>
          <w:kern w:val="0"/>
          <w:szCs w:val="21"/>
          <w:highlight w:val="none"/>
        </w:rPr>
        <w:t>。</w:t>
      </w:r>
    </w:p>
    <w:p>
      <w:pPr>
        <w:spacing w:line="360" w:lineRule="auto"/>
        <w:ind w:firstLine="420" w:firstLineChars="200"/>
        <w:jc w:val="left"/>
        <w:rPr>
          <w:rFonts w:hAnsi="宋体"/>
          <w:color w:val="auto"/>
          <w:kern w:val="0"/>
          <w:szCs w:val="21"/>
          <w:highlight w:val="none"/>
        </w:rPr>
      </w:pPr>
      <w:r>
        <w:rPr>
          <w:color w:val="auto"/>
          <w:kern w:val="0"/>
          <w:szCs w:val="21"/>
          <w:highlight w:val="none"/>
        </w:rPr>
        <w:t>(1)</w:t>
      </w:r>
      <w:r>
        <w:rPr>
          <w:rFonts w:hAnsi="宋体"/>
          <w:color w:val="auto"/>
          <w:kern w:val="0"/>
          <w:szCs w:val="21"/>
          <w:highlight w:val="none"/>
        </w:rPr>
        <w:t>承包人无正当理由不按开工通知的要求及时进场组织施工和不按签订协议书时商</w:t>
      </w:r>
      <w:r>
        <w:rPr>
          <w:rFonts w:hint="eastAsia" w:hAnsi="宋体"/>
          <w:color w:val="auto"/>
          <w:kern w:val="0"/>
          <w:szCs w:val="21"/>
          <w:highlight w:val="none"/>
        </w:rPr>
        <w:t>定</w:t>
      </w:r>
      <w:r>
        <w:rPr>
          <w:rFonts w:hAnsi="宋体"/>
          <w:color w:val="auto"/>
          <w:kern w:val="0"/>
          <w:szCs w:val="21"/>
          <w:highlight w:val="none"/>
        </w:rPr>
        <w:t>的进度计划有效地开展施工准备，造成工期延误的；</w:t>
      </w:r>
    </w:p>
    <w:p>
      <w:pPr>
        <w:spacing w:line="360" w:lineRule="auto"/>
        <w:ind w:firstLine="420" w:firstLineChars="200"/>
        <w:jc w:val="left"/>
        <w:rPr>
          <w:rFonts w:hAnsi="宋体"/>
          <w:color w:val="auto"/>
          <w:kern w:val="0"/>
          <w:szCs w:val="21"/>
          <w:highlight w:val="none"/>
        </w:rPr>
      </w:pPr>
      <w:r>
        <w:rPr>
          <w:color w:val="auto"/>
          <w:kern w:val="0"/>
          <w:szCs w:val="21"/>
          <w:highlight w:val="none"/>
        </w:rPr>
        <w:t>(2)</w:t>
      </w:r>
      <w:r>
        <w:rPr>
          <w:rFonts w:hAnsi="宋体"/>
          <w:color w:val="auto"/>
          <w:kern w:val="0"/>
          <w:szCs w:val="21"/>
          <w:highlight w:val="none"/>
        </w:rPr>
        <w:t>承包人违反本合同通用条款第</w:t>
      </w:r>
      <w:r>
        <w:rPr>
          <w:color w:val="auto"/>
          <w:kern w:val="0"/>
          <w:szCs w:val="21"/>
          <w:highlight w:val="none"/>
        </w:rPr>
        <w:t>3.5</w:t>
      </w:r>
      <w:r>
        <w:rPr>
          <w:rFonts w:hAnsi="宋体"/>
          <w:color w:val="auto"/>
          <w:kern w:val="0"/>
          <w:szCs w:val="21"/>
          <w:highlight w:val="none"/>
        </w:rPr>
        <w:t>条规定私自将合同或合同的任何部分或任何权利转让给其他人，或私自将工程或工程的一部分分包出去的；</w:t>
      </w:r>
    </w:p>
    <w:p>
      <w:pPr>
        <w:spacing w:line="360" w:lineRule="auto"/>
        <w:ind w:firstLine="420" w:firstLineChars="200"/>
        <w:jc w:val="left"/>
        <w:rPr>
          <w:rFonts w:hAnsi="宋体"/>
          <w:color w:val="auto"/>
          <w:kern w:val="0"/>
          <w:szCs w:val="21"/>
          <w:highlight w:val="none"/>
        </w:rPr>
      </w:pPr>
      <w:r>
        <w:rPr>
          <w:color w:val="auto"/>
          <w:kern w:val="0"/>
          <w:szCs w:val="21"/>
          <w:highlight w:val="none"/>
        </w:rPr>
        <w:t>(3)</w:t>
      </w:r>
      <w:r>
        <w:rPr>
          <w:rFonts w:hAnsi="宋体"/>
          <w:color w:val="auto"/>
          <w:kern w:val="0"/>
          <w:szCs w:val="21"/>
          <w:highlight w:val="none"/>
        </w:rPr>
        <w:t>未经监理人批准，承包人私自将已按投标文件承诺进入工地的工程设备、施工设备、临时工程或材料撤离工地的；</w:t>
      </w:r>
    </w:p>
    <w:p>
      <w:pPr>
        <w:spacing w:line="360" w:lineRule="auto"/>
        <w:ind w:firstLine="420" w:firstLineChars="200"/>
        <w:jc w:val="left"/>
        <w:rPr>
          <w:color w:val="auto"/>
          <w:kern w:val="0"/>
          <w:szCs w:val="21"/>
          <w:highlight w:val="none"/>
        </w:rPr>
      </w:pPr>
      <w:r>
        <w:rPr>
          <w:color w:val="auto"/>
          <w:kern w:val="0"/>
          <w:szCs w:val="21"/>
          <w:highlight w:val="none"/>
        </w:rPr>
        <w:t>(4)</w:t>
      </w:r>
      <w:r>
        <w:rPr>
          <w:rFonts w:hAnsi="宋体"/>
          <w:color w:val="auto"/>
          <w:kern w:val="0"/>
          <w:szCs w:val="21"/>
          <w:highlight w:val="none"/>
        </w:rPr>
        <w:t>由于承包人原因拒绝按合同进度计划及时完成合同规定的工程，而又未采取有效措施赶上进度，造成工期</w:t>
      </w:r>
      <w:r>
        <w:rPr>
          <w:rFonts w:hint="eastAsia" w:hAnsi="宋体"/>
          <w:color w:val="auto"/>
          <w:kern w:val="0"/>
          <w:szCs w:val="21"/>
          <w:highlight w:val="none"/>
        </w:rPr>
        <w:t>严重</w:t>
      </w:r>
      <w:r>
        <w:rPr>
          <w:rFonts w:hAnsi="宋体"/>
          <w:color w:val="auto"/>
          <w:kern w:val="0"/>
          <w:szCs w:val="21"/>
          <w:highlight w:val="none"/>
        </w:rPr>
        <w:t>延误的；</w:t>
      </w:r>
    </w:p>
    <w:p>
      <w:pPr>
        <w:spacing w:line="360" w:lineRule="auto"/>
        <w:ind w:firstLine="420" w:firstLineChars="200"/>
        <w:rPr>
          <w:color w:val="auto"/>
          <w:kern w:val="0"/>
          <w:szCs w:val="21"/>
          <w:highlight w:val="none"/>
        </w:rPr>
      </w:pPr>
      <w:r>
        <w:rPr>
          <w:color w:val="auto"/>
          <w:kern w:val="0"/>
          <w:szCs w:val="21"/>
          <w:highlight w:val="none"/>
        </w:rPr>
        <w:t>(5)</w:t>
      </w:r>
      <w:r>
        <w:rPr>
          <w:rFonts w:hAnsi="宋体"/>
          <w:color w:val="auto"/>
          <w:kern w:val="0"/>
          <w:szCs w:val="21"/>
          <w:highlight w:val="none"/>
        </w:rPr>
        <w:t>承包人否认合同有效或拒绝履行合同规定的承包人义务，或由于法律、财务等原因导致承包人无法继续履行或实质上已停止履行合同的义务的；</w:t>
      </w:r>
    </w:p>
    <w:p>
      <w:pPr>
        <w:spacing w:line="360" w:lineRule="auto"/>
        <w:ind w:firstLine="420" w:firstLineChars="200"/>
        <w:rPr>
          <w:color w:val="auto"/>
          <w:kern w:val="0"/>
          <w:szCs w:val="21"/>
          <w:highlight w:val="none"/>
        </w:rPr>
      </w:pPr>
      <w:r>
        <w:rPr>
          <w:color w:val="auto"/>
          <w:kern w:val="0"/>
          <w:szCs w:val="21"/>
          <w:highlight w:val="none"/>
        </w:rPr>
        <w:t>(6)</w:t>
      </w:r>
      <w:r>
        <w:rPr>
          <w:rFonts w:hAnsi="宋体"/>
          <w:color w:val="auto"/>
          <w:kern w:val="0"/>
          <w:szCs w:val="21"/>
          <w:highlight w:val="none"/>
        </w:rPr>
        <w:t>合同签订之日起十五日内，承包人无法按合同规定及投标文件的承诺进场经监理工程师认可的全部人员和机械的。</w:t>
      </w:r>
    </w:p>
    <w:p>
      <w:pPr>
        <w:spacing w:line="360" w:lineRule="auto"/>
        <w:ind w:firstLine="420" w:firstLineChars="200"/>
        <w:rPr>
          <w:rFonts w:hAnsi="宋体"/>
          <w:color w:val="auto"/>
          <w:kern w:val="0"/>
          <w:szCs w:val="21"/>
          <w:highlight w:val="none"/>
        </w:rPr>
      </w:pPr>
      <w:r>
        <w:rPr>
          <w:rFonts w:hAnsi="宋体"/>
          <w:color w:val="auto"/>
          <w:kern w:val="0"/>
          <w:szCs w:val="21"/>
          <w:highlight w:val="none"/>
        </w:rPr>
        <w:t>发包人继续使用承包人在施工现场的材料、设备、临时工程、承包人文件和由承包人或以其名义编制的其他文件的费用承担方式：</w:t>
      </w:r>
      <w:r>
        <w:rPr>
          <w:color w:val="auto"/>
          <w:kern w:val="0"/>
          <w:szCs w:val="21"/>
          <w:highlight w:val="none"/>
          <w:u w:val="single"/>
        </w:rPr>
        <w:t xml:space="preserve">             </w:t>
      </w:r>
      <w:r>
        <w:rPr>
          <w:rFonts w:hint="eastAsia"/>
          <w:color w:val="auto"/>
          <w:kern w:val="0"/>
          <w:szCs w:val="21"/>
          <w:highlight w:val="none"/>
          <w:u w:val="single"/>
        </w:rPr>
        <w:t>无</w:t>
      </w:r>
      <w:r>
        <w:rPr>
          <w:color w:val="auto"/>
          <w:kern w:val="0"/>
          <w:szCs w:val="21"/>
          <w:highlight w:val="none"/>
          <w:u w:val="single"/>
        </w:rPr>
        <w:t xml:space="preserve">                       </w:t>
      </w:r>
      <w:r>
        <w:rPr>
          <w:rFonts w:hAnsi="宋体"/>
          <w:color w:val="auto"/>
          <w:kern w:val="0"/>
          <w:szCs w:val="21"/>
          <w:highlight w:val="none"/>
        </w:rPr>
        <w:t>。</w:t>
      </w:r>
      <w:bookmarkStart w:id="386" w:name="_Toc491946670"/>
    </w:p>
    <w:p>
      <w:pPr>
        <w:spacing w:line="360" w:lineRule="auto"/>
        <w:rPr>
          <w:rFonts w:hAnsi="宋体"/>
          <w:b/>
          <w:bCs/>
          <w:color w:val="auto"/>
          <w:sz w:val="24"/>
          <w:szCs w:val="32"/>
          <w:highlight w:val="none"/>
        </w:rPr>
      </w:pPr>
      <w:r>
        <w:rPr>
          <w:rFonts w:hAnsi="宋体"/>
          <w:b/>
          <w:bCs/>
          <w:color w:val="auto"/>
          <w:sz w:val="24"/>
          <w:szCs w:val="32"/>
          <w:highlight w:val="none"/>
        </w:rPr>
        <w:t>17. 不可抗力</w:t>
      </w:r>
      <w:bookmarkEnd w:id="386"/>
      <w:r>
        <w:rPr>
          <w:rFonts w:hAnsi="宋体"/>
          <w:b/>
          <w:bCs/>
          <w:color w:val="auto"/>
          <w:sz w:val="24"/>
          <w:szCs w:val="32"/>
          <w:highlight w:val="none"/>
        </w:rPr>
        <w:t xml:space="preserve"> </w:t>
      </w:r>
    </w:p>
    <w:p>
      <w:pPr>
        <w:pStyle w:val="7"/>
        <w:rPr>
          <w:color w:val="auto"/>
          <w:highlight w:val="none"/>
        </w:rPr>
      </w:pPr>
      <w:bookmarkStart w:id="387" w:name="_Toc8126"/>
      <w:bookmarkStart w:id="388" w:name="_Toc491946671"/>
      <w:r>
        <w:rPr>
          <w:color w:val="auto"/>
          <w:highlight w:val="none"/>
        </w:rPr>
        <w:t>17.1 不可抗力的确认</w:t>
      </w:r>
      <w:bookmarkEnd w:id="387"/>
      <w:bookmarkEnd w:id="388"/>
    </w:p>
    <w:p>
      <w:pPr>
        <w:spacing w:line="360" w:lineRule="auto"/>
        <w:ind w:firstLine="420" w:firstLineChars="200"/>
        <w:jc w:val="left"/>
        <w:rPr>
          <w:rFonts w:hAnsi="宋体"/>
          <w:color w:val="auto"/>
          <w:szCs w:val="21"/>
          <w:highlight w:val="none"/>
        </w:rPr>
      </w:pPr>
      <w:r>
        <w:rPr>
          <w:rFonts w:hAnsi="宋体"/>
          <w:color w:val="auto"/>
          <w:szCs w:val="21"/>
          <w:highlight w:val="none"/>
        </w:rPr>
        <w:t>除通用合同条款约定的不可抗力事件之外，视为不可抗力的其他情形：</w:t>
      </w:r>
    </w:p>
    <w:p>
      <w:pPr>
        <w:spacing w:line="360" w:lineRule="auto"/>
        <w:ind w:firstLine="420" w:firstLineChars="200"/>
        <w:jc w:val="left"/>
        <w:rPr>
          <w:color w:val="auto"/>
          <w:kern w:val="0"/>
          <w:szCs w:val="21"/>
          <w:highlight w:val="none"/>
          <w:u w:val="single"/>
        </w:rPr>
      </w:pPr>
      <w:r>
        <w:rPr>
          <w:color w:val="auto"/>
          <w:kern w:val="0"/>
          <w:szCs w:val="21"/>
          <w:highlight w:val="none"/>
          <w:u w:val="single"/>
        </w:rPr>
        <w:t>（1）12 级以上大风；</w:t>
      </w:r>
    </w:p>
    <w:p>
      <w:pPr>
        <w:spacing w:line="360" w:lineRule="auto"/>
        <w:ind w:firstLine="420" w:firstLineChars="200"/>
        <w:jc w:val="left"/>
        <w:rPr>
          <w:color w:val="auto"/>
          <w:kern w:val="0"/>
          <w:szCs w:val="21"/>
          <w:highlight w:val="none"/>
          <w:u w:val="single"/>
        </w:rPr>
      </w:pPr>
      <w:r>
        <w:rPr>
          <w:color w:val="auto"/>
          <w:kern w:val="0"/>
          <w:szCs w:val="21"/>
          <w:highlight w:val="none"/>
          <w:u w:val="single"/>
        </w:rPr>
        <w:t>（2）24 小时降雨量超过 250mm;</w:t>
      </w:r>
    </w:p>
    <w:p>
      <w:pPr>
        <w:spacing w:line="360" w:lineRule="auto"/>
        <w:ind w:firstLine="420" w:firstLineChars="200"/>
        <w:jc w:val="left"/>
        <w:rPr>
          <w:color w:val="auto"/>
          <w:kern w:val="0"/>
          <w:szCs w:val="21"/>
          <w:highlight w:val="none"/>
          <w:u w:val="single"/>
        </w:rPr>
      </w:pPr>
      <w:r>
        <w:rPr>
          <w:color w:val="auto"/>
          <w:kern w:val="0"/>
          <w:szCs w:val="21"/>
          <w:highlight w:val="none"/>
          <w:u w:val="single"/>
        </w:rPr>
        <w:t>（3）50 年一遇以上洪水</w:t>
      </w:r>
    </w:p>
    <w:p>
      <w:pPr>
        <w:spacing w:line="360" w:lineRule="auto"/>
        <w:ind w:firstLine="420" w:firstLineChars="200"/>
        <w:jc w:val="left"/>
        <w:rPr>
          <w:color w:val="auto"/>
          <w:kern w:val="0"/>
          <w:szCs w:val="21"/>
          <w:highlight w:val="none"/>
          <w:u w:val="single"/>
        </w:rPr>
      </w:pPr>
      <w:r>
        <w:rPr>
          <w:color w:val="auto"/>
          <w:kern w:val="0"/>
          <w:szCs w:val="21"/>
          <w:highlight w:val="none"/>
          <w:u w:val="single"/>
        </w:rPr>
        <w:t>（4）6 级以上地震</w:t>
      </w:r>
    </w:p>
    <w:p>
      <w:pPr>
        <w:spacing w:line="360" w:lineRule="auto"/>
        <w:ind w:firstLine="420" w:firstLineChars="200"/>
        <w:jc w:val="left"/>
        <w:rPr>
          <w:color w:val="auto"/>
          <w:kern w:val="0"/>
          <w:szCs w:val="21"/>
          <w:highlight w:val="none"/>
          <w:u w:val="single"/>
        </w:rPr>
      </w:pPr>
      <w:r>
        <w:rPr>
          <w:color w:val="auto"/>
          <w:kern w:val="0"/>
          <w:szCs w:val="21"/>
          <w:highlight w:val="none"/>
          <w:u w:val="single"/>
        </w:rPr>
        <w:t xml:space="preserve">（5）日最高气温 40℃的天气连续持续一周以上的高温天气不可抗力的自然灾害认定标准，以政府有关部门的发布、规定为准  </w:t>
      </w:r>
      <w:r>
        <w:rPr>
          <w:rFonts w:hAnsi="宋体"/>
          <w:color w:val="auto"/>
          <w:kern w:val="0"/>
          <w:szCs w:val="21"/>
          <w:highlight w:val="none"/>
        </w:rPr>
        <w:t>。</w:t>
      </w:r>
    </w:p>
    <w:p>
      <w:pPr>
        <w:pStyle w:val="7"/>
        <w:rPr>
          <w:color w:val="auto"/>
          <w:highlight w:val="none"/>
        </w:rPr>
      </w:pPr>
      <w:bookmarkStart w:id="389" w:name="_Toc491946672"/>
      <w:bookmarkStart w:id="390" w:name="_Toc16437"/>
      <w:r>
        <w:rPr>
          <w:color w:val="auto"/>
          <w:highlight w:val="none"/>
        </w:rPr>
        <w:t>17.4 因不可抗力解除合同</w:t>
      </w:r>
      <w:bookmarkEnd w:id="389"/>
      <w:bookmarkEnd w:id="390"/>
    </w:p>
    <w:p>
      <w:pPr>
        <w:spacing w:line="360" w:lineRule="auto"/>
        <w:ind w:firstLine="420" w:firstLineChars="200"/>
        <w:jc w:val="left"/>
        <w:rPr>
          <w:rFonts w:hAnsi="宋体"/>
          <w:color w:val="auto"/>
          <w:szCs w:val="21"/>
          <w:highlight w:val="none"/>
        </w:rPr>
      </w:pPr>
      <w:r>
        <w:rPr>
          <w:rFonts w:hAnsi="宋体"/>
          <w:color w:val="auto"/>
          <w:szCs w:val="21"/>
          <w:highlight w:val="none"/>
        </w:rPr>
        <w:t>合同解除后，发包人应在商定或确定发包人应支付款项后</w:t>
      </w:r>
      <w:r>
        <w:rPr>
          <w:color w:val="auto"/>
          <w:szCs w:val="21"/>
          <w:highlight w:val="none"/>
          <w:u w:val="single"/>
        </w:rPr>
        <w:t xml:space="preserve">  不可抗力事件消除后 28</w:t>
      </w:r>
      <w:r>
        <w:rPr>
          <w:color w:val="auto"/>
          <w:szCs w:val="21"/>
          <w:highlight w:val="none"/>
          <w:u w:val="single"/>
        </w:rPr>
        <w:tab/>
      </w:r>
      <w:r>
        <w:rPr>
          <w:rFonts w:hAnsi="宋体"/>
          <w:color w:val="auto"/>
          <w:szCs w:val="21"/>
          <w:highlight w:val="none"/>
        </w:rPr>
        <w:t>天内完成款项的支付。</w:t>
      </w:r>
      <w:bookmarkStart w:id="391" w:name="_Toc491946673"/>
    </w:p>
    <w:p>
      <w:pPr>
        <w:spacing w:line="360" w:lineRule="auto"/>
        <w:jc w:val="left"/>
        <w:rPr>
          <w:rFonts w:hAnsi="宋体"/>
          <w:b/>
          <w:bCs/>
          <w:color w:val="auto"/>
          <w:sz w:val="24"/>
          <w:szCs w:val="32"/>
          <w:highlight w:val="none"/>
        </w:rPr>
      </w:pPr>
      <w:r>
        <w:rPr>
          <w:rFonts w:hAnsi="宋体"/>
          <w:b/>
          <w:bCs/>
          <w:color w:val="auto"/>
          <w:sz w:val="24"/>
          <w:szCs w:val="32"/>
          <w:highlight w:val="none"/>
        </w:rPr>
        <w:t>18. 保险</w:t>
      </w:r>
      <w:bookmarkEnd w:id="391"/>
    </w:p>
    <w:p>
      <w:pPr>
        <w:pStyle w:val="7"/>
        <w:rPr>
          <w:color w:val="auto"/>
          <w:highlight w:val="none"/>
        </w:rPr>
      </w:pPr>
      <w:bookmarkStart w:id="392" w:name="_Toc22316"/>
      <w:bookmarkStart w:id="393" w:name="_Toc491946674"/>
      <w:r>
        <w:rPr>
          <w:color w:val="auto"/>
          <w:highlight w:val="none"/>
        </w:rPr>
        <w:t xml:space="preserve">18.1 </w:t>
      </w:r>
      <w:r>
        <w:rPr>
          <w:rFonts w:hAnsi="宋体"/>
          <w:color w:val="auto"/>
          <w:highlight w:val="none"/>
        </w:rPr>
        <w:t>工程保险</w:t>
      </w:r>
      <w:bookmarkEnd w:id="392"/>
      <w:bookmarkEnd w:id="393"/>
    </w:p>
    <w:p>
      <w:pPr>
        <w:spacing w:line="360" w:lineRule="auto"/>
        <w:ind w:firstLine="420" w:firstLineChars="200"/>
        <w:jc w:val="left"/>
        <w:rPr>
          <w:rFonts w:hAnsi="宋体"/>
          <w:color w:val="auto"/>
          <w:kern w:val="0"/>
          <w:szCs w:val="21"/>
          <w:highlight w:val="none"/>
        </w:rPr>
      </w:pPr>
      <w:r>
        <w:rPr>
          <w:rFonts w:hAnsi="宋体"/>
          <w:color w:val="auto"/>
          <w:szCs w:val="21"/>
          <w:highlight w:val="none"/>
        </w:rPr>
        <w:t>关于工程保险的特别约定：</w:t>
      </w:r>
      <w:r>
        <w:rPr>
          <w:color w:val="auto"/>
          <w:kern w:val="0"/>
          <w:szCs w:val="21"/>
          <w:highlight w:val="none"/>
          <w:u w:val="single"/>
        </w:rPr>
        <w:t xml:space="preserve">      </w:t>
      </w:r>
      <w:r>
        <w:rPr>
          <w:rFonts w:hint="eastAsia"/>
          <w:color w:val="auto"/>
          <w:kern w:val="0"/>
          <w:szCs w:val="21"/>
          <w:highlight w:val="none"/>
          <w:u w:val="single"/>
        </w:rPr>
        <w:t>另行约定</w:t>
      </w:r>
      <w:r>
        <w:rPr>
          <w:color w:val="auto"/>
          <w:kern w:val="0"/>
          <w:szCs w:val="21"/>
          <w:highlight w:val="none"/>
          <w:u w:val="single"/>
        </w:rPr>
        <w:t xml:space="preserve">                        </w:t>
      </w:r>
      <w:r>
        <w:rPr>
          <w:rFonts w:hAnsi="宋体"/>
          <w:color w:val="auto"/>
          <w:kern w:val="0"/>
          <w:szCs w:val="21"/>
          <w:highlight w:val="none"/>
        </w:rPr>
        <w:t>。</w:t>
      </w:r>
      <w:bookmarkStart w:id="394" w:name="_Toc491946675"/>
    </w:p>
    <w:p>
      <w:pPr>
        <w:pStyle w:val="7"/>
        <w:rPr>
          <w:color w:val="auto"/>
          <w:highlight w:val="none"/>
        </w:rPr>
      </w:pPr>
      <w:bookmarkStart w:id="395" w:name="_Toc30502"/>
      <w:r>
        <w:rPr>
          <w:color w:val="auto"/>
          <w:highlight w:val="none"/>
        </w:rPr>
        <w:t>18.3 其他保险</w:t>
      </w:r>
      <w:bookmarkEnd w:id="394"/>
      <w:bookmarkEnd w:id="395"/>
    </w:p>
    <w:p>
      <w:pPr>
        <w:spacing w:line="360" w:lineRule="auto"/>
        <w:ind w:firstLine="420" w:firstLineChars="200"/>
        <w:jc w:val="left"/>
        <w:rPr>
          <w:color w:val="auto"/>
          <w:kern w:val="0"/>
          <w:szCs w:val="21"/>
          <w:highlight w:val="none"/>
        </w:rPr>
      </w:pPr>
      <w:r>
        <w:rPr>
          <w:rFonts w:hAnsi="宋体"/>
          <w:color w:val="auto"/>
          <w:szCs w:val="21"/>
          <w:highlight w:val="none"/>
        </w:rPr>
        <w:t>关于其他保险的约定：</w:t>
      </w:r>
      <w:r>
        <w:rPr>
          <w:rFonts w:hint="eastAsia" w:hAnsi="宋体"/>
          <w:bCs/>
          <w:color w:val="auto"/>
          <w:szCs w:val="21"/>
          <w:highlight w:val="none"/>
          <w:u w:val="single"/>
        </w:rPr>
        <w:t xml:space="preserve">           承包人自行办理投保                       </w:t>
      </w:r>
      <w:r>
        <w:rPr>
          <w:rFonts w:hint="eastAsia" w:hAnsi="宋体"/>
          <w:bCs/>
          <w:color w:val="auto"/>
          <w:szCs w:val="21"/>
          <w:highlight w:val="none"/>
        </w:rPr>
        <w:t>。</w:t>
      </w:r>
    </w:p>
    <w:p>
      <w:pPr>
        <w:spacing w:line="360" w:lineRule="auto"/>
        <w:ind w:firstLine="420" w:firstLineChars="200"/>
        <w:jc w:val="left"/>
        <w:rPr>
          <w:color w:val="auto"/>
          <w:szCs w:val="21"/>
          <w:highlight w:val="none"/>
          <w:u w:val="single"/>
        </w:rPr>
      </w:pPr>
      <w:r>
        <w:rPr>
          <w:rFonts w:hAnsi="宋体"/>
          <w:color w:val="auto"/>
          <w:szCs w:val="21"/>
          <w:highlight w:val="none"/>
        </w:rPr>
        <w:t>承包人是否应为其施工设备等办理财产保险：</w:t>
      </w:r>
      <w:r>
        <w:rPr>
          <w:color w:val="auto"/>
          <w:szCs w:val="21"/>
          <w:highlight w:val="none"/>
          <w:u w:val="single"/>
        </w:rPr>
        <w:t xml:space="preserve">    承包人自行办理                 </w:t>
      </w:r>
      <w:r>
        <w:rPr>
          <w:rFonts w:hAnsi="宋体"/>
          <w:color w:val="auto"/>
          <w:szCs w:val="21"/>
          <w:highlight w:val="none"/>
        </w:rPr>
        <w:t>。</w:t>
      </w:r>
    </w:p>
    <w:p>
      <w:pPr>
        <w:pStyle w:val="7"/>
        <w:rPr>
          <w:color w:val="auto"/>
          <w:highlight w:val="none"/>
        </w:rPr>
      </w:pPr>
      <w:bookmarkStart w:id="396" w:name="_Toc491946676"/>
      <w:bookmarkStart w:id="397" w:name="_Toc16072"/>
      <w:r>
        <w:rPr>
          <w:color w:val="auto"/>
          <w:highlight w:val="none"/>
        </w:rPr>
        <w:t xml:space="preserve">18.7 </w:t>
      </w:r>
      <w:r>
        <w:rPr>
          <w:rFonts w:hAnsi="宋体"/>
          <w:color w:val="auto"/>
          <w:highlight w:val="none"/>
        </w:rPr>
        <w:t>通知义务</w:t>
      </w:r>
      <w:bookmarkEnd w:id="396"/>
      <w:bookmarkEnd w:id="397"/>
    </w:p>
    <w:p>
      <w:pPr>
        <w:spacing w:line="360" w:lineRule="auto"/>
        <w:ind w:firstLine="420" w:firstLineChars="200"/>
        <w:jc w:val="left"/>
        <w:rPr>
          <w:rFonts w:hAnsi="宋体"/>
          <w:color w:val="auto"/>
          <w:szCs w:val="21"/>
          <w:highlight w:val="none"/>
        </w:rPr>
      </w:pPr>
      <w:r>
        <w:rPr>
          <w:rFonts w:hAnsi="宋体"/>
          <w:color w:val="auto"/>
          <w:kern w:val="0"/>
          <w:szCs w:val="21"/>
          <w:highlight w:val="none"/>
        </w:rPr>
        <w:t>关于变更保险合同时的通知义务的约定：</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Ansi="宋体"/>
          <w:color w:val="auto"/>
          <w:szCs w:val="21"/>
          <w:highlight w:val="none"/>
        </w:rPr>
        <w:t>。</w:t>
      </w:r>
      <w:bookmarkStart w:id="398" w:name="_Toc491946677"/>
    </w:p>
    <w:p>
      <w:pPr>
        <w:spacing w:line="360" w:lineRule="auto"/>
        <w:jc w:val="left"/>
        <w:rPr>
          <w:rFonts w:hAnsi="宋体"/>
          <w:b/>
          <w:bCs/>
          <w:color w:val="auto"/>
          <w:sz w:val="24"/>
          <w:szCs w:val="32"/>
          <w:highlight w:val="none"/>
        </w:rPr>
      </w:pPr>
      <w:r>
        <w:rPr>
          <w:rFonts w:hAnsi="宋体"/>
          <w:b/>
          <w:bCs/>
          <w:color w:val="auto"/>
          <w:sz w:val="24"/>
          <w:szCs w:val="32"/>
          <w:highlight w:val="none"/>
        </w:rPr>
        <w:t>20. 争议解决</w:t>
      </w:r>
      <w:bookmarkEnd w:id="398"/>
    </w:p>
    <w:p>
      <w:pPr>
        <w:pStyle w:val="7"/>
        <w:rPr>
          <w:color w:val="auto"/>
          <w:highlight w:val="none"/>
        </w:rPr>
      </w:pPr>
      <w:bookmarkStart w:id="399" w:name="_Toc491946678"/>
      <w:bookmarkStart w:id="400" w:name="_Toc11935"/>
      <w:r>
        <w:rPr>
          <w:color w:val="auto"/>
          <w:highlight w:val="none"/>
        </w:rPr>
        <w:t xml:space="preserve">20.3 </w:t>
      </w:r>
      <w:r>
        <w:rPr>
          <w:rFonts w:hAnsi="宋体"/>
          <w:color w:val="auto"/>
          <w:highlight w:val="none"/>
        </w:rPr>
        <w:t>争议评审</w:t>
      </w:r>
      <w:bookmarkEnd w:id="399"/>
      <w:bookmarkEnd w:id="400"/>
    </w:p>
    <w:p>
      <w:pPr>
        <w:spacing w:line="360" w:lineRule="auto"/>
        <w:ind w:left="149" w:leftChars="71" w:firstLine="315" w:firstLineChars="150"/>
        <w:jc w:val="left"/>
        <w:rPr>
          <w:color w:val="auto"/>
          <w:szCs w:val="21"/>
          <w:highlight w:val="none"/>
          <w:u w:val="single"/>
        </w:rPr>
      </w:pPr>
      <w:r>
        <w:rPr>
          <w:rFonts w:hAnsi="宋体"/>
          <w:color w:val="auto"/>
          <w:szCs w:val="21"/>
          <w:highlight w:val="none"/>
        </w:rPr>
        <w:t>合同当事人是否同意将工程争议提交争议评审小组决定：</w:t>
      </w:r>
      <w:r>
        <w:rPr>
          <w:color w:val="auto"/>
          <w:szCs w:val="21"/>
          <w:highlight w:val="none"/>
          <w:u w:val="single"/>
        </w:rPr>
        <w:t xml:space="preserve">     </w:t>
      </w:r>
      <w:r>
        <w:rPr>
          <w:rFonts w:hint="eastAsia"/>
          <w:color w:val="auto"/>
          <w:szCs w:val="21"/>
          <w:highlight w:val="none"/>
          <w:u w:val="single"/>
        </w:rPr>
        <w:t>不同意</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rPr>
      </w:pPr>
      <w:r>
        <w:rPr>
          <w:color w:val="auto"/>
          <w:szCs w:val="21"/>
          <w:highlight w:val="none"/>
        </w:rPr>
        <w:t xml:space="preserve">20.3.1 </w:t>
      </w:r>
      <w:r>
        <w:rPr>
          <w:rFonts w:hAnsi="宋体"/>
          <w:color w:val="auto"/>
          <w:szCs w:val="21"/>
          <w:highlight w:val="none"/>
        </w:rPr>
        <w:t>争议评审小组的确定</w:t>
      </w:r>
    </w:p>
    <w:p>
      <w:pPr>
        <w:spacing w:line="360" w:lineRule="auto"/>
        <w:ind w:firstLine="420" w:firstLineChars="200"/>
        <w:jc w:val="left"/>
        <w:rPr>
          <w:color w:val="auto"/>
          <w:szCs w:val="21"/>
          <w:highlight w:val="none"/>
          <w:u w:val="single"/>
        </w:rPr>
      </w:pPr>
      <w:r>
        <w:rPr>
          <w:rFonts w:hAnsi="宋体"/>
          <w:color w:val="auto"/>
          <w:szCs w:val="21"/>
          <w:highlight w:val="none"/>
        </w:rPr>
        <w:t>争议评审小组成员的确定：</w:t>
      </w:r>
      <w:r>
        <w:rPr>
          <w:color w:val="auto"/>
          <w:szCs w:val="21"/>
          <w:highlight w:val="none"/>
          <w:u w:val="single"/>
        </w:rPr>
        <w:t xml:space="preserve">    </w:t>
      </w:r>
      <w:r>
        <w:rPr>
          <w:rFonts w:hint="eastAsia"/>
          <w:color w:val="auto"/>
          <w:szCs w:val="21"/>
          <w:highlight w:val="none"/>
          <w:u w:val="single"/>
        </w:rPr>
        <w:t>不采用</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rPr>
      </w:pPr>
      <w:r>
        <w:rPr>
          <w:rFonts w:hAnsi="宋体"/>
          <w:color w:val="auto"/>
          <w:szCs w:val="21"/>
          <w:highlight w:val="none"/>
        </w:rPr>
        <w:t>选定争议评审员的期限：</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rPr>
      </w:pPr>
      <w:r>
        <w:rPr>
          <w:rFonts w:hAnsi="宋体"/>
          <w:color w:val="auto"/>
          <w:szCs w:val="21"/>
          <w:highlight w:val="none"/>
        </w:rPr>
        <w:t>争议评审小组成员的报酬承担方式：</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Ansi="宋体"/>
          <w:color w:val="auto"/>
          <w:szCs w:val="21"/>
          <w:highlight w:val="none"/>
        </w:rPr>
        <w:t>。</w:t>
      </w:r>
    </w:p>
    <w:p>
      <w:pPr>
        <w:spacing w:line="360" w:lineRule="auto"/>
        <w:ind w:firstLine="420" w:firstLineChars="200"/>
        <w:jc w:val="left"/>
        <w:rPr>
          <w:color w:val="auto"/>
          <w:szCs w:val="21"/>
          <w:highlight w:val="none"/>
        </w:rPr>
      </w:pPr>
      <w:r>
        <w:rPr>
          <w:rFonts w:hAnsi="宋体"/>
          <w:color w:val="auto"/>
          <w:szCs w:val="21"/>
          <w:highlight w:val="none"/>
        </w:rPr>
        <w:t>其他事项的约定：</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Ansi="宋体"/>
          <w:color w:val="auto"/>
          <w:szCs w:val="21"/>
          <w:highlight w:val="none"/>
        </w:rPr>
        <w:t>。</w:t>
      </w:r>
    </w:p>
    <w:p>
      <w:pPr>
        <w:autoSpaceDE w:val="0"/>
        <w:autoSpaceDN w:val="0"/>
        <w:adjustRightInd w:val="0"/>
        <w:spacing w:line="360" w:lineRule="auto"/>
        <w:ind w:firstLine="420" w:firstLineChars="200"/>
        <w:jc w:val="left"/>
        <w:rPr>
          <w:color w:val="auto"/>
          <w:kern w:val="0"/>
          <w:szCs w:val="21"/>
          <w:highlight w:val="none"/>
        </w:rPr>
      </w:pPr>
      <w:r>
        <w:rPr>
          <w:color w:val="auto"/>
          <w:kern w:val="0"/>
          <w:szCs w:val="21"/>
          <w:highlight w:val="none"/>
        </w:rPr>
        <w:t xml:space="preserve">20.3.2 </w:t>
      </w:r>
      <w:r>
        <w:rPr>
          <w:rFonts w:hAnsi="宋体"/>
          <w:color w:val="auto"/>
          <w:kern w:val="0"/>
          <w:szCs w:val="21"/>
          <w:highlight w:val="none"/>
        </w:rPr>
        <w:t>争议评审小组的决定</w:t>
      </w:r>
    </w:p>
    <w:p>
      <w:pPr>
        <w:spacing w:line="360" w:lineRule="auto"/>
        <w:ind w:firstLine="420" w:firstLineChars="200"/>
        <w:jc w:val="left"/>
        <w:rPr>
          <w:color w:val="auto"/>
          <w:szCs w:val="21"/>
          <w:highlight w:val="none"/>
        </w:rPr>
      </w:pPr>
      <w:r>
        <w:rPr>
          <w:rFonts w:hAnsi="宋体"/>
          <w:color w:val="auto"/>
          <w:szCs w:val="21"/>
          <w:highlight w:val="none"/>
        </w:rPr>
        <w:t>合同当事人关于本项的约定：</w:t>
      </w:r>
      <w:r>
        <w:rPr>
          <w:color w:val="auto"/>
          <w:szCs w:val="21"/>
          <w:highlight w:val="none"/>
          <w:u w:val="single"/>
        </w:rPr>
        <w:t xml:space="preserve">        </w:t>
      </w:r>
      <w:r>
        <w:rPr>
          <w:rFonts w:hint="eastAsia"/>
          <w:color w:val="auto"/>
          <w:szCs w:val="21"/>
          <w:highlight w:val="none"/>
          <w:u w:val="single"/>
        </w:rPr>
        <w:t>无</w:t>
      </w:r>
      <w:r>
        <w:rPr>
          <w:color w:val="auto"/>
          <w:szCs w:val="21"/>
          <w:highlight w:val="none"/>
          <w:u w:val="single"/>
        </w:rPr>
        <w:t xml:space="preserve">            </w:t>
      </w:r>
      <w:r>
        <w:rPr>
          <w:rFonts w:hAnsi="宋体"/>
          <w:color w:val="auto"/>
          <w:szCs w:val="21"/>
          <w:highlight w:val="none"/>
        </w:rPr>
        <w:t>。</w:t>
      </w:r>
    </w:p>
    <w:p>
      <w:pPr>
        <w:pStyle w:val="7"/>
        <w:rPr>
          <w:color w:val="auto"/>
          <w:highlight w:val="none"/>
        </w:rPr>
      </w:pPr>
      <w:bookmarkStart w:id="401" w:name="_Toc491946679"/>
      <w:bookmarkStart w:id="402" w:name="_Toc4752"/>
      <w:r>
        <w:rPr>
          <w:color w:val="auto"/>
          <w:highlight w:val="none"/>
        </w:rPr>
        <w:t>20.4</w:t>
      </w:r>
      <w:r>
        <w:rPr>
          <w:rFonts w:hint="eastAsia"/>
          <w:color w:val="auto"/>
          <w:highlight w:val="none"/>
        </w:rPr>
        <w:t xml:space="preserve"> </w:t>
      </w:r>
      <w:r>
        <w:rPr>
          <w:rFonts w:hAnsi="宋体"/>
          <w:color w:val="auto"/>
          <w:highlight w:val="none"/>
        </w:rPr>
        <w:t>仲裁或诉讼</w:t>
      </w:r>
      <w:bookmarkEnd w:id="401"/>
      <w:bookmarkEnd w:id="402"/>
    </w:p>
    <w:p>
      <w:pPr>
        <w:spacing w:line="360" w:lineRule="auto"/>
        <w:ind w:firstLine="420" w:firstLineChars="200"/>
        <w:rPr>
          <w:color w:val="auto"/>
          <w:szCs w:val="21"/>
          <w:highlight w:val="none"/>
        </w:rPr>
      </w:pPr>
      <w:r>
        <w:rPr>
          <w:rFonts w:hAnsi="宋体"/>
          <w:color w:val="auto"/>
          <w:szCs w:val="21"/>
          <w:highlight w:val="none"/>
        </w:rPr>
        <w:t>因合同及合同有关事项发生的争议，按下列第</w:t>
      </w:r>
      <w:r>
        <w:rPr>
          <w:color w:val="auto"/>
          <w:szCs w:val="21"/>
          <w:highlight w:val="none"/>
          <w:u w:val="single"/>
        </w:rPr>
        <w:t xml:space="preserve">  </w:t>
      </w:r>
      <w:r>
        <w:rPr>
          <w:rFonts w:hint="eastAsia"/>
          <w:color w:val="auto"/>
          <w:szCs w:val="21"/>
          <w:highlight w:val="none"/>
          <w:u w:val="single"/>
        </w:rPr>
        <w:t>2</w:t>
      </w:r>
      <w:r>
        <w:rPr>
          <w:color w:val="auto"/>
          <w:szCs w:val="21"/>
          <w:highlight w:val="none"/>
          <w:u w:val="single"/>
        </w:rPr>
        <w:t xml:space="preserve">   </w:t>
      </w:r>
      <w:r>
        <w:rPr>
          <w:rFonts w:hAnsi="宋体"/>
          <w:color w:val="auto"/>
          <w:szCs w:val="21"/>
          <w:highlight w:val="none"/>
        </w:rPr>
        <w:t>种方式解决：</w:t>
      </w:r>
    </w:p>
    <w:p>
      <w:pPr>
        <w:numPr>
          <w:ilvl w:val="0"/>
          <w:numId w:val="3"/>
        </w:numPr>
        <w:spacing w:line="360" w:lineRule="auto"/>
        <w:ind w:firstLine="420" w:firstLineChars="200"/>
        <w:jc w:val="left"/>
        <w:rPr>
          <w:rFonts w:hAnsi="宋体"/>
          <w:color w:val="auto"/>
          <w:szCs w:val="21"/>
          <w:highlight w:val="none"/>
        </w:rPr>
      </w:pPr>
      <w:r>
        <w:rPr>
          <w:rFonts w:hAnsi="宋体"/>
          <w:color w:val="auto"/>
          <w:szCs w:val="21"/>
          <w:highlight w:val="none"/>
        </w:rPr>
        <w:t>提请</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仲裁委员会按照该会仲裁规则进行仲裁，仲裁裁决是终局的，对合同双方均有约束力。</w:t>
      </w:r>
    </w:p>
    <w:p>
      <w:pPr>
        <w:numPr>
          <w:ilvl w:val="0"/>
          <w:numId w:val="0"/>
        </w:numPr>
        <w:spacing w:line="360" w:lineRule="auto"/>
        <w:ind w:firstLine="420" w:firstLineChars="200"/>
        <w:jc w:val="left"/>
        <w:rPr>
          <w:rFonts w:hAnsi="宋体"/>
          <w:color w:val="auto"/>
          <w:szCs w:val="21"/>
          <w:highlight w:val="none"/>
        </w:rPr>
      </w:pPr>
      <w:r>
        <w:rPr>
          <w:rFonts w:hAnsi="宋体"/>
          <w:color w:val="auto"/>
          <w:szCs w:val="21"/>
          <w:highlight w:val="none"/>
        </w:rPr>
        <w:t>（</w:t>
      </w:r>
      <w:r>
        <w:rPr>
          <w:color w:val="auto"/>
          <w:szCs w:val="21"/>
          <w:highlight w:val="none"/>
        </w:rPr>
        <w:t>2</w:t>
      </w:r>
      <w:r>
        <w:rPr>
          <w:rFonts w:hAnsi="宋体"/>
          <w:color w:val="auto"/>
          <w:szCs w:val="21"/>
          <w:highlight w:val="none"/>
        </w:rPr>
        <w:t>）向</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项目所在地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人民法院起诉。</w:t>
      </w:r>
      <w:bookmarkStart w:id="403" w:name="_Toc373478426"/>
      <w:bookmarkStart w:id="404" w:name="_Toc373227779"/>
      <w:bookmarkStart w:id="405" w:name="_Toc389065344"/>
      <w:bookmarkStart w:id="406" w:name="_Toc491946680"/>
    </w:p>
    <w:p>
      <w:pPr>
        <w:spacing w:line="360" w:lineRule="auto"/>
        <w:jc w:val="left"/>
        <w:rPr>
          <w:rFonts w:hint="eastAsia" w:ascii="宋体" w:hAnsi="Courier New"/>
          <w:color w:val="auto"/>
          <w:szCs w:val="21"/>
          <w:highlight w:val="none"/>
        </w:rPr>
      </w:pPr>
      <w:r>
        <w:rPr>
          <w:b/>
          <w:bCs/>
          <w:color w:val="auto"/>
          <w:highlight w:val="none"/>
        </w:rPr>
        <w:t xml:space="preserve">21. </w:t>
      </w:r>
      <w:r>
        <w:rPr>
          <w:rFonts w:hAnsi="宋体"/>
          <w:b/>
          <w:bCs/>
          <w:color w:val="auto"/>
          <w:highlight w:val="none"/>
        </w:rPr>
        <w:t>补充条款</w:t>
      </w:r>
      <w:bookmarkEnd w:id="403"/>
      <w:bookmarkEnd w:id="404"/>
      <w:bookmarkEnd w:id="405"/>
      <w:bookmarkEnd w:id="406"/>
      <w:r>
        <w:rPr>
          <w:rFonts w:hint="eastAsia" w:hAnsi="宋体"/>
          <w:b/>
          <w:bCs/>
          <w:color w:val="auto"/>
          <w:highlight w:val="none"/>
        </w:rPr>
        <w:t>：</w:t>
      </w:r>
      <w:r>
        <w:rPr>
          <w:rFonts w:hint="eastAsia" w:ascii="宋体" w:hAnsi="宋体"/>
          <w:color w:val="auto"/>
          <w:szCs w:val="32"/>
          <w:highlight w:val="none"/>
        </w:rPr>
        <w:t>另不明确事项可另行签订补充协议约定，具有本合同同等法律效力。</w:t>
      </w:r>
    </w:p>
    <w:bookmarkEnd w:id="249"/>
    <w:bookmarkEnd w:id="250"/>
    <w:bookmarkEnd w:id="251"/>
    <w:bookmarkEnd w:id="252"/>
    <w:bookmarkEnd w:id="253"/>
    <w:bookmarkEnd w:id="254"/>
    <w:p>
      <w:pPr>
        <w:spacing w:line="360" w:lineRule="auto"/>
        <w:ind w:firstLine="420" w:firstLineChars="200"/>
        <w:jc w:val="left"/>
        <w:rPr>
          <w:color w:val="auto"/>
          <w:highlight w:val="none"/>
        </w:rPr>
      </w:pPr>
    </w:p>
    <w:p>
      <w:pPr>
        <w:spacing w:line="360" w:lineRule="auto"/>
        <w:jc w:val="left"/>
        <w:rPr>
          <w:rFonts w:eastAsia="黑体"/>
          <w:b/>
          <w:bCs/>
          <w:color w:val="auto"/>
          <w:sz w:val="28"/>
          <w:szCs w:val="28"/>
          <w:highlight w:val="none"/>
        </w:rPr>
      </w:pPr>
      <w:bookmarkStart w:id="407" w:name="_Toc351203652"/>
      <w:r>
        <w:rPr>
          <w:rFonts w:hint="eastAsia" w:eastAsia="黑体" w:cs="黑体"/>
          <w:b/>
          <w:bCs/>
          <w:color w:val="auto"/>
          <w:sz w:val="28"/>
          <w:szCs w:val="28"/>
          <w:highlight w:val="none"/>
        </w:rPr>
        <w:t>附件</w:t>
      </w:r>
      <w:bookmarkEnd w:id="407"/>
    </w:p>
    <w:p>
      <w:pPr>
        <w:spacing w:line="360" w:lineRule="auto"/>
        <w:jc w:val="left"/>
        <w:rPr>
          <w:rFonts w:ascii="宋体" w:hAnsi="宋体" w:cs="宋体"/>
          <w:color w:val="auto"/>
          <w:highlight w:val="none"/>
        </w:rPr>
      </w:pPr>
      <w:r>
        <w:rPr>
          <w:rFonts w:hint="eastAsia" w:ascii="宋体" w:hAnsi="宋体" w:cs="宋体"/>
          <w:color w:val="auto"/>
          <w:highlight w:val="none"/>
        </w:rPr>
        <w:t>附件1：承包人主要施工管理人员表</w:t>
      </w:r>
    </w:p>
    <w:p>
      <w:pPr>
        <w:spacing w:line="360" w:lineRule="auto"/>
        <w:jc w:val="left"/>
        <w:rPr>
          <w:rFonts w:ascii="宋体" w:hAnsi="宋体" w:cs="宋体"/>
          <w:color w:val="auto"/>
          <w:highlight w:val="none"/>
        </w:rPr>
      </w:pPr>
      <w:r>
        <w:rPr>
          <w:rFonts w:hint="eastAsia" w:ascii="宋体" w:hAnsi="宋体" w:cs="宋体"/>
          <w:color w:val="auto"/>
          <w:highlight w:val="none"/>
        </w:rPr>
        <w:t>附件2：履约担保格式（可另行开具）</w:t>
      </w:r>
    </w:p>
    <w:p>
      <w:pPr>
        <w:spacing w:line="360" w:lineRule="auto"/>
        <w:jc w:val="left"/>
        <w:rPr>
          <w:rFonts w:ascii="宋体"/>
          <w:color w:val="auto"/>
          <w:highlight w:val="none"/>
        </w:rPr>
      </w:pPr>
      <w:r>
        <w:rPr>
          <w:rFonts w:hint="eastAsia" w:ascii="宋体" w:hAnsi="宋体" w:cs="宋体"/>
          <w:color w:val="auto"/>
          <w:highlight w:val="none"/>
        </w:rPr>
        <w:t>附件3：承包人用于本工程施工的机械设备表</w:t>
      </w:r>
    </w:p>
    <w:p>
      <w:pPr>
        <w:spacing w:line="360" w:lineRule="auto"/>
        <w:jc w:val="left"/>
        <w:rPr>
          <w:rFonts w:hint="eastAsia" w:ascii="宋体" w:hAnsi="宋体" w:eastAsia="宋体" w:cs="宋体"/>
          <w:color w:val="auto"/>
          <w:highlight w:val="none"/>
          <w:lang w:eastAsia="zh-CN"/>
        </w:rPr>
      </w:pPr>
      <w:r>
        <w:rPr>
          <w:rFonts w:hint="eastAsia" w:ascii="宋体" w:hAnsi="宋体" w:cs="宋体"/>
          <w:color w:val="auto"/>
          <w:highlight w:val="none"/>
        </w:rPr>
        <w:t>附件4：</w:t>
      </w:r>
      <w:r>
        <w:rPr>
          <w:rFonts w:ascii="宋体"/>
          <w:color w:val="auto"/>
          <w:highlight w:val="none"/>
        </w:rPr>
        <w:t xml:space="preserve"> </w:t>
      </w:r>
      <w:r>
        <w:rPr>
          <w:rFonts w:hint="eastAsia" w:ascii="宋体" w:hAnsi="宋体" w:cs="宋体"/>
          <w:color w:val="auto"/>
          <w:highlight w:val="none"/>
        </w:rPr>
        <w:t>工程质量保修书</w:t>
      </w:r>
    </w:p>
    <w:p>
      <w:pPr>
        <w:pStyle w:val="28"/>
        <w:spacing w:line="440" w:lineRule="exact"/>
        <w:rPr>
          <w:rFonts w:eastAsia="黑体"/>
          <w:color w:val="auto"/>
          <w:sz w:val="30"/>
          <w:szCs w:val="30"/>
          <w:highlight w:val="none"/>
        </w:rPr>
      </w:pPr>
      <w:r>
        <w:rPr>
          <w:rFonts w:eastAsia="仿宋_GB2312"/>
          <w:color w:val="auto"/>
          <w:sz w:val="30"/>
          <w:szCs w:val="30"/>
          <w:highlight w:val="none"/>
        </w:rPr>
        <w:t>附件</w:t>
      </w:r>
      <w:r>
        <w:rPr>
          <w:rFonts w:hint="eastAsia" w:eastAsia="仿宋_GB2312"/>
          <w:color w:val="auto"/>
          <w:sz w:val="30"/>
          <w:szCs w:val="30"/>
          <w:highlight w:val="none"/>
        </w:rPr>
        <w:t>1</w:t>
      </w:r>
      <w:r>
        <w:rPr>
          <w:rFonts w:eastAsia="仿宋_GB2312"/>
          <w:color w:val="auto"/>
          <w:sz w:val="30"/>
          <w:szCs w:val="30"/>
          <w:highlight w:val="none"/>
        </w:rPr>
        <w:t>：</w:t>
      </w:r>
    </w:p>
    <w:p>
      <w:pPr>
        <w:pStyle w:val="28"/>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承包人主要施工管理人员表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名    称</w:t>
            </w: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姓名</w:t>
            </w: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r>
              <w:rPr>
                <w:rFonts w:eastAsia="仿宋_GB2312"/>
                <w:color w:val="auto"/>
                <w:sz w:val="30"/>
                <w:szCs w:val="30"/>
                <w:highlight w:val="none"/>
                <w:lang w:val="en-US" w:eastAsia="zh-CN"/>
              </w:rPr>
              <w:t>职务</w:t>
            </w: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r>
              <w:rPr>
                <w:rFonts w:eastAsia="仿宋_GB2312"/>
                <w:color w:val="auto"/>
                <w:sz w:val="30"/>
                <w:szCs w:val="30"/>
                <w:highlight w:val="none"/>
                <w:lang w:val="en-US" w:eastAsia="zh-CN"/>
              </w:rPr>
              <w:t>职称</w:t>
            </w:r>
          </w:p>
        </w:tc>
        <w:tc>
          <w:tcPr>
            <w:tcW w:w="4252" w:type="dxa"/>
            <w:noWrap w:val="0"/>
            <w:vAlign w:val="center"/>
          </w:tcPr>
          <w:p>
            <w:pPr>
              <w:pStyle w:val="29"/>
              <w:keepNext/>
              <w:spacing w:after="0" w:line="440" w:lineRule="exact"/>
              <w:ind w:left="0" w:leftChars="0" w:right="63"/>
              <w:rPr>
                <w:rFonts w:eastAsia="仿宋_GB2312"/>
                <w:color w:val="auto"/>
                <w:sz w:val="30"/>
                <w:szCs w:val="30"/>
                <w:highlight w:val="none"/>
                <w:lang w:val="en-US" w:eastAsia="zh-CN"/>
              </w:rPr>
            </w:pPr>
            <w:r>
              <w:rPr>
                <w:rFonts w:hint="eastAsia" w:eastAsia="仿宋_GB2312"/>
                <w:color w:val="auto"/>
                <w:sz w:val="30"/>
                <w:szCs w:val="30"/>
                <w:highlight w:val="none"/>
                <w:lang w:val="en-US" w:eastAsia="zh-CN"/>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29"/>
              <w:keepNext/>
              <w:spacing w:after="0"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项目主管</w:t>
            </w: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425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29"/>
              <w:keepNext/>
              <w:spacing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其他人员</w:t>
            </w: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425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425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425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29"/>
              <w:keepNext/>
              <w:spacing w:after="0"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项目经理</w:t>
            </w: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425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项目副经理</w:t>
            </w: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425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技术负责人</w:t>
            </w: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425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造价管理</w:t>
            </w: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425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29"/>
              <w:keepNext/>
              <w:spacing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质量管理</w:t>
            </w: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425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9"/>
              <w:keepNext/>
              <w:spacing w:line="440" w:lineRule="exact"/>
              <w:ind w:left="63" w:right="63"/>
              <w:rPr>
                <w:rFonts w:eastAsia="仿宋_GB2312"/>
                <w:color w:val="auto"/>
                <w:sz w:val="28"/>
                <w:szCs w:val="30"/>
                <w:highlight w:val="none"/>
                <w:lang w:val="en-US" w:eastAsia="zh-CN"/>
              </w:rPr>
            </w:pP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425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425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材料管理</w:t>
            </w: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425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计划管理</w:t>
            </w: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425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29"/>
              <w:keepNext/>
              <w:spacing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安全管理</w:t>
            </w: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425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9"/>
              <w:keepNext/>
              <w:spacing w:line="440" w:lineRule="exact"/>
              <w:ind w:left="63" w:right="63"/>
              <w:rPr>
                <w:rFonts w:eastAsia="仿宋_GB2312"/>
                <w:color w:val="auto"/>
                <w:sz w:val="28"/>
                <w:szCs w:val="30"/>
                <w:highlight w:val="none"/>
                <w:lang w:val="en-US" w:eastAsia="zh-CN"/>
              </w:rPr>
            </w:pP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425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425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29"/>
              <w:keepNext/>
              <w:spacing w:after="0"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其他人员</w:t>
            </w: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425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425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425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425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425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134"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425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bl>
    <w:p>
      <w:pPr>
        <w:spacing w:before="120" w:beforeLines="50" w:after="120" w:afterLines="50" w:line="440" w:lineRule="exact"/>
        <w:jc w:val="left"/>
        <w:rPr>
          <w:rFonts w:hint="eastAsia" w:eastAsia="仿宋_GB2312"/>
          <w:color w:val="auto"/>
          <w:sz w:val="30"/>
          <w:szCs w:val="30"/>
          <w:highlight w:val="none"/>
        </w:rPr>
      </w:pPr>
    </w:p>
    <w:p>
      <w:pPr>
        <w:pStyle w:val="28"/>
        <w:spacing w:line="440" w:lineRule="exact"/>
        <w:rPr>
          <w:rFonts w:eastAsia="仿宋_GB2312"/>
          <w:color w:val="auto"/>
          <w:sz w:val="30"/>
          <w:szCs w:val="30"/>
          <w:highlight w:val="none"/>
        </w:rPr>
        <w:sectPr>
          <w:pgSz w:w="11907" w:h="16840"/>
          <w:pgMar w:top="1440" w:right="1440" w:bottom="1797" w:left="1440" w:header="851" w:footer="851" w:gutter="0"/>
          <w:cols w:space="720" w:num="1"/>
          <w:docGrid w:linePitch="312" w:charSpace="0"/>
        </w:sectPr>
      </w:pPr>
    </w:p>
    <w:p>
      <w:pPr>
        <w:pStyle w:val="28"/>
        <w:spacing w:line="440" w:lineRule="exact"/>
        <w:rPr>
          <w:rFonts w:eastAsia="黑体"/>
          <w:color w:val="auto"/>
          <w:sz w:val="30"/>
          <w:szCs w:val="30"/>
          <w:highlight w:val="none"/>
        </w:rPr>
      </w:pPr>
      <w:r>
        <w:rPr>
          <w:rFonts w:eastAsia="仿宋_GB2312"/>
          <w:color w:val="auto"/>
          <w:sz w:val="30"/>
          <w:szCs w:val="30"/>
          <w:highlight w:val="none"/>
        </w:rPr>
        <w:t>附件</w:t>
      </w:r>
      <w:r>
        <w:rPr>
          <w:rFonts w:hint="eastAsia" w:eastAsia="仿宋_GB2312"/>
          <w:color w:val="auto"/>
          <w:sz w:val="30"/>
          <w:szCs w:val="30"/>
          <w:highlight w:val="none"/>
        </w:rPr>
        <w:t>2：</w:t>
      </w:r>
    </w:p>
    <w:p>
      <w:pPr>
        <w:pStyle w:val="28"/>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履约担保</w:t>
      </w:r>
    </w:p>
    <w:p>
      <w:pPr>
        <w:pStyle w:val="28"/>
        <w:spacing w:line="360" w:lineRule="auto"/>
        <w:rPr>
          <w:color w:val="auto"/>
          <w:szCs w:val="21"/>
          <w:highlight w:val="none"/>
          <w:u w:val="single"/>
        </w:rPr>
      </w:pPr>
    </w:p>
    <w:p>
      <w:pPr>
        <w:pStyle w:val="28"/>
        <w:spacing w:line="360" w:lineRule="auto"/>
        <w:rPr>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rFonts w:hAnsi="宋体"/>
          <w:color w:val="auto"/>
          <w:szCs w:val="21"/>
          <w:highlight w:val="none"/>
        </w:rPr>
        <w:t>（发包人名称）：</w:t>
      </w:r>
    </w:p>
    <w:p>
      <w:pPr>
        <w:pStyle w:val="28"/>
        <w:spacing w:line="360" w:lineRule="auto"/>
        <w:rPr>
          <w:color w:val="auto"/>
          <w:szCs w:val="21"/>
          <w:highlight w:val="none"/>
        </w:rPr>
      </w:pPr>
      <w:r>
        <w:rPr>
          <w:rFonts w:hAnsi="宋体"/>
          <w:color w:val="auto"/>
          <w:szCs w:val="21"/>
          <w:highlight w:val="none"/>
        </w:rPr>
        <w:t>鉴于</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（发包人名称，以下简称</w:t>
      </w:r>
      <w:r>
        <w:rPr>
          <w:color w:val="auto"/>
          <w:szCs w:val="21"/>
          <w:highlight w:val="none"/>
        </w:rPr>
        <w:t>“</w:t>
      </w:r>
      <w:r>
        <w:rPr>
          <w:rFonts w:hAnsi="宋体"/>
          <w:color w:val="auto"/>
          <w:szCs w:val="21"/>
          <w:highlight w:val="none"/>
        </w:rPr>
        <w:t>发包人</w:t>
      </w:r>
      <w:r>
        <w:rPr>
          <w:color w:val="auto"/>
          <w:szCs w:val="21"/>
          <w:highlight w:val="none"/>
        </w:rPr>
        <w:t>”</w:t>
      </w:r>
      <w:r>
        <w:rPr>
          <w:rFonts w:hAnsi="宋体"/>
          <w:color w:val="auto"/>
          <w:szCs w:val="21"/>
          <w:highlight w:val="none"/>
        </w:rPr>
        <w:t>）</w:t>
      </w:r>
      <w:r>
        <w:rPr>
          <w:rFonts w:hint="eastAsia" w:hAnsi="宋体"/>
          <w:color w:val="auto"/>
          <w:szCs w:val="21"/>
          <w:highlight w:val="none"/>
        </w:rPr>
        <w:t xml:space="preserve"> 已</w:t>
      </w:r>
      <w:r>
        <w:rPr>
          <w:rFonts w:hAnsi="宋体"/>
          <w:color w:val="auto"/>
          <w:szCs w:val="21"/>
          <w:highlight w:val="none"/>
        </w:rPr>
        <w:t>于</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月</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日</w:t>
      </w:r>
      <w:r>
        <w:rPr>
          <w:rFonts w:hint="eastAsia" w:hAnsi="宋体"/>
          <w:color w:val="auto"/>
          <w:szCs w:val="21"/>
          <w:highlight w:val="none"/>
        </w:rPr>
        <w:t>发放中标通知书，明确</w:t>
      </w:r>
      <w:r>
        <w:rPr>
          <w:color w:val="auto"/>
          <w:szCs w:val="21"/>
          <w:highlight w:val="none"/>
          <w:u w:val="single"/>
        </w:rPr>
        <w:t xml:space="preserve">                           </w:t>
      </w:r>
      <w:r>
        <w:rPr>
          <w:rFonts w:hAnsi="宋体"/>
          <w:color w:val="auto"/>
          <w:szCs w:val="21"/>
          <w:highlight w:val="none"/>
        </w:rPr>
        <w:t>（承包人名称）（以下称</w:t>
      </w:r>
      <w:r>
        <w:rPr>
          <w:color w:val="auto"/>
          <w:szCs w:val="21"/>
          <w:highlight w:val="none"/>
        </w:rPr>
        <w:t>“</w:t>
      </w:r>
      <w:r>
        <w:rPr>
          <w:rFonts w:hAnsi="宋体"/>
          <w:color w:val="auto"/>
          <w:szCs w:val="21"/>
          <w:highlight w:val="none"/>
        </w:rPr>
        <w:t>承包人</w:t>
      </w:r>
      <w:r>
        <w:rPr>
          <w:color w:val="auto"/>
          <w:szCs w:val="21"/>
          <w:highlight w:val="none"/>
        </w:rPr>
        <w:t>”</w:t>
      </w:r>
      <w:r>
        <w:rPr>
          <w:rFonts w:hAnsi="宋体"/>
          <w:color w:val="auto"/>
          <w:szCs w:val="21"/>
          <w:highlight w:val="none"/>
        </w:rPr>
        <w:t>）于</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月</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日</w:t>
      </w:r>
      <w:r>
        <w:rPr>
          <w:rFonts w:hint="eastAsia" w:hAnsi="宋体"/>
          <w:color w:val="auto"/>
          <w:szCs w:val="21"/>
          <w:highlight w:val="none"/>
        </w:rPr>
        <w:t>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（工程名称）</w:t>
      </w:r>
      <w:r>
        <w:rPr>
          <w:rFonts w:hint="eastAsia" w:hAnsi="宋体"/>
          <w:color w:val="auto"/>
          <w:szCs w:val="21"/>
          <w:highlight w:val="none"/>
        </w:rPr>
        <w:t>的中标人。</w:t>
      </w:r>
      <w:r>
        <w:rPr>
          <w:rFonts w:hAnsi="宋体"/>
          <w:color w:val="auto"/>
          <w:szCs w:val="21"/>
          <w:highlight w:val="none"/>
        </w:rPr>
        <w:t>我方愿意无条件地、不可撤销地就承包人履行与你方签订的合同，向你方提供连带责任担保。</w:t>
      </w:r>
      <w:r>
        <w:rPr>
          <w:color w:val="auto"/>
          <w:szCs w:val="21"/>
          <w:highlight w:val="none"/>
        </w:rPr>
        <w:t xml:space="preserve"> </w:t>
      </w:r>
    </w:p>
    <w:p>
      <w:pPr>
        <w:pStyle w:val="28"/>
        <w:spacing w:line="360" w:lineRule="auto"/>
        <w:ind w:firstLine="420" w:firstLineChars="200"/>
        <w:rPr>
          <w:color w:val="auto"/>
          <w:szCs w:val="21"/>
          <w:highlight w:val="none"/>
        </w:rPr>
      </w:pPr>
      <w:r>
        <w:rPr>
          <w:color w:val="auto"/>
          <w:szCs w:val="21"/>
          <w:highlight w:val="none"/>
        </w:rPr>
        <w:t xml:space="preserve">1. </w:t>
      </w:r>
      <w:r>
        <w:rPr>
          <w:rFonts w:hAnsi="宋体"/>
          <w:color w:val="auto"/>
          <w:szCs w:val="21"/>
          <w:highlight w:val="none"/>
        </w:rPr>
        <w:t>担保金额人民币（大写）</w:t>
      </w:r>
      <w:r>
        <w:rPr>
          <w:color w:val="auto"/>
          <w:szCs w:val="21"/>
          <w:highlight w:val="none"/>
          <w:u w:val="single"/>
        </w:rPr>
        <w:t xml:space="preserve">                 </w:t>
      </w:r>
      <w:r>
        <w:rPr>
          <w:rFonts w:hAnsi="宋体"/>
          <w:color w:val="auto"/>
          <w:szCs w:val="21"/>
          <w:highlight w:val="none"/>
        </w:rPr>
        <w:t>元（</w:t>
      </w:r>
      <w:r>
        <w:rPr>
          <w:color w:val="auto"/>
          <w:szCs w:val="21"/>
          <w:highlight w:val="none"/>
        </w:rPr>
        <w:t>¥</w:t>
      </w:r>
      <w:r>
        <w:rPr>
          <w:color w:val="auto"/>
          <w:szCs w:val="21"/>
          <w:highlight w:val="none"/>
          <w:u w:val="single"/>
        </w:rPr>
        <w:t xml:space="preserve">             </w:t>
      </w:r>
      <w:r>
        <w:rPr>
          <w:rFonts w:hAnsi="宋体"/>
          <w:color w:val="auto"/>
          <w:szCs w:val="21"/>
          <w:highlight w:val="none"/>
        </w:rPr>
        <w:t>）。</w:t>
      </w:r>
    </w:p>
    <w:p>
      <w:pPr>
        <w:pStyle w:val="28"/>
        <w:spacing w:line="360" w:lineRule="auto"/>
        <w:ind w:firstLine="420" w:firstLineChars="200"/>
        <w:rPr>
          <w:color w:val="auto"/>
          <w:szCs w:val="21"/>
          <w:highlight w:val="none"/>
        </w:rPr>
      </w:pPr>
      <w:r>
        <w:rPr>
          <w:color w:val="auto"/>
          <w:szCs w:val="21"/>
          <w:highlight w:val="none"/>
        </w:rPr>
        <w:t xml:space="preserve">2. </w:t>
      </w:r>
      <w:r>
        <w:rPr>
          <w:rFonts w:hAnsi="宋体"/>
          <w:color w:val="auto"/>
          <w:szCs w:val="21"/>
          <w:highlight w:val="none"/>
        </w:rPr>
        <w:t>担保有效期自你方与承包人签订的合同生效之日起至你方签发或应签发工程接收证书之日止。</w:t>
      </w:r>
    </w:p>
    <w:p>
      <w:pPr>
        <w:pStyle w:val="28"/>
        <w:spacing w:line="360" w:lineRule="auto"/>
        <w:ind w:firstLine="420" w:firstLineChars="200"/>
        <w:rPr>
          <w:color w:val="auto"/>
          <w:szCs w:val="21"/>
          <w:highlight w:val="none"/>
        </w:rPr>
      </w:pPr>
      <w:r>
        <w:rPr>
          <w:color w:val="auto"/>
          <w:szCs w:val="21"/>
          <w:highlight w:val="none"/>
        </w:rPr>
        <w:t xml:space="preserve">3. </w:t>
      </w:r>
      <w:r>
        <w:rPr>
          <w:rFonts w:hAnsi="宋体"/>
          <w:color w:val="auto"/>
          <w:szCs w:val="21"/>
          <w:highlight w:val="none"/>
        </w:rPr>
        <w:t>在本担保有效期内，因承包人违反合同约定的义务给你方造成经济损失时，我方在收到你方以书面形式提出的在担保金额内的赔偿要求后，在</w:t>
      </w:r>
      <w:r>
        <w:rPr>
          <w:color w:val="auto"/>
          <w:szCs w:val="21"/>
          <w:highlight w:val="none"/>
        </w:rPr>
        <w:t>7</w:t>
      </w:r>
      <w:r>
        <w:rPr>
          <w:rFonts w:hAnsi="宋体"/>
          <w:color w:val="auto"/>
          <w:szCs w:val="21"/>
          <w:highlight w:val="none"/>
        </w:rPr>
        <w:t>天内无条件支付。</w:t>
      </w:r>
    </w:p>
    <w:p>
      <w:pPr>
        <w:pStyle w:val="28"/>
        <w:spacing w:line="360" w:lineRule="auto"/>
        <w:ind w:firstLine="420" w:firstLineChars="200"/>
        <w:rPr>
          <w:color w:val="auto"/>
          <w:szCs w:val="21"/>
          <w:highlight w:val="none"/>
        </w:rPr>
      </w:pPr>
      <w:r>
        <w:rPr>
          <w:color w:val="auto"/>
          <w:szCs w:val="21"/>
          <w:highlight w:val="none"/>
        </w:rPr>
        <w:t xml:space="preserve">4. </w:t>
      </w:r>
      <w:r>
        <w:rPr>
          <w:rFonts w:hAnsi="宋体"/>
          <w:color w:val="auto"/>
          <w:szCs w:val="21"/>
          <w:highlight w:val="none"/>
        </w:rPr>
        <w:t>你方和承包人按合同约定变更合同时，我方承担本担保规定的义务不变。</w:t>
      </w:r>
    </w:p>
    <w:p>
      <w:pPr>
        <w:pStyle w:val="28"/>
        <w:spacing w:line="360" w:lineRule="auto"/>
        <w:ind w:firstLine="420" w:firstLineChars="200"/>
        <w:rPr>
          <w:color w:val="auto"/>
          <w:szCs w:val="21"/>
          <w:highlight w:val="none"/>
        </w:rPr>
      </w:pPr>
      <w:r>
        <w:rPr>
          <w:color w:val="auto"/>
          <w:szCs w:val="21"/>
          <w:highlight w:val="none"/>
        </w:rPr>
        <w:t xml:space="preserve">5. </w:t>
      </w:r>
      <w:r>
        <w:rPr>
          <w:rFonts w:hAnsi="宋体"/>
          <w:color w:val="auto"/>
          <w:szCs w:val="21"/>
          <w:highlight w:val="none"/>
        </w:rPr>
        <w:t>因本保函发生的纠纷，可由双方协商解决，协商不成的，任何一方均可提请</w:t>
      </w:r>
      <w:r>
        <w:rPr>
          <w:color w:val="auto"/>
          <w:szCs w:val="21"/>
          <w:highlight w:val="none"/>
          <w:u w:val="single"/>
        </w:rPr>
        <w:t xml:space="preserve">      </w:t>
      </w:r>
      <w:r>
        <w:rPr>
          <w:rFonts w:hAnsi="宋体"/>
          <w:color w:val="auto"/>
          <w:szCs w:val="21"/>
          <w:highlight w:val="none"/>
        </w:rPr>
        <w:t>仲裁委员会仲裁。</w:t>
      </w:r>
    </w:p>
    <w:p>
      <w:pPr>
        <w:pStyle w:val="28"/>
        <w:spacing w:line="360" w:lineRule="auto"/>
        <w:ind w:firstLine="420" w:firstLineChars="200"/>
        <w:rPr>
          <w:color w:val="auto"/>
          <w:szCs w:val="21"/>
          <w:highlight w:val="none"/>
        </w:rPr>
      </w:pPr>
      <w:r>
        <w:rPr>
          <w:color w:val="auto"/>
          <w:szCs w:val="21"/>
          <w:highlight w:val="none"/>
        </w:rPr>
        <w:t xml:space="preserve">6. </w:t>
      </w:r>
      <w:r>
        <w:rPr>
          <w:rFonts w:hAnsi="宋体"/>
          <w:color w:val="auto"/>
          <w:szCs w:val="21"/>
          <w:highlight w:val="none"/>
        </w:rPr>
        <w:t>本保函自我方法定代表人（或其授权代理人）签字并加盖公章之日起生效。</w:t>
      </w:r>
    </w:p>
    <w:p>
      <w:pPr>
        <w:pStyle w:val="28"/>
        <w:spacing w:line="360" w:lineRule="auto"/>
        <w:rPr>
          <w:color w:val="auto"/>
          <w:szCs w:val="21"/>
          <w:highlight w:val="none"/>
        </w:rPr>
      </w:pPr>
    </w:p>
    <w:p>
      <w:pPr>
        <w:pStyle w:val="28"/>
        <w:spacing w:line="360" w:lineRule="auto"/>
        <w:rPr>
          <w:color w:val="auto"/>
          <w:szCs w:val="21"/>
          <w:highlight w:val="none"/>
        </w:rPr>
      </w:pPr>
      <w:r>
        <w:rPr>
          <w:rFonts w:hAnsi="宋体"/>
          <w:color w:val="auto"/>
          <w:szCs w:val="21"/>
          <w:highlight w:val="none"/>
        </w:rPr>
        <w:t>担</w:t>
      </w:r>
      <w:r>
        <w:rPr>
          <w:color w:val="auto"/>
          <w:szCs w:val="21"/>
          <w:highlight w:val="none"/>
        </w:rPr>
        <w:t xml:space="preserve"> </w:t>
      </w:r>
      <w:r>
        <w:rPr>
          <w:rFonts w:hAnsi="宋体"/>
          <w:color w:val="auto"/>
          <w:szCs w:val="21"/>
          <w:highlight w:val="none"/>
        </w:rPr>
        <w:t>保</w:t>
      </w:r>
      <w:r>
        <w:rPr>
          <w:color w:val="auto"/>
          <w:szCs w:val="21"/>
          <w:highlight w:val="none"/>
        </w:rPr>
        <w:t xml:space="preserve"> </w:t>
      </w:r>
      <w:r>
        <w:rPr>
          <w:rFonts w:hAnsi="宋体"/>
          <w:color w:val="auto"/>
          <w:szCs w:val="21"/>
          <w:highlight w:val="none"/>
        </w:rPr>
        <w:t>人：</w:t>
      </w:r>
      <w:r>
        <w:rPr>
          <w:color w:val="auto"/>
          <w:szCs w:val="21"/>
          <w:highlight w:val="none"/>
          <w:u w:val="single"/>
        </w:rPr>
        <w:t xml:space="preserve">                           </w:t>
      </w:r>
      <w:r>
        <w:rPr>
          <w:rFonts w:hAnsi="宋体"/>
          <w:color w:val="auto"/>
          <w:szCs w:val="21"/>
          <w:highlight w:val="none"/>
        </w:rPr>
        <w:t>（盖单位章）</w:t>
      </w:r>
    </w:p>
    <w:p>
      <w:pPr>
        <w:pStyle w:val="28"/>
        <w:spacing w:line="360" w:lineRule="auto"/>
        <w:rPr>
          <w:color w:val="auto"/>
          <w:szCs w:val="21"/>
          <w:highlight w:val="none"/>
        </w:rPr>
      </w:pPr>
      <w:r>
        <w:rPr>
          <w:rFonts w:hAnsi="宋体"/>
          <w:color w:val="auto"/>
          <w:szCs w:val="21"/>
          <w:highlight w:val="none"/>
        </w:rPr>
        <w:t>法定代表人或其委托代理人：</w:t>
      </w:r>
      <w:r>
        <w:rPr>
          <w:color w:val="auto"/>
          <w:szCs w:val="21"/>
          <w:highlight w:val="none"/>
          <w:u w:val="single"/>
        </w:rPr>
        <w:t xml:space="preserve">               </w:t>
      </w:r>
      <w:r>
        <w:rPr>
          <w:rFonts w:hAnsi="宋体"/>
          <w:color w:val="auto"/>
          <w:szCs w:val="21"/>
          <w:highlight w:val="none"/>
        </w:rPr>
        <w:t>（签字）</w:t>
      </w:r>
    </w:p>
    <w:p>
      <w:pPr>
        <w:pStyle w:val="28"/>
        <w:spacing w:line="360" w:lineRule="auto"/>
        <w:rPr>
          <w:color w:val="auto"/>
          <w:szCs w:val="21"/>
          <w:highlight w:val="none"/>
        </w:rPr>
      </w:pP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color w:val="auto"/>
          <w:szCs w:val="21"/>
          <w:highlight w:val="none"/>
          <w:u w:val="single"/>
        </w:rPr>
        <w:t xml:space="preserve">                                      </w:t>
      </w:r>
    </w:p>
    <w:p>
      <w:pPr>
        <w:pStyle w:val="28"/>
        <w:spacing w:line="360" w:lineRule="auto"/>
        <w:rPr>
          <w:color w:val="auto"/>
          <w:szCs w:val="21"/>
          <w:highlight w:val="none"/>
        </w:rPr>
      </w:pPr>
      <w:r>
        <w:rPr>
          <w:rFonts w:hAnsi="宋体"/>
          <w:color w:val="auto"/>
          <w:szCs w:val="21"/>
          <w:highlight w:val="none"/>
        </w:rPr>
        <w:t>邮政编码：</w:t>
      </w:r>
      <w:r>
        <w:rPr>
          <w:color w:val="auto"/>
          <w:szCs w:val="21"/>
          <w:highlight w:val="none"/>
          <w:u w:val="single"/>
        </w:rPr>
        <w:t xml:space="preserve">                                      </w:t>
      </w:r>
    </w:p>
    <w:p>
      <w:pPr>
        <w:pStyle w:val="28"/>
        <w:spacing w:line="360" w:lineRule="auto"/>
        <w:rPr>
          <w:color w:val="auto"/>
          <w:szCs w:val="21"/>
          <w:highlight w:val="none"/>
          <w:u w:val="single"/>
        </w:rPr>
      </w:pP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color w:val="auto"/>
          <w:szCs w:val="21"/>
          <w:highlight w:val="none"/>
          <w:u w:val="single"/>
        </w:rPr>
        <w:t xml:space="preserve">                                      </w:t>
      </w:r>
    </w:p>
    <w:p>
      <w:pPr>
        <w:pStyle w:val="28"/>
        <w:spacing w:line="360" w:lineRule="auto"/>
        <w:rPr>
          <w:color w:val="auto"/>
          <w:szCs w:val="21"/>
          <w:highlight w:val="none"/>
        </w:rPr>
      </w:pP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color w:val="auto"/>
          <w:szCs w:val="21"/>
          <w:highlight w:val="none"/>
          <w:u w:val="single"/>
        </w:rPr>
        <w:t xml:space="preserve">                                      </w:t>
      </w:r>
    </w:p>
    <w:p>
      <w:pPr>
        <w:pStyle w:val="28"/>
        <w:spacing w:line="360" w:lineRule="auto"/>
        <w:jc w:val="left"/>
        <w:rPr>
          <w:color w:val="auto"/>
          <w:szCs w:val="21"/>
          <w:highlight w:val="none"/>
          <w:u w:val="single"/>
        </w:rPr>
      </w:pPr>
    </w:p>
    <w:p>
      <w:pPr>
        <w:pStyle w:val="28"/>
        <w:spacing w:line="360" w:lineRule="auto"/>
        <w:ind w:left="1329" w:hanging="1329" w:hangingChars="633"/>
        <w:rPr>
          <w:color w:val="auto"/>
          <w:szCs w:val="21"/>
          <w:highlight w:val="none"/>
        </w:rPr>
      </w:pPr>
      <w:r>
        <w:rPr>
          <w:color w:val="auto"/>
          <w:szCs w:val="21"/>
          <w:highlight w:val="none"/>
        </w:rPr>
        <w:t xml:space="preserve">               </w:t>
      </w:r>
      <w:r>
        <w:rPr>
          <w:color w:val="auto"/>
          <w:szCs w:val="21"/>
          <w:highlight w:val="none"/>
          <w:u w:val="single"/>
        </w:rPr>
        <w:t xml:space="preserve">           </w:t>
      </w:r>
      <w:r>
        <w:rPr>
          <w:rFonts w:hAnsi="宋体"/>
          <w:color w:val="auto"/>
          <w:szCs w:val="21"/>
          <w:highlight w:val="none"/>
        </w:rPr>
        <w:t>年</w:t>
      </w:r>
      <w:r>
        <w:rPr>
          <w:color w:val="auto"/>
          <w:szCs w:val="21"/>
          <w:highlight w:val="none"/>
          <w:u w:val="single"/>
        </w:rPr>
        <w:t xml:space="preserve">        </w:t>
      </w:r>
      <w:r>
        <w:rPr>
          <w:rFonts w:hAnsi="宋体"/>
          <w:color w:val="auto"/>
          <w:szCs w:val="21"/>
          <w:highlight w:val="none"/>
        </w:rPr>
        <w:t>月</w:t>
      </w:r>
      <w:r>
        <w:rPr>
          <w:color w:val="auto"/>
          <w:szCs w:val="21"/>
          <w:highlight w:val="none"/>
          <w:u w:val="single"/>
        </w:rPr>
        <w:t xml:space="preserve">        </w:t>
      </w:r>
      <w:r>
        <w:rPr>
          <w:rFonts w:hAnsi="宋体"/>
          <w:color w:val="auto"/>
          <w:szCs w:val="21"/>
          <w:highlight w:val="none"/>
        </w:rPr>
        <w:t>日</w:t>
      </w:r>
    </w:p>
    <w:p>
      <w:pPr>
        <w:pStyle w:val="28"/>
        <w:spacing w:line="360" w:lineRule="auto"/>
        <w:ind w:left="1329" w:hanging="1329" w:hangingChars="633"/>
        <w:rPr>
          <w:color w:val="auto"/>
          <w:szCs w:val="21"/>
          <w:highlight w:val="none"/>
        </w:rPr>
      </w:pPr>
    </w:p>
    <w:p>
      <w:pPr>
        <w:pStyle w:val="28"/>
        <w:spacing w:line="440" w:lineRule="exact"/>
        <w:rPr>
          <w:rFonts w:eastAsia="仿宋_GB2312"/>
          <w:color w:val="auto"/>
          <w:sz w:val="30"/>
          <w:szCs w:val="30"/>
          <w:highlight w:val="none"/>
        </w:rPr>
        <w:sectPr>
          <w:pgSz w:w="11907" w:h="16840"/>
          <w:pgMar w:top="1440" w:right="1440" w:bottom="1797" w:left="1440" w:header="851" w:footer="851" w:gutter="0"/>
          <w:cols w:space="720" w:num="1"/>
          <w:docGrid w:linePitch="312" w:charSpace="0"/>
        </w:sectPr>
      </w:pPr>
    </w:p>
    <w:p>
      <w:pPr>
        <w:pStyle w:val="28"/>
        <w:spacing w:line="440" w:lineRule="exact"/>
        <w:rPr>
          <w:rFonts w:eastAsia="黑体"/>
          <w:color w:val="auto"/>
          <w:sz w:val="30"/>
          <w:szCs w:val="30"/>
          <w:highlight w:val="none"/>
        </w:rPr>
      </w:pPr>
      <w:r>
        <w:rPr>
          <w:rFonts w:eastAsia="仿宋_GB2312"/>
          <w:color w:val="auto"/>
          <w:sz w:val="30"/>
          <w:szCs w:val="30"/>
          <w:highlight w:val="none"/>
        </w:rPr>
        <w:t>附</w:t>
      </w:r>
      <w:bookmarkStart w:id="408" w:name="_Toc296503225"/>
      <w:bookmarkStart w:id="409" w:name="_Toc296347224"/>
      <w:bookmarkStart w:id="410" w:name="_Toc296891265"/>
      <w:bookmarkStart w:id="411" w:name="_Toc296944564"/>
      <w:bookmarkStart w:id="412" w:name="_Toc267261692"/>
      <w:bookmarkStart w:id="413" w:name="_Toc296346726"/>
      <w:bookmarkStart w:id="414" w:name="_Toc296891053"/>
      <w:r>
        <w:rPr>
          <w:rFonts w:eastAsia="仿宋_GB2312"/>
          <w:color w:val="auto"/>
          <w:sz w:val="30"/>
          <w:szCs w:val="30"/>
          <w:highlight w:val="none"/>
        </w:rPr>
        <w:t>件</w:t>
      </w:r>
      <w:r>
        <w:rPr>
          <w:rFonts w:hint="eastAsia" w:eastAsia="仿宋_GB2312"/>
          <w:color w:val="auto"/>
          <w:sz w:val="30"/>
          <w:szCs w:val="30"/>
          <w:highlight w:val="none"/>
        </w:rPr>
        <w:t>3：</w:t>
      </w:r>
      <w:bookmarkEnd w:id="408"/>
      <w:bookmarkEnd w:id="409"/>
      <w:bookmarkEnd w:id="410"/>
      <w:bookmarkEnd w:id="411"/>
      <w:bookmarkEnd w:id="412"/>
      <w:bookmarkEnd w:id="413"/>
      <w:bookmarkEnd w:id="414"/>
    </w:p>
    <w:p>
      <w:pPr>
        <w:pStyle w:val="28"/>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承包人用于本工程施工的机械设备表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序号</w:t>
            </w:r>
          </w:p>
        </w:tc>
        <w:tc>
          <w:tcPr>
            <w:tcW w:w="141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机械或设备名称</w:t>
            </w:r>
          </w:p>
        </w:tc>
        <w:tc>
          <w:tcPr>
            <w:tcW w:w="850"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规格型号</w:t>
            </w:r>
          </w:p>
        </w:tc>
        <w:tc>
          <w:tcPr>
            <w:tcW w:w="1058"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数量</w:t>
            </w:r>
          </w:p>
        </w:tc>
        <w:tc>
          <w:tcPr>
            <w:tcW w:w="880"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产地</w:t>
            </w:r>
          </w:p>
        </w:tc>
        <w:tc>
          <w:tcPr>
            <w:tcW w:w="1020"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制造年份</w:t>
            </w:r>
          </w:p>
        </w:tc>
        <w:tc>
          <w:tcPr>
            <w:tcW w:w="1480"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额定功率</w:t>
            </w:r>
            <w:r>
              <w:rPr>
                <w:rFonts w:hint="eastAsia" w:eastAsia="仿宋_GB2312"/>
                <w:color w:val="auto"/>
                <w:sz w:val="28"/>
                <w:szCs w:val="30"/>
                <w:highlight w:val="none"/>
                <w:lang w:val="en-US" w:eastAsia="zh-CN"/>
              </w:rPr>
              <w:t>（</w:t>
            </w:r>
            <w:r>
              <w:rPr>
                <w:rFonts w:eastAsia="仿宋_GB2312"/>
                <w:color w:val="auto"/>
                <w:sz w:val="28"/>
                <w:szCs w:val="30"/>
                <w:highlight w:val="none"/>
                <w:lang w:val="en-US" w:eastAsia="zh-CN"/>
              </w:rPr>
              <w:t>kW</w:t>
            </w:r>
            <w:r>
              <w:rPr>
                <w:rFonts w:hint="eastAsia" w:eastAsia="仿宋_GB2312"/>
                <w:color w:val="auto"/>
                <w:sz w:val="28"/>
                <w:szCs w:val="30"/>
                <w:highlight w:val="none"/>
                <w:lang w:val="en-US" w:eastAsia="zh-CN"/>
              </w:rPr>
              <w:t>）</w:t>
            </w:r>
          </w:p>
        </w:tc>
        <w:tc>
          <w:tcPr>
            <w:tcW w:w="1020"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生产能力</w:t>
            </w:r>
          </w:p>
        </w:tc>
        <w:tc>
          <w:tcPr>
            <w:tcW w:w="921" w:type="dxa"/>
            <w:noWrap w:val="0"/>
            <w:vAlign w:val="center"/>
          </w:tcPr>
          <w:p>
            <w:pPr>
              <w:pStyle w:val="29"/>
              <w:keepNext/>
              <w:spacing w:after="0" w:line="440" w:lineRule="exact"/>
              <w:ind w:left="63" w:right="63"/>
              <w:rPr>
                <w:rFonts w:eastAsia="仿宋_GB2312"/>
                <w:color w:val="auto"/>
                <w:sz w:val="28"/>
                <w:szCs w:val="30"/>
                <w:highlight w:val="none"/>
                <w:lang w:val="en-US" w:eastAsia="zh-CN"/>
              </w:rPr>
            </w:pPr>
            <w:r>
              <w:rPr>
                <w:rFonts w:eastAsia="仿宋_GB2312"/>
                <w:color w:val="auto"/>
                <w:sz w:val="28"/>
                <w:szCs w:val="3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418"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85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58"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88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2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48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2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921"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418"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85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58"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88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2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48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2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921"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418"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85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58"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88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2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48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2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921"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418"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85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58"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88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2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48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2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921"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418"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85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58"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88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2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48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2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921"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418"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85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58"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88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2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48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2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921"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418"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85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58"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88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2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48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2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921"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418"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85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58"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88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2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48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2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921"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28"/>
              <w:rPr>
                <w:rFonts w:eastAsia="仿宋_GB2312"/>
                <w:color w:val="auto"/>
                <w:sz w:val="30"/>
                <w:szCs w:val="30"/>
                <w:highlight w:val="none"/>
              </w:rPr>
            </w:pPr>
          </w:p>
        </w:tc>
        <w:tc>
          <w:tcPr>
            <w:tcW w:w="1418" w:type="dxa"/>
            <w:noWrap w:val="0"/>
            <w:vAlign w:val="top"/>
          </w:tcPr>
          <w:p>
            <w:pPr>
              <w:pStyle w:val="28"/>
              <w:rPr>
                <w:rFonts w:eastAsia="仿宋_GB2312"/>
                <w:color w:val="auto"/>
                <w:sz w:val="30"/>
                <w:szCs w:val="30"/>
                <w:highlight w:val="none"/>
              </w:rPr>
            </w:pPr>
          </w:p>
        </w:tc>
        <w:tc>
          <w:tcPr>
            <w:tcW w:w="850" w:type="dxa"/>
            <w:noWrap w:val="0"/>
            <w:vAlign w:val="top"/>
          </w:tcPr>
          <w:p>
            <w:pPr>
              <w:pStyle w:val="28"/>
              <w:rPr>
                <w:rFonts w:eastAsia="仿宋_GB2312"/>
                <w:color w:val="auto"/>
                <w:sz w:val="30"/>
                <w:szCs w:val="30"/>
                <w:highlight w:val="none"/>
              </w:rPr>
            </w:pPr>
          </w:p>
        </w:tc>
        <w:tc>
          <w:tcPr>
            <w:tcW w:w="1058" w:type="dxa"/>
            <w:noWrap w:val="0"/>
            <w:vAlign w:val="top"/>
          </w:tcPr>
          <w:p>
            <w:pPr>
              <w:pStyle w:val="28"/>
              <w:rPr>
                <w:rFonts w:eastAsia="仿宋_GB2312"/>
                <w:color w:val="auto"/>
                <w:sz w:val="30"/>
                <w:szCs w:val="30"/>
                <w:highlight w:val="none"/>
              </w:rPr>
            </w:pPr>
          </w:p>
        </w:tc>
        <w:tc>
          <w:tcPr>
            <w:tcW w:w="880" w:type="dxa"/>
            <w:noWrap w:val="0"/>
            <w:vAlign w:val="top"/>
          </w:tcPr>
          <w:p>
            <w:pPr>
              <w:pStyle w:val="28"/>
              <w:rPr>
                <w:rFonts w:eastAsia="仿宋_GB2312"/>
                <w:color w:val="auto"/>
                <w:sz w:val="30"/>
                <w:szCs w:val="30"/>
                <w:highlight w:val="none"/>
              </w:rPr>
            </w:pPr>
          </w:p>
        </w:tc>
        <w:tc>
          <w:tcPr>
            <w:tcW w:w="1020" w:type="dxa"/>
            <w:noWrap w:val="0"/>
            <w:vAlign w:val="top"/>
          </w:tcPr>
          <w:p>
            <w:pPr>
              <w:pStyle w:val="28"/>
              <w:rPr>
                <w:rFonts w:eastAsia="仿宋_GB2312"/>
                <w:color w:val="auto"/>
                <w:sz w:val="30"/>
                <w:szCs w:val="30"/>
                <w:highlight w:val="none"/>
              </w:rPr>
            </w:pPr>
          </w:p>
        </w:tc>
        <w:tc>
          <w:tcPr>
            <w:tcW w:w="1480" w:type="dxa"/>
            <w:noWrap w:val="0"/>
            <w:vAlign w:val="top"/>
          </w:tcPr>
          <w:p>
            <w:pPr>
              <w:pStyle w:val="28"/>
              <w:rPr>
                <w:rFonts w:eastAsia="仿宋_GB2312"/>
                <w:color w:val="auto"/>
                <w:sz w:val="30"/>
                <w:szCs w:val="30"/>
                <w:highlight w:val="none"/>
              </w:rPr>
            </w:pPr>
          </w:p>
        </w:tc>
        <w:tc>
          <w:tcPr>
            <w:tcW w:w="1020" w:type="dxa"/>
            <w:noWrap w:val="0"/>
            <w:vAlign w:val="top"/>
          </w:tcPr>
          <w:p>
            <w:pPr>
              <w:pStyle w:val="28"/>
              <w:rPr>
                <w:rFonts w:eastAsia="仿宋_GB2312"/>
                <w:color w:val="auto"/>
                <w:sz w:val="30"/>
                <w:szCs w:val="30"/>
                <w:highlight w:val="none"/>
              </w:rPr>
            </w:pPr>
          </w:p>
        </w:tc>
        <w:tc>
          <w:tcPr>
            <w:tcW w:w="921" w:type="dxa"/>
            <w:noWrap w:val="0"/>
            <w:vAlign w:val="top"/>
          </w:tcPr>
          <w:p>
            <w:pPr>
              <w:pStyle w:val="28"/>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418"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85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58"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88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2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48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1020"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c>
          <w:tcPr>
            <w:tcW w:w="921" w:type="dxa"/>
            <w:noWrap w:val="0"/>
            <w:vAlign w:val="center"/>
          </w:tcPr>
          <w:p>
            <w:pPr>
              <w:pStyle w:val="29"/>
              <w:keepNext/>
              <w:spacing w:after="0" w:line="440" w:lineRule="exact"/>
              <w:ind w:left="63" w:right="63"/>
              <w:rPr>
                <w:rFonts w:eastAsia="仿宋_GB2312"/>
                <w:color w:val="auto"/>
                <w:sz w:val="30"/>
                <w:szCs w:val="3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28"/>
              <w:rPr>
                <w:rFonts w:eastAsia="仿宋_GB2312"/>
                <w:color w:val="auto"/>
                <w:sz w:val="30"/>
                <w:szCs w:val="30"/>
                <w:highlight w:val="none"/>
              </w:rPr>
            </w:pPr>
          </w:p>
        </w:tc>
        <w:tc>
          <w:tcPr>
            <w:tcW w:w="1418" w:type="dxa"/>
            <w:noWrap w:val="0"/>
            <w:vAlign w:val="top"/>
          </w:tcPr>
          <w:p>
            <w:pPr>
              <w:pStyle w:val="28"/>
              <w:rPr>
                <w:rFonts w:eastAsia="仿宋_GB2312"/>
                <w:color w:val="auto"/>
                <w:sz w:val="30"/>
                <w:szCs w:val="30"/>
                <w:highlight w:val="none"/>
              </w:rPr>
            </w:pPr>
          </w:p>
        </w:tc>
        <w:tc>
          <w:tcPr>
            <w:tcW w:w="850" w:type="dxa"/>
            <w:noWrap w:val="0"/>
            <w:vAlign w:val="top"/>
          </w:tcPr>
          <w:p>
            <w:pPr>
              <w:pStyle w:val="28"/>
              <w:rPr>
                <w:rFonts w:eastAsia="仿宋_GB2312"/>
                <w:color w:val="auto"/>
                <w:sz w:val="30"/>
                <w:szCs w:val="30"/>
                <w:highlight w:val="none"/>
              </w:rPr>
            </w:pPr>
          </w:p>
        </w:tc>
        <w:tc>
          <w:tcPr>
            <w:tcW w:w="1058" w:type="dxa"/>
            <w:noWrap w:val="0"/>
            <w:vAlign w:val="top"/>
          </w:tcPr>
          <w:p>
            <w:pPr>
              <w:pStyle w:val="28"/>
              <w:rPr>
                <w:rFonts w:eastAsia="仿宋_GB2312"/>
                <w:color w:val="auto"/>
                <w:sz w:val="30"/>
                <w:szCs w:val="30"/>
                <w:highlight w:val="none"/>
              </w:rPr>
            </w:pPr>
          </w:p>
        </w:tc>
        <w:tc>
          <w:tcPr>
            <w:tcW w:w="880" w:type="dxa"/>
            <w:noWrap w:val="0"/>
            <w:vAlign w:val="top"/>
          </w:tcPr>
          <w:p>
            <w:pPr>
              <w:pStyle w:val="28"/>
              <w:rPr>
                <w:rFonts w:eastAsia="仿宋_GB2312"/>
                <w:color w:val="auto"/>
                <w:sz w:val="30"/>
                <w:szCs w:val="30"/>
                <w:highlight w:val="none"/>
              </w:rPr>
            </w:pPr>
          </w:p>
        </w:tc>
        <w:tc>
          <w:tcPr>
            <w:tcW w:w="1020" w:type="dxa"/>
            <w:noWrap w:val="0"/>
            <w:vAlign w:val="top"/>
          </w:tcPr>
          <w:p>
            <w:pPr>
              <w:pStyle w:val="28"/>
              <w:rPr>
                <w:rFonts w:eastAsia="仿宋_GB2312"/>
                <w:color w:val="auto"/>
                <w:sz w:val="30"/>
                <w:szCs w:val="30"/>
                <w:highlight w:val="none"/>
              </w:rPr>
            </w:pPr>
          </w:p>
        </w:tc>
        <w:tc>
          <w:tcPr>
            <w:tcW w:w="1480" w:type="dxa"/>
            <w:noWrap w:val="0"/>
            <w:vAlign w:val="top"/>
          </w:tcPr>
          <w:p>
            <w:pPr>
              <w:pStyle w:val="28"/>
              <w:rPr>
                <w:rFonts w:eastAsia="仿宋_GB2312"/>
                <w:color w:val="auto"/>
                <w:sz w:val="30"/>
                <w:szCs w:val="30"/>
                <w:highlight w:val="none"/>
              </w:rPr>
            </w:pPr>
          </w:p>
        </w:tc>
        <w:tc>
          <w:tcPr>
            <w:tcW w:w="1020" w:type="dxa"/>
            <w:noWrap w:val="0"/>
            <w:vAlign w:val="top"/>
          </w:tcPr>
          <w:p>
            <w:pPr>
              <w:pStyle w:val="28"/>
              <w:rPr>
                <w:rFonts w:eastAsia="仿宋_GB2312"/>
                <w:color w:val="auto"/>
                <w:sz w:val="30"/>
                <w:szCs w:val="30"/>
                <w:highlight w:val="none"/>
              </w:rPr>
            </w:pPr>
          </w:p>
        </w:tc>
        <w:tc>
          <w:tcPr>
            <w:tcW w:w="921" w:type="dxa"/>
            <w:noWrap w:val="0"/>
            <w:vAlign w:val="top"/>
          </w:tcPr>
          <w:p>
            <w:pPr>
              <w:pStyle w:val="28"/>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28"/>
              <w:rPr>
                <w:rFonts w:eastAsia="仿宋_GB2312"/>
                <w:color w:val="auto"/>
                <w:sz w:val="30"/>
                <w:szCs w:val="30"/>
                <w:highlight w:val="none"/>
              </w:rPr>
            </w:pPr>
          </w:p>
        </w:tc>
        <w:tc>
          <w:tcPr>
            <w:tcW w:w="1418" w:type="dxa"/>
            <w:noWrap w:val="0"/>
            <w:vAlign w:val="top"/>
          </w:tcPr>
          <w:p>
            <w:pPr>
              <w:pStyle w:val="28"/>
              <w:rPr>
                <w:rFonts w:eastAsia="仿宋_GB2312"/>
                <w:color w:val="auto"/>
                <w:sz w:val="30"/>
                <w:szCs w:val="30"/>
                <w:highlight w:val="none"/>
              </w:rPr>
            </w:pPr>
          </w:p>
        </w:tc>
        <w:tc>
          <w:tcPr>
            <w:tcW w:w="850" w:type="dxa"/>
            <w:noWrap w:val="0"/>
            <w:vAlign w:val="top"/>
          </w:tcPr>
          <w:p>
            <w:pPr>
              <w:pStyle w:val="28"/>
              <w:rPr>
                <w:rFonts w:eastAsia="仿宋_GB2312"/>
                <w:color w:val="auto"/>
                <w:sz w:val="30"/>
                <w:szCs w:val="30"/>
                <w:highlight w:val="none"/>
              </w:rPr>
            </w:pPr>
          </w:p>
        </w:tc>
        <w:tc>
          <w:tcPr>
            <w:tcW w:w="1058" w:type="dxa"/>
            <w:noWrap w:val="0"/>
            <w:vAlign w:val="top"/>
          </w:tcPr>
          <w:p>
            <w:pPr>
              <w:pStyle w:val="28"/>
              <w:rPr>
                <w:rFonts w:eastAsia="仿宋_GB2312"/>
                <w:color w:val="auto"/>
                <w:sz w:val="30"/>
                <w:szCs w:val="30"/>
                <w:highlight w:val="none"/>
              </w:rPr>
            </w:pPr>
          </w:p>
        </w:tc>
        <w:tc>
          <w:tcPr>
            <w:tcW w:w="880" w:type="dxa"/>
            <w:noWrap w:val="0"/>
            <w:vAlign w:val="top"/>
          </w:tcPr>
          <w:p>
            <w:pPr>
              <w:pStyle w:val="28"/>
              <w:rPr>
                <w:rFonts w:eastAsia="仿宋_GB2312"/>
                <w:color w:val="auto"/>
                <w:sz w:val="30"/>
                <w:szCs w:val="30"/>
                <w:highlight w:val="none"/>
              </w:rPr>
            </w:pPr>
          </w:p>
        </w:tc>
        <w:tc>
          <w:tcPr>
            <w:tcW w:w="1020" w:type="dxa"/>
            <w:noWrap w:val="0"/>
            <w:vAlign w:val="top"/>
          </w:tcPr>
          <w:p>
            <w:pPr>
              <w:pStyle w:val="28"/>
              <w:rPr>
                <w:rFonts w:eastAsia="仿宋_GB2312"/>
                <w:color w:val="auto"/>
                <w:sz w:val="30"/>
                <w:szCs w:val="30"/>
                <w:highlight w:val="none"/>
              </w:rPr>
            </w:pPr>
          </w:p>
        </w:tc>
        <w:tc>
          <w:tcPr>
            <w:tcW w:w="1480" w:type="dxa"/>
            <w:noWrap w:val="0"/>
            <w:vAlign w:val="top"/>
          </w:tcPr>
          <w:p>
            <w:pPr>
              <w:pStyle w:val="28"/>
              <w:rPr>
                <w:rFonts w:eastAsia="仿宋_GB2312"/>
                <w:color w:val="auto"/>
                <w:sz w:val="30"/>
                <w:szCs w:val="30"/>
                <w:highlight w:val="none"/>
              </w:rPr>
            </w:pPr>
          </w:p>
        </w:tc>
        <w:tc>
          <w:tcPr>
            <w:tcW w:w="1020" w:type="dxa"/>
            <w:noWrap w:val="0"/>
            <w:vAlign w:val="top"/>
          </w:tcPr>
          <w:p>
            <w:pPr>
              <w:pStyle w:val="28"/>
              <w:rPr>
                <w:rFonts w:eastAsia="仿宋_GB2312"/>
                <w:color w:val="auto"/>
                <w:sz w:val="30"/>
                <w:szCs w:val="30"/>
                <w:highlight w:val="none"/>
              </w:rPr>
            </w:pPr>
          </w:p>
        </w:tc>
        <w:tc>
          <w:tcPr>
            <w:tcW w:w="921" w:type="dxa"/>
            <w:noWrap w:val="0"/>
            <w:vAlign w:val="top"/>
          </w:tcPr>
          <w:p>
            <w:pPr>
              <w:pStyle w:val="28"/>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28"/>
              <w:rPr>
                <w:rFonts w:eastAsia="仿宋_GB2312"/>
                <w:color w:val="auto"/>
                <w:sz w:val="30"/>
                <w:szCs w:val="30"/>
                <w:highlight w:val="none"/>
              </w:rPr>
            </w:pPr>
          </w:p>
        </w:tc>
        <w:tc>
          <w:tcPr>
            <w:tcW w:w="1418" w:type="dxa"/>
            <w:noWrap w:val="0"/>
            <w:vAlign w:val="top"/>
          </w:tcPr>
          <w:p>
            <w:pPr>
              <w:pStyle w:val="28"/>
              <w:rPr>
                <w:rFonts w:eastAsia="仿宋_GB2312"/>
                <w:color w:val="auto"/>
                <w:sz w:val="30"/>
                <w:szCs w:val="30"/>
                <w:highlight w:val="none"/>
              </w:rPr>
            </w:pPr>
          </w:p>
        </w:tc>
        <w:tc>
          <w:tcPr>
            <w:tcW w:w="850" w:type="dxa"/>
            <w:noWrap w:val="0"/>
            <w:vAlign w:val="top"/>
          </w:tcPr>
          <w:p>
            <w:pPr>
              <w:pStyle w:val="28"/>
              <w:rPr>
                <w:rFonts w:eastAsia="仿宋_GB2312"/>
                <w:color w:val="auto"/>
                <w:sz w:val="30"/>
                <w:szCs w:val="30"/>
                <w:highlight w:val="none"/>
              </w:rPr>
            </w:pPr>
          </w:p>
        </w:tc>
        <w:tc>
          <w:tcPr>
            <w:tcW w:w="1058" w:type="dxa"/>
            <w:noWrap w:val="0"/>
            <w:vAlign w:val="top"/>
          </w:tcPr>
          <w:p>
            <w:pPr>
              <w:pStyle w:val="28"/>
              <w:rPr>
                <w:rFonts w:eastAsia="仿宋_GB2312"/>
                <w:color w:val="auto"/>
                <w:sz w:val="30"/>
                <w:szCs w:val="30"/>
                <w:highlight w:val="none"/>
              </w:rPr>
            </w:pPr>
          </w:p>
        </w:tc>
        <w:tc>
          <w:tcPr>
            <w:tcW w:w="880" w:type="dxa"/>
            <w:noWrap w:val="0"/>
            <w:vAlign w:val="top"/>
          </w:tcPr>
          <w:p>
            <w:pPr>
              <w:pStyle w:val="28"/>
              <w:rPr>
                <w:rFonts w:eastAsia="仿宋_GB2312"/>
                <w:color w:val="auto"/>
                <w:sz w:val="30"/>
                <w:szCs w:val="30"/>
                <w:highlight w:val="none"/>
              </w:rPr>
            </w:pPr>
          </w:p>
        </w:tc>
        <w:tc>
          <w:tcPr>
            <w:tcW w:w="1020" w:type="dxa"/>
            <w:noWrap w:val="0"/>
            <w:vAlign w:val="top"/>
          </w:tcPr>
          <w:p>
            <w:pPr>
              <w:pStyle w:val="28"/>
              <w:rPr>
                <w:rFonts w:eastAsia="仿宋_GB2312"/>
                <w:color w:val="auto"/>
                <w:sz w:val="30"/>
                <w:szCs w:val="30"/>
                <w:highlight w:val="none"/>
              </w:rPr>
            </w:pPr>
          </w:p>
        </w:tc>
        <w:tc>
          <w:tcPr>
            <w:tcW w:w="1480" w:type="dxa"/>
            <w:noWrap w:val="0"/>
            <w:vAlign w:val="top"/>
          </w:tcPr>
          <w:p>
            <w:pPr>
              <w:pStyle w:val="28"/>
              <w:rPr>
                <w:rFonts w:eastAsia="仿宋_GB2312"/>
                <w:color w:val="auto"/>
                <w:sz w:val="30"/>
                <w:szCs w:val="30"/>
                <w:highlight w:val="none"/>
              </w:rPr>
            </w:pPr>
          </w:p>
        </w:tc>
        <w:tc>
          <w:tcPr>
            <w:tcW w:w="1020" w:type="dxa"/>
            <w:noWrap w:val="0"/>
            <w:vAlign w:val="top"/>
          </w:tcPr>
          <w:p>
            <w:pPr>
              <w:pStyle w:val="28"/>
              <w:rPr>
                <w:rFonts w:eastAsia="仿宋_GB2312"/>
                <w:color w:val="auto"/>
                <w:sz w:val="30"/>
                <w:szCs w:val="30"/>
                <w:highlight w:val="none"/>
              </w:rPr>
            </w:pPr>
          </w:p>
        </w:tc>
        <w:tc>
          <w:tcPr>
            <w:tcW w:w="921" w:type="dxa"/>
            <w:noWrap w:val="0"/>
            <w:vAlign w:val="top"/>
          </w:tcPr>
          <w:p>
            <w:pPr>
              <w:pStyle w:val="28"/>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28"/>
              <w:rPr>
                <w:rFonts w:eastAsia="仿宋_GB2312"/>
                <w:color w:val="auto"/>
                <w:sz w:val="30"/>
                <w:szCs w:val="30"/>
                <w:highlight w:val="none"/>
              </w:rPr>
            </w:pPr>
          </w:p>
        </w:tc>
        <w:tc>
          <w:tcPr>
            <w:tcW w:w="1418" w:type="dxa"/>
            <w:noWrap w:val="0"/>
            <w:vAlign w:val="top"/>
          </w:tcPr>
          <w:p>
            <w:pPr>
              <w:pStyle w:val="28"/>
              <w:rPr>
                <w:rFonts w:eastAsia="仿宋_GB2312"/>
                <w:color w:val="auto"/>
                <w:sz w:val="30"/>
                <w:szCs w:val="30"/>
                <w:highlight w:val="none"/>
              </w:rPr>
            </w:pPr>
          </w:p>
        </w:tc>
        <w:tc>
          <w:tcPr>
            <w:tcW w:w="850" w:type="dxa"/>
            <w:noWrap w:val="0"/>
            <w:vAlign w:val="top"/>
          </w:tcPr>
          <w:p>
            <w:pPr>
              <w:pStyle w:val="28"/>
              <w:rPr>
                <w:rFonts w:eastAsia="仿宋_GB2312"/>
                <w:color w:val="auto"/>
                <w:sz w:val="30"/>
                <w:szCs w:val="30"/>
                <w:highlight w:val="none"/>
              </w:rPr>
            </w:pPr>
          </w:p>
        </w:tc>
        <w:tc>
          <w:tcPr>
            <w:tcW w:w="1058" w:type="dxa"/>
            <w:noWrap w:val="0"/>
            <w:vAlign w:val="top"/>
          </w:tcPr>
          <w:p>
            <w:pPr>
              <w:pStyle w:val="28"/>
              <w:rPr>
                <w:rFonts w:eastAsia="仿宋_GB2312"/>
                <w:color w:val="auto"/>
                <w:sz w:val="30"/>
                <w:szCs w:val="30"/>
                <w:highlight w:val="none"/>
              </w:rPr>
            </w:pPr>
          </w:p>
        </w:tc>
        <w:tc>
          <w:tcPr>
            <w:tcW w:w="880" w:type="dxa"/>
            <w:noWrap w:val="0"/>
            <w:vAlign w:val="top"/>
          </w:tcPr>
          <w:p>
            <w:pPr>
              <w:pStyle w:val="28"/>
              <w:rPr>
                <w:rFonts w:eastAsia="仿宋_GB2312"/>
                <w:color w:val="auto"/>
                <w:sz w:val="30"/>
                <w:szCs w:val="30"/>
                <w:highlight w:val="none"/>
              </w:rPr>
            </w:pPr>
          </w:p>
        </w:tc>
        <w:tc>
          <w:tcPr>
            <w:tcW w:w="1020" w:type="dxa"/>
            <w:noWrap w:val="0"/>
            <w:vAlign w:val="top"/>
          </w:tcPr>
          <w:p>
            <w:pPr>
              <w:pStyle w:val="28"/>
              <w:rPr>
                <w:rFonts w:eastAsia="仿宋_GB2312"/>
                <w:color w:val="auto"/>
                <w:sz w:val="30"/>
                <w:szCs w:val="30"/>
                <w:highlight w:val="none"/>
              </w:rPr>
            </w:pPr>
          </w:p>
        </w:tc>
        <w:tc>
          <w:tcPr>
            <w:tcW w:w="1480" w:type="dxa"/>
            <w:noWrap w:val="0"/>
            <w:vAlign w:val="top"/>
          </w:tcPr>
          <w:p>
            <w:pPr>
              <w:pStyle w:val="28"/>
              <w:rPr>
                <w:rFonts w:eastAsia="仿宋_GB2312"/>
                <w:color w:val="auto"/>
                <w:sz w:val="30"/>
                <w:szCs w:val="30"/>
                <w:highlight w:val="none"/>
              </w:rPr>
            </w:pPr>
          </w:p>
        </w:tc>
        <w:tc>
          <w:tcPr>
            <w:tcW w:w="1020" w:type="dxa"/>
            <w:noWrap w:val="0"/>
            <w:vAlign w:val="top"/>
          </w:tcPr>
          <w:p>
            <w:pPr>
              <w:pStyle w:val="28"/>
              <w:rPr>
                <w:rFonts w:eastAsia="仿宋_GB2312"/>
                <w:color w:val="auto"/>
                <w:sz w:val="30"/>
                <w:szCs w:val="30"/>
                <w:highlight w:val="none"/>
              </w:rPr>
            </w:pPr>
          </w:p>
        </w:tc>
        <w:tc>
          <w:tcPr>
            <w:tcW w:w="921" w:type="dxa"/>
            <w:noWrap w:val="0"/>
            <w:vAlign w:val="top"/>
          </w:tcPr>
          <w:p>
            <w:pPr>
              <w:pStyle w:val="28"/>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28"/>
              <w:rPr>
                <w:rFonts w:eastAsia="仿宋_GB2312"/>
                <w:color w:val="auto"/>
                <w:sz w:val="30"/>
                <w:szCs w:val="30"/>
                <w:highlight w:val="none"/>
              </w:rPr>
            </w:pPr>
          </w:p>
        </w:tc>
        <w:tc>
          <w:tcPr>
            <w:tcW w:w="1418" w:type="dxa"/>
            <w:noWrap w:val="0"/>
            <w:vAlign w:val="top"/>
          </w:tcPr>
          <w:p>
            <w:pPr>
              <w:pStyle w:val="28"/>
              <w:rPr>
                <w:rFonts w:eastAsia="仿宋_GB2312"/>
                <w:color w:val="auto"/>
                <w:sz w:val="30"/>
                <w:szCs w:val="30"/>
                <w:highlight w:val="none"/>
              </w:rPr>
            </w:pPr>
          </w:p>
        </w:tc>
        <w:tc>
          <w:tcPr>
            <w:tcW w:w="850" w:type="dxa"/>
            <w:noWrap w:val="0"/>
            <w:vAlign w:val="top"/>
          </w:tcPr>
          <w:p>
            <w:pPr>
              <w:pStyle w:val="28"/>
              <w:rPr>
                <w:rFonts w:eastAsia="仿宋_GB2312"/>
                <w:color w:val="auto"/>
                <w:sz w:val="30"/>
                <w:szCs w:val="30"/>
                <w:highlight w:val="none"/>
              </w:rPr>
            </w:pPr>
          </w:p>
        </w:tc>
        <w:tc>
          <w:tcPr>
            <w:tcW w:w="1058" w:type="dxa"/>
            <w:noWrap w:val="0"/>
            <w:vAlign w:val="top"/>
          </w:tcPr>
          <w:p>
            <w:pPr>
              <w:pStyle w:val="28"/>
              <w:rPr>
                <w:rFonts w:eastAsia="仿宋_GB2312"/>
                <w:color w:val="auto"/>
                <w:sz w:val="30"/>
                <w:szCs w:val="30"/>
                <w:highlight w:val="none"/>
              </w:rPr>
            </w:pPr>
          </w:p>
        </w:tc>
        <w:tc>
          <w:tcPr>
            <w:tcW w:w="880" w:type="dxa"/>
            <w:noWrap w:val="0"/>
            <w:vAlign w:val="top"/>
          </w:tcPr>
          <w:p>
            <w:pPr>
              <w:pStyle w:val="28"/>
              <w:rPr>
                <w:rFonts w:eastAsia="仿宋_GB2312"/>
                <w:color w:val="auto"/>
                <w:sz w:val="30"/>
                <w:szCs w:val="30"/>
                <w:highlight w:val="none"/>
              </w:rPr>
            </w:pPr>
          </w:p>
        </w:tc>
        <w:tc>
          <w:tcPr>
            <w:tcW w:w="1020" w:type="dxa"/>
            <w:noWrap w:val="0"/>
            <w:vAlign w:val="top"/>
          </w:tcPr>
          <w:p>
            <w:pPr>
              <w:pStyle w:val="28"/>
              <w:rPr>
                <w:rFonts w:eastAsia="仿宋_GB2312"/>
                <w:color w:val="auto"/>
                <w:sz w:val="30"/>
                <w:szCs w:val="30"/>
                <w:highlight w:val="none"/>
              </w:rPr>
            </w:pPr>
          </w:p>
        </w:tc>
        <w:tc>
          <w:tcPr>
            <w:tcW w:w="1480" w:type="dxa"/>
            <w:noWrap w:val="0"/>
            <w:vAlign w:val="top"/>
          </w:tcPr>
          <w:p>
            <w:pPr>
              <w:pStyle w:val="28"/>
              <w:rPr>
                <w:rFonts w:eastAsia="仿宋_GB2312"/>
                <w:color w:val="auto"/>
                <w:sz w:val="30"/>
                <w:szCs w:val="30"/>
                <w:highlight w:val="none"/>
              </w:rPr>
            </w:pPr>
          </w:p>
        </w:tc>
        <w:tc>
          <w:tcPr>
            <w:tcW w:w="1020" w:type="dxa"/>
            <w:noWrap w:val="0"/>
            <w:vAlign w:val="top"/>
          </w:tcPr>
          <w:p>
            <w:pPr>
              <w:pStyle w:val="28"/>
              <w:rPr>
                <w:rFonts w:eastAsia="仿宋_GB2312"/>
                <w:color w:val="auto"/>
                <w:sz w:val="30"/>
                <w:szCs w:val="30"/>
                <w:highlight w:val="none"/>
              </w:rPr>
            </w:pPr>
          </w:p>
        </w:tc>
        <w:tc>
          <w:tcPr>
            <w:tcW w:w="921" w:type="dxa"/>
            <w:noWrap w:val="0"/>
            <w:vAlign w:val="top"/>
          </w:tcPr>
          <w:p>
            <w:pPr>
              <w:pStyle w:val="28"/>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28"/>
              <w:rPr>
                <w:rFonts w:eastAsia="仿宋_GB2312"/>
                <w:color w:val="auto"/>
                <w:sz w:val="30"/>
                <w:szCs w:val="30"/>
                <w:highlight w:val="none"/>
              </w:rPr>
            </w:pPr>
          </w:p>
        </w:tc>
        <w:tc>
          <w:tcPr>
            <w:tcW w:w="1418" w:type="dxa"/>
            <w:noWrap w:val="0"/>
            <w:vAlign w:val="top"/>
          </w:tcPr>
          <w:p>
            <w:pPr>
              <w:pStyle w:val="28"/>
              <w:rPr>
                <w:rFonts w:eastAsia="仿宋_GB2312"/>
                <w:color w:val="auto"/>
                <w:sz w:val="30"/>
                <w:szCs w:val="30"/>
                <w:highlight w:val="none"/>
              </w:rPr>
            </w:pPr>
          </w:p>
        </w:tc>
        <w:tc>
          <w:tcPr>
            <w:tcW w:w="850" w:type="dxa"/>
            <w:noWrap w:val="0"/>
            <w:vAlign w:val="top"/>
          </w:tcPr>
          <w:p>
            <w:pPr>
              <w:pStyle w:val="28"/>
              <w:rPr>
                <w:rFonts w:eastAsia="仿宋_GB2312"/>
                <w:color w:val="auto"/>
                <w:sz w:val="30"/>
                <w:szCs w:val="30"/>
                <w:highlight w:val="none"/>
              </w:rPr>
            </w:pPr>
          </w:p>
        </w:tc>
        <w:tc>
          <w:tcPr>
            <w:tcW w:w="1058" w:type="dxa"/>
            <w:noWrap w:val="0"/>
            <w:vAlign w:val="top"/>
          </w:tcPr>
          <w:p>
            <w:pPr>
              <w:pStyle w:val="28"/>
              <w:rPr>
                <w:rFonts w:eastAsia="仿宋_GB2312"/>
                <w:color w:val="auto"/>
                <w:sz w:val="30"/>
                <w:szCs w:val="30"/>
                <w:highlight w:val="none"/>
              </w:rPr>
            </w:pPr>
          </w:p>
        </w:tc>
        <w:tc>
          <w:tcPr>
            <w:tcW w:w="880" w:type="dxa"/>
            <w:noWrap w:val="0"/>
            <w:vAlign w:val="top"/>
          </w:tcPr>
          <w:p>
            <w:pPr>
              <w:pStyle w:val="28"/>
              <w:rPr>
                <w:rFonts w:eastAsia="仿宋_GB2312"/>
                <w:color w:val="auto"/>
                <w:sz w:val="30"/>
                <w:szCs w:val="30"/>
                <w:highlight w:val="none"/>
              </w:rPr>
            </w:pPr>
          </w:p>
        </w:tc>
        <w:tc>
          <w:tcPr>
            <w:tcW w:w="1020" w:type="dxa"/>
            <w:noWrap w:val="0"/>
            <w:vAlign w:val="top"/>
          </w:tcPr>
          <w:p>
            <w:pPr>
              <w:pStyle w:val="28"/>
              <w:rPr>
                <w:rFonts w:eastAsia="仿宋_GB2312"/>
                <w:color w:val="auto"/>
                <w:sz w:val="30"/>
                <w:szCs w:val="30"/>
                <w:highlight w:val="none"/>
              </w:rPr>
            </w:pPr>
          </w:p>
        </w:tc>
        <w:tc>
          <w:tcPr>
            <w:tcW w:w="1480" w:type="dxa"/>
            <w:noWrap w:val="0"/>
            <w:vAlign w:val="top"/>
          </w:tcPr>
          <w:p>
            <w:pPr>
              <w:pStyle w:val="28"/>
              <w:rPr>
                <w:rFonts w:eastAsia="仿宋_GB2312"/>
                <w:color w:val="auto"/>
                <w:sz w:val="30"/>
                <w:szCs w:val="30"/>
                <w:highlight w:val="none"/>
              </w:rPr>
            </w:pPr>
          </w:p>
        </w:tc>
        <w:tc>
          <w:tcPr>
            <w:tcW w:w="1020" w:type="dxa"/>
            <w:noWrap w:val="0"/>
            <w:vAlign w:val="top"/>
          </w:tcPr>
          <w:p>
            <w:pPr>
              <w:pStyle w:val="28"/>
              <w:rPr>
                <w:rFonts w:eastAsia="仿宋_GB2312"/>
                <w:color w:val="auto"/>
                <w:sz w:val="30"/>
                <w:szCs w:val="30"/>
                <w:highlight w:val="none"/>
              </w:rPr>
            </w:pPr>
          </w:p>
        </w:tc>
        <w:tc>
          <w:tcPr>
            <w:tcW w:w="921" w:type="dxa"/>
            <w:noWrap w:val="0"/>
            <w:vAlign w:val="top"/>
          </w:tcPr>
          <w:p>
            <w:pPr>
              <w:pStyle w:val="28"/>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28"/>
              <w:rPr>
                <w:rFonts w:eastAsia="仿宋_GB2312"/>
                <w:color w:val="auto"/>
                <w:sz w:val="30"/>
                <w:szCs w:val="30"/>
                <w:highlight w:val="none"/>
              </w:rPr>
            </w:pPr>
          </w:p>
        </w:tc>
        <w:tc>
          <w:tcPr>
            <w:tcW w:w="1418" w:type="dxa"/>
            <w:noWrap w:val="0"/>
            <w:vAlign w:val="top"/>
          </w:tcPr>
          <w:p>
            <w:pPr>
              <w:pStyle w:val="28"/>
              <w:rPr>
                <w:rFonts w:eastAsia="仿宋_GB2312"/>
                <w:color w:val="auto"/>
                <w:sz w:val="30"/>
                <w:szCs w:val="30"/>
                <w:highlight w:val="none"/>
              </w:rPr>
            </w:pPr>
          </w:p>
        </w:tc>
        <w:tc>
          <w:tcPr>
            <w:tcW w:w="850" w:type="dxa"/>
            <w:noWrap w:val="0"/>
            <w:vAlign w:val="top"/>
          </w:tcPr>
          <w:p>
            <w:pPr>
              <w:pStyle w:val="28"/>
              <w:rPr>
                <w:rFonts w:eastAsia="仿宋_GB2312"/>
                <w:color w:val="auto"/>
                <w:sz w:val="30"/>
                <w:szCs w:val="30"/>
                <w:highlight w:val="none"/>
              </w:rPr>
            </w:pPr>
          </w:p>
        </w:tc>
        <w:tc>
          <w:tcPr>
            <w:tcW w:w="1058" w:type="dxa"/>
            <w:noWrap w:val="0"/>
            <w:vAlign w:val="top"/>
          </w:tcPr>
          <w:p>
            <w:pPr>
              <w:pStyle w:val="28"/>
              <w:rPr>
                <w:rFonts w:eastAsia="仿宋_GB2312"/>
                <w:color w:val="auto"/>
                <w:sz w:val="30"/>
                <w:szCs w:val="30"/>
                <w:highlight w:val="none"/>
              </w:rPr>
            </w:pPr>
          </w:p>
        </w:tc>
        <w:tc>
          <w:tcPr>
            <w:tcW w:w="880" w:type="dxa"/>
            <w:noWrap w:val="0"/>
            <w:vAlign w:val="top"/>
          </w:tcPr>
          <w:p>
            <w:pPr>
              <w:pStyle w:val="28"/>
              <w:rPr>
                <w:rFonts w:eastAsia="仿宋_GB2312"/>
                <w:color w:val="auto"/>
                <w:sz w:val="30"/>
                <w:szCs w:val="30"/>
                <w:highlight w:val="none"/>
              </w:rPr>
            </w:pPr>
          </w:p>
        </w:tc>
        <w:tc>
          <w:tcPr>
            <w:tcW w:w="1020" w:type="dxa"/>
            <w:noWrap w:val="0"/>
            <w:vAlign w:val="top"/>
          </w:tcPr>
          <w:p>
            <w:pPr>
              <w:pStyle w:val="28"/>
              <w:rPr>
                <w:rFonts w:eastAsia="仿宋_GB2312"/>
                <w:color w:val="auto"/>
                <w:sz w:val="30"/>
                <w:szCs w:val="30"/>
                <w:highlight w:val="none"/>
              </w:rPr>
            </w:pPr>
          </w:p>
        </w:tc>
        <w:tc>
          <w:tcPr>
            <w:tcW w:w="1480" w:type="dxa"/>
            <w:noWrap w:val="0"/>
            <w:vAlign w:val="top"/>
          </w:tcPr>
          <w:p>
            <w:pPr>
              <w:pStyle w:val="28"/>
              <w:rPr>
                <w:rFonts w:eastAsia="仿宋_GB2312"/>
                <w:color w:val="auto"/>
                <w:sz w:val="30"/>
                <w:szCs w:val="30"/>
                <w:highlight w:val="none"/>
              </w:rPr>
            </w:pPr>
          </w:p>
        </w:tc>
        <w:tc>
          <w:tcPr>
            <w:tcW w:w="1020" w:type="dxa"/>
            <w:noWrap w:val="0"/>
            <w:vAlign w:val="top"/>
          </w:tcPr>
          <w:p>
            <w:pPr>
              <w:pStyle w:val="28"/>
              <w:rPr>
                <w:rFonts w:eastAsia="仿宋_GB2312"/>
                <w:color w:val="auto"/>
                <w:sz w:val="30"/>
                <w:szCs w:val="30"/>
                <w:highlight w:val="none"/>
              </w:rPr>
            </w:pPr>
          </w:p>
        </w:tc>
        <w:tc>
          <w:tcPr>
            <w:tcW w:w="921" w:type="dxa"/>
            <w:noWrap w:val="0"/>
            <w:vAlign w:val="top"/>
          </w:tcPr>
          <w:p>
            <w:pPr>
              <w:pStyle w:val="28"/>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28"/>
              <w:rPr>
                <w:rFonts w:eastAsia="仿宋_GB2312"/>
                <w:color w:val="auto"/>
                <w:sz w:val="30"/>
                <w:szCs w:val="30"/>
                <w:highlight w:val="none"/>
              </w:rPr>
            </w:pPr>
          </w:p>
        </w:tc>
        <w:tc>
          <w:tcPr>
            <w:tcW w:w="1418" w:type="dxa"/>
            <w:noWrap w:val="0"/>
            <w:vAlign w:val="top"/>
          </w:tcPr>
          <w:p>
            <w:pPr>
              <w:pStyle w:val="28"/>
              <w:rPr>
                <w:rFonts w:eastAsia="仿宋_GB2312"/>
                <w:color w:val="auto"/>
                <w:sz w:val="30"/>
                <w:szCs w:val="30"/>
                <w:highlight w:val="none"/>
              </w:rPr>
            </w:pPr>
          </w:p>
        </w:tc>
        <w:tc>
          <w:tcPr>
            <w:tcW w:w="850" w:type="dxa"/>
            <w:noWrap w:val="0"/>
            <w:vAlign w:val="top"/>
          </w:tcPr>
          <w:p>
            <w:pPr>
              <w:pStyle w:val="28"/>
              <w:rPr>
                <w:rFonts w:eastAsia="仿宋_GB2312"/>
                <w:color w:val="auto"/>
                <w:sz w:val="30"/>
                <w:szCs w:val="30"/>
                <w:highlight w:val="none"/>
              </w:rPr>
            </w:pPr>
          </w:p>
        </w:tc>
        <w:tc>
          <w:tcPr>
            <w:tcW w:w="1058" w:type="dxa"/>
            <w:noWrap w:val="0"/>
            <w:vAlign w:val="top"/>
          </w:tcPr>
          <w:p>
            <w:pPr>
              <w:pStyle w:val="28"/>
              <w:rPr>
                <w:rFonts w:eastAsia="仿宋_GB2312"/>
                <w:color w:val="auto"/>
                <w:sz w:val="30"/>
                <w:szCs w:val="30"/>
                <w:highlight w:val="none"/>
              </w:rPr>
            </w:pPr>
          </w:p>
        </w:tc>
        <w:tc>
          <w:tcPr>
            <w:tcW w:w="880" w:type="dxa"/>
            <w:noWrap w:val="0"/>
            <w:vAlign w:val="top"/>
          </w:tcPr>
          <w:p>
            <w:pPr>
              <w:pStyle w:val="28"/>
              <w:rPr>
                <w:rFonts w:eastAsia="仿宋_GB2312"/>
                <w:color w:val="auto"/>
                <w:sz w:val="30"/>
                <w:szCs w:val="30"/>
                <w:highlight w:val="none"/>
              </w:rPr>
            </w:pPr>
          </w:p>
        </w:tc>
        <w:tc>
          <w:tcPr>
            <w:tcW w:w="1020" w:type="dxa"/>
            <w:noWrap w:val="0"/>
            <w:vAlign w:val="top"/>
          </w:tcPr>
          <w:p>
            <w:pPr>
              <w:pStyle w:val="28"/>
              <w:rPr>
                <w:rFonts w:eastAsia="仿宋_GB2312"/>
                <w:color w:val="auto"/>
                <w:sz w:val="30"/>
                <w:szCs w:val="30"/>
                <w:highlight w:val="none"/>
              </w:rPr>
            </w:pPr>
          </w:p>
        </w:tc>
        <w:tc>
          <w:tcPr>
            <w:tcW w:w="1480" w:type="dxa"/>
            <w:noWrap w:val="0"/>
            <w:vAlign w:val="top"/>
          </w:tcPr>
          <w:p>
            <w:pPr>
              <w:pStyle w:val="28"/>
              <w:rPr>
                <w:rFonts w:eastAsia="仿宋_GB2312"/>
                <w:color w:val="auto"/>
                <w:sz w:val="30"/>
                <w:szCs w:val="30"/>
                <w:highlight w:val="none"/>
              </w:rPr>
            </w:pPr>
          </w:p>
        </w:tc>
        <w:tc>
          <w:tcPr>
            <w:tcW w:w="1020" w:type="dxa"/>
            <w:noWrap w:val="0"/>
            <w:vAlign w:val="top"/>
          </w:tcPr>
          <w:p>
            <w:pPr>
              <w:pStyle w:val="28"/>
              <w:rPr>
                <w:rFonts w:eastAsia="仿宋_GB2312"/>
                <w:color w:val="auto"/>
                <w:sz w:val="30"/>
                <w:szCs w:val="30"/>
                <w:highlight w:val="none"/>
              </w:rPr>
            </w:pPr>
          </w:p>
        </w:tc>
        <w:tc>
          <w:tcPr>
            <w:tcW w:w="921" w:type="dxa"/>
            <w:noWrap w:val="0"/>
            <w:vAlign w:val="top"/>
          </w:tcPr>
          <w:p>
            <w:pPr>
              <w:pStyle w:val="28"/>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28"/>
              <w:rPr>
                <w:rFonts w:eastAsia="仿宋_GB2312"/>
                <w:color w:val="auto"/>
                <w:sz w:val="30"/>
                <w:szCs w:val="30"/>
                <w:highlight w:val="none"/>
              </w:rPr>
            </w:pPr>
          </w:p>
        </w:tc>
        <w:tc>
          <w:tcPr>
            <w:tcW w:w="1418" w:type="dxa"/>
            <w:noWrap w:val="0"/>
            <w:vAlign w:val="top"/>
          </w:tcPr>
          <w:p>
            <w:pPr>
              <w:pStyle w:val="28"/>
              <w:rPr>
                <w:rFonts w:eastAsia="仿宋_GB2312"/>
                <w:color w:val="auto"/>
                <w:sz w:val="30"/>
                <w:szCs w:val="30"/>
                <w:highlight w:val="none"/>
              </w:rPr>
            </w:pPr>
          </w:p>
        </w:tc>
        <w:tc>
          <w:tcPr>
            <w:tcW w:w="850" w:type="dxa"/>
            <w:noWrap w:val="0"/>
            <w:vAlign w:val="top"/>
          </w:tcPr>
          <w:p>
            <w:pPr>
              <w:pStyle w:val="28"/>
              <w:rPr>
                <w:rFonts w:eastAsia="仿宋_GB2312"/>
                <w:color w:val="auto"/>
                <w:sz w:val="30"/>
                <w:szCs w:val="30"/>
                <w:highlight w:val="none"/>
              </w:rPr>
            </w:pPr>
          </w:p>
        </w:tc>
        <w:tc>
          <w:tcPr>
            <w:tcW w:w="1058" w:type="dxa"/>
            <w:noWrap w:val="0"/>
            <w:vAlign w:val="top"/>
          </w:tcPr>
          <w:p>
            <w:pPr>
              <w:pStyle w:val="28"/>
              <w:rPr>
                <w:rFonts w:eastAsia="仿宋_GB2312"/>
                <w:color w:val="auto"/>
                <w:sz w:val="30"/>
                <w:szCs w:val="30"/>
                <w:highlight w:val="none"/>
              </w:rPr>
            </w:pPr>
          </w:p>
        </w:tc>
        <w:tc>
          <w:tcPr>
            <w:tcW w:w="880" w:type="dxa"/>
            <w:noWrap w:val="0"/>
            <w:vAlign w:val="top"/>
          </w:tcPr>
          <w:p>
            <w:pPr>
              <w:pStyle w:val="28"/>
              <w:rPr>
                <w:rFonts w:eastAsia="仿宋_GB2312"/>
                <w:color w:val="auto"/>
                <w:sz w:val="30"/>
                <w:szCs w:val="30"/>
                <w:highlight w:val="none"/>
              </w:rPr>
            </w:pPr>
          </w:p>
        </w:tc>
        <w:tc>
          <w:tcPr>
            <w:tcW w:w="1020" w:type="dxa"/>
            <w:noWrap w:val="0"/>
            <w:vAlign w:val="top"/>
          </w:tcPr>
          <w:p>
            <w:pPr>
              <w:pStyle w:val="28"/>
              <w:rPr>
                <w:rFonts w:eastAsia="仿宋_GB2312"/>
                <w:color w:val="auto"/>
                <w:sz w:val="30"/>
                <w:szCs w:val="30"/>
                <w:highlight w:val="none"/>
              </w:rPr>
            </w:pPr>
          </w:p>
        </w:tc>
        <w:tc>
          <w:tcPr>
            <w:tcW w:w="1480" w:type="dxa"/>
            <w:noWrap w:val="0"/>
            <w:vAlign w:val="top"/>
          </w:tcPr>
          <w:p>
            <w:pPr>
              <w:pStyle w:val="28"/>
              <w:rPr>
                <w:rFonts w:eastAsia="仿宋_GB2312"/>
                <w:color w:val="auto"/>
                <w:sz w:val="30"/>
                <w:szCs w:val="30"/>
                <w:highlight w:val="none"/>
              </w:rPr>
            </w:pPr>
          </w:p>
        </w:tc>
        <w:tc>
          <w:tcPr>
            <w:tcW w:w="1020" w:type="dxa"/>
            <w:noWrap w:val="0"/>
            <w:vAlign w:val="top"/>
          </w:tcPr>
          <w:p>
            <w:pPr>
              <w:pStyle w:val="28"/>
              <w:rPr>
                <w:rFonts w:eastAsia="仿宋_GB2312"/>
                <w:color w:val="auto"/>
                <w:sz w:val="30"/>
                <w:szCs w:val="30"/>
                <w:highlight w:val="none"/>
              </w:rPr>
            </w:pPr>
          </w:p>
        </w:tc>
        <w:tc>
          <w:tcPr>
            <w:tcW w:w="921" w:type="dxa"/>
            <w:noWrap w:val="0"/>
            <w:vAlign w:val="top"/>
          </w:tcPr>
          <w:p>
            <w:pPr>
              <w:pStyle w:val="28"/>
              <w:rPr>
                <w:rFonts w:eastAsia="仿宋_GB2312"/>
                <w:color w:val="auto"/>
                <w:sz w:val="30"/>
                <w:szCs w:val="30"/>
                <w:highlight w:val="none"/>
              </w:rPr>
            </w:pPr>
          </w:p>
        </w:tc>
      </w:tr>
    </w:tbl>
    <w:p>
      <w:pPr>
        <w:pStyle w:val="28"/>
        <w:spacing w:line="360" w:lineRule="auto"/>
        <w:rPr>
          <w:rFonts w:eastAsia="仿宋_GB2312"/>
          <w:color w:val="auto"/>
          <w:sz w:val="30"/>
          <w:szCs w:val="30"/>
          <w:highlight w:val="none"/>
        </w:rPr>
      </w:pPr>
    </w:p>
    <w:p>
      <w:pPr>
        <w:pStyle w:val="28"/>
        <w:spacing w:line="440" w:lineRule="exact"/>
        <w:rPr>
          <w:color w:val="auto"/>
          <w:sz w:val="30"/>
          <w:szCs w:val="30"/>
          <w:highlight w:val="none"/>
        </w:rPr>
      </w:pPr>
      <w:r>
        <w:rPr>
          <w:rFonts w:eastAsia="仿宋_GB2312"/>
          <w:color w:val="auto"/>
          <w:sz w:val="30"/>
          <w:szCs w:val="30"/>
          <w:highlight w:val="none"/>
        </w:rPr>
        <w:br w:type="page"/>
      </w:r>
      <w:r>
        <w:rPr>
          <w:rFonts w:hAnsi="宋体"/>
          <w:color w:val="auto"/>
          <w:sz w:val="30"/>
          <w:szCs w:val="30"/>
          <w:highlight w:val="none"/>
        </w:rPr>
        <w:t>附</w:t>
      </w:r>
      <w:bookmarkStart w:id="415" w:name="_Toc296891266"/>
      <w:bookmarkStart w:id="416" w:name="_Toc296891054"/>
      <w:bookmarkStart w:id="417" w:name="_Toc296346727"/>
      <w:bookmarkStart w:id="418" w:name="_Toc296503226"/>
      <w:bookmarkStart w:id="419" w:name="_Toc296944565"/>
      <w:bookmarkStart w:id="420" w:name="_Toc267261693"/>
      <w:bookmarkStart w:id="421" w:name="_Toc296347225"/>
      <w:r>
        <w:rPr>
          <w:rFonts w:hAnsi="宋体"/>
          <w:color w:val="auto"/>
          <w:sz w:val="30"/>
          <w:szCs w:val="30"/>
          <w:highlight w:val="none"/>
        </w:rPr>
        <w:t>件</w:t>
      </w:r>
      <w:r>
        <w:rPr>
          <w:rFonts w:hint="eastAsia"/>
          <w:color w:val="auto"/>
          <w:sz w:val="30"/>
          <w:szCs w:val="30"/>
          <w:highlight w:val="none"/>
        </w:rPr>
        <w:t>4</w:t>
      </w:r>
      <w:r>
        <w:rPr>
          <w:rFonts w:hAnsi="宋体"/>
          <w:color w:val="auto"/>
          <w:sz w:val="30"/>
          <w:szCs w:val="30"/>
          <w:highlight w:val="none"/>
        </w:rPr>
        <w:t>：</w:t>
      </w:r>
      <w:bookmarkEnd w:id="415"/>
      <w:bookmarkEnd w:id="416"/>
      <w:bookmarkEnd w:id="417"/>
      <w:bookmarkEnd w:id="418"/>
      <w:bookmarkEnd w:id="419"/>
      <w:bookmarkEnd w:id="420"/>
      <w:bookmarkEnd w:id="421"/>
    </w:p>
    <w:p>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工程质量保修书（房屋建筑工程）</w:t>
      </w:r>
    </w:p>
    <w:p>
      <w:pPr>
        <w:spacing w:line="440" w:lineRule="exact"/>
        <w:ind w:firstLine="420" w:firstLineChars="200"/>
        <w:rPr>
          <w:color w:val="auto"/>
          <w:highlight w:val="none"/>
        </w:rPr>
      </w:pPr>
      <w:r>
        <w:rPr>
          <w:rFonts w:hint="eastAsia" w:hAnsi="宋体" w:cs="宋体"/>
          <w:color w:val="auto"/>
          <w:highlight w:val="none"/>
        </w:rPr>
        <w:t>发包人（全称）：</w:t>
      </w:r>
      <w:r>
        <w:rPr>
          <w:color w:val="auto"/>
          <w:highlight w:val="none"/>
          <w:u w:val="single"/>
        </w:rPr>
        <w:t xml:space="preserve">                                </w:t>
      </w:r>
      <w:r>
        <w:rPr>
          <w:color w:val="auto"/>
          <w:highlight w:val="none"/>
        </w:rPr>
        <w:t xml:space="preserve"> </w:t>
      </w:r>
    </w:p>
    <w:p>
      <w:pPr>
        <w:spacing w:line="440" w:lineRule="exact"/>
        <w:ind w:firstLine="420" w:firstLineChars="200"/>
        <w:rPr>
          <w:color w:val="auto"/>
          <w:highlight w:val="none"/>
        </w:rPr>
      </w:pPr>
      <w:r>
        <w:rPr>
          <w:rFonts w:hint="eastAsia" w:hAnsi="宋体" w:cs="宋体"/>
          <w:color w:val="auto"/>
          <w:highlight w:val="none"/>
        </w:rPr>
        <w:t>承包人（全称）：</w:t>
      </w:r>
      <w:r>
        <w:rPr>
          <w:color w:val="auto"/>
          <w:highlight w:val="none"/>
          <w:u w:val="single"/>
        </w:rPr>
        <w:t xml:space="preserve">                                </w:t>
      </w:r>
      <w:r>
        <w:rPr>
          <w:color w:val="auto"/>
          <w:highlight w:val="none"/>
        </w:rPr>
        <w:t xml:space="preserve"> </w:t>
      </w:r>
    </w:p>
    <w:p>
      <w:pPr>
        <w:spacing w:line="440" w:lineRule="exact"/>
        <w:rPr>
          <w:color w:val="auto"/>
          <w:highlight w:val="none"/>
        </w:rPr>
      </w:pPr>
    </w:p>
    <w:p>
      <w:pPr>
        <w:spacing w:line="360" w:lineRule="auto"/>
        <w:ind w:firstLine="420" w:firstLineChars="200"/>
        <w:rPr>
          <w:rFonts w:hAnsi="宋体"/>
          <w:color w:val="auto"/>
          <w:highlight w:val="none"/>
        </w:rPr>
      </w:pPr>
      <w:r>
        <w:rPr>
          <w:rFonts w:hint="eastAsia" w:hAnsi="宋体" w:cs="宋体"/>
          <w:color w:val="auto"/>
          <w:highlight w:val="none"/>
        </w:rPr>
        <w:t>发包人和承包人根据《中华人民共和国建筑法》和《建设工程质量管理条例》，经协商一致就</w:t>
      </w:r>
      <w:r>
        <w:rPr>
          <w:color w:val="auto"/>
          <w:highlight w:val="none"/>
          <w:u w:val="single"/>
        </w:rPr>
        <w:t xml:space="preserve"> </w:t>
      </w:r>
      <w:r>
        <w:rPr>
          <w:rFonts w:hint="eastAsia" w:hAnsi="宋体"/>
          <w:color w:val="auto"/>
          <w:sz w:val="21"/>
          <w:szCs w:val="21"/>
          <w:highlight w:val="none"/>
          <w:u w:val="single"/>
          <w:lang w:eastAsia="zh-CN"/>
        </w:rPr>
        <w:t>2021年铁山港区南康镇扫管龙村委农业果蔬大棚产业项目（二期）</w:t>
      </w:r>
      <w:r>
        <w:rPr>
          <w:rFonts w:hint="eastAsia" w:hAnsi="宋体" w:cs="宋体"/>
          <w:color w:val="auto"/>
          <w:highlight w:val="none"/>
        </w:rPr>
        <w:t>（工程全称）签订工程质量保修书。</w:t>
      </w:r>
    </w:p>
    <w:p>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pPr>
        <w:spacing w:line="360" w:lineRule="auto"/>
        <w:ind w:firstLine="420" w:firstLineChars="200"/>
        <w:rPr>
          <w:color w:val="auto"/>
          <w:highlight w:val="none"/>
        </w:rPr>
      </w:pPr>
      <w:r>
        <w:rPr>
          <w:rFonts w:hint="eastAsia" w:hAnsi="宋体" w:cs="宋体"/>
          <w:color w:val="auto"/>
          <w:highlight w:val="none"/>
        </w:rPr>
        <w:t>承包人在质量保修期内，按照有关法律规定和合同约定，承担工程质量保修责任。</w:t>
      </w:r>
    </w:p>
    <w:p>
      <w:pPr>
        <w:spacing w:line="360" w:lineRule="auto"/>
        <w:ind w:firstLine="420"/>
        <w:rPr>
          <w:rFonts w:hAnsi="宋体"/>
          <w:color w:val="auto"/>
          <w:highlight w:val="none"/>
        </w:rPr>
      </w:pPr>
      <w:r>
        <w:rPr>
          <w:rFonts w:hint="eastAsia" w:hAnsi="宋体" w:cs="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rPr>
          <w:rFonts w:hAnsi="宋体"/>
          <w:color w:val="auto"/>
          <w:highlight w:val="none"/>
        </w:rPr>
      </w:pPr>
      <w:r>
        <w:rPr>
          <w:color w:val="auto"/>
          <w:highlight w:val="none"/>
          <w:u w:val="single"/>
        </w:rPr>
        <w:t xml:space="preserve">                                                                                                                                                            </w:t>
      </w:r>
      <w:r>
        <w:rPr>
          <w:rFonts w:hint="eastAsia" w:hAnsi="宋体" w:cs="宋体"/>
          <w:color w:val="auto"/>
          <w:highlight w:val="none"/>
        </w:rPr>
        <w:t>。</w:t>
      </w:r>
    </w:p>
    <w:p>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二、质量保修期</w:t>
      </w:r>
    </w:p>
    <w:p>
      <w:pPr>
        <w:spacing w:line="360" w:lineRule="auto"/>
        <w:ind w:firstLine="420"/>
        <w:rPr>
          <w:rFonts w:hAnsi="宋体"/>
          <w:color w:val="auto"/>
          <w:highlight w:val="none"/>
        </w:rPr>
      </w:pPr>
      <w:r>
        <w:rPr>
          <w:rFonts w:hint="eastAsia" w:hAnsi="宋体" w:cs="宋体"/>
          <w:color w:val="auto"/>
          <w:highlight w:val="none"/>
        </w:rPr>
        <w:t>根据《建设工程质量管理条例》及有关规定，工程的质量保修期如下：</w:t>
      </w:r>
    </w:p>
    <w:p>
      <w:pPr>
        <w:spacing w:line="360" w:lineRule="auto"/>
        <w:ind w:firstLine="420"/>
        <w:rPr>
          <w:rFonts w:hAnsi="宋体"/>
          <w:color w:val="auto"/>
          <w:highlight w:val="none"/>
        </w:rPr>
      </w:pPr>
      <w:r>
        <w:rPr>
          <w:color w:val="auto"/>
          <w:highlight w:val="none"/>
        </w:rPr>
        <w:t>1</w:t>
      </w:r>
      <w:r>
        <w:rPr>
          <w:rFonts w:hint="eastAsia" w:hAnsi="宋体" w:cs="宋体"/>
          <w:color w:val="auto"/>
          <w:highlight w:val="none"/>
        </w:rPr>
        <w:t>．地基基础工程和主体结构工程为设计文件规定的工程合理使用年限；</w:t>
      </w:r>
    </w:p>
    <w:p>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．屋面防水工程、有防水要求的卫生间、房间和外墙面的防渗为</w:t>
      </w:r>
      <w:r>
        <w:rPr>
          <w:color w:val="auto"/>
          <w:highlight w:val="none"/>
          <w:u w:val="single"/>
        </w:rPr>
        <w:t xml:space="preserve">        </w:t>
      </w:r>
      <w:r>
        <w:rPr>
          <w:rFonts w:hint="eastAsia" w:hAnsi="宋体" w:cs="宋体"/>
          <w:color w:val="auto"/>
          <w:highlight w:val="none"/>
        </w:rPr>
        <w:t>年；</w:t>
      </w:r>
    </w:p>
    <w:p>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．装修工程为</w:t>
      </w:r>
      <w:r>
        <w:rPr>
          <w:color w:val="auto"/>
          <w:highlight w:val="none"/>
          <w:u w:val="single"/>
        </w:rPr>
        <w:t xml:space="preserve">         </w:t>
      </w:r>
      <w:r>
        <w:rPr>
          <w:rFonts w:hint="eastAsia" w:hAnsi="宋体" w:cs="宋体"/>
          <w:color w:val="auto"/>
          <w:highlight w:val="none"/>
        </w:rPr>
        <w:t>年；</w:t>
      </w:r>
    </w:p>
    <w:p>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．电气管线、给排水管道、设备安装工程为</w:t>
      </w:r>
      <w:r>
        <w:rPr>
          <w:color w:val="auto"/>
          <w:highlight w:val="none"/>
          <w:u w:val="single"/>
        </w:rPr>
        <w:t xml:space="preserve">         </w:t>
      </w:r>
      <w:r>
        <w:rPr>
          <w:rFonts w:hint="eastAsia" w:hAnsi="宋体" w:cs="宋体"/>
          <w:color w:val="auto"/>
          <w:highlight w:val="none"/>
        </w:rPr>
        <w:t>年；</w:t>
      </w:r>
    </w:p>
    <w:p>
      <w:pPr>
        <w:spacing w:line="360" w:lineRule="auto"/>
        <w:ind w:firstLine="420"/>
        <w:rPr>
          <w:rFonts w:hAnsi="宋体"/>
          <w:color w:val="auto"/>
          <w:highlight w:val="none"/>
        </w:rPr>
      </w:pPr>
      <w:r>
        <w:rPr>
          <w:color w:val="auto"/>
          <w:highlight w:val="none"/>
        </w:rPr>
        <w:t>5</w:t>
      </w:r>
      <w:r>
        <w:rPr>
          <w:rFonts w:hint="eastAsia" w:hAnsi="宋体" w:cs="宋体"/>
          <w:color w:val="auto"/>
          <w:highlight w:val="none"/>
        </w:rPr>
        <w:t>．供热与供冷系统为</w:t>
      </w:r>
      <w:r>
        <w:rPr>
          <w:color w:val="auto"/>
          <w:highlight w:val="none"/>
          <w:u w:val="single"/>
        </w:rPr>
        <w:t xml:space="preserve">         </w:t>
      </w:r>
      <w:r>
        <w:rPr>
          <w:rFonts w:hint="eastAsia" w:hAnsi="宋体" w:cs="宋体"/>
          <w:color w:val="auto"/>
          <w:highlight w:val="none"/>
        </w:rPr>
        <w:t>个采暖期、供冷期；</w:t>
      </w:r>
    </w:p>
    <w:p>
      <w:pPr>
        <w:spacing w:line="360" w:lineRule="auto"/>
        <w:ind w:firstLine="420"/>
        <w:rPr>
          <w:rFonts w:hAnsi="宋体"/>
          <w:color w:val="auto"/>
          <w:highlight w:val="none"/>
        </w:rPr>
      </w:pPr>
      <w:r>
        <w:rPr>
          <w:color w:val="auto"/>
          <w:highlight w:val="none"/>
        </w:rPr>
        <w:t>6</w:t>
      </w:r>
      <w:r>
        <w:rPr>
          <w:rFonts w:hint="eastAsia" w:hAnsi="宋体" w:cs="宋体"/>
          <w:color w:val="auto"/>
          <w:highlight w:val="none"/>
        </w:rPr>
        <w:t>．住宅小区内的给排水设施、道路等配套工程为</w:t>
      </w:r>
      <w:r>
        <w:rPr>
          <w:color w:val="auto"/>
          <w:highlight w:val="none"/>
          <w:u w:val="single"/>
        </w:rPr>
        <w:t xml:space="preserve">         </w:t>
      </w:r>
      <w:r>
        <w:rPr>
          <w:rFonts w:hint="eastAsia" w:hAnsi="宋体" w:cs="宋体"/>
          <w:color w:val="auto"/>
          <w:highlight w:val="none"/>
        </w:rPr>
        <w:t>年；</w:t>
      </w:r>
    </w:p>
    <w:p>
      <w:pPr>
        <w:spacing w:line="360" w:lineRule="auto"/>
        <w:ind w:firstLine="420"/>
        <w:rPr>
          <w:rFonts w:hAnsi="宋体"/>
          <w:color w:val="auto"/>
          <w:highlight w:val="none"/>
        </w:rPr>
      </w:pPr>
      <w:r>
        <w:rPr>
          <w:color w:val="auto"/>
          <w:highlight w:val="none"/>
        </w:rPr>
        <w:t>7</w:t>
      </w:r>
      <w:r>
        <w:rPr>
          <w:rFonts w:hint="eastAsia" w:hAnsi="宋体" w:cs="宋体"/>
          <w:color w:val="auto"/>
          <w:highlight w:val="none"/>
        </w:rPr>
        <w:t>．其他项目保修期限约定如下：</w:t>
      </w:r>
    </w:p>
    <w:p>
      <w:pPr>
        <w:spacing w:line="360" w:lineRule="auto"/>
        <w:ind w:firstLine="420"/>
        <w:rPr>
          <w:rFonts w:hAnsi="宋体"/>
          <w:color w:val="auto"/>
          <w:highlight w:val="none"/>
        </w:rPr>
      </w:pPr>
      <w:r>
        <w:rPr>
          <w:color w:val="auto"/>
          <w:highlight w:val="none"/>
          <w:u w:val="single"/>
        </w:rPr>
        <w:t xml:space="preserve">     </w:t>
      </w:r>
      <w:r>
        <w:rPr>
          <w:rFonts w:hint="eastAsia"/>
          <w:color w:val="auto"/>
          <w:highlight w:val="none"/>
          <w:u w:val="single"/>
          <w:lang w:val="en-US" w:eastAsia="zh-CN"/>
        </w:rPr>
        <w:t>保修期壹年</w:t>
      </w:r>
      <w:r>
        <w:rPr>
          <w:color w:val="auto"/>
          <w:highlight w:val="none"/>
          <w:u w:val="single"/>
        </w:rPr>
        <w:t xml:space="preserve">            </w:t>
      </w:r>
      <w:r>
        <w:rPr>
          <w:rFonts w:hint="eastAsia" w:hAnsi="宋体" w:cs="宋体"/>
          <w:color w:val="auto"/>
          <w:highlight w:val="none"/>
        </w:rPr>
        <w:t>。</w:t>
      </w:r>
    </w:p>
    <w:p>
      <w:pPr>
        <w:spacing w:line="360" w:lineRule="auto"/>
        <w:ind w:firstLine="420"/>
        <w:rPr>
          <w:rFonts w:hAnsi="宋体"/>
          <w:color w:val="auto"/>
          <w:highlight w:val="none"/>
        </w:rPr>
      </w:pPr>
      <w:r>
        <w:rPr>
          <w:rFonts w:hint="eastAsia" w:hAnsi="宋体" w:cs="宋体"/>
          <w:color w:val="auto"/>
          <w:highlight w:val="none"/>
        </w:rPr>
        <w:t>质量保修期自工程竣工验收合格之日起计算。</w:t>
      </w:r>
    </w:p>
    <w:p>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三、缺陷责任期</w:t>
      </w:r>
    </w:p>
    <w:p>
      <w:pPr>
        <w:spacing w:line="360" w:lineRule="auto"/>
        <w:ind w:firstLine="420"/>
        <w:rPr>
          <w:rFonts w:hAnsi="宋体"/>
          <w:color w:val="auto"/>
          <w:highlight w:val="none"/>
        </w:rPr>
      </w:pPr>
      <w:r>
        <w:rPr>
          <w:rFonts w:hint="eastAsia" w:hAnsi="宋体" w:cs="宋体"/>
          <w:color w:val="auto"/>
          <w:highlight w:val="none"/>
        </w:rPr>
        <w:t>工程缺陷责任期为</w:t>
      </w:r>
      <w:r>
        <w:rPr>
          <w:color w:val="auto"/>
          <w:highlight w:val="none"/>
          <w:u w:val="single"/>
        </w:rPr>
        <w:t xml:space="preserve">         </w:t>
      </w:r>
      <w:r>
        <w:rPr>
          <w:rFonts w:hint="eastAsia" w:hAnsi="宋体" w:cs="宋体"/>
          <w:color w:val="auto"/>
          <w:highlight w:val="none"/>
        </w:rPr>
        <w:t>个月（最长不超过</w:t>
      </w:r>
      <w:r>
        <w:rPr>
          <w:rFonts w:hAnsi="宋体"/>
          <w:color w:val="auto"/>
          <w:highlight w:val="none"/>
        </w:rPr>
        <w:t>24</w:t>
      </w:r>
      <w:r>
        <w:rPr>
          <w:rFonts w:hint="eastAsia" w:hAnsi="宋体" w:cs="宋体"/>
          <w:color w:val="auto"/>
          <w:highlight w:val="none"/>
        </w:rPr>
        <w:t>个月），缺陷责任期自工程竣工验收合格之日起计算。单位工程先于全部工程进行验收，单位工程缺陷责任期自单位工程验收合格之日起算。</w:t>
      </w:r>
    </w:p>
    <w:p>
      <w:pPr>
        <w:spacing w:line="360" w:lineRule="auto"/>
        <w:ind w:firstLine="420"/>
        <w:rPr>
          <w:rFonts w:hAnsi="宋体"/>
          <w:color w:val="auto"/>
          <w:highlight w:val="none"/>
        </w:rPr>
      </w:pPr>
      <w:r>
        <w:rPr>
          <w:rFonts w:hint="eastAsia" w:hAnsi="宋体" w:cs="宋体"/>
          <w:color w:val="auto"/>
          <w:highlight w:val="none"/>
        </w:rPr>
        <w:t>缺陷责任期</w:t>
      </w:r>
      <w:r>
        <w:rPr>
          <w:rFonts w:hint="eastAsia" w:hAnsi="宋体" w:cs="宋体"/>
          <w:color w:val="auto"/>
          <w:highlight w:val="none"/>
          <w:u w:val="single"/>
        </w:rPr>
        <w:t>满</w:t>
      </w:r>
      <w:r>
        <w:rPr>
          <w:rFonts w:hint="eastAsia" w:ascii="仿宋_GB2312" w:hAnsi="宋体"/>
          <w:color w:val="auto"/>
          <w:highlight w:val="none"/>
        </w:rPr>
        <w:t>之日起</w:t>
      </w:r>
      <w:r>
        <w:rPr>
          <w:rFonts w:hint="eastAsia" w:ascii="仿宋_GB2312" w:hAnsi="宋体"/>
          <w:color w:val="auto"/>
          <w:highlight w:val="none"/>
          <w:u w:val="single"/>
        </w:rPr>
        <w:t xml:space="preserve"> </w:t>
      </w:r>
      <w:r>
        <w:rPr>
          <w:rFonts w:ascii="仿宋_GB2312" w:hAnsi="宋体"/>
          <w:color w:val="auto"/>
          <w:highlight w:val="none"/>
          <w:u w:val="single"/>
        </w:rPr>
        <w:t xml:space="preserve">  </w:t>
      </w:r>
      <w:r>
        <w:rPr>
          <w:rFonts w:hint="eastAsia" w:ascii="仿宋_GB2312" w:hAnsi="宋体"/>
          <w:color w:val="auto"/>
          <w:highlight w:val="none"/>
          <w:u w:val="single"/>
        </w:rPr>
        <w:t xml:space="preserve">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hAnsi="宋体" w:cs="宋体"/>
          <w:color w:val="auto"/>
          <w:highlight w:val="none"/>
        </w:rPr>
        <w:t>发包人应退还剩余的质量保证金。</w:t>
      </w:r>
    </w:p>
    <w:p>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四、质量保修责任</w:t>
      </w:r>
    </w:p>
    <w:p>
      <w:pPr>
        <w:spacing w:line="360" w:lineRule="auto"/>
        <w:ind w:left="105" w:leftChars="50" w:firstLine="430" w:firstLineChars="205"/>
        <w:rPr>
          <w:rFonts w:hAnsi="宋体"/>
          <w:color w:val="auto"/>
          <w:highlight w:val="none"/>
        </w:rPr>
      </w:pPr>
      <w:r>
        <w:rPr>
          <w:color w:val="auto"/>
          <w:highlight w:val="none"/>
        </w:rPr>
        <w:t>1</w:t>
      </w:r>
      <w:r>
        <w:rPr>
          <w:rFonts w:hint="eastAsia" w:hAnsi="宋体" w:cs="宋体"/>
          <w:color w:val="auto"/>
          <w:highlight w:val="none"/>
        </w:rPr>
        <w:t>．属于保修范围、内容的项目，承包人应当在接到保修通知之日起</w:t>
      </w:r>
      <w:r>
        <w:rPr>
          <w:color w:val="auto"/>
          <w:highlight w:val="none"/>
          <w:u w:val="single"/>
        </w:rPr>
        <w:t xml:space="preserve">      </w:t>
      </w:r>
      <w:r>
        <w:rPr>
          <w:rFonts w:hint="eastAsia" w:hAnsi="宋体" w:cs="宋体"/>
          <w:color w:val="auto"/>
          <w:highlight w:val="none"/>
        </w:rPr>
        <w:t>天内派人保修。承包人不在约定期限内派人保修的，发包人可以委托他人修理，修理费用从质量保证金内扣除。</w:t>
      </w:r>
    </w:p>
    <w:p>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．发生紧急事故需抢修的，承包人在接到事故通知后，应当立即到达事故现场抢修。</w:t>
      </w:r>
    </w:p>
    <w:p>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．质量保修完成后，由发包人组织验收。</w:t>
      </w:r>
    </w:p>
    <w:p>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五、保修费用</w:t>
      </w:r>
    </w:p>
    <w:p>
      <w:pPr>
        <w:tabs>
          <w:tab w:val="left" w:pos="7380"/>
        </w:tabs>
        <w:spacing w:line="360" w:lineRule="auto"/>
        <w:ind w:firstLine="420"/>
        <w:rPr>
          <w:rFonts w:hAnsi="宋体"/>
          <w:color w:val="auto"/>
          <w:highlight w:val="none"/>
        </w:rPr>
      </w:pPr>
      <w:r>
        <w:rPr>
          <w:rFonts w:hint="eastAsia" w:hAnsi="宋体" w:cs="宋体"/>
          <w:color w:val="auto"/>
          <w:highlight w:val="none"/>
        </w:rPr>
        <w:t>保修费用由造成质量缺陷的责任方承担。</w:t>
      </w:r>
    </w:p>
    <w:p>
      <w:pPr>
        <w:spacing w:line="360" w:lineRule="auto"/>
        <w:ind w:firstLine="420"/>
        <w:rPr>
          <w:rFonts w:ascii="黑体" w:hAnsi="宋体" w:eastAsia="黑体" w:cs="黑体"/>
          <w:color w:val="auto"/>
          <w:highlight w:val="non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rPr>
        <w:t xml:space="preserve"> </w:t>
      </w:r>
    </w:p>
    <w:p>
      <w:pPr>
        <w:spacing w:line="360" w:lineRule="auto"/>
        <w:ind w:firstLine="420" w:firstLineChars="200"/>
        <w:jc w:val="left"/>
        <w:rPr>
          <w:color w:val="auto"/>
          <w:highlight w:val="none"/>
        </w:rPr>
      </w:pPr>
      <w:r>
        <w:rPr>
          <w:color w:val="auto"/>
          <w:highlight w:val="none"/>
          <w:u w:val="single"/>
        </w:rPr>
        <w:t xml:space="preserve">                                                                                                                                                             </w:t>
      </w:r>
      <w:r>
        <w:rPr>
          <w:rFonts w:hint="eastAsia" w:hAnsi="宋体" w:cs="宋体"/>
          <w:color w:val="auto"/>
          <w:highlight w:val="none"/>
        </w:rPr>
        <w:t>。</w:t>
      </w:r>
    </w:p>
    <w:p>
      <w:pPr>
        <w:spacing w:line="360" w:lineRule="auto"/>
        <w:ind w:firstLine="399" w:firstLineChars="190"/>
        <w:rPr>
          <w:color w:val="auto"/>
          <w:highlight w:val="none"/>
        </w:rPr>
      </w:pPr>
      <w:r>
        <w:rPr>
          <w:rFonts w:hint="eastAsia" w:hAnsi="宋体" w:cs="宋体"/>
          <w:color w:val="auto"/>
          <w:highlight w:val="none"/>
        </w:rPr>
        <w:t>工程质量保修书由发包人、承包人在工程竣工验收前共同签署，作为施工合同附件，其有效期限至保修期满。</w:t>
      </w:r>
    </w:p>
    <w:p>
      <w:pPr>
        <w:spacing w:line="360" w:lineRule="auto"/>
        <w:ind w:firstLine="420"/>
        <w:rPr>
          <w:color w:val="auto"/>
          <w:highlight w:val="none"/>
        </w:rPr>
      </w:pPr>
    </w:p>
    <w:p>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tabs>
          <w:tab w:val="left" w:pos="7200"/>
          <w:tab w:val="left" w:pos="7380"/>
          <w:tab w:val="left" w:pos="7560"/>
        </w:tabs>
        <w:spacing w:line="360" w:lineRule="auto"/>
        <w:rPr>
          <w:rFonts w:hint="eastAsia" w:ascii="宋体" w:hAnsi="Courier New"/>
          <w:b/>
          <w:color w:val="auto"/>
          <w:sz w:val="32"/>
          <w:szCs w:val="32"/>
          <w:highlight w:val="non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pStyle w:val="4"/>
        <w:rPr>
          <w:rFonts w:hint="eastAsia" w:ascii="宋体" w:hAnsi="Courier New"/>
          <w:b/>
          <w:color w:val="auto"/>
          <w:sz w:val="32"/>
          <w:szCs w:val="32"/>
          <w:highlight w:val="none"/>
        </w:rPr>
      </w:pPr>
    </w:p>
    <w:p>
      <w:pPr>
        <w:rPr>
          <w:rFonts w:hint="eastAsia" w:ascii="宋体" w:hAnsi="Courier New"/>
          <w:b/>
          <w:color w:val="auto"/>
          <w:sz w:val="32"/>
          <w:szCs w:val="32"/>
          <w:highlight w:val="none"/>
        </w:rPr>
      </w:pPr>
    </w:p>
    <w:p>
      <w:pPr>
        <w:pStyle w:val="2"/>
        <w:rPr>
          <w:rFonts w:hint="eastAsia"/>
          <w:color w:val="auto"/>
          <w:highlight w:val="none"/>
        </w:rPr>
      </w:pPr>
    </w:p>
    <w:p>
      <w:pPr>
        <w:spacing w:line="360" w:lineRule="auto"/>
        <w:rPr>
          <w:rFonts w:hint="eastAsia" w:ascii="宋体" w:hAnsi="Courier New"/>
          <w:b/>
          <w:color w:val="auto"/>
          <w:sz w:val="32"/>
          <w:szCs w:val="32"/>
          <w:highlight w:val="none"/>
        </w:rPr>
      </w:pPr>
    </w:p>
    <w:p>
      <w:pPr>
        <w:pStyle w:val="2"/>
        <w:rPr>
          <w:rFonts w:hint="eastAsia"/>
          <w:color w:val="auto"/>
          <w:highlight w:val="none"/>
        </w:rPr>
      </w:pPr>
    </w:p>
    <w:p>
      <w:pPr>
        <w:spacing w:line="360" w:lineRule="auto"/>
        <w:ind w:firstLine="3855" w:firstLineChars="1200"/>
        <w:rPr>
          <w:rFonts w:hint="eastAsia" w:ascii="宋体" w:hAnsi="Courier New"/>
          <w:b/>
          <w:color w:val="auto"/>
          <w:sz w:val="32"/>
          <w:szCs w:val="32"/>
          <w:highlight w:val="none"/>
        </w:rPr>
      </w:pPr>
      <w:r>
        <w:rPr>
          <w:rFonts w:hint="eastAsia" w:ascii="宋体" w:hAnsi="Courier New"/>
          <w:b/>
          <w:color w:val="auto"/>
          <w:sz w:val="32"/>
          <w:szCs w:val="32"/>
          <w:highlight w:val="none"/>
        </w:rPr>
        <w:t>承 诺 书</w:t>
      </w:r>
    </w:p>
    <w:p>
      <w:pPr>
        <w:spacing w:line="360" w:lineRule="auto"/>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b/>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（业主单位）</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我单位承建的贵单位</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b/>
          <w:color w:val="auto"/>
          <w:szCs w:val="21"/>
          <w:highlight w:val="none"/>
          <w:u w:val="single"/>
        </w:rPr>
        <w:t xml:space="preserve"> </w:t>
      </w:r>
      <w:r>
        <w:rPr>
          <w:rFonts w:hint="eastAsia" w:ascii="宋体" w:hAnsi="宋体"/>
          <w:color w:val="auto"/>
          <w:szCs w:val="21"/>
          <w:highlight w:val="none"/>
        </w:rPr>
        <w:t>项目。为了贯彻执行国家及地方相关法律法规，保证该项目顺利实施，保障工人权益不受侵害，稳定社会秩序。现向贵单位（局）做出如下承诺：</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一、确保工人工资优先到位，并有序、安全进退场；按时结算材料商货款。确保工人及材料商不影响发包人正常工作及社会安定。</w:t>
      </w:r>
    </w:p>
    <w:p>
      <w:pPr>
        <w:spacing w:line="360" w:lineRule="auto"/>
        <w:ind w:left="143" w:leftChars="68" w:firstLine="420" w:firstLineChars="200"/>
        <w:rPr>
          <w:rFonts w:hint="eastAsia" w:ascii="宋体" w:hAnsi="宋体"/>
          <w:color w:val="auto"/>
          <w:szCs w:val="21"/>
          <w:highlight w:val="none"/>
        </w:rPr>
      </w:pPr>
      <w:r>
        <w:rPr>
          <w:rFonts w:hint="eastAsia" w:ascii="宋体" w:hAnsi="宋体"/>
          <w:color w:val="auto"/>
          <w:szCs w:val="21"/>
          <w:highlight w:val="none"/>
        </w:rPr>
        <w:t>二、保证按时足额支付工人工资，并不得以贵单位未支付工程款或与贵单位在合同履行中产生的任何纠纷作为拖欠工人工资的理由，如因拖欠工资产生纠纷，一切后果均由我单位承担，并接受相关部门的相应处罚。</w:t>
      </w:r>
    </w:p>
    <w:p>
      <w:pPr>
        <w:spacing w:line="360" w:lineRule="auto"/>
        <w:ind w:left="563" w:leftChars="268"/>
        <w:rPr>
          <w:rFonts w:hint="eastAsia" w:ascii="宋体" w:hAnsi="宋体"/>
          <w:color w:val="auto"/>
          <w:szCs w:val="21"/>
          <w:highlight w:val="none"/>
        </w:rPr>
      </w:pPr>
      <w:r>
        <w:rPr>
          <w:rFonts w:hint="eastAsia" w:ascii="宋体" w:hAnsi="宋体"/>
          <w:color w:val="auto"/>
          <w:szCs w:val="21"/>
          <w:highlight w:val="none"/>
        </w:rPr>
        <w:t>三、在整个工资发放过程中，我单位将责成现场项目经理全面承担督办所有工人工资发放到位工作，四、如项目经理未能有效完成，造成贵单位（局）不良影响的，项目经理将与我单位承担连带责任。</w:t>
      </w:r>
    </w:p>
    <w:p>
      <w:pPr>
        <w:spacing w:line="360" w:lineRule="auto"/>
        <w:ind w:left="-141" w:leftChars="-67"/>
        <w:rPr>
          <w:rFonts w:hint="eastAsia" w:ascii="宋体" w:hAnsi="宋体"/>
          <w:color w:val="auto"/>
          <w:szCs w:val="21"/>
          <w:highlight w:val="none"/>
        </w:rPr>
      </w:pPr>
      <w:r>
        <w:rPr>
          <w:rFonts w:hint="eastAsia" w:ascii="宋体" w:hAnsi="宋体"/>
          <w:color w:val="auto"/>
          <w:szCs w:val="21"/>
          <w:highlight w:val="none"/>
        </w:rPr>
        <w:t xml:space="preserve">    　五、如我单位违反上述承诺，造成下列情形之一的，我方将承担全部责任，并同意在决算时按工程款总额下浮</w:t>
      </w:r>
      <w:r>
        <w:rPr>
          <w:rFonts w:hint="eastAsia" w:ascii="宋体" w:hAnsi="宋体"/>
          <w:color w:val="auto"/>
          <w:szCs w:val="21"/>
          <w:highlight w:val="none"/>
          <w:u w:val="single"/>
        </w:rPr>
        <w:t xml:space="preserve"> 5% </w:t>
      </w:r>
      <w:r>
        <w:rPr>
          <w:rFonts w:hint="eastAsia" w:ascii="宋体" w:hAnsi="宋体"/>
          <w:color w:val="auto"/>
          <w:szCs w:val="21"/>
          <w:highlight w:val="none"/>
        </w:rPr>
        <w:t>作为我方对贵单位（局）的赔偿。</w:t>
      </w:r>
    </w:p>
    <w:p>
      <w:pPr>
        <w:numPr>
          <w:ilvl w:val="1"/>
          <w:numId w:val="4"/>
        </w:numPr>
        <w:spacing w:line="360" w:lineRule="auto"/>
        <w:rPr>
          <w:rFonts w:hint="eastAsia" w:ascii="宋体" w:hAnsi="宋体"/>
          <w:color w:val="auto"/>
          <w:szCs w:val="21"/>
          <w:highlight w:val="none"/>
        </w:rPr>
      </w:pPr>
      <w:r>
        <w:rPr>
          <w:rFonts w:hint="eastAsia" w:ascii="宋体" w:hAnsi="宋体"/>
          <w:color w:val="auto"/>
          <w:szCs w:val="21"/>
          <w:highlight w:val="none"/>
        </w:rPr>
        <w:t>贵单位（局）被政府部门通报批评、处罚或责成贵公司支付工人工资的；</w:t>
      </w:r>
    </w:p>
    <w:p>
      <w:pPr>
        <w:numPr>
          <w:ilvl w:val="1"/>
          <w:numId w:val="4"/>
        </w:numPr>
        <w:spacing w:line="360" w:lineRule="auto"/>
        <w:rPr>
          <w:rFonts w:hint="eastAsia" w:ascii="宋体" w:hAnsi="宋体"/>
          <w:color w:val="auto"/>
          <w:szCs w:val="21"/>
          <w:highlight w:val="none"/>
        </w:rPr>
      </w:pPr>
      <w:r>
        <w:rPr>
          <w:rFonts w:hint="eastAsia" w:ascii="宋体" w:hAnsi="宋体"/>
          <w:color w:val="auto"/>
          <w:szCs w:val="21"/>
          <w:highlight w:val="none"/>
        </w:rPr>
        <w:t>在各种报纸、电视、广播、网络等媒体上被刊登或播放的；</w:t>
      </w:r>
    </w:p>
    <w:p>
      <w:pPr>
        <w:numPr>
          <w:ilvl w:val="1"/>
          <w:numId w:val="4"/>
        </w:numPr>
        <w:spacing w:line="360" w:lineRule="auto"/>
        <w:rPr>
          <w:rFonts w:hint="eastAsia" w:ascii="宋体" w:hAnsi="宋体"/>
          <w:color w:val="auto"/>
          <w:szCs w:val="21"/>
          <w:highlight w:val="none"/>
        </w:rPr>
      </w:pPr>
      <w:r>
        <w:rPr>
          <w:rFonts w:hint="eastAsia" w:ascii="宋体" w:hAnsi="宋体"/>
          <w:color w:val="auto"/>
          <w:szCs w:val="21"/>
          <w:highlight w:val="none"/>
        </w:rPr>
        <w:t>工人至贵单位（局）办公场所逗留，影响正常工作秩序的；</w:t>
      </w:r>
    </w:p>
    <w:p>
      <w:pPr>
        <w:numPr>
          <w:ilvl w:val="1"/>
          <w:numId w:val="4"/>
        </w:numPr>
        <w:spacing w:line="360" w:lineRule="auto"/>
        <w:rPr>
          <w:rFonts w:hint="eastAsia" w:ascii="宋体" w:hAnsi="宋体"/>
          <w:color w:val="auto"/>
          <w:szCs w:val="21"/>
          <w:highlight w:val="none"/>
        </w:rPr>
      </w:pPr>
      <w:r>
        <w:rPr>
          <w:rFonts w:hint="eastAsia" w:ascii="宋体" w:hAnsi="宋体"/>
          <w:color w:val="auto"/>
          <w:szCs w:val="21"/>
          <w:highlight w:val="none"/>
        </w:rPr>
        <w:t>其他情形对贵单位（局）造成不良影响的。</w:t>
      </w:r>
    </w:p>
    <w:p>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同时如贵单位（局）为消除影响，向工人支付工资的，我单位将按照支付的工资数额的双倍返还贵单位（局），贵单位（局）有权直接在后续支付的工程款中予以扣除，我方对此无任何异议。</w:t>
      </w:r>
    </w:p>
    <w:p>
      <w:pPr>
        <w:spacing w:line="360" w:lineRule="auto"/>
        <w:ind w:left="780"/>
        <w:rPr>
          <w:rFonts w:hint="eastAsia" w:ascii="宋体" w:hAnsi="宋体"/>
          <w:color w:val="auto"/>
          <w:szCs w:val="21"/>
          <w:highlight w:val="none"/>
        </w:rPr>
      </w:pPr>
    </w:p>
    <w:p>
      <w:pPr>
        <w:spacing w:line="360" w:lineRule="auto"/>
        <w:ind w:left="780"/>
        <w:rPr>
          <w:rFonts w:hint="eastAsia" w:ascii="宋体" w:hAnsi="宋体"/>
          <w:color w:val="auto"/>
          <w:szCs w:val="21"/>
          <w:highlight w:val="none"/>
        </w:rPr>
      </w:pPr>
      <w:r>
        <w:rPr>
          <w:rFonts w:hint="eastAsia" w:ascii="宋体" w:hAnsi="宋体"/>
          <w:color w:val="auto"/>
          <w:szCs w:val="21"/>
          <w:highlight w:val="none"/>
        </w:rPr>
        <w:t>特此承诺！</w:t>
      </w:r>
    </w:p>
    <w:p>
      <w:pPr>
        <w:spacing w:line="360" w:lineRule="auto"/>
        <w:ind w:left="780"/>
        <w:jc w:val="right"/>
        <w:rPr>
          <w:rFonts w:hint="eastAsia" w:ascii="宋体" w:hAnsi="宋体"/>
          <w:color w:val="auto"/>
          <w:szCs w:val="21"/>
          <w:highlight w:val="none"/>
        </w:rPr>
      </w:pPr>
    </w:p>
    <w:p>
      <w:pPr>
        <w:spacing w:line="360" w:lineRule="auto"/>
        <w:ind w:right="840" w:firstLine="3490" w:firstLineChars="1662"/>
        <w:rPr>
          <w:rFonts w:hint="eastAsia" w:ascii="宋体" w:hAnsi="宋体"/>
          <w:color w:val="auto"/>
          <w:szCs w:val="21"/>
          <w:highlight w:val="none"/>
        </w:rPr>
      </w:pPr>
      <w:r>
        <w:rPr>
          <w:rFonts w:hint="eastAsia" w:ascii="宋体" w:hAnsi="宋体"/>
          <w:color w:val="auto"/>
          <w:szCs w:val="21"/>
          <w:highlight w:val="none"/>
        </w:rPr>
        <w:t>承诺单位：（签章）</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 </w:t>
      </w:r>
    </w:p>
    <w:p>
      <w:pPr>
        <w:spacing w:line="360" w:lineRule="auto"/>
        <w:ind w:right="1260" w:firstLine="3490" w:firstLineChars="1662"/>
        <w:rPr>
          <w:rFonts w:hint="eastAsia" w:ascii="宋体" w:hAnsi="宋体"/>
          <w:color w:val="auto"/>
          <w:szCs w:val="21"/>
          <w:highlight w:val="none"/>
        </w:rPr>
      </w:pPr>
      <w:r>
        <w:rPr>
          <w:rFonts w:hint="eastAsia" w:ascii="宋体" w:hAnsi="宋体"/>
          <w:color w:val="auto"/>
          <w:szCs w:val="21"/>
          <w:highlight w:val="none"/>
        </w:rPr>
        <w:t>法定代表人或委托人签字：</w:t>
      </w:r>
    </w:p>
    <w:p>
      <w:pPr>
        <w:pStyle w:val="28"/>
        <w:tabs>
          <w:tab w:val="left" w:pos="7200"/>
          <w:tab w:val="left" w:pos="7380"/>
          <w:tab w:val="left" w:pos="7560"/>
        </w:tabs>
        <w:spacing w:line="360" w:lineRule="auto"/>
        <w:jc w:val="right"/>
        <w:rPr>
          <w:color w:val="auto"/>
          <w:szCs w:val="21"/>
          <w:highlight w:val="none"/>
        </w:rPr>
      </w:pPr>
      <w:r>
        <w:rPr>
          <w:rFonts w:hint="eastAsia" w:ascii="宋体" w:hAnsi="宋体"/>
          <w:color w:val="auto"/>
          <w:szCs w:val="21"/>
          <w:highlight w:val="none"/>
        </w:rPr>
        <w:t>日 期：</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pPr>
        <w:spacing w:line="360" w:lineRule="exact"/>
        <w:ind w:left="-6" w:firstLine="2310" w:firstLineChars="1100"/>
        <w:rPr>
          <w:color w:val="auto"/>
          <w:highlight w:val="none"/>
        </w:rPr>
      </w:pPr>
      <w:bookmarkStart w:id="422" w:name="_Toc407135283"/>
      <w:bookmarkStart w:id="423" w:name="_Toc358569763"/>
      <w:r>
        <w:rPr>
          <w:rFonts w:hint="eastAsia" w:cs="黑体"/>
          <w:color w:val="auto"/>
          <w:highlight w:val="none"/>
        </w:rPr>
        <w:br w:type="page"/>
      </w:r>
      <w:bookmarkStart w:id="424" w:name="_Toc30030"/>
      <w:r>
        <w:rPr>
          <w:rFonts w:hint="eastAsia" w:cs="黑体"/>
          <w:color w:val="auto"/>
          <w:highlight w:val="none"/>
          <w:lang w:val="en-US" w:eastAsia="zh-CN"/>
        </w:rPr>
        <w:t xml:space="preserve">           </w:t>
      </w:r>
      <w:r>
        <w:rPr>
          <w:rFonts w:hint="eastAsia"/>
          <w:b/>
          <w:bCs/>
          <w:color w:val="auto"/>
          <w:sz w:val="28"/>
          <w:szCs w:val="28"/>
          <w:highlight w:val="none"/>
        </w:rPr>
        <w:t>建设工程廉政责任书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发包人：</w:t>
      </w:r>
      <w:r>
        <w:rPr>
          <w:rFonts w:hint="eastAsia"/>
          <w:color w:val="auto"/>
          <w:szCs w:val="21"/>
          <w:highlight w:val="none"/>
          <w:u w:val="single"/>
          <w:lang w:eastAsia="zh-CN"/>
        </w:rPr>
        <w:t>北海市铁山港区南康镇人民政府</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00" w:lineRule="exact"/>
        <w:ind w:left="-6" w:firstLine="420" w:firstLineChars="200"/>
        <w:rPr>
          <w:rFonts w:ascii="宋体" w:hAnsi="宋体"/>
          <w:color w:val="auto"/>
          <w:szCs w:val="21"/>
          <w:highlight w:val="none"/>
          <w:u w:val="single"/>
        </w:rPr>
      </w:pPr>
      <w:r>
        <w:rPr>
          <w:rFonts w:ascii="宋体" w:hAnsi="宋体"/>
          <w:color w:val="auto"/>
          <w:szCs w:val="21"/>
          <w:highlight w:val="none"/>
        </w:rPr>
        <w:t>承包人：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300" w:lineRule="exact"/>
        <w:ind w:left="-6" w:firstLine="420" w:firstLineChars="200"/>
        <w:rPr>
          <w:rFonts w:ascii="宋体" w:hAnsi="宋体"/>
          <w:color w:val="auto"/>
          <w:szCs w:val="21"/>
          <w:highlight w:val="none"/>
        </w:rPr>
      </w:pPr>
      <w:r>
        <w:rPr>
          <w:rFonts w:hint="eastAsia" w:ascii="宋体" w:hAnsi="宋体"/>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00" w:lineRule="exact"/>
        <w:ind w:left="-6" w:firstLine="420" w:firstLineChars="200"/>
        <w:rPr>
          <w:rFonts w:ascii="宋体" w:hAnsi="宋体"/>
          <w:color w:val="auto"/>
          <w:szCs w:val="21"/>
          <w:highlight w:val="none"/>
        </w:rPr>
      </w:pPr>
      <w:r>
        <w:rPr>
          <w:rFonts w:hint="eastAsia" w:ascii="宋体" w:hAnsi="宋体"/>
          <w:color w:val="auto"/>
          <w:szCs w:val="21"/>
          <w:highlight w:val="none"/>
        </w:rPr>
        <w:t>一、双方的责任</w:t>
      </w:r>
    </w:p>
    <w:p>
      <w:pPr>
        <w:spacing w:line="300" w:lineRule="exact"/>
        <w:ind w:left="-6" w:firstLine="420" w:firstLineChars="200"/>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应严格遵守国家关于建设工程的有关法律、法规，相关政策，以及廉政建设的各项规定。</w:t>
      </w:r>
    </w:p>
    <w:p>
      <w:pPr>
        <w:spacing w:line="300" w:lineRule="exact"/>
        <w:ind w:left="-6" w:firstLine="420" w:firstLineChars="200"/>
        <w:rPr>
          <w:rFonts w:ascii="宋体" w:hAns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严格执行建设工程合同文件，自觉按合同办事。</w:t>
      </w:r>
    </w:p>
    <w:p>
      <w:pPr>
        <w:spacing w:line="300" w:lineRule="exact"/>
        <w:ind w:left="-6" w:firstLine="420" w:firstLineChars="200"/>
        <w:rPr>
          <w:rFonts w:ascii="宋体" w:hAnsi="宋体"/>
          <w:color w:val="auto"/>
          <w:szCs w:val="21"/>
          <w:highlight w:val="none"/>
        </w:rPr>
      </w:pPr>
      <w:r>
        <w:rPr>
          <w:rFonts w:ascii="宋体" w:hAnsi="宋体"/>
          <w:color w:val="auto"/>
          <w:szCs w:val="21"/>
          <w:highlight w:val="none"/>
        </w:rPr>
        <w:t>1.3</w:t>
      </w:r>
      <w:r>
        <w:rPr>
          <w:rFonts w:hint="eastAsia" w:ascii="宋体" w:hAnsi="宋体"/>
          <w:color w:val="auto"/>
          <w:szCs w:val="21"/>
          <w:highlight w:val="none"/>
        </w:rPr>
        <w:t>各项活动必须坚持公开、公平、公正、诚信、透明的原则（除法律法规另有规定者外），不得为获取不正当的利益，损害国家、集体和对方利益，不得违反建设工程管理的规章制度。</w:t>
      </w:r>
    </w:p>
    <w:p>
      <w:pPr>
        <w:spacing w:line="300" w:lineRule="exact"/>
        <w:ind w:left="-6" w:firstLine="420" w:firstLineChars="200"/>
        <w:rPr>
          <w:rFonts w:ascii="宋体" w:hAnsi="宋体"/>
          <w:color w:val="auto"/>
          <w:szCs w:val="21"/>
          <w:highlight w:val="none"/>
        </w:rPr>
      </w:pPr>
      <w:r>
        <w:rPr>
          <w:rFonts w:ascii="宋体" w:hAnsi="宋体"/>
          <w:color w:val="auto"/>
          <w:szCs w:val="21"/>
          <w:highlight w:val="none"/>
        </w:rPr>
        <w:t>1.4</w:t>
      </w:r>
      <w:r>
        <w:rPr>
          <w:rFonts w:hint="eastAsia" w:ascii="宋体" w:hAnsi="宋体"/>
          <w:color w:val="auto"/>
          <w:szCs w:val="21"/>
          <w:highlight w:val="none"/>
        </w:rPr>
        <w:t>发现对方在业务活动中有违规、违纪、违法行为的，应及时提醒对方，情节严重的，应向其上级主管部门或纪检监察、司法等有关机关举报。</w:t>
      </w:r>
    </w:p>
    <w:p>
      <w:pPr>
        <w:spacing w:line="300" w:lineRule="exact"/>
        <w:ind w:left="-6" w:firstLine="420" w:firstLineChars="200"/>
        <w:rPr>
          <w:rFonts w:ascii="宋体" w:hAnsi="宋体"/>
          <w:color w:val="auto"/>
          <w:szCs w:val="21"/>
          <w:highlight w:val="none"/>
        </w:rPr>
      </w:pPr>
      <w:r>
        <w:rPr>
          <w:rFonts w:hint="eastAsia" w:ascii="宋体" w:hAnsi="宋体"/>
          <w:color w:val="auto"/>
          <w:szCs w:val="21"/>
          <w:highlight w:val="none"/>
        </w:rPr>
        <w:t>二、发包人责任</w:t>
      </w:r>
    </w:p>
    <w:p>
      <w:pPr>
        <w:spacing w:line="300" w:lineRule="exact"/>
        <w:ind w:left="-6" w:firstLine="420" w:firstLineChars="200"/>
        <w:rPr>
          <w:rFonts w:ascii="宋体" w:hAnsi="宋体"/>
          <w:color w:val="auto"/>
          <w:szCs w:val="21"/>
          <w:highlight w:val="none"/>
        </w:rPr>
      </w:pPr>
      <w:r>
        <w:rPr>
          <w:rFonts w:hint="eastAsia" w:ascii="宋体" w:hAnsi="宋体"/>
          <w:color w:val="auto"/>
          <w:szCs w:val="21"/>
          <w:highlight w:val="none"/>
        </w:rPr>
        <w:t>发包人的领导和从事该建设工程项目的工作人员，在工程建设的事前、事中、事后应遵守以下规定：</w:t>
      </w:r>
    </w:p>
    <w:p>
      <w:pPr>
        <w:spacing w:line="300" w:lineRule="exact"/>
        <w:ind w:left="-6" w:firstLine="420" w:firstLineChars="200"/>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不得向承包人和相关单位索要或接受回扣、礼金、有价证券、贵重物品和好处费、感谢费等。</w:t>
      </w:r>
    </w:p>
    <w:p>
      <w:pPr>
        <w:spacing w:line="300" w:lineRule="exact"/>
        <w:ind w:left="-6" w:firstLine="420" w:firstLineChars="200"/>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不得在承包人和相关单位报销任何应由发包人或个人支付的费用。</w:t>
      </w:r>
    </w:p>
    <w:p>
      <w:pPr>
        <w:spacing w:line="300" w:lineRule="exact"/>
        <w:ind w:left="-6" w:firstLine="420" w:firstLineChars="200"/>
        <w:rPr>
          <w:rFonts w:ascii="宋体" w:hAnsi="宋体"/>
          <w:color w:val="auto"/>
          <w:szCs w:val="21"/>
          <w:highlight w:val="none"/>
        </w:rPr>
      </w:pPr>
      <w:r>
        <w:rPr>
          <w:rFonts w:ascii="宋体" w:hAnsi="宋体"/>
          <w:color w:val="auto"/>
          <w:szCs w:val="21"/>
          <w:highlight w:val="none"/>
        </w:rPr>
        <w:t>2.3</w:t>
      </w:r>
      <w:r>
        <w:rPr>
          <w:rFonts w:hint="eastAsia" w:ascii="宋体" w:hAnsi="宋体"/>
          <w:color w:val="auto"/>
          <w:szCs w:val="21"/>
          <w:highlight w:val="none"/>
        </w:rPr>
        <w:t>不得要求、暗示或接受承包人和相关单位为个人装修住房、婚丧嫁娶、配偶子女的工作安排以及出国（境）、旅游等提供方便。</w:t>
      </w:r>
    </w:p>
    <w:p>
      <w:pPr>
        <w:spacing w:line="300" w:lineRule="exact"/>
        <w:ind w:left="-6" w:firstLine="420" w:firstLineChars="200"/>
        <w:rPr>
          <w:rFonts w:ascii="宋体" w:hAnsi="宋体"/>
          <w:color w:val="auto"/>
          <w:szCs w:val="21"/>
          <w:highlight w:val="none"/>
        </w:rPr>
      </w:pPr>
      <w:r>
        <w:rPr>
          <w:rFonts w:ascii="宋体" w:hAnsi="宋体"/>
          <w:color w:val="auto"/>
          <w:szCs w:val="21"/>
          <w:highlight w:val="none"/>
        </w:rPr>
        <w:t>2.4</w:t>
      </w:r>
      <w:r>
        <w:rPr>
          <w:rFonts w:hint="eastAsia" w:ascii="宋体" w:hAnsi="宋体"/>
          <w:color w:val="auto"/>
          <w:szCs w:val="21"/>
          <w:highlight w:val="none"/>
        </w:rPr>
        <w:t>不得参加有可能影响公正执行公务的承包人和相关单位的宴请、健身、娱乐等活动。</w:t>
      </w:r>
    </w:p>
    <w:p>
      <w:pPr>
        <w:spacing w:line="300" w:lineRule="exact"/>
        <w:ind w:left="-6" w:firstLine="420" w:firstLineChars="200"/>
        <w:rPr>
          <w:rFonts w:ascii="宋体" w:hAnsi="宋体"/>
          <w:color w:val="auto"/>
          <w:szCs w:val="21"/>
          <w:highlight w:val="none"/>
        </w:rPr>
      </w:pPr>
      <w:r>
        <w:rPr>
          <w:rFonts w:ascii="宋体" w:hAnsi="宋体"/>
          <w:color w:val="auto"/>
          <w:szCs w:val="21"/>
          <w:highlight w:val="none"/>
        </w:rPr>
        <w:t>2.5</w:t>
      </w:r>
      <w:r>
        <w:rPr>
          <w:rFonts w:hint="eastAsia" w:ascii="宋体" w:hAnsi="宋体"/>
          <w:color w:val="auto"/>
          <w:szCs w:val="21"/>
          <w:highlight w:val="none"/>
        </w:rPr>
        <w:t>不得向承包人和相关单位介绍或为配偶、子女、亲属参与同发包人工程建设管理合同有关的业务活动；不得以任何理由要求承包人和相关单位使用某种产品、材料和设备。</w:t>
      </w:r>
    </w:p>
    <w:p>
      <w:pPr>
        <w:spacing w:line="300" w:lineRule="exact"/>
        <w:ind w:left="-6" w:firstLine="420" w:firstLineChars="200"/>
        <w:rPr>
          <w:rFonts w:ascii="宋体" w:hAnsi="宋体"/>
          <w:color w:val="auto"/>
          <w:szCs w:val="21"/>
          <w:highlight w:val="none"/>
        </w:rPr>
      </w:pPr>
      <w:r>
        <w:rPr>
          <w:rFonts w:hint="eastAsia" w:ascii="宋体" w:hAnsi="宋体"/>
          <w:color w:val="auto"/>
          <w:szCs w:val="21"/>
          <w:highlight w:val="none"/>
        </w:rPr>
        <w:t>三、承包人责任</w:t>
      </w:r>
    </w:p>
    <w:p>
      <w:pPr>
        <w:spacing w:line="300" w:lineRule="exact"/>
        <w:ind w:left="-6" w:firstLine="420" w:firstLineChars="200"/>
        <w:rPr>
          <w:rFonts w:ascii="宋体" w:hAnsi="宋体"/>
          <w:color w:val="auto"/>
          <w:szCs w:val="21"/>
          <w:highlight w:val="none"/>
        </w:rPr>
      </w:pPr>
      <w:r>
        <w:rPr>
          <w:rFonts w:hint="eastAsia" w:ascii="宋体" w:hAnsi="宋体"/>
          <w:color w:val="auto"/>
          <w:szCs w:val="21"/>
          <w:highlight w:val="none"/>
        </w:rPr>
        <w:t>应与发包人保持正常的业务交往，按照有关法律法规和程序开展业务工作，严格执行工程建设的有关方针、政策，执行工程建设强制性标准，并遵守以下规定：</w:t>
      </w:r>
    </w:p>
    <w:p>
      <w:pPr>
        <w:spacing w:line="300" w:lineRule="exact"/>
        <w:ind w:left="-6" w:firstLine="420" w:firstLineChars="200"/>
        <w:rPr>
          <w:rFonts w:ascii="宋体" w:hAnsi="宋体"/>
          <w:color w:val="auto"/>
          <w:szCs w:val="21"/>
          <w:highlight w:val="none"/>
        </w:rPr>
      </w:pPr>
      <w:r>
        <w:rPr>
          <w:rFonts w:ascii="宋体" w:hAnsi="宋体"/>
          <w:color w:val="auto"/>
          <w:szCs w:val="21"/>
          <w:highlight w:val="none"/>
        </w:rPr>
        <w:t>3.1</w:t>
      </w:r>
      <w:r>
        <w:rPr>
          <w:rFonts w:hint="eastAsia" w:ascii="宋体" w:hAnsi="宋体"/>
          <w:color w:val="auto"/>
          <w:szCs w:val="21"/>
          <w:highlight w:val="none"/>
        </w:rPr>
        <w:t>不得以任何理由向发包人及其工作人员索要、接受或赠送礼金、有价证券、贵重物品及回扣、好处费、感谢费等。</w:t>
      </w:r>
    </w:p>
    <w:p>
      <w:pPr>
        <w:spacing w:line="300" w:lineRule="exact"/>
        <w:ind w:left="-6" w:firstLine="420" w:firstLineChars="200"/>
        <w:rPr>
          <w:rFonts w:ascii="宋体" w:hAnsi="宋体"/>
          <w:color w:val="auto"/>
          <w:szCs w:val="21"/>
          <w:highlight w:val="none"/>
        </w:rPr>
      </w:pPr>
      <w:r>
        <w:rPr>
          <w:rFonts w:ascii="宋体" w:hAnsi="宋体"/>
          <w:color w:val="auto"/>
          <w:szCs w:val="21"/>
          <w:highlight w:val="none"/>
        </w:rPr>
        <w:t>3.2</w:t>
      </w:r>
      <w:r>
        <w:rPr>
          <w:rFonts w:hint="eastAsia" w:ascii="宋体" w:hAnsi="宋体"/>
          <w:color w:val="auto"/>
          <w:szCs w:val="21"/>
          <w:highlight w:val="none"/>
        </w:rPr>
        <w:t>不得以任何理由为发包人和相关单位报销应由对方或个人支付的费用。</w:t>
      </w:r>
    </w:p>
    <w:p>
      <w:pPr>
        <w:spacing w:line="300" w:lineRule="exact"/>
        <w:ind w:left="-6" w:firstLine="420" w:firstLineChars="200"/>
        <w:rPr>
          <w:rFonts w:ascii="宋体" w:hAnsi="宋体"/>
          <w:color w:val="auto"/>
          <w:szCs w:val="21"/>
          <w:highlight w:val="none"/>
        </w:rPr>
      </w:pPr>
      <w:r>
        <w:rPr>
          <w:rFonts w:ascii="宋体" w:hAnsi="宋体"/>
          <w:color w:val="auto"/>
          <w:szCs w:val="21"/>
          <w:highlight w:val="none"/>
        </w:rPr>
        <w:t>3.3</w:t>
      </w:r>
      <w:r>
        <w:rPr>
          <w:rFonts w:hint="eastAsia" w:ascii="宋体" w:hAnsi="宋体"/>
          <w:color w:val="auto"/>
          <w:szCs w:val="21"/>
          <w:highlight w:val="none"/>
        </w:rPr>
        <w:t>不得接受或暗示为发包人、相关单位或个人装修住房、婚丧嫁娶、配偶子女的工作安排以及出国（境）、旅游等提供方便。</w:t>
      </w:r>
    </w:p>
    <w:p>
      <w:pPr>
        <w:spacing w:line="300" w:lineRule="exact"/>
        <w:ind w:left="-6" w:firstLine="420" w:firstLineChars="200"/>
        <w:rPr>
          <w:rFonts w:ascii="宋体" w:hAnsi="宋体"/>
          <w:color w:val="auto"/>
          <w:szCs w:val="21"/>
          <w:highlight w:val="none"/>
        </w:rPr>
      </w:pPr>
      <w:r>
        <w:rPr>
          <w:rFonts w:ascii="宋体" w:hAnsi="宋体"/>
          <w:color w:val="auto"/>
          <w:szCs w:val="21"/>
          <w:highlight w:val="none"/>
        </w:rPr>
        <w:t>3.4</w:t>
      </w:r>
      <w:r>
        <w:rPr>
          <w:rFonts w:hint="eastAsia" w:ascii="宋体" w:hAnsi="宋体"/>
          <w:color w:val="auto"/>
          <w:szCs w:val="21"/>
          <w:highlight w:val="none"/>
        </w:rPr>
        <w:t>不得以任何理由为发包人、相关单位或个人组织有可能影响公正执行公务的宴请、健身、娱乐等活动。</w:t>
      </w:r>
    </w:p>
    <w:p>
      <w:pPr>
        <w:spacing w:line="300" w:lineRule="exact"/>
        <w:ind w:left="-6" w:firstLine="420" w:firstLineChars="200"/>
        <w:rPr>
          <w:rFonts w:ascii="宋体" w:hAnsi="宋体"/>
          <w:color w:val="auto"/>
          <w:szCs w:val="21"/>
          <w:highlight w:val="none"/>
        </w:rPr>
      </w:pPr>
      <w:r>
        <w:rPr>
          <w:rFonts w:hint="eastAsia" w:ascii="宋体" w:hAnsi="宋体"/>
          <w:color w:val="auto"/>
          <w:szCs w:val="21"/>
          <w:highlight w:val="none"/>
        </w:rPr>
        <w:t>四、违约责任</w:t>
      </w:r>
    </w:p>
    <w:p>
      <w:pPr>
        <w:spacing w:line="300" w:lineRule="exact"/>
        <w:ind w:left="-6" w:firstLine="420" w:firstLineChars="200"/>
        <w:rPr>
          <w:rFonts w:ascii="宋体" w:hAnsi="宋体"/>
          <w:color w:val="auto"/>
          <w:szCs w:val="21"/>
          <w:highlight w:val="none"/>
        </w:rPr>
      </w:pPr>
      <w:r>
        <w:rPr>
          <w:rFonts w:ascii="宋体" w:hAnsi="宋体"/>
          <w:color w:val="auto"/>
          <w:szCs w:val="21"/>
          <w:highlight w:val="none"/>
        </w:rPr>
        <w:t>4.1</w:t>
      </w:r>
      <w:r>
        <w:rPr>
          <w:rFonts w:hint="eastAsia" w:ascii="宋体" w:hAnsi="宋体"/>
          <w:color w:val="auto"/>
          <w:szCs w:val="21"/>
          <w:highlight w:val="none"/>
        </w:rPr>
        <w:t>发包人工作人员有违反本责任书第一、二条责任行为的，依据有关法律、法规给予处理；涉嫌犯罪的，移交司法机关追究刑事责任；给承包人单位造成经济损失的，应予以赔偿。</w:t>
      </w:r>
    </w:p>
    <w:p>
      <w:pPr>
        <w:spacing w:line="300" w:lineRule="exact"/>
        <w:ind w:left="-6" w:firstLine="420" w:firstLineChars="200"/>
        <w:rPr>
          <w:rFonts w:ascii="宋体" w:hAnsi="宋体"/>
          <w:color w:val="auto"/>
          <w:szCs w:val="21"/>
          <w:highlight w:val="none"/>
        </w:rPr>
      </w:pPr>
      <w:r>
        <w:rPr>
          <w:rFonts w:ascii="宋体" w:hAnsi="宋体"/>
          <w:color w:val="auto"/>
          <w:szCs w:val="21"/>
          <w:highlight w:val="none"/>
        </w:rPr>
        <w:t>4.2</w:t>
      </w:r>
      <w:r>
        <w:rPr>
          <w:rFonts w:hint="eastAsia" w:ascii="宋体" w:hAnsi="宋体"/>
          <w:color w:val="auto"/>
          <w:szCs w:val="21"/>
          <w:highlight w:val="none"/>
        </w:rPr>
        <w:t>承包人工作人员有违反本责任书第一、三条责任行为的，依据有关法律法规处理；涉嫌犯罪的，移交司法机关追究刑事责任；给发包人单位造成经济损失的，应予以赔偿。</w:t>
      </w:r>
    </w:p>
    <w:p>
      <w:pPr>
        <w:spacing w:line="300" w:lineRule="exact"/>
        <w:ind w:left="-6" w:firstLine="420" w:firstLineChars="200"/>
        <w:rPr>
          <w:rFonts w:ascii="宋体" w:hAnsi="宋体"/>
          <w:color w:val="auto"/>
          <w:szCs w:val="21"/>
          <w:highlight w:val="none"/>
        </w:rPr>
      </w:pPr>
      <w:r>
        <w:rPr>
          <w:rFonts w:ascii="宋体" w:hAnsi="宋体"/>
          <w:color w:val="auto"/>
          <w:szCs w:val="21"/>
          <w:highlight w:val="none"/>
        </w:rPr>
        <w:t>4.3</w:t>
      </w:r>
      <w:r>
        <w:rPr>
          <w:rFonts w:hint="eastAsia" w:ascii="宋体" w:hAnsi="宋体"/>
          <w:color w:val="auto"/>
          <w:szCs w:val="21"/>
          <w:highlight w:val="none"/>
        </w:rPr>
        <w:t>本责任书作为建设工程合同的组成部分，与建设工程合同具有同等法律效力。经双方签署后立即生效。</w:t>
      </w:r>
    </w:p>
    <w:p>
      <w:pPr>
        <w:spacing w:line="300" w:lineRule="exact"/>
        <w:ind w:left="-6" w:firstLine="420" w:firstLineChars="200"/>
        <w:rPr>
          <w:rFonts w:ascii="宋体" w:hAnsi="宋体"/>
          <w:color w:val="auto"/>
          <w:szCs w:val="21"/>
          <w:highlight w:val="none"/>
        </w:rPr>
      </w:pPr>
      <w:r>
        <w:rPr>
          <w:rFonts w:hint="eastAsia" w:ascii="宋体" w:hAnsi="宋体"/>
          <w:color w:val="auto"/>
          <w:szCs w:val="21"/>
          <w:highlight w:val="none"/>
        </w:rPr>
        <w:t>五、责任书有效期</w:t>
      </w:r>
    </w:p>
    <w:p>
      <w:pPr>
        <w:spacing w:line="300" w:lineRule="exact"/>
        <w:ind w:left="-6" w:firstLine="420" w:firstLineChars="200"/>
        <w:rPr>
          <w:rFonts w:hint="eastAsia" w:ascii="宋体" w:hAnsi="宋体"/>
          <w:color w:val="auto"/>
          <w:szCs w:val="21"/>
          <w:highlight w:val="none"/>
        </w:rPr>
      </w:pPr>
      <w:r>
        <w:rPr>
          <w:rFonts w:hint="eastAsia" w:ascii="宋体" w:hAnsi="宋体"/>
          <w:color w:val="auto"/>
          <w:szCs w:val="21"/>
          <w:highlight w:val="none"/>
        </w:rPr>
        <w:t>本责任书的有效期为双方签署之日起至该工程项目竣工验收合格时止。</w:t>
      </w:r>
    </w:p>
    <w:p>
      <w:pPr>
        <w:spacing w:line="300" w:lineRule="exact"/>
        <w:rPr>
          <w:rFonts w:hint="eastAsia" w:ascii="宋体" w:hAnsi="宋体"/>
          <w:color w:val="auto"/>
          <w:szCs w:val="21"/>
          <w:highlight w:val="none"/>
        </w:rPr>
      </w:pPr>
    </w:p>
    <w:p>
      <w:pPr>
        <w:spacing w:line="300" w:lineRule="exact"/>
        <w:ind w:left="-6" w:firstLine="420" w:firstLineChars="200"/>
        <w:rPr>
          <w:rFonts w:hint="eastAsia"/>
          <w:color w:val="auto"/>
          <w:szCs w:val="21"/>
          <w:highlight w:val="none"/>
          <w:u w:val="single"/>
        </w:rPr>
      </w:pPr>
      <w:r>
        <w:rPr>
          <w:rFonts w:hint="eastAsia" w:ascii="宋体" w:hAnsi="宋体"/>
          <w:color w:val="auto"/>
          <w:szCs w:val="21"/>
          <w:highlight w:val="none"/>
        </w:rPr>
        <w:t>发 包 人（公章）：</w:t>
      </w:r>
      <w:r>
        <w:rPr>
          <w:rFonts w:hint="eastAsia" w:ascii="宋体" w:hAnsi="宋体"/>
          <w:color w:val="auto"/>
          <w:szCs w:val="21"/>
          <w:highlight w:val="none"/>
          <w:lang w:eastAsia="zh-CN"/>
        </w:rPr>
        <w:t>北海市铁山港区南康镇人民政府</w:t>
      </w:r>
      <w:r>
        <w:rPr>
          <w:rFonts w:hint="eastAsia"/>
          <w:color w:val="auto"/>
          <w:szCs w:val="21"/>
          <w:highlight w:val="none"/>
        </w:rPr>
        <w:t xml:space="preserve">      </w:t>
      </w:r>
      <w:r>
        <w:rPr>
          <w:rFonts w:hint="eastAsia" w:ascii="宋体" w:hAnsi="宋体"/>
          <w:color w:val="auto"/>
          <w:szCs w:val="21"/>
          <w:highlight w:val="none"/>
        </w:rPr>
        <w:t>承包人（公章）：</w:t>
      </w:r>
    </w:p>
    <w:p>
      <w:pPr>
        <w:spacing w:line="300" w:lineRule="exact"/>
        <w:ind w:left="-6" w:firstLine="420" w:firstLineChars="200"/>
        <w:rPr>
          <w:rFonts w:ascii="宋体" w:hAnsi="宋体"/>
          <w:color w:val="auto"/>
          <w:szCs w:val="21"/>
          <w:highlight w:val="none"/>
        </w:rPr>
      </w:pPr>
      <w:r>
        <w:rPr>
          <w:rFonts w:hint="eastAsia" w:ascii="宋体" w:hAnsi="宋体"/>
          <w:color w:val="auto"/>
          <w:szCs w:val="21"/>
          <w:highlight w:val="none"/>
        </w:rPr>
        <w:t xml:space="preserve">              </w:t>
      </w:r>
    </w:p>
    <w:p>
      <w:pPr>
        <w:spacing w:line="300" w:lineRule="exact"/>
        <w:ind w:left="-6" w:firstLine="420" w:firstLineChars="200"/>
        <w:rPr>
          <w:rFonts w:hint="eastAsia" w:ascii="宋体" w:hAnsi="宋体"/>
          <w:color w:val="auto"/>
          <w:szCs w:val="21"/>
          <w:highlight w:val="none"/>
        </w:rPr>
      </w:pPr>
    </w:p>
    <w:p>
      <w:pPr>
        <w:spacing w:line="300" w:lineRule="exact"/>
        <w:ind w:left="-6" w:firstLine="420" w:firstLineChars="200"/>
        <w:rPr>
          <w:rFonts w:hint="eastAsia" w:ascii="宋体" w:hAnsi="宋体"/>
          <w:color w:val="auto"/>
          <w:szCs w:val="21"/>
          <w:highlight w:val="none"/>
        </w:rPr>
      </w:pPr>
      <w:r>
        <w:rPr>
          <w:rFonts w:hint="eastAsia" w:ascii="宋体" w:hAnsi="宋体"/>
          <w:color w:val="auto"/>
          <w:szCs w:val="21"/>
          <w:highlight w:val="none"/>
        </w:rPr>
        <w:t xml:space="preserve">法定代表人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法定代表人</w:t>
      </w:r>
    </w:p>
    <w:p>
      <w:pPr>
        <w:spacing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或委托代理人（签字或盖章）：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或委托代理人（签字或盖章）：</w:t>
      </w:r>
    </w:p>
    <w:p>
      <w:pPr>
        <w:spacing w:line="300" w:lineRule="exact"/>
        <w:rPr>
          <w:rFonts w:hint="eastAsia" w:ascii="宋体" w:hAnsi="宋体"/>
          <w:color w:val="auto"/>
          <w:szCs w:val="21"/>
          <w:highlight w:val="none"/>
        </w:rPr>
      </w:pPr>
    </w:p>
    <w:p>
      <w:pPr>
        <w:spacing w:line="300" w:lineRule="exact"/>
        <w:ind w:firstLine="1050" w:firstLineChars="500"/>
        <w:rPr>
          <w:rFonts w:hint="eastAsia" w:ascii="宋体" w:hAnsi="宋体"/>
          <w:color w:val="auto"/>
          <w:szCs w:val="21"/>
          <w:highlight w:val="none"/>
        </w:rPr>
        <w:sectPr>
          <w:footerReference r:id="rId6" w:type="default"/>
          <w:pgSz w:w="11906" w:h="16838"/>
          <w:pgMar w:top="340" w:right="907" w:bottom="454" w:left="1020" w:header="851" w:footer="992" w:gutter="0"/>
          <w:pgNumType w:fmt="decimal"/>
          <w:cols w:space="720" w:num="1"/>
          <w:docGrid w:type="lines" w:linePitch="312" w:charSpace="0"/>
        </w:sect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日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日</w:t>
      </w:r>
    </w:p>
    <w:p>
      <w:pPr>
        <w:pStyle w:val="5"/>
        <w:jc w:val="center"/>
        <w:rPr>
          <w:color w:val="auto"/>
          <w:highlight w:val="none"/>
        </w:rPr>
      </w:pPr>
      <w:r>
        <w:rPr>
          <w:rFonts w:hint="eastAsia" w:cs="黑体"/>
          <w:color w:val="auto"/>
          <w:highlight w:val="none"/>
        </w:rPr>
        <w:t>第五章</w:t>
      </w:r>
      <w:r>
        <w:rPr>
          <w:color w:val="auto"/>
          <w:highlight w:val="none"/>
        </w:rPr>
        <w:t xml:space="preserve"> </w:t>
      </w:r>
      <w:r>
        <w:rPr>
          <w:rFonts w:hint="eastAsia" w:cs="黑体"/>
          <w:color w:val="auto"/>
          <w:highlight w:val="none"/>
        </w:rPr>
        <w:t>工程量清单</w:t>
      </w:r>
      <w:bookmarkEnd w:id="422"/>
      <w:bookmarkEnd w:id="424"/>
    </w:p>
    <w:p>
      <w:pPr>
        <w:jc w:val="center"/>
        <w:rPr>
          <w:b/>
          <w:bCs/>
          <w:color w:val="auto"/>
          <w:kern w:val="44"/>
          <w:sz w:val="32"/>
          <w:szCs w:val="32"/>
          <w:highlight w:val="none"/>
        </w:rPr>
      </w:pPr>
    </w:p>
    <w:p>
      <w:pPr>
        <w:pStyle w:val="6"/>
        <w:rPr>
          <w:color w:val="auto"/>
          <w:kern w:val="44"/>
          <w:highlight w:val="none"/>
        </w:rPr>
      </w:pPr>
      <w:bookmarkStart w:id="425" w:name="_Toc26260"/>
      <w:bookmarkStart w:id="426" w:name="_Toc407135284"/>
      <w:r>
        <w:rPr>
          <w:color w:val="auto"/>
          <w:highlight w:val="none"/>
        </w:rPr>
        <w:t xml:space="preserve">1 </w:t>
      </w:r>
      <w:r>
        <w:rPr>
          <w:rFonts w:hint="eastAsia" w:cs="黑体"/>
          <w:color w:val="auto"/>
          <w:highlight w:val="none"/>
        </w:rPr>
        <w:t>工程量清单编制说明</w:t>
      </w:r>
      <w:bookmarkEnd w:id="425"/>
      <w:bookmarkEnd w:id="426"/>
    </w:p>
    <w:p>
      <w:pPr>
        <w:spacing w:line="360" w:lineRule="auto"/>
        <w:ind w:firstLine="420" w:firstLineChars="200"/>
        <w:rPr>
          <w:color w:val="auto"/>
          <w:highlight w:val="none"/>
        </w:rPr>
      </w:pPr>
      <w:r>
        <w:rPr>
          <w:color w:val="auto"/>
          <w:highlight w:val="none"/>
        </w:rPr>
        <w:t>1.1</w:t>
      </w:r>
      <w:r>
        <w:rPr>
          <w:rFonts w:hint="eastAsia" w:hAnsi="宋体" w:cs="宋体"/>
          <w:color w:val="auto"/>
          <w:highlight w:val="none"/>
        </w:rPr>
        <w:t>本工程量清单依据 GB50500-2013《建设工程工程量清单计价规范》广西壮族自治区实施细则；(GB50854~50862-2013) 建设工程工程量计算规范广西壮族自治区实施细则（修订本）； 2014年《广西壮族自治区市政工程消耗量定额》； 配套《费用定额》、补充定额，相关计价规定，设计施工图纸等有关文件</w:t>
      </w:r>
      <w:r>
        <w:rPr>
          <w:rFonts w:hint="eastAsia" w:hAnsi="宋体" w:cs="宋体"/>
          <w:color w:val="auto"/>
          <w:highlight w:val="none"/>
          <w:lang w:eastAsia="zh-CN"/>
        </w:rPr>
        <w:t>；</w:t>
      </w:r>
      <w:r>
        <w:rPr>
          <w:rFonts w:hint="eastAsia" w:hAnsi="宋体" w:cs="宋体"/>
          <w:color w:val="auto"/>
          <w:highlight w:val="none"/>
        </w:rPr>
        <w:t>取费标准按建设工程费用按2016年《广西壮族自治区建设工程费用定额》规定桂建标【2018】19号执行</w:t>
      </w:r>
      <w:r>
        <w:rPr>
          <w:rFonts w:hint="eastAsia" w:hAnsi="宋体" w:cs="宋体"/>
          <w:color w:val="auto"/>
          <w:highlight w:val="none"/>
          <w:lang w:eastAsia="zh-CN"/>
        </w:rPr>
        <w:t>，</w:t>
      </w:r>
      <w:r>
        <w:rPr>
          <w:rFonts w:hint="eastAsia" w:hAnsi="宋体" w:cs="宋体"/>
          <w:color w:val="auto"/>
          <w:highlight w:val="none"/>
        </w:rPr>
        <w:t>工程取费按中限费率值计取；</w:t>
      </w:r>
      <w:r>
        <w:rPr>
          <w:rFonts w:hint="eastAsia" w:hAnsi="宋体" w:cs="宋体"/>
          <w:color w:val="auto"/>
          <w:kern w:val="0"/>
          <w:highlight w:val="none"/>
        </w:rPr>
        <w:t>、招</w:t>
      </w:r>
      <w:r>
        <w:rPr>
          <w:rFonts w:hint="eastAsia" w:hAnsi="宋体" w:cs="宋体"/>
          <w:color w:val="auto"/>
          <w:highlight w:val="none"/>
        </w:rPr>
        <w:t>标文件、施工图等编制。计算规范中没有的清单项目，应在本章第</w:t>
      </w:r>
      <w:r>
        <w:rPr>
          <w:color w:val="auto"/>
          <w:highlight w:val="none"/>
        </w:rPr>
        <w:t>1.4</w:t>
      </w:r>
      <w:r>
        <w:rPr>
          <w:rFonts w:hint="eastAsia" w:hAnsi="宋体" w:cs="宋体"/>
          <w:color w:val="auto"/>
          <w:highlight w:val="none"/>
        </w:rPr>
        <w:t>款约定。</w:t>
      </w:r>
    </w:p>
    <w:p>
      <w:pPr>
        <w:spacing w:line="360" w:lineRule="auto"/>
        <w:ind w:firstLine="420" w:firstLineChars="200"/>
        <w:outlineLvl w:val="0"/>
        <w:rPr>
          <w:color w:val="auto"/>
          <w:highlight w:val="none"/>
        </w:rPr>
      </w:pPr>
      <w:r>
        <w:rPr>
          <w:color w:val="auto"/>
          <w:highlight w:val="none"/>
        </w:rPr>
        <w:t xml:space="preserve">1.2 </w:t>
      </w:r>
      <w:r>
        <w:rPr>
          <w:rFonts w:hint="eastAsia" w:cs="宋体"/>
          <w:color w:val="auto"/>
          <w:highlight w:val="none"/>
        </w:rPr>
        <w:t>工程量清单应与投标须知、合同协议条款、合同的通用条款、合同专用条款、技术规范及图纸等文件一起结合使用。</w:t>
      </w:r>
    </w:p>
    <w:p>
      <w:pPr>
        <w:spacing w:line="360" w:lineRule="auto"/>
        <w:ind w:firstLine="420" w:firstLineChars="200"/>
        <w:rPr>
          <w:color w:val="auto"/>
          <w:highlight w:val="none"/>
        </w:rPr>
      </w:pPr>
      <w:r>
        <w:rPr>
          <w:color w:val="auto"/>
          <w:highlight w:val="none"/>
        </w:rPr>
        <w:t xml:space="preserve">1.3 </w:t>
      </w:r>
      <w:r>
        <w:rPr>
          <w:rFonts w:hint="eastAsia" w:cs="宋体"/>
          <w:color w:val="auto"/>
          <w:highlight w:val="none"/>
        </w:rPr>
        <w:t>工程量清单是招标文件的组成部分，是工程量清单计价的基础，作为编制招标控制价、投标报价、计算或调整工程量、索赔等的依据之一。</w:t>
      </w:r>
    </w:p>
    <w:p>
      <w:pPr>
        <w:spacing w:line="360" w:lineRule="auto"/>
        <w:ind w:firstLine="420" w:firstLineChars="200"/>
        <w:rPr>
          <w:color w:val="auto"/>
          <w:highlight w:val="none"/>
        </w:rPr>
      </w:pPr>
      <w:r>
        <w:rPr>
          <w:color w:val="auto"/>
          <w:highlight w:val="none"/>
        </w:rPr>
        <w:t xml:space="preserve">1.4 </w:t>
      </w:r>
      <w:r>
        <w:rPr>
          <w:rFonts w:hint="eastAsia" w:cs="宋体"/>
          <w:color w:val="auto"/>
          <w:highlight w:val="none"/>
        </w:rPr>
        <w:t>补充清单项目的特征、计量单位、工程量计算规则及工作内容说明如下：</w:t>
      </w:r>
    </w:p>
    <w:p>
      <w:pPr>
        <w:spacing w:line="360" w:lineRule="auto"/>
        <w:ind w:left="2"/>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w:t>
      </w:r>
    </w:p>
    <w:p>
      <w:pPr>
        <w:pStyle w:val="11"/>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1.5 </w:t>
      </w:r>
      <w:r>
        <w:rPr>
          <w:rFonts w:hint="eastAsia" w:ascii="Times New Roman" w:hAnsi="Times New Roman"/>
          <w:color w:val="auto"/>
          <w:sz w:val="21"/>
          <w:szCs w:val="21"/>
          <w:highlight w:val="none"/>
        </w:rPr>
        <w:t>《承包人提供的主要材料和设备一览表》（表</w:t>
      </w:r>
      <w:r>
        <w:rPr>
          <w:rFonts w:ascii="Times New Roman" w:hAnsi="Times New Roman"/>
          <w:color w:val="auto"/>
          <w:sz w:val="21"/>
          <w:szCs w:val="21"/>
          <w:highlight w:val="none"/>
        </w:rPr>
        <w:t>-22</w:t>
      </w:r>
      <w:r>
        <w:rPr>
          <w:rFonts w:hint="eastAsia" w:ascii="Times New Roman" w:hAnsi="Times New Roman"/>
          <w:color w:val="auto"/>
          <w:sz w:val="21"/>
          <w:szCs w:val="21"/>
          <w:highlight w:val="none"/>
        </w:rPr>
        <w:t>，表格编号为计价规范相应表格编号，下同）作为项目实施过程中材料和设备价格风险调整依据。</w:t>
      </w:r>
    </w:p>
    <w:p>
      <w:pPr>
        <w:pStyle w:val="11"/>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1.6 </w:t>
      </w:r>
      <w:r>
        <w:rPr>
          <w:rFonts w:hint="eastAsia" w:ascii="Times New Roman" w:hAnsi="Times New Roman"/>
          <w:color w:val="auto"/>
          <w:sz w:val="21"/>
          <w:szCs w:val="21"/>
          <w:highlight w:val="none"/>
        </w:rPr>
        <w:t>本工程暂列金额（约按合同造价</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w:t>
      </w:r>
      <w:r>
        <w:rPr>
          <w:rFonts w:hint="eastAsia" w:ascii="Times New Roman" w:hAnsi="Times New Roman"/>
          <w:color w:val="auto"/>
          <w:sz w:val="21"/>
          <w:szCs w:val="21"/>
          <w:highlight w:val="none"/>
        </w:rPr>
        <w:t>计算），共</w:t>
      </w:r>
      <w:r>
        <w:rPr>
          <w:rFonts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rPr>
        <w:t>元，作为合同签订时尚未确定或者不可预见但施工中可能发生的费用。</w:t>
      </w:r>
    </w:p>
    <w:p>
      <w:pPr>
        <w:pStyle w:val="11"/>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1.7 </w:t>
      </w:r>
      <w:r>
        <w:rPr>
          <w:rFonts w:hint="eastAsia" w:ascii="Times New Roman" w:hAnsi="Times New Roman"/>
          <w:color w:val="auto"/>
          <w:sz w:val="21"/>
          <w:szCs w:val="21"/>
          <w:highlight w:val="none"/>
        </w:rPr>
        <w:t>本工程发包人提供的材料和设备详见《发包人提供的主要材料和工程设备一览表》（表</w:t>
      </w:r>
      <w:r>
        <w:rPr>
          <w:rFonts w:ascii="Times New Roman" w:hAnsi="Times New Roman"/>
          <w:color w:val="auto"/>
          <w:sz w:val="21"/>
          <w:szCs w:val="21"/>
          <w:highlight w:val="none"/>
        </w:rPr>
        <w:t>-21</w:t>
      </w:r>
      <w:r>
        <w:rPr>
          <w:rFonts w:hint="eastAsia" w:ascii="Times New Roman" w:hAnsi="Times New Roman"/>
          <w:color w:val="auto"/>
          <w:sz w:val="21"/>
          <w:szCs w:val="21"/>
          <w:highlight w:val="none"/>
        </w:rPr>
        <w:t>）。</w:t>
      </w:r>
    </w:p>
    <w:p>
      <w:pPr>
        <w:spacing w:line="360" w:lineRule="auto"/>
        <w:ind w:firstLine="420" w:firstLineChars="200"/>
        <w:rPr>
          <w:color w:val="auto"/>
          <w:highlight w:val="none"/>
        </w:rPr>
      </w:pPr>
      <w:r>
        <w:rPr>
          <w:color w:val="auto"/>
          <w:highlight w:val="none"/>
        </w:rPr>
        <w:t xml:space="preserve">1.8 </w:t>
      </w:r>
      <w:r>
        <w:rPr>
          <w:rFonts w:hint="eastAsia" w:cs="宋体"/>
          <w:color w:val="auto"/>
          <w:highlight w:val="none"/>
        </w:rPr>
        <w:t>本工程部分材料和设备在招标时作为暂估价计列，结算按实调整，具体内容详见《材料（工程设备）暂估单价及调整表》（表</w:t>
      </w:r>
      <w:r>
        <w:rPr>
          <w:color w:val="auto"/>
          <w:highlight w:val="none"/>
        </w:rPr>
        <w:t>12-2</w:t>
      </w:r>
      <w:r>
        <w:rPr>
          <w:rFonts w:hint="eastAsia" w:cs="宋体"/>
          <w:color w:val="auto"/>
          <w:highlight w:val="none"/>
        </w:rPr>
        <w:t>）。</w:t>
      </w:r>
    </w:p>
    <w:p>
      <w:pPr>
        <w:spacing w:line="360" w:lineRule="auto"/>
        <w:ind w:firstLine="420" w:firstLineChars="200"/>
        <w:rPr>
          <w:color w:val="auto"/>
          <w:highlight w:val="none"/>
        </w:rPr>
      </w:pPr>
      <w:r>
        <w:rPr>
          <w:color w:val="auto"/>
          <w:highlight w:val="none"/>
        </w:rPr>
        <w:t xml:space="preserve">1.9 </w:t>
      </w:r>
      <w:r>
        <w:rPr>
          <w:rFonts w:hint="eastAsia" w:cs="宋体"/>
          <w:color w:val="auto"/>
          <w:highlight w:val="none"/>
        </w:rPr>
        <w:t>招标时暂估专业工程的价款属于暂估价，结算按实调整，具体内容详见《专业工程暂估价及结算价表》（表</w:t>
      </w:r>
      <w:r>
        <w:rPr>
          <w:color w:val="auto"/>
          <w:highlight w:val="none"/>
        </w:rPr>
        <w:t>12-3</w:t>
      </w:r>
      <w:r>
        <w:rPr>
          <w:rFonts w:hint="eastAsia" w:cs="宋体"/>
          <w:color w:val="auto"/>
          <w:highlight w:val="none"/>
        </w:rPr>
        <w:t>）。</w:t>
      </w:r>
    </w:p>
    <w:p>
      <w:pPr>
        <w:spacing w:line="360" w:lineRule="auto"/>
        <w:ind w:firstLine="420" w:firstLineChars="200"/>
        <w:rPr>
          <w:color w:val="auto"/>
          <w:highlight w:val="none"/>
        </w:rPr>
      </w:pPr>
      <w:r>
        <w:rPr>
          <w:color w:val="auto"/>
          <w:highlight w:val="none"/>
        </w:rPr>
        <w:t xml:space="preserve">1.10 </w:t>
      </w:r>
      <w:r>
        <w:rPr>
          <w:rFonts w:hint="eastAsia" w:cs="宋体"/>
          <w:color w:val="auto"/>
          <w:highlight w:val="none"/>
        </w:rPr>
        <w:t>本工程量清单编码处标注</w:t>
      </w:r>
      <w:r>
        <w:rPr>
          <w:color w:val="auto"/>
          <w:highlight w:val="none"/>
        </w:rPr>
        <w:t>“*”</w:t>
      </w:r>
      <w:r>
        <w:rPr>
          <w:rFonts w:hint="eastAsia" w:cs="宋体"/>
          <w:color w:val="auto"/>
          <w:highlight w:val="none"/>
        </w:rPr>
        <w:t>号的清单项目作为主要清单项目，需要投标人提供</w:t>
      </w:r>
      <w:r>
        <w:rPr>
          <w:rFonts w:hint="eastAsia" w:hAnsi="宋体" w:cs="宋体"/>
          <w:color w:val="auto"/>
          <w:highlight w:val="none"/>
        </w:rPr>
        <w:t>《主要清单项目工料机分析表》（表</w:t>
      </w:r>
      <w:r>
        <w:rPr>
          <w:color w:val="auto"/>
          <w:highlight w:val="none"/>
        </w:rPr>
        <w:t>-10</w:t>
      </w:r>
      <w:r>
        <w:rPr>
          <w:rFonts w:hint="eastAsia" w:hAnsi="宋体" w:cs="宋体"/>
          <w:color w:val="auto"/>
          <w:highlight w:val="none"/>
        </w:rPr>
        <w:t>）</w:t>
      </w:r>
      <w:r>
        <w:rPr>
          <w:rFonts w:hint="eastAsia" w:cs="宋体"/>
          <w:color w:val="auto"/>
          <w:highlight w:val="none"/>
        </w:rPr>
        <w:t>。</w:t>
      </w:r>
    </w:p>
    <w:p>
      <w:pPr>
        <w:spacing w:line="360" w:lineRule="auto"/>
        <w:rPr>
          <w:color w:val="auto"/>
          <w:highlight w:val="none"/>
        </w:rPr>
      </w:pPr>
      <w:r>
        <w:rPr>
          <w:color w:val="auto"/>
          <w:highlight w:val="none"/>
        </w:rPr>
        <w:t xml:space="preserve">1.11 </w:t>
      </w:r>
      <w:r>
        <w:rPr>
          <w:rFonts w:hint="eastAsia" w:cs="宋体"/>
          <w:color w:val="auto"/>
          <w:highlight w:val="none"/>
        </w:rPr>
        <w:t>其它需要说明的问题：</w:t>
      </w:r>
      <w:r>
        <w:rPr>
          <w:color w:val="auto"/>
          <w:highlight w:val="none"/>
          <w:u w:val="single"/>
        </w:rPr>
        <w:t xml:space="preserve">                                               </w:t>
      </w:r>
      <w:r>
        <w:rPr>
          <w:rFonts w:hint="eastAsia" w:cs="宋体"/>
          <w:color w:val="auto"/>
          <w:highlight w:val="none"/>
        </w:rPr>
        <w:t>。</w:t>
      </w:r>
    </w:p>
    <w:p>
      <w:pPr>
        <w:spacing w:line="360" w:lineRule="auto"/>
        <w:ind w:firstLine="420" w:firstLineChars="200"/>
        <w:jc w:val="left"/>
        <w:rPr>
          <w:color w:val="auto"/>
          <w:highlight w:val="none"/>
        </w:rPr>
      </w:pPr>
      <w:r>
        <w:rPr>
          <w:color w:val="auto"/>
          <w:highlight w:val="none"/>
        </w:rPr>
        <w:t xml:space="preserve">1.12 </w:t>
      </w:r>
      <w:r>
        <w:rPr>
          <w:rFonts w:hint="eastAsia" w:cs="宋体"/>
          <w:color w:val="auto"/>
          <w:highlight w:val="none"/>
        </w:rPr>
        <w:t>工程量清单另册发放。一般计税法建设工程的工程量清单表格按</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w:t>
      </w:r>
      <w:r>
        <w:rPr>
          <w:rFonts w:hint="eastAsia" w:ascii="宋体" w:hAnsi="宋体" w:cs="宋体"/>
          <w:color w:val="auto"/>
          <w:highlight w:val="none"/>
        </w:rPr>
        <w:t>附件“增值税一般计税方法工程计价表”要求提供；简易计税法建设工程按照《计价规范》要求的</w:t>
      </w:r>
      <w:r>
        <w:rPr>
          <w:rFonts w:hint="eastAsia" w:cs="宋体"/>
          <w:color w:val="auto"/>
          <w:highlight w:val="none"/>
        </w:rPr>
        <w:t>表格提供，但规费和税费要按照《关于建筑业实施营业税改征增值税后广西壮族自治区建设工程计价依据调整的通知》（桂建标〔</w:t>
      </w:r>
      <w:r>
        <w:rPr>
          <w:color w:val="auto"/>
          <w:highlight w:val="none"/>
        </w:rPr>
        <w:t>2016</w:t>
      </w:r>
      <w:r>
        <w:rPr>
          <w:rFonts w:hint="eastAsia" w:cs="宋体"/>
          <w:color w:val="auto"/>
          <w:highlight w:val="none"/>
        </w:rPr>
        <w:t>〕</w:t>
      </w:r>
      <w:r>
        <w:rPr>
          <w:color w:val="auto"/>
          <w:highlight w:val="none"/>
        </w:rPr>
        <w:t>17</w:t>
      </w:r>
      <w:r>
        <w:rPr>
          <w:rFonts w:hint="eastAsia" w:cs="宋体"/>
          <w:color w:val="auto"/>
          <w:highlight w:val="none"/>
        </w:rPr>
        <w:t>号）</w:t>
      </w:r>
      <w:r>
        <w:rPr>
          <w:rFonts w:hint="eastAsia" w:ascii="宋体" w:hAnsi="宋体" w:cs="宋体"/>
          <w:color w:val="auto"/>
          <w:highlight w:val="none"/>
        </w:rPr>
        <w:t>要求调整，具体</w:t>
      </w:r>
      <w:r>
        <w:rPr>
          <w:rFonts w:hint="eastAsia" w:cs="宋体"/>
          <w:color w:val="auto"/>
          <w:highlight w:val="none"/>
        </w:rPr>
        <w:t>包括：</w:t>
      </w:r>
    </w:p>
    <w:p>
      <w:pPr>
        <w:spacing w:line="360" w:lineRule="auto"/>
        <w:ind w:firstLine="630" w:firstLineChars="300"/>
        <w:jc w:val="left"/>
        <w:rPr>
          <w:color w:val="auto"/>
          <w:highlight w:val="none"/>
        </w:rPr>
      </w:pPr>
      <w:r>
        <w:rPr>
          <w:color w:val="auto"/>
          <w:highlight w:val="none"/>
        </w:rPr>
        <w:t xml:space="preserve">1.1 </w:t>
      </w:r>
      <w:r>
        <w:rPr>
          <w:rFonts w:hint="eastAsia" w:cs="宋体"/>
          <w:color w:val="auto"/>
          <w:highlight w:val="none"/>
        </w:rPr>
        <w:t>招标工程量清单（封</w:t>
      </w:r>
      <w:r>
        <w:rPr>
          <w:color w:val="auto"/>
          <w:highlight w:val="none"/>
        </w:rPr>
        <w:t>-1</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1.2 </w:t>
      </w:r>
      <w:r>
        <w:rPr>
          <w:rFonts w:hint="eastAsia" w:cs="宋体"/>
          <w:color w:val="auto"/>
          <w:highlight w:val="none"/>
        </w:rPr>
        <w:t>招标工程量清单（扉</w:t>
      </w:r>
      <w:r>
        <w:rPr>
          <w:color w:val="auto"/>
          <w:highlight w:val="none"/>
        </w:rPr>
        <w:t>-1</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1.4 </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1.5 </w:t>
      </w:r>
      <w:r>
        <w:rPr>
          <w:rFonts w:hint="eastAsia" w:cs="宋体"/>
          <w:color w:val="auto"/>
          <w:highlight w:val="none"/>
        </w:rPr>
        <w:t>单项工程投标报价汇总表（表</w:t>
      </w:r>
      <w:r>
        <w:rPr>
          <w:color w:val="auto"/>
          <w:highlight w:val="none"/>
        </w:rPr>
        <w:t>-03</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1.6 </w:t>
      </w:r>
      <w:r>
        <w:rPr>
          <w:rFonts w:hint="eastAsia" w:cs="宋体"/>
          <w:color w:val="auto"/>
          <w:highlight w:val="none"/>
        </w:rPr>
        <w:t>单位工程投标报价汇总表（表</w:t>
      </w:r>
      <w:r>
        <w:rPr>
          <w:color w:val="auto"/>
          <w:highlight w:val="none"/>
        </w:rPr>
        <w:t>-04</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1.7 </w:t>
      </w:r>
      <w:r>
        <w:rPr>
          <w:rFonts w:hint="eastAsia" w:cs="宋体"/>
          <w:color w:val="auto"/>
          <w:highlight w:val="none"/>
        </w:rPr>
        <w:t>分部分项工程和单价措施项目清单与计价表（表</w:t>
      </w:r>
      <w:r>
        <w:rPr>
          <w:color w:val="auto"/>
          <w:highlight w:val="none"/>
        </w:rPr>
        <w:t>-08</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1.8 </w:t>
      </w:r>
      <w:r>
        <w:rPr>
          <w:rFonts w:hint="eastAsia" w:cs="宋体"/>
          <w:color w:val="auto"/>
          <w:highlight w:val="none"/>
        </w:rPr>
        <w:t>总价措施项目清单与计价表（表</w:t>
      </w:r>
      <w:r>
        <w:rPr>
          <w:color w:val="auto"/>
          <w:highlight w:val="none"/>
        </w:rPr>
        <w:t>-11</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1.9 </w:t>
      </w:r>
      <w:r>
        <w:rPr>
          <w:rFonts w:hint="eastAsia" w:cs="宋体"/>
          <w:color w:val="auto"/>
          <w:highlight w:val="none"/>
        </w:rPr>
        <w:t>其他项目清单与计价汇总表（表</w:t>
      </w:r>
      <w:r>
        <w:rPr>
          <w:color w:val="auto"/>
          <w:highlight w:val="none"/>
        </w:rPr>
        <w:t>-12</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1.10 </w:t>
      </w:r>
      <w:r>
        <w:rPr>
          <w:rFonts w:hint="eastAsia" w:cs="宋体"/>
          <w:color w:val="auto"/>
          <w:highlight w:val="none"/>
        </w:rPr>
        <w:t>暂列金额明细表（表</w:t>
      </w:r>
      <w:r>
        <w:rPr>
          <w:color w:val="auto"/>
          <w:highlight w:val="none"/>
        </w:rPr>
        <w:t>12-1</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1.11 </w:t>
      </w:r>
      <w:r>
        <w:rPr>
          <w:rFonts w:hint="eastAsia" w:cs="宋体"/>
          <w:color w:val="auto"/>
          <w:highlight w:val="none"/>
        </w:rPr>
        <w:t>材料（工程设备）暂估单价及调整表（表</w:t>
      </w:r>
      <w:r>
        <w:rPr>
          <w:color w:val="auto"/>
          <w:highlight w:val="none"/>
        </w:rPr>
        <w:t>12-2</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1.12 </w:t>
      </w:r>
      <w:r>
        <w:rPr>
          <w:rFonts w:hint="eastAsia" w:cs="宋体"/>
          <w:color w:val="auto"/>
          <w:highlight w:val="none"/>
        </w:rPr>
        <w:t>专业工程暂估价</w:t>
      </w:r>
      <w:r>
        <w:rPr>
          <w:rFonts w:hint="eastAsia"/>
          <w:color w:val="auto"/>
          <w:highlight w:val="none"/>
        </w:rPr>
        <w:t>及结算价</w:t>
      </w:r>
      <w:r>
        <w:rPr>
          <w:rFonts w:hint="eastAsia" w:cs="宋体"/>
          <w:color w:val="auto"/>
          <w:highlight w:val="none"/>
        </w:rPr>
        <w:t>表（表</w:t>
      </w:r>
      <w:r>
        <w:rPr>
          <w:color w:val="auto"/>
          <w:highlight w:val="none"/>
        </w:rPr>
        <w:t>12-3</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1.13 </w:t>
      </w:r>
      <w:r>
        <w:rPr>
          <w:rFonts w:hint="eastAsia" w:cs="宋体"/>
          <w:color w:val="auto"/>
          <w:highlight w:val="none"/>
        </w:rPr>
        <w:t>计日工表（表</w:t>
      </w:r>
      <w:r>
        <w:rPr>
          <w:color w:val="auto"/>
          <w:highlight w:val="none"/>
        </w:rPr>
        <w:t>12-4</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1.14 </w:t>
      </w:r>
      <w:r>
        <w:rPr>
          <w:rFonts w:hint="eastAsia" w:cs="宋体"/>
          <w:color w:val="auto"/>
          <w:highlight w:val="none"/>
        </w:rPr>
        <w:t>总承包服务费计价表（表</w:t>
      </w:r>
      <w:r>
        <w:rPr>
          <w:color w:val="auto"/>
          <w:highlight w:val="none"/>
        </w:rPr>
        <w:t>12-5</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1.15 </w:t>
      </w:r>
      <w:r>
        <w:rPr>
          <w:rFonts w:hint="eastAsia" w:cs="宋体"/>
          <w:color w:val="auto"/>
          <w:highlight w:val="none"/>
        </w:rPr>
        <w:t>税前项目清单与计价表（表</w:t>
      </w:r>
      <w:r>
        <w:rPr>
          <w:color w:val="auto"/>
          <w:highlight w:val="none"/>
        </w:rPr>
        <w:t>-14</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1.16 </w:t>
      </w:r>
      <w:r>
        <w:rPr>
          <w:rFonts w:hint="eastAsia" w:cs="宋体"/>
          <w:color w:val="auto"/>
          <w:highlight w:val="none"/>
        </w:rPr>
        <w:t>规费、增值税计价表（表</w:t>
      </w:r>
      <w:r>
        <w:rPr>
          <w:color w:val="auto"/>
          <w:highlight w:val="none"/>
        </w:rPr>
        <w:t>-15</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1.17 </w:t>
      </w:r>
      <w:r>
        <w:rPr>
          <w:rFonts w:hint="eastAsia" w:cs="宋体"/>
          <w:color w:val="auto"/>
          <w:highlight w:val="none"/>
        </w:rPr>
        <w:t>发包人提供主要材料和工程设备一览表（表</w:t>
      </w:r>
      <w:r>
        <w:rPr>
          <w:color w:val="auto"/>
          <w:highlight w:val="none"/>
        </w:rPr>
        <w:t>-21</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1.18 </w:t>
      </w:r>
      <w:r>
        <w:rPr>
          <w:rFonts w:hint="eastAsia" w:cs="宋体"/>
          <w:color w:val="auto"/>
          <w:highlight w:val="none"/>
        </w:rPr>
        <w:t>承包人提供主要材料和工程设备一览表（适用于造价信息差额调整法）（表</w:t>
      </w:r>
      <w:r>
        <w:rPr>
          <w:color w:val="auto"/>
          <w:highlight w:val="none"/>
        </w:rPr>
        <w:t>-22</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1.19</w:t>
      </w:r>
      <w:r>
        <w:rPr>
          <w:rFonts w:hint="eastAsia" w:cs="宋体"/>
          <w:color w:val="auto"/>
          <w:highlight w:val="none"/>
        </w:rPr>
        <w:t>承包人提供主要材料和工程设备一览表（适用于价格指数差额调整法）（表</w:t>
      </w:r>
      <w:r>
        <w:rPr>
          <w:color w:val="auto"/>
          <w:highlight w:val="none"/>
        </w:rPr>
        <w:t>-23</w:t>
      </w:r>
      <w:r>
        <w:rPr>
          <w:rFonts w:hint="eastAsia" w:cs="宋体"/>
          <w:color w:val="auto"/>
          <w:highlight w:val="none"/>
        </w:rPr>
        <w:t>）</w:t>
      </w:r>
    </w:p>
    <w:p>
      <w:pPr>
        <w:spacing w:line="360" w:lineRule="auto"/>
        <w:ind w:firstLine="630" w:firstLineChars="300"/>
        <w:jc w:val="left"/>
        <w:rPr>
          <w:rFonts w:cs="宋体"/>
          <w:color w:val="auto"/>
          <w:highlight w:val="none"/>
        </w:rPr>
      </w:pPr>
      <w:r>
        <w:rPr>
          <w:rFonts w:hint="eastAsia" w:cs="宋体"/>
          <w:color w:val="auto"/>
          <w:highlight w:val="none"/>
        </w:rPr>
        <w:t>注：如本工程在合同中约定采用造价信息价差调整法，1.</w:t>
      </w:r>
      <w:r>
        <w:rPr>
          <w:color w:val="auto"/>
          <w:highlight w:val="none"/>
        </w:rPr>
        <w:t xml:space="preserve">18 </w:t>
      </w:r>
      <w:r>
        <w:rPr>
          <w:rFonts w:hint="eastAsia" w:cs="宋体"/>
          <w:color w:val="auto"/>
          <w:highlight w:val="none"/>
        </w:rPr>
        <w:t>承包人提供主要材料和工程设备一览表（适用于造价信息差额调整法）（表</w:t>
      </w:r>
      <w:r>
        <w:rPr>
          <w:color w:val="auto"/>
          <w:highlight w:val="none"/>
        </w:rPr>
        <w:t>-22</w:t>
      </w:r>
      <w:r>
        <w:rPr>
          <w:rFonts w:hint="eastAsia" w:cs="宋体"/>
          <w:color w:val="auto"/>
          <w:highlight w:val="none"/>
        </w:rPr>
        <w:t>）载明的主要材料和设备为本工程允许调整的材料和设备，招标工程量清单必须提供该表格，且不能提供空白表。</w:t>
      </w:r>
    </w:p>
    <w:p>
      <w:pPr>
        <w:spacing w:line="360" w:lineRule="auto"/>
        <w:ind w:firstLine="630" w:firstLineChars="300"/>
        <w:jc w:val="left"/>
        <w:rPr>
          <w:color w:val="auto"/>
          <w:highlight w:val="none"/>
        </w:rPr>
      </w:pPr>
      <w:r>
        <w:rPr>
          <w:rFonts w:hint="eastAsia" w:cs="宋体"/>
          <w:color w:val="auto"/>
          <w:highlight w:val="none"/>
        </w:rPr>
        <w:t>以下表格视工程实际需要选用，如该工程不发生如下表格相关项目和费用，所编制招标工程量清单则不需列入相应表格：</w:t>
      </w:r>
    </w:p>
    <w:p>
      <w:pPr>
        <w:spacing w:line="360" w:lineRule="auto"/>
        <w:ind w:firstLine="630" w:firstLineChars="300"/>
        <w:jc w:val="left"/>
        <w:rPr>
          <w:color w:val="auto"/>
          <w:highlight w:val="none"/>
        </w:rPr>
      </w:pPr>
      <w:r>
        <w:rPr>
          <w:rFonts w:hint="eastAsia" w:ascii="宋体" w:hAnsi="宋体" w:cs="宋体"/>
          <w:color w:val="auto"/>
          <w:highlight w:val="none"/>
        </w:rPr>
        <w:t>①</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pPr>
        <w:spacing w:line="360" w:lineRule="auto"/>
        <w:ind w:firstLine="630" w:firstLineChars="300"/>
        <w:jc w:val="left"/>
        <w:rPr>
          <w:color w:val="auto"/>
          <w:highlight w:val="none"/>
        </w:rPr>
      </w:pPr>
      <w:r>
        <w:rPr>
          <w:rFonts w:hint="eastAsia" w:cs="宋体"/>
          <w:color w:val="auto"/>
          <w:highlight w:val="none"/>
        </w:rPr>
        <w:t>②暂列金额明细表（表</w:t>
      </w:r>
      <w:r>
        <w:rPr>
          <w:color w:val="auto"/>
          <w:highlight w:val="none"/>
        </w:rPr>
        <w:t>12-1</w:t>
      </w:r>
      <w:r>
        <w:rPr>
          <w:rFonts w:hint="eastAsia" w:cs="宋体"/>
          <w:color w:val="auto"/>
          <w:highlight w:val="none"/>
        </w:rPr>
        <w:t>）</w:t>
      </w:r>
    </w:p>
    <w:p>
      <w:pPr>
        <w:spacing w:line="360" w:lineRule="auto"/>
        <w:ind w:firstLine="630" w:firstLineChars="300"/>
        <w:jc w:val="left"/>
        <w:rPr>
          <w:color w:val="auto"/>
          <w:highlight w:val="none"/>
        </w:rPr>
      </w:pPr>
      <w:r>
        <w:rPr>
          <w:rFonts w:hint="eastAsia" w:cs="宋体"/>
          <w:color w:val="auto"/>
          <w:highlight w:val="none"/>
        </w:rPr>
        <w:t>③材料（工程设备）暂估单价及调整表（表</w:t>
      </w:r>
      <w:r>
        <w:rPr>
          <w:color w:val="auto"/>
          <w:highlight w:val="none"/>
        </w:rPr>
        <w:t>12-2</w:t>
      </w:r>
      <w:r>
        <w:rPr>
          <w:rFonts w:hint="eastAsia" w:cs="宋体"/>
          <w:color w:val="auto"/>
          <w:highlight w:val="none"/>
        </w:rPr>
        <w:t>）</w:t>
      </w:r>
    </w:p>
    <w:p>
      <w:pPr>
        <w:spacing w:line="360" w:lineRule="auto"/>
        <w:ind w:firstLine="630" w:firstLineChars="300"/>
        <w:jc w:val="left"/>
        <w:rPr>
          <w:color w:val="auto"/>
          <w:highlight w:val="none"/>
        </w:rPr>
      </w:pPr>
      <w:r>
        <w:rPr>
          <w:rFonts w:hint="eastAsia" w:cs="宋体"/>
          <w:color w:val="auto"/>
          <w:highlight w:val="none"/>
        </w:rPr>
        <w:t>④专业工程暂估价表（表</w:t>
      </w:r>
      <w:r>
        <w:rPr>
          <w:color w:val="auto"/>
          <w:highlight w:val="none"/>
        </w:rPr>
        <w:t>12-3</w:t>
      </w:r>
      <w:r>
        <w:rPr>
          <w:rFonts w:hint="eastAsia" w:cs="宋体"/>
          <w:color w:val="auto"/>
          <w:highlight w:val="none"/>
        </w:rPr>
        <w:t>）</w:t>
      </w:r>
    </w:p>
    <w:p>
      <w:pPr>
        <w:spacing w:line="360" w:lineRule="auto"/>
        <w:ind w:firstLine="630" w:firstLineChars="300"/>
        <w:jc w:val="left"/>
        <w:rPr>
          <w:color w:val="auto"/>
          <w:highlight w:val="none"/>
        </w:rPr>
      </w:pPr>
      <w:r>
        <w:rPr>
          <w:rFonts w:hint="eastAsia" w:cs="宋体"/>
          <w:color w:val="auto"/>
          <w:highlight w:val="none"/>
        </w:rPr>
        <w:t>⑤计日工表（表</w:t>
      </w:r>
      <w:r>
        <w:rPr>
          <w:color w:val="auto"/>
          <w:highlight w:val="none"/>
        </w:rPr>
        <w:t>12-4</w:t>
      </w:r>
      <w:r>
        <w:rPr>
          <w:rFonts w:hint="eastAsia" w:cs="宋体"/>
          <w:color w:val="auto"/>
          <w:highlight w:val="none"/>
        </w:rPr>
        <w:t>）</w:t>
      </w:r>
    </w:p>
    <w:p>
      <w:pPr>
        <w:spacing w:line="360" w:lineRule="auto"/>
        <w:ind w:firstLine="630" w:firstLineChars="300"/>
        <w:jc w:val="left"/>
        <w:rPr>
          <w:color w:val="auto"/>
          <w:highlight w:val="none"/>
        </w:rPr>
      </w:pPr>
      <w:r>
        <w:rPr>
          <w:rFonts w:hint="eastAsia" w:cs="宋体"/>
          <w:color w:val="auto"/>
          <w:highlight w:val="none"/>
        </w:rPr>
        <w:t>⑥总承包服务费计价表（表</w:t>
      </w:r>
      <w:r>
        <w:rPr>
          <w:color w:val="auto"/>
          <w:highlight w:val="none"/>
        </w:rPr>
        <w:t>12-5</w:t>
      </w:r>
      <w:r>
        <w:rPr>
          <w:rFonts w:hint="eastAsia" w:cs="宋体"/>
          <w:color w:val="auto"/>
          <w:highlight w:val="none"/>
        </w:rPr>
        <w:t>）</w:t>
      </w:r>
    </w:p>
    <w:p>
      <w:pPr>
        <w:spacing w:line="360" w:lineRule="auto"/>
        <w:ind w:firstLine="630" w:firstLineChars="300"/>
        <w:jc w:val="left"/>
        <w:rPr>
          <w:rFonts w:cs="宋体"/>
          <w:color w:val="auto"/>
          <w:highlight w:val="none"/>
        </w:rPr>
      </w:pPr>
      <w:r>
        <w:rPr>
          <w:rFonts w:hint="eastAsia" w:cs="宋体"/>
          <w:color w:val="auto"/>
          <w:highlight w:val="none"/>
        </w:rPr>
        <w:t>⑦税前项目清单与计价表（表</w:t>
      </w:r>
      <w:r>
        <w:rPr>
          <w:color w:val="auto"/>
          <w:highlight w:val="none"/>
        </w:rPr>
        <w:t>-14</w:t>
      </w:r>
      <w:r>
        <w:rPr>
          <w:rFonts w:hint="eastAsia" w:cs="宋体"/>
          <w:color w:val="auto"/>
          <w:highlight w:val="none"/>
        </w:rPr>
        <w:t>）</w:t>
      </w:r>
    </w:p>
    <w:p>
      <w:pPr>
        <w:spacing w:line="360" w:lineRule="auto"/>
        <w:ind w:firstLine="630" w:firstLineChars="300"/>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8 \* GB3</w:instrText>
      </w:r>
      <w:r>
        <w:rPr>
          <w:color w:val="auto"/>
          <w:highlight w:val="none"/>
        </w:rPr>
        <w:instrText xml:space="preserve"> </w:instrText>
      </w:r>
      <w:r>
        <w:rPr>
          <w:color w:val="auto"/>
          <w:highlight w:val="none"/>
        </w:rPr>
        <w:fldChar w:fldCharType="separate"/>
      </w:r>
      <w:r>
        <w:rPr>
          <w:rFonts w:hint="eastAsia"/>
          <w:color w:val="auto"/>
          <w:highlight w:val="none"/>
        </w:rPr>
        <w:t>⑧</w:t>
      </w:r>
      <w:r>
        <w:rPr>
          <w:color w:val="auto"/>
          <w:highlight w:val="none"/>
        </w:rPr>
        <w:fldChar w:fldCharType="end"/>
      </w:r>
      <w:r>
        <w:rPr>
          <w:color w:val="auto"/>
          <w:highlight w:val="none"/>
        </w:rPr>
        <w:t xml:space="preserve"> </w:t>
      </w:r>
      <w:r>
        <w:rPr>
          <w:rFonts w:hint="eastAsia" w:cs="宋体"/>
          <w:color w:val="auto"/>
          <w:highlight w:val="none"/>
        </w:rPr>
        <w:t>承包人提供主要材料和工程设备一览表（适用于价格指数差额调整法）（表</w:t>
      </w:r>
      <w:r>
        <w:rPr>
          <w:color w:val="auto"/>
          <w:highlight w:val="none"/>
        </w:rPr>
        <w:t>-23</w:t>
      </w:r>
      <w:r>
        <w:rPr>
          <w:rFonts w:hint="eastAsia" w:cs="宋体"/>
          <w:color w:val="auto"/>
          <w:highlight w:val="none"/>
        </w:rPr>
        <w:t>）</w:t>
      </w:r>
    </w:p>
    <w:p>
      <w:pPr>
        <w:pStyle w:val="6"/>
        <w:rPr>
          <w:color w:val="auto"/>
          <w:highlight w:val="none"/>
        </w:rPr>
      </w:pPr>
      <w:bookmarkStart w:id="427" w:name="_Toc407135285"/>
      <w:bookmarkStart w:id="428" w:name="_Toc13997"/>
      <w:r>
        <w:rPr>
          <w:color w:val="auto"/>
          <w:highlight w:val="none"/>
        </w:rPr>
        <w:t xml:space="preserve">2 </w:t>
      </w:r>
      <w:r>
        <w:rPr>
          <w:rFonts w:hint="eastAsia" w:cs="黑体"/>
          <w:color w:val="auto"/>
          <w:highlight w:val="none"/>
        </w:rPr>
        <w:t>招标控制价编制说明</w:t>
      </w:r>
      <w:bookmarkEnd w:id="427"/>
      <w:bookmarkEnd w:id="428"/>
    </w:p>
    <w:p>
      <w:pPr>
        <w:spacing w:line="360" w:lineRule="auto"/>
        <w:ind w:firstLine="420" w:firstLineChars="200"/>
        <w:rPr>
          <w:color w:val="auto"/>
          <w:highlight w:val="none"/>
        </w:rPr>
      </w:pPr>
      <w:r>
        <w:rPr>
          <w:color w:val="auto"/>
          <w:highlight w:val="none"/>
        </w:rPr>
        <w:t xml:space="preserve">2.1 </w:t>
      </w:r>
      <w:r>
        <w:rPr>
          <w:rFonts w:hint="eastAsia" w:hAnsi="宋体" w:cs="宋体"/>
          <w:color w:val="auto"/>
          <w:highlight w:val="none"/>
        </w:rPr>
        <w:t>招标控制价编制依据：</w:t>
      </w:r>
    </w:p>
    <w:p>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《计价规范》及《计算规范》、</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号）等</w:t>
      </w:r>
      <w:r>
        <w:rPr>
          <w:rFonts w:hint="eastAsia" w:hAnsi="宋体" w:cs="宋体"/>
          <w:color w:val="auto"/>
          <w:highlight w:val="none"/>
        </w:rPr>
        <w:t>；</w:t>
      </w:r>
    </w:p>
    <w:p>
      <w:pPr>
        <w:spacing w:line="360" w:lineRule="auto"/>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）自治区住房城乡建设行政主管部门颁发的计价定额及有关规定：</w:t>
      </w:r>
      <w:r>
        <w:rPr>
          <w:color w:val="auto"/>
          <w:highlight w:val="none"/>
          <w:u w:val="single"/>
        </w:rPr>
        <w:t xml:space="preserve">          </w:t>
      </w:r>
      <w:r>
        <w:rPr>
          <w:rFonts w:hint="eastAsia" w:cs="宋体"/>
          <w:color w:val="auto"/>
          <w:highlight w:val="none"/>
        </w:rPr>
        <w:t>。</w:t>
      </w:r>
    </w:p>
    <w:p>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）建设工程设计文件及相关资料：</w:t>
      </w:r>
      <w:r>
        <w:rPr>
          <w:color w:val="auto"/>
          <w:highlight w:val="none"/>
          <w:u w:val="single"/>
        </w:rPr>
        <w:t xml:space="preserve">                                          </w:t>
      </w:r>
      <w:r>
        <w:rPr>
          <w:rFonts w:hint="eastAsia" w:cs="宋体"/>
          <w:color w:val="auto"/>
          <w:highlight w:val="none"/>
        </w:rPr>
        <w:t>。</w:t>
      </w:r>
      <w:r>
        <w:rPr>
          <w:color w:val="auto"/>
          <w:highlight w:val="none"/>
        </w:rPr>
        <w:t xml:space="preserve"> </w:t>
      </w:r>
    </w:p>
    <w:p>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）本工程招标文件及工程量清单；</w:t>
      </w:r>
    </w:p>
    <w:p>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）与建设项目相关的标准、规范、技术资料；</w:t>
      </w:r>
    </w:p>
    <w:p>
      <w:pPr>
        <w:spacing w:line="360" w:lineRule="auto"/>
        <w:ind w:firstLine="420" w:firstLineChars="200"/>
        <w:rPr>
          <w:color w:val="auto"/>
          <w:highlight w:val="none"/>
        </w:rPr>
      </w:pPr>
      <w:r>
        <w:rPr>
          <w:rFonts w:hint="eastAsia" w:cs="宋体"/>
          <w:color w:val="auto"/>
          <w:highlight w:val="none"/>
        </w:rPr>
        <w:t>（</w:t>
      </w:r>
      <w:r>
        <w:rPr>
          <w:color w:val="auto"/>
          <w:highlight w:val="none"/>
        </w:rPr>
        <w:t>6</w:t>
      </w:r>
      <w:r>
        <w:rPr>
          <w:rFonts w:hint="eastAsia" w:cs="宋体"/>
          <w:color w:val="auto"/>
          <w:highlight w:val="none"/>
        </w:rPr>
        <w:t>）施工现场情况、工程特点及常规施工方案；</w:t>
      </w:r>
    </w:p>
    <w:p>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7</w:t>
      </w:r>
      <w:r>
        <w:rPr>
          <w:rFonts w:hint="eastAsia" w:cs="宋体"/>
          <w:color w:val="auto"/>
          <w:highlight w:val="none"/>
        </w:rPr>
        <w:t>）材料价格信息</w:t>
      </w:r>
      <w:r>
        <w:rPr>
          <w:rFonts w:hint="eastAsia" w:hAnsi="宋体" w:cs="宋体"/>
          <w:color w:val="auto"/>
          <w:highlight w:val="none"/>
        </w:rPr>
        <w:t>：材料价格主要按照</w:t>
      </w:r>
      <w:r>
        <w:rPr>
          <w:rFonts w:hint="eastAsia"/>
          <w:color w:val="auto"/>
          <w:highlight w:val="none"/>
          <w:u w:val="single"/>
          <w:lang w:val="en-US" w:eastAsia="zh-CN"/>
        </w:rPr>
        <w:t xml:space="preserve">  北海市  </w:t>
      </w:r>
      <w:r>
        <w:rPr>
          <w:rFonts w:hint="eastAsia" w:cs="宋体"/>
          <w:color w:val="auto"/>
          <w:highlight w:val="none"/>
        </w:rPr>
        <w:t>建设工程造价管理机构发布的工程造价信息</w:t>
      </w:r>
      <w:r>
        <w:rPr>
          <w:rFonts w:hint="eastAsia"/>
          <w:color w:val="auto"/>
          <w:highlight w:val="none"/>
          <w:u w:val="single"/>
        </w:rPr>
        <w:t>2021年第02期</w:t>
      </w:r>
      <w:r>
        <w:rPr>
          <w:rFonts w:hint="eastAsia" w:cs="宋体"/>
          <w:color w:val="auto"/>
          <w:highlight w:val="none"/>
          <w:lang w:val="en-US" w:eastAsia="zh-CN"/>
        </w:rPr>
        <w:t>-</w:t>
      </w:r>
      <w:r>
        <w:rPr>
          <w:rFonts w:hint="eastAsia" w:cs="宋体"/>
          <w:color w:val="auto"/>
          <w:highlight w:val="none"/>
        </w:rPr>
        <w:t>，不足部分参考市场定价</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2.2 </w:t>
      </w:r>
      <w:r>
        <w:rPr>
          <w:rFonts w:hint="eastAsia" w:hAnsi="宋体" w:cs="宋体"/>
          <w:color w:val="auto"/>
          <w:highlight w:val="none"/>
        </w:rPr>
        <w:t>分部分项及单价措施项目综合单价应包括招标文件中招标人要求投标人所承担的风险内容及其范围（幅度）产生的风险费用。</w:t>
      </w:r>
    </w:p>
    <w:p>
      <w:pPr>
        <w:spacing w:line="360" w:lineRule="auto"/>
        <w:ind w:firstLine="420"/>
        <w:rPr>
          <w:color w:val="auto"/>
          <w:highlight w:val="none"/>
        </w:rPr>
      </w:pPr>
      <w:r>
        <w:rPr>
          <w:color w:val="auto"/>
          <w:highlight w:val="none"/>
        </w:rPr>
        <w:t xml:space="preserve">2.3 </w:t>
      </w:r>
      <w:r>
        <w:rPr>
          <w:rFonts w:hint="eastAsia" w:hAnsi="宋体" w:cs="宋体"/>
          <w:color w:val="auto"/>
          <w:highlight w:val="none"/>
        </w:rPr>
        <w:t>总价措施项目应根据拟定的招标文件和常规施工方案按《计价规范》和《计算规范》规定编制。</w:t>
      </w:r>
    </w:p>
    <w:p>
      <w:pPr>
        <w:spacing w:line="360" w:lineRule="auto"/>
        <w:ind w:firstLine="420" w:firstLineChars="200"/>
        <w:rPr>
          <w:color w:val="auto"/>
          <w:highlight w:val="none"/>
        </w:rPr>
      </w:pPr>
      <w:r>
        <w:rPr>
          <w:color w:val="auto"/>
          <w:highlight w:val="none"/>
        </w:rPr>
        <w:t xml:space="preserve">2.4 </w:t>
      </w:r>
      <w:r>
        <w:rPr>
          <w:rFonts w:hint="eastAsia" w:cs="宋体"/>
          <w:color w:val="auto"/>
          <w:highlight w:val="none"/>
        </w:rPr>
        <w:t>其他项目费应按下列规定报价：</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）暂列金额应按招标工程量清单中列出的金额填写；</w:t>
      </w:r>
    </w:p>
    <w:p>
      <w:pPr>
        <w:pStyle w:val="25"/>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）材料、工程设备暂估价应按招标工程量清单中列出的单价计入综合单价；</w:t>
      </w:r>
    </w:p>
    <w:p>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）专业工程暂估价应按招标工程量清单中列出的金额填写；</w:t>
      </w:r>
    </w:p>
    <w:p>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）计日工应按招标工程量清单中列出的项目和数量，根据工程特点和有关计价依据确定的综合单价计算；</w:t>
      </w:r>
    </w:p>
    <w:p>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）总承包服务费应根据招标工程量清单列出的内容</w:t>
      </w:r>
      <w:r>
        <w:rPr>
          <w:rFonts w:hint="eastAsia" w:hAnsi="宋体" w:cs="宋体"/>
          <w:color w:val="auto"/>
          <w:highlight w:val="none"/>
        </w:rPr>
        <w:t>和要求，按自治区住房城乡建设行政主管部门颁发的计价定额及有关规定计算</w:t>
      </w:r>
      <w:r>
        <w:rPr>
          <w:rFonts w:hint="eastAsia" w:cs="宋体"/>
          <w:color w:val="auto"/>
          <w:highlight w:val="none"/>
        </w:rPr>
        <w:t>。</w:t>
      </w:r>
    </w:p>
    <w:p>
      <w:pPr>
        <w:spacing w:line="360" w:lineRule="auto"/>
        <w:ind w:firstLine="420" w:firstLineChars="200"/>
        <w:rPr>
          <w:color w:val="auto"/>
          <w:highlight w:val="none"/>
        </w:rPr>
      </w:pPr>
      <w:r>
        <w:rPr>
          <w:color w:val="auto"/>
          <w:highlight w:val="none"/>
        </w:rPr>
        <w:t xml:space="preserve">2.5 </w:t>
      </w:r>
      <w:r>
        <w:rPr>
          <w:rFonts w:hint="eastAsia" w:cs="宋体"/>
          <w:color w:val="auto"/>
          <w:highlight w:val="none"/>
        </w:rPr>
        <w:t>规费和增值税应按规定确定，作为不可竞争费用。</w:t>
      </w:r>
    </w:p>
    <w:p>
      <w:pPr>
        <w:spacing w:line="360" w:lineRule="auto"/>
        <w:ind w:firstLine="420"/>
        <w:rPr>
          <w:color w:val="auto"/>
          <w:highlight w:val="none"/>
          <w:u w:val="single"/>
        </w:rPr>
      </w:pPr>
      <w:r>
        <w:rPr>
          <w:color w:val="auto"/>
          <w:highlight w:val="none"/>
        </w:rPr>
        <w:t xml:space="preserve">2.6 </w:t>
      </w:r>
      <w:r>
        <w:rPr>
          <w:rFonts w:hint="eastAsia" w:hAnsi="宋体" w:cs="宋体"/>
          <w:color w:val="auto"/>
          <w:highlight w:val="none"/>
        </w:rPr>
        <w:t>其它需要说明的问题：</w:t>
      </w:r>
      <w:r>
        <w:rPr>
          <w:color w:val="auto"/>
          <w:highlight w:val="none"/>
          <w:u w:val="single"/>
        </w:rPr>
        <w:t xml:space="preserve">                                                       </w:t>
      </w:r>
    </w:p>
    <w:p>
      <w:pPr>
        <w:spacing w:line="360" w:lineRule="auto"/>
        <w:rPr>
          <w:rFonts w:hAnsi="宋体"/>
          <w:color w:val="auto"/>
          <w:highlight w:val="none"/>
        </w:rPr>
      </w:pPr>
      <w:r>
        <w:rPr>
          <w:color w:val="auto"/>
          <w:highlight w:val="none"/>
          <w:u w:val="single"/>
        </w:rPr>
        <w:t xml:space="preserve">                                                                                 </w:t>
      </w:r>
      <w:r>
        <w:rPr>
          <w:rFonts w:hint="eastAsia" w:hAnsi="宋体" w:cs="宋体"/>
          <w:color w:val="auto"/>
          <w:highlight w:val="none"/>
        </w:rPr>
        <w:t>。</w:t>
      </w:r>
    </w:p>
    <w:p>
      <w:pPr>
        <w:pStyle w:val="6"/>
        <w:rPr>
          <w:color w:val="auto"/>
          <w:highlight w:val="none"/>
        </w:rPr>
      </w:pPr>
      <w:bookmarkStart w:id="429" w:name="_Toc407135286"/>
      <w:bookmarkStart w:id="430" w:name="_Toc18767"/>
      <w:r>
        <w:rPr>
          <w:color w:val="auto"/>
          <w:highlight w:val="none"/>
        </w:rPr>
        <w:t xml:space="preserve">3 </w:t>
      </w:r>
      <w:r>
        <w:rPr>
          <w:rFonts w:hint="eastAsia" w:cs="黑体"/>
          <w:color w:val="auto"/>
          <w:highlight w:val="none"/>
        </w:rPr>
        <w:t>投标报价（已标价工程量清单）编制说明</w:t>
      </w:r>
      <w:bookmarkEnd w:id="429"/>
      <w:bookmarkEnd w:id="430"/>
    </w:p>
    <w:p>
      <w:pPr>
        <w:spacing w:line="360" w:lineRule="auto"/>
        <w:ind w:firstLine="420" w:firstLineChars="200"/>
        <w:rPr>
          <w:color w:val="auto"/>
          <w:highlight w:val="none"/>
        </w:rPr>
      </w:pPr>
      <w:r>
        <w:rPr>
          <w:color w:val="auto"/>
          <w:highlight w:val="none"/>
        </w:rPr>
        <w:t xml:space="preserve">3.1 </w:t>
      </w:r>
      <w:r>
        <w:rPr>
          <w:rFonts w:hint="eastAsia" w:cs="宋体"/>
          <w:color w:val="auto"/>
          <w:highlight w:val="none"/>
        </w:rPr>
        <w:t>投标人应依据招标文件、招标工程量清单以及《计价规范》、《计算规范》自主报价，自主报价</w:t>
      </w:r>
      <w:r>
        <w:rPr>
          <w:rFonts w:hint="eastAsia" w:hAnsi="宋体" w:cs="宋体"/>
          <w:color w:val="auto"/>
          <w:highlight w:val="none"/>
        </w:rPr>
        <w:t>不得违反计价规范强制性条文规定。</w:t>
      </w:r>
      <w:r>
        <w:rPr>
          <w:rFonts w:hint="eastAsia" w:cs="宋体"/>
          <w:color w:val="auto"/>
          <w:highlight w:val="none"/>
        </w:rPr>
        <w:t>投标人不得采用总价让利或以百分比让利等形式进行报价，任何优惠（或降价、让利）均应反映在相应清单项目的综合单价中。同时，不得出现任意一项单价重大让利，</w:t>
      </w:r>
      <w:r>
        <w:rPr>
          <w:rFonts w:hint="eastAsia" w:hAnsi="宋体" w:cs="宋体"/>
          <w:color w:val="auto"/>
          <w:highlight w:val="none"/>
        </w:rPr>
        <w:t>不得以自有机械闲置、自有材料等不计成本为由</w:t>
      </w:r>
      <w:r>
        <w:rPr>
          <w:rFonts w:hint="eastAsia" w:cs="宋体"/>
          <w:color w:val="auto"/>
          <w:highlight w:val="none"/>
        </w:rPr>
        <w:t>低于工程成本报价。</w:t>
      </w:r>
    </w:p>
    <w:p>
      <w:pPr>
        <w:spacing w:line="360" w:lineRule="auto"/>
        <w:ind w:firstLine="420" w:firstLineChars="200"/>
        <w:rPr>
          <w:rFonts w:hAnsi="宋体"/>
          <w:color w:val="auto"/>
          <w:highlight w:val="none"/>
        </w:rPr>
      </w:pPr>
      <w:r>
        <w:rPr>
          <w:color w:val="auto"/>
          <w:highlight w:val="none"/>
        </w:rPr>
        <w:t xml:space="preserve">3.2 </w:t>
      </w:r>
      <w:r>
        <w:rPr>
          <w:rFonts w:hint="eastAsia" w:cs="宋体"/>
          <w:color w:val="auto"/>
          <w:highlight w:val="none"/>
        </w:rPr>
        <w:t>投标人应按招标工程量清单填报价格。项目编码、项目名称、项目特征、计量单位、工程量必须与招标工程量清单一致，</w:t>
      </w:r>
      <w:r>
        <w:rPr>
          <w:rFonts w:hint="eastAsia" w:hAnsi="宋体" w:cs="宋体"/>
          <w:color w:val="auto"/>
          <w:highlight w:val="none"/>
        </w:rPr>
        <w:t>投标人不得对招标工程量清单项目进行增减调整。</w:t>
      </w:r>
    </w:p>
    <w:p>
      <w:pPr>
        <w:spacing w:line="360" w:lineRule="auto"/>
        <w:ind w:firstLine="420" w:firstLineChars="200"/>
        <w:rPr>
          <w:color w:val="auto"/>
          <w:highlight w:val="none"/>
        </w:rPr>
      </w:pPr>
      <w:r>
        <w:rPr>
          <w:color w:val="auto"/>
          <w:highlight w:val="none"/>
        </w:rPr>
        <w:t xml:space="preserve">3.3 </w:t>
      </w:r>
      <w:r>
        <w:rPr>
          <w:rFonts w:hint="eastAsia" w:cs="宋体"/>
          <w:color w:val="auto"/>
          <w:highlight w:val="none"/>
        </w:rPr>
        <w:t>综合单价中应包含招标文件中划分的应由投标人承担的风险范围及其费用。</w:t>
      </w:r>
    </w:p>
    <w:p>
      <w:pPr>
        <w:spacing w:line="360" w:lineRule="auto"/>
        <w:ind w:firstLine="420" w:firstLineChars="200"/>
        <w:rPr>
          <w:rFonts w:hAnsi="宋体"/>
          <w:color w:val="auto"/>
          <w:highlight w:val="none"/>
        </w:rPr>
      </w:pPr>
      <w:r>
        <w:rPr>
          <w:color w:val="auto"/>
          <w:highlight w:val="none"/>
        </w:rPr>
        <w:t xml:space="preserve">3.4 </w:t>
      </w:r>
      <w:r>
        <w:rPr>
          <w:rFonts w:hint="eastAsia" w:hAnsi="宋体" w:cs="宋体"/>
          <w:color w:val="auto"/>
          <w:highlight w:val="none"/>
        </w:rPr>
        <w:t>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pPr>
        <w:spacing w:line="360" w:lineRule="auto"/>
        <w:ind w:firstLine="420" w:firstLineChars="200"/>
        <w:rPr>
          <w:color w:val="auto"/>
          <w:highlight w:val="none"/>
        </w:rPr>
      </w:pPr>
      <w:r>
        <w:rPr>
          <w:color w:val="auto"/>
          <w:highlight w:val="none"/>
        </w:rPr>
        <w:t xml:space="preserve">3.5 </w:t>
      </w:r>
      <w:r>
        <w:rPr>
          <w:rFonts w:hint="eastAsia" w:hAnsi="宋体" w:cs="宋体"/>
          <w:color w:val="auto"/>
          <w:highlight w:val="none"/>
        </w:rPr>
        <w:t>总价措施项目的金额应根据招标文件及投标时拟定的施工组织设计或施工方案，按计价规范的规定自主确定。但</w:t>
      </w:r>
      <w:r>
        <w:rPr>
          <w:rFonts w:hint="eastAsia" w:cs="宋体"/>
          <w:color w:val="auto"/>
          <w:highlight w:val="none"/>
        </w:rPr>
        <w:t>安全文明施工费按国家、省级或行业建设主管部门的有关规定执行，作为不竞争费用单列。</w:t>
      </w:r>
    </w:p>
    <w:p>
      <w:pPr>
        <w:spacing w:line="360" w:lineRule="auto"/>
        <w:ind w:firstLine="420" w:firstLineChars="200"/>
        <w:rPr>
          <w:color w:val="auto"/>
          <w:highlight w:val="none"/>
        </w:rPr>
      </w:pPr>
      <w:r>
        <w:rPr>
          <w:color w:val="auto"/>
          <w:highlight w:val="none"/>
        </w:rPr>
        <w:t xml:space="preserve">3.6 </w:t>
      </w:r>
      <w:r>
        <w:rPr>
          <w:rFonts w:hint="eastAsia" w:cs="宋体"/>
          <w:color w:val="auto"/>
          <w:highlight w:val="none"/>
        </w:rPr>
        <w:t>其他项目费应按下列规定报价：</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）暂列金额应按招标工程量清单中列出的金额填写；</w:t>
      </w:r>
    </w:p>
    <w:p>
      <w:pPr>
        <w:pStyle w:val="25"/>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）材料、工程设备暂估价应按招标工程量清单中列出的单价计入综合单价；</w:t>
      </w:r>
    </w:p>
    <w:p>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）专业工程暂估价应按招标工程量清单中列出的金额填写；</w:t>
      </w:r>
    </w:p>
    <w:p>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）计日工应按招标工程量清单中列出的项目和估算数量，自主确定综合单价并计算计日工总额；计日工单价均不含规费和税金；</w:t>
      </w:r>
    </w:p>
    <w:p>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）总承包服务费应根据招标工程量清单中列出的内容</w:t>
      </w:r>
      <w:r>
        <w:rPr>
          <w:rFonts w:hint="eastAsia" w:hAnsi="宋体" w:cs="宋体"/>
          <w:color w:val="auto"/>
          <w:highlight w:val="none"/>
        </w:rPr>
        <w:t>和供应材料、设备情况，按照招标人提出的协调、配合与服务要求和施工现场管理需要</w:t>
      </w:r>
      <w:r>
        <w:rPr>
          <w:rFonts w:hint="eastAsia" w:cs="宋体"/>
          <w:color w:val="auto"/>
          <w:highlight w:val="none"/>
        </w:rPr>
        <w:t>自主确定。</w:t>
      </w:r>
    </w:p>
    <w:p>
      <w:pPr>
        <w:spacing w:line="360" w:lineRule="auto"/>
        <w:ind w:firstLine="420" w:firstLineChars="200"/>
        <w:rPr>
          <w:color w:val="auto"/>
          <w:highlight w:val="none"/>
        </w:rPr>
      </w:pPr>
      <w:r>
        <w:rPr>
          <w:color w:val="auto"/>
          <w:highlight w:val="none"/>
        </w:rPr>
        <w:t xml:space="preserve">3.7 </w:t>
      </w:r>
      <w:r>
        <w:rPr>
          <w:rFonts w:hint="eastAsia" w:cs="宋体"/>
          <w:color w:val="auto"/>
          <w:highlight w:val="none"/>
        </w:rPr>
        <w:t>规费和增值税应按规定确定，作为不可竞争费用。</w:t>
      </w:r>
    </w:p>
    <w:p>
      <w:pPr>
        <w:spacing w:line="360" w:lineRule="auto"/>
        <w:ind w:firstLine="420" w:firstLineChars="200"/>
        <w:rPr>
          <w:color w:val="auto"/>
          <w:highlight w:val="none"/>
        </w:rPr>
      </w:pPr>
      <w:r>
        <w:rPr>
          <w:color w:val="auto"/>
          <w:highlight w:val="none"/>
        </w:rPr>
        <w:t xml:space="preserve">3.8 </w:t>
      </w:r>
      <w:r>
        <w:rPr>
          <w:rFonts w:hint="eastAsia" w:cs="宋体"/>
          <w:color w:val="auto"/>
          <w:highlight w:val="none"/>
        </w:rPr>
        <w:t>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pPr>
        <w:spacing w:line="360" w:lineRule="auto"/>
        <w:ind w:firstLine="420" w:firstLineChars="200"/>
        <w:rPr>
          <w:color w:val="auto"/>
          <w:highlight w:val="none"/>
        </w:rPr>
      </w:pPr>
      <w:r>
        <w:rPr>
          <w:color w:val="auto"/>
          <w:highlight w:val="none"/>
        </w:rPr>
        <w:t xml:space="preserve">3.9 </w:t>
      </w:r>
      <w:r>
        <w:rPr>
          <w:rFonts w:hint="eastAsia" w:cs="宋体"/>
          <w:color w:val="auto"/>
          <w:highlight w:val="none"/>
        </w:rPr>
        <w:t>投标总价应当与分部分项工程费、措施项目费、其他项目费和规费、增值税的合计金额一致。</w:t>
      </w:r>
    </w:p>
    <w:p>
      <w:pPr>
        <w:spacing w:line="360" w:lineRule="auto"/>
        <w:ind w:firstLine="420" w:firstLineChars="200"/>
        <w:rPr>
          <w:color w:val="auto"/>
          <w:highlight w:val="none"/>
        </w:rPr>
      </w:pPr>
      <w:r>
        <w:rPr>
          <w:color w:val="auto"/>
          <w:highlight w:val="none"/>
        </w:rPr>
        <w:t>3.1</w:t>
      </w:r>
      <w:r>
        <w:rPr>
          <w:rFonts w:hint="eastAsia"/>
          <w:color w:val="auto"/>
          <w:highlight w:val="none"/>
        </w:rPr>
        <w:t>0</w:t>
      </w:r>
      <w:r>
        <w:rPr>
          <w:color w:val="auto"/>
          <w:highlight w:val="none"/>
        </w:rPr>
        <w:t xml:space="preserve"> </w:t>
      </w:r>
      <w:r>
        <w:rPr>
          <w:rFonts w:hint="eastAsia" w:cs="宋体"/>
          <w:color w:val="auto"/>
          <w:highlight w:val="none"/>
        </w:rPr>
        <w:t>投标人应按《承包人提供的主要材料和设备一览表》的内容填报，不得擅自调整材料和设备名称型号规格、单位、风险系数、基准单价。</w:t>
      </w:r>
    </w:p>
    <w:p>
      <w:pPr>
        <w:spacing w:line="360" w:lineRule="auto"/>
        <w:ind w:firstLine="420" w:firstLineChars="200"/>
        <w:rPr>
          <w:rFonts w:hAnsi="宋体"/>
          <w:color w:val="auto"/>
          <w:highlight w:val="none"/>
        </w:rPr>
      </w:pPr>
      <w:r>
        <w:rPr>
          <w:color w:val="auto"/>
          <w:highlight w:val="none"/>
        </w:rPr>
        <w:t>3.1</w:t>
      </w:r>
      <w:r>
        <w:rPr>
          <w:rFonts w:hint="eastAsia"/>
          <w:color w:val="auto"/>
          <w:highlight w:val="none"/>
        </w:rPr>
        <w:t>1</w:t>
      </w:r>
      <w:r>
        <w:rPr>
          <w:rFonts w:hint="eastAsia" w:hAnsi="宋体" w:cs="宋体"/>
          <w:color w:val="auto"/>
          <w:highlight w:val="none"/>
        </w:rPr>
        <w:t>投标报价</w:t>
      </w:r>
      <w:r>
        <w:rPr>
          <w:rFonts w:hint="eastAsia" w:cs="宋体"/>
          <w:color w:val="auto"/>
          <w:highlight w:val="none"/>
        </w:rPr>
        <w:t>表格按本工程工程量清单表格要求填写，并</w:t>
      </w:r>
      <w:r>
        <w:rPr>
          <w:rFonts w:hint="eastAsia" w:hAnsi="宋体" w:cs="宋体"/>
          <w:color w:val="auto"/>
          <w:highlight w:val="none"/>
        </w:rPr>
        <w:t>应按招标文件的要求，附上《工程量清单综合单价分析表》（表</w:t>
      </w:r>
      <w:r>
        <w:rPr>
          <w:color w:val="auto"/>
          <w:highlight w:val="none"/>
        </w:rPr>
        <w:t>-09</w:t>
      </w:r>
      <w:r>
        <w:rPr>
          <w:rFonts w:hint="eastAsia" w:hAnsi="宋体" w:cs="宋体"/>
          <w:color w:val="auto"/>
          <w:highlight w:val="none"/>
        </w:rPr>
        <w:t>）和《主要清单项目工料机分析表》（表</w:t>
      </w:r>
      <w:r>
        <w:rPr>
          <w:color w:val="auto"/>
          <w:highlight w:val="none"/>
        </w:rPr>
        <w:t>-10</w:t>
      </w:r>
      <w:r>
        <w:rPr>
          <w:rFonts w:hint="eastAsia" w:hAnsi="宋体" w:cs="宋体"/>
          <w:color w:val="auto"/>
          <w:highlight w:val="none"/>
        </w:rPr>
        <w:t>）。</w:t>
      </w:r>
    </w:p>
    <w:p>
      <w:pPr>
        <w:spacing w:line="360" w:lineRule="auto"/>
        <w:ind w:firstLine="420" w:firstLineChars="200"/>
        <w:rPr>
          <w:color w:val="auto"/>
          <w:highlight w:val="none"/>
          <w:u w:val="single"/>
        </w:rPr>
      </w:pPr>
      <w:r>
        <w:rPr>
          <w:rFonts w:hint="eastAsia" w:cs="宋体"/>
          <w:color w:val="auto"/>
          <w:highlight w:val="none"/>
        </w:rPr>
        <w:t>未尽事宜详见本工程招标工程量清单、招标控制价编制说明以及现行《计价规范》等有关规定执行。</w:t>
      </w:r>
    </w:p>
    <w:bookmarkEnd w:id="423"/>
    <w:p>
      <w:pPr>
        <w:spacing w:line="360" w:lineRule="auto"/>
        <w:ind w:firstLine="420" w:firstLineChars="200"/>
        <w:rPr>
          <w:color w:val="auto"/>
          <w:highlight w:val="none"/>
        </w:rPr>
      </w:pPr>
      <w:r>
        <w:rPr>
          <w:color w:val="auto"/>
          <w:highlight w:val="none"/>
        </w:rPr>
        <w:br w:type="page"/>
      </w:r>
    </w:p>
    <w:p>
      <w:pPr>
        <w:rPr>
          <w:color w:val="auto"/>
          <w:highlight w:val="none"/>
        </w:rPr>
      </w:pPr>
    </w:p>
    <w:p>
      <w:pPr>
        <w:pStyle w:val="5"/>
        <w:jc w:val="center"/>
        <w:rPr>
          <w:color w:val="auto"/>
          <w:highlight w:val="none"/>
        </w:rPr>
      </w:pPr>
      <w:bookmarkStart w:id="431" w:name="_Toc407135287"/>
      <w:bookmarkStart w:id="432" w:name="_Toc389065346"/>
      <w:bookmarkStart w:id="433" w:name="_Toc31894"/>
      <w:bookmarkStart w:id="434" w:name="_Toc358569765"/>
      <w:r>
        <w:rPr>
          <w:rFonts w:hint="eastAsia" w:cs="黑体"/>
          <w:color w:val="auto"/>
          <w:highlight w:val="none"/>
        </w:rPr>
        <w:t>第六章</w:t>
      </w:r>
      <w:r>
        <w:rPr>
          <w:color w:val="auto"/>
          <w:highlight w:val="none"/>
        </w:rPr>
        <w:t xml:space="preserve"> </w:t>
      </w:r>
      <w:r>
        <w:rPr>
          <w:rFonts w:hint="eastAsia" w:cs="黑体"/>
          <w:color w:val="auto"/>
          <w:highlight w:val="none"/>
        </w:rPr>
        <w:t>图</w:t>
      </w:r>
      <w:r>
        <w:rPr>
          <w:color w:val="auto"/>
          <w:highlight w:val="none"/>
        </w:rPr>
        <w:t xml:space="preserve">  </w:t>
      </w:r>
      <w:r>
        <w:rPr>
          <w:rFonts w:hint="eastAsia" w:cs="黑体"/>
          <w:color w:val="auto"/>
          <w:highlight w:val="none"/>
        </w:rPr>
        <w:t>纸</w:t>
      </w:r>
      <w:bookmarkEnd w:id="431"/>
      <w:bookmarkEnd w:id="432"/>
      <w:bookmarkEnd w:id="433"/>
      <w:bookmarkEnd w:id="434"/>
    </w:p>
    <w:p>
      <w:pPr>
        <w:jc w:val="center"/>
        <w:rPr>
          <w:b/>
          <w:bCs/>
          <w:color w:val="auto"/>
          <w:sz w:val="32"/>
          <w:szCs w:val="32"/>
          <w:highlight w:val="none"/>
        </w:rPr>
      </w:pPr>
      <w:r>
        <w:rPr>
          <w:rFonts w:hint="eastAsia" w:cs="宋体"/>
          <w:b/>
          <w:bCs/>
          <w:color w:val="auto"/>
          <w:sz w:val="32"/>
          <w:szCs w:val="32"/>
          <w:highlight w:val="none"/>
        </w:rPr>
        <w:t>（另册）</w:t>
      </w:r>
    </w:p>
    <w:p>
      <w:pPr>
        <w:spacing w:line="360" w:lineRule="auto"/>
        <w:ind w:firstLine="420" w:firstLineChars="200"/>
        <w:rPr>
          <w:rFonts w:hint="eastAsia" w:hAnsi="宋体" w:cs="宋体"/>
          <w:color w:val="auto"/>
          <w:highlight w:val="none"/>
        </w:rPr>
      </w:pPr>
      <w:r>
        <w:rPr>
          <w:color w:val="auto"/>
          <w:highlight w:val="none"/>
        </w:rPr>
        <w:br w:type="page"/>
      </w:r>
    </w:p>
    <w:p>
      <w:pPr>
        <w:pStyle w:val="5"/>
        <w:jc w:val="center"/>
        <w:rPr>
          <w:rFonts w:cs="黑体"/>
          <w:color w:val="auto"/>
          <w:highlight w:val="none"/>
        </w:rPr>
      </w:pPr>
      <w:bookmarkStart w:id="435" w:name="_Toc407135288"/>
      <w:bookmarkStart w:id="436" w:name="_Toc5707"/>
      <w:bookmarkStart w:id="437" w:name="_Toc358569767"/>
      <w:bookmarkStart w:id="438" w:name="_Toc389065348"/>
      <w:r>
        <w:rPr>
          <w:rFonts w:hint="eastAsia" w:cs="黑体"/>
          <w:color w:val="auto"/>
          <w:highlight w:val="none"/>
        </w:rPr>
        <w:t>第</w:t>
      </w:r>
      <w:r>
        <w:rPr>
          <w:rFonts w:hint="eastAsia" w:cs="黑体"/>
          <w:color w:val="auto"/>
          <w:highlight w:val="none"/>
          <w:lang w:eastAsia="zh-CN"/>
        </w:rPr>
        <w:t>七</w:t>
      </w:r>
      <w:r>
        <w:rPr>
          <w:rFonts w:hint="eastAsia" w:cs="黑体"/>
          <w:color w:val="auto"/>
          <w:highlight w:val="none"/>
        </w:rPr>
        <w:t>章</w:t>
      </w:r>
      <w:r>
        <w:rPr>
          <w:rFonts w:cs="黑体"/>
          <w:color w:val="auto"/>
          <w:highlight w:val="none"/>
        </w:rPr>
        <w:t xml:space="preserve"> </w:t>
      </w:r>
      <w:r>
        <w:rPr>
          <w:rFonts w:hint="eastAsia" w:cs="黑体"/>
          <w:color w:val="auto"/>
          <w:highlight w:val="none"/>
        </w:rPr>
        <w:t>技术标准和要求</w:t>
      </w:r>
      <w:bookmarkEnd w:id="435"/>
      <w:bookmarkEnd w:id="436"/>
      <w:bookmarkEnd w:id="437"/>
      <w:bookmarkEnd w:id="438"/>
    </w:p>
    <w:p>
      <w:pPr>
        <w:jc w:val="center"/>
        <w:rPr>
          <w:color w:val="auto"/>
          <w:highlight w:val="none"/>
        </w:rPr>
      </w:pPr>
      <w:bookmarkStart w:id="439" w:name="_Toc349555826"/>
      <w:bookmarkStart w:id="440" w:name="_Toc349557651"/>
    </w:p>
    <w:p>
      <w:pPr>
        <w:jc w:val="center"/>
        <w:rPr>
          <w:color w:val="auto"/>
          <w:highlight w:val="none"/>
        </w:rPr>
      </w:pPr>
    </w:p>
    <w:p>
      <w:pPr>
        <w:jc w:val="center"/>
        <w:rPr>
          <w:color w:val="auto"/>
          <w:sz w:val="24"/>
          <w:szCs w:val="24"/>
          <w:highlight w:val="none"/>
        </w:rPr>
      </w:pPr>
      <w:r>
        <w:rPr>
          <w:rFonts w:hint="eastAsia" w:cs="宋体"/>
          <w:color w:val="auto"/>
          <w:sz w:val="24"/>
          <w:szCs w:val="24"/>
          <w:highlight w:val="none"/>
        </w:rPr>
        <w:t>本章由招标人根据国家行业和地方现行标准、规范和规程等，</w:t>
      </w:r>
    </w:p>
    <w:p>
      <w:pPr>
        <w:jc w:val="center"/>
        <w:rPr>
          <w:b/>
          <w:bCs/>
          <w:color w:val="auto"/>
          <w:kern w:val="44"/>
          <w:sz w:val="32"/>
          <w:szCs w:val="32"/>
          <w:highlight w:val="none"/>
        </w:rPr>
      </w:pPr>
      <w:r>
        <w:rPr>
          <w:rFonts w:hint="eastAsia" w:cs="宋体"/>
          <w:color w:val="auto"/>
          <w:sz w:val="24"/>
          <w:szCs w:val="24"/>
          <w:highlight w:val="none"/>
        </w:rPr>
        <w:t>以及项目具体情况摘录。</w:t>
      </w:r>
      <w:bookmarkEnd w:id="439"/>
      <w:bookmarkEnd w:id="440"/>
      <w:r>
        <w:rPr>
          <w:color w:val="auto"/>
          <w:sz w:val="28"/>
          <w:szCs w:val="28"/>
          <w:highlight w:val="none"/>
        </w:rPr>
        <w:br w:type="page"/>
      </w:r>
    </w:p>
    <w:p>
      <w:pPr>
        <w:rPr>
          <w:color w:val="auto"/>
          <w:highlight w:val="none"/>
        </w:rPr>
      </w:pPr>
    </w:p>
    <w:p>
      <w:pPr>
        <w:pStyle w:val="5"/>
        <w:jc w:val="center"/>
        <w:rPr>
          <w:color w:val="auto"/>
          <w:highlight w:val="none"/>
        </w:rPr>
      </w:pPr>
      <w:bookmarkStart w:id="441" w:name="_Toc26420"/>
      <w:bookmarkStart w:id="442" w:name="_Toc389065350"/>
      <w:bookmarkStart w:id="443" w:name="_Toc407135289"/>
      <w:bookmarkStart w:id="444" w:name="_Toc358569769"/>
      <w:r>
        <w:rPr>
          <w:rFonts w:hint="eastAsia" w:cs="黑体"/>
          <w:color w:val="auto"/>
          <w:highlight w:val="none"/>
        </w:rPr>
        <w:t>第</w:t>
      </w:r>
      <w:r>
        <w:rPr>
          <w:rFonts w:hint="eastAsia" w:cs="黑体"/>
          <w:color w:val="auto"/>
          <w:highlight w:val="none"/>
          <w:lang w:eastAsia="zh-CN"/>
        </w:rPr>
        <w:t>八</w:t>
      </w:r>
      <w:r>
        <w:rPr>
          <w:rFonts w:hint="eastAsia" w:cs="黑体"/>
          <w:color w:val="auto"/>
          <w:highlight w:val="none"/>
        </w:rPr>
        <w:t>章</w:t>
      </w:r>
      <w:r>
        <w:rPr>
          <w:color w:val="auto"/>
          <w:highlight w:val="none"/>
        </w:rPr>
        <w:t xml:space="preserve"> </w:t>
      </w:r>
      <w:r>
        <w:rPr>
          <w:rFonts w:hint="eastAsia" w:cs="黑体"/>
          <w:color w:val="auto"/>
          <w:highlight w:val="none"/>
        </w:rPr>
        <w:t>投标文件格式</w:t>
      </w:r>
      <w:bookmarkEnd w:id="441"/>
      <w:bookmarkEnd w:id="442"/>
      <w:bookmarkEnd w:id="443"/>
      <w:bookmarkEnd w:id="444"/>
    </w:p>
    <w:p>
      <w:pPr>
        <w:jc w:val="center"/>
        <w:rPr>
          <w:color w:val="auto"/>
          <w:sz w:val="32"/>
          <w:szCs w:val="32"/>
          <w:highlight w:val="none"/>
        </w:rPr>
      </w:pPr>
    </w:p>
    <w:p>
      <w:pPr>
        <w:jc w:val="center"/>
        <w:rPr>
          <w:color w:val="auto"/>
          <w:sz w:val="28"/>
          <w:szCs w:val="28"/>
          <w:highlight w:val="none"/>
        </w:rPr>
      </w:pPr>
      <w:r>
        <w:rPr>
          <w:color w:val="auto"/>
          <w:sz w:val="32"/>
          <w:szCs w:val="32"/>
          <w:highlight w:val="none"/>
          <w:u w:val="single"/>
        </w:rPr>
        <w:t xml:space="preserve">             </w:t>
      </w:r>
      <w:r>
        <w:rPr>
          <w:rFonts w:hint="eastAsia" w:cs="宋体"/>
          <w:color w:val="auto"/>
          <w:sz w:val="28"/>
          <w:szCs w:val="28"/>
          <w:highlight w:val="none"/>
        </w:rPr>
        <w:t>（项目名称）施工招标</w:t>
      </w:r>
    </w:p>
    <w:p>
      <w:pPr>
        <w:jc w:val="center"/>
        <w:rPr>
          <w:color w:val="auto"/>
          <w:sz w:val="28"/>
          <w:szCs w:val="28"/>
          <w:highlight w:val="none"/>
        </w:rPr>
      </w:pPr>
    </w:p>
    <w:p>
      <w:pPr>
        <w:spacing w:before="240" w:beforeLines="100"/>
        <w:jc w:val="center"/>
        <w:rPr>
          <w:color w:val="auto"/>
          <w:sz w:val="52"/>
          <w:szCs w:val="52"/>
          <w:highlight w:val="none"/>
        </w:rPr>
      </w:pPr>
      <w:r>
        <w:rPr>
          <w:rFonts w:hint="eastAsia" w:cs="宋体"/>
          <w:color w:val="auto"/>
          <w:sz w:val="52"/>
          <w:szCs w:val="52"/>
          <w:highlight w:val="none"/>
        </w:rPr>
        <w:t>投</w:t>
      </w:r>
      <w:r>
        <w:rPr>
          <w:color w:val="auto"/>
          <w:sz w:val="52"/>
          <w:szCs w:val="52"/>
          <w:highlight w:val="none"/>
        </w:rPr>
        <w:t xml:space="preserve">  </w:t>
      </w:r>
      <w:r>
        <w:rPr>
          <w:rFonts w:hint="eastAsia" w:cs="宋体"/>
          <w:color w:val="auto"/>
          <w:sz w:val="52"/>
          <w:szCs w:val="52"/>
          <w:highlight w:val="none"/>
        </w:rPr>
        <w:t>标</w:t>
      </w:r>
      <w:r>
        <w:rPr>
          <w:color w:val="auto"/>
          <w:sz w:val="52"/>
          <w:szCs w:val="52"/>
          <w:highlight w:val="none"/>
        </w:rPr>
        <w:t xml:space="preserve">  </w:t>
      </w:r>
      <w:r>
        <w:rPr>
          <w:rFonts w:hint="eastAsia" w:cs="宋体"/>
          <w:color w:val="auto"/>
          <w:sz w:val="52"/>
          <w:szCs w:val="52"/>
          <w:highlight w:val="none"/>
        </w:rPr>
        <w:t>文</w:t>
      </w:r>
      <w:r>
        <w:rPr>
          <w:color w:val="auto"/>
          <w:sz w:val="52"/>
          <w:szCs w:val="52"/>
          <w:highlight w:val="none"/>
        </w:rPr>
        <w:t xml:space="preserve">  </w:t>
      </w:r>
      <w:r>
        <w:rPr>
          <w:rFonts w:hint="eastAsia" w:cs="宋体"/>
          <w:color w:val="auto"/>
          <w:sz w:val="52"/>
          <w:szCs w:val="52"/>
          <w:highlight w:val="none"/>
        </w:rPr>
        <w:t>件</w:t>
      </w: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spacing w:line="360" w:lineRule="auto"/>
        <w:ind w:firstLine="2380" w:firstLineChars="850"/>
        <w:rPr>
          <w:color w:val="auto"/>
          <w:sz w:val="28"/>
          <w:szCs w:val="28"/>
          <w:highlight w:val="none"/>
          <w:u w:val="single"/>
        </w:rPr>
      </w:pPr>
      <w:r>
        <w:rPr>
          <w:rFonts w:hint="eastAsia" w:cs="宋体"/>
          <w:color w:val="auto"/>
          <w:sz w:val="28"/>
          <w:szCs w:val="28"/>
          <w:highlight w:val="none"/>
        </w:rPr>
        <w:t>项目招标编号：</w:t>
      </w:r>
      <w:r>
        <w:rPr>
          <w:color w:val="auto"/>
          <w:sz w:val="28"/>
          <w:szCs w:val="28"/>
          <w:highlight w:val="none"/>
          <w:u w:val="single"/>
        </w:rPr>
        <w:t xml:space="preserve">                   </w:t>
      </w: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spacing w:line="360" w:lineRule="auto"/>
        <w:ind w:firstLine="1400" w:firstLineChars="500"/>
        <w:rPr>
          <w:color w:val="auto"/>
          <w:sz w:val="28"/>
          <w:szCs w:val="28"/>
          <w:highlight w:val="none"/>
        </w:rPr>
      </w:pPr>
      <w:r>
        <w:rPr>
          <w:rFonts w:hint="eastAsia" w:cs="宋体"/>
          <w:color w:val="auto"/>
          <w:sz w:val="28"/>
          <w:szCs w:val="28"/>
          <w:highlight w:val="none"/>
        </w:rPr>
        <w:t>投标内容：</w:t>
      </w:r>
      <w:r>
        <w:rPr>
          <w:color w:val="auto"/>
          <w:sz w:val="28"/>
          <w:szCs w:val="28"/>
          <w:highlight w:val="none"/>
          <w:u w:val="single"/>
        </w:rPr>
        <w:t xml:space="preserve">            </w:t>
      </w:r>
      <w:r>
        <w:rPr>
          <w:rFonts w:hint="eastAsia" w:cs="宋体"/>
          <w:color w:val="auto"/>
          <w:sz w:val="28"/>
          <w:szCs w:val="28"/>
          <w:highlight w:val="none"/>
          <w:u w:val="single"/>
        </w:rPr>
        <w:t>资格审查部分</w:t>
      </w:r>
      <w:r>
        <w:rPr>
          <w:color w:val="auto"/>
          <w:sz w:val="28"/>
          <w:szCs w:val="28"/>
          <w:highlight w:val="none"/>
          <w:u w:val="single"/>
        </w:rPr>
        <w:t xml:space="preserve">           </w:t>
      </w:r>
    </w:p>
    <w:p>
      <w:pPr>
        <w:spacing w:line="360" w:lineRule="auto"/>
        <w:ind w:firstLine="1400" w:firstLineChars="500"/>
        <w:rPr>
          <w:color w:val="auto"/>
          <w:sz w:val="28"/>
          <w:szCs w:val="28"/>
          <w:highlight w:val="none"/>
        </w:rPr>
      </w:pPr>
      <w:r>
        <w:rPr>
          <w:rFonts w:hint="eastAsia" w:cs="宋体"/>
          <w:color w:val="auto"/>
          <w:sz w:val="28"/>
          <w:szCs w:val="28"/>
          <w:highlight w:val="none"/>
        </w:rPr>
        <w:t>投标人：</w:t>
      </w:r>
      <w:r>
        <w:rPr>
          <w:color w:val="auto"/>
          <w:sz w:val="28"/>
          <w:szCs w:val="28"/>
          <w:highlight w:val="none"/>
          <w:u w:val="single"/>
        </w:rPr>
        <w:t xml:space="preserve">                                 </w:t>
      </w:r>
      <w:r>
        <w:rPr>
          <w:rFonts w:hint="eastAsia" w:cs="宋体"/>
          <w:color w:val="auto"/>
          <w:sz w:val="28"/>
          <w:szCs w:val="28"/>
          <w:highlight w:val="none"/>
        </w:rPr>
        <w:t>（盖单位章）</w:t>
      </w:r>
    </w:p>
    <w:p>
      <w:pPr>
        <w:spacing w:line="360" w:lineRule="auto"/>
        <w:ind w:firstLine="1400" w:firstLineChars="500"/>
        <w:rPr>
          <w:color w:val="auto"/>
          <w:sz w:val="28"/>
          <w:szCs w:val="28"/>
          <w:highlight w:val="none"/>
        </w:rPr>
      </w:pPr>
      <w:r>
        <w:rPr>
          <w:rFonts w:hint="eastAsia" w:cs="宋体"/>
          <w:color w:val="auto"/>
          <w:sz w:val="28"/>
          <w:szCs w:val="28"/>
          <w:highlight w:val="none"/>
        </w:rPr>
        <w:t>法定代表人：</w:t>
      </w:r>
      <w:r>
        <w:rPr>
          <w:color w:val="auto"/>
          <w:sz w:val="28"/>
          <w:szCs w:val="28"/>
          <w:highlight w:val="none"/>
          <w:u w:val="single"/>
        </w:rPr>
        <w:t xml:space="preserve">              </w:t>
      </w:r>
      <w:r>
        <w:rPr>
          <w:rFonts w:hint="eastAsia" w:cs="宋体"/>
          <w:color w:val="auto"/>
          <w:sz w:val="28"/>
          <w:szCs w:val="28"/>
          <w:highlight w:val="none"/>
        </w:rPr>
        <w:t>（签字或盖章）</w:t>
      </w:r>
    </w:p>
    <w:p>
      <w:pPr>
        <w:jc w:val="center"/>
        <w:rPr>
          <w:color w:val="auto"/>
          <w:sz w:val="28"/>
          <w:szCs w:val="28"/>
          <w:highlight w:val="none"/>
        </w:rPr>
      </w:pPr>
    </w:p>
    <w:p>
      <w:pPr>
        <w:jc w:val="center"/>
        <w:rPr>
          <w:color w:val="auto"/>
          <w:sz w:val="28"/>
          <w:szCs w:val="28"/>
          <w:highlight w:val="none"/>
        </w:rPr>
      </w:pPr>
    </w:p>
    <w:p>
      <w:pPr>
        <w:jc w:val="center"/>
        <w:rPr>
          <w:color w:val="auto"/>
          <w:sz w:val="28"/>
          <w:szCs w:val="28"/>
          <w:highlight w:val="none"/>
        </w:rPr>
      </w:pPr>
      <w:r>
        <w:rPr>
          <w:color w:val="auto"/>
          <w:sz w:val="28"/>
          <w:szCs w:val="28"/>
          <w:highlight w:val="none"/>
          <w:u w:val="single"/>
        </w:rPr>
        <w:t xml:space="preserve">         </w:t>
      </w:r>
      <w:r>
        <w:rPr>
          <w:rFonts w:hint="eastAsia" w:cs="宋体"/>
          <w:color w:val="auto"/>
          <w:sz w:val="28"/>
          <w:szCs w:val="28"/>
          <w:highlight w:val="none"/>
        </w:rPr>
        <w:t>年</w:t>
      </w:r>
      <w:r>
        <w:rPr>
          <w:color w:val="auto"/>
          <w:sz w:val="28"/>
          <w:szCs w:val="28"/>
          <w:highlight w:val="none"/>
          <w:u w:val="single"/>
        </w:rPr>
        <w:t xml:space="preserve">         </w:t>
      </w:r>
      <w:r>
        <w:rPr>
          <w:rFonts w:hint="eastAsia" w:cs="宋体"/>
          <w:color w:val="auto"/>
          <w:sz w:val="28"/>
          <w:szCs w:val="28"/>
          <w:highlight w:val="none"/>
        </w:rPr>
        <w:t>月</w:t>
      </w:r>
      <w:r>
        <w:rPr>
          <w:color w:val="auto"/>
          <w:sz w:val="28"/>
          <w:szCs w:val="28"/>
          <w:highlight w:val="none"/>
          <w:u w:val="single"/>
        </w:rPr>
        <w:t xml:space="preserve">         </w:t>
      </w:r>
      <w:r>
        <w:rPr>
          <w:rFonts w:hint="eastAsia" w:cs="宋体"/>
          <w:color w:val="auto"/>
          <w:sz w:val="28"/>
          <w:szCs w:val="28"/>
          <w:highlight w:val="none"/>
        </w:rPr>
        <w:t>日</w:t>
      </w:r>
    </w:p>
    <w:p>
      <w:pPr>
        <w:spacing w:before="240" w:beforeLines="100" w:after="240" w:afterLines="100"/>
        <w:rPr>
          <w:rFonts w:eastAsia="楷体_GB2312"/>
          <w:color w:val="auto"/>
          <w:highlight w:val="none"/>
        </w:rPr>
      </w:pPr>
      <w:r>
        <w:rPr>
          <w:rFonts w:eastAsia="楷体_GB2312"/>
          <w:color w:val="auto"/>
          <w:highlight w:val="none"/>
        </w:rPr>
        <w:t xml:space="preserve"> </w:t>
      </w:r>
    </w:p>
    <w:p>
      <w:pPr>
        <w:pStyle w:val="30"/>
        <w:rPr>
          <w:color w:val="auto"/>
          <w:highlight w:val="none"/>
        </w:rPr>
      </w:pPr>
      <w:r>
        <w:rPr>
          <w:color w:val="auto"/>
          <w:highlight w:val="none"/>
        </w:rPr>
        <w:br w:type="page"/>
      </w:r>
      <w:bookmarkStart w:id="445" w:name="_Toc251051976"/>
      <w:bookmarkStart w:id="446" w:name="_Toc349555831"/>
      <w:bookmarkStart w:id="447" w:name="_Toc349215544"/>
      <w:bookmarkStart w:id="448" w:name="_Toc6379"/>
      <w:r>
        <w:rPr>
          <w:color w:val="auto"/>
          <w:highlight w:val="none"/>
        </w:rPr>
        <w:t>1、投标文件签署授权委托书</w:t>
      </w:r>
      <w:bookmarkEnd w:id="445"/>
      <w:bookmarkEnd w:id="446"/>
      <w:bookmarkEnd w:id="447"/>
      <w:bookmarkEnd w:id="448"/>
    </w:p>
    <w:p>
      <w:pPr>
        <w:pStyle w:val="31"/>
        <w:spacing w:after="156" w:line="360" w:lineRule="auto"/>
        <w:rPr>
          <w:b/>
          <w:color w:val="auto"/>
          <w:highlight w:val="none"/>
        </w:rPr>
      </w:pPr>
    </w:p>
    <w:p>
      <w:pPr>
        <w:pStyle w:val="31"/>
        <w:spacing w:line="460" w:lineRule="exact"/>
        <w:ind w:firstLine="612"/>
        <w:rPr>
          <w:color w:val="auto"/>
          <w:highlight w:val="none"/>
        </w:rPr>
      </w:pPr>
      <w:bookmarkStart w:id="449" w:name="_Toc251051977"/>
      <w:r>
        <w:rPr>
          <w:color w:val="auto"/>
          <w:highlight w:val="none"/>
        </w:rPr>
        <w:t>本授权委托书声明：我</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w:t>
      </w:r>
      <w:r>
        <w:rPr>
          <w:color w:val="auto"/>
          <w:highlight w:val="none"/>
        </w:rPr>
        <w:t>（姓名）系</w:t>
      </w:r>
      <w:r>
        <w:rPr>
          <w:color w:val="auto"/>
          <w:highlight w:val="none"/>
          <w:u w:val="single"/>
        </w:rPr>
        <w:t xml:space="preserve">                     </w:t>
      </w:r>
      <w:r>
        <w:rPr>
          <w:color w:val="auto"/>
          <w:highlight w:val="none"/>
        </w:rPr>
        <w:t>（投标人名称）的法定代表人，现授权委托</w:t>
      </w:r>
      <w:r>
        <w:rPr>
          <w:color w:val="auto"/>
          <w:highlight w:val="none"/>
          <w:u w:val="single"/>
        </w:rPr>
        <w:t xml:space="preserve">                      </w:t>
      </w:r>
      <w:r>
        <w:rPr>
          <w:color w:val="auto"/>
          <w:highlight w:val="none"/>
        </w:rPr>
        <w:t>（单位名称）的</w:t>
      </w:r>
      <w:r>
        <w:rPr>
          <w:color w:val="auto"/>
          <w:highlight w:val="none"/>
          <w:u w:val="single"/>
        </w:rPr>
        <w:t xml:space="preserve">          </w:t>
      </w:r>
      <w:r>
        <w:rPr>
          <w:color w:val="auto"/>
          <w:highlight w:val="none"/>
        </w:rPr>
        <w:t>（姓名）为我公司签署</w:t>
      </w:r>
      <w:r>
        <w:rPr>
          <w:rFonts w:hint="eastAsia"/>
          <w:color w:val="auto"/>
          <w:highlight w:val="none"/>
          <w:u w:val="single"/>
        </w:rPr>
        <w:t xml:space="preserve">              （项目名称及项目招标编号）</w:t>
      </w:r>
      <w:r>
        <w:rPr>
          <w:color w:val="auto"/>
          <w:highlight w:val="none"/>
        </w:rPr>
        <w:t>的投标文件的法定代表人授权委托代理人，我承认代理人全权代表我所签署的本工程的投标文件的内容。</w:t>
      </w:r>
      <w:bookmarkEnd w:id="449"/>
    </w:p>
    <w:p>
      <w:pPr>
        <w:pStyle w:val="31"/>
        <w:spacing w:line="480" w:lineRule="auto"/>
        <w:ind w:firstLine="610"/>
        <w:rPr>
          <w:color w:val="auto"/>
          <w:highlight w:val="none"/>
        </w:rPr>
      </w:pPr>
    </w:p>
    <w:p>
      <w:pPr>
        <w:pStyle w:val="31"/>
        <w:spacing w:line="480" w:lineRule="auto"/>
        <w:ind w:firstLine="697"/>
        <w:rPr>
          <w:color w:val="auto"/>
          <w:highlight w:val="none"/>
        </w:rPr>
      </w:pPr>
      <w:bookmarkStart w:id="450" w:name="_Toc251051978"/>
      <w:r>
        <w:rPr>
          <w:color w:val="auto"/>
          <w:highlight w:val="none"/>
        </w:rPr>
        <w:t>代理人无转委托权，特此委托。</w:t>
      </w:r>
      <w:bookmarkEnd w:id="450"/>
    </w:p>
    <w:p>
      <w:pPr>
        <w:pStyle w:val="31"/>
        <w:spacing w:line="360" w:lineRule="auto"/>
        <w:ind w:left="1260"/>
        <w:rPr>
          <w:color w:val="auto"/>
          <w:highlight w:val="none"/>
        </w:rPr>
      </w:pPr>
    </w:p>
    <w:p>
      <w:pPr>
        <w:pStyle w:val="31"/>
        <w:spacing w:line="360" w:lineRule="auto"/>
        <w:ind w:left="1260"/>
        <w:rPr>
          <w:color w:val="auto"/>
          <w:highlight w:val="none"/>
        </w:rPr>
      </w:pPr>
    </w:p>
    <w:p>
      <w:pPr>
        <w:pStyle w:val="31"/>
        <w:spacing w:line="360" w:lineRule="auto"/>
        <w:ind w:left="1260"/>
        <w:rPr>
          <w:color w:val="auto"/>
          <w:highlight w:val="none"/>
        </w:rPr>
      </w:pPr>
    </w:p>
    <w:p>
      <w:pPr>
        <w:pStyle w:val="31"/>
        <w:spacing w:line="360" w:lineRule="auto"/>
        <w:ind w:left="1260"/>
        <w:rPr>
          <w:color w:val="auto"/>
          <w:highlight w:val="none"/>
        </w:rPr>
      </w:pPr>
    </w:p>
    <w:p>
      <w:pPr>
        <w:pStyle w:val="31"/>
        <w:spacing w:line="480" w:lineRule="auto"/>
        <w:ind w:left="1260"/>
        <w:rPr>
          <w:color w:val="auto"/>
          <w:highlight w:val="none"/>
        </w:rPr>
      </w:pPr>
    </w:p>
    <w:p>
      <w:pPr>
        <w:pStyle w:val="31"/>
        <w:spacing w:line="480" w:lineRule="auto"/>
        <w:ind w:left="2699"/>
        <w:rPr>
          <w:color w:val="auto"/>
          <w:highlight w:val="none"/>
          <w:u w:val="single"/>
        </w:rPr>
      </w:pPr>
      <w:bookmarkStart w:id="451" w:name="_Toc251051979"/>
      <w:r>
        <w:rPr>
          <w:color w:val="auto"/>
          <w:highlight w:val="none"/>
        </w:rPr>
        <w:t>代理人：</w:t>
      </w:r>
      <w:r>
        <w:rPr>
          <w:color w:val="auto"/>
          <w:highlight w:val="none"/>
          <w:u w:val="single"/>
        </w:rPr>
        <w:t xml:space="preserve">              </w:t>
      </w:r>
      <w:r>
        <w:rPr>
          <w:color w:val="auto"/>
          <w:highlight w:val="none"/>
        </w:rPr>
        <w:t>性别 ：</w:t>
      </w:r>
      <w:r>
        <w:rPr>
          <w:color w:val="auto"/>
          <w:highlight w:val="none"/>
          <w:u w:val="single"/>
        </w:rPr>
        <w:t xml:space="preserve">            </w:t>
      </w:r>
      <w:r>
        <w:rPr>
          <w:color w:val="auto"/>
          <w:highlight w:val="none"/>
        </w:rPr>
        <w:t>年龄：_______</w:t>
      </w:r>
      <w:bookmarkEnd w:id="451"/>
    </w:p>
    <w:p>
      <w:pPr>
        <w:pStyle w:val="31"/>
        <w:spacing w:line="480" w:lineRule="auto"/>
        <w:ind w:left="2699"/>
        <w:rPr>
          <w:color w:val="auto"/>
          <w:highlight w:val="none"/>
        </w:rPr>
      </w:pPr>
      <w:bookmarkStart w:id="452" w:name="_Toc251051980"/>
      <w:r>
        <w:rPr>
          <w:color w:val="auto"/>
          <w:highlight w:val="none"/>
        </w:rPr>
        <w:t>身份证号码：</w:t>
      </w:r>
      <w:r>
        <w:rPr>
          <w:color w:val="auto"/>
          <w:highlight w:val="none"/>
          <w:u w:val="single"/>
        </w:rPr>
        <w:t xml:space="preserve">                    </w:t>
      </w:r>
      <w:r>
        <w:rPr>
          <w:color w:val="auto"/>
          <w:highlight w:val="none"/>
        </w:rPr>
        <w:t>职务：</w:t>
      </w:r>
      <w:bookmarkEnd w:id="452"/>
      <w:r>
        <w:rPr>
          <w:color w:val="auto"/>
          <w:highlight w:val="none"/>
          <w:u w:val="single"/>
        </w:rPr>
        <w:t xml:space="preserve">                </w:t>
      </w:r>
      <w:r>
        <w:rPr>
          <w:color w:val="auto"/>
          <w:highlight w:val="none"/>
        </w:rPr>
        <w:t xml:space="preserve"> </w:t>
      </w:r>
    </w:p>
    <w:p>
      <w:pPr>
        <w:pStyle w:val="31"/>
        <w:spacing w:line="480" w:lineRule="auto"/>
        <w:ind w:left="2699"/>
        <w:rPr>
          <w:color w:val="auto"/>
          <w:highlight w:val="none"/>
        </w:rPr>
      </w:pPr>
      <w:bookmarkStart w:id="453" w:name="_Toc251051981"/>
      <w:r>
        <w:rPr>
          <w:color w:val="auto"/>
          <w:highlight w:val="none"/>
        </w:rPr>
        <w:t>投标人：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（盖</w:t>
      </w:r>
      <w:r>
        <w:rPr>
          <w:rFonts w:hint="eastAsia"/>
          <w:color w:val="auto"/>
          <w:highlight w:val="none"/>
          <w:u w:val="single"/>
        </w:rPr>
        <w:t>单位</w:t>
      </w:r>
      <w:r>
        <w:rPr>
          <w:color w:val="auto"/>
          <w:highlight w:val="none"/>
          <w:u w:val="single"/>
        </w:rPr>
        <w:t>章）</w:t>
      </w:r>
      <w:bookmarkEnd w:id="453"/>
    </w:p>
    <w:p>
      <w:pPr>
        <w:pStyle w:val="31"/>
        <w:spacing w:line="480" w:lineRule="auto"/>
        <w:ind w:left="2699"/>
        <w:rPr>
          <w:color w:val="auto"/>
          <w:highlight w:val="none"/>
        </w:rPr>
      </w:pPr>
      <w:bookmarkStart w:id="454" w:name="_Toc251051982"/>
      <w:r>
        <w:rPr>
          <w:color w:val="auto"/>
          <w:highlight w:val="none"/>
        </w:rPr>
        <w:t>法定代表人：</w:t>
      </w:r>
      <w:r>
        <w:rPr>
          <w:color w:val="auto"/>
          <w:highlight w:val="none"/>
          <w:u w:val="single"/>
        </w:rPr>
        <w:t xml:space="preserve">                            （签字或盖章）</w:t>
      </w:r>
      <w:bookmarkEnd w:id="454"/>
    </w:p>
    <w:p>
      <w:pPr>
        <w:pStyle w:val="31"/>
        <w:spacing w:line="480" w:lineRule="auto"/>
        <w:ind w:left="2699"/>
        <w:rPr>
          <w:color w:val="auto"/>
          <w:highlight w:val="none"/>
        </w:rPr>
      </w:pPr>
      <w:bookmarkStart w:id="455" w:name="_Toc251051983"/>
      <w:r>
        <w:rPr>
          <w:color w:val="auto"/>
          <w:highlight w:val="none"/>
        </w:rPr>
        <w:t>授权委托日期：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bookmarkEnd w:id="455"/>
    </w:p>
    <w:p>
      <w:pPr>
        <w:pStyle w:val="31"/>
        <w:spacing w:line="360" w:lineRule="auto"/>
        <w:rPr>
          <w:rFonts w:eastAsia="楷体_GB2312"/>
          <w:color w:val="auto"/>
          <w:highlight w:val="none"/>
        </w:rPr>
      </w:pPr>
    </w:p>
    <w:p>
      <w:pPr>
        <w:pStyle w:val="31"/>
        <w:spacing w:line="360" w:lineRule="auto"/>
        <w:rPr>
          <w:color w:val="auto"/>
          <w:highlight w:val="none"/>
        </w:rPr>
      </w:pPr>
      <w:r>
        <w:rPr>
          <w:rFonts w:eastAsia="楷体_GB2312"/>
          <w:color w:val="auto"/>
          <w:highlight w:val="none"/>
        </w:rPr>
        <w:t>【备注：附法定代表人身份证明</w:t>
      </w:r>
      <w:r>
        <w:rPr>
          <w:rFonts w:hint="eastAsia" w:eastAsia="楷体_GB2312"/>
          <w:color w:val="auto"/>
          <w:highlight w:val="none"/>
        </w:rPr>
        <w:t>及</w:t>
      </w:r>
      <w:r>
        <w:rPr>
          <w:rFonts w:eastAsia="楷体_GB2312"/>
          <w:color w:val="auto"/>
          <w:highlight w:val="none"/>
        </w:rPr>
        <w:t>身份证</w:t>
      </w:r>
      <w:r>
        <w:rPr>
          <w:rFonts w:hint="eastAsia" w:eastAsia="楷体_GB2312"/>
          <w:color w:val="auto"/>
          <w:highlight w:val="none"/>
        </w:rPr>
        <w:t>、</w:t>
      </w:r>
      <w:r>
        <w:rPr>
          <w:rFonts w:eastAsia="楷体_GB2312"/>
          <w:color w:val="auto"/>
          <w:highlight w:val="none"/>
        </w:rPr>
        <w:t>委托代理人身份证等材料的复印件</w:t>
      </w:r>
      <w:r>
        <w:rPr>
          <w:rFonts w:hint="eastAsia" w:eastAsia="楷体_GB2312"/>
          <w:color w:val="auto"/>
          <w:highlight w:val="none"/>
        </w:rPr>
        <w:t>。</w:t>
      </w:r>
      <w:r>
        <w:rPr>
          <w:rFonts w:eastAsia="楷体_GB2312"/>
          <w:color w:val="auto"/>
          <w:highlight w:val="none"/>
        </w:rPr>
        <w:t>】</w:t>
      </w:r>
    </w:p>
    <w:p>
      <w:pPr>
        <w:pStyle w:val="31"/>
        <w:spacing w:before="120" w:beforeLines="50" w:after="240" w:afterLines="100" w:line="440" w:lineRule="exact"/>
        <w:rPr>
          <w:color w:val="auto"/>
          <w:highlight w:val="none"/>
        </w:rPr>
      </w:pPr>
    </w:p>
    <w:p>
      <w:pPr>
        <w:spacing w:line="480" w:lineRule="auto"/>
        <w:ind w:firstLine="525" w:firstLineChars="250"/>
        <w:jc w:val="center"/>
        <w:rPr>
          <w:color w:val="auto"/>
          <w:highlight w:val="none"/>
        </w:rPr>
        <w:sectPr>
          <w:pgSz w:w="11907" w:h="16840"/>
          <w:pgMar w:top="1440" w:right="1440" w:bottom="1440" w:left="1797" w:header="851" w:footer="851" w:gutter="0"/>
          <w:cols w:space="720" w:num="1"/>
          <w:docGrid w:linePitch="312" w:charSpace="0"/>
        </w:sectPr>
      </w:pPr>
    </w:p>
    <w:p>
      <w:pPr>
        <w:spacing w:line="480" w:lineRule="auto"/>
        <w:ind w:firstLine="703" w:firstLineChars="250"/>
        <w:jc w:val="center"/>
        <w:rPr>
          <w:color w:val="auto"/>
          <w:sz w:val="28"/>
          <w:szCs w:val="28"/>
          <w:highlight w:val="none"/>
        </w:rPr>
      </w:pPr>
      <w:r>
        <w:rPr>
          <w:b/>
          <w:color w:val="auto"/>
          <w:sz w:val="28"/>
          <w:szCs w:val="28"/>
          <w:highlight w:val="none"/>
        </w:rPr>
        <w:t>法定代表人身份证明</w:t>
      </w:r>
    </w:p>
    <w:p>
      <w:pPr>
        <w:spacing w:line="560" w:lineRule="exact"/>
        <w:ind w:firstLine="525" w:firstLineChars="250"/>
        <w:rPr>
          <w:color w:val="auto"/>
          <w:highlight w:val="none"/>
        </w:rPr>
      </w:pPr>
      <w:r>
        <w:rPr>
          <w:color w:val="auto"/>
          <w:highlight w:val="none"/>
        </w:rPr>
        <w:t>投 标 人：</w:t>
      </w:r>
      <w:r>
        <w:rPr>
          <w:color w:val="auto"/>
          <w:highlight w:val="none"/>
          <w:u w:val="single"/>
        </w:rPr>
        <w:t xml:space="preserve">                                                        </w:t>
      </w:r>
    </w:p>
    <w:p>
      <w:pPr>
        <w:spacing w:line="560" w:lineRule="exact"/>
        <w:ind w:firstLine="525" w:firstLineChars="250"/>
        <w:rPr>
          <w:color w:val="auto"/>
          <w:highlight w:val="none"/>
        </w:rPr>
      </w:pPr>
      <w:r>
        <w:rPr>
          <w:color w:val="auto"/>
          <w:highlight w:val="none"/>
        </w:rPr>
        <w:t>单位性质：</w:t>
      </w:r>
      <w:r>
        <w:rPr>
          <w:color w:val="auto"/>
          <w:highlight w:val="none"/>
          <w:u w:val="single"/>
        </w:rPr>
        <w:t xml:space="preserve">                                                        </w:t>
      </w:r>
    </w:p>
    <w:p>
      <w:pPr>
        <w:spacing w:line="560" w:lineRule="exact"/>
        <w:ind w:firstLine="525" w:firstLineChars="250"/>
        <w:rPr>
          <w:color w:val="auto"/>
          <w:highlight w:val="none"/>
        </w:rPr>
      </w:pPr>
      <w:r>
        <w:rPr>
          <w:color w:val="auto"/>
          <w:highlight w:val="none"/>
        </w:rPr>
        <w:t>地    址：</w:t>
      </w:r>
      <w:r>
        <w:rPr>
          <w:color w:val="auto"/>
          <w:highlight w:val="none"/>
          <w:u w:val="single"/>
        </w:rPr>
        <w:t xml:space="preserve">                                                        </w:t>
      </w:r>
    </w:p>
    <w:p>
      <w:pPr>
        <w:spacing w:line="560" w:lineRule="exact"/>
        <w:ind w:firstLine="525" w:firstLineChars="250"/>
        <w:rPr>
          <w:color w:val="auto"/>
          <w:highlight w:val="none"/>
        </w:rPr>
      </w:pPr>
      <w:r>
        <w:rPr>
          <w:color w:val="auto"/>
          <w:highlight w:val="none"/>
        </w:rPr>
        <w:t>成立时间：</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p>
    <w:p>
      <w:pPr>
        <w:spacing w:line="560" w:lineRule="exact"/>
        <w:ind w:firstLine="525" w:firstLineChars="250"/>
        <w:rPr>
          <w:color w:val="auto"/>
          <w:highlight w:val="none"/>
        </w:rPr>
      </w:pPr>
      <w:r>
        <w:rPr>
          <w:color w:val="auto"/>
          <w:highlight w:val="none"/>
        </w:rPr>
        <w:t>经营期限：</w:t>
      </w:r>
      <w:r>
        <w:rPr>
          <w:color w:val="auto"/>
          <w:highlight w:val="none"/>
          <w:u w:val="single"/>
        </w:rPr>
        <w:t xml:space="preserve">                                                        </w:t>
      </w:r>
    </w:p>
    <w:p>
      <w:pPr>
        <w:spacing w:line="560" w:lineRule="exact"/>
        <w:ind w:firstLine="525" w:firstLineChars="250"/>
        <w:rPr>
          <w:color w:val="auto"/>
          <w:highlight w:val="none"/>
        </w:rPr>
      </w:pPr>
      <w:r>
        <w:rPr>
          <w:color w:val="auto"/>
          <w:highlight w:val="none"/>
        </w:rPr>
        <w:t>姓    名：</w:t>
      </w:r>
      <w:r>
        <w:rPr>
          <w:color w:val="auto"/>
          <w:highlight w:val="none"/>
          <w:u w:val="single"/>
        </w:rPr>
        <w:t xml:space="preserve">                          </w:t>
      </w:r>
      <w:r>
        <w:rPr>
          <w:color w:val="auto"/>
          <w:highlight w:val="none"/>
        </w:rPr>
        <w:t>性     别：</w:t>
      </w:r>
      <w:r>
        <w:rPr>
          <w:color w:val="auto"/>
          <w:highlight w:val="none"/>
          <w:u w:val="single"/>
        </w:rPr>
        <w:t xml:space="preserve">                   </w:t>
      </w:r>
    </w:p>
    <w:p>
      <w:pPr>
        <w:spacing w:line="560" w:lineRule="exact"/>
        <w:ind w:firstLine="525" w:firstLineChars="250"/>
        <w:rPr>
          <w:color w:val="auto"/>
          <w:highlight w:val="none"/>
        </w:rPr>
      </w:pPr>
      <w:r>
        <w:rPr>
          <w:color w:val="auto"/>
          <w:highlight w:val="none"/>
        </w:rPr>
        <w:t>年    龄：</w:t>
      </w:r>
      <w:r>
        <w:rPr>
          <w:color w:val="auto"/>
          <w:highlight w:val="none"/>
          <w:u w:val="single"/>
        </w:rPr>
        <w:t xml:space="preserve">                          </w:t>
      </w:r>
      <w:r>
        <w:rPr>
          <w:color w:val="auto"/>
          <w:highlight w:val="none"/>
        </w:rPr>
        <w:t>职     务：</w:t>
      </w:r>
      <w:r>
        <w:rPr>
          <w:color w:val="auto"/>
          <w:highlight w:val="none"/>
          <w:u w:val="single"/>
        </w:rPr>
        <w:t xml:space="preserve">                   </w:t>
      </w:r>
    </w:p>
    <w:p>
      <w:pPr>
        <w:spacing w:line="560" w:lineRule="exact"/>
        <w:ind w:firstLine="525" w:firstLineChars="250"/>
        <w:rPr>
          <w:rFonts w:hint="eastAsia"/>
          <w:color w:val="auto"/>
          <w:highlight w:val="none"/>
        </w:rPr>
      </w:pPr>
      <w:r>
        <w:rPr>
          <w:color w:val="auto"/>
          <w:highlight w:val="none"/>
        </w:rPr>
        <w:t>系</w:t>
      </w:r>
      <w:r>
        <w:rPr>
          <w:color w:val="auto"/>
          <w:highlight w:val="none"/>
          <w:u w:val="single"/>
        </w:rPr>
        <w:t xml:space="preserve">                                                 </w:t>
      </w:r>
      <w:r>
        <w:rPr>
          <w:color w:val="auto"/>
          <w:highlight w:val="none"/>
        </w:rPr>
        <w:t>（投标人名称）的法定代表人。</w:t>
      </w:r>
    </w:p>
    <w:p>
      <w:pPr>
        <w:spacing w:line="560" w:lineRule="exact"/>
        <w:ind w:firstLine="525" w:firstLineChars="250"/>
        <w:rPr>
          <w:color w:val="auto"/>
          <w:highlight w:val="none"/>
        </w:rPr>
      </w:pPr>
      <w:r>
        <w:rPr>
          <w:color w:val="auto"/>
          <w:highlight w:val="none"/>
        </w:rPr>
        <w:t>特此证明。</w:t>
      </w:r>
    </w:p>
    <w:p>
      <w:pPr>
        <w:spacing w:line="500" w:lineRule="exact"/>
        <w:rPr>
          <w:color w:val="auto"/>
          <w:highlight w:val="none"/>
        </w:rPr>
      </w:pPr>
    </w:p>
    <w:p>
      <w:pPr>
        <w:spacing w:line="500" w:lineRule="exact"/>
        <w:rPr>
          <w:color w:val="auto"/>
          <w:highlight w:val="none"/>
        </w:rPr>
      </w:pPr>
    </w:p>
    <w:p>
      <w:pPr>
        <w:wordWrap w:val="0"/>
        <w:spacing w:line="500" w:lineRule="exact"/>
        <w:jc w:val="right"/>
        <w:rPr>
          <w:color w:val="auto"/>
          <w:highlight w:val="none"/>
        </w:rPr>
      </w:pPr>
      <w:r>
        <w:rPr>
          <w:color w:val="auto"/>
          <w:highlight w:val="none"/>
        </w:rPr>
        <w:t>投标人：</w:t>
      </w:r>
      <w:r>
        <w:rPr>
          <w:color w:val="auto"/>
          <w:highlight w:val="none"/>
          <w:u w:val="single"/>
        </w:rPr>
        <w:t xml:space="preserve">                          </w:t>
      </w:r>
      <w:r>
        <w:rPr>
          <w:color w:val="auto"/>
          <w:highlight w:val="none"/>
        </w:rPr>
        <w:t>（盖单位章）</w:t>
      </w:r>
    </w:p>
    <w:p>
      <w:pPr>
        <w:wordWrap w:val="0"/>
        <w:spacing w:line="500" w:lineRule="exact"/>
        <w:jc w:val="right"/>
        <w:rPr>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p>
    <w:p>
      <w:pPr>
        <w:spacing w:line="480" w:lineRule="auto"/>
        <w:ind w:firstLine="525" w:firstLineChars="250"/>
        <w:jc w:val="center"/>
        <w:rPr>
          <w:color w:val="auto"/>
          <w:highlight w:val="none"/>
        </w:rPr>
      </w:pPr>
    </w:p>
    <w:p>
      <w:pPr>
        <w:spacing w:line="480" w:lineRule="auto"/>
        <w:ind w:firstLine="525" w:firstLineChars="250"/>
        <w:jc w:val="center"/>
        <w:rPr>
          <w:color w:val="auto"/>
          <w:highlight w:val="none"/>
        </w:rPr>
        <w:sectPr>
          <w:pgSz w:w="11907" w:h="16840"/>
          <w:pgMar w:top="1440" w:right="1440" w:bottom="1440" w:left="1797" w:header="851" w:footer="851" w:gutter="0"/>
          <w:cols w:space="720" w:num="1"/>
          <w:docGrid w:linePitch="312" w:charSpace="0"/>
        </w:sectPr>
      </w:pPr>
    </w:p>
    <w:p>
      <w:pPr>
        <w:spacing w:line="480" w:lineRule="auto"/>
        <w:ind w:firstLine="703" w:firstLineChars="250"/>
        <w:jc w:val="center"/>
        <w:rPr>
          <w:color w:val="auto"/>
          <w:sz w:val="24"/>
          <w:szCs w:val="24"/>
          <w:highlight w:val="none"/>
        </w:rPr>
      </w:pPr>
      <w:r>
        <w:rPr>
          <w:b/>
          <w:bCs/>
          <w:color w:val="auto"/>
          <w:sz w:val="28"/>
          <w:szCs w:val="28"/>
          <w:highlight w:val="none"/>
        </w:rPr>
        <w:t>2</w:t>
      </w:r>
      <w:r>
        <w:rPr>
          <w:rFonts w:hint="eastAsia" w:cs="宋体"/>
          <w:b/>
          <w:bCs/>
          <w:color w:val="auto"/>
          <w:sz w:val="28"/>
          <w:szCs w:val="28"/>
          <w:highlight w:val="none"/>
        </w:rPr>
        <w:t>、投标人基本情况表（包含联合体各方）</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highlight w:val="none"/>
              </w:rPr>
            </w:pPr>
            <w:r>
              <w:rPr>
                <w:rFonts w:hint="eastAsia" w:cs="宋体"/>
                <w:color w:val="auto"/>
                <w:highlight w:val="none"/>
              </w:rPr>
              <w:t>投标人名称</w:t>
            </w:r>
          </w:p>
        </w:tc>
        <w:tc>
          <w:tcPr>
            <w:tcW w:w="7341" w:type="dxa"/>
            <w:gridSpan w:val="8"/>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highlight w:val="none"/>
              </w:rPr>
            </w:pPr>
            <w:r>
              <w:rPr>
                <w:rFonts w:hint="eastAsia" w:cs="宋体"/>
                <w:color w:val="auto"/>
                <w:highlight w:val="none"/>
              </w:rPr>
              <w:t>注册地址</w:t>
            </w:r>
          </w:p>
        </w:tc>
        <w:tc>
          <w:tcPr>
            <w:tcW w:w="3389" w:type="dxa"/>
            <w:gridSpan w:val="4"/>
            <w:noWrap w:val="0"/>
            <w:vAlign w:val="center"/>
          </w:tcPr>
          <w:p>
            <w:pPr>
              <w:jc w:val="center"/>
              <w:rPr>
                <w:color w:val="auto"/>
                <w:highlight w:val="none"/>
              </w:rPr>
            </w:pPr>
          </w:p>
        </w:tc>
        <w:tc>
          <w:tcPr>
            <w:tcW w:w="1246" w:type="dxa"/>
            <w:noWrap w:val="0"/>
            <w:vAlign w:val="center"/>
          </w:tcPr>
          <w:p>
            <w:pPr>
              <w:jc w:val="center"/>
              <w:rPr>
                <w:color w:val="auto"/>
                <w:highlight w:val="none"/>
              </w:rPr>
            </w:pPr>
            <w:r>
              <w:rPr>
                <w:rFonts w:hint="eastAsia" w:cs="宋体"/>
                <w:color w:val="auto"/>
                <w:highlight w:val="none"/>
              </w:rPr>
              <w:t>邮政编码</w:t>
            </w:r>
          </w:p>
        </w:tc>
        <w:tc>
          <w:tcPr>
            <w:tcW w:w="2706" w:type="dxa"/>
            <w:gridSpan w:val="3"/>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pPr>
              <w:jc w:val="center"/>
              <w:rPr>
                <w:color w:val="auto"/>
                <w:highlight w:val="none"/>
              </w:rPr>
            </w:pPr>
            <w:r>
              <w:rPr>
                <w:rFonts w:hint="eastAsia" w:cs="宋体"/>
                <w:color w:val="auto"/>
                <w:highlight w:val="none"/>
              </w:rPr>
              <w:t>联系方式</w:t>
            </w:r>
          </w:p>
        </w:tc>
        <w:tc>
          <w:tcPr>
            <w:tcW w:w="897" w:type="dxa"/>
            <w:noWrap w:val="0"/>
            <w:vAlign w:val="center"/>
          </w:tcPr>
          <w:p>
            <w:pPr>
              <w:jc w:val="center"/>
              <w:rPr>
                <w:color w:val="auto"/>
                <w:highlight w:val="none"/>
              </w:rPr>
            </w:pPr>
            <w:r>
              <w:rPr>
                <w:rFonts w:hint="eastAsia" w:cs="宋体"/>
                <w:color w:val="auto"/>
                <w:highlight w:val="none"/>
              </w:rPr>
              <w:t>联系人</w:t>
            </w:r>
          </w:p>
        </w:tc>
        <w:tc>
          <w:tcPr>
            <w:tcW w:w="2492" w:type="dxa"/>
            <w:gridSpan w:val="3"/>
            <w:noWrap w:val="0"/>
            <w:vAlign w:val="center"/>
          </w:tcPr>
          <w:p>
            <w:pPr>
              <w:jc w:val="center"/>
              <w:rPr>
                <w:color w:val="auto"/>
                <w:highlight w:val="none"/>
              </w:rPr>
            </w:pPr>
          </w:p>
        </w:tc>
        <w:tc>
          <w:tcPr>
            <w:tcW w:w="1246" w:type="dxa"/>
            <w:noWrap w:val="0"/>
            <w:vAlign w:val="center"/>
          </w:tcPr>
          <w:p>
            <w:pPr>
              <w:jc w:val="center"/>
              <w:rPr>
                <w:color w:val="auto"/>
                <w:highlight w:val="none"/>
              </w:rPr>
            </w:pPr>
            <w:r>
              <w:rPr>
                <w:rFonts w:hint="eastAsia" w:cs="宋体"/>
                <w:color w:val="auto"/>
                <w:highlight w:val="none"/>
              </w:rPr>
              <w:t>电</w:t>
            </w:r>
            <w:r>
              <w:rPr>
                <w:color w:val="auto"/>
                <w:highlight w:val="none"/>
              </w:rPr>
              <w:t xml:space="preserve">  </w:t>
            </w:r>
            <w:r>
              <w:rPr>
                <w:rFonts w:hint="eastAsia" w:cs="宋体"/>
                <w:color w:val="auto"/>
                <w:highlight w:val="none"/>
              </w:rPr>
              <w:t>话</w:t>
            </w:r>
          </w:p>
        </w:tc>
        <w:tc>
          <w:tcPr>
            <w:tcW w:w="2706" w:type="dxa"/>
            <w:gridSpan w:val="3"/>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pPr>
              <w:jc w:val="center"/>
              <w:rPr>
                <w:color w:val="auto"/>
                <w:highlight w:val="none"/>
              </w:rPr>
            </w:pPr>
          </w:p>
        </w:tc>
        <w:tc>
          <w:tcPr>
            <w:tcW w:w="897" w:type="dxa"/>
            <w:noWrap w:val="0"/>
            <w:vAlign w:val="center"/>
          </w:tcPr>
          <w:p>
            <w:pPr>
              <w:jc w:val="center"/>
              <w:rPr>
                <w:color w:val="auto"/>
                <w:highlight w:val="none"/>
              </w:rPr>
            </w:pPr>
            <w:r>
              <w:rPr>
                <w:rFonts w:hint="eastAsia" w:cs="宋体"/>
                <w:color w:val="auto"/>
                <w:highlight w:val="none"/>
              </w:rPr>
              <w:t>传</w:t>
            </w:r>
            <w:r>
              <w:rPr>
                <w:color w:val="auto"/>
                <w:highlight w:val="none"/>
              </w:rPr>
              <w:t xml:space="preserve">  </w:t>
            </w:r>
            <w:r>
              <w:rPr>
                <w:rFonts w:hint="eastAsia" w:cs="宋体"/>
                <w:color w:val="auto"/>
                <w:highlight w:val="none"/>
              </w:rPr>
              <w:t>真</w:t>
            </w:r>
          </w:p>
        </w:tc>
        <w:tc>
          <w:tcPr>
            <w:tcW w:w="2492" w:type="dxa"/>
            <w:gridSpan w:val="3"/>
            <w:noWrap w:val="0"/>
            <w:vAlign w:val="center"/>
          </w:tcPr>
          <w:p>
            <w:pPr>
              <w:jc w:val="center"/>
              <w:rPr>
                <w:color w:val="auto"/>
                <w:highlight w:val="none"/>
              </w:rPr>
            </w:pPr>
          </w:p>
        </w:tc>
        <w:tc>
          <w:tcPr>
            <w:tcW w:w="1246" w:type="dxa"/>
            <w:noWrap w:val="0"/>
            <w:vAlign w:val="center"/>
          </w:tcPr>
          <w:p>
            <w:pPr>
              <w:jc w:val="center"/>
              <w:rPr>
                <w:color w:val="auto"/>
                <w:highlight w:val="none"/>
              </w:rPr>
            </w:pPr>
            <w:r>
              <w:rPr>
                <w:rFonts w:hint="eastAsia" w:cs="宋体"/>
                <w:color w:val="auto"/>
                <w:highlight w:val="none"/>
              </w:rPr>
              <w:t>网</w:t>
            </w:r>
            <w:r>
              <w:rPr>
                <w:color w:val="auto"/>
                <w:highlight w:val="none"/>
              </w:rPr>
              <w:t xml:space="preserve">  </w:t>
            </w:r>
            <w:r>
              <w:rPr>
                <w:rFonts w:hint="eastAsia" w:cs="宋体"/>
                <w:color w:val="auto"/>
                <w:highlight w:val="none"/>
              </w:rPr>
              <w:t>址</w:t>
            </w:r>
          </w:p>
        </w:tc>
        <w:tc>
          <w:tcPr>
            <w:tcW w:w="2706" w:type="dxa"/>
            <w:gridSpan w:val="3"/>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highlight w:val="none"/>
              </w:rPr>
            </w:pPr>
            <w:r>
              <w:rPr>
                <w:rFonts w:hint="eastAsia" w:cs="宋体"/>
                <w:color w:val="auto"/>
                <w:highlight w:val="none"/>
              </w:rPr>
              <w:t>统一社会信用代码</w:t>
            </w:r>
          </w:p>
        </w:tc>
        <w:tc>
          <w:tcPr>
            <w:tcW w:w="7341" w:type="dxa"/>
            <w:gridSpan w:val="8"/>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highlight w:val="none"/>
              </w:rPr>
            </w:pPr>
            <w:r>
              <w:rPr>
                <w:rFonts w:hint="eastAsia" w:cs="宋体"/>
                <w:color w:val="auto"/>
                <w:highlight w:val="none"/>
              </w:rPr>
              <w:t>法定代表人</w:t>
            </w:r>
          </w:p>
        </w:tc>
        <w:tc>
          <w:tcPr>
            <w:tcW w:w="897" w:type="dxa"/>
            <w:noWrap w:val="0"/>
            <w:vAlign w:val="center"/>
          </w:tcPr>
          <w:p>
            <w:pPr>
              <w:jc w:val="center"/>
              <w:rPr>
                <w:color w:val="auto"/>
                <w:highlight w:val="none"/>
              </w:rPr>
            </w:pPr>
            <w:r>
              <w:rPr>
                <w:rFonts w:hint="eastAsia" w:cs="宋体"/>
                <w:color w:val="auto"/>
                <w:highlight w:val="none"/>
              </w:rPr>
              <w:t>姓名</w:t>
            </w:r>
          </w:p>
        </w:tc>
        <w:tc>
          <w:tcPr>
            <w:tcW w:w="3801" w:type="dxa"/>
            <w:gridSpan w:val="5"/>
            <w:noWrap w:val="0"/>
            <w:vAlign w:val="center"/>
          </w:tcPr>
          <w:p>
            <w:pPr>
              <w:jc w:val="center"/>
              <w:rPr>
                <w:color w:val="auto"/>
                <w:highlight w:val="none"/>
              </w:rPr>
            </w:pPr>
          </w:p>
        </w:tc>
        <w:tc>
          <w:tcPr>
            <w:tcW w:w="720" w:type="dxa"/>
            <w:noWrap w:val="0"/>
            <w:vAlign w:val="center"/>
          </w:tcPr>
          <w:p>
            <w:pPr>
              <w:jc w:val="center"/>
              <w:rPr>
                <w:color w:val="auto"/>
                <w:highlight w:val="none"/>
              </w:rPr>
            </w:pPr>
            <w:r>
              <w:rPr>
                <w:rFonts w:hint="eastAsia" w:cs="宋体"/>
                <w:color w:val="auto"/>
                <w:highlight w:val="none"/>
              </w:rPr>
              <w:t>电话</w:t>
            </w:r>
          </w:p>
        </w:tc>
        <w:tc>
          <w:tcPr>
            <w:tcW w:w="1923"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highlight w:val="none"/>
              </w:rPr>
            </w:pPr>
            <w:r>
              <w:rPr>
                <w:rFonts w:hint="eastAsia" w:cs="宋体"/>
                <w:color w:val="auto"/>
                <w:highlight w:val="none"/>
              </w:rPr>
              <w:t>技术负责人</w:t>
            </w:r>
          </w:p>
        </w:tc>
        <w:tc>
          <w:tcPr>
            <w:tcW w:w="897" w:type="dxa"/>
            <w:noWrap w:val="0"/>
            <w:vAlign w:val="center"/>
          </w:tcPr>
          <w:p>
            <w:pPr>
              <w:jc w:val="center"/>
              <w:rPr>
                <w:color w:val="auto"/>
                <w:highlight w:val="none"/>
              </w:rPr>
            </w:pPr>
            <w:r>
              <w:rPr>
                <w:rFonts w:hint="eastAsia" w:cs="宋体"/>
                <w:color w:val="auto"/>
                <w:highlight w:val="none"/>
              </w:rPr>
              <w:t>姓名</w:t>
            </w:r>
          </w:p>
        </w:tc>
        <w:tc>
          <w:tcPr>
            <w:tcW w:w="1021" w:type="dxa"/>
            <w:noWrap w:val="0"/>
            <w:vAlign w:val="center"/>
          </w:tcPr>
          <w:p>
            <w:pPr>
              <w:jc w:val="center"/>
              <w:rPr>
                <w:color w:val="auto"/>
                <w:highlight w:val="none"/>
              </w:rPr>
            </w:pPr>
          </w:p>
        </w:tc>
        <w:tc>
          <w:tcPr>
            <w:tcW w:w="1160" w:type="dxa"/>
            <w:noWrap w:val="0"/>
            <w:vAlign w:val="center"/>
          </w:tcPr>
          <w:p>
            <w:pPr>
              <w:jc w:val="center"/>
              <w:rPr>
                <w:color w:val="auto"/>
                <w:highlight w:val="none"/>
              </w:rPr>
            </w:pPr>
            <w:r>
              <w:rPr>
                <w:rFonts w:hint="eastAsia" w:cs="宋体"/>
                <w:color w:val="auto"/>
                <w:highlight w:val="none"/>
              </w:rPr>
              <w:t>技术职称</w:t>
            </w:r>
          </w:p>
        </w:tc>
        <w:tc>
          <w:tcPr>
            <w:tcW w:w="1620" w:type="dxa"/>
            <w:gridSpan w:val="3"/>
            <w:noWrap w:val="0"/>
            <w:vAlign w:val="center"/>
          </w:tcPr>
          <w:p>
            <w:pPr>
              <w:jc w:val="center"/>
              <w:rPr>
                <w:color w:val="auto"/>
                <w:highlight w:val="none"/>
              </w:rPr>
            </w:pPr>
          </w:p>
        </w:tc>
        <w:tc>
          <w:tcPr>
            <w:tcW w:w="720" w:type="dxa"/>
            <w:noWrap w:val="0"/>
            <w:vAlign w:val="center"/>
          </w:tcPr>
          <w:p>
            <w:pPr>
              <w:jc w:val="center"/>
              <w:rPr>
                <w:color w:val="auto"/>
                <w:highlight w:val="none"/>
              </w:rPr>
            </w:pPr>
            <w:r>
              <w:rPr>
                <w:rFonts w:hint="eastAsia" w:cs="宋体"/>
                <w:color w:val="auto"/>
                <w:highlight w:val="none"/>
              </w:rPr>
              <w:t>电话</w:t>
            </w:r>
          </w:p>
        </w:tc>
        <w:tc>
          <w:tcPr>
            <w:tcW w:w="1923"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highlight w:val="none"/>
              </w:rPr>
            </w:pPr>
            <w:r>
              <w:rPr>
                <w:rFonts w:hint="eastAsia" w:cs="宋体"/>
                <w:color w:val="auto"/>
                <w:highlight w:val="none"/>
              </w:rPr>
              <w:t>成立时间</w:t>
            </w:r>
          </w:p>
        </w:tc>
        <w:tc>
          <w:tcPr>
            <w:tcW w:w="1918" w:type="dxa"/>
            <w:gridSpan w:val="2"/>
            <w:noWrap w:val="0"/>
            <w:vAlign w:val="center"/>
          </w:tcPr>
          <w:p>
            <w:pPr>
              <w:jc w:val="center"/>
              <w:rPr>
                <w:color w:val="auto"/>
                <w:highlight w:val="none"/>
              </w:rPr>
            </w:pPr>
          </w:p>
        </w:tc>
        <w:tc>
          <w:tcPr>
            <w:tcW w:w="5423" w:type="dxa"/>
            <w:gridSpan w:val="6"/>
            <w:noWrap w:val="0"/>
            <w:vAlign w:val="center"/>
          </w:tcPr>
          <w:p>
            <w:pPr>
              <w:jc w:val="center"/>
              <w:rPr>
                <w:color w:val="auto"/>
                <w:highlight w:val="none"/>
              </w:rPr>
            </w:pPr>
            <w:r>
              <w:rPr>
                <w:rFonts w:hint="eastAsia" w:cs="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highlight w:val="none"/>
              </w:rPr>
            </w:pPr>
            <w:r>
              <w:rPr>
                <w:rFonts w:hint="eastAsia" w:cs="宋体"/>
                <w:color w:val="auto"/>
                <w:highlight w:val="none"/>
              </w:rPr>
              <w:t>资质等级</w:t>
            </w:r>
          </w:p>
        </w:tc>
        <w:tc>
          <w:tcPr>
            <w:tcW w:w="1918" w:type="dxa"/>
            <w:gridSpan w:val="2"/>
            <w:noWrap w:val="0"/>
            <w:vAlign w:val="center"/>
          </w:tcPr>
          <w:p>
            <w:pPr>
              <w:jc w:val="center"/>
              <w:rPr>
                <w:color w:val="auto"/>
                <w:highlight w:val="none"/>
              </w:rPr>
            </w:pPr>
          </w:p>
        </w:tc>
        <w:tc>
          <w:tcPr>
            <w:tcW w:w="1160" w:type="dxa"/>
            <w:vMerge w:val="restart"/>
            <w:noWrap w:val="0"/>
            <w:vAlign w:val="center"/>
          </w:tcPr>
          <w:p>
            <w:pPr>
              <w:jc w:val="center"/>
              <w:rPr>
                <w:color w:val="auto"/>
                <w:highlight w:val="none"/>
              </w:rPr>
            </w:pPr>
            <w:r>
              <w:rPr>
                <w:rFonts w:hint="eastAsia" w:cs="宋体"/>
                <w:color w:val="auto"/>
                <w:highlight w:val="none"/>
              </w:rPr>
              <w:t>其中</w:t>
            </w:r>
          </w:p>
        </w:tc>
        <w:tc>
          <w:tcPr>
            <w:tcW w:w="1620" w:type="dxa"/>
            <w:gridSpan w:val="3"/>
            <w:noWrap w:val="0"/>
            <w:vAlign w:val="center"/>
          </w:tcPr>
          <w:p>
            <w:pPr>
              <w:jc w:val="center"/>
              <w:rPr>
                <w:color w:val="auto"/>
                <w:highlight w:val="none"/>
              </w:rPr>
            </w:pPr>
            <w:r>
              <w:rPr>
                <w:rFonts w:hint="eastAsia" w:cs="宋体"/>
                <w:color w:val="auto"/>
                <w:highlight w:val="none"/>
              </w:rPr>
              <w:t>项目经理</w:t>
            </w:r>
          </w:p>
        </w:tc>
        <w:tc>
          <w:tcPr>
            <w:tcW w:w="2643" w:type="dxa"/>
            <w:gridSpan w:val="2"/>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highlight w:val="none"/>
              </w:rPr>
            </w:pPr>
            <w:r>
              <w:rPr>
                <w:rFonts w:hint="eastAsia" w:cs="宋体"/>
                <w:color w:val="auto"/>
                <w:highlight w:val="none"/>
              </w:rPr>
              <w:t>安全生产许可证号</w:t>
            </w:r>
          </w:p>
        </w:tc>
        <w:tc>
          <w:tcPr>
            <w:tcW w:w="1918" w:type="dxa"/>
            <w:gridSpan w:val="2"/>
            <w:noWrap w:val="0"/>
            <w:vAlign w:val="center"/>
          </w:tcPr>
          <w:p>
            <w:pPr>
              <w:jc w:val="center"/>
              <w:rPr>
                <w:color w:val="auto"/>
                <w:highlight w:val="none"/>
              </w:rPr>
            </w:pPr>
          </w:p>
        </w:tc>
        <w:tc>
          <w:tcPr>
            <w:tcW w:w="1160" w:type="dxa"/>
            <w:vMerge w:val="continue"/>
            <w:noWrap w:val="0"/>
            <w:vAlign w:val="center"/>
          </w:tcPr>
          <w:p>
            <w:pPr>
              <w:jc w:val="center"/>
              <w:rPr>
                <w:color w:val="auto"/>
                <w:highlight w:val="none"/>
              </w:rPr>
            </w:pPr>
          </w:p>
        </w:tc>
        <w:tc>
          <w:tcPr>
            <w:tcW w:w="1620" w:type="dxa"/>
            <w:gridSpan w:val="3"/>
            <w:noWrap w:val="0"/>
            <w:vAlign w:val="center"/>
          </w:tcPr>
          <w:p>
            <w:pPr>
              <w:jc w:val="center"/>
              <w:rPr>
                <w:color w:val="auto"/>
                <w:highlight w:val="none"/>
              </w:rPr>
            </w:pPr>
            <w:r>
              <w:rPr>
                <w:rFonts w:hint="eastAsia" w:cs="宋体"/>
                <w:color w:val="auto"/>
                <w:highlight w:val="none"/>
              </w:rPr>
              <w:t>高级职称人员</w:t>
            </w:r>
          </w:p>
        </w:tc>
        <w:tc>
          <w:tcPr>
            <w:tcW w:w="2643" w:type="dxa"/>
            <w:gridSpan w:val="2"/>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highlight w:val="none"/>
              </w:rPr>
            </w:pPr>
            <w:r>
              <w:rPr>
                <w:rFonts w:hint="eastAsia" w:cs="宋体"/>
                <w:color w:val="auto"/>
                <w:highlight w:val="none"/>
              </w:rPr>
              <w:t>注册资金</w:t>
            </w:r>
          </w:p>
        </w:tc>
        <w:tc>
          <w:tcPr>
            <w:tcW w:w="1918" w:type="dxa"/>
            <w:gridSpan w:val="2"/>
            <w:noWrap w:val="0"/>
            <w:vAlign w:val="center"/>
          </w:tcPr>
          <w:p>
            <w:pPr>
              <w:jc w:val="center"/>
              <w:rPr>
                <w:color w:val="auto"/>
                <w:highlight w:val="none"/>
              </w:rPr>
            </w:pPr>
          </w:p>
        </w:tc>
        <w:tc>
          <w:tcPr>
            <w:tcW w:w="1160" w:type="dxa"/>
            <w:vMerge w:val="continue"/>
            <w:noWrap w:val="0"/>
            <w:vAlign w:val="center"/>
          </w:tcPr>
          <w:p>
            <w:pPr>
              <w:jc w:val="center"/>
              <w:rPr>
                <w:color w:val="auto"/>
                <w:highlight w:val="none"/>
              </w:rPr>
            </w:pPr>
          </w:p>
        </w:tc>
        <w:tc>
          <w:tcPr>
            <w:tcW w:w="1620" w:type="dxa"/>
            <w:gridSpan w:val="3"/>
            <w:noWrap w:val="0"/>
            <w:vAlign w:val="center"/>
          </w:tcPr>
          <w:p>
            <w:pPr>
              <w:jc w:val="center"/>
              <w:rPr>
                <w:color w:val="auto"/>
                <w:highlight w:val="none"/>
              </w:rPr>
            </w:pPr>
            <w:r>
              <w:rPr>
                <w:rFonts w:hint="eastAsia" w:cs="宋体"/>
                <w:color w:val="auto"/>
                <w:highlight w:val="none"/>
              </w:rPr>
              <w:t>中级职称人员</w:t>
            </w:r>
          </w:p>
        </w:tc>
        <w:tc>
          <w:tcPr>
            <w:tcW w:w="2643" w:type="dxa"/>
            <w:gridSpan w:val="2"/>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highlight w:val="none"/>
              </w:rPr>
            </w:pPr>
            <w:r>
              <w:rPr>
                <w:rFonts w:hint="eastAsia" w:cs="宋体"/>
                <w:color w:val="auto"/>
                <w:highlight w:val="none"/>
              </w:rPr>
              <w:t>开户银行</w:t>
            </w:r>
          </w:p>
        </w:tc>
        <w:tc>
          <w:tcPr>
            <w:tcW w:w="1918" w:type="dxa"/>
            <w:gridSpan w:val="2"/>
            <w:noWrap w:val="0"/>
            <w:vAlign w:val="center"/>
          </w:tcPr>
          <w:p>
            <w:pPr>
              <w:jc w:val="center"/>
              <w:rPr>
                <w:color w:val="auto"/>
                <w:highlight w:val="none"/>
              </w:rPr>
            </w:pPr>
          </w:p>
        </w:tc>
        <w:tc>
          <w:tcPr>
            <w:tcW w:w="1160" w:type="dxa"/>
            <w:vMerge w:val="continue"/>
            <w:noWrap w:val="0"/>
            <w:vAlign w:val="center"/>
          </w:tcPr>
          <w:p>
            <w:pPr>
              <w:jc w:val="center"/>
              <w:rPr>
                <w:color w:val="auto"/>
                <w:highlight w:val="none"/>
              </w:rPr>
            </w:pPr>
          </w:p>
        </w:tc>
        <w:tc>
          <w:tcPr>
            <w:tcW w:w="1620" w:type="dxa"/>
            <w:gridSpan w:val="3"/>
            <w:noWrap w:val="0"/>
            <w:vAlign w:val="center"/>
          </w:tcPr>
          <w:p>
            <w:pPr>
              <w:jc w:val="center"/>
              <w:rPr>
                <w:color w:val="auto"/>
                <w:highlight w:val="none"/>
              </w:rPr>
            </w:pPr>
            <w:r>
              <w:rPr>
                <w:rFonts w:hint="eastAsia" w:cs="宋体"/>
                <w:color w:val="auto"/>
                <w:highlight w:val="none"/>
              </w:rPr>
              <w:t>初级职称人员</w:t>
            </w:r>
          </w:p>
        </w:tc>
        <w:tc>
          <w:tcPr>
            <w:tcW w:w="2643" w:type="dxa"/>
            <w:gridSpan w:val="2"/>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highlight w:val="none"/>
              </w:rPr>
            </w:pPr>
            <w:r>
              <w:rPr>
                <w:rFonts w:hint="eastAsia" w:cs="宋体"/>
                <w:color w:val="auto"/>
                <w:highlight w:val="none"/>
              </w:rPr>
              <w:t>账号</w:t>
            </w:r>
          </w:p>
        </w:tc>
        <w:tc>
          <w:tcPr>
            <w:tcW w:w="1918" w:type="dxa"/>
            <w:gridSpan w:val="2"/>
            <w:noWrap w:val="0"/>
            <w:vAlign w:val="center"/>
          </w:tcPr>
          <w:p>
            <w:pPr>
              <w:jc w:val="center"/>
              <w:rPr>
                <w:color w:val="auto"/>
                <w:highlight w:val="none"/>
              </w:rPr>
            </w:pPr>
          </w:p>
        </w:tc>
        <w:tc>
          <w:tcPr>
            <w:tcW w:w="1160" w:type="dxa"/>
            <w:vMerge w:val="continue"/>
            <w:noWrap w:val="0"/>
            <w:vAlign w:val="center"/>
          </w:tcPr>
          <w:p>
            <w:pPr>
              <w:jc w:val="center"/>
              <w:rPr>
                <w:color w:val="auto"/>
                <w:highlight w:val="none"/>
              </w:rPr>
            </w:pPr>
          </w:p>
        </w:tc>
        <w:tc>
          <w:tcPr>
            <w:tcW w:w="1620" w:type="dxa"/>
            <w:gridSpan w:val="3"/>
            <w:noWrap w:val="0"/>
            <w:vAlign w:val="center"/>
          </w:tcPr>
          <w:p>
            <w:pPr>
              <w:jc w:val="center"/>
              <w:rPr>
                <w:color w:val="auto"/>
                <w:highlight w:val="none"/>
              </w:rPr>
            </w:pPr>
            <w:r>
              <w:rPr>
                <w:rFonts w:hint="eastAsia" w:cs="宋体"/>
                <w:color w:val="auto"/>
                <w:highlight w:val="none"/>
              </w:rPr>
              <w:t>技</w:t>
            </w:r>
            <w:r>
              <w:rPr>
                <w:color w:val="auto"/>
                <w:highlight w:val="none"/>
              </w:rPr>
              <w:t xml:space="preserve">  </w:t>
            </w:r>
            <w:r>
              <w:rPr>
                <w:rFonts w:hint="eastAsia" w:cs="宋体"/>
                <w:color w:val="auto"/>
                <w:highlight w:val="none"/>
              </w:rPr>
              <w:t>工</w:t>
            </w:r>
          </w:p>
        </w:tc>
        <w:tc>
          <w:tcPr>
            <w:tcW w:w="2643" w:type="dxa"/>
            <w:gridSpan w:val="2"/>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noWrap w:val="0"/>
            <w:vAlign w:val="center"/>
          </w:tcPr>
          <w:p>
            <w:pPr>
              <w:jc w:val="center"/>
              <w:rPr>
                <w:color w:val="auto"/>
                <w:highlight w:val="none"/>
              </w:rPr>
            </w:pPr>
            <w:r>
              <w:rPr>
                <w:rFonts w:hint="eastAsia" w:cs="宋体"/>
                <w:color w:val="auto"/>
                <w:highlight w:val="none"/>
              </w:rPr>
              <w:t>经营范围</w:t>
            </w:r>
          </w:p>
        </w:tc>
        <w:tc>
          <w:tcPr>
            <w:tcW w:w="7341" w:type="dxa"/>
            <w:gridSpan w:val="8"/>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pPr>
              <w:jc w:val="center"/>
              <w:rPr>
                <w:color w:val="auto"/>
                <w:highlight w:val="none"/>
              </w:rPr>
            </w:pPr>
            <w:r>
              <w:rPr>
                <w:rFonts w:hint="eastAsia" w:cs="宋体"/>
                <w:color w:val="auto"/>
                <w:highlight w:val="none"/>
              </w:rPr>
              <w:t>备注</w:t>
            </w:r>
          </w:p>
        </w:tc>
        <w:tc>
          <w:tcPr>
            <w:tcW w:w="7341" w:type="dxa"/>
            <w:gridSpan w:val="8"/>
            <w:noWrap w:val="0"/>
            <w:vAlign w:val="center"/>
          </w:tcPr>
          <w:p>
            <w:pPr>
              <w:jc w:val="center"/>
              <w:rPr>
                <w:color w:val="auto"/>
                <w:highlight w:val="none"/>
              </w:rPr>
            </w:pPr>
          </w:p>
        </w:tc>
      </w:tr>
    </w:tbl>
    <w:p>
      <w:pPr>
        <w:spacing w:line="440" w:lineRule="exact"/>
        <w:rPr>
          <w:color w:val="auto"/>
          <w:highlight w:val="none"/>
        </w:rPr>
      </w:pPr>
    </w:p>
    <w:p>
      <w:pPr>
        <w:spacing w:line="440" w:lineRule="exact"/>
        <w:rPr>
          <w:color w:val="auto"/>
          <w:highlight w:val="none"/>
        </w:rPr>
      </w:pPr>
      <w:r>
        <w:rPr>
          <w:rFonts w:hint="eastAsia" w:eastAsia="楷体_GB2312" w:cs="楷体_GB2312"/>
          <w:color w:val="auto"/>
          <w:highlight w:val="none"/>
        </w:rPr>
        <w:t>【备注：有效的企业营业执照、企业资质证书副本和安全生产许可证副本等的复印件。】</w:t>
      </w:r>
    </w:p>
    <w:p>
      <w:pPr>
        <w:spacing w:line="480" w:lineRule="auto"/>
        <w:ind w:firstLine="525" w:firstLineChars="250"/>
        <w:jc w:val="center"/>
        <w:rPr>
          <w:color w:val="auto"/>
          <w:sz w:val="28"/>
          <w:szCs w:val="28"/>
          <w:highlight w:val="none"/>
        </w:rPr>
      </w:pPr>
      <w:r>
        <w:rPr>
          <w:color w:val="auto"/>
          <w:highlight w:val="none"/>
        </w:rPr>
        <w:br w:type="page"/>
      </w:r>
      <w:r>
        <w:rPr>
          <w:b/>
          <w:bCs/>
          <w:color w:val="auto"/>
          <w:sz w:val="28"/>
          <w:szCs w:val="28"/>
          <w:highlight w:val="none"/>
        </w:rPr>
        <w:t>3</w:t>
      </w:r>
      <w:r>
        <w:rPr>
          <w:rFonts w:hint="eastAsia" w:cs="宋体"/>
          <w:b/>
          <w:bCs/>
          <w:color w:val="auto"/>
          <w:sz w:val="28"/>
          <w:szCs w:val="28"/>
          <w:highlight w:val="none"/>
        </w:rPr>
        <w:t>、联合体协议书（联合体投标人适用）</w:t>
      </w:r>
    </w:p>
    <w:p>
      <w:pPr>
        <w:spacing w:line="394" w:lineRule="exact"/>
        <w:rPr>
          <w:color w:val="auto"/>
          <w:highlight w:val="none"/>
        </w:rPr>
      </w:pPr>
      <w:r>
        <w:rPr>
          <w:rFonts w:hint="eastAsia" w:cs="宋体"/>
          <w:color w:val="auto"/>
          <w:highlight w:val="none"/>
        </w:rPr>
        <w:t>牵头人名称：</w:t>
      </w:r>
      <w:r>
        <w:rPr>
          <w:color w:val="auto"/>
          <w:highlight w:val="none"/>
          <w:u w:val="single"/>
        </w:rPr>
        <w:t xml:space="preserve">                                                  </w:t>
      </w:r>
    </w:p>
    <w:p>
      <w:pPr>
        <w:spacing w:line="394" w:lineRule="exact"/>
        <w:rPr>
          <w:color w:val="auto"/>
          <w:highlight w:val="none"/>
        </w:rPr>
      </w:pPr>
      <w:r>
        <w:rPr>
          <w:rFonts w:hint="eastAsia" w:cs="宋体"/>
          <w:color w:val="auto"/>
          <w:highlight w:val="none"/>
        </w:rPr>
        <w:t>法定代表人：</w:t>
      </w:r>
      <w:r>
        <w:rPr>
          <w:color w:val="auto"/>
          <w:highlight w:val="none"/>
          <w:u w:val="single"/>
        </w:rPr>
        <w:t xml:space="preserve">                                                  </w:t>
      </w:r>
    </w:p>
    <w:p>
      <w:pPr>
        <w:spacing w:line="394" w:lineRule="exact"/>
        <w:rPr>
          <w:color w:val="auto"/>
          <w:highlight w:val="none"/>
        </w:rPr>
      </w:pPr>
      <w:r>
        <w:rPr>
          <w:rFonts w:hint="eastAsia" w:cs="宋体"/>
          <w:color w:val="auto"/>
          <w:highlight w:val="none"/>
        </w:rPr>
        <w:t>法定住所：</w:t>
      </w:r>
      <w:r>
        <w:rPr>
          <w:color w:val="auto"/>
          <w:highlight w:val="none"/>
          <w:u w:val="single"/>
        </w:rPr>
        <w:t xml:space="preserve">                                                    </w:t>
      </w:r>
    </w:p>
    <w:p>
      <w:pPr>
        <w:spacing w:line="394" w:lineRule="exact"/>
        <w:rPr>
          <w:color w:val="auto"/>
          <w:highlight w:val="none"/>
        </w:rPr>
      </w:pPr>
      <w:r>
        <w:rPr>
          <w:rFonts w:hint="eastAsia" w:cs="宋体"/>
          <w:color w:val="auto"/>
          <w:highlight w:val="none"/>
        </w:rPr>
        <w:t>成员二名称：</w:t>
      </w:r>
      <w:r>
        <w:rPr>
          <w:color w:val="auto"/>
          <w:highlight w:val="none"/>
          <w:u w:val="single"/>
        </w:rPr>
        <w:t xml:space="preserve">                                                  </w:t>
      </w:r>
    </w:p>
    <w:p>
      <w:pPr>
        <w:spacing w:line="394" w:lineRule="exact"/>
        <w:rPr>
          <w:color w:val="auto"/>
          <w:highlight w:val="none"/>
        </w:rPr>
      </w:pPr>
      <w:r>
        <w:rPr>
          <w:rFonts w:hint="eastAsia" w:cs="宋体"/>
          <w:color w:val="auto"/>
          <w:highlight w:val="none"/>
        </w:rPr>
        <w:t>法定代表人：</w:t>
      </w:r>
      <w:r>
        <w:rPr>
          <w:color w:val="auto"/>
          <w:highlight w:val="none"/>
          <w:u w:val="single"/>
        </w:rPr>
        <w:t xml:space="preserve">                                                  </w:t>
      </w:r>
    </w:p>
    <w:p>
      <w:pPr>
        <w:spacing w:line="394" w:lineRule="exact"/>
        <w:rPr>
          <w:color w:val="auto"/>
          <w:highlight w:val="none"/>
          <w:u w:val="single"/>
        </w:rPr>
      </w:pPr>
      <w:r>
        <w:rPr>
          <w:rFonts w:hint="eastAsia" w:cs="宋体"/>
          <w:color w:val="auto"/>
          <w:highlight w:val="none"/>
        </w:rPr>
        <w:t>法定住所：</w:t>
      </w:r>
      <w:r>
        <w:rPr>
          <w:color w:val="auto"/>
          <w:highlight w:val="none"/>
          <w:u w:val="single"/>
        </w:rPr>
        <w:t xml:space="preserve">                                                    </w:t>
      </w:r>
    </w:p>
    <w:p>
      <w:pPr>
        <w:spacing w:line="394" w:lineRule="exact"/>
        <w:rPr>
          <w:color w:val="auto"/>
          <w:highlight w:val="none"/>
        </w:rPr>
      </w:pPr>
      <w:r>
        <w:rPr>
          <w:color w:val="auto"/>
          <w:highlight w:val="none"/>
        </w:rPr>
        <w:t>……</w:t>
      </w:r>
    </w:p>
    <w:p>
      <w:pPr>
        <w:spacing w:line="400" w:lineRule="exact"/>
        <w:ind w:firstLine="420" w:firstLineChars="200"/>
        <w:rPr>
          <w:color w:val="auto"/>
          <w:highlight w:val="none"/>
        </w:rPr>
      </w:pPr>
      <w:r>
        <w:rPr>
          <w:rFonts w:hint="eastAsia" w:cs="宋体"/>
          <w:color w:val="auto"/>
          <w:highlight w:val="none"/>
        </w:rPr>
        <w:t>鉴于上述各成员单位经过友好协商，自愿组成</w:t>
      </w:r>
      <w:r>
        <w:rPr>
          <w:color w:val="auto"/>
          <w:highlight w:val="none"/>
          <w:u w:val="single"/>
        </w:rPr>
        <w:t xml:space="preserve">                          </w:t>
      </w:r>
      <w:r>
        <w:rPr>
          <w:rFonts w:hint="eastAsia" w:cs="宋体"/>
          <w:color w:val="auto"/>
          <w:highlight w:val="none"/>
        </w:rPr>
        <w:t>（联合体名称）联合体，共同参加</w:t>
      </w:r>
      <w:r>
        <w:rPr>
          <w:color w:val="auto"/>
          <w:highlight w:val="none"/>
          <w:u w:val="single"/>
        </w:rPr>
        <w:t xml:space="preserve">                                     </w:t>
      </w:r>
      <w:r>
        <w:rPr>
          <w:rFonts w:hint="eastAsia" w:cs="宋体"/>
          <w:color w:val="auto"/>
          <w:highlight w:val="none"/>
        </w:rPr>
        <w:t>（招标人名称）（以下简称招标人）</w:t>
      </w:r>
    </w:p>
    <w:p>
      <w:pPr>
        <w:spacing w:line="400" w:lineRule="exact"/>
        <w:rPr>
          <w:color w:val="auto"/>
          <w:highlight w:val="none"/>
        </w:rPr>
      </w:pPr>
      <w:r>
        <w:rPr>
          <w:color w:val="auto"/>
          <w:highlight w:val="none"/>
          <w:u w:val="single"/>
        </w:rPr>
        <w:t xml:space="preserve">                           </w:t>
      </w:r>
      <w:r>
        <w:rPr>
          <w:rFonts w:hint="eastAsia" w:cs="宋体"/>
          <w:color w:val="auto"/>
          <w:highlight w:val="none"/>
        </w:rPr>
        <w:t>（项目名称）（以下简称本工程）的施工投标并争取赢得本工程施工承包合同（以下简称合同）。现就联合体投标事宜订立如下协议：</w:t>
      </w:r>
    </w:p>
    <w:p>
      <w:pPr>
        <w:spacing w:line="400" w:lineRule="exact"/>
        <w:ind w:firstLine="420" w:firstLineChars="200"/>
        <w:rPr>
          <w:color w:val="auto"/>
          <w:highlight w:val="none"/>
        </w:rPr>
      </w:pPr>
      <w:r>
        <w:rPr>
          <w:color w:val="auto"/>
          <w:highlight w:val="none"/>
        </w:rPr>
        <w:t>1</w:t>
      </w:r>
      <w:r>
        <w:rPr>
          <w:rFonts w:hint="eastAsia" w:cs="宋体"/>
          <w:color w:val="auto"/>
          <w:highlight w:val="none"/>
        </w:rPr>
        <w:t>．</w:t>
      </w:r>
      <w:r>
        <w:rPr>
          <w:color w:val="auto"/>
          <w:highlight w:val="none"/>
          <w:u w:val="single"/>
        </w:rPr>
        <w:t xml:space="preserve">        </w:t>
      </w:r>
      <w:r>
        <w:rPr>
          <w:rFonts w:hint="eastAsia" w:cs="宋体"/>
          <w:color w:val="auto"/>
          <w:highlight w:val="none"/>
        </w:rPr>
        <w:t>（某成员单位名称）为</w:t>
      </w:r>
      <w:r>
        <w:rPr>
          <w:color w:val="auto"/>
          <w:highlight w:val="none"/>
          <w:u w:val="single"/>
        </w:rPr>
        <w:t xml:space="preserve">              </w:t>
      </w:r>
      <w:r>
        <w:rPr>
          <w:rFonts w:hint="eastAsia" w:cs="宋体"/>
          <w:color w:val="auto"/>
          <w:highlight w:val="none"/>
        </w:rPr>
        <w:t>（联合体名称）牵头人。</w:t>
      </w:r>
    </w:p>
    <w:p>
      <w:pPr>
        <w:spacing w:line="400" w:lineRule="exact"/>
        <w:ind w:firstLine="420" w:firstLineChars="200"/>
        <w:rPr>
          <w:color w:val="auto"/>
          <w:highlight w:val="none"/>
        </w:rPr>
      </w:pPr>
      <w:r>
        <w:rPr>
          <w:color w:val="auto"/>
          <w:highlight w:val="none"/>
        </w:rPr>
        <w:t>2</w:t>
      </w:r>
      <w:r>
        <w:rPr>
          <w:rFonts w:hint="eastAsia" w:cs="宋体"/>
          <w:color w:val="auto"/>
          <w:highlight w:val="none"/>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pacing w:line="400" w:lineRule="exact"/>
        <w:ind w:firstLine="420" w:firstLineChars="200"/>
        <w:rPr>
          <w:color w:val="auto"/>
          <w:highlight w:val="none"/>
        </w:rPr>
      </w:pPr>
      <w:r>
        <w:rPr>
          <w:color w:val="auto"/>
          <w:highlight w:val="none"/>
        </w:rPr>
        <w:t>3</w:t>
      </w:r>
      <w:r>
        <w:rPr>
          <w:rFonts w:hint="eastAsia" w:cs="宋体"/>
          <w:color w:val="auto"/>
          <w:highlight w:val="none"/>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pacing w:line="400" w:lineRule="exact"/>
        <w:ind w:firstLine="420" w:firstLineChars="200"/>
        <w:rPr>
          <w:color w:val="auto"/>
          <w:highlight w:val="none"/>
        </w:rPr>
      </w:pPr>
      <w:r>
        <w:rPr>
          <w:color w:val="auto"/>
          <w:highlight w:val="none"/>
        </w:rPr>
        <w:t>4</w:t>
      </w:r>
      <w:r>
        <w:rPr>
          <w:rFonts w:hint="eastAsia" w:cs="宋体"/>
          <w:color w:val="auto"/>
          <w:highlight w:val="none"/>
        </w:rPr>
        <w:t>．联合体各成员单位内部的职责分工如下：</w:t>
      </w:r>
      <w:r>
        <w:rPr>
          <w:color w:val="auto"/>
          <w:highlight w:val="none"/>
          <w:u w:val="single"/>
        </w:rPr>
        <w:t xml:space="preserve">                                    </w:t>
      </w:r>
      <w:r>
        <w:rPr>
          <w:rFonts w:hint="eastAsia" w:cs="宋体"/>
          <w:color w:val="auto"/>
          <w:highlight w:val="none"/>
        </w:rPr>
        <w:t>。按照本条上述分工，联合体成员单位各自所承担的合同工作量比例如下：</w:t>
      </w:r>
      <w:r>
        <w:rPr>
          <w:color w:val="auto"/>
          <w:highlight w:val="none"/>
          <w:u w:val="single"/>
        </w:rPr>
        <w:t xml:space="preserve">               </w:t>
      </w:r>
      <w:r>
        <w:rPr>
          <w:rFonts w:hint="eastAsia" w:cs="宋体"/>
          <w:color w:val="auto"/>
          <w:highlight w:val="none"/>
        </w:rPr>
        <w:t>。</w:t>
      </w:r>
    </w:p>
    <w:p>
      <w:pPr>
        <w:spacing w:line="400" w:lineRule="exact"/>
        <w:ind w:firstLine="420" w:firstLineChars="200"/>
        <w:rPr>
          <w:color w:val="auto"/>
          <w:highlight w:val="none"/>
        </w:rPr>
      </w:pPr>
      <w:r>
        <w:rPr>
          <w:color w:val="auto"/>
          <w:highlight w:val="none"/>
        </w:rPr>
        <w:t>5</w:t>
      </w:r>
      <w:r>
        <w:rPr>
          <w:rFonts w:hint="eastAsia" w:cs="宋体"/>
          <w:color w:val="auto"/>
          <w:highlight w:val="none"/>
        </w:rPr>
        <w:t>．投标工作和联合体在中标后工程实施过程中的有关费用按各自承担的工作量分摊。</w:t>
      </w:r>
    </w:p>
    <w:p>
      <w:pPr>
        <w:spacing w:line="400" w:lineRule="exact"/>
        <w:ind w:firstLine="420" w:firstLineChars="200"/>
        <w:rPr>
          <w:color w:val="auto"/>
          <w:highlight w:val="none"/>
        </w:rPr>
      </w:pPr>
      <w:r>
        <w:rPr>
          <w:color w:val="auto"/>
          <w:highlight w:val="none"/>
        </w:rPr>
        <w:t>6</w:t>
      </w:r>
      <w:r>
        <w:rPr>
          <w:rFonts w:hint="eastAsia" w:cs="宋体"/>
          <w:color w:val="auto"/>
          <w:highlight w:val="none"/>
        </w:rPr>
        <w:t>．联合体中标后，本联合体协议是合同的附件，对联合体各成员单位有合同约束力。</w:t>
      </w:r>
    </w:p>
    <w:p>
      <w:pPr>
        <w:spacing w:line="400" w:lineRule="exact"/>
        <w:ind w:firstLine="420" w:firstLineChars="200"/>
        <w:rPr>
          <w:color w:val="auto"/>
          <w:highlight w:val="none"/>
        </w:rPr>
      </w:pPr>
      <w:r>
        <w:rPr>
          <w:color w:val="auto"/>
          <w:highlight w:val="none"/>
        </w:rPr>
        <w:t>7</w:t>
      </w:r>
      <w:r>
        <w:rPr>
          <w:rFonts w:hint="eastAsia" w:cs="宋体"/>
          <w:color w:val="auto"/>
          <w:highlight w:val="none"/>
        </w:rPr>
        <w:t>．本协议书自签署之日起生效，联合体未中标或者中标时合同履行完毕后自动失效。</w:t>
      </w:r>
    </w:p>
    <w:p>
      <w:pPr>
        <w:spacing w:line="400" w:lineRule="exact"/>
        <w:ind w:firstLine="420" w:firstLineChars="200"/>
        <w:rPr>
          <w:color w:val="auto"/>
          <w:highlight w:val="none"/>
        </w:rPr>
      </w:pPr>
      <w:r>
        <w:rPr>
          <w:color w:val="auto"/>
          <w:highlight w:val="none"/>
        </w:rPr>
        <w:t>8</w:t>
      </w:r>
      <w:r>
        <w:rPr>
          <w:rFonts w:hint="eastAsia" w:cs="宋体"/>
          <w:color w:val="auto"/>
          <w:highlight w:val="none"/>
        </w:rPr>
        <w:t>．本协议书一式</w:t>
      </w:r>
      <w:r>
        <w:rPr>
          <w:color w:val="auto"/>
          <w:highlight w:val="none"/>
          <w:u w:val="single"/>
        </w:rPr>
        <w:t xml:space="preserve">            </w:t>
      </w:r>
      <w:r>
        <w:rPr>
          <w:rFonts w:hint="eastAsia" w:cs="宋体"/>
          <w:color w:val="auto"/>
          <w:highlight w:val="none"/>
        </w:rPr>
        <w:t>份，联合体成员和招标人各执一份。</w:t>
      </w:r>
    </w:p>
    <w:p>
      <w:pPr>
        <w:spacing w:line="394" w:lineRule="exact"/>
        <w:rPr>
          <w:color w:val="auto"/>
          <w:highlight w:val="none"/>
        </w:rPr>
      </w:pPr>
    </w:p>
    <w:p>
      <w:pPr>
        <w:spacing w:line="394" w:lineRule="exact"/>
        <w:ind w:firstLine="1785" w:firstLineChars="850"/>
        <w:rPr>
          <w:color w:val="auto"/>
          <w:highlight w:val="none"/>
        </w:rPr>
      </w:pPr>
      <w:r>
        <w:rPr>
          <w:rFonts w:hint="eastAsia" w:cs="宋体"/>
          <w:color w:val="auto"/>
          <w:highlight w:val="none"/>
        </w:rPr>
        <w:t>牵头人名称：</w:t>
      </w:r>
      <w:r>
        <w:rPr>
          <w:color w:val="auto"/>
          <w:highlight w:val="none"/>
          <w:u w:val="single"/>
        </w:rPr>
        <w:t xml:space="preserve">                                    </w:t>
      </w:r>
      <w:r>
        <w:rPr>
          <w:rFonts w:hint="eastAsia" w:cs="宋体"/>
          <w:color w:val="auto"/>
          <w:highlight w:val="none"/>
        </w:rPr>
        <w:t>（盖单位章）</w:t>
      </w:r>
    </w:p>
    <w:p>
      <w:pPr>
        <w:spacing w:line="394" w:lineRule="exact"/>
        <w:ind w:firstLine="1785" w:firstLineChars="850"/>
        <w:rPr>
          <w:color w:val="auto"/>
          <w:highlight w:val="none"/>
        </w:rPr>
      </w:pPr>
      <w:r>
        <w:rPr>
          <w:rFonts w:hint="eastAsia" w:cs="宋体"/>
          <w:color w:val="auto"/>
          <w:highlight w:val="none"/>
        </w:rPr>
        <w:t>法定代表人或其委托代理人：</w:t>
      </w:r>
      <w:r>
        <w:rPr>
          <w:color w:val="auto"/>
          <w:highlight w:val="none"/>
          <w:u w:val="single"/>
        </w:rPr>
        <w:t xml:space="preserve">                      </w:t>
      </w:r>
      <w:r>
        <w:rPr>
          <w:rFonts w:hint="eastAsia" w:cs="宋体"/>
          <w:color w:val="auto"/>
          <w:highlight w:val="none"/>
        </w:rPr>
        <w:t>（签字或盖章）</w:t>
      </w:r>
    </w:p>
    <w:p>
      <w:pPr>
        <w:spacing w:line="394" w:lineRule="exact"/>
        <w:ind w:firstLine="1785" w:firstLineChars="850"/>
        <w:rPr>
          <w:color w:val="auto"/>
          <w:highlight w:val="none"/>
        </w:rPr>
      </w:pPr>
    </w:p>
    <w:p>
      <w:pPr>
        <w:spacing w:line="394" w:lineRule="exact"/>
        <w:ind w:firstLine="1785" w:firstLineChars="850"/>
        <w:rPr>
          <w:color w:val="auto"/>
          <w:highlight w:val="none"/>
        </w:rPr>
      </w:pPr>
      <w:r>
        <w:rPr>
          <w:rFonts w:hint="eastAsia" w:cs="宋体"/>
          <w:color w:val="auto"/>
          <w:highlight w:val="none"/>
        </w:rPr>
        <w:t>成员二名称：</w:t>
      </w:r>
      <w:r>
        <w:rPr>
          <w:color w:val="auto"/>
          <w:highlight w:val="none"/>
          <w:u w:val="single"/>
        </w:rPr>
        <w:t xml:space="preserve">                                    </w:t>
      </w:r>
      <w:r>
        <w:rPr>
          <w:rFonts w:hint="eastAsia" w:cs="宋体"/>
          <w:color w:val="auto"/>
          <w:highlight w:val="none"/>
        </w:rPr>
        <w:t>（盖单位章）</w:t>
      </w:r>
    </w:p>
    <w:p>
      <w:pPr>
        <w:spacing w:line="394" w:lineRule="exact"/>
        <w:ind w:firstLine="1785" w:firstLineChars="850"/>
        <w:rPr>
          <w:color w:val="auto"/>
          <w:highlight w:val="none"/>
        </w:rPr>
      </w:pPr>
      <w:r>
        <w:rPr>
          <w:rFonts w:hint="eastAsia" w:cs="宋体"/>
          <w:color w:val="auto"/>
          <w:highlight w:val="none"/>
        </w:rPr>
        <w:t>法定代表人或其委托代理人：</w:t>
      </w:r>
      <w:r>
        <w:rPr>
          <w:color w:val="auto"/>
          <w:highlight w:val="none"/>
          <w:u w:val="single"/>
        </w:rPr>
        <w:t xml:space="preserve">                      </w:t>
      </w:r>
      <w:r>
        <w:rPr>
          <w:rFonts w:hint="eastAsia" w:cs="宋体"/>
          <w:color w:val="auto"/>
          <w:highlight w:val="none"/>
        </w:rPr>
        <w:t>（签字或盖章）</w:t>
      </w:r>
    </w:p>
    <w:p>
      <w:pPr>
        <w:spacing w:line="394" w:lineRule="exact"/>
        <w:ind w:firstLine="1785" w:firstLineChars="850"/>
        <w:rPr>
          <w:color w:val="auto"/>
          <w:highlight w:val="none"/>
        </w:rPr>
      </w:pPr>
      <w:r>
        <w:rPr>
          <w:color w:val="auto"/>
          <w:highlight w:val="none"/>
        </w:rPr>
        <w:t>……</w:t>
      </w:r>
    </w:p>
    <w:p>
      <w:pPr>
        <w:wordWrap w:val="0"/>
        <w:spacing w:line="394" w:lineRule="exact"/>
        <w:jc w:val="right"/>
        <w:rPr>
          <w:color w:val="auto"/>
          <w:highlight w:val="none"/>
        </w:rPr>
      </w:pP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pPr>
        <w:spacing w:line="394" w:lineRule="exact"/>
        <w:rPr>
          <w:rFonts w:eastAsia="楷体_GB2312" w:cs="楷体_GB2312"/>
          <w:color w:val="auto"/>
          <w:highlight w:val="none"/>
        </w:rPr>
        <w:sectPr>
          <w:pgSz w:w="11907" w:h="16840"/>
          <w:pgMar w:top="1440" w:right="1440" w:bottom="1440" w:left="1797" w:header="851" w:footer="851" w:gutter="0"/>
          <w:cols w:space="720" w:num="1"/>
          <w:docGrid w:linePitch="312" w:charSpace="0"/>
        </w:sectPr>
      </w:pPr>
      <w:r>
        <w:rPr>
          <w:rFonts w:hint="eastAsia" w:eastAsia="楷体_GB2312" w:cs="楷体_GB2312"/>
          <w:color w:val="auto"/>
          <w:highlight w:val="none"/>
        </w:rPr>
        <w:t>【备注：本协议书由委托代理人签字或盖章的，应附法定代表人签字或盖章的授权委托书</w:t>
      </w:r>
    </w:p>
    <w:p>
      <w:pPr>
        <w:jc w:val="center"/>
        <w:rPr>
          <w:b/>
          <w:bCs/>
          <w:color w:val="auto"/>
          <w:sz w:val="28"/>
          <w:szCs w:val="28"/>
          <w:highlight w:val="none"/>
        </w:rPr>
      </w:pPr>
      <w:r>
        <w:rPr>
          <w:b/>
          <w:bCs/>
          <w:color w:val="auto"/>
          <w:sz w:val="28"/>
          <w:szCs w:val="28"/>
          <w:highlight w:val="none"/>
        </w:rPr>
        <w:t>4</w:t>
      </w:r>
      <w:r>
        <w:rPr>
          <w:rFonts w:hint="eastAsia" w:cs="宋体"/>
          <w:b/>
          <w:bCs/>
          <w:color w:val="auto"/>
          <w:sz w:val="28"/>
          <w:szCs w:val="28"/>
          <w:highlight w:val="none"/>
        </w:rPr>
        <w:t>、建设工程项目管理承诺书</w:t>
      </w:r>
    </w:p>
    <w:p>
      <w:pPr>
        <w:spacing w:line="480" w:lineRule="auto"/>
        <w:jc w:val="left"/>
        <w:rPr>
          <w:color w:val="auto"/>
          <w:highlight w:val="none"/>
        </w:rPr>
      </w:pPr>
    </w:p>
    <w:p>
      <w:pPr>
        <w:spacing w:line="480" w:lineRule="auto"/>
        <w:jc w:val="left"/>
        <w:rPr>
          <w:color w:val="auto"/>
          <w:highlight w:val="none"/>
        </w:rPr>
      </w:pPr>
      <w:r>
        <w:rPr>
          <w:rFonts w:hint="eastAsia" w:cs="宋体"/>
          <w:color w:val="auto"/>
          <w:highlight w:val="none"/>
        </w:rPr>
        <w:t>致</w:t>
      </w:r>
      <w:r>
        <w:rPr>
          <w:color w:val="auto"/>
          <w:highlight w:val="none"/>
          <w:u w:val="single"/>
        </w:rPr>
        <w:t xml:space="preserve">                        </w:t>
      </w:r>
      <w:r>
        <w:rPr>
          <w:rFonts w:hint="eastAsia" w:cs="宋体"/>
          <w:color w:val="auto"/>
          <w:highlight w:val="none"/>
        </w:rPr>
        <w:t>（招标人名称）：</w:t>
      </w:r>
    </w:p>
    <w:p>
      <w:pPr>
        <w:spacing w:line="520" w:lineRule="exact"/>
        <w:ind w:left="-10" w:firstLine="455" w:firstLineChars="217"/>
        <w:jc w:val="left"/>
        <w:rPr>
          <w:color w:val="auto"/>
          <w:highlight w:val="none"/>
        </w:rPr>
      </w:pPr>
      <w:r>
        <w:rPr>
          <w:rFonts w:hint="eastAsia" w:cs="宋体"/>
          <w:color w:val="auto"/>
          <w:highlight w:val="none"/>
        </w:rPr>
        <w:t>作为参与</w:t>
      </w:r>
      <w:r>
        <w:rPr>
          <w:color w:val="auto"/>
          <w:highlight w:val="none"/>
          <w:u w:val="single"/>
        </w:rPr>
        <w:t xml:space="preserve">                  </w:t>
      </w:r>
      <w:r>
        <w:rPr>
          <w:rFonts w:hint="eastAsia" w:cs="宋体"/>
          <w:color w:val="auto"/>
          <w:highlight w:val="none"/>
        </w:rPr>
        <w:t>（工程名称）项目的投标方，根据国家、自治区相关文件规定，我方在此向招标人承诺：</w:t>
      </w:r>
    </w:p>
    <w:p>
      <w:pPr>
        <w:spacing w:line="520" w:lineRule="exact"/>
        <w:ind w:left="-10" w:firstLine="455" w:firstLineChars="217"/>
        <w:jc w:val="left"/>
        <w:rPr>
          <w:color w:val="auto"/>
          <w:highlight w:val="none"/>
        </w:rPr>
      </w:pPr>
      <w:r>
        <w:rPr>
          <w:color w:val="auto"/>
          <w:highlight w:val="none"/>
        </w:rPr>
        <w:t>1</w:t>
      </w:r>
      <w:r>
        <w:rPr>
          <w:rFonts w:hint="eastAsia" w:cs="宋体"/>
          <w:color w:val="auto"/>
          <w:highlight w:val="none"/>
        </w:rPr>
        <w:t>、一旦中标，我方保证按照政府相关部门的规定，在发出中标通知书之日起</w:t>
      </w:r>
      <w:r>
        <w:rPr>
          <w:color w:val="auto"/>
          <w:highlight w:val="none"/>
        </w:rPr>
        <w:t>7</w:t>
      </w:r>
      <w:r>
        <w:rPr>
          <w:rFonts w:hint="eastAsia" w:cs="宋体"/>
          <w:color w:val="auto"/>
          <w:highlight w:val="none"/>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w:t>
      </w:r>
      <w:r>
        <w:rPr>
          <w:color w:val="auto"/>
          <w:highlight w:val="none"/>
        </w:rPr>
        <w:t>2009</w:t>
      </w:r>
      <w:r>
        <w:rPr>
          <w:rFonts w:hint="eastAsia" w:cs="宋体"/>
          <w:color w:val="auto"/>
          <w:highlight w:val="none"/>
        </w:rPr>
        <w:t>〕</w:t>
      </w:r>
      <w:r>
        <w:rPr>
          <w:color w:val="auto"/>
          <w:highlight w:val="none"/>
        </w:rPr>
        <w:t>50</w:t>
      </w:r>
      <w:r>
        <w:rPr>
          <w:rFonts w:hint="eastAsia" w:cs="宋体"/>
          <w:color w:val="auto"/>
          <w:highlight w:val="none"/>
        </w:rPr>
        <w:t>号）从我方农民工工资保障金中先予划支。</w:t>
      </w:r>
    </w:p>
    <w:p>
      <w:pPr>
        <w:spacing w:line="520" w:lineRule="exact"/>
        <w:ind w:left="-10" w:firstLine="455" w:firstLineChars="217"/>
        <w:jc w:val="left"/>
        <w:rPr>
          <w:color w:val="auto"/>
          <w:highlight w:val="none"/>
        </w:rPr>
      </w:pPr>
      <w:r>
        <w:rPr>
          <w:color w:val="auto"/>
          <w:highlight w:val="none"/>
        </w:rPr>
        <w:t>2</w:t>
      </w:r>
      <w:r>
        <w:rPr>
          <w:rFonts w:hint="eastAsia" w:cs="宋体"/>
          <w:color w:val="auto"/>
          <w:highlight w:val="none"/>
        </w:rPr>
        <w:t>、一旦中标，我方保证在施工过程中，严格执行《广西壮族自治区建筑工程安全文明施工费使用管理细则》（桂建质〔</w:t>
      </w:r>
      <w:r>
        <w:rPr>
          <w:color w:val="auto"/>
          <w:highlight w:val="none"/>
        </w:rPr>
        <w:t>2015</w:t>
      </w:r>
      <w:r>
        <w:rPr>
          <w:rFonts w:hint="eastAsia" w:cs="宋体"/>
          <w:color w:val="auto"/>
          <w:highlight w:val="none"/>
        </w:rPr>
        <w:t>〕</w:t>
      </w:r>
      <w:r>
        <w:rPr>
          <w:color w:val="auto"/>
          <w:highlight w:val="none"/>
        </w:rPr>
        <w:t>16</w:t>
      </w:r>
      <w:r>
        <w:rPr>
          <w:rFonts w:hint="eastAsia" w:cs="宋体"/>
          <w:color w:val="auto"/>
          <w:highlight w:val="none"/>
        </w:rPr>
        <w:t>号）的有关规定，确保建设工程各项安全防护、文明施工措施落实到位。如我方在该项目的承包中出现未按桂建质〔</w:t>
      </w:r>
      <w:r>
        <w:rPr>
          <w:color w:val="auto"/>
          <w:highlight w:val="none"/>
        </w:rPr>
        <w:t>20</w:t>
      </w:r>
      <w:bookmarkStart w:id="500" w:name="_GoBack"/>
      <w:r>
        <w:rPr>
          <w:color w:val="auto"/>
          <w:highlight w:val="none"/>
        </w:rPr>
        <w:t>15</w:t>
      </w:r>
      <w:bookmarkEnd w:id="500"/>
      <w:r>
        <w:rPr>
          <w:rFonts w:hint="eastAsia" w:cs="宋体"/>
          <w:color w:val="auto"/>
          <w:highlight w:val="none"/>
        </w:rPr>
        <w:t>〕</w:t>
      </w:r>
      <w:r>
        <w:rPr>
          <w:color w:val="auto"/>
          <w:highlight w:val="none"/>
        </w:rPr>
        <w:t>16</w:t>
      </w:r>
      <w:r>
        <w:rPr>
          <w:rFonts w:hint="eastAsia" w:cs="宋体"/>
          <w:color w:val="auto"/>
          <w:highlight w:val="none"/>
        </w:rPr>
        <w:t>号文附件一规定执行的情形，我方愿意按照相关规定接受建设单位及有关主管部门的处罚。</w:t>
      </w:r>
    </w:p>
    <w:p>
      <w:pPr>
        <w:spacing w:line="520" w:lineRule="exact"/>
        <w:ind w:left="-2" w:leftChars="-1" w:firstLine="449" w:firstLineChars="214"/>
        <w:jc w:val="left"/>
        <w:rPr>
          <w:color w:val="auto"/>
          <w:highlight w:val="none"/>
        </w:rPr>
      </w:pPr>
      <w:r>
        <w:rPr>
          <w:color w:val="auto"/>
          <w:highlight w:val="none"/>
        </w:rPr>
        <w:t>3</w:t>
      </w:r>
      <w:r>
        <w:rPr>
          <w:rFonts w:hint="eastAsia" w:cs="宋体"/>
          <w:color w:val="auto"/>
          <w:highlight w:val="none"/>
        </w:rPr>
        <w:t>、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rPr>
          <w:color w:val="auto"/>
          <w:highlight w:val="none"/>
        </w:rPr>
      </w:pPr>
      <w:r>
        <w:rPr>
          <w:color w:val="auto"/>
          <w:highlight w:val="none"/>
        </w:rPr>
        <w:t>4</w:t>
      </w:r>
      <w:r>
        <w:rPr>
          <w:rFonts w:hint="eastAsia" w:cs="宋体"/>
          <w:color w:val="auto"/>
          <w:highlight w:val="none"/>
        </w:rPr>
        <w:t>、一旦中标，我方保证严格执行</w:t>
      </w:r>
      <w:bookmarkStart w:id="456" w:name="_Hlk16014343"/>
      <w:r>
        <w:rPr>
          <w:rFonts w:hint="eastAsia" w:ascii="宋体" w:hAnsi="宋体" w:cs="宋体"/>
          <w:color w:val="auto"/>
          <w:highlight w:val="none"/>
        </w:rPr>
        <w:t>《危险性较大的分部分项工程安全管理规定》</w:t>
      </w:r>
      <w:r>
        <w:rPr>
          <w:rFonts w:hint="eastAsia" w:cs="宋体"/>
          <w:color w:val="auto"/>
          <w:highlight w:val="none"/>
        </w:rPr>
        <w:t>（建办质〔</w:t>
      </w:r>
      <w:r>
        <w:rPr>
          <w:color w:val="auto"/>
          <w:highlight w:val="none"/>
        </w:rPr>
        <w:t>2018</w:t>
      </w:r>
      <w:r>
        <w:rPr>
          <w:rFonts w:hint="eastAsia" w:cs="宋体"/>
          <w:color w:val="auto"/>
          <w:highlight w:val="none"/>
        </w:rPr>
        <w:t>〕</w:t>
      </w:r>
      <w:r>
        <w:rPr>
          <w:color w:val="auto"/>
          <w:highlight w:val="none"/>
        </w:rPr>
        <w:t>31</w:t>
      </w:r>
      <w:r>
        <w:rPr>
          <w:rFonts w:hint="eastAsia" w:cs="宋体"/>
          <w:color w:val="auto"/>
          <w:highlight w:val="none"/>
        </w:rPr>
        <w:t>号）</w:t>
      </w:r>
      <w:bookmarkEnd w:id="456"/>
      <w:r>
        <w:rPr>
          <w:rFonts w:hint="eastAsia" w:cs="宋体"/>
          <w:color w:val="auto"/>
          <w:highlight w:val="none"/>
        </w:rPr>
        <w:t>的规定，强化对深基坑、高切坡、高大模板、人工挖孔桩、起重吊装、临时活动板房等重大危险源的专项施工方案的编制、论证、审批、实施、检测的风险管理。</w:t>
      </w:r>
    </w:p>
    <w:p>
      <w:pPr>
        <w:spacing w:line="520" w:lineRule="exact"/>
        <w:jc w:val="left"/>
        <w:rPr>
          <w:color w:val="auto"/>
          <w:highlight w:val="none"/>
        </w:rPr>
      </w:pPr>
    </w:p>
    <w:p>
      <w:pPr>
        <w:spacing w:line="360" w:lineRule="auto"/>
        <w:ind w:firstLine="4410" w:firstLineChars="2100"/>
        <w:jc w:val="left"/>
        <w:rPr>
          <w:color w:val="auto"/>
          <w:highlight w:val="none"/>
          <w:u w:val="single"/>
        </w:rPr>
      </w:pPr>
      <w:r>
        <w:rPr>
          <w:rFonts w:hint="eastAsia" w:cs="宋体"/>
          <w:color w:val="auto"/>
          <w:highlight w:val="none"/>
        </w:rPr>
        <w:t>投标人：</w:t>
      </w:r>
      <w:r>
        <w:rPr>
          <w:color w:val="auto"/>
          <w:highlight w:val="none"/>
          <w:u w:val="single"/>
        </w:rPr>
        <w:t xml:space="preserve">                     </w:t>
      </w:r>
      <w:r>
        <w:rPr>
          <w:rFonts w:hint="eastAsia" w:cs="宋体"/>
          <w:color w:val="auto"/>
          <w:highlight w:val="none"/>
          <w:u w:val="single"/>
        </w:rPr>
        <w:t>（盖单位章）</w:t>
      </w:r>
    </w:p>
    <w:p>
      <w:pPr>
        <w:spacing w:line="360" w:lineRule="auto"/>
        <w:ind w:firstLine="3465" w:firstLineChars="1650"/>
        <w:jc w:val="left"/>
        <w:rPr>
          <w:color w:val="auto"/>
          <w:highlight w:val="none"/>
          <w:u w:val="single"/>
        </w:rPr>
      </w:pPr>
      <w:r>
        <w:rPr>
          <w:rFonts w:hint="eastAsia" w:cs="宋体"/>
          <w:color w:val="auto"/>
          <w:highlight w:val="none"/>
        </w:rPr>
        <w:t>法定代表人或授权代理人：</w:t>
      </w:r>
      <w:r>
        <w:rPr>
          <w:color w:val="auto"/>
          <w:highlight w:val="none"/>
          <w:u w:val="single"/>
        </w:rPr>
        <w:t xml:space="preserve">              </w:t>
      </w:r>
      <w:r>
        <w:rPr>
          <w:rFonts w:hint="eastAsia" w:cs="宋体"/>
          <w:color w:val="auto"/>
          <w:highlight w:val="none"/>
          <w:u w:val="single"/>
        </w:rPr>
        <w:t>（签字或盖章）</w:t>
      </w:r>
    </w:p>
    <w:p>
      <w:pPr>
        <w:spacing w:line="360" w:lineRule="auto"/>
        <w:ind w:firstLine="4515" w:firstLineChars="2150"/>
        <w:jc w:val="center"/>
        <w:rPr>
          <w:color w:val="auto"/>
          <w:highlight w:val="none"/>
        </w:rPr>
      </w:pPr>
      <w:r>
        <w:rPr>
          <w:rFonts w:hint="eastAsia" w:cs="宋体"/>
          <w:color w:val="auto"/>
          <w:highlight w:val="none"/>
        </w:rPr>
        <w:t>日期：</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r>
        <w:rPr>
          <w:color w:val="auto"/>
          <w:highlight w:val="none"/>
        </w:rPr>
        <w:br w:type="page"/>
      </w:r>
      <w:r>
        <w:rPr>
          <w:rFonts w:hint="eastAsia" w:cs="宋体"/>
          <w:b/>
          <w:bCs/>
          <w:color w:val="auto"/>
          <w:sz w:val="28"/>
          <w:szCs w:val="28"/>
          <w:highlight w:val="none"/>
        </w:rPr>
        <w:t>广西壮族自治区建筑工程安全文明施工措施项目清单内容</w:t>
      </w:r>
    </w:p>
    <w:p>
      <w:pPr>
        <w:spacing w:line="360" w:lineRule="auto"/>
        <w:ind w:firstLine="600" w:firstLineChars="250"/>
        <w:jc w:val="center"/>
        <w:rPr>
          <w:color w:val="auto"/>
          <w:sz w:val="24"/>
          <w:szCs w:val="24"/>
          <w:highlight w:val="none"/>
        </w:rPr>
      </w:pPr>
      <w:r>
        <w:rPr>
          <w:rFonts w:hint="eastAsia" w:cs="宋体"/>
          <w:color w:val="auto"/>
          <w:sz w:val="24"/>
          <w:szCs w:val="24"/>
          <w:highlight w:val="none"/>
        </w:rPr>
        <w:t>（桂建质〔</w:t>
      </w:r>
      <w:r>
        <w:rPr>
          <w:color w:val="auto"/>
          <w:sz w:val="24"/>
          <w:szCs w:val="24"/>
          <w:highlight w:val="none"/>
        </w:rPr>
        <w:t>2015</w:t>
      </w:r>
      <w:r>
        <w:rPr>
          <w:rFonts w:hint="eastAsia" w:cs="宋体"/>
          <w:color w:val="auto"/>
          <w:sz w:val="24"/>
          <w:szCs w:val="24"/>
          <w:highlight w:val="none"/>
        </w:rPr>
        <w:t>〕</w:t>
      </w:r>
      <w:r>
        <w:rPr>
          <w:color w:val="auto"/>
          <w:sz w:val="24"/>
          <w:szCs w:val="24"/>
          <w:highlight w:val="none"/>
        </w:rPr>
        <w:t>16</w:t>
      </w:r>
      <w:r>
        <w:rPr>
          <w:rFonts w:hint="eastAsia" w:cs="宋体"/>
          <w:color w:val="auto"/>
          <w:sz w:val="24"/>
          <w:szCs w:val="24"/>
          <w:highlight w:val="none"/>
        </w:rPr>
        <w:t>号文附件一）</w:t>
      </w:r>
    </w:p>
    <w:p>
      <w:pPr>
        <w:pStyle w:val="32"/>
        <w:spacing w:line="240" w:lineRule="atLeast"/>
        <w:jc w:val="center"/>
        <w:rPr>
          <w:rFonts w:ascii="宋体"/>
          <w:b/>
          <w:bCs/>
          <w:color w:val="auto"/>
          <w:sz w:val="24"/>
          <w:szCs w:val="24"/>
          <w:highlight w:val="none"/>
        </w:rPr>
      </w:pPr>
      <w:r>
        <w:rPr>
          <w:rFonts w:hint="eastAsia" w:ascii="宋体" w:hAnsi="宋体" w:cs="宋体"/>
          <w:b/>
          <w:bCs/>
          <w:color w:val="auto"/>
          <w:sz w:val="24"/>
          <w:szCs w:val="24"/>
          <w:highlight w:val="none"/>
        </w:rPr>
        <w:t>广西壮族自治区</w:t>
      </w:r>
    </w:p>
    <w:p>
      <w:pPr>
        <w:pStyle w:val="32"/>
        <w:spacing w:line="240" w:lineRule="atLeast"/>
        <w:ind w:firstLine="546"/>
        <w:jc w:val="center"/>
        <w:rPr>
          <w:b/>
          <w:bCs/>
          <w:color w:val="auto"/>
          <w:w w:val="90"/>
          <w:sz w:val="24"/>
          <w:szCs w:val="24"/>
          <w:highlight w:val="none"/>
        </w:rPr>
      </w:pPr>
      <w:r>
        <w:rPr>
          <w:rFonts w:hint="eastAsia" w:cs="宋体"/>
          <w:b/>
          <w:bCs/>
          <w:color w:val="auto"/>
          <w:w w:val="90"/>
          <w:sz w:val="24"/>
          <w:szCs w:val="24"/>
          <w:highlight w:val="none"/>
        </w:rPr>
        <w:t>建设工程安全文明施工措施项目清单内容</w:t>
      </w:r>
    </w:p>
    <w:p>
      <w:pPr>
        <w:pStyle w:val="32"/>
        <w:spacing w:line="240" w:lineRule="atLeast"/>
        <w:ind w:firstLine="546"/>
        <w:jc w:val="center"/>
        <w:rPr>
          <w:b/>
          <w:bCs/>
          <w:color w:val="auto"/>
          <w:w w:val="90"/>
          <w:sz w:val="24"/>
          <w:szCs w:val="24"/>
          <w:highlight w:val="none"/>
        </w:rPr>
      </w:pP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738" w:type="dxa"/>
            <w:tcBorders>
              <w:top w:val="single" w:color="auto" w:sz="12" w:space="0"/>
            </w:tcBorders>
            <w:noWrap w:val="0"/>
            <w:vAlign w:val="center"/>
          </w:tcPr>
          <w:p>
            <w:pPr>
              <w:pStyle w:val="32"/>
              <w:spacing w:line="300" w:lineRule="exact"/>
              <w:jc w:val="center"/>
              <w:rPr>
                <w:rFonts w:ascii="方正仿宋_GBK" w:eastAsia="方正仿宋_GBK"/>
                <w:b/>
                <w:bCs/>
                <w:color w:val="auto"/>
                <w:highlight w:val="none"/>
              </w:rPr>
            </w:pPr>
            <w:r>
              <w:rPr>
                <w:rFonts w:hint="eastAsia" w:ascii="方正仿宋_GBK" w:eastAsia="方正仿宋_GBK" w:cs="方正仿宋_GBK"/>
                <w:b/>
                <w:bCs/>
                <w:color w:val="auto"/>
                <w:highlight w:val="none"/>
              </w:rPr>
              <w:t>类别</w:t>
            </w:r>
          </w:p>
        </w:tc>
        <w:tc>
          <w:tcPr>
            <w:tcW w:w="2070" w:type="dxa"/>
            <w:gridSpan w:val="2"/>
            <w:tcBorders>
              <w:top w:val="single" w:color="auto" w:sz="12" w:space="0"/>
            </w:tcBorders>
            <w:noWrap w:val="0"/>
            <w:vAlign w:val="center"/>
          </w:tcPr>
          <w:p>
            <w:pPr>
              <w:pStyle w:val="32"/>
              <w:spacing w:line="300" w:lineRule="exact"/>
              <w:jc w:val="center"/>
              <w:rPr>
                <w:rFonts w:ascii="方正仿宋_GBK" w:eastAsia="方正仿宋_GBK"/>
                <w:b/>
                <w:bCs/>
                <w:color w:val="auto"/>
                <w:highlight w:val="none"/>
              </w:rPr>
            </w:pPr>
            <w:r>
              <w:rPr>
                <w:rFonts w:hint="eastAsia" w:ascii="方正仿宋_GBK" w:eastAsia="方正仿宋_GBK" w:cs="方正仿宋_GBK"/>
                <w:b/>
                <w:bCs/>
                <w:color w:val="auto"/>
                <w:highlight w:val="none"/>
              </w:rPr>
              <w:t>项目名称</w:t>
            </w:r>
          </w:p>
        </w:tc>
        <w:tc>
          <w:tcPr>
            <w:tcW w:w="6645" w:type="dxa"/>
            <w:tcBorders>
              <w:top w:val="single" w:color="auto" w:sz="12" w:space="0"/>
            </w:tcBorders>
            <w:noWrap w:val="0"/>
            <w:vAlign w:val="center"/>
          </w:tcPr>
          <w:p>
            <w:pPr>
              <w:pStyle w:val="32"/>
              <w:spacing w:line="300" w:lineRule="exact"/>
              <w:jc w:val="center"/>
              <w:rPr>
                <w:rFonts w:ascii="方正仿宋_GBK" w:eastAsia="方正仿宋_GBK"/>
                <w:b/>
                <w:bCs/>
                <w:color w:val="auto"/>
                <w:highlight w:val="none"/>
              </w:rPr>
            </w:pPr>
            <w:r>
              <w:rPr>
                <w:rFonts w:hint="eastAsia" w:ascii="方正仿宋_GBK" w:eastAsia="方正仿宋_GBK" w:cs="方正仿宋_GBK"/>
                <w:b/>
                <w:bCs/>
                <w:color w:val="auto"/>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文明</w:t>
            </w:r>
          </w:p>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施工</w:t>
            </w:r>
          </w:p>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与</w:t>
            </w:r>
          </w:p>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环境</w:t>
            </w:r>
          </w:p>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保护</w:t>
            </w:r>
          </w:p>
        </w:tc>
        <w:tc>
          <w:tcPr>
            <w:tcW w:w="2070" w:type="dxa"/>
            <w:gridSpan w:val="2"/>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安全警示</w:t>
            </w:r>
          </w:p>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标志牌</w:t>
            </w:r>
          </w:p>
        </w:tc>
        <w:tc>
          <w:tcPr>
            <w:tcW w:w="66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32"/>
              <w:spacing w:line="300" w:lineRule="exact"/>
              <w:jc w:val="center"/>
              <w:rPr>
                <w:rFonts w:ascii="方正仿宋_GBK" w:eastAsia="方正仿宋_GBK"/>
                <w:color w:val="auto"/>
                <w:highlight w:val="none"/>
              </w:rPr>
            </w:pPr>
          </w:p>
        </w:tc>
        <w:tc>
          <w:tcPr>
            <w:tcW w:w="2070" w:type="dxa"/>
            <w:gridSpan w:val="2"/>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现场围挡</w:t>
            </w:r>
          </w:p>
        </w:tc>
        <w:tc>
          <w:tcPr>
            <w:tcW w:w="6645" w:type="dxa"/>
            <w:noWrap w:val="0"/>
            <w:vAlign w:val="center"/>
          </w:tcPr>
          <w:p>
            <w:pPr>
              <w:pStyle w:val="32"/>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1. </w:t>
            </w:r>
            <w:r>
              <w:rPr>
                <w:rFonts w:hint="eastAsia" w:ascii="方正仿宋_GBK" w:eastAsia="方正仿宋_GBK" w:cs="方正仿宋_GBK"/>
                <w:color w:val="auto"/>
                <w:highlight w:val="none"/>
              </w:rPr>
              <w:t>现场采用封闭围挡，高度不小于</w:t>
            </w:r>
            <w:r>
              <w:rPr>
                <w:rFonts w:ascii="方正仿宋_GBK" w:eastAsia="方正仿宋_GBK" w:cs="方正仿宋_GBK"/>
                <w:color w:val="auto"/>
                <w:highlight w:val="none"/>
              </w:rPr>
              <w:t>1.8m</w:t>
            </w:r>
            <w:r>
              <w:rPr>
                <w:rFonts w:hint="eastAsia" w:ascii="方正仿宋_GBK" w:eastAsia="方正仿宋_GBK" w:cs="方正仿宋_GBK"/>
                <w:color w:val="auto"/>
                <w:highlight w:val="none"/>
              </w:rPr>
              <w:t>。</w:t>
            </w:r>
          </w:p>
          <w:p>
            <w:pPr>
              <w:pStyle w:val="32"/>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2. </w:t>
            </w:r>
            <w:r>
              <w:rPr>
                <w:rFonts w:hint="eastAsia" w:ascii="方正仿宋_GBK" w:eastAsia="方正仿宋_GBK" w:cs="方正仿宋_GBK"/>
                <w:color w:val="auto"/>
                <w:highlight w:val="none"/>
              </w:rPr>
              <w:t>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32"/>
              <w:spacing w:line="300" w:lineRule="exact"/>
              <w:jc w:val="center"/>
              <w:rPr>
                <w:rFonts w:ascii="方正仿宋_GBK" w:eastAsia="方正仿宋_GBK"/>
                <w:color w:val="auto"/>
                <w:highlight w:val="none"/>
              </w:rPr>
            </w:pPr>
          </w:p>
        </w:tc>
        <w:tc>
          <w:tcPr>
            <w:tcW w:w="2070" w:type="dxa"/>
            <w:gridSpan w:val="2"/>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七牌二图</w:t>
            </w:r>
          </w:p>
        </w:tc>
        <w:tc>
          <w:tcPr>
            <w:tcW w:w="66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noWrap w:val="0"/>
            <w:vAlign w:val="center"/>
          </w:tcPr>
          <w:p>
            <w:pPr>
              <w:pStyle w:val="32"/>
              <w:spacing w:line="300" w:lineRule="exact"/>
              <w:jc w:val="center"/>
              <w:rPr>
                <w:rFonts w:ascii="方正仿宋_GBK" w:eastAsia="方正仿宋_GBK"/>
                <w:color w:val="auto"/>
                <w:highlight w:val="none"/>
              </w:rPr>
            </w:pPr>
          </w:p>
        </w:tc>
        <w:tc>
          <w:tcPr>
            <w:tcW w:w="2070" w:type="dxa"/>
            <w:gridSpan w:val="2"/>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企业标志</w:t>
            </w:r>
          </w:p>
        </w:tc>
        <w:tc>
          <w:tcPr>
            <w:tcW w:w="66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32"/>
              <w:spacing w:line="300" w:lineRule="exact"/>
              <w:jc w:val="center"/>
              <w:rPr>
                <w:rFonts w:ascii="方正仿宋_GBK" w:eastAsia="方正仿宋_GBK"/>
                <w:color w:val="auto"/>
                <w:highlight w:val="none"/>
              </w:rPr>
            </w:pPr>
          </w:p>
        </w:tc>
        <w:tc>
          <w:tcPr>
            <w:tcW w:w="2070" w:type="dxa"/>
            <w:gridSpan w:val="2"/>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场容场貌</w:t>
            </w:r>
          </w:p>
        </w:tc>
        <w:tc>
          <w:tcPr>
            <w:tcW w:w="6645" w:type="dxa"/>
            <w:noWrap w:val="0"/>
            <w:vAlign w:val="center"/>
          </w:tcPr>
          <w:p>
            <w:pPr>
              <w:pStyle w:val="32"/>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1. </w:t>
            </w:r>
            <w:r>
              <w:rPr>
                <w:rFonts w:hint="eastAsia" w:ascii="方正仿宋_GBK" w:eastAsia="方正仿宋_GBK" w:cs="方正仿宋_GBK"/>
                <w:color w:val="auto"/>
                <w:highlight w:val="none"/>
              </w:rPr>
              <w:t>道路畅通。</w:t>
            </w:r>
          </w:p>
          <w:p>
            <w:pPr>
              <w:pStyle w:val="32"/>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2. </w:t>
            </w:r>
            <w:r>
              <w:rPr>
                <w:rFonts w:hint="eastAsia" w:ascii="方正仿宋_GBK" w:eastAsia="方正仿宋_GBK" w:cs="方正仿宋_GBK"/>
                <w:color w:val="auto"/>
                <w:highlight w:val="none"/>
              </w:rPr>
              <w:t>排水设施齐全畅通。</w:t>
            </w:r>
          </w:p>
          <w:p>
            <w:pPr>
              <w:pStyle w:val="32"/>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3. </w:t>
            </w:r>
            <w:r>
              <w:rPr>
                <w:rFonts w:hint="eastAsia" w:ascii="方正仿宋_GBK" w:eastAsia="方正仿宋_GBK" w:cs="方正仿宋_GBK"/>
                <w:color w:val="auto"/>
                <w:highlight w:val="none"/>
              </w:rPr>
              <w:t>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32"/>
              <w:spacing w:line="300" w:lineRule="exact"/>
              <w:jc w:val="center"/>
              <w:rPr>
                <w:rFonts w:ascii="方正仿宋_GBK" w:eastAsia="方正仿宋_GBK"/>
                <w:color w:val="auto"/>
                <w:highlight w:val="none"/>
              </w:rPr>
            </w:pPr>
          </w:p>
        </w:tc>
        <w:tc>
          <w:tcPr>
            <w:tcW w:w="2070" w:type="dxa"/>
            <w:gridSpan w:val="2"/>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材料堆放</w:t>
            </w:r>
          </w:p>
        </w:tc>
        <w:tc>
          <w:tcPr>
            <w:tcW w:w="6645" w:type="dxa"/>
            <w:noWrap w:val="0"/>
            <w:vAlign w:val="center"/>
          </w:tcPr>
          <w:p>
            <w:pPr>
              <w:pStyle w:val="32"/>
              <w:numPr>
                <w:ilvl w:val="0"/>
                <w:numId w:val="5"/>
              </w:numPr>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材料、构件、料具等堆放时，应有名称、品种、规格等标牌。</w:t>
            </w:r>
          </w:p>
          <w:p>
            <w:pPr>
              <w:pStyle w:val="32"/>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2. </w:t>
            </w:r>
            <w:r>
              <w:rPr>
                <w:rFonts w:hint="eastAsia" w:ascii="方正仿宋_GBK" w:eastAsia="方正仿宋_GBK" w:cs="方正仿宋_GBK"/>
                <w:color w:val="auto"/>
                <w:highlight w:val="none"/>
              </w:rPr>
              <w:t>水泥和其它易飞扬细颗粒建筑材料应封闭存放或采取覆盖等措施。</w:t>
            </w:r>
          </w:p>
          <w:p>
            <w:pPr>
              <w:pStyle w:val="32"/>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3. </w:t>
            </w:r>
            <w:r>
              <w:rPr>
                <w:rFonts w:hint="eastAsia" w:ascii="方正仿宋_GBK" w:eastAsia="方正仿宋_GBK" w:cs="方正仿宋_GBK"/>
                <w:color w:val="auto"/>
                <w:highlight w:val="none"/>
              </w:rPr>
              <w:t>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32"/>
              <w:spacing w:line="300" w:lineRule="exact"/>
              <w:jc w:val="center"/>
              <w:rPr>
                <w:rFonts w:ascii="方正仿宋_GBK" w:eastAsia="方正仿宋_GBK"/>
                <w:color w:val="auto"/>
                <w:highlight w:val="none"/>
              </w:rPr>
            </w:pPr>
          </w:p>
        </w:tc>
        <w:tc>
          <w:tcPr>
            <w:tcW w:w="2070" w:type="dxa"/>
            <w:gridSpan w:val="2"/>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现场防火</w:t>
            </w:r>
          </w:p>
        </w:tc>
        <w:tc>
          <w:tcPr>
            <w:tcW w:w="66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32"/>
              <w:spacing w:line="300" w:lineRule="exact"/>
              <w:jc w:val="center"/>
              <w:rPr>
                <w:rFonts w:ascii="方正仿宋_GBK" w:eastAsia="方正仿宋_GBK"/>
                <w:color w:val="auto"/>
                <w:highlight w:val="none"/>
              </w:rPr>
            </w:pPr>
          </w:p>
        </w:tc>
        <w:tc>
          <w:tcPr>
            <w:tcW w:w="2070" w:type="dxa"/>
            <w:gridSpan w:val="2"/>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垃圾清运</w:t>
            </w:r>
          </w:p>
        </w:tc>
        <w:tc>
          <w:tcPr>
            <w:tcW w:w="6645" w:type="dxa"/>
            <w:noWrap w:val="0"/>
            <w:vAlign w:val="center"/>
          </w:tcPr>
          <w:p>
            <w:pPr>
              <w:pStyle w:val="32"/>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1. </w:t>
            </w:r>
            <w:r>
              <w:rPr>
                <w:rFonts w:hint="eastAsia" w:ascii="方正仿宋_GBK" w:eastAsia="方正仿宋_GBK" w:cs="方正仿宋_GBK"/>
                <w:color w:val="auto"/>
                <w:highlight w:val="none"/>
              </w:rPr>
              <w:t>施工现场应设置密闭式垃圾站，施工垃圾、生活垃圾应分类存放。</w:t>
            </w:r>
          </w:p>
          <w:p>
            <w:pPr>
              <w:pStyle w:val="32"/>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2. </w:t>
            </w:r>
            <w:r>
              <w:rPr>
                <w:rFonts w:hint="eastAsia" w:ascii="方正仿宋_GBK" w:eastAsia="方正仿宋_GBK" w:cs="方正仿宋_GBK"/>
                <w:color w:val="auto"/>
                <w:highlight w:val="none"/>
              </w:rPr>
              <w:t>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32"/>
              <w:spacing w:line="300" w:lineRule="exact"/>
              <w:jc w:val="center"/>
              <w:rPr>
                <w:rFonts w:ascii="方正仿宋_GBK" w:eastAsia="方正仿宋_GBK"/>
                <w:color w:val="auto"/>
                <w:highlight w:val="none"/>
              </w:rPr>
            </w:pPr>
          </w:p>
        </w:tc>
        <w:tc>
          <w:tcPr>
            <w:tcW w:w="2070" w:type="dxa"/>
            <w:gridSpan w:val="2"/>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宣传栏、环保及不扰民措施</w:t>
            </w:r>
          </w:p>
        </w:tc>
        <w:tc>
          <w:tcPr>
            <w:tcW w:w="66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临时设施</w:t>
            </w:r>
          </w:p>
        </w:tc>
        <w:tc>
          <w:tcPr>
            <w:tcW w:w="2070" w:type="dxa"/>
            <w:gridSpan w:val="2"/>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现场办公</w:t>
            </w:r>
          </w:p>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生活设施</w:t>
            </w:r>
          </w:p>
        </w:tc>
        <w:tc>
          <w:tcPr>
            <w:tcW w:w="6645" w:type="dxa"/>
            <w:noWrap w:val="0"/>
            <w:vAlign w:val="center"/>
          </w:tcPr>
          <w:p>
            <w:pPr>
              <w:pStyle w:val="32"/>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1. </w:t>
            </w:r>
            <w:r>
              <w:rPr>
                <w:rFonts w:hint="eastAsia" w:ascii="方正仿宋_GBK" w:eastAsia="方正仿宋_GBK" w:cs="方正仿宋_GBK"/>
                <w:color w:val="auto"/>
                <w:highlight w:val="none"/>
              </w:rPr>
              <w:t>施工现场办公、生活区与作业区分开设置，保持安全距离。</w:t>
            </w:r>
          </w:p>
          <w:p>
            <w:pPr>
              <w:pStyle w:val="32"/>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2. </w:t>
            </w:r>
            <w:r>
              <w:rPr>
                <w:rFonts w:hint="eastAsia" w:ascii="方正仿宋_GBK" w:eastAsia="方正仿宋_GBK" w:cs="方正仿宋_GBK"/>
                <w:color w:val="auto"/>
                <w:highlight w:val="none"/>
              </w:rPr>
              <w:t>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32"/>
              <w:spacing w:line="300" w:lineRule="exact"/>
              <w:jc w:val="center"/>
              <w:rPr>
                <w:rFonts w:ascii="方正仿宋_GBK" w:eastAsia="方正仿宋_GBK"/>
                <w:color w:val="auto"/>
                <w:highlight w:val="none"/>
              </w:rPr>
            </w:pPr>
          </w:p>
        </w:tc>
        <w:tc>
          <w:tcPr>
            <w:tcW w:w="525" w:type="dxa"/>
            <w:vMerge w:val="restart"/>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施工现场</w:t>
            </w:r>
          </w:p>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临时用电</w:t>
            </w:r>
          </w:p>
        </w:tc>
        <w:tc>
          <w:tcPr>
            <w:tcW w:w="1545" w:type="dxa"/>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配电线路</w:t>
            </w:r>
          </w:p>
        </w:tc>
        <w:tc>
          <w:tcPr>
            <w:tcW w:w="6645" w:type="dxa"/>
            <w:noWrap w:val="0"/>
            <w:vAlign w:val="center"/>
          </w:tcPr>
          <w:p>
            <w:pPr>
              <w:pStyle w:val="32"/>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1. </w:t>
            </w:r>
            <w:r>
              <w:rPr>
                <w:rFonts w:hint="eastAsia" w:ascii="方正仿宋_GBK" w:eastAsia="方正仿宋_GBK" w:cs="方正仿宋_GBK"/>
                <w:color w:val="auto"/>
                <w:highlight w:val="none"/>
              </w:rPr>
              <w:t>按照</w:t>
            </w:r>
            <w:r>
              <w:rPr>
                <w:rFonts w:ascii="方正仿宋_GBK" w:eastAsia="方正仿宋_GBK" w:cs="方正仿宋_GBK"/>
                <w:color w:val="auto"/>
                <w:highlight w:val="none"/>
              </w:rPr>
              <w:t>TN-S</w:t>
            </w:r>
            <w:r>
              <w:rPr>
                <w:rFonts w:hint="eastAsia" w:ascii="方正仿宋_GBK" w:eastAsia="方正仿宋_GBK" w:cs="方正仿宋_GBK"/>
                <w:color w:val="auto"/>
                <w:highlight w:val="none"/>
              </w:rPr>
              <w:t>系统要求配备五芯电缆、四芯电缆和三芯电缆。</w:t>
            </w:r>
          </w:p>
          <w:p>
            <w:pPr>
              <w:pStyle w:val="32"/>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2. </w:t>
            </w:r>
            <w:r>
              <w:rPr>
                <w:rFonts w:hint="eastAsia" w:ascii="方正仿宋_GBK" w:eastAsia="方正仿宋_GBK" w:cs="方正仿宋_GBK"/>
                <w:color w:val="auto"/>
                <w:highlight w:val="none"/>
              </w:rPr>
              <w:t>按要求架设临时用电线路的电杆、横担、瓷夹、瓷瓶等，或电缆埋地的地沟。</w:t>
            </w:r>
          </w:p>
          <w:p>
            <w:pPr>
              <w:pStyle w:val="32"/>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3. </w:t>
            </w:r>
            <w:r>
              <w:rPr>
                <w:rFonts w:hint="eastAsia" w:ascii="方正仿宋_GBK" w:eastAsia="方正仿宋_GBK" w:cs="方正仿宋_GBK"/>
                <w:color w:val="auto"/>
                <w:highlight w:val="none"/>
              </w:rPr>
              <w:t>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32"/>
              <w:spacing w:line="300" w:lineRule="exact"/>
              <w:jc w:val="center"/>
              <w:rPr>
                <w:rFonts w:ascii="方正仿宋_GBK" w:eastAsia="方正仿宋_GBK"/>
                <w:color w:val="auto"/>
                <w:highlight w:val="none"/>
              </w:rPr>
            </w:pPr>
          </w:p>
        </w:tc>
        <w:tc>
          <w:tcPr>
            <w:tcW w:w="525" w:type="dxa"/>
            <w:vMerge w:val="continue"/>
            <w:noWrap w:val="0"/>
            <w:vAlign w:val="center"/>
          </w:tcPr>
          <w:p>
            <w:pPr>
              <w:pStyle w:val="32"/>
              <w:spacing w:line="300" w:lineRule="exact"/>
              <w:jc w:val="center"/>
              <w:rPr>
                <w:rFonts w:ascii="方正仿宋_GBK" w:eastAsia="方正仿宋_GBK"/>
                <w:color w:val="auto"/>
                <w:highlight w:val="none"/>
              </w:rPr>
            </w:pPr>
          </w:p>
        </w:tc>
        <w:tc>
          <w:tcPr>
            <w:tcW w:w="1545" w:type="dxa"/>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配电箱</w:t>
            </w:r>
          </w:p>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开关箱</w:t>
            </w:r>
          </w:p>
        </w:tc>
        <w:tc>
          <w:tcPr>
            <w:tcW w:w="6645" w:type="dxa"/>
            <w:noWrap w:val="0"/>
            <w:vAlign w:val="center"/>
          </w:tcPr>
          <w:p>
            <w:pPr>
              <w:pStyle w:val="32"/>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1. </w:t>
            </w:r>
            <w:r>
              <w:rPr>
                <w:rFonts w:hint="eastAsia" w:ascii="方正仿宋_GBK" w:eastAsia="方正仿宋_GBK" w:cs="方正仿宋_GBK"/>
                <w:color w:val="auto"/>
                <w:highlight w:val="none"/>
              </w:rPr>
              <w:t>按三级配电要求，配备总配电箱、分配电箱、开关箱三类（铁质）标准电箱，开关箱应符合“一机、一箱、一闸、一漏”，三类电箱中的各类电器应是合格品。</w:t>
            </w:r>
          </w:p>
          <w:p>
            <w:pPr>
              <w:pStyle w:val="32"/>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2. </w:t>
            </w:r>
            <w:r>
              <w:rPr>
                <w:rFonts w:hint="eastAsia" w:ascii="方正仿宋_GBK" w:eastAsia="方正仿宋_GBK" w:cs="方正仿宋_GBK"/>
                <w:color w:val="auto"/>
                <w:highlight w:val="none"/>
              </w:rPr>
              <w:t>按两级保护的要求，选取符合容量要求和质量合格的总配电箱和开关箱中的漏电保护器。</w:t>
            </w:r>
          </w:p>
          <w:p>
            <w:pPr>
              <w:pStyle w:val="32"/>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3. </w:t>
            </w:r>
            <w:r>
              <w:rPr>
                <w:rFonts w:hint="eastAsia" w:ascii="方正仿宋_GBK" w:eastAsia="方正仿宋_GBK" w:cs="方正仿宋_GBK"/>
                <w:color w:val="auto"/>
                <w:highlight w:val="none"/>
              </w:rPr>
              <w:t>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noWrap w:val="0"/>
            <w:vAlign w:val="center"/>
          </w:tcPr>
          <w:p>
            <w:pPr>
              <w:pStyle w:val="32"/>
              <w:spacing w:line="300" w:lineRule="exact"/>
              <w:jc w:val="center"/>
              <w:rPr>
                <w:rFonts w:ascii="方正仿宋_GBK" w:eastAsia="方正仿宋_GBK"/>
                <w:color w:val="auto"/>
                <w:highlight w:val="none"/>
              </w:rPr>
            </w:pPr>
          </w:p>
        </w:tc>
        <w:tc>
          <w:tcPr>
            <w:tcW w:w="525" w:type="dxa"/>
            <w:vMerge w:val="continue"/>
            <w:noWrap w:val="0"/>
            <w:vAlign w:val="center"/>
          </w:tcPr>
          <w:p>
            <w:pPr>
              <w:pStyle w:val="32"/>
              <w:spacing w:line="300" w:lineRule="exact"/>
              <w:jc w:val="center"/>
              <w:rPr>
                <w:rFonts w:ascii="方正仿宋_GBK" w:eastAsia="方正仿宋_GBK"/>
                <w:color w:val="auto"/>
                <w:highlight w:val="none"/>
              </w:rPr>
            </w:pPr>
          </w:p>
        </w:tc>
        <w:tc>
          <w:tcPr>
            <w:tcW w:w="1545" w:type="dxa"/>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接地装置</w:t>
            </w:r>
          </w:p>
        </w:tc>
        <w:tc>
          <w:tcPr>
            <w:tcW w:w="66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noWrap w:val="0"/>
            <w:vAlign w:val="center"/>
          </w:tcPr>
          <w:p>
            <w:pPr>
              <w:pStyle w:val="32"/>
              <w:spacing w:line="300" w:lineRule="exact"/>
              <w:jc w:val="center"/>
              <w:rPr>
                <w:rFonts w:ascii="方正仿宋_GBK" w:eastAsia="方正仿宋_GBK"/>
                <w:color w:val="auto"/>
                <w:highlight w:val="none"/>
              </w:rPr>
            </w:pPr>
          </w:p>
        </w:tc>
        <w:tc>
          <w:tcPr>
            <w:tcW w:w="525" w:type="dxa"/>
            <w:vMerge w:val="continue"/>
            <w:noWrap w:val="0"/>
            <w:vAlign w:val="center"/>
          </w:tcPr>
          <w:p>
            <w:pPr>
              <w:pStyle w:val="32"/>
              <w:spacing w:line="300" w:lineRule="exact"/>
              <w:jc w:val="center"/>
              <w:rPr>
                <w:rFonts w:ascii="方正仿宋_GBK" w:eastAsia="方正仿宋_GBK"/>
                <w:color w:val="auto"/>
                <w:highlight w:val="none"/>
              </w:rPr>
            </w:pPr>
          </w:p>
        </w:tc>
        <w:tc>
          <w:tcPr>
            <w:tcW w:w="1545" w:type="dxa"/>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现场变配电装置</w:t>
            </w:r>
          </w:p>
        </w:tc>
        <w:tc>
          <w:tcPr>
            <w:tcW w:w="66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738" w:type="dxa"/>
            <w:noWrap w:val="0"/>
            <w:vAlign w:val="center"/>
          </w:tcPr>
          <w:p>
            <w:pPr>
              <w:pStyle w:val="32"/>
              <w:spacing w:line="300" w:lineRule="exact"/>
              <w:jc w:val="center"/>
              <w:rPr>
                <w:rFonts w:ascii="方正仿宋_GBK" w:eastAsia="方正仿宋_GBK"/>
                <w:b/>
                <w:bCs/>
                <w:color w:val="auto"/>
                <w:highlight w:val="none"/>
              </w:rPr>
            </w:pPr>
            <w:r>
              <w:rPr>
                <w:rFonts w:hint="eastAsia" w:ascii="方正仿宋_GBK" w:eastAsia="方正仿宋_GBK" w:cs="方正仿宋_GBK"/>
                <w:b/>
                <w:bCs/>
                <w:color w:val="auto"/>
                <w:highlight w:val="none"/>
              </w:rPr>
              <w:t>类别</w:t>
            </w:r>
          </w:p>
        </w:tc>
        <w:tc>
          <w:tcPr>
            <w:tcW w:w="2070" w:type="dxa"/>
            <w:gridSpan w:val="2"/>
            <w:noWrap w:val="0"/>
            <w:vAlign w:val="center"/>
          </w:tcPr>
          <w:p>
            <w:pPr>
              <w:pStyle w:val="32"/>
              <w:spacing w:line="300" w:lineRule="exact"/>
              <w:jc w:val="center"/>
              <w:rPr>
                <w:rFonts w:ascii="方正仿宋_GBK" w:eastAsia="方正仿宋_GBK"/>
                <w:b/>
                <w:bCs/>
                <w:color w:val="auto"/>
                <w:highlight w:val="none"/>
              </w:rPr>
            </w:pPr>
            <w:r>
              <w:rPr>
                <w:rFonts w:hint="eastAsia" w:ascii="方正仿宋_GBK" w:eastAsia="方正仿宋_GBK" w:cs="方正仿宋_GBK"/>
                <w:b/>
                <w:bCs/>
                <w:color w:val="auto"/>
                <w:highlight w:val="none"/>
              </w:rPr>
              <w:t>项目名称</w:t>
            </w:r>
          </w:p>
        </w:tc>
        <w:tc>
          <w:tcPr>
            <w:tcW w:w="6645" w:type="dxa"/>
            <w:noWrap w:val="0"/>
            <w:vAlign w:val="center"/>
          </w:tcPr>
          <w:p>
            <w:pPr>
              <w:pStyle w:val="32"/>
              <w:spacing w:line="300" w:lineRule="exact"/>
              <w:jc w:val="center"/>
              <w:rPr>
                <w:rFonts w:ascii="方正仿宋_GBK" w:eastAsia="方正仿宋_GBK"/>
                <w:b/>
                <w:bCs/>
                <w:color w:val="auto"/>
                <w:highlight w:val="none"/>
              </w:rPr>
            </w:pPr>
            <w:r>
              <w:rPr>
                <w:rFonts w:hint="eastAsia" w:ascii="方正仿宋_GBK" w:eastAsia="方正仿宋_GBK" w:cs="方正仿宋_GBK"/>
                <w:b/>
                <w:bCs/>
                <w:color w:val="auto"/>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安全施工</w:t>
            </w:r>
          </w:p>
        </w:tc>
        <w:tc>
          <w:tcPr>
            <w:tcW w:w="525" w:type="dxa"/>
            <w:vMerge w:val="restart"/>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高处作业防护</w:t>
            </w:r>
          </w:p>
        </w:tc>
        <w:tc>
          <w:tcPr>
            <w:tcW w:w="15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楼层、屋面、阳台等临边</w:t>
            </w:r>
          </w:p>
        </w:tc>
        <w:tc>
          <w:tcPr>
            <w:tcW w:w="66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设两道防护栏杆和</w:t>
            </w:r>
            <w:r>
              <w:rPr>
                <w:rFonts w:ascii="方正仿宋_GBK" w:eastAsia="方正仿宋_GBK" w:cs="方正仿宋_GBK"/>
                <w:color w:val="auto"/>
                <w:highlight w:val="none"/>
              </w:rPr>
              <w:t>18cm</w:t>
            </w:r>
            <w:r>
              <w:rPr>
                <w:rFonts w:hint="eastAsia" w:ascii="方正仿宋_GBK" w:eastAsia="方正仿宋_GBK" w:cs="方正仿宋_GBK"/>
                <w:color w:val="auto"/>
                <w:highlight w:val="none"/>
              </w:rPr>
              <w:t>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32"/>
              <w:spacing w:line="300" w:lineRule="exact"/>
              <w:jc w:val="center"/>
              <w:rPr>
                <w:rFonts w:ascii="方正仿宋_GBK" w:eastAsia="方正仿宋_GBK"/>
                <w:color w:val="auto"/>
                <w:highlight w:val="none"/>
              </w:rPr>
            </w:pPr>
          </w:p>
        </w:tc>
        <w:tc>
          <w:tcPr>
            <w:tcW w:w="525" w:type="dxa"/>
            <w:vMerge w:val="continue"/>
            <w:noWrap w:val="0"/>
            <w:vAlign w:val="center"/>
          </w:tcPr>
          <w:p>
            <w:pPr>
              <w:pStyle w:val="32"/>
              <w:spacing w:line="300" w:lineRule="exact"/>
              <w:jc w:val="center"/>
              <w:rPr>
                <w:rFonts w:ascii="方正仿宋_GBK" w:eastAsia="方正仿宋_GBK"/>
                <w:color w:val="auto"/>
                <w:highlight w:val="none"/>
              </w:rPr>
            </w:pPr>
          </w:p>
        </w:tc>
        <w:tc>
          <w:tcPr>
            <w:tcW w:w="15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通道口</w:t>
            </w:r>
          </w:p>
        </w:tc>
        <w:tc>
          <w:tcPr>
            <w:tcW w:w="66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设防护棚，防护棚应为不小于</w:t>
            </w:r>
            <w:r>
              <w:rPr>
                <w:rFonts w:ascii="方正仿宋_GBK" w:eastAsia="方正仿宋_GBK" w:cs="方正仿宋_GBK"/>
                <w:color w:val="auto"/>
                <w:highlight w:val="none"/>
              </w:rPr>
              <w:t>5cm</w:t>
            </w:r>
            <w:r>
              <w:rPr>
                <w:rFonts w:hint="eastAsia" w:ascii="方正仿宋_GBK" w:eastAsia="方正仿宋_GBK" w:cs="方正仿宋_GBK"/>
                <w:color w:val="auto"/>
                <w:highlight w:val="none"/>
              </w:rPr>
              <w:t>厚的木板或两道相距</w:t>
            </w:r>
            <w:r>
              <w:rPr>
                <w:rFonts w:ascii="方正仿宋_GBK" w:eastAsia="方正仿宋_GBK" w:cs="方正仿宋_GBK"/>
                <w:color w:val="auto"/>
                <w:highlight w:val="none"/>
              </w:rPr>
              <w:t>50cm</w:t>
            </w:r>
            <w:r>
              <w:rPr>
                <w:rFonts w:hint="eastAsia" w:ascii="方正仿宋_GBK" w:eastAsia="方正仿宋_GBK" w:cs="方正仿宋_GBK"/>
                <w:color w:val="auto"/>
                <w:highlight w:val="none"/>
              </w:rPr>
              <w:t>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32"/>
              <w:spacing w:line="300" w:lineRule="exact"/>
              <w:jc w:val="center"/>
              <w:rPr>
                <w:rFonts w:ascii="方正仿宋_GBK" w:eastAsia="方正仿宋_GBK"/>
                <w:color w:val="auto"/>
                <w:highlight w:val="none"/>
              </w:rPr>
            </w:pPr>
          </w:p>
        </w:tc>
        <w:tc>
          <w:tcPr>
            <w:tcW w:w="525" w:type="dxa"/>
            <w:vMerge w:val="continue"/>
            <w:noWrap w:val="0"/>
            <w:vAlign w:val="center"/>
          </w:tcPr>
          <w:p>
            <w:pPr>
              <w:pStyle w:val="32"/>
              <w:spacing w:line="300" w:lineRule="exact"/>
              <w:jc w:val="center"/>
              <w:rPr>
                <w:rFonts w:ascii="方正仿宋_GBK" w:eastAsia="方正仿宋_GBK"/>
                <w:color w:val="auto"/>
                <w:highlight w:val="none"/>
              </w:rPr>
            </w:pPr>
          </w:p>
        </w:tc>
        <w:tc>
          <w:tcPr>
            <w:tcW w:w="15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预留洞口</w:t>
            </w:r>
          </w:p>
        </w:tc>
        <w:tc>
          <w:tcPr>
            <w:tcW w:w="66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用硬质材料全封闭，短边超过</w:t>
            </w:r>
            <w:r>
              <w:rPr>
                <w:rFonts w:ascii="方正仿宋_GBK" w:eastAsia="方正仿宋_GBK" w:cs="方正仿宋_GBK"/>
                <w:color w:val="auto"/>
                <w:highlight w:val="none"/>
              </w:rPr>
              <w:t>1.5m</w:t>
            </w:r>
            <w:r>
              <w:rPr>
                <w:rFonts w:hint="eastAsia" w:ascii="方正仿宋_GBK" w:eastAsia="方正仿宋_GBK" w:cs="方正仿宋_GBK"/>
                <w:color w:val="auto"/>
                <w:highlight w:val="none"/>
              </w:rPr>
              <w:t>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noWrap w:val="0"/>
            <w:vAlign w:val="center"/>
          </w:tcPr>
          <w:p>
            <w:pPr>
              <w:pStyle w:val="32"/>
              <w:spacing w:line="300" w:lineRule="exact"/>
              <w:jc w:val="center"/>
              <w:rPr>
                <w:rFonts w:ascii="方正仿宋_GBK" w:eastAsia="方正仿宋_GBK"/>
                <w:color w:val="auto"/>
                <w:highlight w:val="none"/>
              </w:rPr>
            </w:pPr>
          </w:p>
        </w:tc>
        <w:tc>
          <w:tcPr>
            <w:tcW w:w="525" w:type="dxa"/>
            <w:vMerge w:val="continue"/>
            <w:noWrap w:val="0"/>
            <w:vAlign w:val="center"/>
          </w:tcPr>
          <w:p>
            <w:pPr>
              <w:pStyle w:val="32"/>
              <w:spacing w:line="300" w:lineRule="exact"/>
              <w:jc w:val="center"/>
              <w:rPr>
                <w:rFonts w:ascii="方正仿宋_GBK" w:eastAsia="方正仿宋_GBK"/>
                <w:color w:val="auto"/>
                <w:highlight w:val="none"/>
              </w:rPr>
            </w:pPr>
          </w:p>
        </w:tc>
        <w:tc>
          <w:tcPr>
            <w:tcW w:w="15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电梯井口</w:t>
            </w:r>
          </w:p>
        </w:tc>
        <w:tc>
          <w:tcPr>
            <w:tcW w:w="66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设置定型化、工具化的防护门，在电梯井内每隔</w:t>
            </w:r>
            <w:r>
              <w:rPr>
                <w:rFonts w:ascii="方正仿宋_GBK" w:eastAsia="方正仿宋_GBK" w:cs="方正仿宋_GBK"/>
                <w:color w:val="auto"/>
                <w:highlight w:val="none"/>
              </w:rPr>
              <w:t>2</w:t>
            </w:r>
            <w:r>
              <w:rPr>
                <w:rFonts w:hint="eastAsia" w:ascii="方正仿宋_GBK" w:eastAsia="方正仿宋_GBK" w:cs="方正仿宋_GBK"/>
                <w:color w:val="auto"/>
                <w:highlight w:val="none"/>
              </w:rPr>
              <w:t>层（不大于</w:t>
            </w:r>
            <w:r>
              <w:rPr>
                <w:rFonts w:ascii="方正仿宋_GBK" w:eastAsia="方正仿宋_GBK" w:cs="方正仿宋_GBK"/>
                <w:color w:val="auto"/>
                <w:highlight w:val="none"/>
              </w:rPr>
              <w:t>10m</w:t>
            </w:r>
            <w:r>
              <w:rPr>
                <w:rFonts w:hint="eastAsia" w:ascii="方正仿宋_GBK" w:eastAsia="方正仿宋_GBK" w:cs="方正仿宋_GBK"/>
                <w:color w:val="auto"/>
                <w:highlight w:val="none"/>
              </w:rPr>
              <w:t>）设置一道水平防护。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32"/>
              <w:spacing w:line="300" w:lineRule="exact"/>
              <w:jc w:val="center"/>
              <w:rPr>
                <w:rFonts w:ascii="方正仿宋_GBK" w:eastAsia="方正仿宋_GBK"/>
                <w:color w:val="auto"/>
                <w:highlight w:val="none"/>
              </w:rPr>
            </w:pPr>
          </w:p>
        </w:tc>
        <w:tc>
          <w:tcPr>
            <w:tcW w:w="525" w:type="dxa"/>
            <w:vMerge w:val="continue"/>
            <w:noWrap w:val="0"/>
            <w:vAlign w:val="center"/>
          </w:tcPr>
          <w:p>
            <w:pPr>
              <w:pStyle w:val="32"/>
              <w:spacing w:line="300" w:lineRule="exact"/>
              <w:jc w:val="center"/>
              <w:rPr>
                <w:rFonts w:ascii="方正仿宋_GBK" w:eastAsia="方正仿宋_GBK"/>
                <w:color w:val="auto"/>
                <w:highlight w:val="none"/>
              </w:rPr>
            </w:pPr>
          </w:p>
        </w:tc>
        <w:tc>
          <w:tcPr>
            <w:tcW w:w="15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楼梯边</w:t>
            </w:r>
          </w:p>
        </w:tc>
        <w:tc>
          <w:tcPr>
            <w:tcW w:w="66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设</w:t>
            </w:r>
            <w:r>
              <w:rPr>
                <w:rFonts w:ascii="方正仿宋_GBK" w:eastAsia="方正仿宋_GBK" w:cs="方正仿宋_GBK"/>
                <w:color w:val="auto"/>
                <w:highlight w:val="none"/>
              </w:rPr>
              <w:t>1.2m</w:t>
            </w:r>
            <w:r>
              <w:rPr>
                <w:rFonts w:hint="eastAsia" w:ascii="方正仿宋_GBK" w:eastAsia="方正仿宋_GBK" w:cs="方正仿宋_GBK"/>
                <w:color w:val="auto"/>
                <w:highlight w:val="none"/>
              </w:rPr>
              <w:t>高的定型化、工具化的防护栏，</w:t>
            </w:r>
            <w:r>
              <w:rPr>
                <w:rFonts w:ascii="方正仿宋_GBK" w:eastAsia="方正仿宋_GBK" w:cs="方正仿宋_GBK"/>
                <w:color w:val="auto"/>
                <w:highlight w:val="none"/>
              </w:rPr>
              <w:t>18cm</w:t>
            </w:r>
            <w:r>
              <w:rPr>
                <w:rFonts w:hint="eastAsia" w:ascii="方正仿宋_GBK" w:eastAsia="方正仿宋_GBK" w:cs="方正仿宋_GBK"/>
                <w:color w:val="auto"/>
                <w:highlight w:val="none"/>
              </w:rPr>
              <w:t>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32"/>
              <w:spacing w:line="300" w:lineRule="exact"/>
              <w:jc w:val="center"/>
              <w:rPr>
                <w:rFonts w:ascii="方正仿宋_GBK" w:eastAsia="方正仿宋_GBK"/>
                <w:color w:val="auto"/>
                <w:highlight w:val="none"/>
              </w:rPr>
            </w:pPr>
          </w:p>
        </w:tc>
        <w:tc>
          <w:tcPr>
            <w:tcW w:w="525" w:type="dxa"/>
            <w:vMerge w:val="continue"/>
            <w:noWrap w:val="0"/>
            <w:vAlign w:val="center"/>
          </w:tcPr>
          <w:p>
            <w:pPr>
              <w:pStyle w:val="32"/>
              <w:spacing w:line="300" w:lineRule="exact"/>
              <w:jc w:val="center"/>
              <w:rPr>
                <w:rFonts w:ascii="方正仿宋_GBK" w:eastAsia="方正仿宋_GBK"/>
                <w:color w:val="auto"/>
                <w:highlight w:val="none"/>
              </w:rPr>
            </w:pPr>
          </w:p>
        </w:tc>
        <w:tc>
          <w:tcPr>
            <w:tcW w:w="15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垂直方向交叉作业</w:t>
            </w:r>
          </w:p>
        </w:tc>
        <w:tc>
          <w:tcPr>
            <w:tcW w:w="66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32"/>
              <w:spacing w:line="300" w:lineRule="exact"/>
              <w:jc w:val="center"/>
              <w:rPr>
                <w:rFonts w:ascii="方正仿宋_GBK" w:eastAsia="方正仿宋_GBK"/>
                <w:color w:val="auto"/>
                <w:highlight w:val="none"/>
              </w:rPr>
            </w:pPr>
          </w:p>
        </w:tc>
        <w:tc>
          <w:tcPr>
            <w:tcW w:w="525" w:type="dxa"/>
            <w:vMerge w:val="continue"/>
            <w:noWrap w:val="0"/>
            <w:vAlign w:val="center"/>
          </w:tcPr>
          <w:p>
            <w:pPr>
              <w:pStyle w:val="32"/>
              <w:spacing w:line="300" w:lineRule="exact"/>
              <w:jc w:val="center"/>
              <w:rPr>
                <w:rFonts w:ascii="方正仿宋_GBK" w:eastAsia="方正仿宋_GBK"/>
                <w:color w:val="auto"/>
                <w:highlight w:val="none"/>
              </w:rPr>
            </w:pPr>
          </w:p>
        </w:tc>
        <w:tc>
          <w:tcPr>
            <w:tcW w:w="15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高处作业</w:t>
            </w:r>
          </w:p>
        </w:tc>
        <w:tc>
          <w:tcPr>
            <w:tcW w:w="66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32"/>
              <w:spacing w:line="300" w:lineRule="exact"/>
              <w:jc w:val="center"/>
              <w:rPr>
                <w:rFonts w:ascii="方正仿宋_GBK" w:eastAsia="方正仿宋_GBK"/>
                <w:color w:val="auto"/>
                <w:highlight w:val="none"/>
              </w:rPr>
            </w:pPr>
          </w:p>
        </w:tc>
        <w:tc>
          <w:tcPr>
            <w:tcW w:w="525" w:type="dxa"/>
            <w:vMerge w:val="continue"/>
            <w:noWrap w:val="0"/>
            <w:vAlign w:val="center"/>
          </w:tcPr>
          <w:p>
            <w:pPr>
              <w:pStyle w:val="32"/>
              <w:spacing w:line="300" w:lineRule="exact"/>
              <w:jc w:val="center"/>
              <w:rPr>
                <w:rFonts w:ascii="方正仿宋_GBK" w:eastAsia="方正仿宋_GBK"/>
                <w:color w:val="auto"/>
                <w:highlight w:val="none"/>
              </w:rPr>
            </w:pPr>
          </w:p>
        </w:tc>
        <w:tc>
          <w:tcPr>
            <w:tcW w:w="15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基坑、物料平台</w:t>
            </w:r>
          </w:p>
        </w:tc>
        <w:tc>
          <w:tcPr>
            <w:tcW w:w="66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设</w:t>
            </w:r>
            <w:r>
              <w:rPr>
                <w:rFonts w:ascii="方正仿宋_GBK" w:eastAsia="方正仿宋_GBK" w:cs="方正仿宋_GBK"/>
                <w:color w:val="auto"/>
                <w:highlight w:val="none"/>
              </w:rPr>
              <w:t>1.2m</w:t>
            </w:r>
            <w:r>
              <w:rPr>
                <w:rFonts w:hint="eastAsia" w:ascii="方正仿宋_GBK" w:eastAsia="方正仿宋_GBK" w:cs="方正仿宋_GBK"/>
                <w:color w:val="auto"/>
                <w:highlight w:val="none"/>
              </w:rPr>
              <w:t>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32"/>
              <w:spacing w:line="300" w:lineRule="exact"/>
              <w:jc w:val="center"/>
              <w:rPr>
                <w:rFonts w:ascii="方正仿宋_GBK" w:eastAsia="方正仿宋_GBK"/>
                <w:color w:val="auto"/>
                <w:highlight w:val="none"/>
              </w:rPr>
            </w:pPr>
          </w:p>
        </w:tc>
        <w:tc>
          <w:tcPr>
            <w:tcW w:w="2070" w:type="dxa"/>
            <w:gridSpan w:val="2"/>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安全防护用品</w:t>
            </w:r>
          </w:p>
        </w:tc>
        <w:tc>
          <w:tcPr>
            <w:tcW w:w="66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其它</w:t>
            </w:r>
          </w:p>
        </w:tc>
        <w:tc>
          <w:tcPr>
            <w:tcW w:w="525" w:type="dxa"/>
            <w:vMerge w:val="restart"/>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机械设备防护</w:t>
            </w:r>
          </w:p>
        </w:tc>
        <w:tc>
          <w:tcPr>
            <w:tcW w:w="1545" w:type="dxa"/>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中小型机械</w:t>
            </w:r>
          </w:p>
        </w:tc>
        <w:tc>
          <w:tcPr>
            <w:tcW w:w="66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noWrap w:val="0"/>
            <w:vAlign w:val="center"/>
          </w:tcPr>
          <w:p>
            <w:pPr>
              <w:pStyle w:val="32"/>
              <w:spacing w:line="300" w:lineRule="exact"/>
              <w:jc w:val="center"/>
              <w:rPr>
                <w:rFonts w:ascii="方正仿宋_GBK" w:eastAsia="方正仿宋_GBK"/>
                <w:color w:val="auto"/>
                <w:highlight w:val="none"/>
              </w:rPr>
            </w:pPr>
          </w:p>
        </w:tc>
        <w:tc>
          <w:tcPr>
            <w:tcW w:w="525" w:type="dxa"/>
            <w:vMerge w:val="continue"/>
            <w:noWrap w:val="0"/>
            <w:vAlign w:val="center"/>
          </w:tcPr>
          <w:p>
            <w:pPr>
              <w:pStyle w:val="32"/>
              <w:spacing w:line="300" w:lineRule="exact"/>
              <w:jc w:val="center"/>
              <w:rPr>
                <w:rFonts w:ascii="方正仿宋_GBK" w:eastAsia="方正仿宋_GBK"/>
                <w:color w:val="auto"/>
                <w:highlight w:val="none"/>
              </w:rPr>
            </w:pPr>
          </w:p>
        </w:tc>
        <w:tc>
          <w:tcPr>
            <w:tcW w:w="1545" w:type="dxa"/>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垂直运输设备</w:t>
            </w:r>
          </w:p>
        </w:tc>
        <w:tc>
          <w:tcPr>
            <w:tcW w:w="6645" w:type="dxa"/>
            <w:noWrap w:val="0"/>
            <w:vAlign w:val="center"/>
          </w:tcPr>
          <w:p>
            <w:pPr>
              <w:pStyle w:val="32"/>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1. </w:t>
            </w:r>
            <w:r>
              <w:rPr>
                <w:rFonts w:hint="eastAsia" w:ascii="方正仿宋_GBK" w:eastAsia="方正仿宋_GBK" w:cs="方正仿宋_GBK"/>
                <w:color w:val="auto"/>
                <w:highlight w:val="none"/>
              </w:rPr>
              <w:t>垂直运输设备检测、检验、日常维护、保养等。</w:t>
            </w:r>
          </w:p>
          <w:p>
            <w:pPr>
              <w:pStyle w:val="32"/>
              <w:spacing w:line="300" w:lineRule="exact"/>
              <w:rPr>
                <w:rFonts w:ascii="方正仿宋_GBK" w:eastAsia="方正仿宋_GBK"/>
                <w:color w:val="auto"/>
                <w:highlight w:val="none"/>
              </w:rPr>
            </w:pPr>
            <w:r>
              <w:rPr>
                <w:rFonts w:ascii="方正仿宋_GBK" w:eastAsia="方正仿宋_GBK" w:cs="方正仿宋_GBK"/>
                <w:color w:val="auto"/>
                <w:highlight w:val="none"/>
              </w:rPr>
              <w:t xml:space="preserve">2. </w:t>
            </w:r>
            <w:r>
              <w:rPr>
                <w:rFonts w:hint="eastAsia" w:ascii="方正仿宋_GBK" w:eastAsia="方正仿宋_GBK" w:cs="方正仿宋_GBK"/>
                <w:color w:val="auto"/>
                <w:highlight w:val="none"/>
              </w:rPr>
              <w:t>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32"/>
              <w:spacing w:line="300" w:lineRule="exact"/>
              <w:jc w:val="center"/>
              <w:rPr>
                <w:rFonts w:ascii="方正仿宋_GBK" w:eastAsia="方正仿宋_GBK"/>
                <w:color w:val="auto"/>
                <w:highlight w:val="none"/>
              </w:rPr>
            </w:pPr>
          </w:p>
        </w:tc>
        <w:tc>
          <w:tcPr>
            <w:tcW w:w="2070" w:type="dxa"/>
            <w:gridSpan w:val="2"/>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专家论证审查</w:t>
            </w:r>
          </w:p>
        </w:tc>
        <w:tc>
          <w:tcPr>
            <w:tcW w:w="66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noWrap w:val="0"/>
            <w:vAlign w:val="center"/>
          </w:tcPr>
          <w:p>
            <w:pPr>
              <w:pStyle w:val="32"/>
              <w:spacing w:line="300" w:lineRule="exact"/>
              <w:jc w:val="center"/>
              <w:rPr>
                <w:rFonts w:ascii="方正仿宋_GBK" w:eastAsia="方正仿宋_GBK"/>
                <w:color w:val="auto"/>
                <w:highlight w:val="none"/>
              </w:rPr>
            </w:pPr>
          </w:p>
        </w:tc>
        <w:tc>
          <w:tcPr>
            <w:tcW w:w="2070" w:type="dxa"/>
            <w:gridSpan w:val="2"/>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应急救援预案</w:t>
            </w:r>
          </w:p>
        </w:tc>
        <w:tc>
          <w:tcPr>
            <w:tcW w:w="6645" w:type="dxa"/>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bottom w:val="single" w:color="auto" w:sz="12" w:space="0"/>
            </w:tcBorders>
            <w:noWrap w:val="0"/>
            <w:vAlign w:val="center"/>
          </w:tcPr>
          <w:p>
            <w:pPr>
              <w:pStyle w:val="32"/>
              <w:spacing w:line="300" w:lineRule="exact"/>
              <w:jc w:val="center"/>
              <w:rPr>
                <w:rFonts w:ascii="方正仿宋_GBK" w:eastAsia="方正仿宋_GBK"/>
                <w:color w:val="auto"/>
                <w:highlight w:val="none"/>
              </w:rPr>
            </w:pPr>
          </w:p>
        </w:tc>
        <w:tc>
          <w:tcPr>
            <w:tcW w:w="2070" w:type="dxa"/>
            <w:gridSpan w:val="2"/>
            <w:tcBorders>
              <w:bottom w:val="single" w:color="auto" w:sz="12" w:space="0"/>
            </w:tcBorders>
            <w:noWrap w:val="0"/>
            <w:vAlign w:val="center"/>
          </w:tcPr>
          <w:p>
            <w:pPr>
              <w:pStyle w:val="32"/>
              <w:spacing w:line="300" w:lineRule="exact"/>
              <w:jc w:val="center"/>
              <w:rPr>
                <w:rFonts w:ascii="方正仿宋_GBK" w:eastAsia="方正仿宋_GBK"/>
                <w:color w:val="auto"/>
                <w:highlight w:val="none"/>
              </w:rPr>
            </w:pPr>
            <w:r>
              <w:rPr>
                <w:rFonts w:hint="eastAsia" w:ascii="方正仿宋_GBK" w:eastAsia="方正仿宋_GBK" w:cs="方正仿宋_GBK"/>
                <w:color w:val="auto"/>
                <w:highlight w:val="none"/>
              </w:rPr>
              <w:t>非正常情况施工</w:t>
            </w:r>
          </w:p>
        </w:tc>
        <w:tc>
          <w:tcPr>
            <w:tcW w:w="6645" w:type="dxa"/>
            <w:tcBorders>
              <w:bottom w:val="single" w:color="auto" w:sz="12" w:space="0"/>
            </w:tcBorders>
            <w:noWrap w:val="0"/>
            <w:vAlign w:val="center"/>
          </w:tcPr>
          <w:p>
            <w:pPr>
              <w:pStyle w:val="32"/>
              <w:spacing w:line="300" w:lineRule="exact"/>
              <w:rPr>
                <w:rFonts w:ascii="方正仿宋_GBK" w:eastAsia="方正仿宋_GBK"/>
                <w:color w:val="auto"/>
                <w:highlight w:val="none"/>
              </w:rPr>
            </w:pPr>
            <w:r>
              <w:rPr>
                <w:rFonts w:hint="eastAsia" w:ascii="方正仿宋_GBK" w:eastAsia="方正仿宋_GBK" w:cs="方正仿宋_GBK"/>
                <w:color w:val="auto"/>
                <w:highlight w:val="none"/>
              </w:rPr>
              <w:t>其它特殊情况下的防护费用，如：城市主干道、人流密集、河边等处施工及文物、古建筑、古树保护等。</w:t>
            </w:r>
          </w:p>
        </w:tc>
      </w:tr>
    </w:tbl>
    <w:p>
      <w:pPr>
        <w:pStyle w:val="32"/>
        <w:spacing w:line="240" w:lineRule="atLeast"/>
        <w:ind w:firstLine="546"/>
        <w:jc w:val="center"/>
        <w:rPr>
          <w:rFonts w:hint="eastAsia"/>
          <w:b/>
          <w:bCs/>
          <w:color w:val="auto"/>
          <w:w w:val="90"/>
          <w:sz w:val="24"/>
          <w:szCs w:val="24"/>
          <w:highlight w:val="none"/>
        </w:rPr>
      </w:pPr>
    </w:p>
    <w:p>
      <w:pPr>
        <w:spacing w:before="120" w:beforeLines="50"/>
        <w:ind w:firstLine="420" w:firstLineChars="200"/>
        <w:rPr>
          <w:color w:val="auto"/>
          <w:highlight w:val="none"/>
        </w:rPr>
      </w:pPr>
      <w:r>
        <w:rPr>
          <w:rFonts w:hint="eastAsia" w:cs="宋体"/>
          <w:color w:val="auto"/>
          <w:highlight w:val="none"/>
        </w:rPr>
        <w:t>注：本表所列建筑工程安全文明施工费，是依据现行法律法规及标准规范确定的。如法律法规和标准规范修订，本表所列项目应按照修订后的法律法规和标准规范进行调整。</w:t>
      </w:r>
    </w:p>
    <w:p>
      <w:pPr>
        <w:ind w:firstLine="420" w:firstLineChars="200"/>
        <w:rPr>
          <w:color w:val="auto"/>
          <w:highlight w:val="none"/>
        </w:rPr>
      </w:pPr>
    </w:p>
    <w:p>
      <w:pPr>
        <w:ind w:firstLine="420" w:firstLineChars="200"/>
        <w:rPr>
          <w:color w:val="auto"/>
          <w:highlight w:val="none"/>
        </w:rPr>
      </w:pPr>
    </w:p>
    <w:p>
      <w:pPr>
        <w:ind w:firstLine="420" w:firstLineChars="200"/>
        <w:rPr>
          <w:color w:val="auto"/>
          <w:highlight w:val="none"/>
        </w:rPr>
      </w:pPr>
    </w:p>
    <w:p>
      <w:pPr>
        <w:ind w:firstLine="420" w:firstLineChars="200"/>
        <w:rPr>
          <w:color w:val="auto"/>
          <w:highlight w:val="none"/>
        </w:rPr>
      </w:pPr>
    </w:p>
    <w:p>
      <w:pPr>
        <w:ind w:firstLine="420" w:firstLineChars="200"/>
        <w:rPr>
          <w:color w:val="auto"/>
          <w:highlight w:val="none"/>
        </w:rPr>
      </w:pPr>
    </w:p>
    <w:p>
      <w:pPr>
        <w:spacing w:line="360" w:lineRule="auto"/>
        <w:rPr>
          <w:color w:val="auto"/>
          <w:sz w:val="24"/>
          <w:szCs w:val="24"/>
          <w:highlight w:val="none"/>
        </w:rPr>
      </w:pPr>
    </w:p>
    <w:p>
      <w:pPr>
        <w:spacing w:line="360" w:lineRule="auto"/>
        <w:rPr>
          <w:color w:val="auto"/>
          <w:sz w:val="24"/>
          <w:szCs w:val="24"/>
          <w:highlight w:val="none"/>
        </w:rPr>
        <w:sectPr>
          <w:pgSz w:w="11907" w:h="16840"/>
          <w:pgMar w:top="1440" w:right="1440" w:bottom="1440" w:left="1797" w:header="851" w:footer="851" w:gutter="0"/>
          <w:cols w:space="720" w:num="1"/>
          <w:docGrid w:linePitch="312" w:charSpace="0"/>
        </w:sectPr>
      </w:pPr>
    </w:p>
    <w:p>
      <w:pPr>
        <w:spacing w:line="360" w:lineRule="auto"/>
        <w:rPr>
          <w:rFonts w:cs="宋体"/>
          <w:b/>
          <w:bCs/>
          <w:color w:val="auto"/>
          <w:sz w:val="28"/>
          <w:szCs w:val="28"/>
          <w:highlight w:val="none"/>
        </w:rPr>
      </w:pPr>
      <w:r>
        <w:rPr>
          <w:b/>
          <w:bCs/>
          <w:color w:val="auto"/>
          <w:sz w:val="28"/>
          <w:szCs w:val="28"/>
          <w:highlight w:val="none"/>
        </w:rPr>
        <w:t>5</w:t>
      </w:r>
      <w:r>
        <w:rPr>
          <w:rFonts w:hint="eastAsia" w:cs="宋体"/>
          <w:b/>
          <w:bCs/>
          <w:color w:val="auto"/>
          <w:sz w:val="28"/>
          <w:szCs w:val="28"/>
          <w:highlight w:val="none"/>
        </w:rPr>
        <w:t>、项目经理简历表（附项目经理注册建造师执业资格证书和安全生产考核合格证书（</w:t>
      </w:r>
      <w:r>
        <w:rPr>
          <w:b/>
          <w:bCs/>
          <w:color w:val="auto"/>
          <w:sz w:val="28"/>
          <w:szCs w:val="28"/>
          <w:highlight w:val="none"/>
        </w:rPr>
        <w:t>B</w:t>
      </w:r>
      <w:r>
        <w:rPr>
          <w:rFonts w:hint="eastAsia" w:cs="宋体"/>
          <w:b/>
          <w:bCs/>
          <w:color w:val="auto"/>
          <w:sz w:val="28"/>
          <w:szCs w:val="28"/>
          <w:highlight w:val="none"/>
        </w:rPr>
        <w:t>类）的复印件）；</w:t>
      </w:r>
    </w:p>
    <w:p>
      <w:pPr>
        <w:spacing w:line="360" w:lineRule="auto"/>
        <w:rPr>
          <w:rFonts w:hint="eastAsia"/>
          <w:b/>
          <w:bCs/>
          <w:color w:val="auto"/>
          <w:sz w:val="28"/>
          <w:szCs w:val="28"/>
          <w:highlight w:val="none"/>
        </w:rPr>
      </w:pPr>
      <w:r>
        <w:rPr>
          <w:rFonts w:hint="eastAsia" w:eastAsia="楷体_GB2312"/>
          <w:color w:val="auto"/>
          <w:highlight w:val="none"/>
        </w:rPr>
        <w:t>【备注：复印件须加盖投标人单位公章】</w:t>
      </w:r>
    </w:p>
    <w:p>
      <w:pPr>
        <w:spacing w:before="120" w:beforeLines="50" w:line="360" w:lineRule="auto"/>
        <w:rPr>
          <w:rFonts w:cs="宋体"/>
          <w:b/>
          <w:bCs/>
          <w:color w:val="auto"/>
          <w:sz w:val="28"/>
          <w:szCs w:val="28"/>
          <w:highlight w:val="none"/>
        </w:rPr>
      </w:pPr>
      <w:r>
        <w:rPr>
          <w:b/>
          <w:bCs/>
          <w:color w:val="auto"/>
          <w:sz w:val="28"/>
          <w:szCs w:val="28"/>
          <w:highlight w:val="none"/>
        </w:rPr>
        <w:t>6</w:t>
      </w:r>
      <w:r>
        <w:rPr>
          <w:rFonts w:hint="eastAsia" w:cs="宋体"/>
          <w:b/>
          <w:bCs/>
          <w:color w:val="auto"/>
          <w:sz w:val="28"/>
          <w:szCs w:val="28"/>
          <w:highlight w:val="none"/>
        </w:rPr>
        <w:t>、项目技术负责</w:t>
      </w:r>
      <w:r>
        <w:rPr>
          <w:rFonts w:cs="宋体"/>
          <w:b/>
          <w:bCs/>
          <w:color w:val="auto"/>
          <w:sz w:val="28"/>
          <w:szCs w:val="28"/>
          <w:highlight w:val="none"/>
        </w:rPr>
        <w:t>人</w:t>
      </w:r>
      <w:r>
        <w:rPr>
          <w:rFonts w:hint="eastAsia" w:cs="宋体"/>
          <w:b/>
          <w:bCs/>
          <w:color w:val="auto"/>
          <w:sz w:val="28"/>
          <w:szCs w:val="28"/>
          <w:highlight w:val="none"/>
        </w:rPr>
        <w:t>简历表（附职称证书的复印件；</w:t>
      </w:r>
    </w:p>
    <w:p>
      <w:pPr>
        <w:spacing w:before="120" w:beforeLines="50" w:line="360" w:lineRule="auto"/>
        <w:rPr>
          <w:rFonts w:hint="eastAsia"/>
          <w:b/>
          <w:bCs/>
          <w:color w:val="auto"/>
          <w:sz w:val="28"/>
          <w:szCs w:val="28"/>
          <w:highlight w:val="none"/>
        </w:rPr>
      </w:pPr>
      <w:r>
        <w:rPr>
          <w:rFonts w:hint="eastAsia" w:eastAsia="楷体_GB2312"/>
          <w:color w:val="auto"/>
          <w:highlight w:val="none"/>
        </w:rPr>
        <w:t>【备注：复印件须加盖投标人单位公章】</w:t>
      </w:r>
    </w:p>
    <w:p>
      <w:pPr>
        <w:spacing w:before="120" w:beforeLines="50" w:line="360" w:lineRule="auto"/>
        <w:rPr>
          <w:b/>
          <w:bCs/>
          <w:color w:val="auto"/>
          <w:sz w:val="28"/>
          <w:szCs w:val="28"/>
          <w:highlight w:val="none"/>
        </w:rPr>
      </w:pPr>
      <w:r>
        <w:rPr>
          <w:b/>
          <w:bCs/>
          <w:color w:val="auto"/>
          <w:sz w:val="28"/>
          <w:szCs w:val="28"/>
          <w:highlight w:val="none"/>
        </w:rPr>
        <w:t>7</w:t>
      </w:r>
      <w:r>
        <w:rPr>
          <w:rFonts w:hint="eastAsia"/>
          <w:b/>
          <w:bCs/>
          <w:color w:val="auto"/>
          <w:sz w:val="28"/>
          <w:szCs w:val="28"/>
          <w:highlight w:val="none"/>
        </w:rPr>
        <w:t>、</w:t>
      </w:r>
      <w:r>
        <w:rPr>
          <w:rFonts w:hint="eastAsia" w:cs="宋体"/>
          <w:b/>
          <w:bCs/>
          <w:color w:val="auto"/>
          <w:sz w:val="28"/>
          <w:szCs w:val="28"/>
          <w:highlight w:val="none"/>
        </w:rPr>
        <w:t>附</w:t>
      </w:r>
      <w:r>
        <w:rPr>
          <w:rFonts w:hint="eastAsia"/>
          <w:b/>
          <w:bCs/>
          <w:color w:val="auto"/>
          <w:sz w:val="28"/>
          <w:szCs w:val="28"/>
          <w:highlight w:val="none"/>
        </w:rPr>
        <w:t>安全</w:t>
      </w:r>
      <w:r>
        <w:rPr>
          <w:b/>
          <w:bCs/>
          <w:color w:val="auto"/>
          <w:sz w:val="28"/>
          <w:szCs w:val="28"/>
          <w:highlight w:val="none"/>
        </w:rPr>
        <w:t>员</w:t>
      </w:r>
      <w:r>
        <w:rPr>
          <w:rFonts w:hint="eastAsia"/>
          <w:b/>
          <w:bCs/>
          <w:color w:val="auto"/>
          <w:sz w:val="28"/>
          <w:szCs w:val="28"/>
          <w:highlight w:val="none"/>
        </w:rPr>
        <w:t>的安全生产考核合格证书（</w:t>
      </w:r>
      <w:r>
        <w:rPr>
          <w:b/>
          <w:bCs/>
          <w:color w:val="auto"/>
          <w:sz w:val="28"/>
          <w:szCs w:val="28"/>
          <w:highlight w:val="none"/>
        </w:rPr>
        <w:t>C</w:t>
      </w:r>
      <w:r>
        <w:rPr>
          <w:rFonts w:hint="eastAsia"/>
          <w:b/>
          <w:bCs/>
          <w:color w:val="auto"/>
          <w:sz w:val="28"/>
          <w:szCs w:val="28"/>
          <w:highlight w:val="none"/>
        </w:rPr>
        <w:t>类）的复印件）</w:t>
      </w:r>
    </w:p>
    <w:p>
      <w:pPr>
        <w:spacing w:before="120" w:beforeLines="50" w:line="360" w:lineRule="auto"/>
        <w:rPr>
          <w:rFonts w:hint="eastAsia"/>
          <w:b/>
          <w:bCs/>
          <w:color w:val="auto"/>
          <w:sz w:val="28"/>
          <w:szCs w:val="28"/>
          <w:highlight w:val="none"/>
        </w:rPr>
      </w:pPr>
      <w:r>
        <w:rPr>
          <w:rFonts w:hint="eastAsia" w:eastAsia="楷体_GB2312"/>
          <w:color w:val="auto"/>
          <w:highlight w:val="none"/>
        </w:rPr>
        <w:t>【备注：复印件须加盖投标人单位公章】</w:t>
      </w:r>
    </w:p>
    <w:p>
      <w:pPr>
        <w:spacing w:before="120" w:beforeLines="50" w:line="360" w:lineRule="auto"/>
        <w:rPr>
          <w:b/>
          <w:bCs/>
          <w:color w:val="auto"/>
          <w:sz w:val="28"/>
          <w:szCs w:val="28"/>
          <w:highlight w:val="none"/>
        </w:rPr>
      </w:pPr>
      <w:r>
        <w:rPr>
          <w:b/>
          <w:bCs/>
          <w:color w:val="auto"/>
          <w:sz w:val="28"/>
          <w:szCs w:val="28"/>
          <w:highlight w:val="none"/>
        </w:rPr>
        <w:t>8</w:t>
      </w:r>
      <w:r>
        <w:rPr>
          <w:rFonts w:hint="eastAsia" w:cs="宋体"/>
          <w:b/>
          <w:bCs/>
          <w:color w:val="auto"/>
          <w:sz w:val="28"/>
          <w:szCs w:val="28"/>
          <w:highlight w:val="none"/>
        </w:rPr>
        <w:t>、</w:t>
      </w:r>
      <w:r>
        <w:rPr>
          <w:rFonts w:hint="eastAsia" w:cs="宋体"/>
          <w:b/>
          <w:bCs/>
          <w:color w:val="auto"/>
          <w:sz w:val="28"/>
          <w:szCs w:val="28"/>
          <w:highlight w:val="none"/>
          <w:lang w:eastAsia="zh-CN"/>
        </w:rPr>
        <w:t>委托代理人、</w:t>
      </w:r>
      <w:r>
        <w:rPr>
          <w:rFonts w:hint="eastAsia" w:cs="宋体"/>
          <w:b/>
          <w:bCs/>
          <w:color w:val="auto"/>
          <w:sz w:val="28"/>
          <w:szCs w:val="28"/>
          <w:highlight w:val="none"/>
        </w:rPr>
        <w:t>项目经理、技术负责人和主要管理人员（</w:t>
      </w:r>
      <w:r>
        <w:rPr>
          <w:rFonts w:hint="eastAsia" w:cs="宋体"/>
          <w:b/>
          <w:bCs/>
          <w:color w:val="auto"/>
          <w:sz w:val="28"/>
          <w:szCs w:val="28"/>
          <w:highlight w:val="none"/>
          <w:lang w:eastAsia="zh-CN"/>
        </w:rPr>
        <w:t>五大员</w:t>
      </w:r>
      <w:r>
        <w:rPr>
          <w:rFonts w:hint="eastAsia" w:cs="宋体"/>
          <w:b/>
          <w:bCs/>
          <w:color w:val="auto"/>
          <w:sz w:val="28"/>
          <w:szCs w:val="28"/>
          <w:highlight w:val="none"/>
        </w:rPr>
        <w:t>）近3个月（</w:t>
      </w:r>
      <w:r>
        <w:rPr>
          <w:rFonts w:hint="eastAsia" w:cs="宋体"/>
          <w:b/>
          <w:bCs/>
          <w:color w:val="auto"/>
          <w:sz w:val="28"/>
          <w:szCs w:val="28"/>
          <w:highlight w:val="none"/>
          <w:lang w:eastAsia="zh-CN"/>
        </w:rPr>
        <w:t>2021年6月至2021年8月</w:t>
      </w:r>
      <w:r>
        <w:rPr>
          <w:rFonts w:hint="eastAsia" w:cs="宋体"/>
          <w:b/>
          <w:bCs/>
          <w:color w:val="auto"/>
          <w:sz w:val="28"/>
          <w:szCs w:val="28"/>
          <w:highlight w:val="none"/>
        </w:rPr>
        <w:t>）（从取得营业执照时间起到投标截止时间为止不足要求月数的只需提供从取得营业执照起的证明材料）在现任职单位依法缴纳社会保险证明材料的复印件；</w:t>
      </w:r>
    </w:p>
    <w:p>
      <w:pPr>
        <w:spacing w:before="120" w:beforeLines="50" w:line="360" w:lineRule="auto"/>
        <w:rPr>
          <w:rFonts w:eastAsia="楷体_GB2312"/>
          <w:color w:val="auto"/>
          <w:highlight w:val="none"/>
        </w:rPr>
      </w:pPr>
      <w:r>
        <w:rPr>
          <w:rFonts w:hint="eastAsia" w:eastAsia="楷体_GB2312"/>
          <w:color w:val="auto"/>
          <w:highlight w:val="none"/>
        </w:rPr>
        <w:t>【备注：复印件须加盖投标人单位公章】</w:t>
      </w:r>
    </w:p>
    <w:p>
      <w:pPr>
        <w:spacing w:before="120" w:beforeLines="50" w:line="360" w:lineRule="auto"/>
        <w:rPr>
          <w:b/>
          <w:bCs/>
          <w:color w:val="auto"/>
          <w:sz w:val="28"/>
          <w:szCs w:val="28"/>
          <w:highlight w:val="none"/>
        </w:rPr>
      </w:pPr>
      <w:r>
        <w:rPr>
          <w:b/>
          <w:bCs/>
          <w:color w:val="auto"/>
          <w:sz w:val="28"/>
          <w:szCs w:val="28"/>
          <w:highlight w:val="none"/>
        </w:rPr>
        <w:t>9</w:t>
      </w:r>
      <w:r>
        <w:rPr>
          <w:rFonts w:hint="eastAsia" w:cs="宋体"/>
          <w:b/>
          <w:bCs/>
          <w:color w:val="auto"/>
          <w:sz w:val="28"/>
          <w:szCs w:val="28"/>
          <w:highlight w:val="none"/>
        </w:rPr>
        <w:t>、资格审查需要的其他材料：项目管理机构配备情况表、拟投入施工机械设备情况表、企业</w:t>
      </w:r>
      <w:r>
        <w:rPr>
          <w:rFonts w:hint="eastAsia" w:cs="宋体"/>
          <w:b/>
          <w:bCs/>
          <w:color w:val="auto"/>
          <w:sz w:val="28"/>
          <w:szCs w:val="28"/>
          <w:highlight w:val="none"/>
          <w:lang w:eastAsia="zh-CN"/>
        </w:rPr>
        <w:t>2018年</w:t>
      </w:r>
      <w:r>
        <w:rPr>
          <w:rFonts w:hint="eastAsia" w:cs="宋体"/>
          <w:b/>
          <w:bCs/>
          <w:color w:val="auto"/>
          <w:sz w:val="28"/>
          <w:szCs w:val="28"/>
          <w:highlight w:val="none"/>
        </w:rPr>
        <w:t>1月至投标截止日期止已完成类似项目一览表（如有）、企业近年信誉实力一览表（如有）、</w:t>
      </w:r>
      <w:r>
        <w:rPr>
          <w:rFonts w:hint="eastAsia" w:cs="宋体"/>
          <w:b/>
          <w:bCs/>
          <w:color w:val="auto"/>
          <w:sz w:val="28"/>
          <w:szCs w:val="28"/>
          <w:highlight w:val="none"/>
          <w:lang w:eastAsia="zh-CN"/>
        </w:rPr>
        <w:t>构成文件的其他材料、</w:t>
      </w:r>
      <w:r>
        <w:rPr>
          <w:rFonts w:hint="eastAsia" w:cs="宋体"/>
          <w:b/>
          <w:bCs/>
          <w:color w:val="auto"/>
          <w:sz w:val="28"/>
          <w:szCs w:val="28"/>
          <w:highlight w:val="none"/>
        </w:rPr>
        <w:t>企业</w:t>
      </w:r>
      <w:r>
        <w:rPr>
          <w:rFonts w:hint="eastAsia" w:cs="宋体"/>
          <w:b/>
          <w:bCs/>
          <w:color w:val="auto"/>
          <w:sz w:val="28"/>
          <w:szCs w:val="28"/>
          <w:highlight w:val="none"/>
          <w:lang w:eastAsia="zh-CN"/>
        </w:rPr>
        <w:t>2018年</w:t>
      </w:r>
      <w:r>
        <w:rPr>
          <w:rFonts w:hint="eastAsia" w:cs="宋体"/>
          <w:b/>
          <w:bCs/>
          <w:color w:val="auto"/>
          <w:sz w:val="28"/>
          <w:szCs w:val="28"/>
          <w:highlight w:val="none"/>
        </w:rPr>
        <w:t>至20</w:t>
      </w:r>
      <w:r>
        <w:rPr>
          <w:rFonts w:hint="eastAsia" w:cs="宋体"/>
          <w:b/>
          <w:bCs/>
          <w:color w:val="auto"/>
          <w:sz w:val="28"/>
          <w:szCs w:val="28"/>
          <w:highlight w:val="none"/>
          <w:lang w:val="en-US" w:eastAsia="zh-CN"/>
        </w:rPr>
        <w:t>20</w:t>
      </w:r>
      <w:r>
        <w:rPr>
          <w:rFonts w:hint="eastAsia" w:cs="宋体"/>
          <w:b/>
          <w:bCs/>
          <w:color w:val="auto"/>
          <w:sz w:val="28"/>
          <w:szCs w:val="28"/>
          <w:highlight w:val="none"/>
        </w:rPr>
        <w:t>年财务状况表、企业</w:t>
      </w:r>
      <w:r>
        <w:rPr>
          <w:rFonts w:hint="eastAsia" w:cs="宋体"/>
          <w:b/>
          <w:bCs/>
          <w:color w:val="auto"/>
          <w:sz w:val="28"/>
          <w:szCs w:val="28"/>
          <w:highlight w:val="none"/>
          <w:lang w:eastAsia="zh-CN"/>
        </w:rPr>
        <w:t>2018年</w:t>
      </w:r>
      <w:r>
        <w:rPr>
          <w:rFonts w:hint="eastAsia" w:cs="宋体"/>
          <w:b/>
          <w:bCs/>
          <w:color w:val="auto"/>
          <w:sz w:val="28"/>
          <w:szCs w:val="28"/>
          <w:highlight w:val="none"/>
        </w:rPr>
        <w:t>1月至投标截止日期止发生的诉讼和仲裁情况（如有）、企业管理体系认证证书复印件（如有）。。（年份要求见“投标人须知前附表”10.1.4）</w:t>
      </w:r>
    </w:p>
    <w:p>
      <w:pPr>
        <w:spacing w:before="120" w:beforeLines="50" w:after="240" w:afterLines="100" w:line="440" w:lineRule="exact"/>
        <w:rPr>
          <w:b/>
          <w:bCs/>
          <w:color w:val="auto"/>
          <w:sz w:val="28"/>
          <w:szCs w:val="28"/>
          <w:highlight w:val="none"/>
        </w:rPr>
      </w:pPr>
      <w:r>
        <w:rPr>
          <w:color w:val="auto"/>
          <w:highlight w:val="none"/>
        </w:rPr>
        <w:br w:type="page"/>
      </w:r>
      <w:r>
        <w:rPr>
          <w:rFonts w:hint="eastAsia" w:cs="宋体"/>
          <w:b/>
          <w:bCs/>
          <w:color w:val="auto"/>
          <w:sz w:val="28"/>
          <w:szCs w:val="28"/>
          <w:highlight w:val="none"/>
        </w:rPr>
        <w:t>附表：</w:t>
      </w:r>
    </w:p>
    <w:p>
      <w:pPr>
        <w:tabs>
          <w:tab w:val="left" w:pos="826"/>
        </w:tabs>
        <w:snapToGrid w:val="0"/>
        <w:ind w:firstLine="482" w:firstLineChars="200"/>
        <w:rPr>
          <w:b/>
          <w:bCs/>
          <w:color w:val="auto"/>
          <w:sz w:val="24"/>
          <w:szCs w:val="24"/>
          <w:highlight w:val="none"/>
        </w:rPr>
      </w:pPr>
      <w:r>
        <w:rPr>
          <w:rFonts w:hint="eastAsia" w:cs="宋体"/>
          <w:b/>
          <w:bCs/>
          <w:color w:val="auto"/>
          <w:sz w:val="24"/>
          <w:szCs w:val="24"/>
          <w:highlight w:val="none"/>
        </w:rPr>
        <w:t>（</w:t>
      </w:r>
      <w:r>
        <w:rPr>
          <w:b/>
          <w:bCs/>
          <w:color w:val="auto"/>
          <w:sz w:val="24"/>
          <w:szCs w:val="24"/>
          <w:highlight w:val="none"/>
        </w:rPr>
        <w:t>1</w:t>
      </w:r>
      <w:r>
        <w:rPr>
          <w:rFonts w:hint="eastAsia" w:cs="宋体"/>
          <w:b/>
          <w:bCs/>
          <w:color w:val="auto"/>
          <w:sz w:val="24"/>
          <w:szCs w:val="24"/>
          <w:highlight w:val="none"/>
        </w:rPr>
        <w:t>）项目管理机构配备情况表</w:t>
      </w:r>
    </w:p>
    <w:p>
      <w:pPr>
        <w:tabs>
          <w:tab w:val="left" w:pos="826"/>
        </w:tabs>
        <w:snapToGrid w:val="0"/>
        <w:ind w:firstLine="482" w:firstLineChars="200"/>
        <w:rPr>
          <w:b/>
          <w:bCs/>
          <w:color w:val="auto"/>
          <w:sz w:val="24"/>
          <w:szCs w:val="24"/>
          <w:highlight w:val="none"/>
        </w:rPr>
      </w:pPr>
    </w:p>
    <w:p>
      <w:pPr>
        <w:pStyle w:val="25"/>
        <w:outlineLvl w:val="0"/>
        <w:rPr>
          <w:color w:val="auto"/>
          <w:highlight w:val="none"/>
        </w:rPr>
      </w:pPr>
      <w:r>
        <w:rPr>
          <w:color w:val="auto"/>
          <w:highlight w:val="none"/>
          <w:u w:val="single"/>
        </w:rPr>
        <w:t xml:space="preserve">            </w:t>
      </w:r>
      <w:r>
        <w:rPr>
          <w:rFonts w:hint="eastAsia" w:cs="宋体"/>
          <w:color w:val="auto"/>
          <w:highlight w:val="none"/>
          <w:u w:val="single"/>
        </w:rPr>
        <w:t>（招标工程项目名称）</w:t>
      </w:r>
      <w:r>
        <w:rPr>
          <w:color w:val="auto"/>
          <w:highlight w:val="none"/>
          <w:u w:val="single"/>
        </w:rPr>
        <w:t xml:space="preserve">        </w:t>
      </w:r>
      <w:r>
        <w:rPr>
          <w:color w:val="auto"/>
          <w:highlight w:val="none"/>
        </w:rPr>
        <w:t xml:space="preserve"> </w:t>
      </w:r>
      <w:r>
        <w:rPr>
          <w:rFonts w:hint="eastAsia" w:cs="宋体"/>
          <w:color w:val="auto"/>
          <w:highlight w:val="none"/>
        </w:rPr>
        <w:t>工程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pPr>
              <w:ind w:left="223" w:hanging="222" w:hangingChars="106"/>
              <w:jc w:val="center"/>
              <w:rPr>
                <w:color w:val="auto"/>
                <w:highlight w:val="none"/>
              </w:rPr>
            </w:pPr>
            <w:r>
              <w:rPr>
                <w:rFonts w:hint="eastAsia" w:cs="宋体"/>
                <w:color w:val="auto"/>
                <w:highlight w:val="none"/>
              </w:rPr>
              <w:t>岗位</w:t>
            </w:r>
          </w:p>
        </w:tc>
        <w:tc>
          <w:tcPr>
            <w:tcW w:w="829" w:type="dxa"/>
            <w:vMerge w:val="restart"/>
            <w:noWrap w:val="0"/>
            <w:vAlign w:val="center"/>
          </w:tcPr>
          <w:p>
            <w:pPr>
              <w:ind w:left="223" w:hanging="222" w:hangingChars="106"/>
              <w:jc w:val="center"/>
              <w:rPr>
                <w:color w:val="auto"/>
                <w:highlight w:val="none"/>
              </w:rPr>
            </w:pPr>
            <w:r>
              <w:rPr>
                <w:rFonts w:hint="eastAsia" w:cs="宋体"/>
                <w:color w:val="auto"/>
                <w:highlight w:val="none"/>
              </w:rPr>
              <w:t>姓名</w:t>
            </w:r>
          </w:p>
        </w:tc>
        <w:tc>
          <w:tcPr>
            <w:tcW w:w="816" w:type="dxa"/>
            <w:vMerge w:val="restart"/>
            <w:noWrap w:val="0"/>
            <w:vAlign w:val="center"/>
          </w:tcPr>
          <w:p>
            <w:pPr>
              <w:ind w:left="223" w:hanging="222" w:hangingChars="106"/>
              <w:jc w:val="center"/>
              <w:rPr>
                <w:color w:val="auto"/>
                <w:highlight w:val="none"/>
              </w:rPr>
            </w:pPr>
            <w:r>
              <w:rPr>
                <w:rFonts w:hint="eastAsia" w:cs="宋体"/>
                <w:color w:val="auto"/>
                <w:highlight w:val="none"/>
              </w:rPr>
              <w:t>职称</w:t>
            </w:r>
          </w:p>
        </w:tc>
        <w:tc>
          <w:tcPr>
            <w:tcW w:w="4592" w:type="dxa"/>
            <w:gridSpan w:val="4"/>
            <w:noWrap w:val="0"/>
            <w:vAlign w:val="center"/>
          </w:tcPr>
          <w:p>
            <w:pPr>
              <w:ind w:left="223" w:hanging="222" w:hangingChars="106"/>
              <w:jc w:val="center"/>
              <w:rPr>
                <w:color w:val="auto"/>
                <w:highlight w:val="none"/>
              </w:rPr>
            </w:pPr>
            <w:r>
              <w:rPr>
                <w:rFonts w:hint="eastAsia" w:cs="宋体"/>
                <w:color w:val="auto"/>
                <w:highlight w:val="none"/>
              </w:rPr>
              <w:t>执业或职业资格证明</w:t>
            </w:r>
          </w:p>
        </w:tc>
        <w:tc>
          <w:tcPr>
            <w:tcW w:w="2529" w:type="dxa"/>
            <w:gridSpan w:val="2"/>
            <w:noWrap w:val="0"/>
            <w:vAlign w:val="center"/>
          </w:tcPr>
          <w:p>
            <w:pPr>
              <w:ind w:left="223" w:hanging="222" w:hangingChars="106"/>
              <w:jc w:val="center"/>
              <w:rPr>
                <w:color w:val="auto"/>
                <w:highlight w:val="none"/>
              </w:rPr>
            </w:pPr>
            <w:r>
              <w:rPr>
                <w:rFonts w:hint="eastAsia" w:cs="宋体"/>
                <w:color w:val="auto"/>
                <w:highlight w:val="none"/>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pPr>
              <w:ind w:left="223" w:hanging="222" w:hangingChars="106"/>
              <w:jc w:val="center"/>
              <w:rPr>
                <w:color w:val="auto"/>
                <w:highlight w:val="none"/>
              </w:rPr>
            </w:pPr>
          </w:p>
        </w:tc>
        <w:tc>
          <w:tcPr>
            <w:tcW w:w="829" w:type="dxa"/>
            <w:vMerge w:val="continue"/>
            <w:noWrap w:val="0"/>
            <w:vAlign w:val="center"/>
          </w:tcPr>
          <w:p>
            <w:pPr>
              <w:ind w:left="223" w:hanging="222" w:hangingChars="106"/>
              <w:jc w:val="center"/>
              <w:rPr>
                <w:color w:val="auto"/>
                <w:highlight w:val="none"/>
              </w:rPr>
            </w:pPr>
          </w:p>
        </w:tc>
        <w:tc>
          <w:tcPr>
            <w:tcW w:w="816" w:type="dxa"/>
            <w:vMerge w:val="continue"/>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r>
              <w:rPr>
                <w:rFonts w:hint="eastAsia" w:cs="宋体"/>
                <w:color w:val="auto"/>
                <w:highlight w:val="none"/>
              </w:rPr>
              <w:t>证书名称</w:t>
            </w:r>
          </w:p>
        </w:tc>
        <w:tc>
          <w:tcPr>
            <w:tcW w:w="1148" w:type="dxa"/>
            <w:noWrap w:val="0"/>
            <w:vAlign w:val="center"/>
          </w:tcPr>
          <w:p>
            <w:pPr>
              <w:ind w:left="223" w:hanging="222" w:hangingChars="106"/>
              <w:jc w:val="center"/>
              <w:rPr>
                <w:color w:val="auto"/>
                <w:highlight w:val="none"/>
              </w:rPr>
            </w:pPr>
            <w:r>
              <w:rPr>
                <w:rFonts w:hint="eastAsia" w:cs="宋体"/>
                <w:color w:val="auto"/>
                <w:highlight w:val="none"/>
              </w:rPr>
              <w:t>级别</w:t>
            </w:r>
          </w:p>
        </w:tc>
        <w:tc>
          <w:tcPr>
            <w:tcW w:w="1148" w:type="dxa"/>
            <w:noWrap w:val="0"/>
            <w:vAlign w:val="center"/>
          </w:tcPr>
          <w:p>
            <w:pPr>
              <w:ind w:left="223" w:hanging="222" w:hangingChars="106"/>
              <w:jc w:val="center"/>
              <w:rPr>
                <w:color w:val="auto"/>
                <w:highlight w:val="none"/>
              </w:rPr>
            </w:pPr>
            <w:r>
              <w:rPr>
                <w:rFonts w:hint="eastAsia" w:cs="宋体"/>
                <w:color w:val="auto"/>
                <w:highlight w:val="none"/>
              </w:rPr>
              <w:t>证号</w:t>
            </w:r>
          </w:p>
        </w:tc>
        <w:tc>
          <w:tcPr>
            <w:tcW w:w="1148" w:type="dxa"/>
            <w:noWrap w:val="0"/>
            <w:vAlign w:val="center"/>
          </w:tcPr>
          <w:p>
            <w:pPr>
              <w:ind w:left="223" w:hanging="222" w:hangingChars="106"/>
              <w:jc w:val="center"/>
              <w:rPr>
                <w:color w:val="auto"/>
                <w:highlight w:val="none"/>
              </w:rPr>
            </w:pPr>
            <w:r>
              <w:rPr>
                <w:rFonts w:hint="eastAsia" w:cs="宋体"/>
                <w:color w:val="auto"/>
                <w:highlight w:val="none"/>
              </w:rPr>
              <w:t>专业</w:t>
            </w:r>
          </w:p>
        </w:tc>
        <w:tc>
          <w:tcPr>
            <w:tcW w:w="850" w:type="dxa"/>
            <w:noWrap w:val="0"/>
            <w:vAlign w:val="center"/>
          </w:tcPr>
          <w:p>
            <w:pPr>
              <w:ind w:left="223" w:hanging="222" w:hangingChars="106"/>
              <w:jc w:val="center"/>
              <w:rPr>
                <w:color w:val="auto"/>
                <w:highlight w:val="none"/>
              </w:rPr>
            </w:pPr>
            <w:r>
              <w:rPr>
                <w:rFonts w:hint="eastAsia" w:cs="宋体"/>
                <w:color w:val="auto"/>
                <w:highlight w:val="none"/>
              </w:rPr>
              <w:t>项目数</w:t>
            </w:r>
          </w:p>
        </w:tc>
        <w:tc>
          <w:tcPr>
            <w:tcW w:w="1679" w:type="dxa"/>
            <w:noWrap w:val="0"/>
            <w:vAlign w:val="center"/>
          </w:tcPr>
          <w:p>
            <w:pPr>
              <w:ind w:left="223" w:hanging="222" w:hangingChars="106"/>
              <w:jc w:val="center"/>
              <w:rPr>
                <w:color w:val="auto"/>
                <w:highlight w:val="none"/>
              </w:rPr>
            </w:pPr>
            <w:r>
              <w:rPr>
                <w:rFonts w:hint="eastAsia" w:cs="宋体"/>
                <w:color w:val="auto"/>
                <w:highlight w:val="none"/>
              </w:rPr>
              <w:t>主要项目</w:t>
            </w:r>
          </w:p>
          <w:p>
            <w:pPr>
              <w:ind w:left="223" w:hanging="222" w:hangingChars="106"/>
              <w:jc w:val="center"/>
              <w:rPr>
                <w:color w:val="auto"/>
                <w:highlight w:val="none"/>
              </w:rPr>
            </w:pPr>
            <w:r>
              <w:rPr>
                <w:rFonts w:hint="eastAsia" w:cs="宋体"/>
                <w:color w:val="auto"/>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highlight w:val="none"/>
              </w:rPr>
            </w:pPr>
          </w:p>
        </w:tc>
        <w:tc>
          <w:tcPr>
            <w:tcW w:w="829" w:type="dxa"/>
            <w:noWrap w:val="0"/>
            <w:vAlign w:val="center"/>
          </w:tcPr>
          <w:p>
            <w:pPr>
              <w:ind w:left="223" w:hanging="222" w:hangingChars="106"/>
              <w:jc w:val="center"/>
              <w:rPr>
                <w:color w:val="auto"/>
                <w:highlight w:val="none"/>
              </w:rPr>
            </w:pPr>
          </w:p>
        </w:tc>
        <w:tc>
          <w:tcPr>
            <w:tcW w:w="816"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850" w:type="dxa"/>
            <w:noWrap w:val="0"/>
            <w:vAlign w:val="center"/>
          </w:tcPr>
          <w:p>
            <w:pPr>
              <w:ind w:left="223" w:hanging="222" w:hangingChars="106"/>
              <w:jc w:val="center"/>
              <w:rPr>
                <w:color w:val="auto"/>
                <w:highlight w:val="none"/>
              </w:rPr>
            </w:pPr>
          </w:p>
        </w:tc>
        <w:tc>
          <w:tcPr>
            <w:tcW w:w="1679" w:type="dxa"/>
            <w:noWrap w:val="0"/>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highlight w:val="none"/>
              </w:rPr>
            </w:pPr>
          </w:p>
        </w:tc>
        <w:tc>
          <w:tcPr>
            <w:tcW w:w="829" w:type="dxa"/>
            <w:noWrap w:val="0"/>
            <w:vAlign w:val="center"/>
          </w:tcPr>
          <w:p>
            <w:pPr>
              <w:ind w:left="223" w:hanging="222" w:hangingChars="106"/>
              <w:jc w:val="center"/>
              <w:rPr>
                <w:color w:val="auto"/>
                <w:highlight w:val="none"/>
              </w:rPr>
            </w:pPr>
          </w:p>
        </w:tc>
        <w:tc>
          <w:tcPr>
            <w:tcW w:w="816"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850" w:type="dxa"/>
            <w:noWrap w:val="0"/>
            <w:vAlign w:val="center"/>
          </w:tcPr>
          <w:p>
            <w:pPr>
              <w:ind w:left="223" w:hanging="222" w:hangingChars="106"/>
              <w:jc w:val="center"/>
              <w:rPr>
                <w:color w:val="auto"/>
                <w:highlight w:val="none"/>
              </w:rPr>
            </w:pPr>
          </w:p>
        </w:tc>
        <w:tc>
          <w:tcPr>
            <w:tcW w:w="1679" w:type="dxa"/>
            <w:noWrap w:val="0"/>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highlight w:val="none"/>
              </w:rPr>
            </w:pPr>
          </w:p>
        </w:tc>
        <w:tc>
          <w:tcPr>
            <w:tcW w:w="829" w:type="dxa"/>
            <w:noWrap w:val="0"/>
            <w:vAlign w:val="center"/>
          </w:tcPr>
          <w:p>
            <w:pPr>
              <w:ind w:left="223" w:hanging="222" w:hangingChars="106"/>
              <w:jc w:val="center"/>
              <w:rPr>
                <w:color w:val="auto"/>
                <w:highlight w:val="none"/>
              </w:rPr>
            </w:pPr>
          </w:p>
        </w:tc>
        <w:tc>
          <w:tcPr>
            <w:tcW w:w="816"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850" w:type="dxa"/>
            <w:noWrap w:val="0"/>
            <w:vAlign w:val="center"/>
          </w:tcPr>
          <w:p>
            <w:pPr>
              <w:ind w:left="223" w:hanging="222" w:hangingChars="106"/>
              <w:jc w:val="center"/>
              <w:rPr>
                <w:color w:val="auto"/>
                <w:highlight w:val="none"/>
              </w:rPr>
            </w:pPr>
          </w:p>
        </w:tc>
        <w:tc>
          <w:tcPr>
            <w:tcW w:w="1679" w:type="dxa"/>
            <w:noWrap w:val="0"/>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highlight w:val="none"/>
              </w:rPr>
            </w:pPr>
          </w:p>
        </w:tc>
        <w:tc>
          <w:tcPr>
            <w:tcW w:w="829" w:type="dxa"/>
            <w:noWrap w:val="0"/>
            <w:vAlign w:val="center"/>
          </w:tcPr>
          <w:p>
            <w:pPr>
              <w:ind w:left="223" w:hanging="222" w:hangingChars="106"/>
              <w:jc w:val="center"/>
              <w:rPr>
                <w:color w:val="auto"/>
                <w:highlight w:val="none"/>
              </w:rPr>
            </w:pPr>
          </w:p>
        </w:tc>
        <w:tc>
          <w:tcPr>
            <w:tcW w:w="816"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850" w:type="dxa"/>
            <w:noWrap w:val="0"/>
            <w:vAlign w:val="center"/>
          </w:tcPr>
          <w:p>
            <w:pPr>
              <w:ind w:left="223" w:hanging="222" w:hangingChars="106"/>
              <w:jc w:val="center"/>
              <w:rPr>
                <w:color w:val="auto"/>
                <w:highlight w:val="none"/>
              </w:rPr>
            </w:pPr>
          </w:p>
        </w:tc>
        <w:tc>
          <w:tcPr>
            <w:tcW w:w="1679" w:type="dxa"/>
            <w:noWrap w:val="0"/>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highlight w:val="none"/>
              </w:rPr>
            </w:pPr>
          </w:p>
        </w:tc>
        <w:tc>
          <w:tcPr>
            <w:tcW w:w="829" w:type="dxa"/>
            <w:noWrap w:val="0"/>
            <w:vAlign w:val="center"/>
          </w:tcPr>
          <w:p>
            <w:pPr>
              <w:ind w:left="223" w:hanging="222" w:hangingChars="106"/>
              <w:jc w:val="center"/>
              <w:rPr>
                <w:color w:val="auto"/>
                <w:highlight w:val="none"/>
              </w:rPr>
            </w:pPr>
          </w:p>
        </w:tc>
        <w:tc>
          <w:tcPr>
            <w:tcW w:w="816"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850" w:type="dxa"/>
            <w:noWrap w:val="0"/>
            <w:vAlign w:val="center"/>
          </w:tcPr>
          <w:p>
            <w:pPr>
              <w:ind w:left="223" w:hanging="222" w:hangingChars="106"/>
              <w:jc w:val="center"/>
              <w:rPr>
                <w:color w:val="auto"/>
                <w:highlight w:val="none"/>
              </w:rPr>
            </w:pPr>
          </w:p>
        </w:tc>
        <w:tc>
          <w:tcPr>
            <w:tcW w:w="1679" w:type="dxa"/>
            <w:noWrap w:val="0"/>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highlight w:val="none"/>
              </w:rPr>
            </w:pPr>
          </w:p>
        </w:tc>
        <w:tc>
          <w:tcPr>
            <w:tcW w:w="829" w:type="dxa"/>
            <w:noWrap w:val="0"/>
            <w:vAlign w:val="center"/>
          </w:tcPr>
          <w:p>
            <w:pPr>
              <w:ind w:left="223" w:hanging="222" w:hangingChars="106"/>
              <w:jc w:val="center"/>
              <w:rPr>
                <w:color w:val="auto"/>
                <w:highlight w:val="none"/>
              </w:rPr>
            </w:pPr>
          </w:p>
        </w:tc>
        <w:tc>
          <w:tcPr>
            <w:tcW w:w="816"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850" w:type="dxa"/>
            <w:noWrap w:val="0"/>
            <w:vAlign w:val="center"/>
          </w:tcPr>
          <w:p>
            <w:pPr>
              <w:ind w:left="223" w:hanging="222" w:hangingChars="106"/>
              <w:jc w:val="center"/>
              <w:rPr>
                <w:color w:val="auto"/>
                <w:highlight w:val="none"/>
              </w:rPr>
            </w:pPr>
          </w:p>
        </w:tc>
        <w:tc>
          <w:tcPr>
            <w:tcW w:w="1679" w:type="dxa"/>
            <w:noWrap w:val="0"/>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highlight w:val="none"/>
              </w:rPr>
            </w:pPr>
          </w:p>
        </w:tc>
        <w:tc>
          <w:tcPr>
            <w:tcW w:w="829" w:type="dxa"/>
            <w:noWrap w:val="0"/>
            <w:vAlign w:val="center"/>
          </w:tcPr>
          <w:p>
            <w:pPr>
              <w:ind w:left="223" w:hanging="222" w:hangingChars="106"/>
              <w:jc w:val="center"/>
              <w:rPr>
                <w:color w:val="auto"/>
                <w:highlight w:val="none"/>
              </w:rPr>
            </w:pPr>
          </w:p>
        </w:tc>
        <w:tc>
          <w:tcPr>
            <w:tcW w:w="816"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850" w:type="dxa"/>
            <w:noWrap w:val="0"/>
            <w:vAlign w:val="center"/>
          </w:tcPr>
          <w:p>
            <w:pPr>
              <w:ind w:left="223" w:hanging="222" w:hangingChars="106"/>
              <w:jc w:val="center"/>
              <w:rPr>
                <w:color w:val="auto"/>
                <w:highlight w:val="none"/>
              </w:rPr>
            </w:pPr>
          </w:p>
        </w:tc>
        <w:tc>
          <w:tcPr>
            <w:tcW w:w="1679" w:type="dxa"/>
            <w:noWrap w:val="0"/>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highlight w:val="none"/>
              </w:rPr>
            </w:pPr>
          </w:p>
        </w:tc>
        <w:tc>
          <w:tcPr>
            <w:tcW w:w="829" w:type="dxa"/>
            <w:noWrap w:val="0"/>
            <w:vAlign w:val="center"/>
          </w:tcPr>
          <w:p>
            <w:pPr>
              <w:ind w:left="223" w:hanging="222" w:hangingChars="106"/>
              <w:jc w:val="center"/>
              <w:rPr>
                <w:color w:val="auto"/>
                <w:highlight w:val="none"/>
              </w:rPr>
            </w:pPr>
          </w:p>
        </w:tc>
        <w:tc>
          <w:tcPr>
            <w:tcW w:w="816"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850" w:type="dxa"/>
            <w:noWrap w:val="0"/>
            <w:vAlign w:val="center"/>
          </w:tcPr>
          <w:p>
            <w:pPr>
              <w:ind w:left="223" w:hanging="222" w:hangingChars="106"/>
              <w:jc w:val="center"/>
              <w:rPr>
                <w:color w:val="auto"/>
                <w:highlight w:val="none"/>
              </w:rPr>
            </w:pPr>
          </w:p>
        </w:tc>
        <w:tc>
          <w:tcPr>
            <w:tcW w:w="1679" w:type="dxa"/>
            <w:noWrap w:val="0"/>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highlight w:val="none"/>
              </w:rPr>
            </w:pPr>
          </w:p>
        </w:tc>
        <w:tc>
          <w:tcPr>
            <w:tcW w:w="829" w:type="dxa"/>
            <w:noWrap w:val="0"/>
            <w:vAlign w:val="center"/>
          </w:tcPr>
          <w:p>
            <w:pPr>
              <w:ind w:left="223" w:hanging="222" w:hangingChars="106"/>
              <w:jc w:val="center"/>
              <w:rPr>
                <w:color w:val="auto"/>
                <w:highlight w:val="none"/>
              </w:rPr>
            </w:pPr>
          </w:p>
        </w:tc>
        <w:tc>
          <w:tcPr>
            <w:tcW w:w="816"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850" w:type="dxa"/>
            <w:noWrap w:val="0"/>
            <w:vAlign w:val="center"/>
          </w:tcPr>
          <w:p>
            <w:pPr>
              <w:ind w:left="223" w:hanging="222" w:hangingChars="106"/>
              <w:jc w:val="center"/>
              <w:rPr>
                <w:color w:val="auto"/>
                <w:highlight w:val="none"/>
              </w:rPr>
            </w:pPr>
          </w:p>
        </w:tc>
        <w:tc>
          <w:tcPr>
            <w:tcW w:w="1679" w:type="dxa"/>
            <w:noWrap w:val="0"/>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noWrap w:val="0"/>
            <w:vAlign w:val="top"/>
          </w:tcPr>
          <w:p>
            <w:pPr>
              <w:spacing w:before="120" w:beforeLines="50" w:after="120" w:afterLines="50" w:line="360" w:lineRule="auto"/>
              <w:rPr>
                <w:color w:val="auto"/>
                <w:highlight w:val="none"/>
              </w:rPr>
            </w:pPr>
            <w:r>
              <w:rPr>
                <w:rFonts w:hint="eastAsia" w:cs="宋体"/>
                <w:color w:val="auto"/>
                <w:highlight w:val="none"/>
              </w:rPr>
              <w:t>一旦我单位中标，将实行项目经理负责制，我方保证并配备上述项目管理机构。上述填报内容真实，若不真实，愿按有关规定接受处理。项目管理班子机构设置、职责分工等情况另附资料说明。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rPr>
          <w:color w:val="auto"/>
          <w:highlight w:val="none"/>
        </w:rPr>
      </w:pPr>
    </w:p>
    <w:p>
      <w:pPr>
        <w:tabs>
          <w:tab w:val="left" w:pos="0"/>
        </w:tabs>
        <w:spacing w:line="360" w:lineRule="auto"/>
        <w:ind w:right="-210"/>
        <w:rPr>
          <w:color w:val="auto"/>
          <w:highlight w:val="none"/>
        </w:rPr>
      </w:pPr>
    </w:p>
    <w:p>
      <w:pPr>
        <w:spacing w:before="120" w:beforeLines="50" w:after="120" w:afterLines="50" w:line="440" w:lineRule="exact"/>
        <w:ind w:left="772" w:leftChars="100" w:hanging="562" w:hangingChars="200"/>
        <w:jc w:val="center"/>
        <w:rPr>
          <w:b/>
          <w:bCs/>
          <w:color w:val="auto"/>
          <w:sz w:val="28"/>
          <w:szCs w:val="28"/>
          <w:highlight w:val="none"/>
        </w:rPr>
        <w:sectPr>
          <w:pgSz w:w="11907" w:h="16840"/>
          <w:pgMar w:top="1440" w:right="1440" w:bottom="1440" w:left="1797" w:header="851" w:footer="851" w:gutter="0"/>
          <w:cols w:space="720" w:num="1"/>
          <w:docGrid w:linePitch="312" w:charSpace="0"/>
        </w:sectPr>
      </w:pPr>
    </w:p>
    <w:p>
      <w:pPr>
        <w:tabs>
          <w:tab w:val="left" w:pos="826"/>
        </w:tabs>
        <w:snapToGrid w:val="0"/>
        <w:ind w:firstLine="482" w:firstLineChars="200"/>
        <w:rPr>
          <w:b/>
          <w:bCs/>
          <w:color w:val="auto"/>
          <w:sz w:val="24"/>
          <w:szCs w:val="24"/>
          <w:highlight w:val="none"/>
        </w:rPr>
      </w:pPr>
      <w:r>
        <w:rPr>
          <w:rFonts w:hint="eastAsia" w:cs="宋体"/>
          <w:b/>
          <w:bCs/>
          <w:color w:val="auto"/>
          <w:sz w:val="24"/>
          <w:szCs w:val="24"/>
          <w:highlight w:val="none"/>
        </w:rPr>
        <w:t>（</w:t>
      </w:r>
      <w:r>
        <w:rPr>
          <w:b/>
          <w:bCs/>
          <w:color w:val="auto"/>
          <w:sz w:val="24"/>
          <w:szCs w:val="24"/>
          <w:highlight w:val="none"/>
        </w:rPr>
        <w:t>2</w:t>
      </w:r>
      <w:r>
        <w:rPr>
          <w:rFonts w:hint="eastAsia" w:cs="宋体"/>
          <w:b/>
          <w:bCs/>
          <w:color w:val="auto"/>
          <w:sz w:val="24"/>
          <w:szCs w:val="24"/>
          <w:highlight w:val="none"/>
        </w:rPr>
        <w:t>）拟投入施工机械设备情况表（格式自拟）</w:t>
      </w:r>
    </w:p>
    <w:p>
      <w:pPr>
        <w:spacing w:before="120" w:beforeLines="50" w:after="120" w:afterLines="50" w:line="440" w:lineRule="exact"/>
        <w:ind w:left="772" w:leftChars="100" w:hanging="562" w:hangingChars="200"/>
        <w:jc w:val="center"/>
        <w:rPr>
          <w:b/>
          <w:bCs/>
          <w:color w:val="auto"/>
          <w:sz w:val="28"/>
          <w:szCs w:val="28"/>
          <w:highlight w:val="none"/>
        </w:rPr>
      </w:pPr>
    </w:p>
    <w:p>
      <w:pPr>
        <w:spacing w:before="120" w:beforeLines="50" w:after="120" w:afterLines="50" w:line="440" w:lineRule="exact"/>
        <w:ind w:left="772" w:leftChars="100" w:hanging="562" w:hangingChars="200"/>
        <w:jc w:val="center"/>
        <w:rPr>
          <w:b/>
          <w:bCs/>
          <w:color w:val="auto"/>
          <w:sz w:val="28"/>
          <w:szCs w:val="28"/>
          <w:highlight w:val="none"/>
        </w:rPr>
        <w:sectPr>
          <w:pgSz w:w="11907" w:h="16840"/>
          <w:pgMar w:top="1440" w:right="1440" w:bottom="1440" w:left="1797" w:header="851" w:footer="851" w:gutter="0"/>
          <w:cols w:space="720" w:num="1"/>
          <w:docGrid w:linePitch="312" w:charSpace="0"/>
        </w:sectPr>
      </w:pPr>
    </w:p>
    <w:p>
      <w:pPr>
        <w:tabs>
          <w:tab w:val="left" w:pos="826"/>
        </w:tabs>
        <w:snapToGrid w:val="0"/>
        <w:outlineLvl w:val="0"/>
        <w:rPr>
          <w:b/>
          <w:bCs/>
          <w:color w:val="auto"/>
          <w:sz w:val="24"/>
          <w:szCs w:val="24"/>
          <w:highlight w:val="none"/>
        </w:rPr>
      </w:pPr>
      <w:r>
        <w:rPr>
          <w:rFonts w:hint="eastAsia" w:cs="宋体"/>
          <w:b/>
          <w:bCs/>
          <w:color w:val="auto"/>
          <w:sz w:val="24"/>
          <w:szCs w:val="24"/>
          <w:highlight w:val="none"/>
        </w:rPr>
        <w:t>（</w:t>
      </w:r>
      <w:r>
        <w:rPr>
          <w:b/>
          <w:bCs/>
          <w:color w:val="auto"/>
          <w:sz w:val="24"/>
          <w:szCs w:val="24"/>
          <w:highlight w:val="none"/>
        </w:rPr>
        <w:t>3</w:t>
      </w:r>
      <w:r>
        <w:rPr>
          <w:rFonts w:hint="eastAsia" w:cs="宋体"/>
          <w:b/>
          <w:bCs/>
          <w:color w:val="auto"/>
          <w:sz w:val="24"/>
          <w:szCs w:val="24"/>
          <w:highlight w:val="none"/>
        </w:rPr>
        <w:t>）企业已完成类似工程一览表（年份要求见“投标人须知前附表”10.1.4）</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noWrap w:val="0"/>
            <w:vAlign w:val="center"/>
          </w:tcPr>
          <w:p>
            <w:pPr>
              <w:jc w:val="center"/>
              <w:rPr>
                <w:color w:val="auto"/>
                <w:highlight w:val="none"/>
              </w:rPr>
            </w:pPr>
            <w:r>
              <w:rPr>
                <w:rFonts w:hint="eastAsia" w:cs="宋体"/>
                <w:color w:val="auto"/>
                <w:highlight w:val="none"/>
              </w:rPr>
              <w:t>序号</w:t>
            </w:r>
          </w:p>
        </w:tc>
        <w:tc>
          <w:tcPr>
            <w:tcW w:w="1701" w:type="dxa"/>
            <w:noWrap w:val="0"/>
            <w:vAlign w:val="center"/>
          </w:tcPr>
          <w:p>
            <w:pPr>
              <w:jc w:val="center"/>
              <w:rPr>
                <w:color w:val="auto"/>
                <w:highlight w:val="none"/>
              </w:rPr>
            </w:pPr>
            <w:r>
              <w:rPr>
                <w:rFonts w:hint="eastAsia" w:cs="宋体"/>
                <w:color w:val="auto"/>
                <w:highlight w:val="none"/>
              </w:rPr>
              <w:t>发包人名称</w:t>
            </w:r>
          </w:p>
        </w:tc>
        <w:tc>
          <w:tcPr>
            <w:tcW w:w="1417" w:type="dxa"/>
            <w:noWrap w:val="0"/>
            <w:vAlign w:val="center"/>
          </w:tcPr>
          <w:p>
            <w:pPr>
              <w:jc w:val="center"/>
              <w:rPr>
                <w:color w:val="auto"/>
                <w:highlight w:val="none"/>
              </w:rPr>
            </w:pPr>
            <w:r>
              <w:rPr>
                <w:rFonts w:hint="eastAsia" w:cs="宋体"/>
                <w:color w:val="auto"/>
                <w:highlight w:val="none"/>
              </w:rPr>
              <w:t>工程名称</w:t>
            </w:r>
          </w:p>
          <w:p>
            <w:pPr>
              <w:jc w:val="center"/>
              <w:rPr>
                <w:color w:val="auto"/>
                <w:highlight w:val="none"/>
              </w:rPr>
            </w:pPr>
            <w:r>
              <w:rPr>
                <w:rFonts w:hint="eastAsia" w:cs="宋体"/>
                <w:color w:val="auto"/>
                <w:highlight w:val="none"/>
              </w:rPr>
              <w:t>及建设地点</w:t>
            </w:r>
          </w:p>
        </w:tc>
        <w:tc>
          <w:tcPr>
            <w:tcW w:w="851" w:type="dxa"/>
            <w:noWrap w:val="0"/>
            <w:vAlign w:val="center"/>
          </w:tcPr>
          <w:p>
            <w:pPr>
              <w:jc w:val="center"/>
              <w:rPr>
                <w:color w:val="auto"/>
                <w:highlight w:val="none"/>
              </w:rPr>
            </w:pPr>
            <w:r>
              <w:rPr>
                <w:rFonts w:hint="eastAsia" w:cs="宋体"/>
                <w:color w:val="auto"/>
                <w:highlight w:val="none"/>
              </w:rPr>
              <w:t>结构</w:t>
            </w:r>
          </w:p>
          <w:p>
            <w:pPr>
              <w:jc w:val="center"/>
              <w:rPr>
                <w:color w:val="auto"/>
                <w:highlight w:val="none"/>
              </w:rPr>
            </w:pPr>
            <w:r>
              <w:rPr>
                <w:rFonts w:hint="eastAsia" w:cs="宋体"/>
                <w:color w:val="auto"/>
                <w:highlight w:val="none"/>
              </w:rPr>
              <w:t>类型</w:t>
            </w:r>
          </w:p>
        </w:tc>
        <w:tc>
          <w:tcPr>
            <w:tcW w:w="992" w:type="dxa"/>
            <w:noWrap w:val="0"/>
            <w:vAlign w:val="center"/>
          </w:tcPr>
          <w:p>
            <w:pPr>
              <w:jc w:val="center"/>
              <w:rPr>
                <w:color w:val="auto"/>
                <w:highlight w:val="none"/>
              </w:rPr>
            </w:pPr>
            <w:r>
              <w:rPr>
                <w:rFonts w:hint="eastAsia" w:cs="宋体"/>
                <w:color w:val="auto"/>
                <w:highlight w:val="none"/>
              </w:rPr>
              <w:t>建设</w:t>
            </w:r>
          </w:p>
          <w:p>
            <w:pPr>
              <w:jc w:val="center"/>
              <w:rPr>
                <w:color w:val="auto"/>
                <w:highlight w:val="none"/>
              </w:rPr>
            </w:pPr>
            <w:r>
              <w:rPr>
                <w:rFonts w:hint="eastAsia" w:cs="宋体"/>
                <w:color w:val="auto"/>
                <w:highlight w:val="none"/>
              </w:rPr>
              <w:t>规模</w:t>
            </w:r>
          </w:p>
        </w:tc>
        <w:tc>
          <w:tcPr>
            <w:tcW w:w="1134" w:type="dxa"/>
            <w:noWrap w:val="0"/>
            <w:vAlign w:val="center"/>
          </w:tcPr>
          <w:p>
            <w:pPr>
              <w:jc w:val="center"/>
              <w:rPr>
                <w:color w:val="auto"/>
                <w:highlight w:val="none"/>
              </w:rPr>
            </w:pPr>
            <w:r>
              <w:rPr>
                <w:rFonts w:hint="eastAsia" w:cs="宋体"/>
                <w:color w:val="auto"/>
                <w:highlight w:val="none"/>
              </w:rPr>
              <w:t>合同金额</w:t>
            </w:r>
          </w:p>
          <w:p>
            <w:pPr>
              <w:jc w:val="center"/>
              <w:rPr>
                <w:color w:val="auto"/>
                <w:highlight w:val="none"/>
              </w:rPr>
            </w:pPr>
            <w:r>
              <w:rPr>
                <w:rFonts w:hint="eastAsia" w:cs="宋体"/>
                <w:color w:val="auto"/>
                <w:highlight w:val="none"/>
              </w:rPr>
              <w:t>（万元）</w:t>
            </w:r>
          </w:p>
        </w:tc>
        <w:tc>
          <w:tcPr>
            <w:tcW w:w="1276" w:type="dxa"/>
            <w:noWrap w:val="0"/>
            <w:vAlign w:val="center"/>
          </w:tcPr>
          <w:p>
            <w:pPr>
              <w:jc w:val="center"/>
              <w:rPr>
                <w:color w:val="auto"/>
                <w:highlight w:val="none"/>
              </w:rPr>
            </w:pPr>
            <w:r>
              <w:rPr>
                <w:rFonts w:hint="eastAsia" w:cs="宋体"/>
                <w:color w:val="auto"/>
                <w:highlight w:val="none"/>
              </w:rPr>
              <w:t>竣工达到</w:t>
            </w:r>
          </w:p>
          <w:p>
            <w:pPr>
              <w:jc w:val="center"/>
              <w:rPr>
                <w:color w:val="auto"/>
                <w:highlight w:val="none"/>
              </w:rPr>
            </w:pPr>
            <w:r>
              <w:rPr>
                <w:rFonts w:hint="eastAsia" w:cs="宋体"/>
                <w:color w:val="auto"/>
                <w:highlight w:val="none"/>
              </w:rPr>
              <w:t>质量标准</w:t>
            </w:r>
          </w:p>
        </w:tc>
        <w:tc>
          <w:tcPr>
            <w:tcW w:w="1134" w:type="dxa"/>
            <w:noWrap w:val="0"/>
            <w:vAlign w:val="center"/>
          </w:tcPr>
          <w:p>
            <w:pPr>
              <w:jc w:val="center"/>
              <w:rPr>
                <w:color w:val="auto"/>
                <w:highlight w:val="none"/>
              </w:rPr>
            </w:pPr>
            <w:r>
              <w:rPr>
                <w:rFonts w:hint="eastAsia" w:cs="宋体"/>
                <w:color w:val="auto"/>
                <w:highlight w:val="none"/>
              </w:rPr>
              <w:t>开竣工</w:t>
            </w:r>
          </w:p>
          <w:p>
            <w:pPr>
              <w:jc w:val="center"/>
              <w:rPr>
                <w:color w:val="auto"/>
                <w:highlight w:val="none"/>
              </w:rPr>
            </w:pPr>
            <w:r>
              <w:rPr>
                <w:rFonts w:hint="eastAsia" w:cs="宋体"/>
                <w:color w:val="auto"/>
                <w:highlight w:val="none"/>
              </w:rPr>
              <w:t>日</w:t>
            </w:r>
            <w:r>
              <w:rPr>
                <w:color w:val="auto"/>
                <w:highlight w:val="none"/>
              </w:rPr>
              <w:t xml:space="preserve">  </w:t>
            </w:r>
            <w:r>
              <w:rPr>
                <w:rFonts w:hint="eastAsia" w:cs="宋体"/>
                <w:color w:val="auto"/>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noWrap w:val="0"/>
            <w:vAlign w:val="center"/>
          </w:tcPr>
          <w:p>
            <w:pPr>
              <w:jc w:val="center"/>
              <w:rPr>
                <w:color w:val="auto"/>
                <w:highlight w:val="none"/>
              </w:rPr>
            </w:pPr>
          </w:p>
        </w:tc>
        <w:tc>
          <w:tcPr>
            <w:tcW w:w="1701" w:type="dxa"/>
            <w:noWrap w:val="0"/>
            <w:vAlign w:val="center"/>
          </w:tcPr>
          <w:p>
            <w:pPr>
              <w:jc w:val="center"/>
              <w:rPr>
                <w:color w:val="auto"/>
                <w:highlight w:val="none"/>
              </w:rPr>
            </w:pPr>
          </w:p>
        </w:tc>
        <w:tc>
          <w:tcPr>
            <w:tcW w:w="1417" w:type="dxa"/>
            <w:noWrap w:val="0"/>
            <w:vAlign w:val="center"/>
          </w:tcPr>
          <w:p>
            <w:pPr>
              <w:jc w:val="center"/>
              <w:rPr>
                <w:color w:val="auto"/>
                <w:highlight w:val="none"/>
              </w:rPr>
            </w:pPr>
          </w:p>
        </w:tc>
        <w:tc>
          <w:tcPr>
            <w:tcW w:w="851" w:type="dxa"/>
            <w:noWrap w:val="0"/>
            <w:vAlign w:val="center"/>
          </w:tcPr>
          <w:p>
            <w:pPr>
              <w:jc w:val="center"/>
              <w:rPr>
                <w:color w:val="auto"/>
                <w:highlight w:val="none"/>
              </w:rPr>
            </w:pPr>
          </w:p>
        </w:tc>
        <w:tc>
          <w:tcPr>
            <w:tcW w:w="992"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c>
          <w:tcPr>
            <w:tcW w:w="1276"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noWrap w:val="0"/>
            <w:vAlign w:val="center"/>
          </w:tcPr>
          <w:p>
            <w:pPr>
              <w:jc w:val="center"/>
              <w:rPr>
                <w:color w:val="auto"/>
                <w:highlight w:val="none"/>
              </w:rPr>
            </w:pPr>
          </w:p>
        </w:tc>
        <w:tc>
          <w:tcPr>
            <w:tcW w:w="1701" w:type="dxa"/>
            <w:noWrap w:val="0"/>
            <w:vAlign w:val="center"/>
          </w:tcPr>
          <w:p>
            <w:pPr>
              <w:jc w:val="center"/>
              <w:rPr>
                <w:color w:val="auto"/>
                <w:highlight w:val="none"/>
              </w:rPr>
            </w:pPr>
          </w:p>
        </w:tc>
        <w:tc>
          <w:tcPr>
            <w:tcW w:w="1417" w:type="dxa"/>
            <w:noWrap w:val="0"/>
            <w:vAlign w:val="center"/>
          </w:tcPr>
          <w:p>
            <w:pPr>
              <w:jc w:val="center"/>
              <w:rPr>
                <w:color w:val="auto"/>
                <w:highlight w:val="none"/>
              </w:rPr>
            </w:pPr>
          </w:p>
        </w:tc>
        <w:tc>
          <w:tcPr>
            <w:tcW w:w="851" w:type="dxa"/>
            <w:noWrap w:val="0"/>
            <w:vAlign w:val="center"/>
          </w:tcPr>
          <w:p>
            <w:pPr>
              <w:jc w:val="center"/>
              <w:rPr>
                <w:color w:val="auto"/>
                <w:highlight w:val="none"/>
              </w:rPr>
            </w:pPr>
          </w:p>
        </w:tc>
        <w:tc>
          <w:tcPr>
            <w:tcW w:w="992"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c>
          <w:tcPr>
            <w:tcW w:w="1276"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rPr>
                <w:color w:val="auto"/>
                <w:highlight w:val="none"/>
              </w:rPr>
            </w:pPr>
          </w:p>
        </w:tc>
        <w:tc>
          <w:tcPr>
            <w:tcW w:w="1701" w:type="dxa"/>
            <w:noWrap w:val="0"/>
            <w:vAlign w:val="center"/>
          </w:tcPr>
          <w:p>
            <w:pPr>
              <w:jc w:val="center"/>
              <w:rPr>
                <w:color w:val="auto"/>
                <w:highlight w:val="none"/>
              </w:rPr>
            </w:pPr>
          </w:p>
        </w:tc>
        <w:tc>
          <w:tcPr>
            <w:tcW w:w="1417" w:type="dxa"/>
            <w:noWrap w:val="0"/>
            <w:vAlign w:val="center"/>
          </w:tcPr>
          <w:p>
            <w:pPr>
              <w:jc w:val="center"/>
              <w:rPr>
                <w:color w:val="auto"/>
                <w:highlight w:val="none"/>
              </w:rPr>
            </w:pPr>
          </w:p>
        </w:tc>
        <w:tc>
          <w:tcPr>
            <w:tcW w:w="851" w:type="dxa"/>
            <w:noWrap w:val="0"/>
            <w:vAlign w:val="center"/>
          </w:tcPr>
          <w:p>
            <w:pPr>
              <w:jc w:val="center"/>
              <w:rPr>
                <w:color w:val="auto"/>
                <w:highlight w:val="none"/>
              </w:rPr>
            </w:pPr>
          </w:p>
        </w:tc>
        <w:tc>
          <w:tcPr>
            <w:tcW w:w="992"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c>
          <w:tcPr>
            <w:tcW w:w="1276"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rPr>
                <w:color w:val="auto"/>
                <w:highlight w:val="none"/>
              </w:rPr>
            </w:pPr>
          </w:p>
        </w:tc>
        <w:tc>
          <w:tcPr>
            <w:tcW w:w="1701" w:type="dxa"/>
            <w:noWrap w:val="0"/>
            <w:vAlign w:val="center"/>
          </w:tcPr>
          <w:p>
            <w:pPr>
              <w:jc w:val="center"/>
              <w:rPr>
                <w:color w:val="auto"/>
                <w:highlight w:val="none"/>
              </w:rPr>
            </w:pPr>
          </w:p>
        </w:tc>
        <w:tc>
          <w:tcPr>
            <w:tcW w:w="1417" w:type="dxa"/>
            <w:noWrap w:val="0"/>
            <w:vAlign w:val="center"/>
          </w:tcPr>
          <w:p>
            <w:pPr>
              <w:jc w:val="center"/>
              <w:rPr>
                <w:color w:val="auto"/>
                <w:highlight w:val="none"/>
              </w:rPr>
            </w:pPr>
          </w:p>
        </w:tc>
        <w:tc>
          <w:tcPr>
            <w:tcW w:w="851" w:type="dxa"/>
            <w:noWrap w:val="0"/>
            <w:vAlign w:val="center"/>
          </w:tcPr>
          <w:p>
            <w:pPr>
              <w:jc w:val="center"/>
              <w:rPr>
                <w:color w:val="auto"/>
                <w:highlight w:val="none"/>
              </w:rPr>
            </w:pPr>
          </w:p>
        </w:tc>
        <w:tc>
          <w:tcPr>
            <w:tcW w:w="992"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c>
          <w:tcPr>
            <w:tcW w:w="1276"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rPr>
                <w:color w:val="auto"/>
                <w:highlight w:val="none"/>
              </w:rPr>
            </w:pPr>
          </w:p>
        </w:tc>
        <w:tc>
          <w:tcPr>
            <w:tcW w:w="1701" w:type="dxa"/>
            <w:noWrap w:val="0"/>
            <w:vAlign w:val="center"/>
          </w:tcPr>
          <w:p>
            <w:pPr>
              <w:jc w:val="center"/>
              <w:rPr>
                <w:color w:val="auto"/>
                <w:highlight w:val="none"/>
              </w:rPr>
            </w:pPr>
          </w:p>
        </w:tc>
        <w:tc>
          <w:tcPr>
            <w:tcW w:w="1417" w:type="dxa"/>
            <w:noWrap w:val="0"/>
            <w:vAlign w:val="center"/>
          </w:tcPr>
          <w:p>
            <w:pPr>
              <w:jc w:val="center"/>
              <w:rPr>
                <w:color w:val="auto"/>
                <w:highlight w:val="none"/>
              </w:rPr>
            </w:pPr>
          </w:p>
        </w:tc>
        <w:tc>
          <w:tcPr>
            <w:tcW w:w="851" w:type="dxa"/>
            <w:noWrap w:val="0"/>
            <w:vAlign w:val="center"/>
          </w:tcPr>
          <w:p>
            <w:pPr>
              <w:jc w:val="center"/>
              <w:rPr>
                <w:color w:val="auto"/>
                <w:highlight w:val="none"/>
              </w:rPr>
            </w:pPr>
          </w:p>
        </w:tc>
        <w:tc>
          <w:tcPr>
            <w:tcW w:w="992"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c>
          <w:tcPr>
            <w:tcW w:w="1276"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r>
    </w:tbl>
    <w:p>
      <w:pPr>
        <w:rPr>
          <w:color w:val="auto"/>
          <w:highlight w:val="none"/>
        </w:rPr>
      </w:pPr>
    </w:p>
    <w:p>
      <w:pPr>
        <w:rPr>
          <w:rFonts w:eastAsia="楷体_GB2312"/>
          <w:color w:val="auto"/>
          <w:highlight w:val="none"/>
        </w:rPr>
      </w:pPr>
      <w:r>
        <w:rPr>
          <w:rFonts w:hint="eastAsia" w:eastAsia="楷体_GB2312" w:cs="楷体_GB2312"/>
          <w:color w:val="auto"/>
          <w:highlight w:val="none"/>
        </w:rPr>
        <w:t>备注：</w:t>
      </w:r>
    </w:p>
    <w:p>
      <w:pPr>
        <w:ind w:firstLine="420" w:firstLineChars="200"/>
        <w:rPr>
          <w:rFonts w:eastAsia="楷体_GB2312"/>
          <w:color w:val="auto"/>
          <w:highlight w:val="none"/>
        </w:rPr>
      </w:pPr>
      <w:r>
        <w:rPr>
          <w:rFonts w:eastAsia="楷体_GB2312"/>
          <w:color w:val="auto"/>
          <w:highlight w:val="none"/>
        </w:rPr>
        <w:t>1</w:t>
      </w:r>
      <w:r>
        <w:rPr>
          <w:rFonts w:hint="eastAsia" w:eastAsia="楷体_GB2312" w:cs="楷体_GB2312"/>
          <w:color w:val="auto"/>
          <w:highlight w:val="none"/>
        </w:rPr>
        <w:t>、投标人应附上中标通知书（如有）、工程合同协议书有关页面、工程竣工验收证明材料的复印件。</w:t>
      </w:r>
    </w:p>
    <w:p>
      <w:pPr>
        <w:tabs>
          <w:tab w:val="left" w:pos="826"/>
        </w:tabs>
        <w:snapToGrid w:val="0"/>
        <w:outlineLvl w:val="0"/>
        <w:rPr>
          <w:b/>
          <w:bCs/>
          <w:color w:val="auto"/>
          <w:sz w:val="24"/>
          <w:szCs w:val="24"/>
          <w:highlight w:val="none"/>
        </w:rPr>
      </w:pPr>
      <w:r>
        <w:rPr>
          <w:rFonts w:hint="eastAsia" w:cs="宋体"/>
          <w:b/>
          <w:bCs/>
          <w:color w:val="auto"/>
          <w:sz w:val="24"/>
          <w:szCs w:val="24"/>
          <w:highlight w:val="none"/>
        </w:rPr>
        <w:t>或企业在建类似工程一览表（年份要求见“投标人须知前附表”10.1.4）</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noWrap w:val="0"/>
            <w:vAlign w:val="center"/>
          </w:tcPr>
          <w:p>
            <w:pPr>
              <w:jc w:val="center"/>
              <w:rPr>
                <w:color w:val="auto"/>
                <w:highlight w:val="none"/>
              </w:rPr>
            </w:pPr>
            <w:r>
              <w:rPr>
                <w:rFonts w:hint="eastAsia" w:cs="宋体"/>
                <w:color w:val="auto"/>
                <w:highlight w:val="none"/>
              </w:rPr>
              <w:t>序号</w:t>
            </w:r>
          </w:p>
        </w:tc>
        <w:tc>
          <w:tcPr>
            <w:tcW w:w="1701" w:type="dxa"/>
            <w:noWrap w:val="0"/>
            <w:vAlign w:val="center"/>
          </w:tcPr>
          <w:p>
            <w:pPr>
              <w:jc w:val="center"/>
              <w:rPr>
                <w:color w:val="auto"/>
                <w:highlight w:val="none"/>
              </w:rPr>
            </w:pPr>
            <w:r>
              <w:rPr>
                <w:rFonts w:hint="eastAsia" w:cs="宋体"/>
                <w:color w:val="auto"/>
                <w:highlight w:val="none"/>
              </w:rPr>
              <w:t>发包人名称</w:t>
            </w:r>
          </w:p>
        </w:tc>
        <w:tc>
          <w:tcPr>
            <w:tcW w:w="1417" w:type="dxa"/>
            <w:noWrap w:val="0"/>
            <w:vAlign w:val="center"/>
          </w:tcPr>
          <w:p>
            <w:pPr>
              <w:jc w:val="center"/>
              <w:rPr>
                <w:color w:val="auto"/>
                <w:highlight w:val="none"/>
              </w:rPr>
            </w:pPr>
            <w:r>
              <w:rPr>
                <w:rFonts w:hint="eastAsia" w:cs="宋体"/>
                <w:color w:val="auto"/>
                <w:highlight w:val="none"/>
              </w:rPr>
              <w:t>工程名称</w:t>
            </w:r>
          </w:p>
          <w:p>
            <w:pPr>
              <w:jc w:val="center"/>
              <w:rPr>
                <w:color w:val="auto"/>
                <w:highlight w:val="none"/>
              </w:rPr>
            </w:pPr>
            <w:r>
              <w:rPr>
                <w:rFonts w:hint="eastAsia" w:cs="宋体"/>
                <w:color w:val="auto"/>
                <w:highlight w:val="none"/>
              </w:rPr>
              <w:t>及建设地点</w:t>
            </w:r>
          </w:p>
        </w:tc>
        <w:tc>
          <w:tcPr>
            <w:tcW w:w="851" w:type="dxa"/>
            <w:noWrap w:val="0"/>
            <w:vAlign w:val="center"/>
          </w:tcPr>
          <w:p>
            <w:pPr>
              <w:jc w:val="center"/>
              <w:rPr>
                <w:color w:val="auto"/>
                <w:highlight w:val="none"/>
              </w:rPr>
            </w:pPr>
            <w:r>
              <w:rPr>
                <w:rFonts w:hint="eastAsia" w:cs="宋体"/>
                <w:color w:val="auto"/>
                <w:highlight w:val="none"/>
              </w:rPr>
              <w:t>结构</w:t>
            </w:r>
          </w:p>
          <w:p>
            <w:pPr>
              <w:jc w:val="center"/>
              <w:rPr>
                <w:color w:val="auto"/>
                <w:highlight w:val="none"/>
              </w:rPr>
            </w:pPr>
            <w:r>
              <w:rPr>
                <w:rFonts w:hint="eastAsia" w:cs="宋体"/>
                <w:color w:val="auto"/>
                <w:highlight w:val="none"/>
              </w:rPr>
              <w:t>类型</w:t>
            </w:r>
          </w:p>
        </w:tc>
        <w:tc>
          <w:tcPr>
            <w:tcW w:w="992" w:type="dxa"/>
            <w:noWrap w:val="0"/>
            <w:vAlign w:val="center"/>
          </w:tcPr>
          <w:p>
            <w:pPr>
              <w:jc w:val="center"/>
              <w:rPr>
                <w:color w:val="auto"/>
                <w:highlight w:val="none"/>
              </w:rPr>
            </w:pPr>
            <w:r>
              <w:rPr>
                <w:rFonts w:hint="eastAsia" w:cs="宋体"/>
                <w:color w:val="auto"/>
                <w:highlight w:val="none"/>
              </w:rPr>
              <w:t>建设</w:t>
            </w:r>
          </w:p>
          <w:p>
            <w:pPr>
              <w:jc w:val="center"/>
              <w:rPr>
                <w:color w:val="auto"/>
                <w:highlight w:val="none"/>
              </w:rPr>
            </w:pPr>
            <w:r>
              <w:rPr>
                <w:rFonts w:hint="eastAsia" w:cs="宋体"/>
                <w:color w:val="auto"/>
                <w:highlight w:val="none"/>
              </w:rPr>
              <w:t>规模</w:t>
            </w:r>
          </w:p>
        </w:tc>
        <w:tc>
          <w:tcPr>
            <w:tcW w:w="1134" w:type="dxa"/>
            <w:noWrap w:val="0"/>
            <w:vAlign w:val="center"/>
          </w:tcPr>
          <w:p>
            <w:pPr>
              <w:jc w:val="center"/>
              <w:rPr>
                <w:color w:val="auto"/>
                <w:highlight w:val="none"/>
              </w:rPr>
            </w:pPr>
            <w:r>
              <w:rPr>
                <w:rFonts w:hint="eastAsia" w:cs="宋体"/>
                <w:color w:val="auto"/>
                <w:highlight w:val="none"/>
              </w:rPr>
              <w:t>合同金额</w:t>
            </w:r>
          </w:p>
          <w:p>
            <w:pPr>
              <w:jc w:val="center"/>
              <w:rPr>
                <w:color w:val="auto"/>
                <w:highlight w:val="none"/>
              </w:rPr>
            </w:pPr>
            <w:r>
              <w:rPr>
                <w:rFonts w:hint="eastAsia" w:cs="宋体"/>
                <w:color w:val="auto"/>
                <w:highlight w:val="none"/>
              </w:rPr>
              <w:t>（万元）</w:t>
            </w:r>
          </w:p>
        </w:tc>
        <w:tc>
          <w:tcPr>
            <w:tcW w:w="1276" w:type="dxa"/>
            <w:noWrap w:val="0"/>
            <w:vAlign w:val="center"/>
          </w:tcPr>
          <w:p>
            <w:pPr>
              <w:jc w:val="center"/>
              <w:rPr>
                <w:color w:val="auto"/>
                <w:highlight w:val="none"/>
              </w:rPr>
            </w:pPr>
            <w:r>
              <w:rPr>
                <w:rFonts w:hint="eastAsia" w:cs="宋体"/>
                <w:color w:val="auto"/>
                <w:highlight w:val="none"/>
              </w:rPr>
              <w:t>开工日期</w:t>
            </w:r>
          </w:p>
        </w:tc>
        <w:tc>
          <w:tcPr>
            <w:tcW w:w="1134" w:type="dxa"/>
            <w:noWrap w:val="0"/>
            <w:vAlign w:val="center"/>
          </w:tcPr>
          <w:p>
            <w:pPr>
              <w:jc w:val="center"/>
              <w:rPr>
                <w:color w:val="auto"/>
                <w:highlight w:val="none"/>
              </w:rPr>
            </w:pPr>
            <w:r>
              <w:rPr>
                <w:rFonts w:hint="eastAsia" w:cs="宋体"/>
                <w:color w:val="auto"/>
                <w:highlight w:val="none"/>
              </w:rPr>
              <w:t>计划竣工日期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noWrap w:val="0"/>
            <w:vAlign w:val="center"/>
          </w:tcPr>
          <w:p>
            <w:pPr>
              <w:jc w:val="center"/>
              <w:rPr>
                <w:color w:val="auto"/>
                <w:highlight w:val="none"/>
              </w:rPr>
            </w:pPr>
          </w:p>
        </w:tc>
        <w:tc>
          <w:tcPr>
            <w:tcW w:w="1701" w:type="dxa"/>
            <w:noWrap w:val="0"/>
            <w:vAlign w:val="center"/>
          </w:tcPr>
          <w:p>
            <w:pPr>
              <w:jc w:val="center"/>
              <w:rPr>
                <w:color w:val="auto"/>
                <w:highlight w:val="none"/>
              </w:rPr>
            </w:pPr>
          </w:p>
        </w:tc>
        <w:tc>
          <w:tcPr>
            <w:tcW w:w="1417" w:type="dxa"/>
            <w:noWrap w:val="0"/>
            <w:vAlign w:val="center"/>
          </w:tcPr>
          <w:p>
            <w:pPr>
              <w:jc w:val="center"/>
              <w:rPr>
                <w:color w:val="auto"/>
                <w:highlight w:val="none"/>
              </w:rPr>
            </w:pPr>
          </w:p>
        </w:tc>
        <w:tc>
          <w:tcPr>
            <w:tcW w:w="851" w:type="dxa"/>
            <w:noWrap w:val="0"/>
            <w:vAlign w:val="center"/>
          </w:tcPr>
          <w:p>
            <w:pPr>
              <w:jc w:val="center"/>
              <w:rPr>
                <w:color w:val="auto"/>
                <w:highlight w:val="none"/>
              </w:rPr>
            </w:pPr>
          </w:p>
        </w:tc>
        <w:tc>
          <w:tcPr>
            <w:tcW w:w="992"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c>
          <w:tcPr>
            <w:tcW w:w="1276"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noWrap w:val="0"/>
            <w:vAlign w:val="center"/>
          </w:tcPr>
          <w:p>
            <w:pPr>
              <w:jc w:val="center"/>
              <w:rPr>
                <w:color w:val="auto"/>
                <w:highlight w:val="none"/>
              </w:rPr>
            </w:pPr>
          </w:p>
        </w:tc>
        <w:tc>
          <w:tcPr>
            <w:tcW w:w="1701" w:type="dxa"/>
            <w:noWrap w:val="0"/>
            <w:vAlign w:val="center"/>
          </w:tcPr>
          <w:p>
            <w:pPr>
              <w:jc w:val="center"/>
              <w:rPr>
                <w:color w:val="auto"/>
                <w:highlight w:val="none"/>
              </w:rPr>
            </w:pPr>
          </w:p>
        </w:tc>
        <w:tc>
          <w:tcPr>
            <w:tcW w:w="1417" w:type="dxa"/>
            <w:noWrap w:val="0"/>
            <w:vAlign w:val="center"/>
          </w:tcPr>
          <w:p>
            <w:pPr>
              <w:jc w:val="center"/>
              <w:rPr>
                <w:color w:val="auto"/>
                <w:highlight w:val="none"/>
              </w:rPr>
            </w:pPr>
          </w:p>
        </w:tc>
        <w:tc>
          <w:tcPr>
            <w:tcW w:w="851" w:type="dxa"/>
            <w:noWrap w:val="0"/>
            <w:vAlign w:val="center"/>
          </w:tcPr>
          <w:p>
            <w:pPr>
              <w:jc w:val="center"/>
              <w:rPr>
                <w:color w:val="auto"/>
                <w:highlight w:val="none"/>
              </w:rPr>
            </w:pPr>
          </w:p>
        </w:tc>
        <w:tc>
          <w:tcPr>
            <w:tcW w:w="992"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c>
          <w:tcPr>
            <w:tcW w:w="1276"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rPr>
                <w:color w:val="auto"/>
                <w:highlight w:val="none"/>
              </w:rPr>
            </w:pPr>
          </w:p>
        </w:tc>
        <w:tc>
          <w:tcPr>
            <w:tcW w:w="1701" w:type="dxa"/>
            <w:noWrap w:val="0"/>
            <w:vAlign w:val="center"/>
          </w:tcPr>
          <w:p>
            <w:pPr>
              <w:jc w:val="center"/>
              <w:rPr>
                <w:color w:val="auto"/>
                <w:highlight w:val="none"/>
              </w:rPr>
            </w:pPr>
          </w:p>
        </w:tc>
        <w:tc>
          <w:tcPr>
            <w:tcW w:w="1417" w:type="dxa"/>
            <w:noWrap w:val="0"/>
            <w:vAlign w:val="center"/>
          </w:tcPr>
          <w:p>
            <w:pPr>
              <w:jc w:val="center"/>
              <w:rPr>
                <w:color w:val="auto"/>
                <w:highlight w:val="none"/>
              </w:rPr>
            </w:pPr>
          </w:p>
        </w:tc>
        <w:tc>
          <w:tcPr>
            <w:tcW w:w="851" w:type="dxa"/>
            <w:noWrap w:val="0"/>
            <w:vAlign w:val="center"/>
          </w:tcPr>
          <w:p>
            <w:pPr>
              <w:jc w:val="center"/>
              <w:rPr>
                <w:color w:val="auto"/>
                <w:highlight w:val="none"/>
              </w:rPr>
            </w:pPr>
          </w:p>
        </w:tc>
        <w:tc>
          <w:tcPr>
            <w:tcW w:w="992"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c>
          <w:tcPr>
            <w:tcW w:w="1276"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rPr>
                <w:color w:val="auto"/>
                <w:highlight w:val="none"/>
              </w:rPr>
            </w:pPr>
          </w:p>
        </w:tc>
        <w:tc>
          <w:tcPr>
            <w:tcW w:w="1701" w:type="dxa"/>
            <w:noWrap w:val="0"/>
            <w:vAlign w:val="center"/>
          </w:tcPr>
          <w:p>
            <w:pPr>
              <w:jc w:val="center"/>
              <w:rPr>
                <w:color w:val="auto"/>
                <w:highlight w:val="none"/>
              </w:rPr>
            </w:pPr>
          </w:p>
        </w:tc>
        <w:tc>
          <w:tcPr>
            <w:tcW w:w="1417" w:type="dxa"/>
            <w:noWrap w:val="0"/>
            <w:vAlign w:val="center"/>
          </w:tcPr>
          <w:p>
            <w:pPr>
              <w:jc w:val="center"/>
              <w:rPr>
                <w:color w:val="auto"/>
                <w:highlight w:val="none"/>
              </w:rPr>
            </w:pPr>
          </w:p>
        </w:tc>
        <w:tc>
          <w:tcPr>
            <w:tcW w:w="851" w:type="dxa"/>
            <w:noWrap w:val="0"/>
            <w:vAlign w:val="center"/>
          </w:tcPr>
          <w:p>
            <w:pPr>
              <w:jc w:val="center"/>
              <w:rPr>
                <w:color w:val="auto"/>
                <w:highlight w:val="none"/>
              </w:rPr>
            </w:pPr>
          </w:p>
        </w:tc>
        <w:tc>
          <w:tcPr>
            <w:tcW w:w="992"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c>
          <w:tcPr>
            <w:tcW w:w="1276"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noWrap w:val="0"/>
            <w:vAlign w:val="center"/>
          </w:tcPr>
          <w:p>
            <w:pPr>
              <w:jc w:val="center"/>
              <w:rPr>
                <w:color w:val="auto"/>
                <w:highlight w:val="none"/>
              </w:rPr>
            </w:pPr>
          </w:p>
        </w:tc>
        <w:tc>
          <w:tcPr>
            <w:tcW w:w="1701" w:type="dxa"/>
            <w:noWrap w:val="0"/>
            <w:vAlign w:val="center"/>
          </w:tcPr>
          <w:p>
            <w:pPr>
              <w:jc w:val="center"/>
              <w:rPr>
                <w:color w:val="auto"/>
                <w:highlight w:val="none"/>
              </w:rPr>
            </w:pPr>
          </w:p>
        </w:tc>
        <w:tc>
          <w:tcPr>
            <w:tcW w:w="1417" w:type="dxa"/>
            <w:noWrap w:val="0"/>
            <w:vAlign w:val="center"/>
          </w:tcPr>
          <w:p>
            <w:pPr>
              <w:jc w:val="center"/>
              <w:rPr>
                <w:color w:val="auto"/>
                <w:highlight w:val="none"/>
              </w:rPr>
            </w:pPr>
          </w:p>
        </w:tc>
        <w:tc>
          <w:tcPr>
            <w:tcW w:w="851" w:type="dxa"/>
            <w:noWrap w:val="0"/>
            <w:vAlign w:val="center"/>
          </w:tcPr>
          <w:p>
            <w:pPr>
              <w:jc w:val="center"/>
              <w:rPr>
                <w:color w:val="auto"/>
                <w:highlight w:val="none"/>
              </w:rPr>
            </w:pPr>
          </w:p>
        </w:tc>
        <w:tc>
          <w:tcPr>
            <w:tcW w:w="992"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c>
          <w:tcPr>
            <w:tcW w:w="1276" w:type="dxa"/>
            <w:noWrap w:val="0"/>
            <w:vAlign w:val="center"/>
          </w:tcPr>
          <w:p>
            <w:pPr>
              <w:jc w:val="center"/>
              <w:rPr>
                <w:color w:val="auto"/>
                <w:highlight w:val="none"/>
              </w:rPr>
            </w:pPr>
          </w:p>
        </w:tc>
        <w:tc>
          <w:tcPr>
            <w:tcW w:w="1134" w:type="dxa"/>
            <w:noWrap w:val="0"/>
            <w:vAlign w:val="center"/>
          </w:tcPr>
          <w:p>
            <w:pPr>
              <w:jc w:val="center"/>
              <w:rPr>
                <w:color w:val="auto"/>
                <w:highlight w:val="none"/>
              </w:rPr>
            </w:pPr>
          </w:p>
        </w:tc>
      </w:tr>
    </w:tbl>
    <w:p>
      <w:pPr>
        <w:spacing w:before="120" w:beforeLines="50" w:after="120" w:afterLines="50"/>
        <w:ind w:left="772" w:leftChars="100" w:hanging="562" w:hangingChars="200"/>
        <w:rPr>
          <w:b/>
          <w:bCs/>
          <w:color w:val="auto"/>
          <w:sz w:val="28"/>
          <w:szCs w:val="28"/>
          <w:highlight w:val="none"/>
        </w:rPr>
      </w:pPr>
    </w:p>
    <w:p>
      <w:pPr>
        <w:rPr>
          <w:rFonts w:eastAsia="楷体_GB2312" w:cs="楷体_GB2312"/>
          <w:color w:val="auto"/>
          <w:highlight w:val="none"/>
        </w:rPr>
      </w:pPr>
      <w:r>
        <w:rPr>
          <w:rFonts w:hint="eastAsia" w:eastAsia="楷体_GB2312" w:cs="楷体_GB2312"/>
          <w:color w:val="auto"/>
          <w:highlight w:val="none"/>
        </w:rPr>
        <w:t>备注：</w:t>
      </w:r>
    </w:p>
    <w:p>
      <w:pPr>
        <w:ind w:firstLine="420" w:firstLineChars="200"/>
        <w:rPr>
          <w:rFonts w:eastAsia="楷体_GB2312" w:cs="楷体_GB2312"/>
          <w:color w:val="auto"/>
          <w:highlight w:val="none"/>
        </w:rPr>
      </w:pPr>
      <w:r>
        <w:rPr>
          <w:rFonts w:hint="eastAsia" w:eastAsia="楷体_GB2312" w:cs="楷体_GB2312"/>
          <w:color w:val="auto"/>
          <w:highlight w:val="none"/>
        </w:rPr>
        <w:t>附：如招标人选择接受在建工程作为业绩的，投标人应在投标文件组成的“业绩（在建工程）”节点上传相关证明材料的原件复印件，内容包括：中标（发包）通知书、工程合同协议书有关页面等。</w:t>
      </w:r>
    </w:p>
    <w:p>
      <w:pPr>
        <w:ind w:firstLine="422" w:firstLineChars="200"/>
        <w:rPr>
          <w:rFonts w:eastAsia="楷体_GB2312"/>
          <w:b/>
          <w:bCs/>
          <w:color w:val="auto"/>
          <w:highlight w:val="none"/>
        </w:rPr>
      </w:pPr>
    </w:p>
    <w:p>
      <w:pPr>
        <w:spacing w:before="120" w:beforeLines="50" w:after="120" w:afterLines="50"/>
        <w:ind w:left="772" w:leftChars="100" w:hanging="562" w:hangingChars="200"/>
        <w:rPr>
          <w:b/>
          <w:bCs/>
          <w:color w:val="auto"/>
          <w:sz w:val="28"/>
          <w:szCs w:val="28"/>
          <w:highlight w:val="none"/>
        </w:rPr>
        <w:sectPr>
          <w:pgSz w:w="11907" w:h="16840"/>
          <w:pgMar w:top="1440" w:right="1440" w:bottom="1440" w:left="1797" w:header="851" w:footer="851" w:gutter="0"/>
          <w:cols w:space="720" w:num="1"/>
          <w:docGrid w:linePitch="312" w:charSpace="0"/>
        </w:sectPr>
      </w:pPr>
    </w:p>
    <w:p>
      <w:pPr>
        <w:tabs>
          <w:tab w:val="left" w:pos="826"/>
        </w:tabs>
        <w:snapToGrid w:val="0"/>
        <w:ind w:firstLine="482" w:firstLineChars="200"/>
        <w:outlineLvl w:val="0"/>
        <w:rPr>
          <w:rFonts w:hint="eastAsia"/>
          <w:b/>
          <w:bCs/>
          <w:color w:val="auto"/>
          <w:sz w:val="24"/>
          <w:szCs w:val="24"/>
          <w:highlight w:val="none"/>
        </w:rPr>
      </w:pPr>
      <w:r>
        <w:rPr>
          <w:rFonts w:hint="eastAsia" w:cs="宋体"/>
          <w:b/>
          <w:bCs/>
          <w:color w:val="auto"/>
          <w:sz w:val="24"/>
          <w:szCs w:val="24"/>
          <w:highlight w:val="none"/>
        </w:rPr>
        <w:t>（</w:t>
      </w:r>
      <w:r>
        <w:rPr>
          <w:b/>
          <w:bCs/>
          <w:color w:val="auto"/>
          <w:sz w:val="24"/>
          <w:szCs w:val="24"/>
          <w:highlight w:val="none"/>
        </w:rPr>
        <w:t>4</w:t>
      </w:r>
      <w:r>
        <w:rPr>
          <w:rFonts w:hint="eastAsia"/>
          <w:b/>
          <w:bCs/>
          <w:color w:val="auto"/>
          <w:sz w:val="24"/>
          <w:szCs w:val="24"/>
          <w:highlight w:val="none"/>
        </w:rPr>
        <w:t>）</w:t>
      </w:r>
      <w:r>
        <w:rPr>
          <w:rFonts w:hint="eastAsia" w:cs="宋体"/>
          <w:b/>
          <w:bCs/>
          <w:color w:val="auto"/>
          <w:sz w:val="24"/>
          <w:szCs w:val="24"/>
          <w:highlight w:val="none"/>
        </w:rPr>
        <w:t>企业诚信情况一览表(如有)</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rPr>
                <w:color w:val="auto"/>
                <w:highlight w:val="none"/>
              </w:rPr>
            </w:pPr>
            <w:r>
              <w:rPr>
                <w:rFonts w:hint="eastAsia" w:cs="宋体"/>
                <w:color w:val="auto"/>
                <w:highlight w:val="none"/>
              </w:rPr>
              <w:t>序号</w:t>
            </w:r>
          </w:p>
        </w:tc>
        <w:tc>
          <w:tcPr>
            <w:tcW w:w="8359" w:type="dxa"/>
            <w:noWrap w:val="0"/>
            <w:vAlign w:val="center"/>
          </w:tcPr>
          <w:p>
            <w:pPr>
              <w:jc w:val="center"/>
              <w:rPr>
                <w:color w:val="auto"/>
                <w:highlight w:val="none"/>
              </w:rPr>
            </w:pPr>
            <w:r>
              <w:rPr>
                <w:rFonts w:hint="eastAsia" w:cs="宋体"/>
                <w:color w:val="auto"/>
                <w:highlight w:val="none"/>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rPr>
                <w:color w:val="auto"/>
                <w:highlight w:val="none"/>
              </w:rPr>
            </w:pPr>
          </w:p>
        </w:tc>
        <w:tc>
          <w:tcPr>
            <w:tcW w:w="8359"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rPr>
                <w:color w:val="auto"/>
                <w:highlight w:val="none"/>
              </w:rPr>
            </w:pPr>
          </w:p>
        </w:tc>
        <w:tc>
          <w:tcPr>
            <w:tcW w:w="8359"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rPr>
                <w:color w:val="auto"/>
                <w:highlight w:val="none"/>
              </w:rPr>
            </w:pPr>
          </w:p>
        </w:tc>
        <w:tc>
          <w:tcPr>
            <w:tcW w:w="8359"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rPr>
                <w:color w:val="auto"/>
                <w:highlight w:val="none"/>
              </w:rPr>
            </w:pPr>
          </w:p>
        </w:tc>
        <w:tc>
          <w:tcPr>
            <w:tcW w:w="8359"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rPr>
                <w:color w:val="auto"/>
                <w:highlight w:val="none"/>
              </w:rPr>
            </w:pPr>
          </w:p>
        </w:tc>
        <w:tc>
          <w:tcPr>
            <w:tcW w:w="8359"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rPr>
                <w:color w:val="auto"/>
                <w:highlight w:val="none"/>
              </w:rPr>
            </w:pPr>
          </w:p>
        </w:tc>
        <w:tc>
          <w:tcPr>
            <w:tcW w:w="8359"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rPr>
                <w:color w:val="auto"/>
                <w:highlight w:val="none"/>
              </w:rPr>
            </w:pPr>
          </w:p>
        </w:tc>
        <w:tc>
          <w:tcPr>
            <w:tcW w:w="8359"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rPr>
                <w:color w:val="auto"/>
                <w:highlight w:val="none"/>
              </w:rPr>
            </w:pPr>
          </w:p>
        </w:tc>
        <w:tc>
          <w:tcPr>
            <w:tcW w:w="8359"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rPr>
                <w:color w:val="auto"/>
                <w:highlight w:val="none"/>
              </w:rPr>
            </w:pPr>
          </w:p>
        </w:tc>
        <w:tc>
          <w:tcPr>
            <w:tcW w:w="8359"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rPr>
                <w:color w:val="auto"/>
                <w:highlight w:val="none"/>
              </w:rPr>
            </w:pPr>
          </w:p>
        </w:tc>
        <w:tc>
          <w:tcPr>
            <w:tcW w:w="8359"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rPr>
                <w:color w:val="auto"/>
                <w:highlight w:val="none"/>
              </w:rPr>
            </w:pPr>
          </w:p>
        </w:tc>
        <w:tc>
          <w:tcPr>
            <w:tcW w:w="8359"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noWrap w:val="0"/>
            <w:vAlign w:val="center"/>
          </w:tcPr>
          <w:p>
            <w:pPr>
              <w:jc w:val="center"/>
              <w:rPr>
                <w:color w:val="auto"/>
                <w:highlight w:val="none"/>
              </w:rPr>
            </w:pPr>
          </w:p>
        </w:tc>
        <w:tc>
          <w:tcPr>
            <w:tcW w:w="8359" w:type="dxa"/>
            <w:noWrap w:val="0"/>
            <w:vAlign w:val="center"/>
          </w:tcPr>
          <w:p>
            <w:pPr>
              <w:jc w:val="center"/>
              <w:rPr>
                <w:color w:val="auto"/>
                <w:highlight w:val="none"/>
              </w:rPr>
            </w:pPr>
          </w:p>
        </w:tc>
      </w:tr>
    </w:tbl>
    <w:p>
      <w:pPr>
        <w:tabs>
          <w:tab w:val="left" w:pos="826"/>
        </w:tabs>
        <w:snapToGrid w:val="0"/>
        <w:ind w:firstLine="482" w:firstLineChars="200"/>
        <w:rPr>
          <w:b/>
          <w:bCs/>
          <w:color w:val="auto"/>
          <w:sz w:val="24"/>
          <w:szCs w:val="24"/>
          <w:highlight w:val="none"/>
        </w:rPr>
      </w:pPr>
    </w:p>
    <w:p>
      <w:pPr>
        <w:rPr>
          <w:rFonts w:eastAsia="楷体_GB2312"/>
          <w:color w:val="auto"/>
          <w:highlight w:val="none"/>
        </w:rPr>
      </w:pPr>
      <w:r>
        <w:rPr>
          <w:rFonts w:hint="eastAsia" w:eastAsia="楷体_GB2312" w:cs="楷体_GB2312"/>
          <w:color w:val="auto"/>
          <w:highlight w:val="none"/>
        </w:rPr>
        <w:t>备注：</w:t>
      </w:r>
    </w:p>
    <w:p>
      <w:pPr>
        <w:ind w:firstLine="420" w:firstLineChars="200"/>
        <w:rPr>
          <w:rFonts w:eastAsia="楷体_GB2312"/>
          <w:color w:val="auto"/>
          <w:highlight w:val="none"/>
        </w:rPr>
      </w:pPr>
      <w:r>
        <w:rPr>
          <w:rFonts w:eastAsia="楷体_GB2312"/>
          <w:color w:val="auto"/>
          <w:highlight w:val="none"/>
        </w:rPr>
        <w:t>1</w:t>
      </w:r>
      <w:r>
        <w:rPr>
          <w:rFonts w:hint="eastAsia" w:eastAsia="楷体_GB2312" w:cs="楷体_GB2312"/>
          <w:color w:val="auto"/>
          <w:highlight w:val="none"/>
        </w:rPr>
        <w:t>、项目类别由招标人自行确定，但应与“评标办法前附表”第</w:t>
      </w:r>
      <w:r>
        <w:rPr>
          <w:rFonts w:eastAsia="楷体_GB2312"/>
          <w:color w:val="auto"/>
          <w:highlight w:val="none"/>
        </w:rPr>
        <w:t>2.1.1</w:t>
      </w:r>
      <w:r>
        <w:rPr>
          <w:rFonts w:hint="eastAsia" w:eastAsia="楷体_GB2312" w:cs="楷体_GB2312"/>
          <w:color w:val="auto"/>
          <w:highlight w:val="none"/>
        </w:rPr>
        <w:t>条一致。</w:t>
      </w:r>
    </w:p>
    <w:p>
      <w:pPr>
        <w:ind w:firstLine="420" w:firstLineChars="200"/>
        <w:rPr>
          <w:rFonts w:eastAsia="楷体_GB2312"/>
          <w:color w:val="auto"/>
          <w:highlight w:val="none"/>
        </w:rPr>
      </w:pPr>
      <w:r>
        <w:rPr>
          <w:rFonts w:eastAsia="楷体_GB2312"/>
          <w:color w:val="auto"/>
          <w:highlight w:val="none"/>
        </w:rPr>
        <w:t>2</w:t>
      </w:r>
      <w:r>
        <w:rPr>
          <w:rFonts w:hint="eastAsia" w:eastAsia="楷体_GB2312" w:cs="楷体_GB2312"/>
          <w:color w:val="auto"/>
          <w:highlight w:val="none"/>
        </w:rPr>
        <w:t>、考核期为：见投标人须知前附表10.1.4为准）</w:t>
      </w:r>
    </w:p>
    <w:p>
      <w:pPr>
        <w:spacing w:before="120" w:beforeLines="50" w:after="120" w:afterLines="50" w:line="440" w:lineRule="exact"/>
        <w:ind w:left="772" w:leftChars="100" w:hanging="562" w:hangingChars="200"/>
        <w:jc w:val="center"/>
        <w:rPr>
          <w:b/>
          <w:bCs/>
          <w:color w:val="auto"/>
          <w:sz w:val="28"/>
          <w:szCs w:val="28"/>
          <w:highlight w:val="none"/>
        </w:rPr>
      </w:pPr>
    </w:p>
    <w:p>
      <w:pPr>
        <w:spacing w:before="120" w:beforeLines="50" w:after="120" w:afterLines="50" w:line="440" w:lineRule="exact"/>
        <w:ind w:left="772" w:leftChars="100" w:hanging="562" w:hangingChars="200"/>
        <w:jc w:val="center"/>
        <w:rPr>
          <w:b/>
          <w:bCs/>
          <w:color w:val="auto"/>
          <w:sz w:val="28"/>
          <w:szCs w:val="28"/>
          <w:highlight w:val="none"/>
        </w:rPr>
      </w:pPr>
    </w:p>
    <w:p>
      <w:pPr>
        <w:tabs>
          <w:tab w:val="left" w:pos="826"/>
        </w:tabs>
        <w:snapToGrid w:val="0"/>
        <w:ind w:firstLine="420" w:firstLineChars="200"/>
        <w:rPr>
          <w:b/>
          <w:bCs/>
          <w:color w:val="auto"/>
          <w:sz w:val="28"/>
          <w:szCs w:val="28"/>
          <w:highlight w:val="none"/>
        </w:rPr>
      </w:pPr>
      <w:r>
        <w:rPr>
          <w:color w:val="auto"/>
          <w:highlight w:val="none"/>
        </w:rPr>
        <w:br w:type="page"/>
      </w:r>
      <w:r>
        <w:rPr>
          <w:rFonts w:hint="eastAsia" w:cs="宋体"/>
          <w:b/>
          <w:bCs/>
          <w:color w:val="auto"/>
          <w:sz w:val="24"/>
          <w:szCs w:val="24"/>
          <w:highlight w:val="none"/>
        </w:rPr>
        <w:t>（</w:t>
      </w:r>
      <w:r>
        <w:rPr>
          <w:b/>
          <w:bCs/>
          <w:color w:val="auto"/>
          <w:sz w:val="24"/>
          <w:szCs w:val="24"/>
          <w:highlight w:val="none"/>
        </w:rPr>
        <w:t>5</w:t>
      </w:r>
      <w:r>
        <w:rPr>
          <w:rFonts w:hint="eastAsia" w:cs="宋体"/>
          <w:b/>
          <w:bCs/>
          <w:color w:val="auto"/>
          <w:sz w:val="24"/>
          <w:szCs w:val="24"/>
          <w:highlight w:val="none"/>
        </w:rPr>
        <w:t>）企业财务状况表（年份要求见“投标人须知前附表”10.1.4）</w:t>
      </w:r>
    </w:p>
    <w:p>
      <w:pPr>
        <w:spacing w:line="460" w:lineRule="exact"/>
        <w:ind w:firstLine="630" w:firstLineChars="300"/>
        <w:rPr>
          <w:color w:val="auto"/>
          <w:highlight w:val="none"/>
        </w:rPr>
      </w:pPr>
    </w:p>
    <w:p>
      <w:pPr>
        <w:spacing w:line="360" w:lineRule="auto"/>
        <w:rPr>
          <w:color w:val="auto"/>
          <w:highlight w:val="none"/>
        </w:rPr>
      </w:pPr>
      <w:r>
        <w:rPr>
          <w:rFonts w:hint="eastAsia" w:eastAsia="楷体_GB2312" w:cs="楷体_GB2312"/>
          <w:color w:val="auto"/>
          <w:highlight w:val="none"/>
        </w:rPr>
        <w:t>【备注：经会计师事务所或审计机构审计的财务会计报表，包括资产负债表、现金流量表、利润表的复印件。具体年份要求见第二章</w:t>
      </w:r>
      <w:r>
        <w:rPr>
          <w:rFonts w:eastAsia="楷体_GB2312"/>
          <w:color w:val="auto"/>
          <w:highlight w:val="none"/>
        </w:rPr>
        <w:t>“</w:t>
      </w:r>
      <w:r>
        <w:rPr>
          <w:rFonts w:hint="eastAsia" w:eastAsia="楷体_GB2312" w:cs="楷体_GB2312"/>
          <w:color w:val="auto"/>
          <w:highlight w:val="none"/>
        </w:rPr>
        <w:t>投标人须知</w:t>
      </w:r>
      <w:r>
        <w:rPr>
          <w:rFonts w:eastAsia="楷体_GB2312"/>
          <w:color w:val="auto"/>
          <w:highlight w:val="none"/>
        </w:rPr>
        <w:t>”</w:t>
      </w:r>
      <w:r>
        <w:rPr>
          <w:rFonts w:hint="eastAsia" w:eastAsia="楷体_GB2312" w:cs="楷体_GB2312"/>
          <w:color w:val="auto"/>
          <w:highlight w:val="none"/>
        </w:rPr>
        <w:t>的规定。】</w:t>
      </w:r>
    </w:p>
    <w:p>
      <w:pPr>
        <w:spacing w:line="460" w:lineRule="exact"/>
        <w:rPr>
          <w:rFonts w:hint="eastAsia"/>
          <w:color w:val="auto"/>
          <w:highlight w:val="none"/>
        </w:rPr>
        <w:sectPr>
          <w:pgSz w:w="11907" w:h="16840"/>
          <w:pgMar w:top="1440" w:right="1440" w:bottom="1440" w:left="1797" w:header="851" w:footer="851" w:gutter="0"/>
          <w:cols w:space="720" w:num="1"/>
          <w:docGrid w:linePitch="312" w:charSpace="0"/>
        </w:sectPr>
      </w:pPr>
    </w:p>
    <w:p>
      <w:pPr>
        <w:jc w:val="center"/>
        <w:rPr>
          <w:color w:val="auto"/>
          <w:sz w:val="28"/>
          <w:szCs w:val="28"/>
          <w:highlight w:val="none"/>
        </w:rPr>
      </w:pPr>
      <w:r>
        <w:rPr>
          <w:color w:val="auto"/>
          <w:sz w:val="32"/>
          <w:szCs w:val="32"/>
          <w:highlight w:val="none"/>
          <w:u w:val="single"/>
        </w:rPr>
        <w:t xml:space="preserve">             </w:t>
      </w:r>
      <w:r>
        <w:rPr>
          <w:rFonts w:hint="eastAsia" w:cs="宋体"/>
          <w:color w:val="auto"/>
          <w:sz w:val="28"/>
          <w:szCs w:val="28"/>
          <w:highlight w:val="none"/>
        </w:rPr>
        <w:t>（项目名称）施工招标</w:t>
      </w:r>
    </w:p>
    <w:p>
      <w:pPr>
        <w:jc w:val="center"/>
        <w:rPr>
          <w:color w:val="auto"/>
          <w:sz w:val="28"/>
          <w:szCs w:val="28"/>
          <w:highlight w:val="none"/>
        </w:rPr>
      </w:pPr>
    </w:p>
    <w:p>
      <w:pPr>
        <w:spacing w:before="240" w:beforeLines="100"/>
        <w:jc w:val="center"/>
        <w:rPr>
          <w:color w:val="auto"/>
          <w:sz w:val="52"/>
          <w:szCs w:val="52"/>
          <w:highlight w:val="none"/>
        </w:rPr>
      </w:pPr>
      <w:r>
        <w:rPr>
          <w:rFonts w:hint="eastAsia" w:cs="宋体"/>
          <w:color w:val="auto"/>
          <w:sz w:val="52"/>
          <w:szCs w:val="52"/>
          <w:highlight w:val="none"/>
        </w:rPr>
        <w:t>投</w:t>
      </w:r>
      <w:r>
        <w:rPr>
          <w:color w:val="auto"/>
          <w:sz w:val="52"/>
          <w:szCs w:val="52"/>
          <w:highlight w:val="none"/>
        </w:rPr>
        <w:t xml:space="preserve">  </w:t>
      </w:r>
      <w:r>
        <w:rPr>
          <w:rFonts w:hint="eastAsia" w:cs="宋体"/>
          <w:color w:val="auto"/>
          <w:sz w:val="52"/>
          <w:szCs w:val="52"/>
          <w:highlight w:val="none"/>
        </w:rPr>
        <w:t>标</w:t>
      </w:r>
      <w:r>
        <w:rPr>
          <w:color w:val="auto"/>
          <w:sz w:val="52"/>
          <w:szCs w:val="52"/>
          <w:highlight w:val="none"/>
        </w:rPr>
        <w:t xml:space="preserve">  </w:t>
      </w:r>
      <w:r>
        <w:rPr>
          <w:rFonts w:hint="eastAsia" w:cs="宋体"/>
          <w:color w:val="auto"/>
          <w:sz w:val="52"/>
          <w:szCs w:val="52"/>
          <w:highlight w:val="none"/>
        </w:rPr>
        <w:t>文</w:t>
      </w:r>
      <w:r>
        <w:rPr>
          <w:color w:val="auto"/>
          <w:sz w:val="52"/>
          <w:szCs w:val="52"/>
          <w:highlight w:val="none"/>
        </w:rPr>
        <w:t xml:space="preserve">  </w:t>
      </w:r>
      <w:r>
        <w:rPr>
          <w:rFonts w:hint="eastAsia" w:cs="宋体"/>
          <w:color w:val="auto"/>
          <w:sz w:val="52"/>
          <w:szCs w:val="52"/>
          <w:highlight w:val="none"/>
        </w:rPr>
        <w:t>件</w:t>
      </w: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spacing w:line="360" w:lineRule="auto"/>
        <w:ind w:firstLine="2380" w:firstLineChars="850"/>
        <w:rPr>
          <w:color w:val="auto"/>
          <w:sz w:val="28"/>
          <w:szCs w:val="28"/>
          <w:highlight w:val="none"/>
          <w:u w:val="single"/>
        </w:rPr>
      </w:pPr>
      <w:r>
        <w:rPr>
          <w:rFonts w:hint="eastAsia" w:cs="宋体"/>
          <w:color w:val="auto"/>
          <w:sz w:val="28"/>
          <w:szCs w:val="28"/>
          <w:highlight w:val="none"/>
        </w:rPr>
        <w:t>项目招标编号：</w:t>
      </w:r>
      <w:r>
        <w:rPr>
          <w:color w:val="auto"/>
          <w:sz w:val="28"/>
          <w:szCs w:val="28"/>
          <w:highlight w:val="none"/>
          <w:u w:val="single"/>
        </w:rPr>
        <w:t xml:space="preserve">                   </w:t>
      </w: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spacing w:line="360" w:lineRule="auto"/>
        <w:ind w:firstLine="1400" w:firstLineChars="500"/>
        <w:rPr>
          <w:color w:val="auto"/>
          <w:sz w:val="28"/>
          <w:szCs w:val="28"/>
          <w:highlight w:val="none"/>
        </w:rPr>
      </w:pPr>
      <w:r>
        <w:rPr>
          <w:rFonts w:hint="eastAsia" w:cs="宋体"/>
          <w:color w:val="auto"/>
          <w:sz w:val="28"/>
          <w:szCs w:val="28"/>
          <w:highlight w:val="none"/>
        </w:rPr>
        <w:t>投标内容：</w:t>
      </w:r>
      <w:r>
        <w:rPr>
          <w:color w:val="auto"/>
          <w:sz w:val="28"/>
          <w:szCs w:val="28"/>
          <w:highlight w:val="none"/>
          <w:u w:val="single"/>
        </w:rPr>
        <w:t xml:space="preserve">            </w:t>
      </w:r>
      <w:r>
        <w:rPr>
          <w:rFonts w:hint="eastAsia" w:cs="宋体"/>
          <w:color w:val="auto"/>
          <w:sz w:val="28"/>
          <w:szCs w:val="28"/>
          <w:highlight w:val="none"/>
          <w:u w:val="single"/>
        </w:rPr>
        <w:t>商务标部分</w:t>
      </w:r>
      <w:r>
        <w:rPr>
          <w:color w:val="auto"/>
          <w:sz w:val="28"/>
          <w:szCs w:val="28"/>
          <w:highlight w:val="none"/>
          <w:u w:val="single"/>
        </w:rPr>
        <w:t xml:space="preserve">           </w:t>
      </w:r>
    </w:p>
    <w:p>
      <w:pPr>
        <w:spacing w:line="360" w:lineRule="auto"/>
        <w:ind w:firstLine="1400" w:firstLineChars="500"/>
        <w:rPr>
          <w:color w:val="auto"/>
          <w:sz w:val="28"/>
          <w:szCs w:val="28"/>
          <w:highlight w:val="none"/>
        </w:rPr>
      </w:pPr>
      <w:r>
        <w:rPr>
          <w:rFonts w:hint="eastAsia" w:cs="宋体"/>
          <w:color w:val="auto"/>
          <w:sz w:val="28"/>
          <w:szCs w:val="28"/>
          <w:highlight w:val="none"/>
        </w:rPr>
        <w:t>投标人：</w:t>
      </w:r>
      <w:r>
        <w:rPr>
          <w:color w:val="auto"/>
          <w:sz w:val="28"/>
          <w:szCs w:val="28"/>
          <w:highlight w:val="none"/>
          <w:u w:val="single"/>
        </w:rPr>
        <w:t xml:space="preserve">                                 </w:t>
      </w:r>
      <w:r>
        <w:rPr>
          <w:rFonts w:hint="eastAsia" w:cs="宋体"/>
          <w:color w:val="auto"/>
          <w:sz w:val="28"/>
          <w:szCs w:val="28"/>
          <w:highlight w:val="none"/>
        </w:rPr>
        <w:t>（盖单位章）</w:t>
      </w:r>
    </w:p>
    <w:p>
      <w:pPr>
        <w:spacing w:line="360" w:lineRule="auto"/>
        <w:ind w:firstLine="1400" w:firstLineChars="500"/>
        <w:rPr>
          <w:color w:val="auto"/>
          <w:sz w:val="28"/>
          <w:szCs w:val="28"/>
          <w:highlight w:val="none"/>
        </w:rPr>
      </w:pPr>
      <w:r>
        <w:rPr>
          <w:rFonts w:hint="eastAsia" w:cs="宋体"/>
          <w:color w:val="auto"/>
          <w:sz w:val="28"/>
          <w:szCs w:val="28"/>
          <w:highlight w:val="none"/>
        </w:rPr>
        <w:t>法定代表人：</w:t>
      </w:r>
      <w:r>
        <w:rPr>
          <w:color w:val="auto"/>
          <w:sz w:val="28"/>
          <w:szCs w:val="28"/>
          <w:highlight w:val="none"/>
          <w:u w:val="single"/>
        </w:rPr>
        <w:t xml:space="preserve">              </w:t>
      </w:r>
      <w:r>
        <w:rPr>
          <w:rFonts w:hint="eastAsia" w:cs="宋体"/>
          <w:color w:val="auto"/>
          <w:sz w:val="28"/>
          <w:szCs w:val="28"/>
          <w:highlight w:val="none"/>
        </w:rPr>
        <w:t>（签字或盖章）</w:t>
      </w:r>
    </w:p>
    <w:p>
      <w:pPr>
        <w:jc w:val="center"/>
        <w:rPr>
          <w:color w:val="auto"/>
          <w:sz w:val="28"/>
          <w:szCs w:val="28"/>
          <w:highlight w:val="none"/>
        </w:rPr>
      </w:pPr>
    </w:p>
    <w:p>
      <w:pPr>
        <w:jc w:val="center"/>
        <w:rPr>
          <w:color w:val="auto"/>
          <w:sz w:val="28"/>
          <w:szCs w:val="28"/>
          <w:highlight w:val="none"/>
        </w:rPr>
      </w:pPr>
    </w:p>
    <w:p>
      <w:pPr>
        <w:jc w:val="center"/>
        <w:rPr>
          <w:color w:val="auto"/>
          <w:sz w:val="28"/>
          <w:szCs w:val="28"/>
          <w:highlight w:val="none"/>
        </w:rPr>
      </w:pPr>
      <w:r>
        <w:rPr>
          <w:color w:val="auto"/>
          <w:sz w:val="28"/>
          <w:szCs w:val="28"/>
          <w:highlight w:val="none"/>
          <w:u w:val="single"/>
        </w:rPr>
        <w:t xml:space="preserve">         </w:t>
      </w:r>
      <w:r>
        <w:rPr>
          <w:rFonts w:hint="eastAsia" w:cs="宋体"/>
          <w:color w:val="auto"/>
          <w:sz w:val="28"/>
          <w:szCs w:val="28"/>
          <w:highlight w:val="none"/>
        </w:rPr>
        <w:t>年</w:t>
      </w:r>
      <w:r>
        <w:rPr>
          <w:color w:val="auto"/>
          <w:sz w:val="28"/>
          <w:szCs w:val="28"/>
          <w:highlight w:val="none"/>
          <w:u w:val="single"/>
        </w:rPr>
        <w:t xml:space="preserve">         </w:t>
      </w:r>
      <w:r>
        <w:rPr>
          <w:rFonts w:hint="eastAsia" w:cs="宋体"/>
          <w:color w:val="auto"/>
          <w:sz w:val="28"/>
          <w:szCs w:val="28"/>
          <w:highlight w:val="none"/>
        </w:rPr>
        <w:t>月</w:t>
      </w:r>
      <w:r>
        <w:rPr>
          <w:color w:val="auto"/>
          <w:sz w:val="28"/>
          <w:szCs w:val="28"/>
          <w:highlight w:val="none"/>
          <w:u w:val="single"/>
        </w:rPr>
        <w:t xml:space="preserve">         </w:t>
      </w:r>
      <w:r>
        <w:rPr>
          <w:rFonts w:hint="eastAsia" w:cs="宋体"/>
          <w:color w:val="auto"/>
          <w:sz w:val="28"/>
          <w:szCs w:val="28"/>
          <w:highlight w:val="none"/>
        </w:rPr>
        <w:t>日</w:t>
      </w:r>
    </w:p>
    <w:p>
      <w:pPr>
        <w:pStyle w:val="25"/>
        <w:jc w:val="center"/>
        <w:outlineLvl w:val="0"/>
        <w:rPr>
          <w:b/>
          <w:bCs/>
          <w:color w:val="auto"/>
          <w:highlight w:val="none"/>
        </w:rPr>
      </w:pPr>
      <w:r>
        <w:rPr>
          <w:color w:val="auto"/>
          <w:highlight w:val="none"/>
        </w:rPr>
        <w:br w:type="page"/>
      </w:r>
      <w:bookmarkStart w:id="457" w:name="_Toc389065355"/>
      <w:r>
        <w:rPr>
          <w:rFonts w:hint="eastAsia" w:cs="宋体"/>
          <w:b/>
          <w:bCs/>
          <w:color w:val="auto"/>
          <w:sz w:val="24"/>
          <w:szCs w:val="24"/>
          <w:highlight w:val="none"/>
        </w:rPr>
        <w:t>一、投标函</w:t>
      </w:r>
      <w:bookmarkEnd w:id="457"/>
    </w:p>
    <w:p>
      <w:pPr>
        <w:tabs>
          <w:tab w:val="left" w:pos="7560"/>
        </w:tabs>
        <w:spacing w:line="460" w:lineRule="exact"/>
        <w:ind w:firstLine="420" w:firstLineChars="200"/>
        <w:rPr>
          <w:color w:val="auto"/>
          <w:highlight w:val="none"/>
        </w:rPr>
      </w:pPr>
      <w:r>
        <w:rPr>
          <w:color w:val="auto"/>
          <w:highlight w:val="none"/>
        </w:rPr>
        <w:t>1</w:t>
      </w:r>
      <w:r>
        <w:rPr>
          <w:rFonts w:hint="eastAsia" w:cs="宋体"/>
          <w:color w:val="auto"/>
          <w:highlight w:val="none"/>
        </w:rPr>
        <w:t>、根据你方项目招标编号为</w:t>
      </w:r>
      <w:r>
        <w:rPr>
          <w:color w:val="auto"/>
          <w:highlight w:val="none"/>
          <w:u w:val="single"/>
        </w:rPr>
        <w:t xml:space="preserve">  </w:t>
      </w:r>
      <w:r>
        <w:rPr>
          <w:rFonts w:hint="eastAsia" w:cs="宋体"/>
          <w:color w:val="auto"/>
          <w:highlight w:val="none"/>
          <w:u w:val="single"/>
        </w:rPr>
        <w:t>（项目招标编号）</w:t>
      </w:r>
      <w:r>
        <w:rPr>
          <w:color w:val="auto"/>
          <w:highlight w:val="none"/>
          <w:u w:val="single"/>
        </w:rPr>
        <w:t xml:space="preserve">  </w:t>
      </w:r>
      <w:r>
        <w:rPr>
          <w:rFonts w:hint="eastAsia" w:cs="宋体"/>
          <w:color w:val="auto"/>
          <w:highlight w:val="none"/>
        </w:rPr>
        <w:t>的</w:t>
      </w:r>
      <w:r>
        <w:rPr>
          <w:color w:val="auto"/>
          <w:highlight w:val="none"/>
          <w:u w:val="single"/>
        </w:rPr>
        <w:t xml:space="preserve">  </w:t>
      </w:r>
      <w:r>
        <w:rPr>
          <w:rFonts w:hint="eastAsia" w:cs="宋体"/>
          <w:color w:val="auto"/>
          <w:highlight w:val="none"/>
          <w:u w:val="single"/>
        </w:rPr>
        <w:t>（工程项目名称）</w:t>
      </w:r>
      <w:r>
        <w:rPr>
          <w:color w:val="auto"/>
          <w:highlight w:val="none"/>
          <w:u w:val="single"/>
        </w:rPr>
        <w:t xml:space="preserve">  </w:t>
      </w:r>
      <w:r>
        <w:rPr>
          <w:rFonts w:hint="eastAsia" w:cs="宋体"/>
          <w:color w:val="auto"/>
          <w:highlight w:val="none"/>
        </w:rPr>
        <w:t>工程招标文件，遵照《中华人民共和国招标投标法》等有关规定，经踏勘项目现场和研究上述招标文件的投标须知、合同条款、图纸、工程建设标准和工程量清单及其他有关文件后，我方愿以人民币（大写）</w:t>
      </w:r>
      <w:r>
        <w:rPr>
          <w:color w:val="auto"/>
          <w:highlight w:val="none"/>
          <w:u w:val="single"/>
        </w:rPr>
        <w:t xml:space="preserve">      </w:t>
      </w:r>
      <w:r>
        <w:rPr>
          <w:rFonts w:hint="eastAsia" w:cs="宋体"/>
          <w:color w:val="auto"/>
          <w:highlight w:val="none"/>
        </w:rPr>
        <w:t>（</w:t>
      </w:r>
      <w:r>
        <w:rPr>
          <w:color w:val="auto"/>
          <w:highlight w:val="none"/>
        </w:rPr>
        <w:t>RMB</w:t>
      </w:r>
      <w:r>
        <w:rPr>
          <w:rFonts w:hint="eastAsia" w:cs="宋体"/>
          <w:color w:val="auto"/>
          <w:highlight w:val="none"/>
          <w:u w:val="single"/>
        </w:rPr>
        <w:t>￥</w:t>
      </w:r>
      <w:r>
        <w:rPr>
          <w:color w:val="auto"/>
          <w:highlight w:val="none"/>
          <w:u w:val="single"/>
        </w:rPr>
        <w:t xml:space="preserve">      </w:t>
      </w:r>
      <w:r>
        <w:rPr>
          <w:rFonts w:hint="eastAsia" w:cs="宋体"/>
          <w:color w:val="auto"/>
          <w:highlight w:val="none"/>
        </w:rPr>
        <w:t>元）的投标总价并按上述图纸、合同条款、工程建设标准和工程量清单（如有时）的条件要求承包上述工程的施工、竣工，并承担任何质量缺陷保修责任。我方保证工程质量达到</w:t>
      </w:r>
      <w:r>
        <w:rPr>
          <w:color w:val="auto"/>
          <w:highlight w:val="none"/>
          <w:u w:val="single"/>
        </w:rPr>
        <w:t xml:space="preserve">       </w:t>
      </w:r>
      <w:r>
        <w:rPr>
          <w:rFonts w:hint="eastAsia" w:cs="宋体"/>
          <w:color w:val="auto"/>
          <w:highlight w:val="none"/>
        </w:rPr>
        <w:t>等级。</w:t>
      </w:r>
    </w:p>
    <w:p>
      <w:pPr>
        <w:tabs>
          <w:tab w:val="left" w:pos="7560"/>
        </w:tabs>
        <w:spacing w:line="460" w:lineRule="exact"/>
        <w:ind w:firstLine="420" w:firstLineChars="200"/>
        <w:rPr>
          <w:color w:val="auto"/>
          <w:highlight w:val="none"/>
        </w:rPr>
      </w:pPr>
      <w:r>
        <w:rPr>
          <w:color w:val="auto"/>
          <w:highlight w:val="none"/>
        </w:rPr>
        <w:t>2</w:t>
      </w:r>
      <w:r>
        <w:rPr>
          <w:rFonts w:hint="eastAsia" w:cs="宋体"/>
          <w:color w:val="auto"/>
          <w:highlight w:val="none"/>
        </w:rPr>
        <w:t>、我方已详细审核全部招标文件，包括修改文件（如有时）及有关附件。</w:t>
      </w:r>
    </w:p>
    <w:p>
      <w:pPr>
        <w:tabs>
          <w:tab w:val="left" w:pos="7560"/>
        </w:tabs>
        <w:spacing w:line="460" w:lineRule="exact"/>
        <w:ind w:firstLine="420" w:firstLineChars="200"/>
        <w:rPr>
          <w:color w:val="auto"/>
          <w:highlight w:val="none"/>
        </w:rPr>
      </w:pPr>
      <w:r>
        <w:rPr>
          <w:color w:val="auto"/>
          <w:highlight w:val="none"/>
        </w:rPr>
        <w:t>3</w:t>
      </w:r>
      <w:r>
        <w:rPr>
          <w:rFonts w:hint="eastAsia" w:cs="宋体"/>
          <w:color w:val="auto"/>
          <w:highlight w:val="none"/>
        </w:rPr>
        <w:t>、我方承认投标函附录是我方投标函的组成部分。</w:t>
      </w:r>
    </w:p>
    <w:p>
      <w:pPr>
        <w:tabs>
          <w:tab w:val="left" w:pos="7560"/>
        </w:tabs>
        <w:spacing w:line="460" w:lineRule="exact"/>
        <w:ind w:firstLine="420" w:firstLineChars="200"/>
        <w:rPr>
          <w:color w:val="auto"/>
          <w:highlight w:val="none"/>
        </w:rPr>
      </w:pPr>
      <w:r>
        <w:rPr>
          <w:color w:val="auto"/>
          <w:highlight w:val="none"/>
        </w:rPr>
        <w:t>4</w:t>
      </w:r>
      <w:r>
        <w:rPr>
          <w:rFonts w:hint="eastAsia" w:cs="宋体"/>
          <w:color w:val="auto"/>
          <w:highlight w:val="none"/>
        </w:rPr>
        <w:t>、一旦我方中标，我方保证按合同书中规定的工期</w:t>
      </w:r>
      <w:r>
        <w:rPr>
          <w:color w:val="auto"/>
          <w:highlight w:val="none"/>
          <w:u w:val="single"/>
        </w:rPr>
        <w:t xml:space="preserve">        </w:t>
      </w:r>
      <w:r>
        <w:rPr>
          <w:rFonts w:hint="eastAsia" w:cs="宋体"/>
          <w:color w:val="auto"/>
          <w:highlight w:val="none"/>
        </w:rPr>
        <w:t>日历天内完成并移交全部工程。</w:t>
      </w:r>
    </w:p>
    <w:p>
      <w:pPr>
        <w:tabs>
          <w:tab w:val="left" w:pos="7560"/>
        </w:tabs>
        <w:spacing w:line="460" w:lineRule="exact"/>
        <w:ind w:firstLine="420" w:firstLineChars="200"/>
        <w:rPr>
          <w:color w:val="auto"/>
          <w:highlight w:val="none"/>
        </w:rPr>
      </w:pPr>
      <w:r>
        <w:rPr>
          <w:color w:val="auto"/>
          <w:highlight w:val="none"/>
        </w:rPr>
        <w:t>5</w:t>
      </w:r>
      <w:r>
        <w:rPr>
          <w:rFonts w:hint="eastAsia" w:cs="宋体"/>
          <w:color w:val="auto"/>
          <w:highlight w:val="none"/>
        </w:rPr>
        <w:t>、如果我方中标，我方将按照文件规定提交履约保证金作为履约担保。</w:t>
      </w:r>
    </w:p>
    <w:p>
      <w:pPr>
        <w:tabs>
          <w:tab w:val="left" w:pos="7560"/>
        </w:tabs>
        <w:spacing w:line="460" w:lineRule="exact"/>
        <w:ind w:firstLine="420" w:firstLineChars="200"/>
        <w:rPr>
          <w:color w:val="auto"/>
          <w:highlight w:val="none"/>
        </w:rPr>
      </w:pPr>
      <w:r>
        <w:rPr>
          <w:color w:val="auto"/>
          <w:highlight w:val="none"/>
        </w:rPr>
        <w:t>6</w:t>
      </w:r>
      <w:r>
        <w:rPr>
          <w:rFonts w:hint="eastAsia" w:cs="宋体"/>
          <w:color w:val="auto"/>
          <w:highlight w:val="none"/>
        </w:rPr>
        <w:t>、我方同意所提交的投标文件在招标文件的“投标人须知”中第</w:t>
      </w:r>
      <w:r>
        <w:rPr>
          <w:color w:val="auto"/>
          <w:highlight w:val="none"/>
        </w:rPr>
        <w:t>3.3.1</w:t>
      </w:r>
      <w:r>
        <w:rPr>
          <w:rFonts w:hint="eastAsia" w:cs="宋体"/>
          <w:color w:val="auto"/>
          <w:highlight w:val="none"/>
        </w:rPr>
        <w:t>条规定的投标有效期内有效，在此期间内如果中标，我方将受此约束。</w:t>
      </w:r>
    </w:p>
    <w:p>
      <w:pPr>
        <w:tabs>
          <w:tab w:val="left" w:pos="7560"/>
        </w:tabs>
        <w:spacing w:line="460" w:lineRule="exact"/>
        <w:ind w:firstLine="420" w:firstLineChars="200"/>
        <w:rPr>
          <w:rFonts w:cs="宋体"/>
          <w:color w:val="auto"/>
          <w:highlight w:val="none"/>
        </w:rPr>
      </w:pPr>
      <w:r>
        <w:rPr>
          <w:color w:val="auto"/>
          <w:highlight w:val="none"/>
        </w:rPr>
        <w:t>7</w:t>
      </w:r>
      <w:r>
        <w:rPr>
          <w:rFonts w:hint="eastAsia" w:cs="宋体"/>
          <w:color w:val="auto"/>
          <w:highlight w:val="none"/>
        </w:rPr>
        <w:t>、除非另外达成协议并生效，你方的中标通知书和本投标文件将成为约束双方的合同文件的组成部分。</w:t>
      </w:r>
    </w:p>
    <w:p>
      <w:pPr>
        <w:tabs>
          <w:tab w:val="left" w:pos="7560"/>
        </w:tabs>
        <w:spacing w:line="460" w:lineRule="exact"/>
        <w:ind w:firstLine="420" w:firstLineChars="200"/>
        <w:rPr>
          <w:rFonts w:hint="eastAsia"/>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ind w:left="1000"/>
        <w:rPr>
          <w:color w:val="auto"/>
          <w:highlight w:val="none"/>
          <w:u w:val="single"/>
        </w:rPr>
      </w:pPr>
      <w:r>
        <w:rPr>
          <w:color w:val="auto"/>
          <w:highlight w:val="none"/>
        </w:rPr>
        <w:t xml:space="preserve">         </w:t>
      </w:r>
      <w:r>
        <w:rPr>
          <w:rFonts w:hint="eastAsia" w:cs="宋体"/>
          <w:color w:val="auto"/>
          <w:highlight w:val="none"/>
        </w:rPr>
        <w:t>投</w:t>
      </w:r>
      <w:r>
        <w:rPr>
          <w:color w:val="auto"/>
          <w:highlight w:val="none"/>
        </w:rPr>
        <w:t xml:space="preserve"> </w:t>
      </w:r>
      <w:r>
        <w:rPr>
          <w:rFonts w:hint="eastAsia" w:cs="宋体"/>
          <w:color w:val="auto"/>
          <w:highlight w:val="none"/>
        </w:rPr>
        <w:t>标</w:t>
      </w:r>
      <w:r>
        <w:rPr>
          <w:color w:val="auto"/>
          <w:highlight w:val="none"/>
        </w:rPr>
        <w:t xml:space="preserve"> </w:t>
      </w:r>
      <w:r>
        <w:rPr>
          <w:rFonts w:hint="eastAsia" w:cs="宋体"/>
          <w:color w:val="auto"/>
          <w:highlight w:val="none"/>
        </w:rPr>
        <w:t>人：</w:t>
      </w:r>
      <w:r>
        <w:rPr>
          <w:color w:val="auto"/>
          <w:highlight w:val="none"/>
          <w:u w:val="single"/>
        </w:rPr>
        <w:t xml:space="preserve">                                        </w:t>
      </w:r>
      <w:r>
        <w:rPr>
          <w:rFonts w:hint="eastAsia" w:cs="宋体"/>
          <w:color w:val="auto"/>
          <w:highlight w:val="none"/>
          <w:u w:val="single"/>
        </w:rPr>
        <w:t>（盖单位章）</w:t>
      </w:r>
    </w:p>
    <w:p>
      <w:pPr>
        <w:spacing w:line="360" w:lineRule="auto"/>
        <w:ind w:left="1000"/>
        <w:rPr>
          <w:color w:val="auto"/>
          <w:highlight w:val="none"/>
          <w:u w:val="single"/>
        </w:rPr>
      </w:pPr>
      <w:r>
        <w:rPr>
          <w:color w:val="auto"/>
          <w:highlight w:val="none"/>
        </w:rPr>
        <w:t xml:space="preserve">         </w:t>
      </w:r>
      <w:r>
        <w:rPr>
          <w:rFonts w:hint="eastAsia" w:cs="宋体"/>
          <w:color w:val="auto"/>
          <w:highlight w:val="none"/>
        </w:rPr>
        <w:t>单位地址：</w:t>
      </w:r>
      <w:r>
        <w:rPr>
          <w:color w:val="auto"/>
          <w:highlight w:val="none"/>
          <w:u w:val="single"/>
        </w:rPr>
        <w:t xml:space="preserve">                                        </w:t>
      </w:r>
    </w:p>
    <w:p>
      <w:pPr>
        <w:spacing w:line="360" w:lineRule="auto"/>
        <w:ind w:left="1000"/>
        <w:rPr>
          <w:color w:val="auto"/>
          <w:highlight w:val="none"/>
          <w:u w:val="single"/>
        </w:rPr>
      </w:pPr>
      <w:r>
        <w:rPr>
          <w:color w:val="auto"/>
          <w:highlight w:val="none"/>
        </w:rPr>
        <w:t xml:space="preserve">         </w:t>
      </w:r>
      <w:r>
        <w:rPr>
          <w:rFonts w:hint="eastAsia" w:cs="宋体"/>
          <w:color w:val="auto"/>
          <w:highlight w:val="none"/>
        </w:rPr>
        <w:t>法定代表人：</w:t>
      </w:r>
      <w:r>
        <w:rPr>
          <w:color w:val="auto"/>
          <w:highlight w:val="none"/>
          <w:u w:val="single"/>
        </w:rPr>
        <w:t xml:space="preserve">      </w:t>
      </w:r>
      <w:r>
        <w:rPr>
          <w:rFonts w:hint="eastAsia" w:cs="宋体"/>
          <w:color w:val="auto"/>
          <w:highlight w:val="none"/>
          <w:u w:val="single"/>
        </w:rPr>
        <w:t>（签字或盖章）</w:t>
      </w:r>
    </w:p>
    <w:p>
      <w:pPr>
        <w:spacing w:line="360" w:lineRule="auto"/>
        <w:ind w:left="1000" w:leftChars="476" w:firstLine="945" w:firstLineChars="450"/>
        <w:rPr>
          <w:color w:val="auto"/>
          <w:highlight w:val="none"/>
        </w:rPr>
      </w:pPr>
      <w:r>
        <w:rPr>
          <w:rFonts w:hint="eastAsia" w:cs="宋体"/>
          <w:color w:val="auto"/>
          <w:highlight w:val="none"/>
        </w:rPr>
        <w:t>邮政编码：</w:t>
      </w:r>
      <w:r>
        <w:rPr>
          <w:color w:val="auto"/>
          <w:highlight w:val="none"/>
          <w:u w:val="single"/>
        </w:rPr>
        <w:t xml:space="preserve">          </w:t>
      </w:r>
      <w:r>
        <w:rPr>
          <w:rFonts w:hint="eastAsia" w:cs="宋体"/>
          <w:color w:val="auto"/>
          <w:highlight w:val="none"/>
        </w:rPr>
        <w:t>电话：</w:t>
      </w:r>
      <w:r>
        <w:rPr>
          <w:color w:val="auto"/>
          <w:highlight w:val="none"/>
          <w:u w:val="single"/>
        </w:rPr>
        <w:t xml:space="preserve">         </w:t>
      </w:r>
      <w:r>
        <w:rPr>
          <w:color w:val="auto"/>
          <w:highlight w:val="none"/>
        </w:rPr>
        <w:t xml:space="preserve"> </w:t>
      </w:r>
      <w:r>
        <w:rPr>
          <w:rFonts w:hint="eastAsia" w:cs="宋体"/>
          <w:color w:val="auto"/>
          <w:highlight w:val="none"/>
        </w:rPr>
        <w:t>传真：</w:t>
      </w:r>
      <w:r>
        <w:rPr>
          <w:color w:val="auto"/>
          <w:highlight w:val="none"/>
          <w:u w:val="single"/>
        </w:rPr>
        <w:t xml:space="preserve">          </w:t>
      </w:r>
    </w:p>
    <w:p>
      <w:pPr>
        <w:spacing w:line="360" w:lineRule="auto"/>
        <w:ind w:left="1000"/>
        <w:rPr>
          <w:color w:val="auto"/>
          <w:highlight w:val="none"/>
        </w:rPr>
      </w:pPr>
      <w:r>
        <w:rPr>
          <w:color w:val="auto"/>
          <w:highlight w:val="none"/>
        </w:rPr>
        <w:t xml:space="preserve">         </w:t>
      </w:r>
      <w:r>
        <w:rPr>
          <w:rFonts w:hint="eastAsia" w:cs="宋体"/>
          <w:color w:val="auto"/>
          <w:highlight w:val="none"/>
        </w:rPr>
        <w:t>开户银行名称：</w:t>
      </w:r>
      <w:r>
        <w:rPr>
          <w:color w:val="auto"/>
          <w:highlight w:val="none"/>
          <w:u w:val="single"/>
        </w:rPr>
        <w:t xml:space="preserve">                                    </w:t>
      </w:r>
    </w:p>
    <w:p>
      <w:pPr>
        <w:spacing w:line="360" w:lineRule="auto"/>
        <w:ind w:left="1000"/>
        <w:rPr>
          <w:color w:val="auto"/>
          <w:highlight w:val="none"/>
        </w:rPr>
      </w:pPr>
      <w:r>
        <w:rPr>
          <w:color w:val="auto"/>
          <w:highlight w:val="none"/>
        </w:rPr>
        <w:t xml:space="preserve">         </w:t>
      </w:r>
      <w:r>
        <w:rPr>
          <w:rFonts w:hint="eastAsia" w:cs="宋体"/>
          <w:color w:val="auto"/>
          <w:highlight w:val="none"/>
        </w:rPr>
        <w:t>开户银行账号：</w:t>
      </w:r>
      <w:r>
        <w:rPr>
          <w:color w:val="auto"/>
          <w:highlight w:val="none"/>
          <w:u w:val="single"/>
        </w:rPr>
        <w:t xml:space="preserve">                                    </w:t>
      </w:r>
    </w:p>
    <w:p>
      <w:pPr>
        <w:spacing w:line="360" w:lineRule="auto"/>
        <w:ind w:left="1000"/>
        <w:rPr>
          <w:color w:val="auto"/>
          <w:highlight w:val="none"/>
        </w:rPr>
      </w:pPr>
      <w:r>
        <w:rPr>
          <w:color w:val="auto"/>
          <w:highlight w:val="none"/>
        </w:rPr>
        <w:t xml:space="preserve">         </w:t>
      </w:r>
      <w:r>
        <w:rPr>
          <w:rFonts w:hint="eastAsia" w:cs="宋体"/>
          <w:color w:val="auto"/>
          <w:highlight w:val="none"/>
        </w:rPr>
        <w:t>开户银行地址：</w:t>
      </w:r>
      <w:r>
        <w:rPr>
          <w:color w:val="auto"/>
          <w:highlight w:val="none"/>
          <w:u w:val="single"/>
        </w:rPr>
        <w:t xml:space="preserve">                                    </w:t>
      </w:r>
    </w:p>
    <w:p>
      <w:pPr>
        <w:spacing w:line="360" w:lineRule="auto"/>
        <w:ind w:left="1000"/>
        <w:rPr>
          <w:color w:val="auto"/>
          <w:highlight w:val="none"/>
        </w:rPr>
      </w:pPr>
      <w:r>
        <w:rPr>
          <w:color w:val="auto"/>
          <w:highlight w:val="none"/>
        </w:rPr>
        <w:t xml:space="preserve">         </w:t>
      </w:r>
      <w:r>
        <w:rPr>
          <w:rFonts w:hint="eastAsia" w:cs="宋体"/>
          <w:color w:val="auto"/>
          <w:highlight w:val="none"/>
        </w:rPr>
        <w:t>开户银行电话：</w:t>
      </w:r>
      <w:r>
        <w:rPr>
          <w:color w:val="auto"/>
          <w:highlight w:val="none"/>
          <w:u w:val="single"/>
        </w:rPr>
        <w:t xml:space="preserve">                                    </w:t>
      </w:r>
    </w:p>
    <w:p>
      <w:pPr>
        <w:spacing w:line="360" w:lineRule="auto"/>
        <w:ind w:right="420" w:firstLine="1974" w:firstLineChars="940"/>
        <w:rPr>
          <w:color w:val="auto"/>
          <w:highlight w:val="none"/>
        </w:rPr>
      </w:pPr>
      <w:r>
        <w:rPr>
          <w:rFonts w:hint="eastAsia" w:cs="宋体"/>
          <w:color w:val="auto"/>
          <w:highlight w:val="none"/>
        </w:rPr>
        <w:t>日期：</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pPr>
        <w:spacing w:before="240" w:beforeLines="100" w:after="120" w:afterLines="50" w:line="510" w:lineRule="exact"/>
        <w:rPr>
          <w:color w:val="auto"/>
          <w:highlight w:val="none"/>
        </w:rPr>
      </w:pPr>
    </w:p>
    <w:p>
      <w:pPr>
        <w:spacing w:before="240" w:beforeLines="100" w:after="120" w:afterLines="50" w:line="510" w:lineRule="exact"/>
        <w:rPr>
          <w:color w:val="auto"/>
          <w:highlight w:val="none"/>
        </w:rPr>
        <w:sectPr>
          <w:pgSz w:w="11907" w:h="16840"/>
          <w:pgMar w:top="1440" w:right="1440" w:bottom="1440" w:left="1797" w:header="851" w:footer="851" w:gutter="0"/>
          <w:cols w:space="720" w:num="1"/>
          <w:docGrid w:linePitch="312" w:charSpace="0"/>
        </w:sectPr>
      </w:pPr>
    </w:p>
    <w:p>
      <w:pPr>
        <w:pStyle w:val="25"/>
        <w:jc w:val="center"/>
        <w:outlineLvl w:val="0"/>
        <w:rPr>
          <w:b/>
          <w:bCs/>
          <w:color w:val="auto"/>
          <w:highlight w:val="none"/>
        </w:rPr>
      </w:pPr>
      <w:bookmarkStart w:id="458" w:name="_Toc389065357"/>
      <w:r>
        <w:rPr>
          <w:rFonts w:hint="eastAsia" w:cs="宋体"/>
          <w:b/>
          <w:bCs/>
          <w:color w:val="auto"/>
          <w:highlight w:val="none"/>
        </w:rPr>
        <w:t>二、投标函附录</w:t>
      </w:r>
      <w:bookmarkEnd w:id="458"/>
    </w:p>
    <w:p>
      <w:pPr>
        <w:pStyle w:val="25"/>
        <w:jc w:val="center"/>
        <w:rPr>
          <w:color w:val="auto"/>
          <w:sz w:val="28"/>
          <w:szCs w:val="28"/>
          <w:highlight w:val="none"/>
        </w:rPr>
      </w:pPr>
    </w:p>
    <w:p>
      <w:pPr>
        <w:ind w:firstLine="514" w:firstLineChars="245"/>
        <w:rPr>
          <w:color w:val="auto"/>
          <w:highlight w:val="none"/>
        </w:rPr>
      </w:pPr>
      <w:r>
        <w:rPr>
          <w:rFonts w:hint="eastAsia" w:cs="宋体"/>
          <w:color w:val="auto"/>
          <w:highlight w:val="none"/>
        </w:rPr>
        <w:t>项目名称：</w:t>
      </w:r>
      <w:r>
        <w:rPr>
          <w:color w:val="auto"/>
          <w:highlight w:val="none"/>
          <w:u w:val="single"/>
        </w:rPr>
        <w:t xml:space="preserve">                                               </w:t>
      </w:r>
      <w:r>
        <w:rPr>
          <w:rFonts w:hint="eastAsia" w:cs="宋体"/>
          <w:color w:val="auto"/>
          <w:highlight w:val="none"/>
          <w:u w:val="single"/>
        </w:rPr>
        <w:t>项目招标编号：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highlight w:val="none"/>
              </w:rPr>
            </w:pPr>
            <w:r>
              <w:rPr>
                <w:rFonts w:hint="eastAsia" w:cs="宋体"/>
                <w:color w:val="auto"/>
                <w:highlight w:val="none"/>
              </w:rPr>
              <w:t>序</w:t>
            </w:r>
            <w:r>
              <w:rPr>
                <w:color w:val="auto"/>
                <w:highlight w:val="none"/>
              </w:rPr>
              <w:t xml:space="preserve"> </w:t>
            </w:r>
            <w:r>
              <w:rPr>
                <w:rFonts w:hint="eastAsia" w:cs="宋体"/>
                <w:color w:val="auto"/>
                <w:highlight w:val="none"/>
              </w:rPr>
              <w:t>号</w:t>
            </w:r>
          </w:p>
        </w:tc>
        <w:tc>
          <w:tcPr>
            <w:tcW w:w="1985" w:type="dxa"/>
            <w:noWrap w:val="0"/>
            <w:vAlign w:val="center"/>
          </w:tcPr>
          <w:p>
            <w:pPr>
              <w:jc w:val="center"/>
              <w:rPr>
                <w:color w:val="auto"/>
                <w:highlight w:val="none"/>
              </w:rPr>
            </w:pPr>
            <w:r>
              <w:rPr>
                <w:rFonts w:hint="eastAsia" w:cs="宋体"/>
                <w:color w:val="auto"/>
                <w:highlight w:val="none"/>
              </w:rPr>
              <w:t>条款内容</w:t>
            </w:r>
          </w:p>
        </w:tc>
        <w:tc>
          <w:tcPr>
            <w:tcW w:w="2126" w:type="dxa"/>
            <w:noWrap w:val="0"/>
            <w:vAlign w:val="center"/>
          </w:tcPr>
          <w:p>
            <w:pPr>
              <w:jc w:val="center"/>
              <w:rPr>
                <w:color w:val="auto"/>
                <w:highlight w:val="none"/>
              </w:rPr>
            </w:pPr>
            <w:r>
              <w:rPr>
                <w:rFonts w:hint="eastAsia" w:cs="宋体"/>
                <w:color w:val="auto"/>
                <w:highlight w:val="none"/>
              </w:rPr>
              <w:t>合同条款号</w:t>
            </w:r>
          </w:p>
        </w:tc>
        <w:tc>
          <w:tcPr>
            <w:tcW w:w="1984" w:type="dxa"/>
            <w:noWrap w:val="0"/>
            <w:vAlign w:val="center"/>
          </w:tcPr>
          <w:p>
            <w:pPr>
              <w:jc w:val="center"/>
              <w:rPr>
                <w:color w:val="auto"/>
                <w:highlight w:val="none"/>
              </w:rPr>
            </w:pPr>
            <w:r>
              <w:rPr>
                <w:rFonts w:hint="eastAsia" w:cs="宋体"/>
                <w:color w:val="auto"/>
                <w:highlight w:val="none"/>
              </w:rPr>
              <w:t>约定内容</w:t>
            </w:r>
          </w:p>
        </w:tc>
        <w:tc>
          <w:tcPr>
            <w:tcW w:w="1843" w:type="dxa"/>
            <w:noWrap w:val="0"/>
            <w:vAlign w:val="center"/>
          </w:tcPr>
          <w:p>
            <w:pPr>
              <w:jc w:val="center"/>
              <w:rPr>
                <w:color w:val="auto"/>
                <w:highlight w:val="none"/>
              </w:rPr>
            </w:pPr>
            <w:r>
              <w:rPr>
                <w:rFonts w:hint="eastAsia" w:cs="宋体"/>
                <w:color w:val="auto"/>
                <w:highlight w:val="none"/>
              </w:rPr>
              <w:t>投标人响应情况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highlight w:val="none"/>
              </w:rPr>
            </w:pPr>
            <w:r>
              <w:rPr>
                <w:color w:val="auto"/>
                <w:highlight w:val="none"/>
              </w:rPr>
              <w:t>1</w:t>
            </w:r>
          </w:p>
        </w:tc>
        <w:tc>
          <w:tcPr>
            <w:tcW w:w="1985" w:type="dxa"/>
            <w:noWrap w:val="0"/>
            <w:vAlign w:val="center"/>
          </w:tcPr>
          <w:p>
            <w:pPr>
              <w:rPr>
                <w:color w:val="auto"/>
                <w:highlight w:val="none"/>
              </w:rPr>
            </w:pPr>
            <w:r>
              <w:rPr>
                <w:rFonts w:hint="eastAsia" w:cs="宋体"/>
                <w:color w:val="auto"/>
                <w:highlight w:val="none"/>
              </w:rPr>
              <w:t>项目经理</w:t>
            </w:r>
          </w:p>
        </w:tc>
        <w:tc>
          <w:tcPr>
            <w:tcW w:w="2126" w:type="dxa"/>
            <w:noWrap w:val="0"/>
            <w:tcMar>
              <w:left w:w="170" w:type="dxa"/>
            </w:tcMar>
            <w:vAlign w:val="center"/>
          </w:tcPr>
          <w:p>
            <w:pPr>
              <w:jc w:val="center"/>
              <w:rPr>
                <w:color w:val="auto"/>
                <w:highlight w:val="none"/>
              </w:rPr>
            </w:pPr>
            <w:r>
              <w:rPr>
                <w:rFonts w:hint="eastAsia" w:cs="宋体"/>
                <w:color w:val="auto"/>
                <w:highlight w:val="none"/>
              </w:rPr>
              <w:t>专用条款</w:t>
            </w:r>
          </w:p>
        </w:tc>
        <w:tc>
          <w:tcPr>
            <w:tcW w:w="1984" w:type="dxa"/>
            <w:noWrap w:val="0"/>
            <w:vAlign w:val="center"/>
          </w:tcPr>
          <w:p>
            <w:pPr>
              <w:rPr>
                <w:color w:val="auto"/>
                <w:highlight w:val="none"/>
              </w:rPr>
            </w:pPr>
            <w:r>
              <w:rPr>
                <w:rFonts w:hint="eastAsia" w:cs="宋体"/>
                <w:color w:val="auto"/>
                <w:highlight w:val="none"/>
              </w:rPr>
              <w:t>姓名：</w:t>
            </w:r>
            <w:r>
              <w:rPr>
                <w:color w:val="auto"/>
                <w:highlight w:val="none"/>
                <w:u w:val="single"/>
              </w:rPr>
              <w:t xml:space="preserve">          </w:t>
            </w:r>
          </w:p>
        </w:tc>
        <w:tc>
          <w:tcPr>
            <w:tcW w:w="1843"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highlight w:val="none"/>
              </w:rPr>
            </w:pPr>
            <w:r>
              <w:rPr>
                <w:color w:val="auto"/>
                <w:highlight w:val="none"/>
              </w:rPr>
              <w:t>2</w:t>
            </w:r>
          </w:p>
        </w:tc>
        <w:tc>
          <w:tcPr>
            <w:tcW w:w="1985" w:type="dxa"/>
            <w:noWrap w:val="0"/>
            <w:vAlign w:val="center"/>
          </w:tcPr>
          <w:p>
            <w:pPr>
              <w:rPr>
                <w:color w:val="auto"/>
                <w:highlight w:val="none"/>
              </w:rPr>
            </w:pPr>
            <w:r>
              <w:rPr>
                <w:rFonts w:hint="eastAsia" w:cs="宋体"/>
                <w:color w:val="auto"/>
                <w:highlight w:val="none"/>
              </w:rPr>
              <w:t>投标有效期</w:t>
            </w:r>
          </w:p>
        </w:tc>
        <w:tc>
          <w:tcPr>
            <w:tcW w:w="2126" w:type="dxa"/>
            <w:noWrap w:val="0"/>
            <w:tcMar>
              <w:left w:w="170" w:type="dxa"/>
            </w:tcMar>
            <w:vAlign w:val="center"/>
          </w:tcPr>
          <w:p>
            <w:pPr>
              <w:rPr>
                <w:color w:val="auto"/>
                <w:highlight w:val="none"/>
              </w:rPr>
            </w:pPr>
          </w:p>
        </w:tc>
        <w:tc>
          <w:tcPr>
            <w:tcW w:w="1984" w:type="dxa"/>
            <w:noWrap w:val="0"/>
            <w:vAlign w:val="center"/>
          </w:tcPr>
          <w:p>
            <w:pPr>
              <w:jc w:val="center"/>
              <w:rPr>
                <w:color w:val="auto"/>
                <w:highlight w:val="none"/>
                <w:u w:val="single"/>
              </w:rPr>
            </w:pPr>
            <w:r>
              <w:rPr>
                <w:color w:val="auto"/>
                <w:highlight w:val="none"/>
                <w:u w:val="single"/>
              </w:rPr>
              <w:t xml:space="preserve">          </w:t>
            </w:r>
            <w:r>
              <w:rPr>
                <w:rFonts w:hint="eastAsia" w:cs="宋体"/>
                <w:color w:val="auto"/>
                <w:highlight w:val="none"/>
              </w:rPr>
              <w:t>日历天</w:t>
            </w:r>
          </w:p>
        </w:tc>
        <w:tc>
          <w:tcPr>
            <w:tcW w:w="1843"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highlight w:val="none"/>
              </w:rPr>
            </w:pPr>
            <w:r>
              <w:rPr>
                <w:color w:val="auto"/>
                <w:highlight w:val="none"/>
              </w:rPr>
              <w:t>3</w:t>
            </w:r>
          </w:p>
        </w:tc>
        <w:tc>
          <w:tcPr>
            <w:tcW w:w="1985" w:type="dxa"/>
            <w:noWrap w:val="0"/>
            <w:vAlign w:val="center"/>
          </w:tcPr>
          <w:p>
            <w:pPr>
              <w:rPr>
                <w:color w:val="auto"/>
                <w:highlight w:val="none"/>
              </w:rPr>
            </w:pPr>
            <w:r>
              <w:rPr>
                <w:rFonts w:hint="eastAsia" w:cs="宋体"/>
                <w:color w:val="auto"/>
                <w:highlight w:val="none"/>
              </w:rPr>
              <w:t>工期</w:t>
            </w:r>
          </w:p>
        </w:tc>
        <w:tc>
          <w:tcPr>
            <w:tcW w:w="2126" w:type="dxa"/>
            <w:noWrap w:val="0"/>
            <w:tcMar>
              <w:left w:w="170" w:type="dxa"/>
            </w:tcMar>
            <w:vAlign w:val="center"/>
          </w:tcPr>
          <w:p>
            <w:pPr>
              <w:jc w:val="center"/>
              <w:rPr>
                <w:color w:val="auto"/>
                <w:highlight w:val="none"/>
              </w:rPr>
            </w:pPr>
            <w:r>
              <w:rPr>
                <w:rFonts w:hint="eastAsia" w:cs="宋体"/>
                <w:color w:val="auto"/>
                <w:highlight w:val="none"/>
              </w:rPr>
              <w:t>专用条款</w:t>
            </w:r>
          </w:p>
        </w:tc>
        <w:tc>
          <w:tcPr>
            <w:tcW w:w="1984" w:type="dxa"/>
            <w:noWrap w:val="0"/>
            <w:vAlign w:val="center"/>
          </w:tcPr>
          <w:p>
            <w:pPr>
              <w:jc w:val="center"/>
              <w:rPr>
                <w:color w:val="auto"/>
                <w:highlight w:val="none"/>
              </w:rPr>
            </w:pPr>
            <w:r>
              <w:rPr>
                <w:color w:val="auto"/>
                <w:highlight w:val="none"/>
                <w:u w:val="single"/>
              </w:rPr>
              <w:t xml:space="preserve">          </w:t>
            </w:r>
            <w:r>
              <w:rPr>
                <w:rFonts w:hint="eastAsia" w:cs="宋体"/>
                <w:color w:val="auto"/>
                <w:highlight w:val="none"/>
              </w:rPr>
              <w:t>日历天</w:t>
            </w:r>
          </w:p>
        </w:tc>
        <w:tc>
          <w:tcPr>
            <w:tcW w:w="1843"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highlight w:val="none"/>
              </w:rPr>
            </w:pPr>
            <w:r>
              <w:rPr>
                <w:color w:val="auto"/>
                <w:highlight w:val="none"/>
              </w:rPr>
              <w:t>4</w:t>
            </w:r>
          </w:p>
        </w:tc>
        <w:tc>
          <w:tcPr>
            <w:tcW w:w="1985" w:type="dxa"/>
            <w:noWrap w:val="0"/>
            <w:vAlign w:val="center"/>
          </w:tcPr>
          <w:p>
            <w:pPr>
              <w:rPr>
                <w:color w:val="auto"/>
                <w:highlight w:val="none"/>
              </w:rPr>
            </w:pPr>
            <w:r>
              <w:rPr>
                <w:rFonts w:hint="eastAsia" w:cs="宋体"/>
                <w:color w:val="auto"/>
                <w:highlight w:val="none"/>
              </w:rPr>
              <w:t>缺陷责任期</w:t>
            </w:r>
          </w:p>
        </w:tc>
        <w:tc>
          <w:tcPr>
            <w:tcW w:w="2126" w:type="dxa"/>
            <w:noWrap w:val="0"/>
            <w:tcMar>
              <w:left w:w="170" w:type="dxa"/>
            </w:tcMar>
            <w:vAlign w:val="center"/>
          </w:tcPr>
          <w:p>
            <w:pPr>
              <w:jc w:val="center"/>
              <w:rPr>
                <w:color w:val="auto"/>
                <w:highlight w:val="none"/>
              </w:rPr>
            </w:pPr>
            <w:r>
              <w:rPr>
                <w:rFonts w:hint="eastAsia" w:cs="宋体"/>
                <w:color w:val="auto"/>
                <w:highlight w:val="none"/>
              </w:rPr>
              <w:t>专用条款</w:t>
            </w:r>
          </w:p>
        </w:tc>
        <w:tc>
          <w:tcPr>
            <w:tcW w:w="1984" w:type="dxa"/>
            <w:noWrap w:val="0"/>
            <w:vAlign w:val="center"/>
          </w:tcPr>
          <w:p>
            <w:pPr>
              <w:jc w:val="center"/>
              <w:rPr>
                <w:color w:val="auto"/>
                <w:highlight w:val="none"/>
              </w:rPr>
            </w:pPr>
          </w:p>
        </w:tc>
        <w:tc>
          <w:tcPr>
            <w:tcW w:w="1843"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highlight w:val="none"/>
              </w:rPr>
            </w:pPr>
            <w:r>
              <w:rPr>
                <w:color w:val="auto"/>
                <w:highlight w:val="none"/>
              </w:rPr>
              <w:t>5</w:t>
            </w:r>
          </w:p>
        </w:tc>
        <w:tc>
          <w:tcPr>
            <w:tcW w:w="1985" w:type="dxa"/>
            <w:noWrap w:val="0"/>
            <w:vAlign w:val="center"/>
          </w:tcPr>
          <w:p>
            <w:pPr>
              <w:rPr>
                <w:color w:val="auto"/>
                <w:highlight w:val="none"/>
              </w:rPr>
            </w:pPr>
            <w:r>
              <w:rPr>
                <w:rFonts w:hint="eastAsia" w:cs="宋体"/>
                <w:color w:val="auto"/>
                <w:highlight w:val="none"/>
              </w:rPr>
              <w:t>发包人支付担保</w:t>
            </w:r>
          </w:p>
        </w:tc>
        <w:tc>
          <w:tcPr>
            <w:tcW w:w="2126" w:type="dxa"/>
            <w:noWrap w:val="0"/>
            <w:tcMar>
              <w:left w:w="170" w:type="dxa"/>
            </w:tcMar>
            <w:vAlign w:val="center"/>
          </w:tcPr>
          <w:p>
            <w:pPr>
              <w:jc w:val="center"/>
              <w:rPr>
                <w:color w:val="auto"/>
                <w:highlight w:val="none"/>
              </w:rPr>
            </w:pPr>
            <w:r>
              <w:rPr>
                <w:rFonts w:hint="eastAsia" w:cs="宋体"/>
                <w:color w:val="auto"/>
                <w:highlight w:val="none"/>
              </w:rPr>
              <w:t>专用条款</w:t>
            </w:r>
          </w:p>
        </w:tc>
        <w:tc>
          <w:tcPr>
            <w:tcW w:w="1984" w:type="dxa"/>
            <w:noWrap w:val="0"/>
            <w:vAlign w:val="center"/>
          </w:tcPr>
          <w:p>
            <w:pPr>
              <w:jc w:val="center"/>
              <w:rPr>
                <w:color w:val="auto"/>
                <w:highlight w:val="none"/>
              </w:rPr>
            </w:pPr>
          </w:p>
        </w:tc>
        <w:tc>
          <w:tcPr>
            <w:tcW w:w="1843"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highlight w:val="none"/>
              </w:rPr>
            </w:pPr>
            <w:r>
              <w:rPr>
                <w:color w:val="auto"/>
                <w:highlight w:val="none"/>
              </w:rPr>
              <w:t>6</w:t>
            </w:r>
          </w:p>
        </w:tc>
        <w:tc>
          <w:tcPr>
            <w:tcW w:w="1985" w:type="dxa"/>
            <w:noWrap w:val="0"/>
            <w:vAlign w:val="center"/>
          </w:tcPr>
          <w:p>
            <w:pPr>
              <w:rPr>
                <w:color w:val="auto"/>
                <w:highlight w:val="none"/>
              </w:rPr>
            </w:pPr>
            <w:r>
              <w:rPr>
                <w:rFonts w:hint="eastAsia" w:cs="宋体"/>
                <w:color w:val="auto"/>
                <w:highlight w:val="none"/>
              </w:rPr>
              <w:t>承包人履约担保金额</w:t>
            </w:r>
          </w:p>
        </w:tc>
        <w:tc>
          <w:tcPr>
            <w:tcW w:w="2126" w:type="dxa"/>
            <w:noWrap w:val="0"/>
            <w:tcMar>
              <w:left w:w="170" w:type="dxa"/>
            </w:tcMar>
            <w:vAlign w:val="center"/>
          </w:tcPr>
          <w:p>
            <w:pPr>
              <w:jc w:val="center"/>
              <w:rPr>
                <w:color w:val="auto"/>
                <w:highlight w:val="none"/>
              </w:rPr>
            </w:pPr>
            <w:r>
              <w:rPr>
                <w:rFonts w:hint="eastAsia" w:cs="宋体"/>
                <w:color w:val="auto"/>
                <w:highlight w:val="none"/>
              </w:rPr>
              <w:t>专用条款</w:t>
            </w:r>
          </w:p>
        </w:tc>
        <w:tc>
          <w:tcPr>
            <w:tcW w:w="1984" w:type="dxa"/>
            <w:noWrap w:val="0"/>
            <w:vAlign w:val="center"/>
          </w:tcPr>
          <w:p>
            <w:pPr>
              <w:jc w:val="center"/>
              <w:rPr>
                <w:color w:val="auto"/>
                <w:highlight w:val="none"/>
              </w:rPr>
            </w:pPr>
          </w:p>
        </w:tc>
        <w:tc>
          <w:tcPr>
            <w:tcW w:w="1843"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highlight w:val="none"/>
              </w:rPr>
            </w:pPr>
            <w:r>
              <w:rPr>
                <w:color w:val="auto"/>
                <w:highlight w:val="none"/>
              </w:rPr>
              <w:t>7</w:t>
            </w:r>
          </w:p>
        </w:tc>
        <w:tc>
          <w:tcPr>
            <w:tcW w:w="1985" w:type="dxa"/>
            <w:noWrap w:val="0"/>
            <w:vAlign w:val="center"/>
          </w:tcPr>
          <w:p>
            <w:pPr>
              <w:rPr>
                <w:color w:val="auto"/>
                <w:highlight w:val="none"/>
              </w:rPr>
            </w:pPr>
            <w:r>
              <w:rPr>
                <w:rFonts w:hint="eastAsia" w:cs="宋体"/>
                <w:color w:val="auto"/>
                <w:highlight w:val="none"/>
              </w:rPr>
              <w:t>分包</w:t>
            </w:r>
          </w:p>
        </w:tc>
        <w:tc>
          <w:tcPr>
            <w:tcW w:w="2126" w:type="dxa"/>
            <w:noWrap w:val="0"/>
            <w:tcMar>
              <w:left w:w="170" w:type="dxa"/>
            </w:tcMar>
            <w:vAlign w:val="center"/>
          </w:tcPr>
          <w:p>
            <w:pPr>
              <w:jc w:val="center"/>
              <w:rPr>
                <w:color w:val="auto"/>
                <w:highlight w:val="none"/>
              </w:rPr>
            </w:pPr>
            <w:r>
              <w:rPr>
                <w:rFonts w:hint="eastAsia" w:cs="宋体"/>
                <w:color w:val="auto"/>
                <w:highlight w:val="none"/>
              </w:rPr>
              <w:t>专用条款</w:t>
            </w:r>
          </w:p>
        </w:tc>
        <w:tc>
          <w:tcPr>
            <w:tcW w:w="1984" w:type="dxa"/>
            <w:noWrap w:val="0"/>
            <w:vAlign w:val="center"/>
          </w:tcPr>
          <w:p>
            <w:pPr>
              <w:jc w:val="center"/>
              <w:rPr>
                <w:color w:val="auto"/>
                <w:highlight w:val="none"/>
              </w:rPr>
            </w:pPr>
            <w:r>
              <w:rPr>
                <w:rFonts w:hint="eastAsia" w:cs="宋体"/>
                <w:color w:val="auto"/>
                <w:highlight w:val="none"/>
              </w:rPr>
              <w:t>见分包项目情况表</w:t>
            </w:r>
          </w:p>
        </w:tc>
        <w:tc>
          <w:tcPr>
            <w:tcW w:w="1843"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highlight w:val="none"/>
              </w:rPr>
            </w:pPr>
            <w:r>
              <w:rPr>
                <w:color w:val="auto"/>
                <w:highlight w:val="none"/>
              </w:rPr>
              <w:t>8</w:t>
            </w:r>
          </w:p>
        </w:tc>
        <w:tc>
          <w:tcPr>
            <w:tcW w:w="1985" w:type="dxa"/>
            <w:noWrap w:val="0"/>
            <w:vAlign w:val="center"/>
          </w:tcPr>
          <w:p>
            <w:pPr>
              <w:rPr>
                <w:color w:val="auto"/>
                <w:highlight w:val="none"/>
              </w:rPr>
            </w:pPr>
            <w:r>
              <w:rPr>
                <w:rFonts w:hint="eastAsia" w:cs="宋体"/>
                <w:color w:val="auto"/>
                <w:highlight w:val="none"/>
              </w:rPr>
              <w:t>逾期竣工违约金</w:t>
            </w:r>
          </w:p>
        </w:tc>
        <w:tc>
          <w:tcPr>
            <w:tcW w:w="2126" w:type="dxa"/>
            <w:noWrap w:val="0"/>
            <w:tcMar>
              <w:left w:w="170" w:type="dxa"/>
            </w:tcMar>
            <w:vAlign w:val="center"/>
          </w:tcPr>
          <w:p>
            <w:pPr>
              <w:jc w:val="center"/>
              <w:rPr>
                <w:color w:val="auto"/>
                <w:highlight w:val="none"/>
              </w:rPr>
            </w:pPr>
            <w:r>
              <w:rPr>
                <w:rFonts w:hint="eastAsia" w:cs="宋体"/>
                <w:color w:val="auto"/>
                <w:highlight w:val="none"/>
              </w:rPr>
              <w:t>专用条款</w:t>
            </w:r>
          </w:p>
        </w:tc>
        <w:tc>
          <w:tcPr>
            <w:tcW w:w="1984" w:type="dxa"/>
            <w:noWrap w:val="0"/>
            <w:vAlign w:val="center"/>
          </w:tcPr>
          <w:p>
            <w:pPr>
              <w:rPr>
                <w:color w:val="auto"/>
                <w:highlight w:val="none"/>
              </w:rPr>
            </w:pPr>
          </w:p>
        </w:tc>
        <w:tc>
          <w:tcPr>
            <w:tcW w:w="1843"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highlight w:val="none"/>
              </w:rPr>
            </w:pPr>
            <w:r>
              <w:rPr>
                <w:color w:val="auto"/>
                <w:highlight w:val="none"/>
              </w:rPr>
              <w:t>9</w:t>
            </w:r>
          </w:p>
        </w:tc>
        <w:tc>
          <w:tcPr>
            <w:tcW w:w="1985" w:type="dxa"/>
            <w:noWrap w:val="0"/>
            <w:vAlign w:val="center"/>
          </w:tcPr>
          <w:p>
            <w:pPr>
              <w:rPr>
                <w:color w:val="auto"/>
                <w:highlight w:val="none"/>
              </w:rPr>
            </w:pPr>
            <w:r>
              <w:rPr>
                <w:rFonts w:hint="eastAsia" w:cs="宋体"/>
                <w:color w:val="auto"/>
                <w:highlight w:val="none"/>
              </w:rPr>
              <w:t>逾期竣工违约金最高限额</w:t>
            </w:r>
          </w:p>
        </w:tc>
        <w:tc>
          <w:tcPr>
            <w:tcW w:w="2126" w:type="dxa"/>
            <w:noWrap w:val="0"/>
            <w:tcMar>
              <w:left w:w="170" w:type="dxa"/>
            </w:tcMar>
            <w:vAlign w:val="center"/>
          </w:tcPr>
          <w:p>
            <w:pPr>
              <w:jc w:val="center"/>
              <w:rPr>
                <w:color w:val="auto"/>
                <w:highlight w:val="none"/>
              </w:rPr>
            </w:pPr>
            <w:r>
              <w:rPr>
                <w:rFonts w:hint="eastAsia" w:cs="宋体"/>
                <w:color w:val="auto"/>
                <w:highlight w:val="none"/>
              </w:rPr>
              <w:t>专用条款</w:t>
            </w:r>
          </w:p>
        </w:tc>
        <w:tc>
          <w:tcPr>
            <w:tcW w:w="1984" w:type="dxa"/>
            <w:noWrap w:val="0"/>
            <w:vAlign w:val="center"/>
          </w:tcPr>
          <w:p>
            <w:pPr>
              <w:rPr>
                <w:color w:val="auto"/>
                <w:highlight w:val="none"/>
              </w:rPr>
            </w:pPr>
          </w:p>
        </w:tc>
        <w:tc>
          <w:tcPr>
            <w:tcW w:w="1843"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highlight w:val="none"/>
              </w:rPr>
            </w:pPr>
            <w:r>
              <w:rPr>
                <w:color w:val="auto"/>
                <w:highlight w:val="none"/>
              </w:rPr>
              <w:t>10</w:t>
            </w:r>
          </w:p>
        </w:tc>
        <w:tc>
          <w:tcPr>
            <w:tcW w:w="1985" w:type="dxa"/>
            <w:noWrap w:val="0"/>
            <w:vAlign w:val="center"/>
          </w:tcPr>
          <w:p>
            <w:pPr>
              <w:rPr>
                <w:color w:val="auto"/>
                <w:highlight w:val="none"/>
              </w:rPr>
            </w:pPr>
            <w:r>
              <w:rPr>
                <w:rFonts w:hint="eastAsia" w:cs="宋体"/>
                <w:color w:val="auto"/>
                <w:highlight w:val="none"/>
              </w:rPr>
              <w:t>质量标准</w:t>
            </w:r>
          </w:p>
        </w:tc>
        <w:tc>
          <w:tcPr>
            <w:tcW w:w="2126" w:type="dxa"/>
            <w:noWrap w:val="0"/>
            <w:tcMar>
              <w:left w:w="170" w:type="dxa"/>
            </w:tcMar>
            <w:vAlign w:val="center"/>
          </w:tcPr>
          <w:p>
            <w:pPr>
              <w:jc w:val="center"/>
              <w:rPr>
                <w:color w:val="auto"/>
                <w:highlight w:val="none"/>
              </w:rPr>
            </w:pPr>
            <w:r>
              <w:rPr>
                <w:rFonts w:hint="eastAsia" w:cs="宋体"/>
                <w:color w:val="auto"/>
                <w:highlight w:val="none"/>
              </w:rPr>
              <w:t>专用条款</w:t>
            </w:r>
          </w:p>
        </w:tc>
        <w:tc>
          <w:tcPr>
            <w:tcW w:w="1984" w:type="dxa"/>
            <w:noWrap w:val="0"/>
            <w:vAlign w:val="center"/>
          </w:tcPr>
          <w:p>
            <w:pPr>
              <w:jc w:val="center"/>
              <w:rPr>
                <w:color w:val="auto"/>
                <w:highlight w:val="none"/>
              </w:rPr>
            </w:pPr>
          </w:p>
        </w:tc>
        <w:tc>
          <w:tcPr>
            <w:tcW w:w="1843"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highlight w:val="none"/>
              </w:rPr>
            </w:pPr>
            <w:r>
              <w:rPr>
                <w:color w:val="auto"/>
                <w:highlight w:val="none"/>
              </w:rPr>
              <w:t>11</w:t>
            </w:r>
          </w:p>
        </w:tc>
        <w:tc>
          <w:tcPr>
            <w:tcW w:w="1985" w:type="dxa"/>
            <w:noWrap w:val="0"/>
            <w:vAlign w:val="center"/>
          </w:tcPr>
          <w:p>
            <w:pPr>
              <w:rPr>
                <w:color w:val="auto"/>
                <w:highlight w:val="none"/>
              </w:rPr>
            </w:pPr>
            <w:r>
              <w:rPr>
                <w:rFonts w:hint="eastAsia" w:cs="宋体"/>
                <w:color w:val="auto"/>
                <w:highlight w:val="none"/>
              </w:rPr>
              <w:t>预付款额度</w:t>
            </w:r>
          </w:p>
        </w:tc>
        <w:tc>
          <w:tcPr>
            <w:tcW w:w="2126" w:type="dxa"/>
            <w:noWrap w:val="0"/>
            <w:tcMar>
              <w:left w:w="170" w:type="dxa"/>
            </w:tcMar>
            <w:vAlign w:val="center"/>
          </w:tcPr>
          <w:p>
            <w:pPr>
              <w:jc w:val="center"/>
              <w:rPr>
                <w:color w:val="auto"/>
                <w:highlight w:val="none"/>
              </w:rPr>
            </w:pPr>
            <w:r>
              <w:rPr>
                <w:rFonts w:hint="eastAsia" w:cs="宋体"/>
                <w:color w:val="auto"/>
                <w:highlight w:val="none"/>
              </w:rPr>
              <w:t>专用条款</w:t>
            </w:r>
          </w:p>
        </w:tc>
        <w:tc>
          <w:tcPr>
            <w:tcW w:w="1984" w:type="dxa"/>
            <w:noWrap w:val="0"/>
            <w:vAlign w:val="center"/>
          </w:tcPr>
          <w:p>
            <w:pPr>
              <w:jc w:val="center"/>
              <w:rPr>
                <w:color w:val="auto"/>
                <w:highlight w:val="none"/>
              </w:rPr>
            </w:pPr>
          </w:p>
        </w:tc>
        <w:tc>
          <w:tcPr>
            <w:tcW w:w="1843"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highlight w:val="none"/>
              </w:rPr>
            </w:pPr>
            <w:r>
              <w:rPr>
                <w:color w:val="auto"/>
                <w:highlight w:val="none"/>
              </w:rPr>
              <w:t>12</w:t>
            </w:r>
          </w:p>
        </w:tc>
        <w:tc>
          <w:tcPr>
            <w:tcW w:w="1985" w:type="dxa"/>
            <w:noWrap w:val="0"/>
            <w:vAlign w:val="center"/>
          </w:tcPr>
          <w:p>
            <w:pPr>
              <w:rPr>
                <w:color w:val="auto"/>
                <w:highlight w:val="none"/>
              </w:rPr>
            </w:pPr>
            <w:r>
              <w:rPr>
                <w:rFonts w:hint="eastAsia" w:cs="宋体"/>
                <w:color w:val="auto"/>
                <w:highlight w:val="none"/>
              </w:rPr>
              <w:t>预付款保函金额</w:t>
            </w:r>
          </w:p>
        </w:tc>
        <w:tc>
          <w:tcPr>
            <w:tcW w:w="2126" w:type="dxa"/>
            <w:noWrap w:val="0"/>
            <w:tcMar>
              <w:left w:w="170" w:type="dxa"/>
            </w:tcMar>
            <w:vAlign w:val="center"/>
          </w:tcPr>
          <w:p>
            <w:pPr>
              <w:jc w:val="center"/>
              <w:rPr>
                <w:color w:val="auto"/>
                <w:highlight w:val="none"/>
              </w:rPr>
            </w:pPr>
            <w:r>
              <w:rPr>
                <w:rFonts w:hint="eastAsia" w:cs="宋体"/>
                <w:color w:val="auto"/>
                <w:highlight w:val="none"/>
              </w:rPr>
              <w:t>专用条款</w:t>
            </w:r>
          </w:p>
        </w:tc>
        <w:tc>
          <w:tcPr>
            <w:tcW w:w="1984" w:type="dxa"/>
            <w:noWrap w:val="0"/>
            <w:vAlign w:val="center"/>
          </w:tcPr>
          <w:p>
            <w:pPr>
              <w:jc w:val="center"/>
              <w:rPr>
                <w:color w:val="auto"/>
                <w:highlight w:val="none"/>
              </w:rPr>
            </w:pPr>
          </w:p>
        </w:tc>
        <w:tc>
          <w:tcPr>
            <w:tcW w:w="1843"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highlight w:val="none"/>
              </w:rPr>
            </w:pPr>
            <w:r>
              <w:rPr>
                <w:color w:val="auto"/>
                <w:highlight w:val="none"/>
              </w:rPr>
              <w:t>13</w:t>
            </w:r>
          </w:p>
        </w:tc>
        <w:tc>
          <w:tcPr>
            <w:tcW w:w="1985" w:type="dxa"/>
            <w:noWrap w:val="0"/>
            <w:vAlign w:val="center"/>
          </w:tcPr>
          <w:p>
            <w:pPr>
              <w:rPr>
                <w:color w:val="auto"/>
                <w:highlight w:val="none"/>
              </w:rPr>
            </w:pPr>
            <w:r>
              <w:rPr>
                <w:rFonts w:hint="eastAsia" w:cs="宋体"/>
                <w:color w:val="auto"/>
                <w:highlight w:val="none"/>
              </w:rPr>
              <w:t>质量保证金额度</w:t>
            </w:r>
          </w:p>
        </w:tc>
        <w:tc>
          <w:tcPr>
            <w:tcW w:w="2126" w:type="dxa"/>
            <w:noWrap w:val="0"/>
            <w:tcMar>
              <w:left w:w="170" w:type="dxa"/>
            </w:tcMar>
            <w:vAlign w:val="center"/>
          </w:tcPr>
          <w:p>
            <w:pPr>
              <w:jc w:val="center"/>
              <w:rPr>
                <w:color w:val="auto"/>
                <w:highlight w:val="none"/>
              </w:rPr>
            </w:pPr>
            <w:r>
              <w:rPr>
                <w:rFonts w:hint="eastAsia" w:cs="宋体"/>
                <w:color w:val="auto"/>
                <w:highlight w:val="none"/>
              </w:rPr>
              <w:t>专用条款</w:t>
            </w:r>
          </w:p>
        </w:tc>
        <w:tc>
          <w:tcPr>
            <w:tcW w:w="1984" w:type="dxa"/>
            <w:noWrap w:val="0"/>
            <w:vAlign w:val="center"/>
          </w:tcPr>
          <w:p>
            <w:pPr>
              <w:jc w:val="center"/>
              <w:rPr>
                <w:color w:val="auto"/>
                <w:highlight w:val="none"/>
              </w:rPr>
            </w:pPr>
            <w:r>
              <w:rPr>
                <w:rFonts w:hint="eastAsia" w:cs="宋体"/>
                <w:color w:val="auto"/>
                <w:highlight w:val="none"/>
              </w:rPr>
              <w:t>结算价的</w:t>
            </w:r>
            <w:r>
              <w:rPr>
                <w:color w:val="auto"/>
                <w:highlight w:val="none"/>
                <w:u w:val="single"/>
              </w:rPr>
              <w:t xml:space="preserve">     </w:t>
            </w:r>
            <w:r>
              <w:rPr>
                <w:color w:val="auto"/>
                <w:highlight w:val="none"/>
              </w:rPr>
              <w:t xml:space="preserve">% </w:t>
            </w:r>
            <w:r>
              <w:rPr>
                <w:color w:val="auto"/>
                <w:highlight w:val="none"/>
                <w:u w:val="single"/>
              </w:rPr>
              <w:t xml:space="preserve"> </w:t>
            </w:r>
          </w:p>
        </w:tc>
        <w:tc>
          <w:tcPr>
            <w:tcW w:w="1843"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rPr>
                <w:color w:val="auto"/>
                <w:highlight w:val="none"/>
              </w:rPr>
            </w:pPr>
            <w:r>
              <w:rPr>
                <w:color w:val="auto"/>
                <w:highlight w:val="none"/>
              </w:rPr>
              <w:t>……</w:t>
            </w:r>
          </w:p>
        </w:tc>
        <w:tc>
          <w:tcPr>
            <w:tcW w:w="1985" w:type="dxa"/>
            <w:noWrap w:val="0"/>
            <w:vAlign w:val="center"/>
          </w:tcPr>
          <w:p>
            <w:pPr>
              <w:jc w:val="center"/>
              <w:rPr>
                <w:color w:val="auto"/>
                <w:highlight w:val="none"/>
              </w:rPr>
            </w:pPr>
            <w:r>
              <w:rPr>
                <w:color w:val="auto"/>
                <w:highlight w:val="none"/>
              </w:rPr>
              <w:t>……</w:t>
            </w:r>
          </w:p>
        </w:tc>
        <w:tc>
          <w:tcPr>
            <w:tcW w:w="2126" w:type="dxa"/>
            <w:noWrap w:val="0"/>
            <w:tcMar>
              <w:left w:w="170" w:type="dxa"/>
            </w:tcMar>
            <w:vAlign w:val="center"/>
          </w:tcPr>
          <w:p>
            <w:pPr>
              <w:rPr>
                <w:color w:val="auto"/>
                <w:highlight w:val="none"/>
              </w:rPr>
            </w:pPr>
          </w:p>
        </w:tc>
        <w:tc>
          <w:tcPr>
            <w:tcW w:w="1984" w:type="dxa"/>
            <w:noWrap w:val="0"/>
            <w:vAlign w:val="center"/>
          </w:tcPr>
          <w:p>
            <w:pPr>
              <w:jc w:val="center"/>
              <w:rPr>
                <w:color w:val="auto"/>
                <w:highlight w:val="none"/>
              </w:rPr>
            </w:pPr>
          </w:p>
        </w:tc>
        <w:tc>
          <w:tcPr>
            <w:tcW w:w="1843"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pPr>
              <w:spacing w:line="360" w:lineRule="auto"/>
              <w:rPr>
                <w:color w:val="auto"/>
                <w:highlight w:val="none"/>
              </w:rPr>
            </w:pPr>
            <w:r>
              <w:rPr>
                <w:rFonts w:hint="eastAsia" w:cs="宋体"/>
                <w:color w:val="auto"/>
                <w:highlight w:val="none"/>
              </w:rPr>
              <w:t>说明：投标人在响应招标文件中规定的实质性要求和条件的基础上，可做出其他有利于招标人的承诺。此类承诺可在本表中予以补充填写。</w:t>
            </w:r>
          </w:p>
        </w:tc>
      </w:tr>
    </w:tbl>
    <w:p>
      <w:pPr>
        <w:spacing w:line="480" w:lineRule="exact"/>
        <w:ind w:firstLine="420" w:firstLineChars="200"/>
        <w:rPr>
          <w:color w:val="auto"/>
          <w:highlight w:val="none"/>
        </w:rPr>
      </w:pPr>
      <w:r>
        <w:rPr>
          <w:rFonts w:hint="eastAsia" w:cs="宋体"/>
          <w:color w:val="auto"/>
          <w:highlight w:val="none"/>
        </w:rPr>
        <w:t>投标人（盖单位章）：</w:t>
      </w:r>
    </w:p>
    <w:p>
      <w:pPr>
        <w:spacing w:line="480" w:lineRule="exact"/>
        <w:ind w:firstLine="420" w:firstLineChars="200"/>
        <w:rPr>
          <w:color w:val="auto"/>
          <w:highlight w:val="none"/>
        </w:rPr>
      </w:pPr>
      <w:r>
        <w:rPr>
          <w:rFonts w:hint="eastAsia" w:cs="宋体"/>
          <w:color w:val="auto"/>
          <w:highlight w:val="none"/>
        </w:rPr>
        <w:t>法人代表（签字或盖章）：</w:t>
      </w:r>
    </w:p>
    <w:p>
      <w:pPr>
        <w:spacing w:line="480" w:lineRule="exact"/>
        <w:ind w:firstLine="420" w:firstLineChars="200"/>
        <w:rPr>
          <w:color w:val="auto"/>
          <w:highlight w:val="none"/>
        </w:rPr>
      </w:pPr>
      <w:r>
        <w:rPr>
          <w:rFonts w:hint="eastAsia" w:cs="宋体"/>
          <w:color w:val="auto"/>
          <w:highlight w:val="none"/>
        </w:rPr>
        <w:t>日期：</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pPr>
        <w:spacing w:line="480" w:lineRule="auto"/>
        <w:ind w:firstLine="525" w:firstLineChars="250"/>
        <w:rPr>
          <w:color w:val="auto"/>
          <w:highlight w:val="none"/>
        </w:rPr>
      </w:pPr>
    </w:p>
    <w:p>
      <w:pPr>
        <w:spacing w:line="480" w:lineRule="auto"/>
        <w:ind w:firstLine="525" w:firstLineChars="250"/>
        <w:rPr>
          <w:color w:val="auto"/>
          <w:highlight w:val="none"/>
        </w:rPr>
      </w:pPr>
    </w:p>
    <w:p>
      <w:pPr>
        <w:pStyle w:val="25"/>
        <w:jc w:val="center"/>
        <w:outlineLvl w:val="0"/>
        <w:rPr>
          <w:b/>
          <w:bCs/>
          <w:color w:val="auto"/>
          <w:sz w:val="24"/>
          <w:szCs w:val="24"/>
          <w:highlight w:val="none"/>
        </w:rPr>
      </w:pPr>
      <w:r>
        <w:rPr>
          <w:color w:val="auto"/>
          <w:highlight w:val="none"/>
        </w:rPr>
        <w:br w:type="page"/>
      </w:r>
      <w:bookmarkStart w:id="459" w:name="_Toc389065358"/>
      <w:bookmarkStart w:id="460" w:name="_Toc349558044"/>
      <w:bookmarkStart w:id="461" w:name="_Toc349215560"/>
      <w:bookmarkStart w:id="462" w:name="_Toc349555832"/>
      <w:bookmarkStart w:id="463" w:name="_Toc349557654"/>
      <w:bookmarkStart w:id="464" w:name="_Toc349639687"/>
      <w:bookmarkStart w:id="465" w:name="_Toc349640339"/>
      <w:r>
        <w:rPr>
          <w:rFonts w:hint="eastAsia" w:cs="宋体"/>
          <w:b/>
          <w:bCs/>
          <w:color w:val="auto"/>
          <w:sz w:val="24"/>
          <w:szCs w:val="24"/>
          <w:highlight w:val="none"/>
        </w:rPr>
        <w:t>三、投标报价表</w:t>
      </w:r>
      <w:bookmarkEnd w:id="459"/>
      <w:bookmarkEnd w:id="460"/>
      <w:bookmarkEnd w:id="461"/>
      <w:bookmarkEnd w:id="462"/>
      <w:bookmarkEnd w:id="463"/>
      <w:bookmarkEnd w:id="464"/>
      <w:bookmarkEnd w:id="465"/>
    </w:p>
    <w:p>
      <w:pPr>
        <w:spacing w:line="480" w:lineRule="auto"/>
        <w:rPr>
          <w:color w:val="auto"/>
          <w:highlight w:val="none"/>
        </w:rPr>
      </w:pPr>
    </w:p>
    <w:p>
      <w:pPr>
        <w:ind w:left="-178" w:leftChars="-85" w:right="-512" w:rightChars="-244"/>
        <w:jc w:val="left"/>
        <w:rPr>
          <w:color w:val="auto"/>
          <w:highlight w:val="none"/>
        </w:rPr>
      </w:pPr>
      <w:r>
        <w:rPr>
          <w:rFonts w:hint="eastAsia" w:cs="宋体"/>
          <w:color w:val="auto"/>
          <w:highlight w:val="none"/>
        </w:rPr>
        <w:t>项目名称：</w:t>
      </w:r>
      <w:r>
        <w:rPr>
          <w:color w:val="auto"/>
          <w:highlight w:val="none"/>
        </w:rPr>
        <w:t xml:space="preserve">                                                  </w:t>
      </w:r>
      <w:r>
        <w:rPr>
          <w:rFonts w:hint="eastAsia" w:cs="宋体"/>
          <w:color w:val="auto"/>
          <w:highlight w:val="none"/>
        </w:rPr>
        <w:t>币种：人民币</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0" w:type="dxa"/>
            <w:gridSpan w:val="2"/>
            <w:noWrap w:val="0"/>
            <w:vAlign w:val="center"/>
          </w:tcPr>
          <w:p>
            <w:pPr>
              <w:widowControl/>
              <w:jc w:val="center"/>
              <w:rPr>
                <w:color w:val="auto"/>
                <w:highlight w:val="none"/>
              </w:rPr>
            </w:pPr>
            <w:r>
              <w:rPr>
                <w:rFonts w:hint="eastAsia" w:cs="宋体"/>
                <w:color w:val="auto"/>
                <w:highlight w:val="none"/>
              </w:rPr>
              <w:t>投标总价</w:t>
            </w:r>
          </w:p>
        </w:tc>
        <w:tc>
          <w:tcPr>
            <w:tcW w:w="1987" w:type="dxa"/>
            <w:noWrap w:val="0"/>
            <w:vAlign w:val="center"/>
          </w:tcPr>
          <w:p>
            <w:pPr>
              <w:widowControl/>
              <w:jc w:val="right"/>
              <w:rPr>
                <w:color w:val="auto"/>
                <w:highlight w:val="none"/>
              </w:rPr>
            </w:pPr>
            <w:r>
              <w:rPr>
                <w:rFonts w:hint="eastAsia" w:cs="宋体"/>
                <w:color w:val="auto"/>
                <w:highlight w:val="none"/>
              </w:rPr>
              <w:t>万元</w:t>
            </w:r>
          </w:p>
        </w:tc>
        <w:tc>
          <w:tcPr>
            <w:tcW w:w="1702" w:type="dxa"/>
            <w:noWrap w:val="0"/>
            <w:vAlign w:val="center"/>
          </w:tcPr>
          <w:p>
            <w:pPr>
              <w:widowControl/>
              <w:jc w:val="center"/>
              <w:rPr>
                <w:color w:val="auto"/>
                <w:highlight w:val="none"/>
              </w:rPr>
            </w:pPr>
            <w:r>
              <w:rPr>
                <w:rFonts w:hint="eastAsia"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restart"/>
            <w:noWrap w:val="0"/>
            <w:vAlign w:val="center"/>
          </w:tcPr>
          <w:p>
            <w:pPr>
              <w:jc w:val="center"/>
              <w:rPr>
                <w:color w:val="auto"/>
                <w:highlight w:val="none"/>
              </w:rPr>
            </w:pPr>
            <w:r>
              <w:rPr>
                <w:rFonts w:hint="eastAsia" w:cs="宋体"/>
                <w:color w:val="auto"/>
                <w:highlight w:val="none"/>
              </w:rPr>
              <w:t>其中</w:t>
            </w:r>
          </w:p>
        </w:tc>
        <w:tc>
          <w:tcPr>
            <w:tcW w:w="3116" w:type="dxa"/>
            <w:noWrap w:val="0"/>
            <w:vAlign w:val="center"/>
          </w:tcPr>
          <w:p>
            <w:pPr>
              <w:jc w:val="center"/>
              <w:rPr>
                <w:color w:val="auto"/>
                <w:highlight w:val="none"/>
              </w:rPr>
            </w:pPr>
            <w:r>
              <w:rPr>
                <w:rFonts w:hint="eastAsia" w:cs="宋体"/>
                <w:color w:val="auto"/>
                <w:highlight w:val="none"/>
              </w:rPr>
              <w:t>安全文明施工费</w:t>
            </w:r>
          </w:p>
        </w:tc>
        <w:tc>
          <w:tcPr>
            <w:tcW w:w="1987" w:type="dxa"/>
            <w:noWrap w:val="0"/>
            <w:vAlign w:val="center"/>
          </w:tcPr>
          <w:p>
            <w:pPr>
              <w:jc w:val="right"/>
              <w:rPr>
                <w:color w:val="auto"/>
                <w:highlight w:val="none"/>
              </w:rPr>
            </w:pPr>
            <w:r>
              <w:rPr>
                <w:rFonts w:hint="eastAsia" w:cs="宋体"/>
                <w:color w:val="auto"/>
                <w:highlight w:val="none"/>
              </w:rPr>
              <w:t>万元</w:t>
            </w:r>
          </w:p>
        </w:tc>
        <w:tc>
          <w:tcPr>
            <w:tcW w:w="1702"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jc w:val="center"/>
              <w:rPr>
                <w:color w:val="auto"/>
                <w:highlight w:val="none"/>
              </w:rPr>
            </w:pPr>
          </w:p>
        </w:tc>
        <w:tc>
          <w:tcPr>
            <w:tcW w:w="3116" w:type="dxa"/>
            <w:noWrap w:val="0"/>
            <w:vAlign w:val="center"/>
          </w:tcPr>
          <w:p>
            <w:pPr>
              <w:jc w:val="center"/>
              <w:rPr>
                <w:color w:val="auto"/>
                <w:highlight w:val="none"/>
              </w:rPr>
            </w:pPr>
            <w:r>
              <w:rPr>
                <w:rFonts w:hint="eastAsia" w:cs="宋体"/>
                <w:color w:val="auto"/>
                <w:highlight w:val="none"/>
              </w:rPr>
              <w:t>发包人提供材料（设备）暂估价（如有）</w:t>
            </w:r>
          </w:p>
        </w:tc>
        <w:tc>
          <w:tcPr>
            <w:tcW w:w="1987" w:type="dxa"/>
            <w:noWrap w:val="0"/>
            <w:vAlign w:val="center"/>
          </w:tcPr>
          <w:p>
            <w:pPr>
              <w:widowControl/>
              <w:jc w:val="right"/>
              <w:rPr>
                <w:color w:val="auto"/>
                <w:highlight w:val="none"/>
              </w:rPr>
            </w:pPr>
            <w:r>
              <w:rPr>
                <w:rFonts w:hint="eastAsia" w:cs="宋体"/>
                <w:color w:val="auto"/>
                <w:highlight w:val="none"/>
              </w:rPr>
              <w:t>万元</w:t>
            </w:r>
          </w:p>
        </w:tc>
        <w:tc>
          <w:tcPr>
            <w:tcW w:w="1702" w:type="dxa"/>
            <w:noWrap w:val="0"/>
            <w:vAlign w:val="top"/>
          </w:tcPr>
          <w:p>
            <w:pPr>
              <w:widowControl/>
              <w:ind w:right="48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jc w:val="center"/>
              <w:rPr>
                <w:color w:val="auto"/>
                <w:highlight w:val="none"/>
              </w:rPr>
            </w:pPr>
          </w:p>
        </w:tc>
        <w:tc>
          <w:tcPr>
            <w:tcW w:w="3116" w:type="dxa"/>
            <w:noWrap w:val="0"/>
            <w:vAlign w:val="center"/>
          </w:tcPr>
          <w:p>
            <w:pPr>
              <w:jc w:val="center"/>
              <w:rPr>
                <w:color w:val="auto"/>
                <w:highlight w:val="none"/>
              </w:rPr>
            </w:pPr>
          </w:p>
        </w:tc>
        <w:tc>
          <w:tcPr>
            <w:tcW w:w="1987" w:type="dxa"/>
            <w:noWrap w:val="0"/>
            <w:vAlign w:val="center"/>
          </w:tcPr>
          <w:p>
            <w:pPr>
              <w:widowControl/>
              <w:jc w:val="right"/>
              <w:rPr>
                <w:color w:val="auto"/>
                <w:highlight w:val="none"/>
              </w:rPr>
            </w:pPr>
          </w:p>
        </w:tc>
        <w:tc>
          <w:tcPr>
            <w:tcW w:w="1702" w:type="dxa"/>
            <w:noWrap w:val="0"/>
            <w:vAlign w:val="top"/>
          </w:tcPr>
          <w:p>
            <w:pPr>
              <w:widowControl/>
              <w:ind w:right="48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jc w:val="center"/>
              <w:rPr>
                <w:color w:val="auto"/>
                <w:highlight w:val="none"/>
              </w:rPr>
            </w:pPr>
          </w:p>
        </w:tc>
        <w:tc>
          <w:tcPr>
            <w:tcW w:w="3116" w:type="dxa"/>
            <w:noWrap w:val="0"/>
            <w:vAlign w:val="center"/>
          </w:tcPr>
          <w:p>
            <w:pPr>
              <w:widowControl/>
              <w:rPr>
                <w:color w:val="auto"/>
                <w:highlight w:val="none"/>
              </w:rPr>
            </w:pPr>
            <w:r>
              <w:rPr>
                <w:rFonts w:hint="eastAsia" w:cs="宋体"/>
                <w:color w:val="auto"/>
                <w:highlight w:val="none"/>
              </w:rPr>
              <w:t>专业工程暂估价（如有）</w:t>
            </w:r>
          </w:p>
        </w:tc>
        <w:tc>
          <w:tcPr>
            <w:tcW w:w="1987" w:type="dxa"/>
            <w:noWrap w:val="0"/>
            <w:vAlign w:val="center"/>
          </w:tcPr>
          <w:p>
            <w:pPr>
              <w:widowControl/>
              <w:jc w:val="right"/>
              <w:rPr>
                <w:color w:val="auto"/>
                <w:highlight w:val="none"/>
              </w:rPr>
            </w:pPr>
            <w:r>
              <w:rPr>
                <w:rFonts w:hint="eastAsia" w:cs="宋体"/>
                <w:color w:val="auto"/>
                <w:highlight w:val="none"/>
              </w:rPr>
              <w:t>万元</w:t>
            </w:r>
          </w:p>
        </w:tc>
        <w:tc>
          <w:tcPr>
            <w:tcW w:w="1702" w:type="dxa"/>
            <w:noWrap w:val="0"/>
            <w:vAlign w:val="top"/>
          </w:tcPr>
          <w:p>
            <w:pPr>
              <w:widowControl/>
              <w:ind w:right="48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jc w:val="center"/>
              <w:rPr>
                <w:color w:val="auto"/>
                <w:highlight w:val="none"/>
              </w:rPr>
            </w:pPr>
          </w:p>
        </w:tc>
        <w:tc>
          <w:tcPr>
            <w:tcW w:w="3116" w:type="dxa"/>
            <w:noWrap w:val="0"/>
            <w:vAlign w:val="center"/>
          </w:tcPr>
          <w:p>
            <w:pPr>
              <w:widowControl/>
              <w:ind w:firstLine="945" w:firstLineChars="450"/>
              <w:rPr>
                <w:color w:val="auto"/>
                <w:highlight w:val="none"/>
              </w:rPr>
            </w:pPr>
            <w:r>
              <w:rPr>
                <w:rFonts w:hint="eastAsia" w:cs="宋体"/>
                <w:color w:val="auto"/>
                <w:highlight w:val="none"/>
              </w:rPr>
              <w:t>暂列金额（如有）</w:t>
            </w:r>
          </w:p>
        </w:tc>
        <w:tc>
          <w:tcPr>
            <w:tcW w:w="1987" w:type="dxa"/>
            <w:noWrap w:val="0"/>
            <w:vAlign w:val="center"/>
          </w:tcPr>
          <w:p>
            <w:pPr>
              <w:widowControl/>
              <w:jc w:val="right"/>
              <w:rPr>
                <w:color w:val="auto"/>
                <w:highlight w:val="none"/>
              </w:rPr>
            </w:pPr>
            <w:r>
              <w:rPr>
                <w:rFonts w:hint="eastAsia" w:cs="宋体"/>
                <w:color w:val="auto"/>
                <w:highlight w:val="none"/>
              </w:rPr>
              <w:t>万元</w:t>
            </w:r>
          </w:p>
        </w:tc>
        <w:tc>
          <w:tcPr>
            <w:tcW w:w="1702" w:type="dxa"/>
            <w:noWrap w:val="0"/>
            <w:vAlign w:val="top"/>
          </w:tcPr>
          <w:p>
            <w:pPr>
              <w:widowControl/>
              <w:ind w:right="48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noWrap w:val="0"/>
            <w:vAlign w:val="center"/>
          </w:tcPr>
          <w:p>
            <w:pPr>
              <w:widowControl/>
              <w:jc w:val="center"/>
              <w:rPr>
                <w:color w:val="auto"/>
                <w:highlight w:val="none"/>
              </w:rPr>
            </w:pPr>
            <w:r>
              <w:rPr>
                <w:rFonts w:hint="eastAsia" w:cs="宋体"/>
                <w:color w:val="auto"/>
                <w:highlight w:val="none"/>
              </w:rPr>
              <w:t>主要材料</w:t>
            </w:r>
          </w:p>
        </w:tc>
        <w:tc>
          <w:tcPr>
            <w:tcW w:w="3116" w:type="dxa"/>
            <w:noWrap w:val="0"/>
            <w:vAlign w:val="center"/>
          </w:tcPr>
          <w:p>
            <w:pPr>
              <w:widowControl/>
              <w:jc w:val="center"/>
              <w:rPr>
                <w:color w:val="auto"/>
                <w:highlight w:val="none"/>
              </w:rPr>
            </w:pPr>
            <w:r>
              <w:rPr>
                <w:rFonts w:hint="eastAsia" w:cs="宋体"/>
                <w:color w:val="auto"/>
                <w:highlight w:val="none"/>
              </w:rPr>
              <w:t>钢筋</w:t>
            </w:r>
          </w:p>
        </w:tc>
        <w:tc>
          <w:tcPr>
            <w:tcW w:w="1987" w:type="dxa"/>
            <w:noWrap w:val="0"/>
            <w:vAlign w:val="center"/>
          </w:tcPr>
          <w:p>
            <w:pPr>
              <w:widowControl/>
              <w:jc w:val="right"/>
              <w:rPr>
                <w:color w:val="auto"/>
                <w:highlight w:val="none"/>
              </w:rPr>
            </w:pPr>
            <w:r>
              <w:rPr>
                <w:rFonts w:hint="eastAsia" w:cs="宋体"/>
                <w:color w:val="auto"/>
                <w:highlight w:val="none"/>
              </w:rPr>
              <w:t>吨</w:t>
            </w:r>
          </w:p>
        </w:tc>
        <w:tc>
          <w:tcPr>
            <w:tcW w:w="1702" w:type="dxa"/>
            <w:noWrap w:val="0"/>
            <w:vAlign w:val="top"/>
          </w:tcPr>
          <w:p>
            <w:pPr>
              <w:widowControl/>
              <w:jc w:val="righ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noWrap w:val="0"/>
            <w:vAlign w:val="center"/>
          </w:tcPr>
          <w:p>
            <w:pPr>
              <w:widowControl/>
              <w:jc w:val="center"/>
              <w:rPr>
                <w:color w:val="auto"/>
                <w:highlight w:val="none"/>
              </w:rPr>
            </w:pPr>
          </w:p>
        </w:tc>
        <w:tc>
          <w:tcPr>
            <w:tcW w:w="3116" w:type="dxa"/>
            <w:noWrap w:val="0"/>
            <w:vAlign w:val="center"/>
          </w:tcPr>
          <w:p>
            <w:pPr>
              <w:widowControl/>
              <w:jc w:val="center"/>
              <w:rPr>
                <w:color w:val="auto"/>
                <w:highlight w:val="none"/>
              </w:rPr>
            </w:pPr>
            <w:r>
              <w:rPr>
                <w:rFonts w:hint="eastAsia" w:cs="宋体"/>
                <w:color w:val="auto"/>
                <w:highlight w:val="none"/>
              </w:rPr>
              <w:t>水泥（不含商品混凝土用量）</w:t>
            </w:r>
          </w:p>
        </w:tc>
        <w:tc>
          <w:tcPr>
            <w:tcW w:w="1987" w:type="dxa"/>
            <w:noWrap w:val="0"/>
            <w:vAlign w:val="center"/>
          </w:tcPr>
          <w:p>
            <w:pPr>
              <w:widowControl/>
              <w:tabs>
                <w:tab w:val="left" w:pos="2398"/>
              </w:tabs>
              <w:ind w:right="18"/>
              <w:jc w:val="right"/>
              <w:rPr>
                <w:color w:val="auto"/>
                <w:highlight w:val="none"/>
              </w:rPr>
            </w:pPr>
            <w:r>
              <w:rPr>
                <w:rFonts w:hint="eastAsia" w:cs="宋体"/>
                <w:color w:val="auto"/>
                <w:highlight w:val="none"/>
              </w:rPr>
              <w:t>吨</w:t>
            </w:r>
          </w:p>
        </w:tc>
        <w:tc>
          <w:tcPr>
            <w:tcW w:w="1702" w:type="dxa"/>
            <w:noWrap w:val="0"/>
            <w:vAlign w:val="top"/>
          </w:tcPr>
          <w:p>
            <w:pPr>
              <w:widowControl/>
              <w:jc w:val="righ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noWrap w:val="0"/>
            <w:vAlign w:val="center"/>
          </w:tcPr>
          <w:p>
            <w:pPr>
              <w:widowControl/>
              <w:jc w:val="center"/>
              <w:rPr>
                <w:color w:val="auto"/>
                <w:highlight w:val="none"/>
              </w:rPr>
            </w:pPr>
          </w:p>
        </w:tc>
        <w:tc>
          <w:tcPr>
            <w:tcW w:w="3116" w:type="dxa"/>
            <w:noWrap w:val="0"/>
            <w:vAlign w:val="center"/>
          </w:tcPr>
          <w:p>
            <w:pPr>
              <w:widowControl/>
              <w:jc w:val="center"/>
              <w:rPr>
                <w:color w:val="auto"/>
                <w:highlight w:val="none"/>
              </w:rPr>
            </w:pPr>
            <w:r>
              <w:rPr>
                <w:rFonts w:hint="eastAsia" w:cs="宋体"/>
                <w:color w:val="auto"/>
                <w:highlight w:val="none"/>
              </w:rPr>
              <w:t>商品混凝土</w:t>
            </w:r>
          </w:p>
        </w:tc>
        <w:tc>
          <w:tcPr>
            <w:tcW w:w="1987" w:type="dxa"/>
            <w:noWrap w:val="0"/>
            <w:vAlign w:val="center"/>
          </w:tcPr>
          <w:p>
            <w:pPr>
              <w:widowControl/>
              <w:jc w:val="right"/>
              <w:rPr>
                <w:color w:val="auto"/>
                <w:highlight w:val="none"/>
              </w:rPr>
            </w:pPr>
            <w:r>
              <w:rPr>
                <w:color w:val="auto"/>
                <w:highlight w:val="none"/>
              </w:rPr>
              <w:t>m</w:t>
            </w:r>
            <w:r>
              <w:rPr>
                <w:color w:val="auto"/>
                <w:highlight w:val="none"/>
                <w:vertAlign w:val="superscript"/>
              </w:rPr>
              <w:t>3</w:t>
            </w:r>
          </w:p>
        </w:tc>
        <w:tc>
          <w:tcPr>
            <w:tcW w:w="1702" w:type="dxa"/>
            <w:noWrap w:val="0"/>
            <w:vAlign w:val="top"/>
          </w:tcPr>
          <w:p>
            <w:pPr>
              <w:widowControl/>
              <w:jc w:val="right"/>
              <w:rPr>
                <w:color w:val="auto"/>
                <w:highlight w:val="none"/>
              </w:rPr>
            </w:pPr>
          </w:p>
        </w:tc>
      </w:tr>
    </w:tbl>
    <w:p>
      <w:pPr>
        <w:ind w:left="-178" w:leftChars="-85" w:firstLine="177" w:firstLineChars="74"/>
        <w:rPr>
          <w:color w:val="auto"/>
          <w:sz w:val="24"/>
          <w:szCs w:val="24"/>
          <w:highlight w:val="none"/>
        </w:rPr>
      </w:pPr>
    </w:p>
    <w:p>
      <w:pPr>
        <w:spacing w:line="480" w:lineRule="auto"/>
        <w:rPr>
          <w:color w:val="auto"/>
          <w:highlight w:val="none"/>
        </w:rPr>
      </w:pPr>
    </w:p>
    <w:p>
      <w:pPr>
        <w:spacing w:line="480" w:lineRule="auto"/>
        <w:rPr>
          <w:color w:val="auto"/>
          <w:highlight w:val="none"/>
        </w:rPr>
      </w:pPr>
    </w:p>
    <w:p>
      <w:pPr>
        <w:spacing w:line="480" w:lineRule="auto"/>
        <w:rPr>
          <w:color w:val="auto"/>
          <w:highlight w:val="none"/>
        </w:rPr>
      </w:pPr>
    </w:p>
    <w:p>
      <w:pPr>
        <w:spacing w:line="480" w:lineRule="auto"/>
        <w:ind w:firstLine="210" w:firstLineChars="100"/>
        <w:rPr>
          <w:color w:val="auto"/>
          <w:highlight w:val="none"/>
        </w:rPr>
      </w:pPr>
      <w:r>
        <w:rPr>
          <w:rFonts w:hint="eastAsia" w:cs="宋体"/>
          <w:color w:val="auto"/>
          <w:highlight w:val="none"/>
        </w:rPr>
        <w:t>投标人（盖单位章）：</w:t>
      </w:r>
    </w:p>
    <w:p>
      <w:pPr>
        <w:spacing w:line="480" w:lineRule="auto"/>
        <w:ind w:firstLine="210" w:firstLineChars="100"/>
        <w:rPr>
          <w:color w:val="auto"/>
          <w:highlight w:val="none"/>
        </w:rPr>
      </w:pPr>
      <w:r>
        <w:rPr>
          <w:rFonts w:hint="eastAsia" w:cs="宋体"/>
          <w:color w:val="auto"/>
          <w:highlight w:val="none"/>
        </w:rPr>
        <w:t>法定代表人（签字或盖章）：</w:t>
      </w:r>
    </w:p>
    <w:p>
      <w:pPr>
        <w:spacing w:line="480" w:lineRule="auto"/>
        <w:ind w:firstLine="210" w:firstLineChars="100"/>
        <w:rPr>
          <w:color w:val="auto"/>
          <w:highlight w:val="none"/>
        </w:rPr>
      </w:pPr>
      <w:r>
        <w:rPr>
          <w:rFonts w:hint="eastAsia" w:cs="宋体"/>
          <w:color w:val="auto"/>
          <w:highlight w:val="none"/>
        </w:rPr>
        <w:t>日期：</w:t>
      </w:r>
      <w:r>
        <w:rPr>
          <w:color w:val="auto"/>
          <w:highlight w:val="none"/>
          <w:u w:val="single"/>
        </w:rPr>
        <w:t xml:space="preserve">              </w:t>
      </w:r>
      <w:r>
        <w:rPr>
          <w:rFonts w:hint="eastAsia" w:cs="宋体"/>
          <w:color w:val="auto"/>
          <w:highlight w:val="none"/>
        </w:rPr>
        <w:t>年</w:t>
      </w:r>
      <w:r>
        <w:rPr>
          <w:color w:val="auto"/>
          <w:highlight w:val="none"/>
          <w:u w:val="single"/>
        </w:rPr>
        <w:t xml:space="preserve">      </w:t>
      </w:r>
      <w:r>
        <w:rPr>
          <w:rFonts w:hint="eastAsia" w:cs="宋体"/>
          <w:color w:val="auto"/>
          <w:highlight w:val="none"/>
        </w:rPr>
        <w:t>月</w:t>
      </w:r>
      <w:r>
        <w:rPr>
          <w:color w:val="auto"/>
          <w:highlight w:val="none"/>
          <w:u w:val="single"/>
        </w:rPr>
        <w:t xml:space="preserve">      </w:t>
      </w:r>
      <w:r>
        <w:rPr>
          <w:rFonts w:hint="eastAsia" w:cs="宋体"/>
          <w:color w:val="auto"/>
          <w:highlight w:val="none"/>
        </w:rPr>
        <w:t>日</w:t>
      </w:r>
    </w:p>
    <w:p>
      <w:pPr>
        <w:spacing w:line="480" w:lineRule="auto"/>
        <w:ind w:firstLine="210" w:firstLineChars="100"/>
        <w:rPr>
          <w:color w:val="auto"/>
          <w:highlight w:val="none"/>
        </w:rPr>
      </w:pPr>
    </w:p>
    <w:p>
      <w:pPr>
        <w:spacing w:line="480" w:lineRule="auto"/>
        <w:ind w:firstLine="210" w:firstLineChars="100"/>
        <w:rPr>
          <w:color w:val="auto"/>
          <w:highlight w:val="none"/>
        </w:rPr>
        <w:sectPr>
          <w:pgSz w:w="11907" w:h="16840"/>
          <w:pgMar w:top="1440" w:right="1440" w:bottom="1440" w:left="1797" w:header="851" w:footer="851" w:gutter="0"/>
          <w:cols w:space="720" w:num="1"/>
          <w:docGrid w:linePitch="312" w:charSpace="0"/>
        </w:sectPr>
      </w:pPr>
    </w:p>
    <w:p>
      <w:pPr>
        <w:pStyle w:val="25"/>
        <w:ind w:firstLine="422"/>
        <w:jc w:val="center"/>
        <w:outlineLvl w:val="0"/>
        <w:rPr>
          <w:b/>
          <w:bCs/>
          <w:color w:val="auto"/>
          <w:sz w:val="24"/>
          <w:szCs w:val="24"/>
          <w:highlight w:val="none"/>
        </w:rPr>
      </w:pPr>
      <w:bookmarkStart w:id="466" w:name="_Toc389065359"/>
      <w:r>
        <w:rPr>
          <w:rFonts w:hint="eastAsia" w:cs="宋体"/>
          <w:b/>
          <w:bCs/>
          <w:color w:val="auto"/>
          <w:sz w:val="24"/>
          <w:szCs w:val="24"/>
          <w:highlight w:val="none"/>
        </w:rPr>
        <w:t>四、已标价工程量清单</w:t>
      </w:r>
      <w:bookmarkEnd w:id="466"/>
    </w:p>
    <w:p>
      <w:pPr>
        <w:pStyle w:val="25"/>
        <w:jc w:val="center"/>
        <w:rPr>
          <w:b/>
          <w:bCs/>
          <w:color w:val="auto"/>
          <w:sz w:val="28"/>
          <w:szCs w:val="28"/>
          <w:highlight w:val="none"/>
        </w:rPr>
      </w:pPr>
    </w:p>
    <w:p>
      <w:pPr>
        <w:spacing w:line="360" w:lineRule="auto"/>
        <w:ind w:firstLine="420" w:firstLineChars="200"/>
        <w:rPr>
          <w:color w:val="auto"/>
          <w:highlight w:val="none"/>
        </w:rPr>
      </w:pPr>
      <w:r>
        <w:rPr>
          <w:color w:val="auto"/>
          <w:highlight w:val="none"/>
        </w:rPr>
        <w:t xml:space="preserve">1. </w:t>
      </w:r>
      <w:r>
        <w:rPr>
          <w:rFonts w:hint="eastAsia" w:cs="宋体"/>
          <w:color w:val="auto"/>
          <w:highlight w:val="none"/>
        </w:rPr>
        <w:t>已标价工程量清单应按第五章</w:t>
      </w:r>
      <w:r>
        <w:rPr>
          <w:color w:val="auto"/>
          <w:highlight w:val="none"/>
        </w:rPr>
        <w:t>“</w:t>
      </w:r>
      <w:r>
        <w:rPr>
          <w:rFonts w:hint="eastAsia" w:cs="宋体"/>
          <w:color w:val="auto"/>
          <w:highlight w:val="none"/>
        </w:rPr>
        <w:t>工程量清单</w:t>
      </w:r>
      <w:r>
        <w:rPr>
          <w:color w:val="auto"/>
          <w:highlight w:val="none"/>
        </w:rPr>
        <w:t>”</w:t>
      </w:r>
      <w:r>
        <w:rPr>
          <w:rFonts w:hint="eastAsia" w:cs="宋体"/>
          <w:color w:val="auto"/>
          <w:highlight w:val="none"/>
        </w:rPr>
        <w:t>中的相关表格及投标报价说明填写。构成合同文件的已标价工程量清单包括第五章</w:t>
      </w:r>
      <w:r>
        <w:rPr>
          <w:color w:val="auto"/>
          <w:highlight w:val="none"/>
        </w:rPr>
        <w:t>“</w:t>
      </w:r>
      <w:r>
        <w:rPr>
          <w:rFonts w:hint="eastAsia" w:cs="宋体"/>
          <w:color w:val="auto"/>
          <w:highlight w:val="none"/>
        </w:rPr>
        <w:t>工程量清单</w:t>
      </w:r>
      <w:r>
        <w:rPr>
          <w:color w:val="auto"/>
          <w:highlight w:val="none"/>
        </w:rPr>
        <w:t>”</w:t>
      </w:r>
      <w:r>
        <w:rPr>
          <w:rFonts w:hint="eastAsia" w:cs="宋体"/>
          <w:color w:val="auto"/>
          <w:highlight w:val="none"/>
        </w:rPr>
        <w:t>有关工程量清单、投标报价以及其他说明的内容。</w:t>
      </w:r>
    </w:p>
    <w:p>
      <w:pPr>
        <w:spacing w:line="360" w:lineRule="auto"/>
        <w:ind w:firstLine="420" w:firstLineChars="200"/>
        <w:rPr>
          <w:color w:val="auto"/>
          <w:highlight w:val="none"/>
        </w:rPr>
      </w:pPr>
      <w:r>
        <w:rPr>
          <w:color w:val="auto"/>
          <w:highlight w:val="none"/>
        </w:rPr>
        <w:t xml:space="preserve">2. </w:t>
      </w:r>
      <w:r>
        <w:rPr>
          <w:rFonts w:hint="eastAsia" w:cs="宋体"/>
          <w:color w:val="auto"/>
          <w:highlight w:val="none"/>
        </w:rPr>
        <w:t>一般计税法建设工程已标价工程量清单表格按</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w:t>
      </w:r>
      <w:r>
        <w:rPr>
          <w:rFonts w:hint="eastAsia" w:ascii="宋体" w:hAnsi="宋体" w:cs="宋体"/>
          <w:color w:val="auto"/>
          <w:highlight w:val="none"/>
        </w:rPr>
        <w:t>附件“增值税一般计税方法工程计价表”</w:t>
      </w:r>
      <w:r>
        <w:rPr>
          <w:rFonts w:hint="eastAsia" w:cs="宋体"/>
          <w:color w:val="auto"/>
          <w:highlight w:val="none"/>
        </w:rPr>
        <w:t>要求提供，简易计税法表格按《</w:t>
      </w:r>
      <w:r>
        <w:rPr>
          <w:color w:val="auto"/>
          <w:highlight w:val="none"/>
        </w:rPr>
        <w:t>&lt;</w:t>
      </w:r>
      <w:r>
        <w:rPr>
          <w:rFonts w:hint="eastAsia" w:cs="宋体"/>
          <w:color w:val="auto"/>
          <w:highlight w:val="none"/>
        </w:rPr>
        <w:t>建设工程工程量清单计价规范</w:t>
      </w:r>
      <w:r>
        <w:rPr>
          <w:color w:val="auto"/>
          <w:highlight w:val="none"/>
        </w:rPr>
        <w:t>&gt;</w:t>
      </w:r>
      <w:r>
        <w:rPr>
          <w:rFonts w:hint="eastAsia" w:cs="宋体"/>
          <w:color w:val="auto"/>
          <w:highlight w:val="none"/>
        </w:rPr>
        <w:t>（</w:t>
      </w:r>
      <w:r>
        <w:rPr>
          <w:color w:val="auto"/>
          <w:highlight w:val="none"/>
        </w:rPr>
        <w:t>GB5050-2013</w:t>
      </w:r>
      <w:r>
        <w:rPr>
          <w:rFonts w:hint="eastAsia" w:cs="宋体"/>
          <w:color w:val="auto"/>
          <w:highlight w:val="none"/>
        </w:rPr>
        <w:t>）广西壮族自治区实施细则》要求的表格提供，但规费和税费按照</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号）、《自治区住房城乡建设厅关于调整建设工程计价增值税税率的通知》（桂建标〔2018〕14号）、《自治区住房城乡建设厅关于调整建设工程计价增值税税率的通知》（桂建标〔2019〕12号）</w:t>
      </w:r>
      <w:r>
        <w:rPr>
          <w:rFonts w:hint="eastAsia" w:ascii="宋体" w:hAnsi="宋体" w:cs="宋体"/>
          <w:color w:val="auto"/>
          <w:highlight w:val="none"/>
        </w:rPr>
        <w:t>调整</w:t>
      </w:r>
      <w:r>
        <w:rPr>
          <w:rFonts w:hint="eastAsia" w:cs="宋体"/>
          <w:color w:val="auto"/>
          <w:highlight w:val="none"/>
        </w:rPr>
        <w:t>，具体内容包括：</w:t>
      </w:r>
    </w:p>
    <w:p>
      <w:pPr>
        <w:spacing w:line="360" w:lineRule="auto"/>
        <w:ind w:firstLine="630" w:firstLineChars="300"/>
        <w:rPr>
          <w:color w:val="auto"/>
          <w:highlight w:val="none"/>
        </w:rPr>
      </w:pPr>
      <w:r>
        <w:rPr>
          <w:color w:val="auto"/>
          <w:highlight w:val="none"/>
        </w:rPr>
        <w:t xml:space="preserve">1.1 </w:t>
      </w:r>
      <w:r>
        <w:rPr>
          <w:rFonts w:hint="eastAsia" w:cs="宋体"/>
          <w:color w:val="auto"/>
          <w:highlight w:val="none"/>
        </w:rPr>
        <w:t>投标总价（封</w:t>
      </w:r>
      <w:r>
        <w:rPr>
          <w:color w:val="auto"/>
          <w:highlight w:val="none"/>
        </w:rPr>
        <w:t>-3</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1.2 </w:t>
      </w:r>
      <w:r>
        <w:rPr>
          <w:rFonts w:hint="eastAsia" w:cs="宋体"/>
          <w:color w:val="auto"/>
          <w:highlight w:val="none"/>
        </w:rPr>
        <w:t>投标总价（扉</w:t>
      </w:r>
      <w:r>
        <w:rPr>
          <w:color w:val="auto"/>
          <w:highlight w:val="none"/>
        </w:rPr>
        <w:t>-3</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1.4 </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1.5 </w:t>
      </w:r>
      <w:r>
        <w:rPr>
          <w:rFonts w:hint="eastAsia" w:cs="宋体"/>
          <w:color w:val="auto"/>
          <w:highlight w:val="none"/>
        </w:rPr>
        <w:t>单项工程投标报价汇总表（表</w:t>
      </w:r>
      <w:r>
        <w:rPr>
          <w:color w:val="auto"/>
          <w:highlight w:val="none"/>
        </w:rPr>
        <w:t>-03</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1.6 </w:t>
      </w:r>
      <w:r>
        <w:rPr>
          <w:rFonts w:hint="eastAsia" w:cs="宋体"/>
          <w:color w:val="auto"/>
          <w:highlight w:val="none"/>
        </w:rPr>
        <w:t>单位工程投标报价汇总表（表</w:t>
      </w:r>
      <w:r>
        <w:rPr>
          <w:color w:val="auto"/>
          <w:highlight w:val="none"/>
        </w:rPr>
        <w:t>-04</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1.7 </w:t>
      </w:r>
      <w:r>
        <w:rPr>
          <w:rFonts w:hint="eastAsia" w:cs="宋体"/>
          <w:color w:val="auto"/>
          <w:highlight w:val="none"/>
        </w:rPr>
        <w:t>分部分项工程和单价措施项目清单与计价表（表</w:t>
      </w:r>
      <w:r>
        <w:rPr>
          <w:color w:val="auto"/>
          <w:highlight w:val="none"/>
        </w:rPr>
        <w:t>-08</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1.8 </w:t>
      </w:r>
      <w:r>
        <w:rPr>
          <w:rFonts w:hint="eastAsia" w:cs="宋体"/>
          <w:color w:val="auto"/>
          <w:highlight w:val="none"/>
        </w:rPr>
        <w:t>工程量清单综合单价分析表（表</w:t>
      </w:r>
      <w:r>
        <w:rPr>
          <w:color w:val="auto"/>
          <w:highlight w:val="none"/>
        </w:rPr>
        <w:t>-09</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1.9 </w:t>
      </w:r>
      <w:r>
        <w:rPr>
          <w:rFonts w:hint="eastAsia" w:cs="宋体"/>
          <w:color w:val="auto"/>
          <w:highlight w:val="none"/>
        </w:rPr>
        <w:t>主要清单项目工料机分析表（表</w:t>
      </w:r>
      <w:r>
        <w:rPr>
          <w:color w:val="auto"/>
          <w:highlight w:val="none"/>
        </w:rPr>
        <w:t>-10</w:t>
      </w:r>
      <w:r>
        <w:rPr>
          <w:rFonts w:hint="eastAsia" w:cs="宋体"/>
          <w:color w:val="auto"/>
          <w:highlight w:val="none"/>
        </w:rPr>
        <w:t>）【备注：可按要求有选择的提供】</w:t>
      </w:r>
    </w:p>
    <w:p>
      <w:pPr>
        <w:spacing w:line="360" w:lineRule="auto"/>
        <w:ind w:firstLine="630" w:firstLineChars="300"/>
        <w:rPr>
          <w:color w:val="auto"/>
          <w:highlight w:val="none"/>
        </w:rPr>
      </w:pPr>
      <w:r>
        <w:rPr>
          <w:color w:val="auto"/>
          <w:highlight w:val="none"/>
        </w:rPr>
        <w:t xml:space="preserve">1.10 </w:t>
      </w:r>
      <w:r>
        <w:rPr>
          <w:rFonts w:hint="eastAsia" w:cs="宋体"/>
          <w:color w:val="auto"/>
          <w:highlight w:val="none"/>
        </w:rPr>
        <w:t>总价措施项目清单与计价表（表</w:t>
      </w:r>
      <w:r>
        <w:rPr>
          <w:color w:val="auto"/>
          <w:highlight w:val="none"/>
        </w:rPr>
        <w:t>-11</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1.11 </w:t>
      </w:r>
      <w:r>
        <w:rPr>
          <w:rFonts w:hint="eastAsia" w:cs="宋体"/>
          <w:color w:val="auto"/>
          <w:highlight w:val="none"/>
        </w:rPr>
        <w:t>其他项目清单与计价汇总表（表</w:t>
      </w:r>
      <w:r>
        <w:rPr>
          <w:color w:val="auto"/>
          <w:highlight w:val="none"/>
        </w:rPr>
        <w:t>-12</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1.12 </w:t>
      </w:r>
      <w:r>
        <w:rPr>
          <w:rFonts w:hint="eastAsia" w:cs="宋体"/>
          <w:color w:val="auto"/>
          <w:highlight w:val="none"/>
        </w:rPr>
        <w:t>暂列金额明细表（表</w:t>
      </w:r>
      <w:r>
        <w:rPr>
          <w:color w:val="auto"/>
          <w:highlight w:val="none"/>
        </w:rPr>
        <w:t>12-1</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1.13 </w:t>
      </w:r>
      <w:r>
        <w:rPr>
          <w:rFonts w:hint="eastAsia" w:cs="宋体"/>
          <w:color w:val="auto"/>
          <w:highlight w:val="none"/>
        </w:rPr>
        <w:t>材料（工程设备）暂估单价及调整表（表</w:t>
      </w:r>
      <w:r>
        <w:rPr>
          <w:color w:val="auto"/>
          <w:highlight w:val="none"/>
        </w:rPr>
        <w:t>12-2</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1.14 </w:t>
      </w:r>
      <w:r>
        <w:rPr>
          <w:rFonts w:hint="eastAsia" w:cs="宋体"/>
          <w:color w:val="auto"/>
          <w:highlight w:val="none"/>
        </w:rPr>
        <w:t>专业工程暂估价及结算价表（表</w:t>
      </w:r>
      <w:r>
        <w:rPr>
          <w:color w:val="auto"/>
          <w:highlight w:val="none"/>
        </w:rPr>
        <w:t>12-3</w:t>
      </w:r>
      <w:r>
        <w:rPr>
          <w:rFonts w:hint="eastAsia" w:cs="宋体"/>
          <w:color w:val="auto"/>
          <w:highlight w:val="none"/>
        </w:rPr>
        <w:t>）</w:t>
      </w:r>
    </w:p>
    <w:p>
      <w:pPr>
        <w:spacing w:line="360" w:lineRule="auto"/>
        <w:ind w:firstLine="630" w:firstLineChars="300"/>
        <w:rPr>
          <w:color w:val="auto"/>
          <w:highlight w:val="none"/>
        </w:rPr>
      </w:pPr>
      <w:r>
        <w:rPr>
          <w:color w:val="auto"/>
          <w:highlight w:val="none"/>
        </w:rPr>
        <w:t>1.15</w:t>
      </w:r>
      <w:r>
        <w:rPr>
          <w:rFonts w:hint="eastAsia" w:cs="宋体"/>
          <w:color w:val="auto"/>
          <w:highlight w:val="none"/>
        </w:rPr>
        <w:t>计日工表（表</w:t>
      </w:r>
      <w:r>
        <w:rPr>
          <w:color w:val="auto"/>
          <w:highlight w:val="none"/>
        </w:rPr>
        <w:t>12-4</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1.16 </w:t>
      </w:r>
      <w:r>
        <w:rPr>
          <w:rFonts w:hint="eastAsia" w:cs="宋体"/>
          <w:color w:val="auto"/>
          <w:highlight w:val="none"/>
        </w:rPr>
        <w:t>总承包服务费计价表（表</w:t>
      </w:r>
      <w:r>
        <w:rPr>
          <w:color w:val="auto"/>
          <w:highlight w:val="none"/>
        </w:rPr>
        <w:t>12-5</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1.17 </w:t>
      </w:r>
      <w:r>
        <w:rPr>
          <w:rFonts w:hint="eastAsia" w:cs="宋体"/>
          <w:color w:val="auto"/>
          <w:highlight w:val="none"/>
        </w:rPr>
        <w:t>税前项目清单与计价表（表</w:t>
      </w:r>
      <w:r>
        <w:rPr>
          <w:color w:val="auto"/>
          <w:highlight w:val="none"/>
        </w:rPr>
        <w:t>-14</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1.18 </w:t>
      </w:r>
      <w:r>
        <w:rPr>
          <w:rFonts w:hint="eastAsia" w:cs="宋体"/>
          <w:color w:val="auto"/>
          <w:highlight w:val="none"/>
        </w:rPr>
        <w:t>规费、增值税计价表（表</w:t>
      </w:r>
      <w:r>
        <w:rPr>
          <w:color w:val="auto"/>
          <w:highlight w:val="none"/>
        </w:rPr>
        <w:t>-15</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1.19 </w:t>
      </w:r>
      <w:r>
        <w:rPr>
          <w:rFonts w:hint="eastAsia" w:cs="宋体"/>
          <w:color w:val="auto"/>
          <w:highlight w:val="none"/>
        </w:rPr>
        <w:t>发包人提供主要材料和工程设备一览表（表</w:t>
      </w:r>
      <w:r>
        <w:rPr>
          <w:color w:val="auto"/>
          <w:highlight w:val="none"/>
        </w:rPr>
        <w:t>-21</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1.20 </w:t>
      </w:r>
      <w:r>
        <w:rPr>
          <w:rFonts w:hint="eastAsia" w:cs="宋体"/>
          <w:color w:val="auto"/>
          <w:highlight w:val="none"/>
        </w:rPr>
        <w:t>承包人提供主要材料和工程设备一览表（适用于造价信息差额调整法）（表</w:t>
      </w:r>
      <w:r>
        <w:rPr>
          <w:color w:val="auto"/>
          <w:highlight w:val="none"/>
        </w:rPr>
        <w:t>-22</w:t>
      </w:r>
      <w:r>
        <w:rPr>
          <w:rFonts w:hint="eastAsia" w:cs="宋体"/>
          <w:color w:val="auto"/>
          <w:highlight w:val="none"/>
        </w:rPr>
        <w:t>）</w:t>
      </w:r>
    </w:p>
    <w:p>
      <w:pPr>
        <w:spacing w:line="360" w:lineRule="auto"/>
        <w:ind w:firstLine="630" w:firstLineChars="300"/>
        <w:rPr>
          <w:color w:val="auto"/>
          <w:highlight w:val="none"/>
        </w:rPr>
      </w:pPr>
      <w:r>
        <w:rPr>
          <w:color w:val="auto"/>
          <w:highlight w:val="none"/>
        </w:rPr>
        <w:t xml:space="preserve">1.21 </w:t>
      </w:r>
      <w:r>
        <w:rPr>
          <w:rFonts w:hint="eastAsia" w:cs="宋体"/>
          <w:color w:val="auto"/>
          <w:highlight w:val="none"/>
        </w:rPr>
        <w:t>承包人提供主要材料和工程设备一览表（适用于价格指数差额调整法）（表</w:t>
      </w:r>
      <w:r>
        <w:rPr>
          <w:color w:val="auto"/>
          <w:highlight w:val="none"/>
        </w:rPr>
        <w:t>-23</w:t>
      </w:r>
      <w:r>
        <w:rPr>
          <w:rFonts w:hint="eastAsia" w:cs="宋体"/>
          <w:color w:val="auto"/>
          <w:highlight w:val="none"/>
        </w:rPr>
        <w:t>）</w:t>
      </w:r>
    </w:p>
    <w:p>
      <w:pPr>
        <w:spacing w:line="360" w:lineRule="auto"/>
        <w:ind w:firstLine="630" w:firstLineChars="300"/>
        <w:rPr>
          <w:color w:val="auto"/>
          <w:highlight w:val="none"/>
        </w:rPr>
      </w:pPr>
    </w:p>
    <w:p>
      <w:pPr>
        <w:spacing w:line="360" w:lineRule="auto"/>
        <w:rPr>
          <w:color w:val="auto"/>
          <w:highlight w:val="none"/>
        </w:rPr>
      </w:pPr>
      <w:r>
        <w:rPr>
          <w:rFonts w:hint="eastAsia" w:cs="宋体"/>
          <w:color w:val="auto"/>
          <w:highlight w:val="none"/>
        </w:rPr>
        <w:t>备注：</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color w:val="auto"/>
          <w:highlight w:val="none"/>
        </w:rPr>
        <w:t>1.8</w:t>
      </w:r>
      <w:r>
        <w:rPr>
          <w:rFonts w:hint="eastAsia" w:cs="宋体"/>
          <w:color w:val="auto"/>
          <w:highlight w:val="none"/>
        </w:rPr>
        <w:t>工程量清单综合单价分析表和</w:t>
      </w:r>
      <w:r>
        <w:rPr>
          <w:color w:val="auto"/>
          <w:highlight w:val="none"/>
        </w:rPr>
        <w:t>1.9</w:t>
      </w:r>
      <w:r>
        <w:rPr>
          <w:rFonts w:hint="eastAsia" w:cs="宋体"/>
          <w:color w:val="auto"/>
          <w:highlight w:val="none"/>
        </w:rPr>
        <w:t>主要清单项目工料机分析表要求附上。</w:t>
      </w:r>
    </w:p>
    <w:p>
      <w:pPr>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）已标价工程量清单表格要严格按照招标工程量清单给出的表格要求和内容填报。如本工程在合同中约定采用造价信息价差调整法，1.</w:t>
      </w:r>
      <w:r>
        <w:rPr>
          <w:color w:val="auto"/>
          <w:highlight w:val="none"/>
        </w:rPr>
        <w:t xml:space="preserve">18 </w:t>
      </w:r>
      <w:r>
        <w:rPr>
          <w:rFonts w:hint="eastAsia" w:cs="宋体"/>
          <w:color w:val="auto"/>
          <w:highlight w:val="none"/>
        </w:rPr>
        <w:t>承包人提供主要材料和工程设备一览表（适用于造价信息差额调整法）（表</w:t>
      </w:r>
      <w:r>
        <w:rPr>
          <w:color w:val="auto"/>
          <w:highlight w:val="none"/>
        </w:rPr>
        <w:t>-22</w:t>
      </w:r>
      <w:r>
        <w:rPr>
          <w:rFonts w:hint="eastAsia" w:cs="宋体"/>
          <w:color w:val="auto"/>
          <w:highlight w:val="none"/>
        </w:rPr>
        <w:t>）载明的主要材料和设备为本工程允许调整的材料和设备，招标工程量清单必须提供该表格，且不能提供空白表。以下表格视工程实际需要选用，如该工程不发生如下表格相关项目和费用，招标工程量清单不应列入该部分表格，已标价工程量清单亦不包括这部分表格。</w:t>
      </w:r>
    </w:p>
    <w:p>
      <w:pPr>
        <w:spacing w:line="360" w:lineRule="auto"/>
        <w:ind w:firstLine="945" w:firstLineChars="450"/>
        <w:rPr>
          <w:color w:val="auto"/>
          <w:highlight w:val="none"/>
        </w:rPr>
      </w:pPr>
      <w:r>
        <w:rPr>
          <w:rFonts w:hint="eastAsia" w:ascii="宋体" w:hAnsi="宋体" w:cs="宋体"/>
          <w:color w:val="auto"/>
          <w:highlight w:val="none"/>
        </w:rPr>
        <w:t>①</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pPr>
        <w:spacing w:line="360" w:lineRule="auto"/>
        <w:ind w:firstLine="945" w:firstLineChars="450"/>
        <w:rPr>
          <w:color w:val="auto"/>
          <w:highlight w:val="none"/>
        </w:rPr>
      </w:pPr>
      <w:r>
        <w:rPr>
          <w:rFonts w:hint="eastAsia" w:cs="宋体"/>
          <w:color w:val="auto"/>
          <w:highlight w:val="none"/>
        </w:rPr>
        <w:t>②暂列金额明细表（表</w:t>
      </w:r>
      <w:r>
        <w:rPr>
          <w:color w:val="auto"/>
          <w:highlight w:val="none"/>
        </w:rPr>
        <w:t>12-1</w:t>
      </w:r>
      <w:r>
        <w:rPr>
          <w:rFonts w:hint="eastAsia" w:cs="宋体"/>
          <w:color w:val="auto"/>
          <w:highlight w:val="none"/>
        </w:rPr>
        <w:t>）</w:t>
      </w:r>
    </w:p>
    <w:p>
      <w:pPr>
        <w:spacing w:line="360" w:lineRule="auto"/>
        <w:ind w:firstLine="945" w:firstLineChars="450"/>
        <w:rPr>
          <w:color w:val="auto"/>
          <w:highlight w:val="none"/>
        </w:rPr>
      </w:pPr>
      <w:r>
        <w:rPr>
          <w:rFonts w:hint="eastAsia" w:cs="宋体"/>
          <w:color w:val="auto"/>
          <w:highlight w:val="none"/>
        </w:rPr>
        <w:t>③材料（工程设备）暂估单位及调整表（表</w:t>
      </w:r>
      <w:r>
        <w:rPr>
          <w:color w:val="auto"/>
          <w:highlight w:val="none"/>
        </w:rPr>
        <w:t>12-2</w:t>
      </w:r>
      <w:r>
        <w:rPr>
          <w:rFonts w:hint="eastAsia" w:cs="宋体"/>
          <w:color w:val="auto"/>
          <w:highlight w:val="none"/>
        </w:rPr>
        <w:t>）</w:t>
      </w:r>
    </w:p>
    <w:p>
      <w:pPr>
        <w:spacing w:line="360" w:lineRule="auto"/>
        <w:ind w:firstLine="945" w:firstLineChars="450"/>
        <w:rPr>
          <w:color w:val="auto"/>
          <w:highlight w:val="none"/>
        </w:rPr>
      </w:pPr>
      <w:r>
        <w:rPr>
          <w:rFonts w:hint="eastAsia" w:cs="宋体"/>
          <w:color w:val="auto"/>
          <w:highlight w:val="none"/>
        </w:rPr>
        <w:t>④专业工程暂估价及结算价表（表</w:t>
      </w:r>
      <w:r>
        <w:rPr>
          <w:color w:val="auto"/>
          <w:highlight w:val="none"/>
        </w:rPr>
        <w:t>12-3</w:t>
      </w:r>
      <w:r>
        <w:rPr>
          <w:rFonts w:hint="eastAsia" w:cs="宋体"/>
          <w:color w:val="auto"/>
          <w:highlight w:val="none"/>
        </w:rPr>
        <w:t>）</w:t>
      </w:r>
    </w:p>
    <w:p>
      <w:pPr>
        <w:spacing w:line="360" w:lineRule="auto"/>
        <w:ind w:firstLine="945" w:firstLineChars="450"/>
        <w:rPr>
          <w:color w:val="auto"/>
          <w:highlight w:val="none"/>
        </w:rPr>
      </w:pPr>
      <w:r>
        <w:rPr>
          <w:rFonts w:hint="eastAsia" w:cs="宋体"/>
          <w:color w:val="auto"/>
          <w:highlight w:val="none"/>
        </w:rPr>
        <w:t>⑤计日工表表</w:t>
      </w:r>
      <w:r>
        <w:rPr>
          <w:color w:val="auto"/>
          <w:highlight w:val="none"/>
        </w:rPr>
        <w:t>12-4</w:t>
      </w:r>
      <w:r>
        <w:rPr>
          <w:rFonts w:hint="eastAsia" w:cs="宋体"/>
          <w:color w:val="auto"/>
          <w:highlight w:val="none"/>
        </w:rPr>
        <w:t>）</w:t>
      </w:r>
    </w:p>
    <w:p>
      <w:pPr>
        <w:spacing w:line="360" w:lineRule="auto"/>
        <w:ind w:firstLine="945" w:firstLineChars="450"/>
        <w:rPr>
          <w:color w:val="auto"/>
          <w:highlight w:val="none"/>
        </w:rPr>
      </w:pPr>
      <w:r>
        <w:rPr>
          <w:rFonts w:hint="eastAsia" w:cs="宋体"/>
          <w:color w:val="auto"/>
          <w:highlight w:val="none"/>
        </w:rPr>
        <w:t>⑥总承包服务费计价表（表</w:t>
      </w:r>
      <w:r>
        <w:rPr>
          <w:color w:val="auto"/>
          <w:highlight w:val="none"/>
        </w:rPr>
        <w:t>12-5</w:t>
      </w:r>
      <w:r>
        <w:rPr>
          <w:rFonts w:hint="eastAsia" w:cs="宋体"/>
          <w:color w:val="auto"/>
          <w:highlight w:val="none"/>
        </w:rPr>
        <w:t>）</w:t>
      </w:r>
    </w:p>
    <w:p>
      <w:pPr>
        <w:spacing w:line="360" w:lineRule="auto"/>
        <w:ind w:firstLine="945" w:firstLineChars="450"/>
        <w:rPr>
          <w:color w:val="auto"/>
          <w:highlight w:val="none"/>
        </w:rPr>
      </w:pPr>
      <w:r>
        <w:rPr>
          <w:rFonts w:hint="eastAsia" w:cs="宋体"/>
          <w:color w:val="auto"/>
          <w:highlight w:val="none"/>
        </w:rPr>
        <w:t>⑦税前项目清单与计价表（表</w:t>
      </w:r>
      <w:r>
        <w:rPr>
          <w:color w:val="auto"/>
          <w:highlight w:val="none"/>
        </w:rPr>
        <w:t>-14</w:t>
      </w:r>
      <w:r>
        <w:rPr>
          <w:rFonts w:hint="eastAsia" w:cs="宋体"/>
          <w:color w:val="auto"/>
          <w:highlight w:val="none"/>
        </w:rPr>
        <w:t>）</w:t>
      </w:r>
    </w:p>
    <w:p>
      <w:pPr>
        <w:spacing w:line="360" w:lineRule="auto"/>
        <w:ind w:firstLine="945" w:firstLineChars="45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8 \* GB3</w:instrText>
      </w:r>
      <w:r>
        <w:rPr>
          <w:color w:val="auto"/>
          <w:highlight w:val="none"/>
        </w:rPr>
        <w:instrText xml:space="preserve"> </w:instrText>
      </w:r>
      <w:r>
        <w:rPr>
          <w:color w:val="auto"/>
          <w:highlight w:val="none"/>
        </w:rPr>
        <w:fldChar w:fldCharType="separate"/>
      </w:r>
      <w:r>
        <w:rPr>
          <w:rFonts w:hint="eastAsia"/>
          <w:color w:val="auto"/>
          <w:highlight w:val="none"/>
        </w:rPr>
        <w:t>⑧</w:t>
      </w:r>
      <w:r>
        <w:rPr>
          <w:color w:val="auto"/>
          <w:highlight w:val="none"/>
        </w:rPr>
        <w:fldChar w:fldCharType="end"/>
      </w:r>
      <w:r>
        <w:rPr>
          <w:color w:val="auto"/>
          <w:highlight w:val="none"/>
        </w:rPr>
        <w:t xml:space="preserve"> </w:t>
      </w:r>
      <w:r>
        <w:rPr>
          <w:rFonts w:hint="eastAsia" w:cs="宋体"/>
          <w:color w:val="auto"/>
          <w:highlight w:val="none"/>
        </w:rPr>
        <w:t>承包人提供主要材料和工程设备一览表（适用于价格指数差额调整法）（表</w:t>
      </w:r>
      <w:r>
        <w:rPr>
          <w:color w:val="auto"/>
          <w:highlight w:val="none"/>
        </w:rPr>
        <w:t>-23</w:t>
      </w:r>
      <w:r>
        <w:rPr>
          <w:rFonts w:hint="eastAsia" w:cs="宋体"/>
          <w:color w:val="auto"/>
          <w:highlight w:val="none"/>
        </w:rPr>
        <w:t>）</w:t>
      </w:r>
    </w:p>
    <w:p>
      <w:pPr>
        <w:spacing w:line="360" w:lineRule="auto"/>
        <w:ind w:firstLine="945" w:firstLineChars="450"/>
        <w:rPr>
          <w:color w:val="auto"/>
          <w:highlight w:val="none"/>
        </w:rPr>
      </w:pPr>
    </w:p>
    <w:p>
      <w:pPr>
        <w:spacing w:line="360" w:lineRule="auto"/>
        <w:ind w:firstLine="945" w:firstLineChars="450"/>
        <w:rPr>
          <w:color w:val="auto"/>
          <w:highlight w:val="none"/>
        </w:rPr>
      </w:pPr>
    </w:p>
    <w:p>
      <w:pPr>
        <w:spacing w:line="360" w:lineRule="auto"/>
        <w:rPr>
          <w:color w:val="auto"/>
          <w:highlight w:val="none"/>
        </w:rPr>
      </w:pPr>
    </w:p>
    <w:p>
      <w:pPr>
        <w:spacing w:line="360" w:lineRule="auto"/>
        <w:rPr>
          <w:color w:val="auto"/>
          <w:highlight w:val="none"/>
        </w:rPr>
      </w:pPr>
    </w:p>
    <w:p>
      <w:pPr>
        <w:rPr>
          <w:color w:val="auto"/>
          <w:highlight w:val="none"/>
        </w:rPr>
        <w:sectPr>
          <w:pgSz w:w="11907" w:h="16840"/>
          <w:pgMar w:top="1440" w:right="1440" w:bottom="1440" w:left="1797" w:header="851" w:footer="851" w:gutter="0"/>
          <w:cols w:space="720" w:num="1"/>
          <w:docGrid w:linePitch="312" w:charSpace="0"/>
        </w:sect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28"/>
          <w:szCs w:val="28"/>
          <w:highlight w:val="none"/>
        </w:rPr>
      </w:pPr>
      <w:r>
        <w:rPr>
          <w:color w:val="auto"/>
          <w:sz w:val="32"/>
          <w:szCs w:val="32"/>
          <w:highlight w:val="none"/>
          <w:u w:val="single"/>
        </w:rPr>
        <w:t xml:space="preserve">             </w:t>
      </w:r>
      <w:r>
        <w:rPr>
          <w:rFonts w:hint="eastAsia" w:cs="宋体"/>
          <w:color w:val="auto"/>
          <w:sz w:val="28"/>
          <w:szCs w:val="28"/>
          <w:highlight w:val="none"/>
        </w:rPr>
        <w:t>（项目名称）施工招标</w:t>
      </w:r>
    </w:p>
    <w:p>
      <w:pPr>
        <w:jc w:val="center"/>
        <w:rPr>
          <w:color w:val="auto"/>
          <w:sz w:val="28"/>
          <w:szCs w:val="28"/>
          <w:highlight w:val="none"/>
        </w:rPr>
      </w:pPr>
    </w:p>
    <w:p>
      <w:pPr>
        <w:spacing w:before="240" w:beforeLines="100"/>
        <w:jc w:val="center"/>
        <w:rPr>
          <w:color w:val="auto"/>
          <w:sz w:val="52"/>
          <w:szCs w:val="52"/>
          <w:highlight w:val="none"/>
        </w:rPr>
      </w:pPr>
      <w:r>
        <w:rPr>
          <w:rFonts w:hint="eastAsia" w:cs="宋体"/>
          <w:color w:val="auto"/>
          <w:sz w:val="52"/>
          <w:szCs w:val="52"/>
          <w:highlight w:val="none"/>
        </w:rPr>
        <w:t>投</w:t>
      </w:r>
      <w:r>
        <w:rPr>
          <w:color w:val="auto"/>
          <w:sz w:val="52"/>
          <w:szCs w:val="52"/>
          <w:highlight w:val="none"/>
        </w:rPr>
        <w:t xml:space="preserve">  </w:t>
      </w:r>
      <w:r>
        <w:rPr>
          <w:rFonts w:hint="eastAsia" w:cs="宋体"/>
          <w:color w:val="auto"/>
          <w:sz w:val="52"/>
          <w:szCs w:val="52"/>
          <w:highlight w:val="none"/>
        </w:rPr>
        <w:t>标</w:t>
      </w:r>
      <w:r>
        <w:rPr>
          <w:color w:val="auto"/>
          <w:sz w:val="52"/>
          <w:szCs w:val="52"/>
          <w:highlight w:val="none"/>
        </w:rPr>
        <w:t xml:space="preserve">  </w:t>
      </w:r>
      <w:r>
        <w:rPr>
          <w:rFonts w:hint="eastAsia" w:cs="宋体"/>
          <w:color w:val="auto"/>
          <w:sz w:val="52"/>
          <w:szCs w:val="52"/>
          <w:highlight w:val="none"/>
        </w:rPr>
        <w:t>文</w:t>
      </w:r>
      <w:r>
        <w:rPr>
          <w:color w:val="auto"/>
          <w:sz w:val="52"/>
          <w:szCs w:val="52"/>
          <w:highlight w:val="none"/>
        </w:rPr>
        <w:t xml:space="preserve">  </w:t>
      </w:r>
      <w:r>
        <w:rPr>
          <w:rFonts w:hint="eastAsia" w:cs="宋体"/>
          <w:color w:val="auto"/>
          <w:sz w:val="52"/>
          <w:szCs w:val="52"/>
          <w:highlight w:val="none"/>
        </w:rPr>
        <w:t>件</w:t>
      </w: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spacing w:line="360" w:lineRule="auto"/>
        <w:ind w:firstLine="2380" w:firstLineChars="850"/>
        <w:rPr>
          <w:color w:val="auto"/>
          <w:sz w:val="28"/>
          <w:szCs w:val="28"/>
          <w:highlight w:val="none"/>
          <w:u w:val="single"/>
        </w:rPr>
      </w:pPr>
      <w:r>
        <w:rPr>
          <w:rFonts w:hint="eastAsia" w:cs="宋体"/>
          <w:color w:val="auto"/>
          <w:sz w:val="28"/>
          <w:szCs w:val="28"/>
          <w:highlight w:val="none"/>
        </w:rPr>
        <w:t>项目招标编号：</w:t>
      </w:r>
      <w:r>
        <w:rPr>
          <w:color w:val="auto"/>
          <w:sz w:val="28"/>
          <w:szCs w:val="28"/>
          <w:highlight w:val="none"/>
          <w:u w:val="single"/>
        </w:rPr>
        <w:t xml:space="preserve">                   </w:t>
      </w: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spacing w:line="360" w:lineRule="auto"/>
        <w:ind w:firstLine="980" w:firstLineChars="350"/>
        <w:rPr>
          <w:color w:val="auto"/>
          <w:sz w:val="28"/>
          <w:szCs w:val="28"/>
          <w:highlight w:val="none"/>
          <w:u w:val="single"/>
        </w:rPr>
      </w:pPr>
      <w:r>
        <w:rPr>
          <w:rFonts w:hint="eastAsia" w:cs="宋体"/>
          <w:color w:val="auto"/>
          <w:sz w:val="28"/>
          <w:szCs w:val="28"/>
          <w:highlight w:val="none"/>
        </w:rPr>
        <w:t>投标内容：</w:t>
      </w:r>
      <w:r>
        <w:rPr>
          <w:color w:val="auto"/>
          <w:sz w:val="28"/>
          <w:szCs w:val="28"/>
          <w:highlight w:val="none"/>
          <w:u w:val="single"/>
        </w:rPr>
        <w:t xml:space="preserve">            </w:t>
      </w:r>
      <w:r>
        <w:rPr>
          <w:rFonts w:hint="eastAsia" w:cs="宋体"/>
          <w:color w:val="auto"/>
          <w:sz w:val="28"/>
          <w:szCs w:val="28"/>
          <w:highlight w:val="none"/>
          <w:u w:val="single"/>
        </w:rPr>
        <w:t>技术标部分</w:t>
      </w:r>
      <w:r>
        <w:rPr>
          <w:color w:val="auto"/>
          <w:sz w:val="28"/>
          <w:szCs w:val="28"/>
          <w:highlight w:val="none"/>
          <w:u w:val="single"/>
        </w:rPr>
        <w:t xml:space="preserve">           </w:t>
      </w:r>
    </w:p>
    <w:p>
      <w:pPr>
        <w:spacing w:line="360" w:lineRule="auto"/>
        <w:ind w:firstLine="980" w:firstLineChars="350"/>
        <w:rPr>
          <w:color w:val="auto"/>
          <w:sz w:val="28"/>
          <w:szCs w:val="28"/>
          <w:highlight w:val="none"/>
        </w:rPr>
      </w:pPr>
      <w:r>
        <w:rPr>
          <w:rFonts w:hint="eastAsia" w:cs="宋体"/>
          <w:color w:val="auto"/>
          <w:sz w:val="28"/>
          <w:szCs w:val="28"/>
          <w:highlight w:val="none"/>
        </w:rPr>
        <w:t>投标人：</w:t>
      </w:r>
      <w:r>
        <w:rPr>
          <w:color w:val="auto"/>
          <w:sz w:val="28"/>
          <w:szCs w:val="28"/>
          <w:highlight w:val="none"/>
          <w:u w:val="single"/>
        </w:rPr>
        <w:t xml:space="preserve">                               </w:t>
      </w:r>
      <w:r>
        <w:rPr>
          <w:rFonts w:hint="eastAsia" w:cs="宋体"/>
          <w:color w:val="auto"/>
          <w:sz w:val="28"/>
          <w:szCs w:val="28"/>
          <w:highlight w:val="none"/>
        </w:rPr>
        <w:t>（盖单位章）</w:t>
      </w:r>
    </w:p>
    <w:p>
      <w:pPr>
        <w:spacing w:line="360" w:lineRule="auto"/>
        <w:ind w:firstLine="980" w:firstLineChars="350"/>
        <w:rPr>
          <w:color w:val="auto"/>
          <w:sz w:val="28"/>
          <w:szCs w:val="28"/>
          <w:highlight w:val="none"/>
        </w:rPr>
      </w:pPr>
      <w:r>
        <w:rPr>
          <w:rFonts w:hint="eastAsia" w:cs="宋体"/>
          <w:color w:val="auto"/>
          <w:sz w:val="28"/>
          <w:szCs w:val="28"/>
          <w:highlight w:val="none"/>
        </w:rPr>
        <w:t>法定代表人：</w:t>
      </w:r>
      <w:r>
        <w:rPr>
          <w:color w:val="auto"/>
          <w:sz w:val="28"/>
          <w:szCs w:val="28"/>
          <w:highlight w:val="none"/>
          <w:u w:val="single"/>
        </w:rPr>
        <w:t xml:space="preserve">           </w:t>
      </w:r>
      <w:r>
        <w:rPr>
          <w:rFonts w:hint="eastAsia" w:cs="宋体"/>
          <w:color w:val="auto"/>
          <w:sz w:val="28"/>
          <w:szCs w:val="28"/>
          <w:highlight w:val="none"/>
        </w:rPr>
        <w:t>（签字或盖章）</w:t>
      </w:r>
    </w:p>
    <w:p>
      <w:pPr>
        <w:jc w:val="center"/>
        <w:rPr>
          <w:color w:val="auto"/>
          <w:sz w:val="28"/>
          <w:szCs w:val="28"/>
          <w:highlight w:val="none"/>
        </w:rPr>
      </w:pPr>
    </w:p>
    <w:p>
      <w:pPr>
        <w:jc w:val="center"/>
        <w:rPr>
          <w:color w:val="auto"/>
          <w:sz w:val="28"/>
          <w:szCs w:val="28"/>
          <w:highlight w:val="none"/>
        </w:rPr>
      </w:pPr>
    </w:p>
    <w:p>
      <w:pPr>
        <w:jc w:val="center"/>
        <w:rPr>
          <w:color w:val="auto"/>
          <w:sz w:val="28"/>
          <w:szCs w:val="28"/>
          <w:highlight w:val="none"/>
        </w:rPr>
      </w:pPr>
      <w:r>
        <w:rPr>
          <w:color w:val="auto"/>
          <w:sz w:val="28"/>
          <w:szCs w:val="28"/>
          <w:highlight w:val="none"/>
          <w:u w:val="single"/>
        </w:rPr>
        <w:t xml:space="preserve">         </w:t>
      </w:r>
      <w:r>
        <w:rPr>
          <w:rFonts w:hint="eastAsia" w:cs="宋体"/>
          <w:color w:val="auto"/>
          <w:sz w:val="28"/>
          <w:szCs w:val="28"/>
          <w:highlight w:val="none"/>
        </w:rPr>
        <w:t>年</w:t>
      </w:r>
      <w:r>
        <w:rPr>
          <w:color w:val="auto"/>
          <w:sz w:val="28"/>
          <w:szCs w:val="28"/>
          <w:highlight w:val="none"/>
          <w:u w:val="single"/>
        </w:rPr>
        <w:t xml:space="preserve">         </w:t>
      </w:r>
      <w:r>
        <w:rPr>
          <w:rFonts w:hint="eastAsia" w:cs="宋体"/>
          <w:color w:val="auto"/>
          <w:sz w:val="28"/>
          <w:szCs w:val="28"/>
          <w:highlight w:val="none"/>
        </w:rPr>
        <w:t>月</w:t>
      </w:r>
      <w:r>
        <w:rPr>
          <w:color w:val="auto"/>
          <w:sz w:val="28"/>
          <w:szCs w:val="28"/>
          <w:highlight w:val="none"/>
          <w:u w:val="single"/>
        </w:rPr>
        <w:t xml:space="preserve">         </w:t>
      </w:r>
      <w:r>
        <w:rPr>
          <w:rFonts w:hint="eastAsia" w:cs="宋体"/>
          <w:color w:val="auto"/>
          <w:sz w:val="28"/>
          <w:szCs w:val="28"/>
          <w:highlight w:val="none"/>
        </w:rPr>
        <w:t>日</w:t>
      </w:r>
    </w:p>
    <w:p>
      <w:pPr>
        <w:spacing w:line="360" w:lineRule="exact"/>
        <w:ind w:firstLine="560" w:firstLineChars="200"/>
        <w:jc w:val="center"/>
        <w:rPr>
          <w:b/>
          <w:bCs/>
          <w:color w:val="auto"/>
          <w:sz w:val="28"/>
          <w:szCs w:val="28"/>
          <w:highlight w:val="none"/>
        </w:rPr>
      </w:pPr>
      <w:r>
        <w:rPr>
          <w:color w:val="auto"/>
          <w:sz w:val="28"/>
          <w:szCs w:val="28"/>
          <w:highlight w:val="none"/>
        </w:rPr>
        <w:br w:type="page"/>
      </w:r>
      <w:bookmarkStart w:id="467" w:name="_Toc153274944"/>
      <w:bookmarkStart w:id="468" w:name="_Toc173579002"/>
      <w:bookmarkStart w:id="469" w:name="_Toc172364022"/>
      <w:bookmarkStart w:id="470" w:name="_Toc251052160"/>
      <w:r>
        <w:rPr>
          <w:rFonts w:hint="eastAsia" w:cs="宋体"/>
          <w:b/>
          <w:bCs/>
          <w:color w:val="auto"/>
          <w:sz w:val="28"/>
          <w:szCs w:val="28"/>
          <w:highlight w:val="none"/>
        </w:rPr>
        <w:t>目</w:t>
      </w:r>
      <w:r>
        <w:rPr>
          <w:b/>
          <w:bCs/>
          <w:color w:val="auto"/>
          <w:sz w:val="28"/>
          <w:szCs w:val="28"/>
          <w:highlight w:val="none"/>
        </w:rPr>
        <w:t xml:space="preserve">   </w:t>
      </w:r>
      <w:r>
        <w:rPr>
          <w:rFonts w:hint="eastAsia" w:cs="宋体"/>
          <w:b/>
          <w:bCs/>
          <w:color w:val="auto"/>
          <w:sz w:val="28"/>
          <w:szCs w:val="28"/>
          <w:highlight w:val="none"/>
        </w:rPr>
        <w:t>录</w:t>
      </w:r>
    </w:p>
    <w:p>
      <w:pPr>
        <w:spacing w:line="360" w:lineRule="exact"/>
        <w:ind w:firstLine="640" w:firstLineChars="200"/>
        <w:rPr>
          <w:color w:val="auto"/>
          <w:sz w:val="32"/>
          <w:szCs w:val="32"/>
          <w:highlight w:val="none"/>
        </w:rPr>
      </w:pPr>
    </w:p>
    <w:p>
      <w:pPr>
        <w:pStyle w:val="25"/>
        <w:spacing w:line="460" w:lineRule="exact"/>
        <w:rPr>
          <w:color w:val="auto"/>
          <w:highlight w:val="none"/>
        </w:rPr>
      </w:pPr>
      <w:r>
        <w:rPr>
          <w:rFonts w:hint="eastAsia"/>
          <w:color w:val="auto"/>
          <w:highlight w:val="none"/>
        </w:rPr>
        <w:t>一</w:t>
      </w:r>
      <w:r>
        <w:rPr>
          <w:rFonts w:hint="eastAsia" w:cs="宋体"/>
          <w:color w:val="auto"/>
          <w:highlight w:val="none"/>
        </w:rPr>
        <w:t>、施工组织设计；</w:t>
      </w:r>
    </w:p>
    <w:p>
      <w:pPr>
        <w:pStyle w:val="24"/>
        <w:spacing w:line="460" w:lineRule="exact"/>
        <w:rPr>
          <w:color w:val="auto"/>
          <w:highlight w:val="none"/>
        </w:rPr>
      </w:pPr>
      <w:r>
        <w:rPr>
          <w:rFonts w:hint="eastAsia"/>
          <w:color w:val="auto"/>
          <w:highlight w:val="none"/>
        </w:rPr>
        <w:t>二</w:t>
      </w:r>
      <w:r>
        <w:rPr>
          <w:rFonts w:hint="eastAsia" w:cs="宋体"/>
          <w:color w:val="auto"/>
          <w:highlight w:val="none"/>
        </w:rPr>
        <w:t>、拟分包计划表；</w:t>
      </w:r>
    </w:p>
    <w:p>
      <w:pPr>
        <w:pStyle w:val="24"/>
        <w:spacing w:line="460" w:lineRule="exact"/>
        <w:rPr>
          <w:color w:val="auto"/>
          <w:highlight w:val="none"/>
        </w:rPr>
      </w:pPr>
      <w:r>
        <w:rPr>
          <w:rFonts w:hint="eastAsia"/>
          <w:color w:val="auto"/>
          <w:highlight w:val="none"/>
        </w:rPr>
        <w:t>三</w:t>
      </w:r>
      <w:r>
        <w:rPr>
          <w:rFonts w:hint="eastAsia" w:cs="宋体"/>
          <w:color w:val="auto"/>
          <w:highlight w:val="none"/>
        </w:rPr>
        <w:t>、项目管理机构。</w:t>
      </w:r>
    </w:p>
    <w:p>
      <w:pPr>
        <w:pStyle w:val="25"/>
        <w:rPr>
          <w:b/>
          <w:bCs/>
          <w:color w:val="auto"/>
          <w:highlight w:val="none"/>
        </w:rPr>
      </w:pPr>
    </w:p>
    <w:p>
      <w:pPr>
        <w:pStyle w:val="25"/>
        <w:rPr>
          <w:b/>
          <w:bCs/>
          <w:color w:val="auto"/>
          <w:highlight w:val="none"/>
        </w:rPr>
      </w:pPr>
    </w:p>
    <w:p>
      <w:pPr>
        <w:spacing w:line="360" w:lineRule="exact"/>
        <w:ind w:firstLine="560" w:firstLineChars="200"/>
        <w:rPr>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rFonts w:hint="eastAsia"/>
          <w:color w:val="auto"/>
          <w:sz w:val="28"/>
          <w:szCs w:val="28"/>
          <w:highlight w:val="none"/>
        </w:rPr>
      </w:pPr>
    </w:p>
    <w:p>
      <w:pPr>
        <w:spacing w:line="360" w:lineRule="exact"/>
        <w:ind w:firstLine="560" w:firstLineChars="200"/>
        <w:rPr>
          <w:rFonts w:hint="eastAsia"/>
          <w:color w:val="auto"/>
          <w:sz w:val="28"/>
          <w:szCs w:val="28"/>
          <w:highlight w:val="none"/>
        </w:rPr>
      </w:pPr>
    </w:p>
    <w:p>
      <w:pPr>
        <w:spacing w:line="360" w:lineRule="exact"/>
        <w:ind w:firstLine="560" w:firstLineChars="200"/>
        <w:rPr>
          <w:rFonts w:hint="eastAsia"/>
          <w:color w:val="auto"/>
          <w:sz w:val="28"/>
          <w:szCs w:val="28"/>
          <w:highlight w:val="none"/>
        </w:rPr>
      </w:pPr>
    </w:p>
    <w:p>
      <w:pPr>
        <w:spacing w:line="360" w:lineRule="exact"/>
        <w:ind w:firstLine="560" w:firstLineChars="200"/>
        <w:rPr>
          <w:rFonts w:hint="eastAsia"/>
          <w:color w:val="auto"/>
          <w:sz w:val="28"/>
          <w:szCs w:val="28"/>
          <w:highlight w:val="none"/>
        </w:rPr>
      </w:pPr>
    </w:p>
    <w:p>
      <w:pPr>
        <w:spacing w:line="360" w:lineRule="exact"/>
        <w:ind w:firstLine="560" w:firstLineChars="200"/>
        <w:rPr>
          <w:color w:val="auto"/>
          <w:sz w:val="28"/>
          <w:szCs w:val="28"/>
          <w:highlight w:val="none"/>
        </w:rPr>
      </w:pPr>
    </w:p>
    <w:p>
      <w:pPr>
        <w:spacing w:line="360" w:lineRule="exact"/>
        <w:ind w:firstLine="560" w:firstLineChars="200"/>
        <w:rPr>
          <w:rFonts w:hint="eastAsia"/>
          <w:color w:val="auto"/>
          <w:sz w:val="28"/>
          <w:szCs w:val="28"/>
          <w:highlight w:val="none"/>
        </w:rPr>
      </w:pPr>
    </w:p>
    <w:p>
      <w:pPr>
        <w:rPr>
          <w:rFonts w:hint="eastAsia" w:ascii="宋体" w:hAnsi="宋体"/>
          <w:color w:val="auto"/>
          <w:highlight w:val="none"/>
        </w:rPr>
      </w:pPr>
    </w:p>
    <w:p>
      <w:pPr>
        <w:pStyle w:val="25"/>
        <w:jc w:val="center"/>
        <w:outlineLvl w:val="0"/>
        <w:rPr>
          <w:b/>
          <w:bCs/>
          <w:color w:val="auto"/>
          <w:sz w:val="24"/>
          <w:szCs w:val="24"/>
          <w:highlight w:val="none"/>
        </w:rPr>
      </w:pPr>
      <w:bookmarkStart w:id="471" w:name="_Toc389065360"/>
      <w:r>
        <w:rPr>
          <w:rFonts w:hint="eastAsia" w:cs="宋体"/>
          <w:b/>
          <w:bCs/>
          <w:color w:val="auto"/>
          <w:sz w:val="24"/>
          <w:szCs w:val="24"/>
          <w:highlight w:val="none"/>
        </w:rPr>
        <w:t>一、施工组织设计</w:t>
      </w:r>
      <w:bookmarkEnd w:id="471"/>
    </w:p>
    <w:p>
      <w:pPr>
        <w:rPr>
          <w:color w:val="auto"/>
          <w:highlight w:val="none"/>
        </w:rPr>
      </w:pPr>
    </w:p>
    <w:p>
      <w:pPr>
        <w:spacing w:line="360" w:lineRule="auto"/>
        <w:ind w:firstLine="420" w:firstLineChars="200"/>
        <w:rPr>
          <w:rFonts w:hint="eastAsia" w:ascii="宋体" w:hAnsi="宋体"/>
          <w:color w:val="auto"/>
          <w:highlight w:val="none"/>
        </w:rPr>
      </w:pPr>
      <w:r>
        <w:rPr>
          <w:rFonts w:hint="eastAsia"/>
          <w:color w:val="auto"/>
          <w:highlight w:val="none"/>
        </w:rPr>
        <w:t>一、</w:t>
      </w:r>
      <w:r>
        <w:rPr>
          <w:rFonts w:hint="eastAsia" w:ascii="宋体" w:hAnsi="宋体"/>
          <w:color w:val="auto"/>
          <w:highlight w:val="none"/>
        </w:rPr>
        <w:t>技术标的</w:t>
      </w:r>
      <w:r>
        <w:rPr>
          <w:color w:val="auto"/>
          <w:highlight w:val="none"/>
        </w:rPr>
        <w:t>施工组织</w:t>
      </w:r>
      <w:r>
        <w:rPr>
          <w:rFonts w:hint="eastAsia"/>
          <w:color w:val="auto"/>
          <w:highlight w:val="none"/>
        </w:rPr>
        <w:t>设计</w:t>
      </w:r>
      <w:r>
        <w:rPr>
          <w:rFonts w:hint="eastAsia" w:ascii="宋体" w:hAnsi="宋体"/>
          <w:color w:val="auto"/>
          <w:highlight w:val="none"/>
        </w:rPr>
        <w:t>编制要求：</w:t>
      </w:r>
    </w:p>
    <w:p>
      <w:pPr>
        <w:spacing w:line="360" w:lineRule="auto"/>
        <w:ind w:firstLine="567" w:firstLineChars="270"/>
        <w:rPr>
          <w:rFonts w:hint="eastAsia"/>
          <w:color w:val="auto"/>
          <w:highlight w:val="none"/>
        </w:rPr>
      </w:pPr>
      <w:r>
        <w:rPr>
          <w:rFonts w:hint="eastAsia" w:ascii="宋体" w:hAnsi="宋体"/>
          <w:color w:val="auto"/>
          <w:highlight w:val="none"/>
        </w:rPr>
        <w:t>1、技术标</w:t>
      </w:r>
      <w:r>
        <w:rPr>
          <w:color w:val="auto"/>
          <w:highlight w:val="none"/>
        </w:rPr>
        <w:t>施工组织</w:t>
      </w:r>
      <w:r>
        <w:rPr>
          <w:rFonts w:hint="eastAsia"/>
          <w:color w:val="auto"/>
          <w:highlight w:val="none"/>
        </w:rPr>
        <w:t>设计</w:t>
      </w:r>
      <w:r>
        <w:rPr>
          <w:rFonts w:hint="eastAsia" w:ascii="宋体" w:hAnsi="宋体"/>
          <w:color w:val="auto"/>
          <w:highlight w:val="none"/>
        </w:rPr>
        <w:t>应</w:t>
      </w:r>
      <w:r>
        <w:rPr>
          <w:rFonts w:hint="eastAsia"/>
          <w:color w:val="auto"/>
          <w:highlight w:val="none"/>
        </w:rPr>
        <w:t>按投标人须知3.1.</w:t>
      </w:r>
      <w:r>
        <w:rPr>
          <w:color w:val="auto"/>
          <w:highlight w:val="none"/>
        </w:rPr>
        <w:t>1</w:t>
      </w:r>
      <w:r>
        <w:rPr>
          <w:rFonts w:hint="eastAsia"/>
          <w:color w:val="auto"/>
          <w:highlight w:val="none"/>
        </w:rPr>
        <w:t>.3</w:t>
      </w:r>
      <w:r>
        <w:rPr>
          <w:color w:val="auto"/>
          <w:highlight w:val="none"/>
        </w:rPr>
        <w:t>施工组织</w:t>
      </w:r>
      <w:r>
        <w:rPr>
          <w:rFonts w:hint="eastAsia"/>
          <w:color w:val="auto"/>
          <w:highlight w:val="none"/>
        </w:rPr>
        <w:t>设计要求的内容顺序编制，可</w:t>
      </w:r>
      <w:r>
        <w:rPr>
          <w:rFonts w:hint="eastAsia" w:ascii="宋体" w:hAnsi="宋体"/>
          <w:color w:val="auto"/>
          <w:highlight w:val="none"/>
        </w:rPr>
        <w:t>采用文字并结合图表形式说明施工方法</w:t>
      </w:r>
      <w:r>
        <w:rPr>
          <w:rFonts w:hint="eastAsia"/>
          <w:color w:val="auto"/>
          <w:highlight w:val="none"/>
        </w:rPr>
        <w:t>。</w:t>
      </w:r>
    </w:p>
    <w:p>
      <w:pPr>
        <w:spacing w:line="360" w:lineRule="auto"/>
        <w:ind w:firstLine="567" w:firstLineChars="270"/>
        <w:rPr>
          <w:rFonts w:ascii="宋体" w:hAnsi="宋体"/>
          <w:color w:val="auto"/>
          <w:highlight w:val="none"/>
        </w:rPr>
      </w:pPr>
      <w:r>
        <w:rPr>
          <w:rFonts w:hint="eastAsia" w:ascii="宋体" w:hAnsi="宋体"/>
          <w:color w:val="auto"/>
          <w:highlight w:val="none"/>
        </w:rPr>
        <w:t>2、技术标</w:t>
      </w:r>
      <w:r>
        <w:rPr>
          <w:color w:val="auto"/>
          <w:highlight w:val="none"/>
        </w:rPr>
        <w:t>施工组织</w:t>
      </w:r>
      <w:r>
        <w:rPr>
          <w:rFonts w:hint="eastAsia"/>
          <w:color w:val="auto"/>
          <w:highlight w:val="none"/>
        </w:rPr>
        <w:t>设计</w:t>
      </w:r>
      <w:r>
        <w:rPr>
          <w:rFonts w:hint="eastAsia" w:ascii="宋体" w:hAnsi="宋体"/>
          <w:color w:val="auto"/>
          <w:highlight w:val="none"/>
        </w:rPr>
        <w:t>除采用文字表述外可附下列图表，图表及格式要求附后。</w:t>
      </w:r>
    </w:p>
    <w:p>
      <w:pPr>
        <w:spacing w:line="460" w:lineRule="exact"/>
        <w:ind w:firstLine="420" w:firstLineChars="200"/>
        <w:rPr>
          <w:color w:val="auto"/>
          <w:highlight w:val="none"/>
        </w:rPr>
      </w:pPr>
      <w:r>
        <w:rPr>
          <w:rFonts w:hint="eastAsia" w:cs="宋体"/>
          <w:color w:val="auto"/>
          <w:highlight w:val="none"/>
        </w:rPr>
        <w:t>附表一</w:t>
      </w:r>
      <w:r>
        <w:rPr>
          <w:color w:val="auto"/>
          <w:highlight w:val="none"/>
        </w:rPr>
        <w:t xml:space="preserve">  </w:t>
      </w:r>
      <w:r>
        <w:rPr>
          <w:rFonts w:hint="eastAsia" w:cs="宋体"/>
          <w:color w:val="auto"/>
          <w:highlight w:val="none"/>
        </w:rPr>
        <w:t>拟投入本工程的主要施工设备表</w:t>
      </w:r>
    </w:p>
    <w:p>
      <w:pPr>
        <w:spacing w:line="460" w:lineRule="exact"/>
        <w:ind w:firstLine="420" w:firstLineChars="200"/>
        <w:rPr>
          <w:color w:val="auto"/>
          <w:highlight w:val="none"/>
        </w:rPr>
      </w:pPr>
      <w:r>
        <w:rPr>
          <w:rFonts w:hint="eastAsia" w:cs="宋体"/>
          <w:color w:val="auto"/>
          <w:highlight w:val="none"/>
        </w:rPr>
        <w:t>附表二</w:t>
      </w:r>
      <w:r>
        <w:rPr>
          <w:color w:val="auto"/>
          <w:highlight w:val="none"/>
        </w:rPr>
        <w:t xml:space="preserve">  </w:t>
      </w:r>
      <w:r>
        <w:rPr>
          <w:rFonts w:hint="eastAsia" w:cs="宋体"/>
          <w:color w:val="auto"/>
          <w:highlight w:val="none"/>
        </w:rPr>
        <w:t>拟配备本工程的试验和检测仪器设备表</w:t>
      </w:r>
    </w:p>
    <w:p>
      <w:pPr>
        <w:spacing w:line="460" w:lineRule="exact"/>
        <w:ind w:firstLine="420" w:firstLineChars="200"/>
        <w:rPr>
          <w:color w:val="auto"/>
          <w:highlight w:val="none"/>
        </w:rPr>
      </w:pPr>
      <w:r>
        <w:rPr>
          <w:rFonts w:hint="eastAsia" w:cs="宋体"/>
          <w:color w:val="auto"/>
          <w:highlight w:val="none"/>
        </w:rPr>
        <w:t>附表三</w:t>
      </w:r>
      <w:r>
        <w:rPr>
          <w:color w:val="auto"/>
          <w:highlight w:val="none"/>
        </w:rPr>
        <w:t xml:space="preserve">  </w:t>
      </w:r>
      <w:r>
        <w:rPr>
          <w:rFonts w:hint="eastAsia" w:cs="宋体"/>
          <w:color w:val="auto"/>
          <w:highlight w:val="none"/>
        </w:rPr>
        <w:t>劳动力计划表</w:t>
      </w:r>
    </w:p>
    <w:p>
      <w:pPr>
        <w:spacing w:line="460" w:lineRule="exact"/>
        <w:ind w:firstLine="420" w:firstLineChars="200"/>
        <w:rPr>
          <w:color w:val="auto"/>
          <w:highlight w:val="none"/>
        </w:rPr>
      </w:pPr>
      <w:r>
        <w:rPr>
          <w:rFonts w:hint="eastAsia" w:cs="宋体"/>
          <w:color w:val="auto"/>
          <w:highlight w:val="none"/>
        </w:rPr>
        <w:t>附表四</w:t>
      </w:r>
      <w:r>
        <w:rPr>
          <w:color w:val="auto"/>
          <w:highlight w:val="none"/>
        </w:rPr>
        <w:t xml:space="preserve">  </w:t>
      </w:r>
      <w:r>
        <w:rPr>
          <w:rFonts w:hint="eastAsia" w:cs="宋体"/>
          <w:color w:val="auto"/>
          <w:highlight w:val="none"/>
        </w:rPr>
        <w:t>计划开、竣工日期和施工进度计划（网络图或横道图）</w:t>
      </w:r>
    </w:p>
    <w:p>
      <w:pPr>
        <w:spacing w:line="460" w:lineRule="exact"/>
        <w:ind w:firstLine="420" w:firstLineChars="200"/>
        <w:rPr>
          <w:color w:val="auto"/>
          <w:highlight w:val="none"/>
        </w:rPr>
      </w:pPr>
      <w:r>
        <w:rPr>
          <w:rFonts w:hint="eastAsia" w:cs="宋体"/>
          <w:color w:val="auto"/>
          <w:highlight w:val="none"/>
        </w:rPr>
        <w:t>附表五</w:t>
      </w:r>
      <w:r>
        <w:rPr>
          <w:color w:val="auto"/>
          <w:highlight w:val="none"/>
        </w:rPr>
        <w:t xml:space="preserve">  </w:t>
      </w:r>
      <w:r>
        <w:rPr>
          <w:rFonts w:hint="eastAsia" w:cs="宋体"/>
          <w:color w:val="auto"/>
          <w:highlight w:val="none"/>
        </w:rPr>
        <w:t>施工总平面图</w:t>
      </w:r>
    </w:p>
    <w:p>
      <w:pPr>
        <w:spacing w:line="460" w:lineRule="exact"/>
        <w:ind w:firstLine="420" w:firstLineChars="200"/>
        <w:rPr>
          <w:color w:val="auto"/>
          <w:highlight w:val="none"/>
        </w:rPr>
      </w:pPr>
      <w:r>
        <w:rPr>
          <w:rFonts w:hint="eastAsia" w:cs="宋体"/>
          <w:color w:val="auto"/>
          <w:highlight w:val="none"/>
        </w:rPr>
        <w:t>附表六</w:t>
      </w:r>
      <w:r>
        <w:rPr>
          <w:color w:val="auto"/>
          <w:highlight w:val="none"/>
        </w:rPr>
        <w:t xml:space="preserve">  </w:t>
      </w:r>
      <w:r>
        <w:rPr>
          <w:rFonts w:hint="eastAsia" w:cs="宋体"/>
          <w:color w:val="auto"/>
          <w:highlight w:val="none"/>
        </w:rPr>
        <w:t>临时用地表</w:t>
      </w:r>
    </w:p>
    <w:p>
      <w:pPr>
        <w:spacing w:line="360" w:lineRule="auto"/>
        <w:ind w:firstLine="420" w:firstLineChars="200"/>
        <w:rPr>
          <w:color w:val="auto"/>
          <w:highlight w:val="none"/>
        </w:rPr>
      </w:pPr>
      <w:r>
        <w:rPr>
          <w:rFonts w:ascii="宋体" w:hAnsi="宋体"/>
          <w:color w:val="auto"/>
          <w:highlight w:val="none"/>
        </w:rPr>
        <w:br w:type="page"/>
      </w:r>
      <w:bookmarkEnd w:id="467"/>
      <w:bookmarkEnd w:id="468"/>
      <w:bookmarkEnd w:id="469"/>
      <w:bookmarkEnd w:id="470"/>
    </w:p>
    <w:p>
      <w:pPr>
        <w:rPr>
          <w:color w:val="auto"/>
          <w:highlight w:val="none"/>
        </w:rPr>
      </w:pPr>
      <w:r>
        <w:rPr>
          <w:rFonts w:hint="eastAsia" w:cs="宋体"/>
          <w:color w:val="auto"/>
          <w:highlight w:val="none"/>
        </w:rPr>
        <w:t>附表一：拟投入本工程的主要施工设备表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pPr>
              <w:jc w:val="center"/>
              <w:rPr>
                <w:color w:val="auto"/>
                <w:highlight w:val="none"/>
              </w:rPr>
            </w:pPr>
            <w:r>
              <w:rPr>
                <w:rFonts w:hint="eastAsia" w:cs="宋体"/>
                <w:color w:val="auto"/>
                <w:highlight w:val="none"/>
              </w:rPr>
              <w:t>序号</w:t>
            </w:r>
          </w:p>
        </w:tc>
        <w:tc>
          <w:tcPr>
            <w:tcW w:w="1226" w:type="dxa"/>
            <w:noWrap w:val="0"/>
            <w:vAlign w:val="center"/>
          </w:tcPr>
          <w:p>
            <w:pPr>
              <w:jc w:val="center"/>
              <w:rPr>
                <w:color w:val="auto"/>
                <w:highlight w:val="none"/>
              </w:rPr>
            </w:pPr>
            <w:r>
              <w:rPr>
                <w:rFonts w:hint="eastAsia" w:cs="宋体"/>
                <w:color w:val="auto"/>
                <w:highlight w:val="none"/>
              </w:rPr>
              <w:t>设备名称</w:t>
            </w:r>
          </w:p>
        </w:tc>
        <w:tc>
          <w:tcPr>
            <w:tcW w:w="851" w:type="dxa"/>
            <w:noWrap w:val="0"/>
            <w:vAlign w:val="center"/>
          </w:tcPr>
          <w:p>
            <w:pPr>
              <w:jc w:val="center"/>
              <w:rPr>
                <w:color w:val="auto"/>
                <w:highlight w:val="none"/>
              </w:rPr>
            </w:pPr>
            <w:r>
              <w:rPr>
                <w:rFonts w:hint="eastAsia" w:cs="宋体"/>
                <w:color w:val="auto"/>
                <w:highlight w:val="none"/>
              </w:rPr>
              <w:t>型号</w:t>
            </w:r>
          </w:p>
          <w:p>
            <w:pPr>
              <w:jc w:val="center"/>
              <w:rPr>
                <w:color w:val="auto"/>
                <w:highlight w:val="none"/>
              </w:rPr>
            </w:pPr>
            <w:r>
              <w:rPr>
                <w:rFonts w:hint="eastAsia" w:cs="宋体"/>
                <w:color w:val="auto"/>
                <w:highlight w:val="none"/>
              </w:rPr>
              <w:t>规格</w:t>
            </w:r>
          </w:p>
        </w:tc>
        <w:tc>
          <w:tcPr>
            <w:tcW w:w="708" w:type="dxa"/>
            <w:noWrap w:val="0"/>
            <w:vAlign w:val="center"/>
          </w:tcPr>
          <w:p>
            <w:pPr>
              <w:jc w:val="center"/>
              <w:rPr>
                <w:color w:val="auto"/>
                <w:highlight w:val="none"/>
              </w:rPr>
            </w:pPr>
            <w:r>
              <w:rPr>
                <w:rFonts w:hint="eastAsia" w:cs="宋体"/>
                <w:color w:val="auto"/>
                <w:highlight w:val="none"/>
              </w:rPr>
              <w:t>数量</w:t>
            </w:r>
          </w:p>
        </w:tc>
        <w:tc>
          <w:tcPr>
            <w:tcW w:w="709" w:type="dxa"/>
            <w:noWrap w:val="0"/>
            <w:vAlign w:val="center"/>
          </w:tcPr>
          <w:p>
            <w:pPr>
              <w:jc w:val="center"/>
              <w:rPr>
                <w:color w:val="auto"/>
                <w:highlight w:val="none"/>
              </w:rPr>
            </w:pPr>
            <w:r>
              <w:rPr>
                <w:rFonts w:hint="eastAsia" w:cs="宋体"/>
                <w:color w:val="auto"/>
                <w:highlight w:val="none"/>
              </w:rPr>
              <w:t>国别</w:t>
            </w:r>
          </w:p>
          <w:p>
            <w:pPr>
              <w:jc w:val="center"/>
              <w:rPr>
                <w:color w:val="auto"/>
                <w:highlight w:val="none"/>
              </w:rPr>
            </w:pPr>
            <w:r>
              <w:rPr>
                <w:rFonts w:hint="eastAsia" w:cs="宋体"/>
                <w:color w:val="auto"/>
                <w:highlight w:val="none"/>
              </w:rPr>
              <w:t>产地</w:t>
            </w:r>
          </w:p>
        </w:tc>
        <w:tc>
          <w:tcPr>
            <w:tcW w:w="851" w:type="dxa"/>
            <w:noWrap w:val="0"/>
            <w:vAlign w:val="center"/>
          </w:tcPr>
          <w:p>
            <w:pPr>
              <w:jc w:val="center"/>
              <w:rPr>
                <w:color w:val="auto"/>
                <w:highlight w:val="none"/>
              </w:rPr>
            </w:pPr>
            <w:r>
              <w:rPr>
                <w:rFonts w:hint="eastAsia" w:cs="宋体"/>
                <w:color w:val="auto"/>
                <w:highlight w:val="none"/>
              </w:rPr>
              <w:t>制造</w:t>
            </w:r>
          </w:p>
          <w:p>
            <w:pPr>
              <w:jc w:val="center"/>
              <w:rPr>
                <w:color w:val="auto"/>
                <w:highlight w:val="none"/>
              </w:rPr>
            </w:pPr>
            <w:r>
              <w:rPr>
                <w:rFonts w:hint="eastAsia" w:cs="宋体"/>
                <w:color w:val="auto"/>
                <w:highlight w:val="none"/>
              </w:rPr>
              <w:t>年份</w:t>
            </w:r>
          </w:p>
        </w:tc>
        <w:tc>
          <w:tcPr>
            <w:tcW w:w="1134" w:type="dxa"/>
            <w:noWrap w:val="0"/>
            <w:vAlign w:val="center"/>
          </w:tcPr>
          <w:p>
            <w:pPr>
              <w:jc w:val="center"/>
              <w:rPr>
                <w:color w:val="auto"/>
                <w:highlight w:val="none"/>
              </w:rPr>
            </w:pPr>
            <w:r>
              <w:rPr>
                <w:rFonts w:hint="eastAsia" w:cs="宋体"/>
                <w:color w:val="auto"/>
                <w:highlight w:val="none"/>
              </w:rPr>
              <w:t>额定功率</w:t>
            </w:r>
          </w:p>
          <w:p>
            <w:pPr>
              <w:jc w:val="center"/>
              <w:rPr>
                <w:color w:val="auto"/>
                <w:highlight w:val="none"/>
              </w:rPr>
            </w:pPr>
            <w:r>
              <w:rPr>
                <w:rFonts w:hint="eastAsia" w:cs="宋体"/>
                <w:color w:val="auto"/>
                <w:highlight w:val="none"/>
              </w:rPr>
              <w:t>（</w:t>
            </w:r>
            <w:r>
              <w:rPr>
                <w:color w:val="auto"/>
                <w:highlight w:val="none"/>
              </w:rPr>
              <w:t>KW</w:t>
            </w:r>
            <w:r>
              <w:rPr>
                <w:rFonts w:hint="eastAsia" w:cs="宋体"/>
                <w:color w:val="auto"/>
                <w:highlight w:val="none"/>
              </w:rPr>
              <w:t>）</w:t>
            </w:r>
          </w:p>
        </w:tc>
        <w:tc>
          <w:tcPr>
            <w:tcW w:w="992" w:type="dxa"/>
            <w:noWrap w:val="0"/>
            <w:vAlign w:val="center"/>
          </w:tcPr>
          <w:p>
            <w:pPr>
              <w:jc w:val="center"/>
              <w:rPr>
                <w:color w:val="auto"/>
                <w:highlight w:val="none"/>
              </w:rPr>
            </w:pPr>
            <w:r>
              <w:rPr>
                <w:rFonts w:hint="eastAsia" w:cs="宋体"/>
                <w:color w:val="auto"/>
                <w:highlight w:val="none"/>
              </w:rPr>
              <w:t>生产</w:t>
            </w:r>
          </w:p>
          <w:p>
            <w:pPr>
              <w:jc w:val="center"/>
              <w:rPr>
                <w:color w:val="auto"/>
                <w:highlight w:val="none"/>
              </w:rPr>
            </w:pPr>
            <w:r>
              <w:rPr>
                <w:rFonts w:hint="eastAsia" w:cs="宋体"/>
                <w:color w:val="auto"/>
                <w:highlight w:val="none"/>
              </w:rPr>
              <w:t>能力</w:t>
            </w:r>
          </w:p>
        </w:tc>
        <w:tc>
          <w:tcPr>
            <w:tcW w:w="1134" w:type="dxa"/>
            <w:noWrap w:val="0"/>
            <w:vAlign w:val="center"/>
          </w:tcPr>
          <w:p>
            <w:pPr>
              <w:jc w:val="center"/>
              <w:rPr>
                <w:color w:val="auto"/>
                <w:highlight w:val="none"/>
              </w:rPr>
            </w:pPr>
            <w:r>
              <w:rPr>
                <w:rFonts w:hint="eastAsia" w:cs="宋体"/>
                <w:color w:val="auto"/>
                <w:highlight w:val="none"/>
              </w:rPr>
              <w:t>用于施</w:t>
            </w:r>
          </w:p>
          <w:p>
            <w:pPr>
              <w:jc w:val="center"/>
              <w:rPr>
                <w:color w:val="auto"/>
                <w:highlight w:val="none"/>
              </w:rPr>
            </w:pPr>
            <w:r>
              <w:rPr>
                <w:rFonts w:hint="eastAsia" w:cs="宋体"/>
                <w:color w:val="auto"/>
                <w:highlight w:val="none"/>
              </w:rPr>
              <w:t>工部位</w:t>
            </w:r>
          </w:p>
        </w:tc>
        <w:tc>
          <w:tcPr>
            <w:tcW w:w="992" w:type="dxa"/>
            <w:noWrap w:val="0"/>
            <w:vAlign w:val="center"/>
          </w:tcPr>
          <w:p>
            <w:pPr>
              <w:jc w:val="center"/>
              <w:rPr>
                <w:color w:val="auto"/>
                <w:highlight w:val="none"/>
              </w:rPr>
            </w:pPr>
            <w:r>
              <w:rPr>
                <w:rFonts w:hint="eastAsia"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color w:val="auto"/>
                <w:highlight w:val="none"/>
              </w:rPr>
            </w:pPr>
          </w:p>
        </w:tc>
        <w:tc>
          <w:tcPr>
            <w:tcW w:w="1226" w:type="dxa"/>
            <w:noWrap w:val="0"/>
            <w:vAlign w:val="top"/>
          </w:tcPr>
          <w:p>
            <w:pPr>
              <w:spacing w:line="360" w:lineRule="auto"/>
              <w:ind w:firstLine="420" w:firstLineChars="200"/>
              <w:rPr>
                <w:color w:val="auto"/>
                <w:highlight w:val="none"/>
              </w:rPr>
            </w:pPr>
          </w:p>
        </w:tc>
        <w:tc>
          <w:tcPr>
            <w:tcW w:w="851" w:type="dxa"/>
            <w:noWrap w:val="0"/>
            <w:vAlign w:val="top"/>
          </w:tcPr>
          <w:p>
            <w:pPr>
              <w:spacing w:line="360" w:lineRule="auto"/>
              <w:rPr>
                <w:color w:val="auto"/>
                <w:highlight w:val="none"/>
              </w:rPr>
            </w:pPr>
          </w:p>
        </w:tc>
        <w:tc>
          <w:tcPr>
            <w:tcW w:w="708" w:type="dxa"/>
            <w:noWrap w:val="0"/>
            <w:vAlign w:val="top"/>
          </w:tcPr>
          <w:p>
            <w:pPr>
              <w:spacing w:line="360" w:lineRule="auto"/>
              <w:rPr>
                <w:color w:val="auto"/>
                <w:highlight w:val="none"/>
              </w:rPr>
            </w:pPr>
          </w:p>
        </w:tc>
        <w:tc>
          <w:tcPr>
            <w:tcW w:w="709" w:type="dxa"/>
            <w:noWrap w:val="0"/>
            <w:vAlign w:val="top"/>
          </w:tcPr>
          <w:p>
            <w:pPr>
              <w:spacing w:line="360" w:lineRule="auto"/>
              <w:rPr>
                <w:color w:val="auto"/>
                <w:highlight w:val="none"/>
              </w:rPr>
            </w:pPr>
          </w:p>
        </w:tc>
        <w:tc>
          <w:tcPr>
            <w:tcW w:w="851" w:type="dxa"/>
            <w:noWrap w:val="0"/>
            <w:vAlign w:val="top"/>
          </w:tcPr>
          <w:p>
            <w:pPr>
              <w:spacing w:line="360" w:lineRule="auto"/>
              <w:rPr>
                <w:color w:val="auto"/>
                <w:highlight w:val="none"/>
              </w:rPr>
            </w:pPr>
          </w:p>
        </w:tc>
        <w:tc>
          <w:tcPr>
            <w:tcW w:w="1134" w:type="dxa"/>
            <w:noWrap w:val="0"/>
            <w:vAlign w:val="top"/>
          </w:tcPr>
          <w:p>
            <w:pPr>
              <w:spacing w:line="360" w:lineRule="auto"/>
              <w:rPr>
                <w:color w:val="auto"/>
                <w:highlight w:val="none"/>
              </w:rPr>
            </w:pPr>
          </w:p>
        </w:tc>
        <w:tc>
          <w:tcPr>
            <w:tcW w:w="992" w:type="dxa"/>
            <w:noWrap w:val="0"/>
            <w:vAlign w:val="top"/>
          </w:tcPr>
          <w:p>
            <w:pPr>
              <w:spacing w:line="360" w:lineRule="auto"/>
              <w:rPr>
                <w:color w:val="auto"/>
                <w:highlight w:val="none"/>
              </w:rPr>
            </w:pPr>
          </w:p>
        </w:tc>
        <w:tc>
          <w:tcPr>
            <w:tcW w:w="1134" w:type="dxa"/>
            <w:noWrap w:val="0"/>
            <w:vAlign w:val="top"/>
          </w:tcPr>
          <w:p>
            <w:pPr>
              <w:spacing w:line="360" w:lineRule="auto"/>
              <w:rPr>
                <w:color w:val="auto"/>
                <w:highlight w:val="none"/>
              </w:rPr>
            </w:pPr>
          </w:p>
        </w:tc>
        <w:tc>
          <w:tcPr>
            <w:tcW w:w="992" w:type="dxa"/>
            <w:noWrap w:val="0"/>
            <w:vAlign w:val="to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color w:val="auto"/>
                <w:highlight w:val="none"/>
              </w:rPr>
            </w:pPr>
          </w:p>
        </w:tc>
        <w:tc>
          <w:tcPr>
            <w:tcW w:w="1226" w:type="dxa"/>
            <w:noWrap w:val="0"/>
            <w:vAlign w:val="top"/>
          </w:tcPr>
          <w:p>
            <w:pPr>
              <w:spacing w:line="360" w:lineRule="auto"/>
              <w:rPr>
                <w:color w:val="auto"/>
                <w:highlight w:val="none"/>
              </w:rPr>
            </w:pPr>
          </w:p>
        </w:tc>
        <w:tc>
          <w:tcPr>
            <w:tcW w:w="851" w:type="dxa"/>
            <w:noWrap w:val="0"/>
            <w:vAlign w:val="top"/>
          </w:tcPr>
          <w:p>
            <w:pPr>
              <w:spacing w:line="360" w:lineRule="auto"/>
              <w:rPr>
                <w:color w:val="auto"/>
                <w:highlight w:val="none"/>
              </w:rPr>
            </w:pPr>
          </w:p>
        </w:tc>
        <w:tc>
          <w:tcPr>
            <w:tcW w:w="708" w:type="dxa"/>
            <w:noWrap w:val="0"/>
            <w:vAlign w:val="top"/>
          </w:tcPr>
          <w:p>
            <w:pPr>
              <w:spacing w:line="360" w:lineRule="auto"/>
              <w:rPr>
                <w:color w:val="auto"/>
                <w:highlight w:val="none"/>
              </w:rPr>
            </w:pPr>
          </w:p>
        </w:tc>
        <w:tc>
          <w:tcPr>
            <w:tcW w:w="709" w:type="dxa"/>
            <w:noWrap w:val="0"/>
            <w:vAlign w:val="top"/>
          </w:tcPr>
          <w:p>
            <w:pPr>
              <w:spacing w:line="360" w:lineRule="auto"/>
              <w:rPr>
                <w:color w:val="auto"/>
                <w:highlight w:val="none"/>
              </w:rPr>
            </w:pPr>
          </w:p>
        </w:tc>
        <w:tc>
          <w:tcPr>
            <w:tcW w:w="851" w:type="dxa"/>
            <w:noWrap w:val="0"/>
            <w:vAlign w:val="top"/>
          </w:tcPr>
          <w:p>
            <w:pPr>
              <w:spacing w:line="360" w:lineRule="auto"/>
              <w:rPr>
                <w:color w:val="auto"/>
                <w:highlight w:val="none"/>
              </w:rPr>
            </w:pPr>
          </w:p>
        </w:tc>
        <w:tc>
          <w:tcPr>
            <w:tcW w:w="1134" w:type="dxa"/>
            <w:noWrap w:val="0"/>
            <w:vAlign w:val="top"/>
          </w:tcPr>
          <w:p>
            <w:pPr>
              <w:spacing w:line="360" w:lineRule="auto"/>
              <w:rPr>
                <w:color w:val="auto"/>
                <w:highlight w:val="none"/>
              </w:rPr>
            </w:pPr>
          </w:p>
        </w:tc>
        <w:tc>
          <w:tcPr>
            <w:tcW w:w="992" w:type="dxa"/>
            <w:noWrap w:val="0"/>
            <w:vAlign w:val="top"/>
          </w:tcPr>
          <w:p>
            <w:pPr>
              <w:spacing w:line="360" w:lineRule="auto"/>
              <w:rPr>
                <w:color w:val="auto"/>
                <w:highlight w:val="none"/>
              </w:rPr>
            </w:pPr>
          </w:p>
        </w:tc>
        <w:tc>
          <w:tcPr>
            <w:tcW w:w="1134" w:type="dxa"/>
            <w:noWrap w:val="0"/>
            <w:vAlign w:val="top"/>
          </w:tcPr>
          <w:p>
            <w:pPr>
              <w:spacing w:line="360" w:lineRule="auto"/>
              <w:rPr>
                <w:color w:val="auto"/>
                <w:highlight w:val="none"/>
              </w:rPr>
            </w:pPr>
          </w:p>
        </w:tc>
        <w:tc>
          <w:tcPr>
            <w:tcW w:w="992" w:type="dxa"/>
            <w:noWrap w:val="0"/>
            <w:vAlign w:val="to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color w:val="auto"/>
                <w:highlight w:val="none"/>
              </w:rPr>
            </w:pPr>
          </w:p>
        </w:tc>
        <w:tc>
          <w:tcPr>
            <w:tcW w:w="1226" w:type="dxa"/>
            <w:noWrap w:val="0"/>
            <w:vAlign w:val="top"/>
          </w:tcPr>
          <w:p>
            <w:pPr>
              <w:spacing w:line="360" w:lineRule="auto"/>
              <w:rPr>
                <w:color w:val="auto"/>
                <w:highlight w:val="none"/>
              </w:rPr>
            </w:pPr>
          </w:p>
        </w:tc>
        <w:tc>
          <w:tcPr>
            <w:tcW w:w="851" w:type="dxa"/>
            <w:noWrap w:val="0"/>
            <w:vAlign w:val="top"/>
          </w:tcPr>
          <w:p>
            <w:pPr>
              <w:spacing w:line="360" w:lineRule="auto"/>
              <w:rPr>
                <w:color w:val="auto"/>
                <w:highlight w:val="none"/>
              </w:rPr>
            </w:pPr>
          </w:p>
        </w:tc>
        <w:tc>
          <w:tcPr>
            <w:tcW w:w="708" w:type="dxa"/>
            <w:noWrap w:val="0"/>
            <w:vAlign w:val="top"/>
          </w:tcPr>
          <w:p>
            <w:pPr>
              <w:spacing w:line="360" w:lineRule="auto"/>
              <w:rPr>
                <w:color w:val="auto"/>
                <w:highlight w:val="none"/>
              </w:rPr>
            </w:pPr>
          </w:p>
        </w:tc>
        <w:tc>
          <w:tcPr>
            <w:tcW w:w="709" w:type="dxa"/>
            <w:noWrap w:val="0"/>
            <w:vAlign w:val="top"/>
          </w:tcPr>
          <w:p>
            <w:pPr>
              <w:spacing w:line="360" w:lineRule="auto"/>
              <w:rPr>
                <w:color w:val="auto"/>
                <w:highlight w:val="none"/>
              </w:rPr>
            </w:pPr>
          </w:p>
        </w:tc>
        <w:tc>
          <w:tcPr>
            <w:tcW w:w="851" w:type="dxa"/>
            <w:noWrap w:val="0"/>
            <w:vAlign w:val="top"/>
          </w:tcPr>
          <w:p>
            <w:pPr>
              <w:spacing w:line="360" w:lineRule="auto"/>
              <w:rPr>
                <w:color w:val="auto"/>
                <w:highlight w:val="none"/>
              </w:rPr>
            </w:pPr>
          </w:p>
        </w:tc>
        <w:tc>
          <w:tcPr>
            <w:tcW w:w="1134" w:type="dxa"/>
            <w:noWrap w:val="0"/>
            <w:vAlign w:val="top"/>
          </w:tcPr>
          <w:p>
            <w:pPr>
              <w:spacing w:line="360" w:lineRule="auto"/>
              <w:rPr>
                <w:color w:val="auto"/>
                <w:highlight w:val="none"/>
              </w:rPr>
            </w:pPr>
          </w:p>
        </w:tc>
        <w:tc>
          <w:tcPr>
            <w:tcW w:w="992" w:type="dxa"/>
            <w:noWrap w:val="0"/>
            <w:vAlign w:val="top"/>
          </w:tcPr>
          <w:p>
            <w:pPr>
              <w:spacing w:line="360" w:lineRule="auto"/>
              <w:rPr>
                <w:color w:val="auto"/>
                <w:highlight w:val="none"/>
              </w:rPr>
            </w:pPr>
          </w:p>
        </w:tc>
        <w:tc>
          <w:tcPr>
            <w:tcW w:w="1134" w:type="dxa"/>
            <w:noWrap w:val="0"/>
            <w:vAlign w:val="top"/>
          </w:tcPr>
          <w:p>
            <w:pPr>
              <w:spacing w:line="360" w:lineRule="auto"/>
              <w:rPr>
                <w:color w:val="auto"/>
                <w:highlight w:val="none"/>
              </w:rPr>
            </w:pPr>
          </w:p>
        </w:tc>
        <w:tc>
          <w:tcPr>
            <w:tcW w:w="992" w:type="dxa"/>
            <w:noWrap w:val="0"/>
            <w:vAlign w:val="to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color w:val="auto"/>
                <w:highlight w:val="none"/>
              </w:rPr>
            </w:pPr>
          </w:p>
        </w:tc>
        <w:tc>
          <w:tcPr>
            <w:tcW w:w="1226" w:type="dxa"/>
            <w:noWrap w:val="0"/>
            <w:vAlign w:val="top"/>
          </w:tcPr>
          <w:p>
            <w:pPr>
              <w:spacing w:line="360" w:lineRule="auto"/>
              <w:rPr>
                <w:color w:val="auto"/>
                <w:highlight w:val="none"/>
              </w:rPr>
            </w:pPr>
          </w:p>
        </w:tc>
        <w:tc>
          <w:tcPr>
            <w:tcW w:w="851" w:type="dxa"/>
            <w:noWrap w:val="0"/>
            <w:vAlign w:val="top"/>
          </w:tcPr>
          <w:p>
            <w:pPr>
              <w:spacing w:line="360" w:lineRule="auto"/>
              <w:rPr>
                <w:color w:val="auto"/>
                <w:highlight w:val="none"/>
              </w:rPr>
            </w:pPr>
          </w:p>
        </w:tc>
        <w:tc>
          <w:tcPr>
            <w:tcW w:w="708" w:type="dxa"/>
            <w:noWrap w:val="0"/>
            <w:vAlign w:val="top"/>
          </w:tcPr>
          <w:p>
            <w:pPr>
              <w:spacing w:line="360" w:lineRule="auto"/>
              <w:rPr>
                <w:color w:val="auto"/>
                <w:highlight w:val="none"/>
              </w:rPr>
            </w:pPr>
          </w:p>
        </w:tc>
        <w:tc>
          <w:tcPr>
            <w:tcW w:w="709" w:type="dxa"/>
            <w:noWrap w:val="0"/>
            <w:vAlign w:val="top"/>
          </w:tcPr>
          <w:p>
            <w:pPr>
              <w:spacing w:line="360" w:lineRule="auto"/>
              <w:rPr>
                <w:color w:val="auto"/>
                <w:highlight w:val="none"/>
              </w:rPr>
            </w:pPr>
          </w:p>
        </w:tc>
        <w:tc>
          <w:tcPr>
            <w:tcW w:w="851" w:type="dxa"/>
            <w:noWrap w:val="0"/>
            <w:vAlign w:val="top"/>
          </w:tcPr>
          <w:p>
            <w:pPr>
              <w:spacing w:line="360" w:lineRule="auto"/>
              <w:rPr>
                <w:color w:val="auto"/>
                <w:highlight w:val="none"/>
              </w:rPr>
            </w:pPr>
          </w:p>
        </w:tc>
        <w:tc>
          <w:tcPr>
            <w:tcW w:w="1134" w:type="dxa"/>
            <w:noWrap w:val="0"/>
            <w:vAlign w:val="top"/>
          </w:tcPr>
          <w:p>
            <w:pPr>
              <w:spacing w:line="360" w:lineRule="auto"/>
              <w:rPr>
                <w:color w:val="auto"/>
                <w:highlight w:val="none"/>
              </w:rPr>
            </w:pPr>
          </w:p>
        </w:tc>
        <w:tc>
          <w:tcPr>
            <w:tcW w:w="992" w:type="dxa"/>
            <w:noWrap w:val="0"/>
            <w:vAlign w:val="top"/>
          </w:tcPr>
          <w:p>
            <w:pPr>
              <w:spacing w:line="360" w:lineRule="auto"/>
              <w:rPr>
                <w:color w:val="auto"/>
                <w:highlight w:val="none"/>
              </w:rPr>
            </w:pPr>
          </w:p>
        </w:tc>
        <w:tc>
          <w:tcPr>
            <w:tcW w:w="1134" w:type="dxa"/>
            <w:noWrap w:val="0"/>
            <w:vAlign w:val="top"/>
          </w:tcPr>
          <w:p>
            <w:pPr>
              <w:spacing w:line="360" w:lineRule="auto"/>
              <w:rPr>
                <w:color w:val="auto"/>
                <w:highlight w:val="none"/>
              </w:rPr>
            </w:pPr>
          </w:p>
        </w:tc>
        <w:tc>
          <w:tcPr>
            <w:tcW w:w="992" w:type="dxa"/>
            <w:noWrap w:val="0"/>
            <w:vAlign w:val="to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pPr>
              <w:spacing w:line="360" w:lineRule="auto"/>
              <w:rPr>
                <w:color w:val="auto"/>
                <w:highlight w:val="none"/>
              </w:rPr>
            </w:pPr>
          </w:p>
        </w:tc>
        <w:tc>
          <w:tcPr>
            <w:tcW w:w="1226" w:type="dxa"/>
            <w:noWrap w:val="0"/>
            <w:vAlign w:val="top"/>
          </w:tcPr>
          <w:p>
            <w:pPr>
              <w:spacing w:line="360" w:lineRule="auto"/>
              <w:rPr>
                <w:color w:val="auto"/>
                <w:highlight w:val="none"/>
              </w:rPr>
            </w:pPr>
          </w:p>
        </w:tc>
        <w:tc>
          <w:tcPr>
            <w:tcW w:w="851" w:type="dxa"/>
            <w:noWrap w:val="0"/>
            <w:vAlign w:val="top"/>
          </w:tcPr>
          <w:p>
            <w:pPr>
              <w:spacing w:line="360" w:lineRule="auto"/>
              <w:rPr>
                <w:color w:val="auto"/>
                <w:highlight w:val="none"/>
              </w:rPr>
            </w:pPr>
          </w:p>
        </w:tc>
        <w:tc>
          <w:tcPr>
            <w:tcW w:w="708" w:type="dxa"/>
            <w:noWrap w:val="0"/>
            <w:vAlign w:val="top"/>
          </w:tcPr>
          <w:p>
            <w:pPr>
              <w:spacing w:line="360" w:lineRule="auto"/>
              <w:rPr>
                <w:color w:val="auto"/>
                <w:highlight w:val="none"/>
              </w:rPr>
            </w:pPr>
          </w:p>
        </w:tc>
        <w:tc>
          <w:tcPr>
            <w:tcW w:w="709" w:type="dxa"/>
            <w:noWrap w:val="0"/>
            <w:vAlign w:val="top"/>
          </w:tcPr>
          <w:p>
            <w:pPr>
              <w:spacing w:line="360" w:lineRule="auto"/>
              <w:rPr>
                <w:color w:val="auto"/>
                <w:highlight w:val="none"/>
              </w:rPr>
            </w:pPr>
          </w:p>
        </w:tc>
        <w:tc>
          <w:tcPr>
            <w:tcW w:w="851" w:type="dxa"/>
            <w:noWrap w:val="0"/>
            <w:vAlign w:val="top"/>
          </w:tcPr>
          <w:p>
            <w:pPr>
              <w:spacing w:line="360" w:lineRule="auto"/>
              <w:rPr>
                <w:color w:val="auto"/>
                <w:highlight w:val="none"/>
              </w:rPr>
            </w:pPr>
          </w:p>
        </w:tc>
        <w:tc>
          <w:tcPr>
            <w:tcW w:w="1134" w:type="dxa"/>
            <w:noWrap w:val="0"/>
            <w:vAlign w:val="top"/>
          </w:tcPr>
          <w:p>
            <w:pPr>
              <w:spacing w:line="360" w:lineRule="auto"/>
              <w:rPr>
                <w:color w:val="auto"/>
                <w:highlight w:val="none"/>
              </w:rPr>
            </w:pPr>
          </w:p>
        </w:tc>
        <w:tc>
          <w:tcPr>
            <w:tcW w:w="992" w:type="dxa"/>
            <w:noWrap w:val="0"/>
            <w:vAlign w:val="top"/>
          </w:tcPr>
          <w:p>
            <w:pPr>
              <w:spacing w:line="360" w:lineRule="auto"/>
              <w:rPr>
                <w:color w:val="auto"/>
                <w:highlight w:val="none"/>
              </w:rPr>
            </w:pPr>
          </w:p>
        </w:tc>
        <w:tc>
          <w:tcPr>
            <w:tcW w:w="1134" w:type="dxa"/>
            <w:noWrap w:val="0"/>
            <w:vAlign w:val="top"/>
          </w:tcPr>
          <w:p>
            <w:pPr>
              <w:spacing w:line="360" w:lineRule="auto"/>
              <w:rPr>
                <w:color w:val="auto"/>
                <w:highlight w:val="none"/>
              </w:rPr>
            </w:pPr>
          </w:p>
        </w:tc>
        <w:tc>
          <w:tcPr>
            <w:tcW w:w="992" w:type="dxa"/>
            <w:noWrap w:val="0"/>
            <w:vAlign w:val="top"/>
          </w:tcPr>
          <w:p>
            <w:pPr>
              <w:spacing w:line="360" w:lineRule="auto"/>
              <w:rPr>
                <w:color w:val="auto"/>
                <w:highlight w:val="none"/>
              </w:rPr>
            </w:pPr>
          </w:p>
        </w:tc>
      </w:tr>
    </w:tbl>
    <w:p>
      <w:pPr>
        <w:rPr>
          <w:color w:val="auto"/>
          <w:highlight w:val="none"/>
        </w:rPr>
      </w:pPr>
    </w:p>
    <w:p>
      <w:pPr>
        <w:rPr>
          <w:color w:val="auto"/>
          <w:highlight w:val="none"/>
        </w:rPr>
      </w:pPr>
    </w:p>
    <w:p>
      <w:pPr>
        <w:rPr>
          <w:color w:val="auto"/>
          <w:highlight w:val="none"/>
        </w:rPr>
      </w:pPr>
      <w:r>
        <w:rPr>
          <w:rFonts w:hint="eastAsia" w:cs="宋体"/>
          <w:color w:val="auto"/>
          <w:highlight w:val="none"/>
        </w:rPr>
        <w:t>附表二：拟配备本工程的试验和检测仪器设备表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jc w:val="center"/>
              <w:rPr>
                <w:color w:val="auto"/>
                <w:highlight w:val="none"/>
              </w:rPr>
            </w:pPr>
            <w:r>
              <w:rPr>
                <w:rFonts w:hint="eastAsia" w:cs="宋体"/>
                <w:color w:val="auto"/>
                <w:highlight w:val="none"/>
              </w:rPr>
              <w:t>序号</w:t>
            </w:r>
          </w:p>
        </w:tc>
        <w:tc>
          <w:tcPr>
            <w:tcW w:w="1226" w:type="dxa"/>
            <w:noWrap w:val="0"/>
            <w:vAlign w:val="center"/>
          </w:tcPr>
          <w:p>
            <w:pPr>
              <w:jc w:val="center"/>
              <w:rPr>
                <w:color w:val="auto"/>
                <w:highlight w:val="none"/>
              </w:rPr>
            </w:pPr>
            <w:r>
              <w:rPr>
                <w:rFonts w:hint="eastAsia" w:cs="宋体"/>
                <w:color w:val="auto"/>
                <w:highlight w:val="none"/>
              </w:rPr>
              <w:t>仪器设备名称</w:t>
            </w:r>
          </w:p>
        </w:tc>
        <w:tc>
          <w:tcPr>
            <w:tcW w:w="851" w:type="dxa"/>
            <w:noWrap w:val="0"/>
            <w:vAlign w:val="center"/>
          </w:tcPr>
          <w:p>
            <w:pPr>
              <w:jc w:val="center"/>
              <w:rPr>
                <w:color w:val="auto"/>
                <w:highlight w:val="none"/>
              </w:rPr>
            </w:pPr>
            <w:r>
              <w:rPr>
                <w:rFonts w:hint="eastAsia" w:cs="宋体"/>
                <w:color w:val="auto"/>
                <w:highlight w:val="none"/>
              </w:rPr>
              <w:t>型号</w:t>
            </w:r>
          </w:p>
          <w:p>
            <w:pPr>
              <w:jc w:val="center"/>
              <w:rPr>
                <w:color w:val="auto"/>
                <w:highlight w:val="none"/>
              </w:rPr>
            </w:pPr>
            <w:r>
              <w:rPr>
                <w:rFonts w:hint="eastAsia" w:cs="宋体"/>
                <w:color w:val="auto"/>
                <w:highlight w:val="none"/>
              </w:rPr>
              <w:t>规格</w:t>
            </w:r>
          </w:p>
        </w:tc>
        <w:tc>
          <w:tcPr>
            <w:tcW w:w="708" w:type="dxa"/>
            <w:noWrap w:val="0"/>
            <w:vAlign w:val="center"/>
          </w:tcPr>
          <w:p>
            <w:pPr>
              <w:jc w:val="center"/>
              <w:rPr>
                <w:color w:val="auto"/>
                <w:highlight w:val="none"/>
              </w:rPr>
            </w:pPr>
            <w:r>
              <w:rPr>
                <w:rFonts w:hint="eastAsia" w:cs="宋体"/>
                <w:color w:val="auto"/>
                <w:highlight w:val="none"/>
              </w:rPr>
              <w:t>数量</w:t>
            </w:r>
          </w:p>
        </w:tc>
        <w:tc>
          <w:tcPr>
            <w:tcW w:w="709" w:type="dxa"/>
            <w:noWrap w:val="0"/>
            <w:vAlign w:val="center"/>
          </w:tcPr>
          <w:p>
            <w:pPr>
              <w:jc w:val="center"/>
              <w:rPr>
                <w:color w:val="auto"/>
                <w:highlight w:val="none"/>
              </w:rPr>
            </w:pPr>
            <w:r>
              <w:rPr>
                <w:rFonts w:hint="eastAsia" w:cs="宋体"/>
                <w:color w:val="auto"/>
                <w:highlight w:val="none"/>
              </w:rPr>
              <w:t>国别</w:t>
            </w:r>
          </w:p>
          <w:p>
            <w:pPr>
              <w:jc w:val="center"/>
              <w:rPr>
                <w:color w:val="auto"/>
                <w:highlight w:val="none"/>
              </w:rPr>
            </w:pPr>
            <w:r>
              <w:rPr>
                <w:rFonts w:hint="eastAsia" w:cs="宋体"/>
                <w:color w:val="auto"/>
                <w:highlight w:val="none"/>
              </w:rPr>
              <w:t>产地</w:t>
            </w:r>
          </w:p>
        </w:tc>
        <w:tc>
          <w:tcPr>
            <w:tcW w:w="1134" w:type="dxa"/>
            <w:noWrap w:val="0"/>
            <w:vAlign w:val="center"/>
          </w:tcPr>
          <w:p>
            <w:pPr>
              <w:jc w:val="center"/>
              <w:rPr>
                <w:color w:val="auto"/>
                <w:highlight w:val="none"/>
              </w:rPr>
            </w:pPr>
            <w:r>
              <w:rPr>
                <w:rFonts w:hint="eastAsia" w:cs="宋体"/>
                <w:color w:val="auto"/>
                <w:highlight w:val="none"/>
              </w:rPr>
              <w:t>制造年份</w:t>
            </w:r>
          </w:p>
        </w:tc>
        <w:tc>
          <w:tcPr>
            <w:tcW w:w="1276" w:type="dxa"/>
            <w:noWrap w:val="0"/>
            <w:vAlign w:val="center"/>
          </w:tcPr>
          <w:p>
            <w:pPr>
              <w:jc w:val="center"/>
              <w:rPr>
                <w:color w:val="auto"/>
                <w:highlight w:val="none"/>
              </w:rPr>
            </w:pPr>
            <w:r>
              <w:rPr>
                <w:rFonts w:hint="eastAsia" w:cs="宋体"/>
                <w:color w:val="auto"/>
                <w:highlight w:val="none"/>
              </w:rPr>
              <w:t>已使用</w:t>
            </w:r>
          </w:p>
          <w:p>
            <w:pPr>
              <w:jc w:val="center"/>
              <w:rPr>
                <w:color w:val="auto"/>
                <w:highlight w:val="none"/>
              </w:rPr>
            </w:pPr>
            <w:r>
              <w:rPr>
                <w:rFonts w:hint="eastAsia" w:cs="宋体"/>
                <w:color w:val="auto"/>
                <w:highlight w:val="none"/>
              </w:rPr>
              <w:t>台时数</w:t>
            </w:r>
          </w:p>
        </w:tc>
        <w:tc>
          <w:tcPr>
            <w:tcW w:w="1134" w:type="dxa"/>
            <w:noWrap w:val="0"/>
            <w:vAlign w:val="center"/>
          </w:tcPr>
          <w:p>
            <w:pPr>
              <w:jc w:val="center"/>
              <w:rPr>
                <w:color w:val="auto"/>
                <w:highlight w:val="none"/>
              </w:rPr>
            </w:pPr>
            <w:r>
              <w:rPr>
                <w:rFonts w:hint="eastAsia" w:cs="宋体"/>
                <w:color w:val="auto"/>
                <w:highlight w:val="none"/>
              </w:rPr>
              <w:t>用途</w:t>
            </w:r>
          </w:p>
        </w:tc>
        <w:tc>
          <w:tcPr>
            <w:tcW w:w="1559" w:type="dxa"/>
            <w:noWrap w:val="0"/>
            <w:vAlign w:val="center"/>
          </w:tcPr>
          <w:p>
            <w:pPr>
              <w:jc w:val="center"/>
              <w:rPr>
                <w:color w:val="auto"/>
                <w:highlight w:val="none"/>
              </w:rPr>
            </w:pPr>
            <w:r>
              <w:rPr>
                <w:rFonts w:hint="eastAsia"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20" w:firstLineChars="200"/>
              <w:rPr>
                <w:color w:val="auto"/>
                <w:highlight w:val="none"/>
              </w:rPr>
            </w:pPr>
          </w:p>
        </w:tc>
        <w:tc>
          <w:tcPr>
            <w:tcW w:w="1226" w:type="dxa"/>
            <w:noWrap w:val="0"/>
            <w:vAlign w:val="center"/>
          </w:tcPr>
          <w:p>
            <w:pPr>
              <w:spacing w:line="360" w:lineRule="auto"/>
              <w:ind w:firstLine="420" w:firstLineChars="200"/>
              <w:rPr>
                <w:color w:val="auto"/>
                <w:highlight w:val="none"/>
              </w:rPr>
            </w:pPr>
          </w:p>
        </w:tc>
        <w:tc>
          <w:tcPr>
            <w:tcW w:w="851" w:type="dxa"/>
            <w:noWrap w:val="0"/>
            <w:vAlign w:val="center"/>
          </w:tcPr>
          <w:p>
            <w:pPr>
              <w:spacing w:line="360" w:lineRule="auto"/>
              <w:ind w:firstLine="420" w:firstLineChars="200"/>
              <w:rPr>
                <w:color w:val="auto"/>
                <w:highlight w:val="none"/>
              </w:rPr>
            </w:pPr>
          </w:p>
        </w:tc>
        <w:tc>
          <w:tcPr>
            <w:tcW w:w="708" w:type="dxa"/>
            <w:noWrap w:val="0"/>
            <w:vAlign w:val="center"/>
          </w:tcPr>
          <w:p>
            <w:pPr>
              <w:spacing w:line="360" w:lineRule="auto"/>
              <w:ind w:firstLine="420" w:firstLineChars="200"/>
              <w:rPr>
                <w:color w:val="auto"/>
                <w:highlight w:val="none"/>
              </w:rPr>
            </w:pPr>
          </w:p>
        </w:tc>
        <w:tc>
          <w:tcPr>
            <w:tcW w:w="709" w:type="dxa"/>
            <w:noWrap w:val="0"/>
            <w:vAlign w:val="center"/>
          </w:tcPr>
          <w:p>
            <w:pPr>
              <w:spacing w:line="360" w:lineRule="auto"/>
              <w:ind w:firstLine="420" w:firstLineChars="200"/>
              <w:rPr>
                <w:color w:val="auto"/>
                <w:highlight w:val="none"/>
              </w:rPr>
            </w:pPr>
          </w:p>
        </w:tc>
        <w:tc>
          <w:tcPr>
            <w:tcW w:w="1134" w:type="dxa"/>
            <w:noWrap w:val="0"/>
            <w:vAlign w:val="center"/>
          </w:tcPr>
          <w:p>
            <w:pPr>
              <w:spacing w:line="360" w:lineRule="auto"/>
              <w:ind w:firstLine="420" w:firstLineChars="200"/>
              <w:rPr>
                <w:color w:val="auto"/>
                <w:highlight w:val="none"/>
              </w:rPr>
            </w:pPr>
          </w:p>
        </w:tc>
        <w:tc>
          <w:tcPr>
            <w:tcW w:w="1276" w:type="dxa"/>
            <w:noWrap w:val="0"/>
            <w:vAlign w:val="center"/>
          </w:tcPr>
          <w:p>
            <w:pPr>
              <w:spacing w:line="360" w:lineRule="auto"/>
              <w:ind w:firstLine="420" w:firstLineChars="200"/>
              <w:rPr>
                <w:color w:val="auto"/>
                <w:highlight w:val="none"/>
              </w:rPr>
            </w:pPr>
          </w:p>
        </w:tc>
        <w:tc>
          <w:tcPr>
            <w:tcW w:w="1134" w:type="dxa"/>
            <w:noWrap w:val="0"/>
            <w:vAlign w:val="center"/>
          </w:tcPr>
          <w:p>
            <w:pPr>
              <w:spacing w:line="360" w:lineRule="auto"/>
              <w:ind w:firstLine="420" w:firstLineChars="200"/>
              <w:rPr>
                <w:color w:val="auto"/>
                <w:highlight w:val="none"/>
              </w:rPr>
            </w:pPr>
          </w:p>
        </w:tc>
        <w:tc>
          <w:tcPr>
            <w:tcW w:w="1559" w:type="dxa"/>
            <w:noWrap w:val="0"/>
            <w:vAlign w:val="center"/>
          </w:tcPr>
          <w:p>
            <w:pPr>
              <w:spacing w:line="360" w:lineRule="auto"/>
              <w:ind w:firstLine="420" w:firstLineChars="20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20" w:firstLineChars="200"/>
              <w:rPr>
                <w:color w:val="auto"/>
                <w:highlight w:val="none"/>
              </w:rPr>
            </w:pPr>
          </w:p>
        </w:tc>
        <w:tc>
          <w:tcPr>
            <w:tcW w:w="1226" w:type="dxa"/>
            <w:noWrap w:val="0"/>
            <w:vAlign w:val="center"/>
          </w:tcPr>
          <w:p>
            <w:pPr>
              <w:spacing w:line="360" w:lineRule="auto"/>
              <w:ind w:firstLine="420" w:firstLineChars="200"/>
              <w:rPr>
                <w:color w:val="auto"/>
                <w:highlight w:val="none"/>
              </w:rPr>
            </w:pPr>
          </w:p>
        </w:tc>
        <w:tc>
          <w:tcPr>
            <w:tcW w:w="851" w:type="dxa"/>
            <w:noWrap w:val="0"/>
            <w:vAlign w:val="center"/>
          </w:tcPr>
          <w:p>
            <w:pPr>
              <w:spacing w:line="360" w:lineRule="auto"/>
              <w:ind w:firstLine="420" w:firstLineChars="200"/>
              <w:rPr>
                <w:color w:val="auto"/>
                <w:highlight w:val="none"/>
              </w:rPr>
            </w:pPr>
          </w:p>
        </w:tc>
        <w:tc>
          <w:tcPr>
            <w:tcW w:w="708" w:type="dxa"/>
            <w:noWrap w:val="0"/>
            <w:vAlign w:val="center"/>
          </w:tcPr>
          <w:p>
            <w:pPr>
              <w:spacing w:line="360" w:lineRule="auto"/>
              <w:ind w:firstLine="420" w:firstLineChars="200"/>
              <w:rPr>
                <w:color w:val="auto"/>
                <w:highlight w:val="none"/>
              </w:rPr>
            </w:pPr>
          </w:p>
        </w:tc>
        <w:tc>
          <w:tcPr>
            <w:tcW w:w="709" w:type="dxa"/>
            <w:noWrap w:val="0"/>
            <w:vAlign w:val="center"/>
          </w:tcPr>
          <w:p>
            <w:pPr>
              <w:spacing w:line="360" w:lineRule="auto"/>
              <w:ind w:firstLine="420" w:firstLineChars="200"/>
              <w:rPr>
                <w:color w:val="auto"/>
                <w:highlight w:val="none"/>
              </w:rPr>
            </w:pPr>
          </w:p>
        </w:tc>
        <w:tc>
          <w:tcPr>
            <w:tcW w:w="1134" w:type="dxa"/>
            <w:noWrap w:val="0"/>
            <w:vAlign w:val="center"/>
          </w:tcPr>
          <w:p>
            <w:pPr>
              <w:spacing w:line="360" w:lineRule="auto"/>
              <w:ind w:firstLine="420" w:firstLineChars="200"/>
              <w:rPr>
                <w:color w:val="auto"/>
                <w:highlight w:val="none"/>
              </w:rPr>
            </w:pPr>
          </w:p>
        </w:tc>
        <w:tc>
          <w:tcPr>
            <w:tcW w:w="1276" w:type="dxa"/>
            <w:noWrap w:val="0"/>
            <w:vAlign w:val="center"/>
          </w:tcPr>
          <w:p>
            <w:pPr>
              <w:spacing w:line="360" w:lineRule="auto"/>
              <w:ind w:firstLine="420" w:firstLineChars="200"/>
              <w:rPr>
                <w:color w:val="auto"/>
                <w:highlight w:val="none"/>
              </w:rPr>
            </w:pPr>
          </w:p>
        </w:tc>
        <w:tc>
          <w:tcPr>
            <w:tcW w:w="1134" w:type="dxa"/>
            <w:noWrap w:val="0"/>
            <w:vAlign w:val="center"/>
          </w:tcPr>
          <w:p>
            <w:pPr>
              <w:spacing w:line="360" w:lineRule="auto"/>
              <w:ind w:firstLine="420" w:firstLineChars="200"/>
              <w:rPr>
                <w:color w:val="auto"/>
                <w:highlight w:val="none"/>
              </w:rPr>
            </w:pPr>
          </w:p>
        </w:tc>
        <w:tc>
          <w:tcPr>
            <w:tcW w:w="1559" w:type="dxa"/>
            <w:noWrap w:val="0"/>
            <w:vAlign w:val="center"/>
          </w:tcPr>
          <w:p>
            <w:pPr>
              <w:spacing w:line="360" w:lineRule="auto"/>
              <w:ind w:firstLine="420" w:firstLineChars="20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20" w:firstLineChars="200"/>
              <w:rPr>
                <w:color w:val="auto"/>
                <w:highlight w:val="none"/>
              </w:rPr>
            </w:pPr>
          </w:p>
        </w:tc>
        <w:tc>
          <w:tcPr>
            <w:tcW w:w="1226" w:type="dxa"/>
            <w:noWrap w:val="0"/>
            <w:vAlign w:val="center"/>
          </w:tcPr>
          <w:p>
            <w:pPr>
              <w:spacing w:line="360" w:lineRule="auto"/>
              <w:ind w:firstLine="420" w:firstLineChars="200"/>
              <w:rPr>
                <w:color w:val="auto"/>
                <w:highlight w:val="none"/>
              </w:rPr>
            </w:pPr>
          </w:p>
        </w:tc>
        <w:tc>
          <w:tcPr>
            <w:tcW w:w="851" w:type="dxa"/>
            <w:noWrap w:val="0"/>
            <w:vAlign w:val="center"/>
          </w:tcPr>
          <w:p>
            <w:pPr>
              <w:spacing w:line="360" w:lineRule="auto"/>
              <w:ind w:firstLine="420" w:firstLineChars="200"/>
              <w:rPr>
                <w:color w:val="auto"/>
                <w:highlight w:val="none"/>
              </w:rPr>
            </w:pPr>
          </w:p>
        </w:tc>
        <w:tc>
          <w:tcPr>
            <w:tcW w:w="708" w:type="dxa"/>
            <w:noWrap w:val="0"/>
            <w:vAlign w:val="center"/>
          </w:tcPr>
          <w:p>
            <w:pPr>
              <w:spacing w:line="360" w:lineRule="auto"/>
              <w:ind w:firstLine="420" w:firstLineChars="200"/>
              <w:rPr>
                <w:color w:val="auto"/>
                <w:highlight w:val="none"/>
              </w:rPr>
            </w:pPr>
          </w:p>
        </w:tc>
        <w:tc>
          <w:tcPr>
            <w:tcW w:w="709" w:type="dxa"/>
            <w:noWrap w:val="0"/>
            <w:vAlign w:val="center"/>
          </w:tcPr>
          <w:p>
            <w:pPr>
              <w:spacing w:line="360" w:lineRule="auto"/>
              <w:ind w:firstLine="420" w:firstLineChars="200"/>
              <w:rPr>
                <w:color w:val="auto"/>
                <w:highlight w:val="none"/>
              </w:rPr>
            </w:pPr>
          </w:p>
        </w:tc>
        <w:tc>
          <w:tcPr>
            <w:tcW w:w="1134" w:type="dxa"/>
            <w:noWrap w:val="0"/>
            <w:vAlign w:val="center"/>
          </w:tcPr>
          <w:p>
            <w:pPr>
              <w:spacing w:line="360" w:lineRule="auto"/>
              <w:ind w:firstLine="420" w:firstLineChars="200"/>
              <w:rPr>
                <w:color w:val="auto"/>
                <w:highlight w:val="none"/>
              </w:rPr>
            </w:pPr>
          </w:p>
        </w:tc>
        <w:tc>
          <w:tcPr>
            <w:tcW w:w="1276" w:type="dxa"/>
            <w:noWrap w:val="0"/>
            <w:vAlign w:val="center"/>
          </w:tcPr>
          <w:p>
            <w:pPr>
              <w:spacing w:line="360" w:lineRule="auto"/>
              <w:ind w:firstLine="420" w:firstLineChars="200"/>
              <w:rPr>
                <w:color w:val="auto"/>
                <w:highlight w:val="none"/>
              </w:rPr>
            </w:pPr>
          </w:p>
        </w:tc>
        <w:tc>
          <w:tcPr>
            <w:tcW w:w="1134" w:type="dxa"/>
            <w:noWrap w:val="0"/>
            <w:vAlign w:val="center"/>
          </w:tcPr>
          <w:p>
            <w:pPr>
              <w:spacing w:line="360" w:lineRule="auto"/>
              <w:ind w:firstLine="420" w:firstLineChars="200"/>
              <w:rPr>
                <w:color w:val="auto"/>
                <w:highlight w:val="none"/>
              </w:rPr>
            </w:pPr>
          </w:p>
        </w:tc>
        <w:tc>
          <w:tcPr>
            <w:tcW w:w="1559" w:type="dxa"/>
            <w:noWrap w:val="0"/>
            <w:vAlign w:val="center"/>
          </w:tcPr>
          <w:p>
            <w:pPr>
              <w:spacing w:line="360" w:lineRule="auto"/>
              <w:ind w:firstLine="420" w:firstLineChars="20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20" w:firstLineChars="200"/>
              <w:rPr>
                <w:color w:val="auto"/>
                <w:highlight w:val="none"/>
              </w:rPr>
            </w:pPr>
          </w:p>
        </w:tc>
        <w:tc>
          <w:tcPr>
            <w:tcW w:w="1226" w:type="dxa"/>
            <w:noWrap w:val="0"/>
            <w:vAlign w:val="center"/>
          </w:tcPr>
          <w:p>
            <w:pPr>
              <w:spacing w:line="360" w:lineRule="auto"/>
              <w:ind w:firstLine="420" w:firstLineChars="200"/>
              <w:rPr>
                <w:color w:val="auto"/>
                <w:highlight w:val="none"/>
              </w:rPr>
            </w:pPr>
          </w:p>
        </w:tc>
        <w:tc>
          <w:tcPr>
            <w:tcW w:w="851" w:type="dxa"/>
            <w:noWrap w:val="0"/>
            <w:vAlign w:val="center"/>
          </w:tcPr>
          <w:p>
            <w:pPr>
              <w:spacing w:line="360" w:lineRule="auto"/>
              <w:ind w:firstLine="420" w:firstLineChars="200"/>
              <w:rPr>
                <w:color w:val="auto"/>
                <w:highlight w:val="none"/>
              </w:rPr>
            </w:pPr>
          </w:p>
        </w:tc>
        <w:tc>
          <w:tcPr>
            <w:tcW w:w="708" w:type="dxa"/>
            <w:noWrap w:val="0"/>
            <w:vAlign w:val="center"/>
          </w:tcPr>
          <w:p>
            <w:pPr>
              <w:spacing w:line="360" w:lineRule="auto"/>
              <w:ind w:firstLine="420" w:firstLineChars="200"/>
              <w:rPr>
                <w:color w:val="auto"/>
                <w:highlight w:val="none"/>
              </w:rPr>
            </w:pPr>
          </w:p>
        </w:tc>
        <w:tc>
          <w:tcPr>
            <w:tcW w:w="709" w:type="dxa"/>
            <w:noWrap w:val="0"/>
            <w:vAlign w:val="center"/>
          </w:tcPr>
          <w:p>
            <w:pPr>
              <w:spacing w:line="360" w:lineRule="auto"/>
              <w:ind w:firstLine="420" w:firstLineChars="200"/>
              <w:rPr>
                <w:color w:val="auto"/>
                <w:highlight w:val="none"/>
              </w:rPr>
            </w:pPr>
          </w:p>
        </w:tc>
        <w:tc>
          <w:tcPr>
            <w:tcW w:w="1134" w:type="dxa"/>
            <w:noWrap w:val="0"/>
            <w:vAlign w:val="center"/>
          </w:tcPr>
          <w:p>
            <w:pPr>
              <w:spacing w:line="360" w:lineRule="auto"/>
              <w:ind w:firstLine="420" w:firstLineChars="200"/>
              <w:rPr>
                <w:color w:val="auto"/>
                <w:highlight w:val="none"/>
              </w:rPr>
            </w:pPr>
          </w:p>
        </w:tc>
        <w:tc>
          <w:tcPr>
            <w:tcW w:w="1276" w:type="dxa"/>
            <w:noWrap w:val="0"/>
            <w:vAlign w:val="center"/>
          </w:tcPr>
          <w:p>
            <w:pPr>
              <w:spacing w:line="360" w:lineRule="auto"/>
              <w:ind w:firstLine="420" w:firstLineChars="200"/>
              <w:rPr>
                <w:color w:val="auto"/>
                <w:highlight w:val="none"/>
              </w:rPr>
            </w:pPr>
          </w:p>
        </w:tc>
        <w:tc>
          <w:tcPr>
            <w:tcW w:w="1134" w:type="dxa"/>
            <w:noWrap w:val="0"/>
            <w:vAlign w:val="center"/>
          </w:tcPr>
          <w:p>
            <w:pPr>
              <w:spacing w:line="360" w:lineRule="auto"/>
              <w:ind w:firstLine="420" w:firstLineChars="200"/>
              <w:rPr>
                <w:color w:val="auto"/>
                <w:highlight w:val="none"/>
              </w:rPr>
            </w:pPr>
          </w:p>
        </w:tc>
        <w:tc>
          <w:tcPr>
            <w:tcW w:w="1559" w:type="dxa"/>
            <w:noWrap w:val="0"/>
            <w:vAlign w:val="center"/>
          </w:tcPr>
          <w:p>
            <w:pPr>
              <w:spacing w:line="360" w:lineRule="auto"/>
              <w:ind w:firstLine="420" w:firstLineChars="20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noWrap w:val="0"/>
            <w:vAlign w:val="center"/>
          </w:tcPr>
          <w:p>
            <w:pPr>
              <w:spacing w:line="360" w:lineRule="auto"/>
              <w:ind w:firstLine="420" w:firstLineChars="200"/>
              <w:rPr>
                <w:color w:val="auto"/>
                <w:highlight w:val="none"/>
              </w:rPr>
            </w:pPr>
          </w:p>
        </w:tc>
        <w:tc>
          <w:tcPr>
            <w:tcW w:w="1226" w:type="dxa"/>
            <w:noWrap w:val="0"/>
            <w:vAlign w:val="center"/>
          </w:tcPr>
          <w:p>
            <w:pPr>
              <w:spacing w:line="360" w:lineRule="auto"/>
              <w:ind w:firstLine="420" w:firstLineChars="200"/>
              <w:rPr>
                <w:color w:val="auto"/>
                <w:highlight w:val="none"/>
              </w:rPr>
            </w:pPr>
          </w:p>
        </w:tc>
        <w:tc>
          <w:tcPr>
            <w:tcW w:w="851" w:type="dxa"/>
            <w:noWrap w:val="0"/>
            <w:vAlign w:val="center"/>
          </w:tcPr>
          <w:p>
            <w:pPr>
              <w:spacing w:line="360" w:lineRule="auto"/>
              <w:ind w:firstLine="420" w:firstLineChars="200"/>
              <w:rPr>
                <w:color w:val="auto"/>
                <w:highlight w:val="none"/>
              </w:rPr>
            </w:pPr>
          </w:p>
        </w:tc>
        <w:tc>
          <w:tcPr>
            <w:tcW w:w="708" w:type="dxa"/>
            <w:noWrap w:val="0"/>
            <w:vAlign w:val="center"/>
          </w:tcPr>
          <w:p>
            <w:pPr>
              <w:spacing w:line="360" w:lineRule="auto"/>
              <w:ind w:firstLine="420" w:firstLineChars="200"/>
              <w:rPr>
                <w:color w:val="auto"/>
                <w:highlight w:val="none"/>
              </w:rPr>
            </w:pPr>
          </w:p>
        </w:tc>
        <w:tc>
          <w:tcPr>
            <w:tcW w:w="709" w:type="dxa"/>
            <w:noWrap w:val="0"/>
            <w:vAlign w:val="center"/>
          </w:tcPr>
          <w:p>
            <w:pPr>
              <w:spacing w:line="360" w:lineRule="auto"/>
              <w:ind w:firstLine="420" w:firstLineChars="200"/>
              <w:rPr>
                <w:color w:val="auto"/>
                <w:highlight w:val="none"/>
              </w:rPr>
            </w:pPr>
          </w:p>
        </w:tc>
        <w:tc>
          <w:tcPr>
            <w:tcW w:w="1134" w:type="dxa"/>
            <w:noWrap w:val="0"/>
            <w:vAlign w:val="center"/>
          </w:tcPr>
          <w:p>
            <w:pPr>
              <w:spacing w:line="360" w:lineRule="auto"/>
              <w:ind w:firstLine="420" w:firstLineChars="200"/>
              <w:rPr>
                <w:color w:val="auto"/>
                <w:highlight w:val="none"/>
              </w:rPr>
            </w:pPr>
          </w:p>
        </w:tc>
        <w:tc>
          <w:tcPr>
            <w:tcW w:w="1276" w:type="dxa"/>
            <w:noWrap w:val="0"/>
            <w:vAlign w:val="center"/>
          </w:tcPr>
          <w:p>
            <w:pPr>
              <w:spacing w:line="360" w:lineRule="auto"/>
              <w:ind w:firstLine="420" w:firstLineChars="200"/>
              <w:rPr>
                <w:color w:val="auto"/>
                <w:highlight w:val="none"/>
              </w:rPr>
            </w:pPr>
          </w:p>
        </w:tc>
        <w:tc>
          <w:tcPr>
            <w:tcW w:w="1134" w:type="dxa"/>
            <w:noWrap w:val="0"/>
            <w:vAlign w:val="center"/>
          </w:tcPr>
          <w:p>
            <w:pPr>
              <w:spacing w:line="360" w:lineRule="auto"/>
              <w:ind w:firstLine="420" w:firstLineChars="200"/>
              <w:rPr>
                <w:color w:val="auto"/>
                <w:highlight w:val="none"/>
              </w:rPr>
            </w:pPr>
          </w:p>
        </w:tc>
        <w:tc>
          <w:tcPr>
            <w:tcW w:w="1559" w:type="dxa"/>
            <w:noWrap w:val="0"/>
            <w:vAlign w:val="center"/>
          </w:tcPr>
          <w:p>
            <w:pPr>
              <w:spacing w:line="360" w:lineRule="auto"/>
              <w:ind w:firstLine="420" w:firstLineChars="200"/>
              <w:rPr>
                <w:color w:val="auto"/>
                <w:highlight w:val="none"/>
              </w:rPr>
            </w:pP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r>
        <w:rPr>
          <w:rFonts w:hint="eastAsia" w:cs="宋体"/>
          <w:color w:val="auto"/>
          <w:highlight w:val="none"/>
        </w:rPr>
        <w:t>附表三：劳动力计划表</w:t>
      </w:r>
    </w:p>
    <w:p>
      <w:pPr>
        <w:ind w:firstLine="7245" w:firstLineChars="3450"/>
        <w:rPr>
          <w:color w:val="auto"/>
          <w:highlight w:val="none"/>
        </w:rPr>
      </w:pPr>
      <w:r>
        <w:rPr>
          <w:color w:val="auto"/>
          <w:highlight w:val="none"/>
        </w:rPr>
        <w:t xml:space="preserve">    </w:t>
      </w:r>
      <w:r>
        <w:rPr>
          <w:rFonts w:hint="eastAsia" w:cs="宋体"/>
          <w:color w:val="auto"/>
          <w:highlight w:val="none"/>
        </w:rPr>
        <w:t>单位：人</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highlight w:val="none"/>
              </w:rPr>
            </w:pPr>
            <w:r>
              <w:rPr>
                <w:rFonts w:hint="eastAsia" w:cs="宋体"/>
                <w:color w:val="auto"/>
                <w:highlight w:val="none"/>
              </w:rPr>
              <w:t>工种</w:t>
            </w:r>
          </w:p>
        </w:tc>
        <w:tc>
          <w:tcPr>
            <w:tcW w:w="8506" w:type="dxa"/>
            <w:gridSpan w:val="7"/>
            <w:noWrap w:val="0"/>
            <w:vAlign w:val="center"/>
          </w:tcPr>
          <w:p>
            <w:pPr>
              <w:spacing w:line="360" w:lineRule="auto"/>
              <w:jc w:val="center"/>
              <w:rPr>
                <w:color w:val="auto"/>
                <w:highlight w:val="none"/>
              </w:rPr>
            </w:pPr>
            <w:r>
              <w:rPr>
                <w:rFonts w:hint="eastAsia" w:cs="宋体"/>
                <w:color w:val="auto"/>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highlight w:val="none"/>
              </w:rPr>
            </w:pPr>
          </w:p>
        </w:tc>
        <w:tc>
          <w:tcPr>
            <w:tcW w:w="961" w:type="dxa"/>
            <w:noWrap w:val="0"/>
            <w:vAlign w:val="center"/>
          </w:tcPr>
          <w:p>
            <w:pPr>
              <w:spacing w:line="360" w:lineRule="auto"/>
              <w:jc w:val="center"/>
              <w:rPr>
                <w:color w:val="auto"/>
                <w:highlight w:val="none"/>
              </w:rPr>
            </w:pPr>
          </w:p>
        </w:tc>
        <w:tc>
          <w:tcPr>
            <w:tcW w:w="1257" w:type="dxa"/>
            <w:noWrap w:val="0"/>
            <w:vAlign w:val="center"/>
          </w:tcPr>
          <w:p>
            <w:pPr>
              <w:spacing w:line="360" w:lineRule="auto"/>
              <w:jc w:val="center"/>
              <w:rPr>
                <w:color w:val="auto"/>
                <w:highlight w:val="none"/>
              </w:rPr>
            </w:pPr>
          </w:p>
        </w:tc>
        <w:tc>
          <w:tcPr>
            <w:tcW w:w="1258" w:type="dxa"/>
            <w:noWrap w:val="0"/>
            <w:vAlign w:val="center"/>
          </w:tcPr>
          <w:p>
            <w:pPr>
              <w:spacing w:line="360" w:lineRule="auto"/>
              <w:jc w:val="center"/>
              <w:rPr>
                <w:color w:val="auto"/>
                <w:highlight w:val="none"/>
              </w:rPr>
            </w:pPr>
          </w:p>
        </w:tc>
        <w:tc>
          <w:tcPr>
            <w:tcW w:w="1257" w:type="dxa"/>
            <w:noWrap w:val="0"/>
            <w:vAlign w:val="center"/>
          </w:tcPr>
          <w:p>
            <w:pPr>
              <w:spacing w:line="360" w:lineRule="auto"/>
              <w:jc w:val="center"/>
              <w:rPr>
                <w:color w:val="auto"/>
                <w:highlight w:val="none"/>
              </w:rPr>
            </w:pPr>
          </w:p>
        </w:tc>
        <w:tc>
          <w:tcPr>
            <w:tcW w:w="1258" w:type="dxa"/>
            <w:noWrap w:val="0"/>
            <w:vAlign w:val="center"/>
          </w:tcPr>
          <w:p>
            <w:pPr>
              <w:spacing w:line="360" w:lineRule="auto"/>
              <w:jc w:val="center"/>
              <w:rPr>
                <w:color w:val="auto"/>
                <w:highlight w:val="none"/>
              </w:rPr>
            </w:pPr>
          </w:p>
        </w:tc>
        <w:tc>
          <w:tcPr>
            <w:tcW w:w="1257" w:type="dxa"/>
            <w:noWrap w:val="0"/>
            <w:vAlign w:val="center"/>
          </w:tcPr>
          <w:p>
            <w:pPr>
              <w:spacing w:line="360" w:lineRule="auto"/>
              <w:jc w:val="center"/>
              <w:rPr>
                <w:color w:val="auto"/>
                <w:highlight w:val="none"/>
              </w:rPr>
            </w:pPr>
          </w:p>
        </w:tc>
        <w:tc>
          <w:tcPr>
            <w:tcW w:w="1258" w:type="dxa"/>
            <w:noWrap w:val="0"/>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highlight w:val="none"/>
              </w:rPr>
            </w:pPr>
          </w:p>
        </w:tc>
        <w:tc>
          <w:tcPr>
            <w:tcW w:w="961" w:type="dxa"/>
            <w:noWrap w:val="0"/>
            <w:vAlign w:val="center"/>
          </w:tcPr>
          <w:p>
            <w:pPr>
              <w:spacing w:line="360" w:lineRule="auto"/>
              <w:jc w:val="center"/>
              <w:rPr>
                <w:color w:val="auto"/>
                <w:highlight w:val="none"/>
              </w:rPr>
            </w:pPr>
          </w:p>
        </w:tc>
        <w:tc>
          <w:tcPr>
            <w:tcW w:w="1257" w:type="dxa"/>
            <w:noWrap w:val="0"/>
            <w:vAlign w:val="center"/>
          </w:tcPr>
          <w:p>
            <w:pPr>
              <w:spacing w:line="360" w:lineRule="auto"/>
              <w:jc w:val="center"/>
              <w:rPr>
                <w:color w:val="auto"/>
                <w:highlight w:val="none"/>
              </w:rPr>
            </w:pPr>
          </w:p>
        </w:tc>
        <w:tc>
          <w:tcPr>
            <w:tcW w:w="1258" w:type="dxa"/>
            <w:noWrap w:val="0"/>
            <w:vAlign w:val="center"/>
          </w:tcPr>
          <w:p>
            <w:pPr>
              <w:spacing w:line="360" w:lineRule="auto"/>
              <w:jc w:val="center"/>
              <w:rPr>
                <w:color w:val="auto"/>
                <w:highlight w:val="none"/>
              </w:rPr>
            </w:pPr>
          </w:p>
        </w:tc>
        <w:tc>
          <w:tcPr>
            <w:tcW w:w="1257" w:type="dxa"/>
            <w:noWrap w:val="0"/>
            <w:vAlign w:val="center"/>
          </w:tcPr>
          <w:p>
            <w:pPr>
              <w:spacing w:line="360" w:lineRule="auto"/>
              <w:jc w:val="center"/>
              <w:rPr>
                <w:color w:val="auto"/>
                <w:highlight w:val="none"/>
              </w:rPr>
            </w:pPr>
          </w:p>
        </w:tc>
        <w:tc>
          <w:tcPr>
            <w:tcW w:w="1258" w:type="dxa"/>
            <w:noWrap w:val="0"/>
            <w:vAlign w:val="center"/>
          </w:tcPr>
          <w:p>
            <w:pPr>
              <w:spacing w:line="360" w:lineRule="auto"/>
              <w:jc w:val="center"/>
              <w:rPr>
                <w:color w:val="auto"/>
                <w:highlight w:val="none"/>
              </w:rPr>
            </w:pPr>
          </w:p>
        </w:tc>
        <w:tc>
          <w:tcPr>
            <w:tcW w:w="1257" w:type="dxa"/>
            <w:noWrap w:val="0"/>
            <w:vAlign w:val="center"/>
          </w:tcPr>
          <w:p>
            <w:pPr>
              <w:spacing w:line="360" w:lineRule="auto"/>
              <w:jc w:val="center"/>
              <w:rPr>
                <w:color w:val="auto"/>
                <w:highlight w:val="none"/>
              </w:rPr>
            </w:pPr>
          </w:p>
        </w:tc>
        <w:tc>
          <w:tcPr>
            <w:tcW w:w="1258" w:type="dxa"/>
            <w:noWrap w:val="0"/>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highlight w:val="none"/>
              </w:rPr>
            </w:pPr>
          </w:p>
        </w:tc>
        <w:tc>
          <w:tcPr>
            <w:tcW w:w="961" w:type="dxa"/>
            <w:noWrap w:val="0"/>
            <w:vAlign w:val="center"/>
          </w:tcPr>
          <w:p>
            <w:pPr>
              <w:spacing w:line="360" w:lineRule="auto"/>
              <w:jc w:val="center"/>
              <w:rPr>
                <w:color w:val="auto"/>
                <w:highlight w:val="none"/>
              </w:rPr>
            </w:pPr>
          </w:p>
        </w:tc>
        <w:tc>
          <w:tcPr>
            <w:tcW w:w="1257" w:type="dxa"/>
            <w:noWrap w:val="0"/>
            <w:vAlign w:val="center"/>
          </w:tcPr>
          <w:p>
            <w:pPr>
              <w:spacing w:line="360" w:lineRule="auto"/>
              <w:jc w:val="center"/>
              <w:rPr>
                <w:color w:val="auto"/>
                <w:highlight w:val="none"/>
              </w:rPr>
            </w:pPr>
          </w:p>
        </w:tc>
        <w:tc>
          <w:tcPr>
            <w:tcW w:w="1258" w:type="dxa"/>
            <w:noWrap w:val="0"/>
            <w:vAlign w:val="center"/>
          </w:tcPr>
          <w:p>
            <w:pPr>
              <w:spacing w:line="360" w:lineRule="auto"/>
              <w:jc w:val="center"/>
              <w:rPr>
                <w:color w:val="auto"/>
                <w:highlight w:val="none"/>
              </w:rPr>
            </w:pPr>
          </w:p>
        </w:tc>
        <w:tc>
          <w:tcPr>
            <w:tcW w:w="1257" w:type="dxa"/>
            <w:noWrap w:val="0"/>
            <w:vAlign w:val="center"/>
          </w:tcPr>
          <w:p>
            <w:pPr>
              <w:spacing w:line="360" w:lineRule="auto"/>
              <w:jc w:val="center"/>
              <w:rPr>
                <w:color w:val="auto"/>
                <w:highlight w:val="none"/>
              </w:rPr>
            </w:pPr>
          </w:p>
        </w:tc>
        <w:tc>
          <w:tcPr>
            <w:tcW w:w="1258" w:type="dxa"/>
            <w:noWrap w:val="0"/>
            <w:vAlign w:val="center"/>
          </w:tcPr>
          <w:p>
            <w:pPr>
              <w:spacing w:line="360" w:lineRule="auto"/>
              <w:jc w:val="center"/>
              <w:rPr>
                <w:color w:val="auto"/>
                <w:highlight w:val="none"/>
              </w:rPr>
            </w:pPr>
          </w:p>
        </w:tc>
        <w:tc>
          <w:tcPr>
            <w:tcW w:w="1257" w:type="dxa"/>
            <w:noWrap w:val="0"/>
            <w:vAlign w:val="center"/>
          </w:tcPr>
          <w:p>
            <w:pPr>
              <w:spacing w:line="360" w:lineRule="auto"/>
              <w:jc w:val="center"/>
              <w:rPr>
                <w:color w:val="auto"/>
                <w:highlight w:val="none"/>
              </w:rPr>
            </w:pPr>
          </w:p>
        </w:tc>
        <w:tc>
          <w:tcPr>
            <w:tcW w:w="1258" w:type="dxa"/>
            <w:noWrap w:val="0"/>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highlight w:val="none"/>
              </w:rPr>
            </w:pPr>
          </w:p>
        </w:tc>
        <w:tc>
          <w:tcPr>
            <w:tcW w:w="961" w:type="dxa"/>
            <w:noWrap w:val="0"/>
            <w:vAlign w:val="center"/>
          </w:tcPr>
          <w:p>
            <w:pPr>
              <w:spacing w:line="360" w:lineRule="auto"/>
              <w:jc w:val="center"/>
              <w:rPr>
                <w:color w:val="auto"/>
                <w:highlight w:val="none"/>
              </w:rPr>
            </w:pPr>
          </w:p>
        </w:tc>
        <w:tc>
          <w:tcPr>
            <w:tcW w:w="1257" w:type="dxa"/>
            <w:noWrap w:val="0"/>
            <w:vAlign w:val="center"/>
          </w:tcPr>
          <w:p>
            <w:pPr>
              <w:spacing w:line="360" w:lineRule="auto"/>
              <w:jc w:val="center"/>
              <w:rPr>
                <w:color w:val="auto"/>
                <w:highlight w:val="none"/>
              </w:rPr>
            </w:pPr>
          </w:p>
        </w:tc>
        <w:tc>
          <w:tcPr>
            <w:tcW w:w="1258" w:type="dxa"/>
            <w:noWrap w:val="0"/>
            <w:vAlign w:val="center"/>
          </w:tcPr>
          <w:p>
            <w:pPr>
              <w:spacing w:line="360" w:lineRule="auto"/>
              <w:jc w:val="center"/>
              <w:rPr>
                <w:color w:val="auto"/>
                <w:highlight w:val="none"/>
              </w:rPr>
            </w:pPr>
          </w:p>
        </w:tc>
        <w:tc>
          <w:tcPr>
            <w:tcW w:w="1257" w:type="dxa"/>
            <w:noWrap w:val="0"/>
            <w:vAlign w:val="center"/>
          </w:tcPr>
          <w:p>
            <w:pPr>
              <w:spacing w:line="360" w:lineRule="auto"/>
              <w:jc w:val="center"/>
              <w:rPr>
                <w:color w:val="auto"/>
                <w:highlight w:val="none"/>
              </w:rPr>
            </w:pPr>
          </w:p>
        </w:tc>
        <w:tc>
          <w:tcPr>
            <w:tcW w:w="1258" w:type="dxa"/>
            <w:noWrap w:val="0"/>
            <w:vAlign w:val="center"/>
          </w:tcPr>
          <w:p>
            <w:pPr>
              <w:spacing w:line="360" w:lineRule="auto"/>
              <w:jc w:val="center"/>
              <w:rPr>
                <w:color w:val="auto"/>
                <w:highlight w:val="none"/>
              </w:rPr>
            </w:pPr>
          </w:p>
        </w:tc>
        <w:tc>
          <w:tcPr>
            <w:tcW w:w="1257" w:type="dxa"/>
            <w:noWrap w:val="0"/>
            <w:vAlign w:val="center"/>
          </w:tcPr>
          <w:p>
            <w:pPr>
              <w:spacing w:line="360" w:lineRule="auto"/>
              <w:jc w:val="center"/>
              <w:rPr>
                <w:color w:val="auto"/>
                <w:highlight w:val="none"/>
              </w:rPr>
            </w:pPr>
          </w:p>
        </w:tc>
        <w:tc>
          <w:tcPr>
            <w:tcW w:w="1258" w:type="dxa"/>
            <w:noWrap w:val="0"/>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highlight w:val="none"/>
              </w:rPr>
            </w:pPr>
          </w:p>
        </w:tc>
        <w:tc>
          <w:tcPr>
            <w:tcW w:w="961" w:type="dxa"/>
            <w:noWrap w:val="0"/>
            <w:vAlign w:val="center"/>
          </w:tcPr>
          <w:p>
            <w:pPr>
              <w:spacing w:line="360" w:lineRule="auto"/>
              <w:jc w:val="center"/>
              <w:rPr>
                <w:color w:val="auto"/>
                <w:highlight w:val="none"/>
              </w:rPr>
            </w:pPr>
          </w:p>
        </w:tc>
        <w:tc>
          <w:tcPr>
            <w:tcW w:w="1257" w:type="dxa"/>
            <w:noWrap w:val="0"/>
            <w:vAlign w:val="center"/>
          </w:tcPr>
          <w:p>
            <w:pPr>
              <w:spacing w:line="360" w:lineRule="auto"/>
              <w:jc w:val="center"/>
              <w:rPr>
                <w:color w:val="auto"/>
                <w:highlight w:val="none"/>
              </w:rPr>
            </w:pPr>
          </w:p>
        </w:tc>
        <w:tc>
          <w:tcPr>
            <w:tcW w:w="1258" w:type="dxa"/>
            <w:noWrap w:val="0"/>
            <w:vAlign w:val="center"/>
          </w:tcPr>
          <w:p>
            <w:pPr>
              <w:spacing w:line="360" w:lineRule="auto"/>
              <w:jc w:val="center"/>
              <w:rPr>
                <w:color w:val="auto"/>
                <w:highlight w:val="none"/>
              </w:rPr>
            </w:pPr>
          </w:p>
        </w:tc>
        <w:tc>
          <w:tcPr>
            <w:tcW w:w="1257" w:type="dxa"/>
            <w:noWrap w:val="0"/>
            <w:vAlign w:val="center"/>
          </w:tcPr>
          <w:p>
            <w:pPr>
              <w:spacing w:line="360" w:lineRule="auto"/>
              <w:jc w:val="center"/>
              <w:rPr>
                <w:color w:val="auto"/>
                <w:highlight w:val="none"/>
              </w:rPr>
            </w:pPr>
          </w:p>
        </w:tc>
        <w:tc>
          <w:tcPr>
            <w:tcW w:w="1258" w:type="dxa"/>
            <w:noWrap w:val="0"/>
            <w:vAlign w:val="center"/>
          </w:tcPr>
          <w:p>
            <w:pPr>
              <w:spacing w:line="360" w:lineRule="auto"/>
              <w:jc w:val="center"/>
              <w:rPr>
                <w:color w:val="auto"/>
                <w:highlight w:val="none"/>
              </w:rPr>
            </w:pPr>
          </w:p>
        </w:tc>
        <w:tc>
          <w:tcPr>
            <w:tcW w:w="1257" w:type="dxa"/>
            <w:noWrap w:val="0"/>
            <w:vAlign w:val="center"/>
          </w:tcPr>
          <w:p>
            <w:pPr>
              <w:spacing w:line="360" w:lineRule="auto"/>
              <w:jc w:val="center"/>
              <w:rPr>
                <w:color w:val="auto"/>
                <w:highlight w:val="none"/>
              </w:rPr>
            </w:pPr>
          </w:p>
        </w:tc>
        <w:tc>
          <w:tcPr>
            <w:tcW w:w="1258" w:type="dxa"/>
            <w:noWrap w:val="0"/>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highlight w:val="none"/>
              </w:rPr>
            </w:pPr>
          </w:p>
        </w:tc>
        <w:tc>
          <w:tcPr>
            <w:tcW w:w="961" w:type="dxa"/>
            <w:noWrap w:val="0"/>
            <w:vAlign w:val="center"/>
          </w:tcPr>
          <w:p>
            <w:pPr>
              <w:spacing w:line="360" w:lineRule="auto"/>
              <w:jc w:val="center"/>
              <w:rPr>
                <w:color w:val="auto"/>
                <w:highlight w:val="none"/>
              </w:rPr>
            </w:pPr>
          </w:p>
        </w:tc>
        <w:tc>
          <w:tcPr>
            <w:tcW w:w="1257" w:type="dxa"/>
            <w:noWrap w:val="0"/>
            <w:vAlign w:val="center"/>
          </w:tcPr>
          <w:p>
            <w:pPr>
              <w:spacing w:line="360" w:lineRule="auto"/>
              <w:jc w:val="center"/>
              <w:rPr>
                <w:color w:val="auto"/>
                <w:highlight w:val="none"/>
              </w:rPr>
            </w:pPr>
          </w:p>
        </w:tc>
        <w:tc>
          <w:tcPr>
            <w:tcW w:w="1258" w:type="dxa"/>
            <w:noWrap w:val="0"/>
            <w:vAlign w:val="center"/>
          </w:tcPr>
          <w:p>
            <w:pPr>
              <w:spacing w:line="360" w:lineRule="auto"/>
              <w:jc w:val="center"/>
              <w:rPr>
                <w:color w:val="auto"/>
                <w:highlight w:val="none"/>
              </w:rPr>
            </w:pPr>
          </w:p>
        </w:tc>
        <w:tc>
          <w:tcPr>
            <w:tcW w:w="1257" w:type="dxa"/>
            <w:noWrap w:val="0"/>
            <w:vAlign w:val="center"/>
          </w:tcPr>
          <w:p>
            <w:pPr>
              <w:spacing w:line="360" w:lineRule="auto"/>
              <w:jc w:val="center"/>
              <w:rPr>
                <w:color w:val="auto"/>
                <w:highlight w:val="none"/>
              </w:rPr>
            </w:pPr>
          </w:p>
        </w:tc>
        <w:tc>
          <w:tcPr>
            <w:tcW w:w="1258" w:type="dxa"/>
            <w:noWrap w:val="0"/>
            <w:vAlign w:val="center"/>
          </w:tcPr>
          <w:p>
            <w:pPr>
              <w:spacing w:line="360" w:lineRule="auto"/>
              <w:jc w:val="center"/>
              <w:rPr>
                <w:color w:val="auto"/>
                <w:highlight w:val="none"/>
              </w:rPr>
            </w:pPr>
          </w:p>
        </w:tc>
        <w:tc>
          <w:tcPr>
            <w:tcW w:w="1257" w:type="dxa"/>
            <w:noWrap w:val="0"/>
            <w:vAlign w:val="center"/>
          </w:tcPr>
          <w:p>
            <w:pPr>
              <w:spacing w:line="360" w:lineRule="auto"/>
              <w:jc w:val="center"/>
              <w:rPr>
                <w:color w:val="auto"/>
                <w:highlight w:val="none"/>
              </w:rPr>
            </w:pPr>
          </w:p>
        </w:tc>
        <w:tc>
          <w:tcPr>
            <w:tcW w:w="1258" w:type="dxa"/>
            <w:noWrap w:val="0"/>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spacing w:line="360" w:lineRule="auto"/>
              <w:jc w:val="center"/>
              <w:rPr>
                <w:color w:val="auto"/>
                <w:highlight w:val="none"/>
              </w:rPr>
            </w:pPr>
          </w:p>
        </w:tc>
        <w:tc>
          <w:tcPr>
            <w:tcW w:w="961" w:type="dxa"/>
            <w:noWrap w:val="0"/>
            <w:vAlign w:val="center"/>
          </w:tcPr>
          <w:p>
            <w:pPr>
              <w:spacing w:line="360" w:lineRule="auto"/>
              <w:jc w:val="center"/>
              <w:rPr>
                <w:color w:val="auto"/>
                <w:highlight w:val="none"/>
              </w:rPr>
            </w:pPr>
          </w:p>
        </w:tc>
        <w:tc>
          <w:tcPr>
            <w:tcW w:w="1257" w:type="dxa"/>
            <w:noWrap w:val="0"/>
            <w:vAlign w:val="center"/>
          </w:tcPr>
          <w:p>
            <w:pPr>
              <w:spacing w:line="360" w:lineRule="auto"/>
              <w:jc w:val="center"/>
              <w:rPr>
                <w:color w:val="auto"/>
                <w:highlight w:val="none"/>
              </w:rPr>
            </w:pPr>
          </w:p>
        </w:tc>
        <w:tc>
          <w:tcPr>
            <w:tcW w:w="1258" w:type="dxa"/>
            <w:noWrap w:val="0"/>
            <w:vAlign w:val="center"/>
          </w:tcPr>
          <w:p>
            <w:pPr>
              <w:spacing w:line="360" w:lineRule="auto"/>
              <w:jc w:val="center"/>
              <w:rPr>
                <w:color w:val="auto"/>
                <w:highlight w:val="none"/>
              </w:rPr>
            </w:pPr>
          </w:p>
        </w:tc>
        <w:tc>
          <w:tcPr>
            <w:tcW w:w="1257" w:type="dxa"/>
            <w:noWrap w:val="0"/>
            <w:vAlign w:val="center"/>
          </w:tcPr>
          <w:p>
            <w:pPr>
              <w:spacing w:line="360" w:lineRule="auto"/>
              <w:jc w:val="center"/>
              <w:rPr>
                <w:color w:val="auto"/>
                <w:highlight w:val="none"/>
              </w:rPr>
            </w:pPr>
          </w:p>
        </w:tc>
        <w:tc>
          <w:tcPr>
            <w:tcW w:w="1258" w:type="dxa"/>
            <w:noWrap w:val="0"/>
            <w:vAlign w:val="center"/>
          </w:tcPr>
          <w:p>
            <w:pPr>
              <w:spacing w:line="360" w:lineRule="auto"/>
              <w:jc w:val="center"/>
              <w:rPr>
                <w:color w:val="auto"/>
                <w:highlight w:val="none"/>
              </w:rPr>
            </w:pPr>
          </w:p>
        </w:tc>
        <w:tc>
          <w:tcPr>
            <w:tcW w:w="1257" w:type="dxa"/>
            <w:noWrap w:val="0"/>
            <w:vAlign w:val="center"/>
          </w:tcPr>
          <w:p>
            <w:pPr>
              <w:spacing w:line="360" w:lineRule="auto"/>
              <w:jc w:val="center"/>
              <w:rPr>
                <w:color w:val="auto"/>
                <w:highlight w:val="none"/>
              </w:rPr>
            </w:pPr>
          </w:p>
        </w:tc>
        <w:tc>
          <w:tcPr>
            <w:tcW w:w="1258" w:type="dxa"/>
            <w:noWrap w:val="0"/>
            <w:vAlign w:val="center"/>
          </w:tcPr>
          <w:p>
            <w:pPr>
              <w:spacing w:line="360" w:lineRule="auto"/>
              <w:jc w:val="center"/>
              <w:rPr>
                <w:color w:val="auto"/>
                <w:highlight w:val="none"/>
              </w:rPr>
            </w:pPr>
          </w:p>
        </w:tc>
      </w:tr>
    </w:tbl>
    <w:p>
      <w:pPr>
        <w:rPr>
          <w:color w:val="auto"/>
          <w:highlight w:val="none"/>
        </w:rPr>
      </w:pPr>
    </w:p>
    <w:p>
      <w:pPr>
        <w:rPr>
          <w:b/>
          <w:bCs/>
          <w:color w:val="auto"/>
          <w:highlight w:val="none"/>
        </w:rPr>
      </w:pPr>
    </w:p>
    <w:p>
      <w:pPr>
        <w:rPr>
          <w:color w:val="auto"/>
          <w:highlight w:val="none"/>
        </w:rPr>
      </w:pPr>
      <w:r>
        <w:rPr>
          <w:rFonts w:hint="eastAsia" w:cs="宋体"/>
          <w:color w:val="auto"/>
          <w:highlight w:val="none"/>
        </w:rPr>
        <w:t>附表四：计划开、竣工日期和施工进度计划（网络图或横道图）</w:t>
      </w:r>
    </w:p>
    <w:p>
      <w:pPr>
        <w:spacing w:line="460" w:lineRule="exact"/>
        <w:ind w:left="-6" w:firstLine="420"/>
        <w:rPr>
          <w:color w:val="auto"/>
          <w:highlight w:val="none"/>
        </w:rPr>
      </w:pPr>
      <w:r>
        <w:rPr>
          <w:color w:val="auto"/>
          <w:highlight w:val="none"/>
        </w:rPr>
        <w:t xml:space="preserve">1. </w:t>
      </w:r>
      <w:r>
        <w:rPr>
          <w:rFonts w:hint="eastAsia" w:cs="宋体"/>
          <w:color w:val="auto"/>
          <w:highlight w:val="none"/>
        </w:rPr>
        <w:t>投标人应提交施工进度计划，说明按招标文件要求的工期进行施工的各个关键日期。中标的投标人还应按合同条件有关条款的要求提交详细的施工进度计划。</w:t>
      </w:r>
    </w:p>
    <w:p>
      <w:pPr>
        <w:spacing w:line="460" w:lineRule="exact"/>
        <w:ind w:left="-6" w:firstLine="420"/>
        <w:rPr>
          <w:color w:val="auto"/>
          <w:highlight w:val="none"/>
        </w:rPr>
      </w:pPr>
      <w:r>
        <w:rPr>
          <w:color w:val="auto"/>
          <w:highlight w:val="none"/>
        </w:rPr>
        <w:t xml:space="preserve">2. </w:t>
      </w:r>
      <w:r>
        <w:rPr>
          <w:rFonts w:hint="eastAsia" w:cs="宋体"/>
          <w:color w:val="auto"/>
          <w:highlight w:val="none"/>
        </w:rPr>
        <w:t>施工进度计划可采用网络图（或横道图）表示，说明计划开工日期和各分项工程各阶段的完工日期和分包合同签订的日期。</w:t>
      </w:r>
    </w:p>
    <w:p>
      <w:pPr>
        <w:spacing w:line="460" w:lineRule="exact"/>
        <w:ind w:left="-6" w:firstLine="420"/>
        <w:rPr>
          <w:color w:val="auto"/>
          <w:highlight w:val="none"/>
        </w:rPr>
      </w:pPr>
      <w:r>
        <w:rPr>
          <w:color w:val="auto"/>
          <w:highlight w:val="none"/>
        </w:rPr>
        <w:t xml:space="preserve">3. </w:t>
      </w:r>
      <w:r>
        <w:rPr>
          <w:rFonts w:hint="eastAsia" w:cs="宋体"/>
          <w:color w:val="auto"/>
          <w:highlight w:val="none"/>
        </w:rPr>
        <w:t>施工进度计划应与施工组织设计相适应。</w:t>
      </w:r>
    </w:p>
    <w:p>
      <w:pPr>
        <w:spacing w:line="360" w:lineRule="auto"/>
        <w:ind w:left="-6" w:firstLine="420"/>
        <w:rPr>
          <w:color w:val="auto"/>
          <w:highlight w:val="none"/>
        </w:rPr>
      </w:pPr>
    </w:p>
    <w:p>
      <w:pPr>
        <w:rPr>
          <w:color w:val="auto"/>
          <w:highlight w:val="none"/>
        </w:rPr>
      </w:pPr>
    </w:p>
    <w:p>
      <w:pPr>
        <w:rPr>
          <w:color w:val="auto"/>
          <w:highlight w:val="none"/>
        </w:rPr>
      </w:pPr>
      <w:r>
        <w:rPr>
          <w:rFonts w:hint="eastAsia" w:cs="宋体"/>
          <w:color w:val="auto"/>
          <w:highlight w:val="none"/>
        </w:rPr>
        <w:t>附表五：施工总平面图</w:t>
      </w:r>
    </w:p>
    <w:p>
      <w:pPr>
        <w:spacing w:line="460" w:lineRule="exact"/>
        <w:ind w:firstLine="420" w:firstLineChars="200"/>
        <w:rPr>
          <w:color w:val="auto"/>
          <w:highlight w:val="none"/>
        </w:rPr>
      </w:pPr>
      <w:r>
        <w:rPr>
          <w:rFonts w:hint="eastAsia" w:cs="宋体"/>
          <w:color w:val="auto"/>
          <w:highlight w:val="none"/>
        </w:rPr>
        <w:t>投标人应递交一份施工总平面图，绘出现场临时设施布置图表并附文字说明，说明临时设施、加工车间、现场办公、设备及仓储、供电、供水、卫生、生活、道路、消防等设施的情况和布置。</w:t>
      </w:r>
    </w:p>
    <w:p>
      <w:pPr>
        <w:rPr>
          <w:color w:val="auto"/>
          <w:highlight w:val="none"/>
        </w:rPr>
      </w:pPr>
    </w:p>
    <w:p>
      <w:pPr>
        <w:rPr>
          <w:color w:val="auto"/>
          <w:highlight w:val="none"/>
        </w:rPr>
      </w:pPr>
    </w:p>
    <w:p>
      <w:pPr>
        <w:rPr>
          <w:color w:val="auto"/>
          <w:highlight w:val="none"/>
        </w:rPr>
      </w:pPr>
      <w:r>
        <w:rPr>
          <w:rFonts w:hint="eastAsia" w:cs="宋体"/>
          <w:color w:val="auto"/>
          <w:highlight w:val="none"/>
        </w:rPr>
        <w:t>附表六：临时用地表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0"/>
            <w:vAlign w:val="center"/>
          </w:tcPr>
          <w:p>
            <w:pPr>
              <w:jc w:val="center"/>
              <w:rPr>
                <w:color w:val="auto"/>
                <w:highlight w:val="none"/>
              </w:rPr>
            </w:pPr>
            <w:r>
              <w:rPr>
                <w:rFonts w:hint="eastAsia" w:cs="宋体"/>
                <w:color w:val="auto"/>
                <w:highlight w:val="none"/>
              </w:rPr>
              <w:t>用途</w:t>
            </w:r>
          </w:p>
        </w:tc>
        <w:tc>
          <w:tcPr>
            <w:tcW w:w="2357" w:type="dxa"/>
            <w:noWrap w:val="0"/>
            <w:vAlign w:val="center"/>
          </w:tcPr>
          <w:p>
            <w:pPr>
              <w:jc w:val="center"/>
              <w:rPr>
                <w:color w:val="auto"/>
                <w:highlight w:val="none"/>
              </w:rPr>
            </w:pPr>
            <w:r>
              <w:rPr>
                <w:rFonts w:hint="eastAsia" w:cs="宋体"/>
                <w:color w:val="auto"/>
                <w:highlight w:val="none"/>
              </w:rPr>
              <w:t>面积（平方米）</w:t>
            </w:r>
          </w:p>
        </w:tc>
        <w:tc>
          <w:tcPr>
            <w:tcW w:w="2356" w:type="dxa"/>
            <w:noWrap w:val="0"/>
            <w:vAlign w:val="center"/>
          </w:tcPr>
          <w:p>
            <w:pPr>
              <w:jc w:val="center"/>
              <w:rPr>
                <w:color w:val="auto"/>
                <w:highlight w:val="none"/>
              </w:rPr>
            </w:pPr>
            <w:r>
              <w:rPr>
                <w:rFonts w:hint="eastAsia" w:cs="宋体"/>
                <w:color w:val="auto"/>
                <w:highlight w:val="none"/>
              </w:rPr>
              <w:t>位置</w:t>
            </w:r>
          </w:p>
        </w:tc>
        <w:tc>
          <w:tcPr>
            <w:tcW w:w="2357" w:type="dxa"/>
            <w:noWrap w:val="0"/>
            <w:vAlign w:val="center"/>
          </w:tcPr>
          <w:p>
            <w:pPr>
              <w:jc w:val="center"/>
              <w:rPr>
                <w:color w:val="auto"/>
                <w:highlight w:val="none"/>
              </w:rPr>
            </w:pPr>
            <w:r>
              <w:rPr>
                <w:rFonts w:hint="eastAsia" w:cs="宋体"/>
                <w:color w:val="auto"/>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highlight w:val="none"/>
              </w:rPr>
            </w:pPr>
          </w:p>
        </w:tc>
        <w:tc>
          <w:tcPr>
            <w:tcW w:w="2357" w:type="dxa"/>
            <w:noWrap w:val="0"/>
            <w:vAlign w:val="top"/>
          </w:tcPr>
          <w:p>
            <w:pPr>
              <w:rPr>
                <w:color w:val="auto"/>
                <w:highlight w:val="none"/>
              </w:rPr>
            </w:pPr>
          </w:p>
        </w:tc>
        <w:tc>
          <w:tcPr>
            <w:tcW w:w="2356" w:type="dxa"/>
            <w:noWrap w:val="0"/>
            <w:vAlign w:val="top"/>
          </w:tcPr>
          <w:p>
            <w:pPr>
              <w:rPr>
                <w:color w:val="auto"/>
                <w:highlight w:val="none"/>
              </w:rPr>
            </w:pPr>
          </w:p>
        </w:tc>
        <w:tc>
          <w:tcPr>
            <w:tcW w:w="2357" w:type="dxa"/>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highlight w:val="none"/>
              </w:rPr>
            </w:pPr>
          </w:p>
        </w:tc>
        <w:tc>
          <w:tcPr>
            <w:tcW w:w="2357" w:type="dxa"/>
            <w:noWrap w:val="0"/>
            <w:vAlign w:val="top"/>
          </w:tcPr>
          <w:p>
            <w:pPr>
              <w:rPr>
                <w:color w:val="auto"/>
                <w:highlight w:val="none"/>
              </w:rPr>
            </w:pPr>
          </w:p>
        </w:tc>
        <w:tc>
          <w:tcPr>
            <w:tcW w:w="2356" w:type="dxa"/>
            <w:noWrap w:val="0"/>
            <w:vAlign w:val="top"/>
          </w:tcPr>
          <w:p>
            <w:pPr>
              <w:rPr>
                <w:color w:val="auto"/>
                <w:highlight w:val="none"/>
              </w:rPr>
            </w:pPr>
          </w:p>
        </w:tc>
        <w:tc>
          <w:tcPr>
            <w:tcW w:w="2357" w:type="dxa"/>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val="0"/>
            <w:vAlign w:val="top"/>
          </w:tcPr>
          <w:p>
            <w:pPr>
              <w:rPr>
                <w:color w:val="auto"/>
                <w:highlight w:val="none"/>
              </w:rPr>
            </w:pPr>
          </w:p>
        </w:tc>
        <w:tc>
          <w:tcPr>
            <w:tcW w:w="2357" w:type="dxa"/>
            <w:noWrap w:val="0"/>
            <w:vAlign w:val="top"/>
          </w:tcPr>
          <w:p>
            <w:pPr>
              <w:rPr>
                <w:color w:val="auto"/>
                <w:highlight w:val="none"/>
              </w:rPr>
            </w:pPr>
          </w:p>
        </w:tc>
        <w:tc>
          <w:tcPr>
            <w:tcW w:w="2356" w:type="dxa"/>
            <w:noWrap w:val="0"/>
            <w:vAlign w:val="top"/>
          </w:tcPr>
          <w:p>
            <w:pPr>
              <w:rPr>
                <w:color w:val="auto"/>
                <w:highlight w:val="none"/>
              </w:rPr>
            </w:pPr>
          </w:p>
        </w:tc>
        <w:tc>
          <w:tcPr>
            <w:tcW w:w="2357" w:type="dxa"/>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pPr>
              <w:rPr>
                <w:color w:val="auto"/>
                <w:highlight w:val="none"/>
              </w:rPr>
            </w:pPr>
          </w:p>
        </w:tc>
        <w:tc>
          <w:tcPr>
            <w:tcW w:w="2357" w:type="dxa"/>
            <w:noWrap w:val="0"/>
            <w:vAlign w:val="top"/>
          </w:tcPr>
          <w:p>
            <w:pPr>
              <w:rPr>
                <w:color w:val="auto"/>
                <w:highlight w:val="none"/>
              </w:rPr>
            </w:pPr>
          </w:p>
        </w:tc>
        <w:tc>
          <w:tcPr>
            <w:tcW w:w="2356" w:type="dxa"/>
            <w:noWrap w:val="0"/>
            <w:vAlign w:val="top"/>
          </w:tcPr>
          <w:p>
            <w:pPr>
              <w:rPr>
                <w:color w:val="auto"/>
                <w:highlight w:val="none"/>
              </w:rPr>
            </w:pPr>
          </w:p>
        </w:tc>
        <w:tc>
          <w:tcPr>
            <w:tcW w:w="2357" w:type="dxa"/>
            <w:noWrap w:val="0"/>
            <w:vAlign w:val="top"/>
          </w:tcPr>
          <w:p>
            <w:pPr>
              <w:rPr>
                <w:color w:val="auto"/>
                <w:highlight w:val="none"/>
              </w:rPr>
            </w:pPr>
          </w:p>
        </w:tc>
      </w:tr>
    </w:tbl>
    <w:p>
      <w:pPr>
        <w:rPr>
          <w:color w:val="auto"/>
          <w:highlight w:val="none"/>
        </w:rPr>
      </w:pPr>
    </w:p>
    <w:p>
      <w:pPr>
        <w:rPr>
          <w:color w:val="auto"/>
          <w:highlight w:val="none"/>
        </w:rPr>
      </w:pPr>
    </w:p>
    <w:p>
      <w:pPr>
        <w:rPr>
          <w:rFonts w:hint="eastAsia"/>
          <w:color w:val="auto"/>
          <w:highlight w:val="none"/>
        </w:rPr>
      </w:pPr>
    </w:p>
    <w:p>
      <w:pPr>
        <w:pStyle w:val="25"/>
        <w:jc w:val="center"/>
        <w:outlineLvl w:val="0"/>
        <w:rPr>
          <w:b/>
          <w:bCs/>
          <w:color w:val="auto"/>
          <w:sz w:val="24"/>
          <w:szCs w:val="24"/>
          <w:highlight w:val="none"/>
        </w:rPr>
      </w:pPr>
      <w:bookmarkStart w:id="472" w:name="_Toc389065361"/>
      <w:r>
        <w:rPr>
          <w:rFonts w:hint="eastAsia" w:cs="宋体"/>
          <w:b/>
          <w:bCs/>
          <w:color w:val="auto"/>
          <w:sz w:val="24"/>
          <w:szCs w:val="24"/>
          <w:highlight w:val="none"/>
        </w:rPr>
        <w:t>二、拟分包计划表</w:t>
      </w:r>
      <w:bookmarkEnd w:id="472"/>
    </w:p>
    <w:p>
      <w:pPr>
        <w:pStyle w:val="25"/>
        <w:jc w:val="center"/>
        <w:rPr>
          <w:b/>
          <w:bCs/>
          <w:color w:val="auto"/>
          <w:sz w:val="28"/>
          <w:szCs w:val="28"/>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color w:val="auto"/>
                <w:highlight w:val="none"/>
              </w:rPr>
            </w:pPr>
            <w:r>
              <w:rPr>
                <w:rFonts w:hint="eastAsia" w:cs="宋体"/>
                <w:color w:val="auto"/>
                <w:highlight w:val="none"/>
              </w:rPr>
              <w:t>序</w:t>
            </w:r>
          </w:p>
          <w:p>
            <w:pPr>
              <w:jc w:val="center"/>
              <w:rPr>
                <w:color w:val="auto"/>
                <w:highlight w:val="none"/>
              </w:rPr>
            </w:pPr>
            <w:r>
              <w:rPr>
                <w:rFonts w:hint="eastAsia" w:cs="宋体"/>
                <w:color w:val="auto"/>
                <w:highlight w:val="none"/>
              </w:rPr>
              <w:t>号</w:t>
            </w:r>
          </w:p>
        </w:tc>
        <w:tc>
          <w:tcPr>
            <w:tcW w:w="1843" w:type="dxa"/>
            <w:vMerge w:val="restart"/>
            <w:noWrap w:val="0"/>
            <w:tcMar>
              <w:left w:w="108" w:type="dxa"/>
              <w:right w:w="108" w:type="dxa"/>
            </w:tcMar>
            <w:vAlign w:val="center"/>
          </w:tcPr>
          <w:p>
            <w:pPr>
              <w:jc w:val="center"/>
              <w:rPr>
                <w:color w:val="auto"/>
                <w:highlight w:val="none"/>
              </w:rPr>
            </w:pPr>
            <w:r>
              <w:rPr>
                <w:rFonts w:hint="eastAsia" w:cs="宋体"/>
                <w:color w:val="auto"/>
                <w:highlight w:val="none"/>
              </w:rPr>
              <w:t>拟分包项目名称、范围及理由</w:t>
            </w:r>
          </w:p>
        </w:tc>
        <w:tc>
          <w:tcPr>
            <w:tcW w:w="5111" w:type="dxa"/>
            <w:gridSpan w:val="5"/>
            <w:noWrap w:val="0"/>
            <w:tcMar>
              <w:left w:w="108" w:type="dxa"/>
              <w:right w:w="108" w:type="dxa"/>
            </w:tcMar>
            <w:vAlign w:val="center"/>
          </w:tcPr>
          <w:p>
            <w:pPr>
              <w:jc w:val="center"/>
              <w:rPr>
                <w:color w:val="auto"/>
                <w:highlight w:val="none"/>
              </w:rPr>
            </w:pPr>
            <w:r>
              <w:rPr>
                <w:rFonts w:hint="eastAsia" w:cs="宋体"/>
                <w:color w:val="auto"/>
                <w:highlight w:val="none"/>
              </w:rPr>
              <w:t>拟选分包人</w:t>
            </w:r>
          </w:p>
        </w:tc>
        <w:tc>
          <w:tcPr>
            <w:tcW w:w="1268" w:type="dxa"/>
            <w:vMerge w:val="restart"/>
            <w:noWrap w:val="0"/>
            <w:tcMar>
              <w:left w:w="108" w:type="dxa"/>
              <w:right w:w="108" w:type="dxa"/>
            </w:tcMar>
            <w:vAlign w:val="center"/>
          </w:tcPr>
          <w:p>
            <w:pPr>
              <w:jc w:val="center"/>
              <w:rPr>
                <w:color w:val="auto"/>
                <w:highlight w:val="none"/>
              </w:rPr>
            </w:pPr>
            <w:r>
              <w:rPr>
                <w:rFonts w:hint="eastAsia"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highlight w:val="none"/>
              </w:rPr>
            </w:pPr>
          </w:p>
        </w:tc>
        <w:tc>
          <w:tcPr>
            <w:tcW w:w="1843" w:type="dxa"/>
            <w:vMerge w:val="continue"/>
            <w:noWrap w:val="0"/>
            <w:tcMar>
              <w:left w:w="108" w:type="dxa"/>
              <w:right w:w="108" w:type="dxa"/>
            </w:tcMar>
            <w:vAlign w:val="center"/>
          </w:tcPr>
          <w:p>
            <w:pPr>
              <w:jc w:val="center"/>
              <w:rPr>
                <w:color w:val="auto"/>
                <w:highlight w:val="none"/>
              </w:rPr>
            </w:pPr>
          </w:p>
        </w:tc>
        <w:tc>
          <w:tcPr>
            <w:tcW w:w="1701" w:type="dxa"/>
            <w:gridSpan w:val="2"/>
            <w:noWrap w:val="0"/>
            <w:tcMar>
              <w:left w:w="108" w:type="dxa"/>
              <w:right w:w="108" w:type="dxa"/>
            </w:tcMar>
            <w:vAlign w:val="center"/>
          </w:tcPr>
          <w:p>
            <w:pPr>
              <w:jc w:val="center"/>
              <w:rPr>
                <w:color w:val="auto"/>
                <w:highlight w:val="none"/>
              </w:rPr>
            </w:pPr>
            <w:r>
              <w:rPr>
                <w:rFonts w:hint="eastAsia" w:cs="宋体"/>
                <w:color w:val="auto"/>
                <w:highlight w:val="none"/>
              </w:rPr>
              <w:t>拟选分包人名称</w:t>
            </w:r>
          </w:p>
        </w:tc>
        <w:tc>
          <w:tcPr>
            <w:tcW w:w="1123" w:type="dxa"/>
            <w:noWrap w:val="0"/>
            <w:tcMar>
              <w:left w:w="108" w:type="dxa"/>
              <w:right w:w="108" w:type="dxa"/>
            </w:tcMar>
            <w:vAlign w:val="center"/>
          </w:tcPr>
          <w:p>
            <w:pPr>
              <w:jc w:val="center"/>
              <w:rPr>
                <w:color w:val="auto"/>
                <w:highlight w:val="none"/>
              </w:rPr>
            </w:pPr>
            <w:r>
              <w:rPr>
                <w:rFonts w:hint="eastAsia" w:cs="宋体"/>
                <w:color w:val="auto"/>
                <w:highlight w:val="none"/>
              </w:rPr>
              <w:t>注册地点</w:t>
            </w:r>
          </w:p>
        </w:tc>
        <w:tc>
          <w:tcPr>
            <w:tcW w:w="1090" w:type="dxa"/>
            <w:noWrap w:val="0"/>
            <w:tcMar>
              <w:left w:w="108" w:type="dxa"/>
              <w:right w:w="108" w:type="dxa"/>
            </w:tcMar>
            <w:vAlign w:val="center"/>
          </w:tcPr>
          <w:p>
            <w:pPr>
              <w:jc w:val="center"/>
              <w:rPr>
                <w:color w:val="auto"/>
                <w:highlight w:val="none"/>
              </w:rPr>
            </w:pPr>
            <w:r>
              <w:rPr>
                <w:rFonts w:hint="eastAsia" w:cs="宋体"/>
                <w:color w:val="auto"/>
                <w:highlight w:val="none"/>
              </w:rPr>
              <w:t>企业资质</w:t>
            </w:r>
          </w:p>
        </w:tc>
        <w:tc>
          <w:tcPr>
            <w:tcW w:w="1197" w:type="dxa"/>
            <w:noWrap w:val="0"/>
            <w:tcMar>
              <w:left w:w="108" w:type="dxa"/>
              <w:right w:w="108" w:type="dxa"/>
            </w:tcMar>
            <w:vAlign w:val="center"/>
          </w:tcPr>
          <w:p>
            <w:pPr>
              <w:jc w:val="center"/>
              <w:rPr>
                <w:color w:val="auto"/>
                <w:highlight w:val="none"/>
              </w:rPr>
            </w:pPr>
            <w:r>
              <w:rPr>
                <w:rFonts w:hint="eastAsia" w:cs="宋体"/>
                <w:color w:val="auto"/>
                <w:highlight w:val="none"/>
              </w:rPr>
              <w:t>有关业绩</w:t>
            </w:r>
          </w:p>
        </w:tc>
        <w:tc>
          <w:tcPr>
            <w:tcW w:w="1268" w:type="dxa"/>
            <w:vMerge w:val="continue"/>
            <w:noWrap w:val="0"/>
            <w:tcMar>
              <w:left w:w="108" w:type="dxa"/>
              <w:right w:w="108" w:type="dxa"/>
            </w:tcMar>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color w:val="auto"/>
                <w:highlight w:val="none"/>
              </w:rPr>
            </w:pPr>
          </w:p>
        </w:tc>
        <w:tc>
          <w:tcPr>
            <w:tcW w:w="1843" w:type="dxa"/>
            <w:vMerge w:val="restart"/>
            <w:noWrap w:val="0"/>
            <w:tcMar>
              <w:left w:w="108" w:type="dxa"/>
              <w:right w:w="108" w:type="dxa"/>
            </w:tcMar>
            <w:vAlign w:val="center"/>
          </w:tcPr>
          <w:p>
            <w:pPr>
              <w:jc w:val="center"/>
              <w:rPr>
                <w:color w:val="auto"/>
                <w:highlight w:val="none"/>
              </w:rPr>
            </w:pPr>
          </w:p>
        </w:tc>
        <w:tc>
          <w:tcPr>
            <w:tcW w:w="751" w:type="dxa"/>
            <w:noWrap w:val="0"/>
            <w:tcMar>
              <w:left w:w="108" w:type="dxa"/>
              <w:right w:w="108" w:type="dxa"/>
            </w:tcMar>
            <w:vAlign w:val="center"/>
          </w:tcPr>
          <w:p>
            <w:pPr>
              <w:jc w:val="center"/>
              <w:rPr>
                <w:color w:val="auto"/>
                <w:highlight w:val="none"/>
              </w:rPr>
            </w:pPr>
            <w:r>
              <w:rPr>
                <w:color w:val="auto"/>
                <w:highlight w:val="none"/>
              </w:rPr>
              <w:t>1</w:t>
            </w:r>
          </w:p>
        </w:tc>
        <w:tc>
          <w:tcPr>
            <w:tcW w:w="950" w:type="dxa"/>
            <w:noWrap w:val="0"/>
            <w:tcMar>
              <w:left w:w="108" w:type="dxa"/>
              <w:right w:w="108" w:type="dxa"/>
            </w:tcMar>
            <w:vAlign w:val="center"/>
          </w:tcPr>
          <w:p>
            <w:pPr>
              <w:jc w:val="center"/>
              <w:rPr>
                <w:color w:val="auto"/>
                <w:highlight w:val="none"/>
              </w:rPr>
            </w:pPr>
          </w:p>
        </w:tc>
        <w:tc>
          <w:tcPr>
            <w:tcW w:w="1123" w:type="dxa"/>
            <w:noWrap w:val="0"/>
            <w:tcMar>
              <w:left w:w="108" w:type="dxa"/>
              <w:right w:w="108" w:type="dxa"/>
            </w:tcMar>
            <w:vAlign w:val="center"/>
          </w:tcPr>
          <w:p>
            <w:pPr>
              <w:jc w:val="center"/>
              <w:rPr>
                <w:color w:val="auto"/>
                <w:highlight w:val="none"/>
              </w:rPr>
            </w:pPr>
          </w:p>
        </w:tc>
        <w:tc>
          <w:tcPr>
            <w:tcW w:w="1090" w:type="dxa"/>
            <w:noWrap w:val="0"/>
            <w:tcMar>
              <w:left w:w="108" w:type="dxa"/>
              <w:right w:w="108" w:type="dxa"/>
            </w:tcMar>
            <w:vAlign w:val="center"/>
          </w:tcPr>
          <w:p>
            <w:pPr>
              <w:jc w:val="center"/>
              <w:rPr>
                <w:color w:val="auto"/>
                <w:highlight w:val="none"/>
              </w:rPr>
            </w:pPr>
          </w:p>
        </w:tc>
        <w:tc>
          <w:tcPr>
            <w:tcW w:w="1197" w:type="dxa"/>
            <w:noWrap w:val="0"/>
            <w:tcMar>
              <w:left w:w="108" w:type="dxa"/>
              <w:right w:w="108" w:type="dxa"/>
            </w:tcMar>
            <w:vAlign w:val="center"/>
          </w:tcPr>
          <w:p>
            <w:pPr>
              <w:jc w:val="center"/>
              <w:rPr>
                <w:color w:val="auto"/>
                <w:highlight w:val="none"/>
              </w:rPr>
            </w:pPr>
          </w:p>
        </w:tc>
        <w:tc>
          <w:tcPr>
            <w:tcW w:w="1268" w:type="dxa"/>
            <w:noWrap w:val="0"/>
            <w:tcMar>
              <w:left w:w="108" w:type="dxa"/>
              <w:right w:w="108" w:type="dxa"/>
            </w:tcMar>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highlight w:val="none"/>
              </w:rPr>
            </w:pPr>
          </w:p>
        </w:tc>
        <w:tc>
          <w:tcPr>
            <w:tcW w:w="1843" w:type="dxa"/>
            <w:vMerge w:val="continue"/>
            <w:noWrap w:val="0"/>
            <w:tcMar>
              <w:left w:w="108" w:type="dxa"/>
              <w:right w:w="108" w:type="dxa"/>
            </w:tcMar>
            <w:vAlign w:val="center"/>
          </w:tcPr>
          <w:p>
            <w:pPr>
              <w:jc w:val="center"/>
              <w:rPr>
                <w:color w:val="auto"/>
                <w:highlight w:val="none"/>
              </w:rPr>
            </w:pPr>
          </w:p>
        </w:tc>
        <w:tc>
          <w:tcPr>
            <w:tcW w:w="751" w:type="dxa"/>
            <w:noWrap w:val="0"/>
            <w:tcMar>
              <w:left w:w="108" w:type="dxa"/>
              <w:right w:w="108" w:type="dxa"/>
            </w:tcMar>
            <w:vAlign w:val="center"/>
          </w:tcPr>
          <w:p>
            <w:pPr>
              <w:jc w:val="center"/>
              <w:rPr>
                <w:color w:val="auto"/>
                <w:highlight w:val="none"/>
              </w:rPr>
            </w:pPr>
            <w:r>
              <w:rPr>
                <w:color w:val="auto"/>
                <w:highlight w:val="none"/>
              </w:rPr>
              <w:t>2</w:t>
            </w:r>
          </w:p>
        </w:tc>
        <w:tc>
          <w:tcPr>
            <w:tcW w:w="950" w:type="dxa"/>
            <w:noWrap w:val="0"/>
            <w:tcMar>
              <w:left w:w="108" w:type="dxa"/>
              <w:right w:w="108" w:type="dxa"/>
            </w:tcMar>
            <w:vAlign w:val="center"/>
          </w:tcPr>
          <w:p>
            <w:pPr>
              <w:jc w:val="center"/>
              <w:rPr>
                <w:color w:val="auto"/>
                <w:highlight w:val="none"/>
              </w:rPr>
            </w:pPr>
          </w:p>
        </w:tc>
        <w:tc>
          <w:tcPr>
            <w:tcW w:w="1123" w:type="dxa"/>
            <w:noWrap w:val="0"/>
            <w:tcMar>
              <w:left w:w="108" w:type="dxa"/>
              <w:right w:w="108" w:type="dxa"/>
            </w:tcMar>
            <w:vAlign w:val="center"/>
          </w:tcPr>
          <w:p>
            <w:pPr>
              <w:jc w:val="center"/>
              <w:rPr>
                <w:color w:val="auto"/>
                <w:highlight w:val="none"/>
              </w:rPr>
            </w:pPr>
          </w:p>
        </w:tc>
        <w:tc>
          <w:tcPr>
            <w:tcW w:w="1090" w:type="dxa"/>
            <w:noWrap w:val="0"/>
            <w:tcMar>
              <w:left w:w="108" w:type="dxa"/>
              <w:right w:w="108" w:type="dxa"/>
            </w:tcMar>
            <w:vAlign w:val="center"/>
          </w:tcPr>
          <w:p>
            <w:pPr>
              <w:jc w:val="center"/>
              <w:rPr>
                <w:color w:val="auto"/>
                <w:highlight w:val="none"/>
              </w:rPr>
            </w:pPr>
          </w:p>
        </w:tc>
        <w:tc>
          <w:tcPr>
            <w:tcW w:w="1197" w:type="dxa"/>
            <w:noWrap w:val="0"/>
            <w:tcMar>
              <w:left w:w="108" w:type="dxa"/>
              <w:right w:w="108" w:type="dxa"/>
            </w:tcMar>
            <w:vAlign w:val="center"/>
          </w:tcPr>
          <w:p>
            <w:pPr>
              <w:jc w:val="center"/>
              <w:rPr>
                <w:color w:val="auto"/>
                <w:highlight w:val="none"/>
              </w:rPr>
            </w:pPr>
          </w:p>
        </w:tc>
        <w:tc>
          <w:tcPr>
            <w:tcW w:w="1268" w:type="dxa"/>
            <w:noWrap w:val="0"/>
            <w:tcMar>
              <w:left w:w="108" w:type="dxa"/>
              <w:right w:w="108" w:type="dxa"/>
            </w:tcMar>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highlight w:val="none"/>
              </w:rPr>
            </w:pPr>
          </w:p>
        </w:tc>
        <w:tc>
          <w:tcPr>
            <w:tcW w:w="1843" w:type="dxa"/>
            <w:vMerge w:val="continue"/>
            <w:noWrap w:val="0"/>
            <w:tcMar>
              <w:left w:w="108" w:type="dxa"/>
              <w:right w:w="108" w:type="dxa"/>
            </w:tcMar>
            <w:vAlign w:val="center"/>
          </w:tcPr>
          <w:p>
            <w:pPr>
              <w:jc w:val="center"/>
              <w:rPr>
                <w:color w:val="auto"/>
                <w:highlight w:val="none"/>
              </w:rPr>
            </w:pPr>
          </w:p>
        </w:tc>
        <w:tc>
          <w:tcPr>
            <w:tcW w:w="751" w:type="dxa"/>
            <w:noWrap w:val="0"/>
            <w:tcMar>
              <w:left w:w="108" w:type="dxa"/>
              <w:right w:w="108" w:type="dxa"/>
            </w:tcMar>
            <w:vAlign w:val="center"/>
          </w:tcPr>
          <w:p>
            <w:pPr>
              <w:jc w:val="center"/>
              <w:rPr>
                <w:color w:val="auto"/>
                <w:highlight w:val="none"/>
              </w:rPr>
            </w:pPr>
            <w:r>
              <w:rPr>
                <w:color w:val="auto"/>
                <w:highlight w:val="none"/>
              </w:rPr>
              <w:t>3</w:t>
            </w:r>
          </w:p>
        </w:tc>
        <w:tc>
          <w:tcPr>
            <w:tcW w:w="950" w:type="dxa"/>
            <w:noWrap w:val="0"/>
            <w:tcMar>
              <w:left w:w="108" w:type="dxa"/>
              <w:right w:w="108" w:type="dxa"/>
            </w:tcMar>
            <w:vAlign w:val="center"/>
          </w:tcPr>
          <w:p>
            <w:pPr>
              <w:jc w:val="center"/>
              <w:rPr>
                <w:color w:val="auto"/>
                <w:highlight w:val="none"/>
              </w:rPr>
            </w:pPr>
          </w:p>
        </w:tc>
        <w:tc>
          <w:tcPr>
            <w:tcW w:w="1123" w:type="dxa"/>
            <w:noWrap w:val="0"/>
            <w:tcMar>
              <w:left w:w="108" w:type="dxa"/>
              <w:right w:w="108" w:type="dxa"/>
            </w:tcMar>
            <w:vAlign w:val="center"/>
          </w:tcPr>
          <w:p>
            <w:pPr>
              <w:jc w:val="center"/>
              <w:rPr>
                <w:color w:val="auto"/>
                <w:highlight w:val="none"/>
              </w:rPr>
            </w:pPr>
          </w:p>
        </w:tc>
        <w:tc>
          <w:tcPr>
            <w:tcW w:w="1090" w:type="dxa"/>
            <w:noWrap w:val="0"/>
            <w:tcMar>
              <w:left w:w="108" w:type="dxa"/>
              <w:right w:w="108" w:type="dxa"/>
            </w:tcMar>
            <w:vAlign w:val="center"/>
          </w:tcPr>
          <w:p>
            <w:pPr>
              <w:jc w:val="center"/>
              <w:rPr>
                <w:color w:val="auto"/>
                <w:highlight w:val="none"/>
              </w:rPr>
            </w:pPr>
          </w:p>
        </w:tc>
        <w:tc>
          <w:tcPr>
            <w:tcW w:w="1197" w:type="dxa"/>
            <w:noWrap w:val="0"/>
            <w:tcMar>
              <w:left w:w="108" w:type="dxa"/>
              <w:right w:w="108" w:type="dxa"/>
            </w:tcMar>
            <w:vAlign w:val="center"/>
          </w:tcPr>
          <w:p>
            <w:pPr>
              <w:jc w:val="center"/>
              <w:rPr>
                <w:color w:val="auto"/>
                <w:highlight w:val="none"/>
              </w:rPr>
            </w:pPr>
          </w:p>
        </w:tc>
        <w:tc>
          <w:tcPr>
            <w:tcW w:w="1268" w:type="dxa"/>
            <w:noWrap w:val="0"/>
            <w:tcMar>
              <w:left w:w="108" w:type="dxa"/>
              <w:right w:w="108" w:type="dxa"/>
            </w:tcMar>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color w:val="auto"/>
                <w:highlight w:val="none"/>
              </w:rPr>
            </w:pPr>
          </w:p>
        </w:tc>
        <w:tc>
          <w:tcPr>
            <w:tcW w:w="1843" w:type="dxa"/>
            <w:vMerge w:val="restart"/>
            <w:noWrap w:val="0"/>
            <w:tcMar>
              <w:left w:w="108" w:type="dxa"/>
              <w:right w:w="108" w:type="dxa"/>
            </w:tcMar>
            <w:vAlign w:val="center"/>
          </w:tcPr>
          <w:p>
            <w:pPr>
              <w:jc w:val="center"/>
              <w:rPr>
                <w:color w:val="auto"/>
                <w:highlight w:val="none"/>
              </w:rPr>
            </w:pPr>
          </w:p>
        </w:tc>
        <w:tc>
          <w:tcPr>
            <w:tcW w:w="751" w:type="dxa"/>
            <w:noWrap w:val="0"/>
            <w:tcMar>
              <w:left w:w="108" w:type="dxa"/>
              <w:right w:w="108" w:type="dxa"/>
            </w:tcMar>
            <w:vAlign w:val="center"/>
          </w:tcPr>
          <w:p>
            <w:pPr>
              <w:jc w:val="center"/>
              <w:rPr>
                <w:color w:val="auto"/>
                <w:highlight w:val="none"/>
              </w:rPr>
            </w:pPr>
            <w:r>
              <w:rPr>
                <w:color w:val="auto"/>
                <w:highlight w:val="none"/>
              </w:rPr>
              <w:t>1</w:t>
            </w:r>
          </w:p>
        </w:tc>
        <w:tc>
          <w:tcPr>
            <w:tcW w:w="950" w:type="dxa"/>
            <w:noWrap w:val="0"/>
            <w:tcMar>
              <w:left w:w="108" w:type="dxa"/>
              <w:right w:w="108" w:type="dxa"/>
            </w:tcMar>
            <w:vAlign w:val="center"/>
          </w:tcPr>
          <w:p>
            <w:pPr>
              <w:jc w:val="center"/>
              <w:rPr>
                <w:color w:val="auto"/>
                <w:highlight w:val="none"/>
              </w:rPr>
            </w:pPr>
          </w:p>
        </w:tc>
        <w:tc>
          <w:tcPr>
            <w:tcW w:w="1123" w:type="dxa"/>
            <w:noWrap w:val="0"/>
            <w:tcMar>
              <w:left w:w="108" w:type="dxa"/>
              <w:right w:w="108" w:type="dxa"/>
            </w:tcMar>
            <w:vAlign w:val="center"/>
          </w:tcPr>
          <w:p>
            <w:pPr>
              <w:jc w:val="center"/>
              <w:rPr>
                <w:color w:val="auto"/>
                <w:highlight w:val="none"/>
              </w:rPr>
            </w:pPr>
          </w:p>
        </w:tc>
        <w:tc>
          <w:tcPr>
            <w:tcW w:w="1090" w:type="dxa"/>
            <w:noWrap w:val="0"/>
            <w:tcMar>
              <w:left w:w="108" w:type="dxa"/>
              <w:right w:w="108" w:type="dxa"/>
            </w:tcMar>
            <w:vAlign w:val="center"/>
          </w:tcPr>
          <w:p>
            <w:pPr>
              <w:jc w:val="center"/>
              <w:rPr>
                <w:color w:val="auto"/>
                <w:highlight w:val="none"/>
              </w:rPr>
            </w:pPr>
          </w:p>
        </w:tc>
        <w:tc>
          <w:tcPr>
            <w:tcW w:w="1197" w:type="dxa"/>
            <w:noWrap w:val="0"/>
            <w:tcMar>
              <w:left w:w="108" w:type="dxa"/>
              <w:right w:w="108" w:type="dxa"/>
            </w:tcMar>
            <w:vAlign w:val="center"/>
          </w:tcPr>
          <w:p>
            <w:pPr>
              <w:jc w:val="center"/>
              <w:rPr>
                <w:color w:val="auto"/>
                <w:highlight w:val="none"/>
              </w:rPr>
            </w:pPr>
          </w:p>
        </w:tc>
        <w:tc>
          <w:tcPr>
            <w:tcW w:w="1268" w:type="dxa"/>
            <w:noWrap w:val="0"/>
            <w:tcMar>
              <w:left w:w="108" w:type="dxa"/>
              <w:right w:w="108" w:type="dxa"/>
            </w:tcMar>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highlight w:val="none"/>
              </w:rPr>
            </w:pPr>
          </w:p>
        </w:tc>
        <w:tc>
          <w:tcPr>
            <w:tcW w:w="1843" w:type="dxa"/>
            <w:vMerge w:val="continue"/>
            <w:noWrap w:val="0"/>
            <w:tcMar>
              <w:left w:w="108" w:type="dxa"/>
              <w:right w:w="108" w:type="dxa"/>
            </w:tcMar>
            <w:vAlign w:val="center"/>
          </w:tcPr>
          <w:p>
            <w:pPr>
              <w:jc w:val="center"/>
              <w:rPr>
                <w:color w:val="auto"/>
                <w:highlight w:val="none"/>
              </w:rPr>
            </w:pPr>
          </w:p>
        </w:tc>
        <w:tc>
          <w:tcPr>
            <w:tcW w:w="751" w:type="dxa"/>
            <w:noWrap w:val="0"/>
            <w:tcMar>
              <w:left w:w="108" w:type="dxa"/>
              <w:right w:w="108" w:type="dxa"/>
            </w:tcMar>
            <w:vAlign w:val="center"/>
          </w:tcPr>
          <w:p>
            <w:pPr>
              <w:jc w:val="center"/>
              <w:rPr>
                <w:color w:val="auto"/>
                <w:highlight w:val="none"/>
              </w:rPr>
            </w:pPr>
            <w:r>
              <w:rPr>
                <w:color w:val="auto"/>
                <w:highlight w:val="none"/>
              </w:rPr>
              <w:t>2</w:t>
            </w:r>
          </w:p>
        </w:tc>
        <w:tc>
          <w:tcPr>
            <w:tcW w:w="950" w:type="dxa"/>
            <w:noWrap w:val="0"/>
            <w:tcMar>
              <w:left w:w="108" w:type="dxa"/>
              <w:right w:w="108" w:type="dxa"/>
            </w:tcMar>
            <w:vAlign w:val="center"/>
          </w:tcPr>
          <w:p>
            <w:pPr>
              <w:jc w:val="center"/>
              <w:rPr>
                <w:color w:val="auto"/>
                <w:highlight w:val="none"/>
              </w:rPr>
            </w:pPr>
          </w:p>
        </w:tc>
        <w:tc>
          <w:tcPr>
            <w:tcW w:w="1123" w:type="dxa"/>
            <w:noWrap w:val="0"/>
            <w:tcMar>
              <w:left w:w="108" w:type="dxa"/>
              <w:right w:w="108" w:type="dxa"/>
            </w:tcMar>
            <w:vAlign w:val="center"/>
          </w:tcPr>
          <w:p>
            <w:pPr>
              <w:jc w:val="center"/>
              <w:rPr>
                <w:color w:val="auto"/>
                <w:highlight w:val="none"/>
              </w:rPr>
            </w:pPr>
          </w:p>
        </w:tc>
        <w:tc>
          <w:tcPr>
            <w:tcW w:w="1090" w:type="dxa"/>
            <w:noWrap w:val="0"/>
            <w:tcMar>
              <w:left w:w="108" w:type="dxa"/>
              <w:right w:w="108" w:type="dxa"/>
            </w:tcMar>
            <w:vAlign w:val="center"/>
          </w:tcPr>
          <w:p>
            <w:pPr>
              <w:jc w:val="center"/>
              <w:rPr>
                <w:color w:val="auto"/>
                <w:highlight w:val="none"/>
              </w:rPr>
            </w:pPr>
          </w:p>
        </w:tc>
        <w:tc>
          <w:tcPr>
            <w:tcW w:w="1197" w:type="dxa"/>
            <w:noWrap w:val="0"/>
            <w:tcMar>
              <w:left w:w="108" w:type="dxa"/>
              <w:right w:w="108" w:type="dxa"/>
            </w:tcMar>
            <w:vAlign w:val="center"/>
          </w:tcPr>
          <w:p>
            <w:pPr>
              <w:jc w:val="center"/>
              <w:rPr>
                <w:color w:val="auto"/>
                <w:highlight w:val="none"/>
              </w:rPr>
            </w:pPr>
          </w:p>
        </w:tc>
        <w:tc>
          <w:tcPr>
            <w:tcW w:w="1268" w:type="dxa"/>
            <w:noWrap w:val="0"/>
            <w:tcMar>
              <w:left w:w="108" w:type="dxa"/>
              <w:right w:w="108" w:type="dxa"/>
            </w:tcMar>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color w:val="auto"/>
                <w:highlight w:val="none"/>
              </w:rPr>
            </w:pPr>
          </w:p>
        </w:tc>
        <w:tc>
          <w:tcPr>
            <w:tcW w:w="1843" w:type="dxa"/>
            <w:vMerge w:val="continue"/>
            <w:noWrap w:val="0"/>
            <w:tcMar>
              <w:left w:w="108" w:type="dxa"/>
              <w:right w:w="108" w:type="dxa"/>
            </w:tcMar>
            <w:vAlign w:val="center"/>
          </w:tcPr>
          <w:p>
            <w:pPr>
              <w:jc w:val="center"/>
              <w:rPr>
                <w:color w:val="auto"/>
                <w:highlight w:val="none"/>
              </w:rPr>
            </w:pPr>
          </w:p>
        </w:tc>
        <w:tc>
          <w:tcPr>
            <w:tcW w:w="751" w:type="dxa"/>
            <w:noWrap w:val="0"/>
            <w:tcMar>
              <w:left w:w="108" w:type="dxa"/>
              <w:right w:w="108" w:type="dxa"/>
            </w:tcMar>
            <w:vAlign w:val="center"/>
          </w:tcPr>
          <w:p>
            <w:pPr>
              <w:jc w:val="center"/>
              <w:rPr>
                <w:color w:val="auto"/>
                <w:highlight w:val="none"/>
              </w:rPr>
            </w:pPr>
            <w:r>
              <w:rPr>
                <w:color w:val="auto"/>
                <w:highlight w:val="none"/>
              </w:rPr>
              <w:t>3</w:t>
            </w:r>
          </w:p>
        </w:tc>
        <w:tc>
          <w:tcPr>
            <w:tcW w:w="950" w:type="dxa"/>
            <w:noWrap w:val="0"/>
            <w:tcMar>
              <w:left w:w="108" w:type="dxa"/>
              <w:right w:w="108" w:type="dxa"/>
            </w:tcMar>
            <w:vAlign w:val="center"/>
          </w:tcPr>
          <w:p>
            <w:pPr>
              <w:jc w:val="center"/>
              <w:rPr>
                <w:color w:val="auto"/>
                <w:highlight w:val="none"/>
              </w:rPr>
            </w:pPr>
          </w:p>
        </w:tc>
        <w:tc>
          <w:tcPr>
            <w:tcW w:w="1123" w:type="dxa"/>
            <w:noWrap w:val="0"/>
            <w:tcMar>
              <w:left w:w="108" w:type="dxa"/>
              <w:right w:w="108" w:type="dxa"/>
            </w:tcMar>
            <w:vAlign w:val="center"/>
          </w:tcPr>
          <w:p>
            <w:pPr>
              <w:jc w:val="center"/>
              <w:rPr>
                <w:color w:val="auto"/>
                <w:highlight w:val="none"/>
              </w:rPr>
            </w:pPr>
          </w:p>
        </w:tc>
        <w:tc>
          <w:tcPr>
            <w:tcW w:w="1090" w:type="dxa"/>
            <w:noWrap w:val="0"/>
            <w:tcMar>
              <w:left w:w="108" w:type="dxa"/>
              <w:right w:w="108" w:type="dxa"/>
            </w:tcMar>
            <w:vAlign w:val="center"/>
          </w:tcPr>
          <w:p>
            <w:pPr>
              <w:jc w:val="center"/>
              <w:rPr>
                <w:color w:val="auto"/>
                <w:highlight w:val="none"/>
              </w:rPr>
            </w:pPr>
          </w:p>
        </w:tc>
        <w:tc>
          <w:tcPr>
            <w:tcW w:w="1197" w:type="dxa"/>
            <w:noWrap w:val="0"/>
            <w:tcMar>
              <w:left w:w="108" w:type="dxa"/>
              <w:right w:w="108" w:type="dxa"/>
            </w:tcMar>
            <w:vAlign w:val="center"/>
          </w:tcPr>
          <w:p>
            <w:pPr>
              <w:jc w:val="center"/>
              <w:rPr>
                <w:color w:val="auto"/>
                <w:highlight w:val="none"/>
              </w:rPr>
            </w:pPr>
          </w:p>
        </w:tc>
        <w:tc>
          <w:tcPr>
            <w:tcW w:w="1268" w:type="dxa"/>
            <w:noWrap w:val="0"/>
            <w:tcMar>
              <w:left w:w="108" w:type="dxa"/>
              <w:right w:w="108" w:type="dxa"/>
            </w:tcMar>
            <w:vAlign w:val="center"/>
          </w:tcPr>
          <w:p>
            <w:pPr>
              <w:jc w:val="center"/>
              <w:rPr>
                <w:color w:val="auto"/>
                <w:highlight w:val="none"/>
              </w:rPr>
            </w:pPr>
          </w:p>
        </w:tc>
      </w:tr>
    </w:tbl>
    <w:p>
      <w:pPr>
        <w:spacing w:line="440" w:lineRule="exact"/>
        <w:ind w:right="420" w:firstLine="420" w:firstLineChars="200"/>
        <w:rPr>
          <w:color w:val="auto"/>
          <w:highlight w:val="none"/>
        </w:rPr>
      </w:pPr>
      <w:r>
        <w:rPr>
          <w:rFonts w:hint="eastAsia" w:cs="宋体"/>
          <w:color w:val="auto"/>
          <w:highlight w:val="none"/>
        </w:rPr>
        <w:t>备注：本表所列分包仅限于承包人自行施工范围内的非主体、非关键工程。</w:t>
      </w:r>
    </w:p>
    <w:p>
      <w:pPr>
        <w:wordWrap w:val="0"/>
        <w:spacing w:line="440" w:lineRule="exact"/>
        <w:ind w:right="420"/>
        <w:jc w:val="right"/>
        <w:rPr>
          <w:color w:val="auto"/>
          <w:highlight w:val="none"/>
        </w:rPr>
      </w:pPr>
    </w:p>
    <w:p>
      <w:pPr>
        <w:spacing w:line="440" w:lineRule="exact"/>
        <w:ind w:right="420"/>
        <w:jc w:val="right"/>
        <w:rPr>
          <w:color w:val="auto"/>
          <w:highlight w:val="none"/>
        </w:rPr>
      </w:pP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r>
        <w:rPr>
          <w:color w:val="auto"/>
          <w:highlight w:val="none"/>
        </w:rPr>
        <w:t xml:space="preserve">  </w:t>
      </w:r>
    </w:p>
    <w:p>
      <w:pPr>
        <w:spacing w:line="360" w:lineRule="auto"/>
        <w:ind w:firstLine="490"/>
        <w:jc w:val="center"/>
        <w:rPr>
          <w:color w:val="auto"/>
          <w:highlight w:val="none"/>
        </w:rPr>
      </w:pPr>
    </w:p>
    <w:p>
      <w:pPr>
        <w:spacing w:line="360" w:lineRule="auto"/>
        <w:ind w:firstLine="490"/>
        <w:jc w:val="center"/>
        <w:rPr>
          <w:color w:val="auto"/>
          <w:highlight w:val="none"/>
        </w:rPr>
      </w:pPr>
    </w:p>
    <w:p>
      <w:pPr>
        <w:pStyle w:val="25"/>
        <w:jc w:val="center"/>
        <w:outlineLvl w:val="0"/>
        <w:rPr>
          <w:rFonts w:hint="eastAsia" w:cs="宋体"/>
          <w:b/>
          <w:bCs/>
          <w:color w:val="auto"/>
          <w:sz w:val="24"/>
          <w:szCs w:val="24"/>
          <w:highlight w:val="none"/>
        </w:rPr>
      </w:pPr>
    </w:p>
    <w:p>
      <w:pPr>
        <w:pStyle w:val="25"/>
        <w:jc w:val="center"/>
        <w:outlineLvl w:val="0"/>
        <w:rPr>
          <w:rFonts w:hint="eastAsia" w:cs="宋体"/>
          <w:b/>
          <w:bCs/>
          <w:color w:val="auto"/>
          <w:sz w:val="24"/>
          <w:szCs w:val="24"/>
          <w:highlight w:val="none"/>
        </w:rPr>
      </w:pPr>
    </w:p>
    <w:p>
      <w:pPr>
        <w:pStyle w:val="25"/>
        <w:jc w:val="center"/>
        <w:outlineLvl w:val="0"/>
        <w:rPr>
          <w:rFonts w:cs="宋体"/>
          <w:b/>
          <w:bCs/>
          <w:color w:val="auto"/>
          <w:sz w:val="24"/>
          <w:szCs w:val="24"/>
          <w:highlight w:val="none"/>
        </w:rPr>
      </w:pPr>
      <w:r>
        <w:rPr>
          <w:rFonts w:hint="eastAsia" w:cs="宋体"/>
          <w:b/>
          <w:bCs/>
          <w:color w:val="auto"/>
          <w:sz w:val="24"/>
          <w:szCs w:val="24"/>
          <w:highlight w:val="none"/>
        </w:rPr>
        <w:t>三、项目管理机构</w:t>
      </w:r>
    </w:p>
    <w:p>
      <w:pPr>
        <w:pStyle w:val="25"/>
        <w:jc w:val="center"/>
        <w:outlineLvl w:val="0"/>
        <w:rPr>
          <w:b/>
          <w:bCs/>
          <w:color w:val="auto"/>
          <w:sz w:val="24"/>
          <w:szCs w:val="24"/>
          <w:highlight w:val="none"/>
        </w:rPr>
      </w:pPr>
      <w:bookmarkStart w:id="473" w:name="_Toc172364025"/>
      <w:bookmarkStart w:id="474" w:name="_Toc153274947"/>
      <w:bookmarkStart w:id="475" w:name="_Toc251052184"/>
      <w:bookmarkStart w:id="476" w:name="_Toc173579005"/>
    </w:p>
    <w:p>
      <w:pPr>
        <w:pStyle w:val="25"/>
        <w:jc w:val="center"/>
        <w:outlineLvl w:val="0"/>
        <w:rPr>
          <w:b/>
          <w:bCs/>
          <w:color w:val="auto"/>
          <w:sz w:val="28"/>
          <w:szCs w:val="28"/>
          <w:highlight w:val="none"/>
        </w:rPr>
      </w:pPr>
      <w:r>
        <w:rPr>
          <w:b/>
          <w:bCs/>
          <w:color w:val="auto"/>
          <w:sz w:val="24"/>
          <w:szCs w:val="24"/>
          <w:highlight w:val="none"/>
        </w:rPr>
        <w:t>1</w:t>
      </w:r>
      <w:r>
        <w:rPr>
          <w:rFonts w:hint="eastAsia" w:cs="宋体"/>
          <w:b/>
          <w:bCs/>
          <w:color w:val="auto"/>
          <w:sz w:val="24"/>
          <w:szCs w:val="24"/>
          <w:highlight w:val="none"/>
        </w:rPr>
        <w:t>、项目管理机构配备情况表</w:t>
      </w:r>
      <w:bookmarkEnd w:id="473"/>
      <w:bookmarkEnd w:id="474"/>
      <w:bookmarkEnd w:id="475"/>
      <w:bookmarkEnd w:id="476"/>
    </w:p>
    <w:p>
      <w:pPr>
        <w:pStyle w:val="25"/>
        <w:rPr>
          <w:color w:val="auto"/>
          <w:highlight w:val="none"/>
          <w:u w:val="single"/>
        </w:rPr>
      </w:pPr>
    </w:p>
    <w:p>
      <w:pPr>
        <w:pStyle w:val="25"/>
        <w:rPr>
          <w:color w:val="auto"/>
          <w:highlight w:val="none"/>
        </w:rPr>
      </w:pPr>
      <w:r>
        <w:rPr>
          <w:color w:val="auto"/>
          <w:highlight w:val="none"/>
          <w:u w:val="single"/>
        </w:rPr>
        <w:t xml:space="preserve">            </w:t>
      </w:r>
      <w:bookmarkStart w:id="477" w:name="_Toc251052185"/>
      <w:r>
        <w:rPr>
          <w:rFonts w:hint="eastAsia" w:cs="宋体"/>
          <w:color w:val="auto"/>
          <w:highlight w:val="none"/>
          <w:u w:val="single"/>
        </w:rPr>
        <w:t>（招标工程项目名称）</w:t>
      </w:r>
      <w:r>
        <w:rPr>
          <w:color w:val="auto"/>
          <w:highlight w:val="none"/>
          <w:u w:val="single"/>
        </w:rPr>
        <w:t xml:space="preserve">        </w:t>
      </w:r>
      <w:r>
        <w:rPr>
          <w:color w:val="auto"/>
          <w:highlight w:val="none"/>
        </w:rPr>
        <w:t xml:space="preserve"> </w:t>
      </w:r>
      <w:r>
        <w:rPr>
          <w:rFonts w:hint="eastAsia" w:cs="宋体"/>
          <w:color w:val="auto"/>
          <w:highlight w:val="none"/>
        </w:rPr>
        <w:t>工程</w:t>
      </w:r>
      <w:r>
        <w:rPr>
          <w:color w:val="auto"/>
          <w:highlight w:val="none"/>
        </w:rPr>
        <w:t xml:space="preserve"> </w:t>
      </w:r>
      <w:bookmarkEnd w:id="477"/>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pPr>
              <w:ind w:left="223" w:hanging="222" w:hangingChars="106"/>
              <w:jc w:val="center"/>
              <w:rPr>
                <w:color w:val="auto"/>
                <w:highlight w:val="none"/>
              </w:rPr>
            </w:pPr>
            <w:r>
              <w:rPr>
                <w:rFonts w:hint="eastAsia" w:cs="宋体"/>
                <w:color w:val="auto"/>
                <w:highlight w:val="none"/>
              </w:rPr>
              <w:t>岗位</w:t>
            </w:r>
          </w:p>
        </w:tc>
        <w:tc>
          <w:tcPr>
            <w:tcW w:w="829" w:type="dxa"/>
            <w:vMerge w:val="restart"/>
            <w:noWrap w:val="0"/>
            <w:vAlign w:val="center"/>
          </w:tcPr>
          <w:p>
            <w:pPr>
              <w:ind w:left="223" w:hanging="222" w:hangingChars="106"/>
              <w:jc w:val="center"/>
              <w:rPr>
                <w:color w:val="auto"/>
                <w:highlight w:val="none"/>
              </w:rPr>
            </w:pPr>
            <w:bookmarkStart w:id="478" w:name="_Toc251052187"/>
            <w:r>
              <w:rPr>
                <w:rFonts w:hint="eastAsia" w:cs="宋体"/>
                <w:color w:val="auto"/>
                <w:highlight w:val="none"/>
              </w:rPr>
              <w:t>姓名</w:t>
            </w:r>
            <w:bookmarkEnd w:id="478"/>
          </w:p>
        </w:tc>
        <w:tc>
          <w:tcPr>
            <w:tcW w:w="816" w:type="dxa"/>
            <w:vMerge w:val="restart"/>
            <w:noWrap w:val="0"/>
            <w:vAlign w:val="center"/>
          </w:tcPr>
          <w:p>
            <w:pPr>
              <w:ind w:left="223" w:hanging="222" w:hangingChars="106"/>
              <w:jc w:val="center"/>
              <w:rPr>
                <w:color w:val="auto"/>
                <w:highlight w:val="none"/>
              </w:rPr>
            </w:pPr>
            <w:bookmarkStart w:id="479" w:name="_Toc251052188"/>
            <w:r>
              <w:rPr>
                <w:rFonts w:hint="eastAsia" w:cs="宋体"/>
                <w:color w:val="auto"/>
                <w:highlight w:val="none"/>
              </w:rPr>
              <w:t>职称</w:t>
            </w:r>
            <w:bookmarkEnd w:id="479"/>
          </w:p>
        </w:tc>
        <w:tc>
          <w:tcPr>
            <w:tcW w:w="4592" w:type="dxa"/>
            <w:gridSpan w:val="4"/>
            <w:noWrap w:val="0"/>
            <w:vAlign w:val="center"/>
          </w:tcPr>
          <w:p>
            <w:pPr>
              <w:ind w:left="223" w:hanging="222" w:hangingChars="106"/>
              <w:jc w:val="center"/>
              <w:rPr>
                <w:color w:val="auto"/>
                <w:highlight w:val="none"/>
              </w:rPr>
            </w:pPr>
            <w:bookmarkStart w:id="480" w:name="_Toc251052189"/>
            <w:r>
              <w:rPr>
                <w:rFonts w:hint="eastAsia" w:cs="宋体"/>
                <w:color w:val="auto"/>
                <w:highlight w:val="none"/>
              </w:rPr>
              <w:t>执业或职业资格证明</w:t>
            </w:r>
            <w:bookmarkEnd w:id="480"/>
          </w:p>
        </w:tc>
        <w:tc>
          <w:tcPr>
            <w:tcW w:w="2126" w:type="dxa"/>
            <w:gridSpan w:val="2"/>
            <w:noWrap w:val="0"/>
            <w:vAlign w:val="center"/>
          </w:tcPr>
          <w:p>
            <w:pPr>
              <w:ind w:left="223" w:hanging="222" w:hangingChars="106"/>
              <w:jc w:val="center"/>
              <w:rPr>
                <w:color w:val="auto"/>
                <w:highlight w:val="none"/>
              </w:rPr>
            </w:pPr>
            <w:bookmarkStart w:id="481" w:name="_Toc251052190"/>
            <w:r>
              <w:rPr>
                <w:rFonts w:hint="eastAsia" w:cs="宋体"/>
                <w:color w:val="auto"/>
                <w:highlight w:val="none"/>
              </w:rPr>
              <w:t>承担完工</w:t>
            </w:r>
            <w:bookmarkEnd w:id="481"/>
            <w:bookmarkStart w:id="482" w:name="_Toc251052191"/>
            <w:r>
              <w:rPr>
                <w:rFonts w:hint="eastAsia" w:cs="宋体"/>
                <w:color w:val="auto"/>
                <w:highlight w:val="none"/>
              </w:rPr>
              <w:t>工程情况</w:t>
            </w:r>
            <w:bookmarkEnd w:id="4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pPr>
              <w:ind w:left="223" w:hanging="222" w:hangingChars="106"/>
              <w:jc w:val="center"/>
              <w:rPr>
                <w:color w:val="auto"/>
                <w:highlight w:val="none"/>
              </w:rPr>
            </w:pPr>
          </w:p>
        </w:tc>
        <w:tc>
          <w:tcPr>
            <w:tcW w:w="829" w:type="dxa"/>
            <w:vMerge w:val="continue"/>
            <w:noWrap w:val="0"/>
            <w:vAlign w:val="center"/>
          </w:tcPr>
          <w:p>
            <w:pPr>
              <w:ind w:left="223" w:hanging="222" w:hangingChars="106"/>
              <w:jc w:val="center"/>
              <w:rPr>
                <w:color w:val="auto"/>
                <w:highlight w:val="none"/>
              </w:rPr>
            </w:pPr>
          </w:p>
        </w:tc>
        <w:tc>
          <w:tcPr>
            <w:tcW w:w="816" w:type="dxa"/>
            <w:vMerge w:val="continue"/>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bookmarkStart w:id="483" w:name="_Toc251052192"/>
            <w:r>
              <w:rPr>
                <w:rFonts w:hint="eastAsia" w:cs="宋体"/>
                <w:color w:val="auto"/>
                <w:highlight w:val="none"/>
              </w:rPr>
              <w:t>证书名称</w:t>
            </w:r>
            <w:bookmarkEnd w:id="483"/>
          </w:p>
        </w:tc>
        <w:tc>
          <w:tcPr>
            <w:tcW w:w="1148" w:type="dxa"/>
            <w:noWrap w:val="0"/>
            <w:vAlign w:val="center"/>
          </w:tcPr>
          <w:p>
            <w:pPr>
              <w:ind w:left="223" w:hanging="222" w:hangingChars="106"/>
              <w:jc w:val="center"/>
              <w:rPr>
                <w:color w:val="auto"/>
                <w:highlight w:val="none"/>
              </w:rPr>
            </w:pPr>
            <w:bookmarkStart w:id="484" w:name="_Toc251052193"/>
            <w:r>
              <w:rPr>
                <w:rFonts w:hint="eastAsia" w:cs="宋体"/>
                <w:color w:val="auto"/>
                <w:highlight w:val="none"/>
              </w:rPr>
              <w:t>级别</w:t>
            </w:r>
            <w:bookmarkEnd w:id="484"/>
          </w:p>
        </w:tc>
        <w:tc>
          <w:tcPr>
            <w:tcW w:w="1148" w:type="dxa"/>
            <w:noWrap w:val="0"/>
            <w:vAlign w:val="center"/>
          </w:tcPr>
          <w:p>
            <w:pPr>
              <w:ind w:left="223" w:hanging="222" w:hangingChars="106"/>
              <w:jc w:val="center"/>
              <w:rPr>
                <w:color w:val="auto"/>
                <w:highlight w:val="none"/>
              </w:rPr>
            </w:pPr>
            <w:bookmarkStart w:id="485" w:name="_Toc251052194"/>
            <w:r>
              <w:rPr>
                <w:rFonts w:hint="eastAsia" w:cs="宋体"/>
                <w:color w:val="auto"/>
                <w:highlight w:val="none"/>
              </w:rPr>
              <w:t>证号</w:t>
            </w:r>
            <w:bookmarkEnd w:id="485"/>
          </w:p>
        </w:tc>
        <w:tc>
          <w:tcPr>
            <w:tcW w:w="1148" w:type="dxa"/>
            <w:noWrap w:val="0"/>
            <w:vAlign w:val="center"/>
          </w:tcPr>
          <w:p>
            <w:pPr>
              <w:ind w:left="223" w:hanging="222" w:hangingChars="106"/>
              <w:jc w:val="center"/>
              <w:rPr>
                <w:color w:val="auto"/>
                <w:highlight w:val="none"/>
              </w:rPr>
            </w:pPr>
            <w:bookmarkStart w:id="486" w:name="_Toc251052195"/>
            <w:r>
              <w:rPr>
                <w:rFonts w:hint="eastAsia" w:cs="宋体"/>
                <w:color w:val="auto"/>
                <w:highlight w:val="none"/>
              </w:rPr>
              <w:t>专业</w:t>
            </w:r>
            <w:bookmarkEnd w:id="486"/>
          </w:p>
        </w:tc>
        <w:tc>
          <w:tcPr>
            <w:tcW w:w="850" w:type="dxa"/>
            <w:noWrap w:val="0"/>
            <w:vAlign w:val="center"/>
          </w:tcPr>
          <w:p>
            <w:pPr>
              <w:ind w:left="223" w:hanging="222" w:hangingChars="106"/>
              <w:jc w:val="center"/>
              <w:rPr>
                <w:color w:val="auto"/>
                <w:highlight w:val="none"/>
              </w:rPr>
            </w:pPr>
            <w:bookmarkStart w:id="487" w:name="_Toc251052197"/>
            <w:r>
              <w:rPr>
                <w:rFonts w:hint="eastAsia" w:cs="宋体"/>
                <w:color w:val="auto"/>
                <w:highlight w:val="none"/>
              </w:rPr>
              <w:t>项目数</w:t>
            </w:r>
            <w:bookmarkEnd w:id="487"/>
          </w:p>
        </w:tc>
        <w:tc>
          <w:tcPr>
            <w:tcW w:w="1276" w:type="dxa"/>
            <w:noWrap w:val="0"/>
            <w:vAlign w:val="center"/>
          </w:tcPr>
          <w:p>
            <w:pPr>
              <w:ind w:left="223" w:hanging="222" w:hangingChars="106"/>
              <w:jc w:val="center"/>
              <w:rPr>
                <w:color w:val="auto"/>
                <w:highlight w:val="none"/>
              </w:rPr>
            </w:pPr>
            <w:bookmarkStart w:id="488" w:name="_Toc251052198"/>
            <w:r>
              <w:rPr>
                <w:rFonts w:hint="eastAsia" w:cs="宋体"/>
                <w:color w:val="auto"/>
                <w:highlight w:val="none"/>
              </w:rPr>
              <w:t>主要项目</w:t>
            </w:r>
          </w:p>
          <w:p>
            <w:pPr>
              <w:ind w:left="223" w:hanging="222" w:hangingChars="106"/>
              <w:jc w:val="center"/>
              <w:rPr>
                <w:color w:val="auto"/>
                <w:highlight w:val="none"/>
              </w:rPr>
            </w:pPr>
            <w:r>
              <w:rPr>
                <w:rFonts w:hint="eastAsia" w:cs="宋体"/>
                <w:color w:val="auto"/>
                <w:highlight w:val="none"/>
              </w:rPr>
              <w:t>名称</w:t>
            </w:r>
            <w:bookmarkEnd w:id="4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highlight w:val="none"/>
              </w:rPr>
            </w:pPr>
            <w:r>
              <w:rPr>
                <w:rFonts w:hint="eastAsia" w:cs="宋体"/>
                <w:color w:val="auto"/>
                <w:highlight w:val="none"/>
              </w:rPr>
              <w:t>施工员</w:t>
            </w:r>
          </w:p>
        </w:tc>
        <w:tc>
          <w:tcPr>
            <w:tcW w:w="829" w:type="dxa"/>
            <w:noWrap w:val="0"/>
            <w:vAlign w:val="center"/>
          </w:tcPr>
          <w:p>
            <w:pPr>
              <w:ind w:left="223" w:hanging="222" w:hangingChars="106"/>
              <w:jc w:val="center"/>
              <w:rPr>
                <w:color w:val="auto"/>
                <w:highlight w:val="none"/>
              </w:rPr>
            </w:pPr>
          </w:p>
        </w:tc>
        <w:tc>
          <w:tcPr>
            <w:tcW w:w="816"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850" w:type="dxa"/>
            <w:noWrap w:val="0"/>
            <w:vAlign w:val="center"/>
          </w:tcPr>
          <w:p>
            <w:pPr>
              <w:ind w:left="223" w:hanging="222" w:hangingChars="106"/>
              <w:jc w:val="center"/>
              <w:rPr>
                <w:color w:val="auto"/>
                <w:highlight w:val="none"/>
              </w:rPr>
            </w:pPr>
          </w:p>
        </w:tc>
        <w:tc>
          <w:tcPr>
            <w:tcW w:w="1276" w:type="dxa"/>
            <w:noWrap w:val="0"/>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highlight w:val="none"/>
              </w:rPr>
            </w:pPr>
            <w:r>
              <w:rPr>
                <w:rFonts w:hint="eastAsia" w:cs="宋体"/>
                <w:color w:val="auto"/>
                <w:highlight w:val="none"/>
              </w:rPr>
              <w:t>质量员</w:t>
            </w:r>
          </w:p>
        </w:tc>
        <w:tc>
          <w:tcPr>
            <w:tcW w:w="829" w:type="dxa"/>
            <w:noWrap w:val="0"/>
            <w:vAlign w:val="center"/>
          </w:tcPr>
          <w:p>
            <w:pPr>
              <w:ind w:left="223" w:hanging="222" w:hangingChars="106"/>
              <w:jc w:val="center"/>
              <w:rPr>
                <w:color w:val="auto"/>
                <w:highlight w:val="none"/>
              </w:rPr>
            </w:pPr>
          </w:p>
        </w:tc>
        <w:tc>
          <w:tcPr>
            <w:tcW w:w="816"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850" w:type="dxa"/>
            <w:noWrap w:val="0"/>
            <w:vAlign w:val="center"/>
          </w:tcPr>
          <w:p>
            <w:pPr>
              <w:ind w:left="223" w:hanging="222" w:hangingChars="106"/>
              <w:jc w:val="center"/>
              <w:rPr>
                <w:color w:val="auto"/>
                <w:highlight w:val="none"/>
              </w:rPr>
            </w:pPr>
          </w:p>
        </w:tc>
        <w:tc>
          <w:tcPr>
            <w:tcW w:w="1276" w:type="dxa"/>
            <w:noWrap w:val="0"/>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noWrap w:val="0"/>
            <w:vAlign w:val="center"/>
          </w:tcPr>
          <w:p>
            <w:pPr>
              <w:ind w:left="223" w:hanging="222" w:hangingChars="106"/>
              <w:jc w:val="center"/>
              <w:rPr>
                <w:color w:val="auto"/>
                <w:highlight w:val="none"/>
              </w:rPr>
            </w:pPr>
            <w:r>
              <w:rPr>
                <w:rFonts w:hint="eastAsia" w:cs="宋体"/>
                <w:color w:val="auto"/>
                <w:highlight w:val="none"/>
              </w:rPr>
              <w:t>安全员</w:t>
            </w:r>
          </w:p>
        </w:tc>
        <w:tc>
          <w:tcPr>
            <w:tcW w:w="829" w:type="dxa"/>
            <w:noWrap w:val="0"/>
            <w:vAlign w:val="center"/>
          </w:tcPr>
          <w:p>
            <w:pPr>
              <w:ind w:left="223" w:hanging="222" w:hangingChars="106"/>
              <w:jc w:val="center"/>
              <w:rPr>
                <w:color w:val="auto"/>
                <w:highlight w:val="none"/>
              </w:rPr>
            </w:pPr>
          </w:p>
        </w:tc>
        <w:tc>
          <w:tcPr>
            <w:tcW w:w="816"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850" w:type="dxa"/>
            <w:noWrap w:val="0"/>
            <w:vAlign w:val="center"/>
          </w:tcPr>
          <w:p>
            <w:pPr>
              <w:ind w:left="223" w:hanging="222" w:hangingChars="106"/>
              <w:jc w:val="center"/>
              <w:rPr>
                <w:color w:val="auto"/>
                <w:highlight w:val="none"/>
              </w:rPr>
            </w:pPr>
          </w:p>
        </w:tc>
        <w:tc>
          <w:tcPr>
            <w:tcW w:w="1276" w:type="dxa"/>
            <w:noWrap w:val="0"/>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noWrap w:val="0"/>
            <w:vAlign w:val="center"/>
          </w:tcPr>
          <w:p>
            <w:pPr>
              <w:ind w:left="223" w:hanging="222" w:hangingChars="106"/>
              <w:jc w:val="center"/>
              <w:rPr>
                <w:color w:val="auto"/>
                <w:highlight w:val="none"/>
              </w:rPr>
            </w:pPr>
          </w:p>
        </w:tc>
        <w:tc>
          <w:tcPr>
            <w:tcW w:w="829" w:type="dxa"/>
            <w:noWrap w:val="0"/>
            <w:vAlign w:val="center"/>
          </w:tcPr>
          <w:p>
            <w:pPr>
              <w:ind w:left="223" w:hanging="222" w:hangingChars="106"/>
              <w:jc w:val="center"/>
              <w:rPr>
                <w:color w:val="auto"/>
                <w:highlight w:val="none"/>
              </w:rPr>
            </w:pPr>
          </w:p>
        </w:tc>
        <w:tc>
          <w:tcPr>
            <w:tcW w:w="816"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850" w:type="dxa"/>
            <w:noWrap w:val="0"/>
            <w:vAlign w:val="center"/>
          </w:tcPr>
          <w:p>
            <w:pPr>
              <w:ind w:left="223" w:hanging="222" w:hangingChars="106"/>
              <w:jc w:val="center"/>
              <w:rPr>
                <w:color w:val="auto"/>
                <w:highlight w:val="none"/>
              </w:rPr>
            </w:pPr>
          </w:p>
        </w:tc>
        <w:tc>
          <w:tcPr>
            <w:tcW w:w="1276" w:type="dxa"/>
            <w:noWrap w:val="0"/>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noWrap w:val="0"/>
            <w:vAlign w:val="center"/>
          </w:tcPr>
          <w:p>
            <w:pPr>
              <w:ind w:left="223" w:hanging="222" w:hangingChars="106"/>
              <w:jc w:val="center"/>
              <w:rPr>
                <w:color w:val="auto"/>
                <w:highlight w:val="none"/>
              </w:rPr>
            </w:pPr>
          </w:p>
        </w:tc>
        <w:tc>
          <w:tcPr>
            <w:tcW w:w="829" w:type="dxa"/>
            <w:noWrap w:val="0"/>
            <w:vAlign w:val="center"/>
          </w:tcPr>
          <w:p>
            <w:pPr>
              <w:ind w:left="223" w:hanging="222" w:hangingChars="106"/>
              <w:jc w:val="center"/>
              <w:rPr>
                <w:color w:val="auto"/>
                <w:highlight w:val="none"/>
              </w:rPr>
            </w:pPr>
          </w:p>
        </w:tc>
        <w:tc>
          <w:tcPr>
            <w:tcW w:w="816"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850" w:type="dxa"/>
            <w:noWrap w:val="0"/>
            <w:vAlign w:val="center"/>
          </w:tcPr>
          <w:p>
            <w:pPr>
              <w:ind w:left="223" w:hanging="222" w:hangingChars="106"/>
              <w:jc w:val="center"/>
              <w:rPr>
                <w:color w:val="auto"/>
                <w:highlight w:val="none"/>
              </w:rPr>
            </w:pPr>
          </w:p>
        </w:tc>
        <w:tc>
          <w:tcPr>
            <w:tcW w:w="1276" w:type="dxa"/>
            <w:noWrap w:val="0"/>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highlight w:val="none"/>
              </w:rPr>
            </w:pPr>
            <w:r>
              <w:rPr>
                <w:rFonts w:hint="eastAsia" w:cs="宋体"/>
                <w:color w:val="auto"/>
                <w:highlight w:val="none"/>
              </w:rPr>
              <w:t>材料员</w:t>
            </w:r>
          </w:p>
        </w:tc>
        <w:tc>
          <w:tcPr>
            <w:tcW w:w="829" w:type="dxa"/>
            <w:noWrap w:val="0"/>
            <w:vAlign w:val="center"/>
          </w:tcPr>
          <w:p>
            <w:pPr>
              <w:ind w:left="223" w:hanging="222" w:hangingChars="106"/>
              <w:jc w:val="center"/>
              <w:rPr>
                <w:color w:val="auto"/>
                <w:highlight w:val="none"/>
              </w:rPr>
            </w:pPr>
          </w:p>
        </w:tc>
        <w:tc>
          <w:tcPr>
            <w:tcW w:w="816"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850" w:type="dxa"/>
            <w:noWrap w:val="0"/>
            <w:vAlign w:val="center"/>
          </w:tcPr>
          <w:p>
            <w:pPr>
              <w:ind w:left="223" w:hanging="222" w:hangingChars="106"/>
              <w:jc w:val="center"/>
              <w:rPr>
                <w:color w:val="auto"/>
                <w:highlight w:val="none"/>
              </w:rPr>
            </w:pPr>
          </w:p>
        </w:tc>
        <w:tc>
          <w:tcPr>
            <w:tcW w:w="1276" w:type="dxa"/>
            <w:noWrap w:val="0"/>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highlight w:val="none"/>
              </w:rPr>
            </w:pPr>
          </w:p>
        </w:tc>
        <w:tc>
          <w:tcPr>
            <w:tcW w:w="829" w:type="dxa"/>
            <w:noWrap w:val="0"/>
            <w:vAlign w:val="center"/>
          </w:tcPr>
          <w:p>
            <w:pPr>
              <w:ind w:left="223" w:hanging="222" w:hangingChars="106"/>
              <w:jc w:val="center"/>
              <w:rPr>
                <w:color w:val="auto"/>
                <w:highlight w:val="none"/>
              </w:rPr>
            </w:pPr>
          </w:p>
        </w:tc>
        <w:tc>
          <w:tcPr>
            <w:tcW w:w="816"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850" w:type="dxa"/>
            <w:noWrap w:val="0"/>
            <w:vAlign w:val="center"/>
          </w:tcPr>
          <w:p>
            <w:pPr>
              <w:ind w:left="223" w:hanging="222" w:hangingChars="106"/>
              <w:jc w:val="center"/>
              <w:rPr>
                <w:color w:val="auto"/>
                <w:highlight w:val="none"/>
              </w:rPr>
            </w:pPr>
          </w:p>
        </w:tc>
        <w:tc>
          <w:tcPr>
            <w:tcW w:w="1276" w:type="dxa"/>
            <w:noWrap w:val="0"/>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pPr>
              <w:ind w:left="223" w:hanging="222" w:hangingChars="106"/>
              <w:jc w:val="center"/>
              <w:rPr>
                <w:color w:val="auto"/>
                <w:highlight w:val="none"/>
              </w:rPr>
            </w:pPr>
            <w:r>
              <w:rPr>
                <w:color w:val="auto"/>
                <w:highlight w:val="none"/>
              </w:rPr>
              <w:t>……</w:t>
            </w:r>
          </w:p>
        </w:tc>
        <w:tc>
          <w:tcPr>
            <w:tcW w:w="829" w:type="dxa"/>
            <w:noWrap w:val="0"/>
            <w:vAlign w:val="center"/>
          </w:tcPr>
          <w:p>
            <w:pPr>
              <w:ind w:left="223" w:hanging="222" w:hangingChars="106"/>
              <w:jc w:val="center"/>
              <w:rPr>
                <w:color w:val="auto"/>
                <w:highlight w:val="none"/>
              </w:rPr>
            </w:pPr>
          </w:p>
        </w:tc>
        <w:tc>
          <w:tcPr>
            <w:tcW w:w="816"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1148" w:type="dxa"/>
            <w:noWrap w:val="0"/>
            <w:vAlign w:val="center"/>
          </w:tcPr>
          <w:p>
            <w:pPr>
              <w:ind w:left="223" w:hanging="222" w:hangingChars="106"/>
              <w:jc w:val="center"/>
              <w:rPr>
                <w:color w:val="auto"/>
                <w:highlight w:val="none"/>
              </w:rPr>
            </w:pPr>
          </w:p>
        </w:tc>
        <w:tc>
          <w:tcPr>
            <w:tcW w:w="850" w:type="dxa"/>
            <w:noWrap w:val="0"/>
            <w:vAlign w:val="center"/>
          </w:tcPr>
          <w:p>
            <w:pPr>
              <w:ind w:left="223" w:hanging="222" w:hangingChars="106"/>
              <w:jc w:val="center"/>
              <w:rPr>
                <w:color w:val="auto"/>
                <w:highlight w:val="none"/>
              </w:rPr>
            </w:pPr>
          </w:p>
        </w:tc>
        <w:tc>
          <w:tcPr>
            <w:tcW w:w="1276" w:type="dxa"/>
            <w:noWrap w:val="0"/>
            <w:vAlign w:val="center"/>
          </w:tcPr>
          <w:p>
            <w:pPr>
              <w:ind w:left="223" w:hanging="222" w:hangingChars="106"/>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noWrap w:val="0"/>
            <w:vAlign w:val="center"/>
          </w:tcPr>
          <w:p>
            <w:pPr>
              <w:spacing w:line="360" w:lineRule="auto"/>
              <w:rPr>
                <w:color w:val="auto"/>
                <w:highlight w:val="none"/>
              </w:rPr>
            </w:pPr>
            <w:bookmarkStart w:id="489" w:name="_Toc251052199"/>
            <w:r>
              <w:rPr>
                <w:rFonts w:hint="eastAsia" w:cs="宋体"/>
                <w:color w:val="auto"/>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489"/>
          </w:p>
        </w:tc>
      </w:tr>
    </w:tbl>
    <w:p>
      <w:pPr>
        <w:tabs>
          <w:tab w:val="left" w:pos="0"/>
        </w:tabs>
        <w:spacing w:line="360" w:lineRule="auto"/>
        <w:ind w:right="-210"/>
        <w:rPr>
          <w:color w:val="auto"/>
          <w:highlight w:val="none"/>
        </w:rPr>
      </w:pPr>
    </w:p>
    <w:p>
      <w:pPr>
        <w:spacing w:line="360" w:lineRule="auto"/>
        <w:rPr>
          <w:rFonts w:eastAsia="楷体_GB2312"/>
          <w:color w:val="auto"/>
          <w:highlight w:val="none"/>
        </w:rPr>
      </w:pPr>
      <w:r>
        <w:rPr>
          <w:rFonts w:hint="eastAsia" w:eastAsia="楷体_GB2312" w:cs="楷体_GB2312"/>
          <w:color w:val="auto"/>
          <w:highlight w:val="none"/>
        </w:rPr>
        <w:t>。</w:t>
      </w:r>
    </w:p>
    <w:p>
      <w:pPr>
        <w:tabs>
          <w:tab w:val="left" w:pos="0"/>
        </w:tabs>
        <w:spacing w:line="360" w:lineRule="auto"/>
        <w:ind w:right="-210"/>
        <w:rPr>
          <w:color w:val="auto"/>
          <w:highlight w:val="none"/>
        </w:rPr>
      </w:pPr>
    </w:p>
    <w:p>
      <w:pPr>
        <w:tabs>
          <w:tab w:val="left" w:pos="0"/>
        </w:tabs>
        <w:spacing w:line="360" w:lineRule="auto"/>
        <w:ind w:right="-210"/>
        <w:rPr>
          <w:color w:val="auto"/>
          <w:highlight w:val="none"/>
        </w:rPr>
      </w:pPr>
    </w:p>
    <w:p>
      <w:pPr>
        <w:tabs>
          <w:tab w:val="left" w:pos="0"/>
        </w:tabs>
        <w:spacing w:line="360" w:lineRule="auto"/>
        <w:ind w:right="-210"/>
        <w:rPr>
          <w:color w:val="auto"/>
          <w:highlight w:val="none"/>
        </w:rPr>
        <w:sectPr>
          <w:pgSz w:w="11907" w:h="16840"/>
          <w:pgMar w:top="1440" w:right="1440" w:bottom="1440" w:left="1797" w:header="851" w:footer="851" w:gutter="0"/>
          <w:cols w:space="720" w:num="1"/>
          <w:docGrid w:linePitch="312" w:charSpace="0"/>
        </w:sectPr>
      </w:pPr>
    </w:p>
    <w:p>
      <w:pPr>
        <w:pStyle w:val="25"/>
        <w:jc w:val="center"/>
        <w:outlineLvl w:val="0"/>
        <w:rPr>
          <w:color w:val="auto"/>
          <w:highlight w:val="none"/>
          <w:u w:val="single"/>
        </w:rPr>
      </w:pPr>
      <w:bookmarkStart w:id="490" w:name="_Toc153274948"/>
      <w:bookmarkStart w:id="491" w:name="_Toc389065364"/>
      <w:bookmarkStart w:id="492" w:name="_Toc251052200"/>
      <w:bookmarkStart w:id="493" w:name="_Toc173579006"/>
      <w:bookmarkStart w:id="494" w:name="_Toc172364026"/>
      <w:r>
        <w:rPr>
          <w:b/>
          <w:bCs/>
          <w:color w:val="auto"/>
          <w:sz w:val="24"/>
          <w:szCs w:val="24"/>
          <w:highlight w:val="none"/>
        </w:rPr>
        <w:t>2</w:t>
      </w:r>
      <w:r>
        <w:rPr>
          <w:rFonts w:hint="eastAsia" w:cs="宋体"/>
          <w:b/>
          <w:bCs/>
          <w:color w:val="auto"/>
          <w:sz w:val="24"/>
          <w:szCs w:val="24"/>
          <w:highlight w:val="none"/>
        </w:rPr>
        <w:t>、项目经理（注册建造师）简历表</w:t>
      </w:r>
      <w:bookmarkEnd w:id="490"/>
      <w:bookmarkEnd w:id="491"/>
      <w:bookmarkEnd w:id="492"/>
      <w:bookmarkEnd w:id="493"/>
      <w:bookmarkEnd w:id="494"/>
    </w:p>
    <w:p>
      <w:pPr>
        <w:pStyle w:val="25"/>
        <w:rPr>
          <w:color w:val="auto"/>
          <w:highlight w:val="none"/>
          <w:u w:val="single"/>
        </w:rPr>
      </w:pPr>
    </w:p>
    <w:p>
      <w:pPr>
        <w:pStyle w:val="25"/>
        <w:rPr>
          <w:color w:val="auto"/>
          <w:highlight w:val="none"/>
        </w:rPr>
      </w:pPr>
      <w:r>
        <w:rPr>
          <w:color w:val="auto"/>
          <w:highlight w:val="none"/>
          <w:u w:val="single"/>
        </w:rPr>
        <w:t xml:space="preserve">            </w:t>
      </w:r>
      <w:r>
        <w:rPr>
          <w:rFonts w:hint="eastAsia" w:cs="宋体"/>
          <w:color w:val="auto"/>
          <w:highlight w:val="none"/>
          <w:u w:val="single"/>
        </w:rPr>
        <w:t>（招标工程项目名称）</w:t>
      </w:r>
      <w:r>
        <w:rPr>
          <w:color w:val="auto"/>
          <w:highlight w:val="none"/>
          <w:u w:val="single"/>
        </w:rPr>
        <w:t xml:space="preserve">        </w:t>
      </w:r>
      <w:r>
        <w:rPr>
          <w:color w:val="auto"/>
          <w:highlight w:val="none"/>
        </w:rPr>
        <w:t xml:space="preserve"> </w:t>
      </w:r>
      <w:r>
        <w:rPr>
          <w:rFonts w:hint="eastAsia" w:cs="宋体"/>
          <w:color w:val="auto"/>
          <w:highlight w:val="none"/>
        </w:rPr>
        <w:t>工程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pPr>
              <w:jc w:val="center"/>
              <w:rPr>
                <w:color w:val="auto"/>
                <w:highlight w:val="none"/>
              </w:rPr>
            </w:pPr>
            <w:r>
              <w:rPr>
                <w:rFonts w:hint="eastAsia" w:cs="宋体"/>
                <w:color w:val="auto"/>
                <w:highlight w:val="none"/>
              </w:rPr>
              <w:t>姓名</w:t>
            </w:r>
          </w:p>
        </w:tc>
        <w:tc>
          <w:tcPr>
            <w:tcW w:w="2340" w:type="dxa"/>
            <w:gridSpan w:val="3"/>
            <w:noWrap w:val="0"/>
            <w:vAlign w:val="center"/>
          </w:tcPr>
          <w:p>
            <w:pPr>
              <w:jc w:val="center"/>
              <w:rPr>
                <w:color w:val="auto"/>
                <w:highlight w:val="none"/>
              </w:rPr>
            </w:pPr>
          </w:p>
        </w:tc>
        <w:tc>
          <w:tcPr>
            <w:tcW w:w="1893" w:type="dxa"/>
            <w:gridSpan w:val="2"/>
            <w:noWrap w:val="0"/>
            <w:vAlign w:val="center"/>
          </w:tcPr>
          <w:p>
            <w:pPr>
              <w:jc w:val="center"/>
              <w:rPr>
                <w:color w:val="auto"/>
                <w:highlight w:val="none"/>
              </w:rPr>
            </w:pPr>
            <w:r>
              <w:rPr>
                <w:rFonts w:hint="eastAsia" w:cs="宋体"/>
                <w:color w:val="auto"/>
                <w:highlight w:val="none"/>
              </w:rPr>
              <w:t>性别</w:t>
            </w:r>
          </w:p>
        </w:tc>
        <w:tc>
          <w:tcPr>
            <w:tcW w:w="1585" w:type="dxa"/>
            <w:gridSpan w:val="2"/>
            <w:noWrap w:val="0"/>
            <w:vAlign w:val="center"/>
          </w:tcPr>
          <w:p>
            <w:pPr>
              <w:jc w:val="center"/>
              <w:rPr>
                <w:color w:val="auto"/>
                <w:highlight w:val="none"/>
              </w:rPr>
            </w:pPr>
          </w:p>
        </w:tc>
        <w:tc>
          <w:tcPr>
            <w:tcW w:w="1108" w:type="dxa"/>
            <w:gridSpan w:val="2"/>
            <w:noWrap w:val="0"/>
            <w:vAlign w:val="center"/>
          </w:tcPr>
          <w:p>
            <w:pPr>
              <w:jc w:val="center"/>
              <w:rPr>
                <w:color w:val="auto"/>
                <w:highlight w:val="none"/>
              </w:rPr>
            </w:pPr>
            <w:r>
              <w:rPr>
                <w:rFonts w:hint="eastAsia" w:cs="宋体"/>
                <w:color w:val="auto"/>
                <w:highlight w:val="none"/>
              </w:rPr>
              <w:t>年龄</w:t>
            </w:r>
          </w:p>
        </w:tc>
        <w:tc>
          <w:tcPr>
            <w:tcW w:w="1276"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pPr>
              <w:jc w:val="center"/>
              <w:rPr>
                <w:color w:val="auto"/>
                <w:highlight w:val="none"/>
              </w:rPr>
            </w:pPr>
            <w:r>
              <w:rPr>
                <w:rFonts w:hint="eastAsia" w:cs="宋体"/>
                <w:color w:val="auto"/>
                <w:highlight w:val="none"/>
              </w:rPr>
              <w:t>职务</w:t>
            </w:r>
          </w:p>
        </w:tc>
        <w:tc>
          <w:tcPr>
            <w:tcW w:w="2340" w:type="dxa"/>
            <w:gridSpan w:val="3"/>
            <w:noWrap w:val="0"/>
            <w:vAlign w:val="center"/>
          </w:tcPr>
          <w:p>
            <w:pPr>
              <w:jc w:val="center"/>
              <w:rPr>
                <w:color w:val="auto"/>
                <w:highlight w:val="none"/>
              </w:rPr>
            </w:pPr>
          </w:p>
        </w:tc>
        <w:tc>
          <w:tcPr>
            <w:tcW w:w="1893" w:type="dxa"/>
            <w:gridSpan w:val="2"/>
            <w:noWrap w:val="0"/>
            <w:vAlign w:val="center"/>
          </w:tcPr>
          <w:p>
            <w:pPr>
              <w:jc w:val="center"/>
              <w:rPr>
                <w:color w:val="auto"/>
                <w:highlight w:val="none"/>
              </w:rPr>
            </w:pPr>
            <w:r>
              <w:rPr>
                <w:rFonts w:hint="eastAsia" w:cs="宋体"/>
                <w:color w:val="auto"/>
                <w:highlight w:val="none"/>
              </w:rPr>
              <w:t>职称</w:t>
            </w:r>
          </w:p>
        </w:tc>
        <w:tc>
          <w:tcPr>
            <w:tcW w:w="1585" w:type="dxa"/>
            <w:gridSpan w:val="2"/>
            <w:noWrap w:val="0"/>
            <w:vAlign w:val="center"/>
          </w:tcPr>
          <w:p>
            <w:pPr>
              <w:jc w:val="center"/>
              <w:rPr>
                <w:color w:val="auto"/>
                <w:highlight w:val="none"/>
              </w:rPr>
            </w:pPr>
          </w:p>
        </w:tc>
        <w:tc>
          <w:tcPr>
            <w:tcW w:w="1108" w:type="dxa"/>
            <w:gridSpan w:val="2"/>
            <w:noWrap w:val="0"/>
            <w:vAlign w:val="center"/>
          </w:tcPr>
          <w:p>
            <w:pPr>
              <w:jc w:val="center"/>
              <w:rPr>
                <w:color w:val="auto"/>
                <w:highlight w:val="none"/>
              </w:rPr>
            </w:pPr>
            <w:r>
              <w:rPr>
                <w:rFonts w:hint="eastAsia" w:cs="宋体"/>
                <w:color w:val="auto"/>
                <w:highlight w:val="none"/>
              </w:rPr>
              <w:t>学历</w:t>
            </w:r>
          </w:p>
        </w:tc>
        <w:tc>
          <w:tcPr>
            <w:tcW w:w="1276"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pPr>
              <w:jc w:val="center"/>
              <w:rPr>
                <w:color w:val="auto"/>
                <w:highlight w:val="none"/>
              </w:rPr>
            </w:pPr>
            <w:r>
              <w:rPr>
                <w:rFonts w:hint="eastAsia" w:cs="宋体"/>
                <w:color w:val="auto"/>
                <w:highlight w:val="none"/>
              </w:rPr>
              <w:t>参加工作时间</w:t>
            </w:r>
          </w:p>
        </w:tc>
        <w:tc>
          <w:tcPr>
            <w:tcW w:w="1893" w:type="dxa"/>
            <w:gridSpan w:val="2"/>
            <w:noWrap w:val="0"/>
            <w:vAlign w:val="center"/>
          </w:tcPr>
          <w:p>
            <w:pPr>
              <w:jc w:val="center"/>
              <w:rPr>
                <w:color w:val="auto"/>
                <w:highlight w:val="none"/>
              </w:rPr>
            </w:pPr>
          </w:p>
        </w:tc>
        <w:tc>
          <w:tcPr>
            <w:tcW w:w="2693" w:type="dxa"/>
            <w:gridSpan w:val="4"/>
            <w:noWrap w:val="0"/>
            <w:vAlign w:val="center"/>
          </w:tcPr>
          <w:p>
            <w:pPr>
              <w:jc w:val="center"/>
              <w:rPr>
                <w:color w:val="auto"/>
                <w:highlight w:val="none"/>
              </w:rPr>
            </w:pPr>
            <w:r>
              <w:rPr>
                <w:rFonts w:hint="eastAsia" w:cs="宋体"/>
                <w:color w:val="auto"/>
                <w:highlight w:val="none"/>
              </w:rPr>
              <w:t>担任项目经理年限</w:t>
            </w:r>
          </w:p>
        </w:tc>
        <w:tc>
          <w:tcPr>
            <w:tcW w:w="1276"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noWrap w:val="0"/>
            <w:vAlign w:val="center"/>
          </w:tcPr>
          <w:p>
            <w:pPr>
              <w:jc w:val="center"/>
              <w:rPr>
                <w:color w:val="auto"/>
                <w:highlight w:val="none"/>
              </w:rPr>
            </w:pPr>
            <w:r>
              <w:rPr>
                <w:rFonts w:hint="eastAsia" w:cs="宋体"/>
                <w:color w:val="auto"/>
                <w:highlight w:val="none"/>
              </w:rPr>
              <w:t>建造师注册证书编号</w:t>
            </w:r>
          </w:p>
        </w:tc>
        <w:tc>
          <w:tcPr>
            <w:tcW w:w="5862" w:type="dxa"/>
            <w:gridSpan w:val="7"/>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pPr>
              <w:jc w:val="center"/>
              <w:rPr>
                <w:color w:val="auto"/>
                <w:highlight w:val="none"/>
              </w:rPr>
            </w:pPr>
            <w:r>
              <w:rPr>
                <w:rFonts w:hint="eastAsia" w:cs="宋体"/>
                <w:color w:val="auto"/>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pPr>
              <w:jc w:val="center"/>
              <w:rPr>
                <w:color w:val="auto"/>
                <w:highlight w:val="none"/>
              </w:rPr>
            </w:pPr>
            <w:r>
              <w:rPr>
                <w:rFonts w:hint="eastAsia" w:cs="宋体"/>
                <w:color w:val="auto"/>
                <w:highlight w:val="none"/>
              </w:rPr>
              <w:t>建设单位</w:t>
            </w:r>
          </w:p>
        </w:tc>
        <w:tc>
          <w:tcPr>
            <w:tcW w:w="1548" w:type="dxa"/>
            <w:noWrap w:val="0"/>
            <w:vAlign w:val="center"/>
          </w:tcPr>
          <w:p>
            <w:pPr>
              <w:jc w:val="center"/>
              <w:rPr>
                <w:color w:val="auto"/>
                <w:highlight w:val="none"/>
              </w:rPr>
            </w:pPr>
            <w:r>
              <w:rPr>
                <w:rFonts w:hint="eastAsia" w:cs="宋体"/>
                <w:color w:val="auto"/>
                <w:highlight w:val="none"/>
              </w:rPr>
              <w:t>项目名称</w:t>
            </w:r>
          </w:p>
        </w:tc>
        <w:tc>
          <w:tcPr>
            <w:tcW w:w="1547" w:type="dxa"/>
            <w:gridSpan w:val="2"/>
            <w:noWrap w:val="0"/>
            <w:vAlign w:val="center"/>
          </w:tcPr>
          <w:p>
            <w:pPr>
              <w:jc w:val="center"/>
              <w:rPr>
                <w:color w:val="auto"/>
                <w:highlight w:val="none"/>
              </w:rPr>
            </w:pPr>
            <w:r>
              <w:rPr>
                <w:rFonts w:hint="eastAsia" w:cs="宋体"/>
                <w:color w:val="auto"/>
                <w:highlight w:val="none"/>
              </w:rPr>
              <w:t>建设规模</w:t>
            </w:r>
          </w:p>
        </w:tc>
        <w:tc>
          <w:tcPr>
            <w:tcW w:w="1548" w:type="dxa"/>
            <w:gridSpan w:val="2"/>
            <w:noWrap w:val="0"/>
            <w:vAlign w:val="center"/>
          </w:tcPr>
          <w:p>
            <w:pPr>
              <w:jc w:val="center"/>
              <w:rPr>
                <w:color w:val="auto"/>
                <w:highlight w:val="none"/>
              </w:rPr>
            </w:pPr>
            <w:r>
              <w:rPr>
                <w:rFonts w:hint="eastAsia" w:cs="宋体"/>
                <w:color w:val="auto"/>
                <w:highlight w:val="none"/>
              </w:rPr>
              <w:t>开、竣工日期</w:t>
            </w:r>
          </w:p>
        </w:tc>
        <w:tc>
          <w:tcPr>
            <w:tcW w:w="1547" w:type="dxa"/>
            <w:gridSpan w:val="2"/>
            <w:noWrap w:val="0"/>
            <w:vAlign w:val="center"/>
          </w:tcPr>
          <w:p>
            <w:pPr>
              <w:jc w:val="center"/>
              <w:rPr>
                <w:color w:val="auto"/>
                <w:highlight w:val="none"/>
              </w:rPr>
            </w:pPr>
            <w:r>
              <w:rPr>
                <w:rFonts w:hint="eastAsia" w:cs="宋体"/>
                <w:color w:val="auto"/>
                <w:highlight w:val="none"/>
              </w:rPr>
              <w:t>在建或已完</w:t>
            </w:r>
          </w:p>
        </w:tc>
        <w:tc>
          <w:tcPr>
            <w:tcW w:w="1548" w:type="dxa"/>
            <w:gridSpan w:val="2"/>
            <w:noWrap w:val="0"/>
            <w:vAlign w:val="center"/>
          </w:tcPr>
          <w:p>
            <w:pPr>
              <w:jc w:val="center"/>
              <w:rPr>
                <w:color w:val="auto"/>
                <w:highlight w:val="none"/>
              </w:rPr>
            </w:pPr>
            <w:r>
              <w:rPr>
                <w:rFonts w:hint="eastAsia" w:cs="宋体"/>
                <w:color w:val="auto"/>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highlight w:val="none"/>
              </w:rPr>
            </w:pPr>
          </w:p>
        </w:tc>
        <w:tc>
          <w:tcPr>
            <w:tcW w:w="1548" w:type="dxa"/>
            <w:noWrap w:val="0"/>
            <w:vAlign w:val="center"/>
          </w:tcPr>
          <w:p>
            <w:pPr>
              <w:jc w:val="center"/>
              <w:rPr>
                <w:color w:val="auto"/>
                <w:highlight w:val="none"/>
              </w:rPr>
            </w:pPr>
          </w:p>
        </w:tc>
        <w:tc>
          <w:tcPr>
            <w:tcW w:w="1547" w:type="dxa"/>
            <w:gridSpan w:val="2"/>
            <w:noWrap w:val="0"/>
            <w:vAlign w:val="center"/>
          </w:tcPr>
          <w:p>
            <w:pPr>
              <w:jc w:val="center"/>
              <w:rPr>
                <w:color w:val="auto"/>
                <w:highlight w:val="none"/>
              </w:rPr>
            </w:pPr>
          </w:p>
        </w:tc>
        <w:tc>
          <w:tcPr>
            <w:tcW w:w="1548" w:type="dxa"/>
            <w:gridSpan w:val="2"/>
            <w:noWrap w:val="0"/>
            <w:vAlign w:val="center"/>
          </w:tcPr>
          <w:p>
            <w:pPr>
              <w:jc w:val="center"/>
              <w:rPr>
                <w:color w:val="auto"/>
                <w:highlight w:val="none"/>
              </w:rPr>
            </w:pPr>
          </w:p>
        </w:tc>
        <w:tc>
          <w:tcPr>
            <w:tcW w:w="1547" w:type="dxa"/>
            <w:gridSpan w:val="2"/>
            <w:noWrap w:val="0"/>
            <w:vAlign w:val="center"/>
          </w:tcPr>
          <w:p>
            <w:pPr>
              <w:jc w:val="center"/>
              <w:rPr>
                <w:color w:val="auto"/>
                <w:highlight w:val="none"/>
              </w:rPr>
            </w:pPr>
          </w:p>
        </w:tc>
        <w:tc>
          <w:tcPr>
            <w:tcW w:w="1548" w:type="dxa"/>
            <w:gridSpan w:val="2"/>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highlight w:val="none"/>
              </w:rPr>
            </w:pPr>
          </w:p>
        </w:tc>
        <w:tc>
          <w:tcPr>
            <w:tcW w:w="1548" w:type="dxa"/>
            <w:noWrap w:val="0"/>
            <w:vAlign w:val="center"/>
          </w:tcPr>
          <w:p>
            <w:pPr>
              <w:jc w:val="center"/>
              <w:rPr>
                <w:color w:val="auto"/>
                <w:highlight w:val="none"/>
              </w:rPr>
            </w:pPr>
          </w:p>
        </w:tc>
        <w:tc>
          <w:tcPr>
            <w:tcW w:w="1547" w:type="dxa"/>
            <w:gridSpan w:val="2"/>
            <w:noWrap w:val="0"/>
            <w:vAlign w:val="center"/>
          </w:tcPr>
          <w:p>
            <w:pPr>
              <w:jc w:val="center"/>
              <w:rPr>
                <w:color w:val="auto"/>
                <w:highlight w:val="none"/>
              </w:rPr>
            </w:pPr>
          </w:p>
        </w:tc>
        <w:tc>
          <w:tcPr>
            <w:tcW w:w="1548" w:type="dxa"/>
            <w:gridSpan w:val="2"/>
            <w:noWrap w:val="0"/>
            <w:vAlign w:val="center"/>
          </w:tcPr>
          <w:p>
            <w:pPr>
              <w:jc w:val="center"/>
              <w:rPr>
                <w:color w:val="auto"/>
                <w:highlight w:val="none"/>
              </w:rPr>
            </w:pPr>
          </w:p>
        </w:tc>
        <w:tc>
          <w:tcPr>
            <w:tcW w:w="1547" w:type="dxa"/>
            <w:gridSpan w:val="2"/>
            <w:noWrap w:val="0"/>
            <w:vAlign w:val="center"/>
          </w:tcPr>
          <w:p>
            <w:pPr>
              <w:jc w:val="center"/>
              <w:rPr>
                <w:color w:val="auto"/>
                <w:highlight w:val="none"/>
              </w:rPr>
            </w:pPr>
          </w:p>
        </w:tc>
        <w:tc>
          <w:tcPr>
            <w:tcW w:w="1548" w:type="dxa"/>
            <w:gridSpan w:val="2"/>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highlight w:val="none"/>
              </w:rPr>
            </w:pPr>
          </w:p>
        </w:tc>
        <w:tc>
          <w:tcPr>
            <w:tcW w:w="1548" w:type="dxa"/>
            <w:noWrap w:val="0"/>
            <w:vAlign w:val="center"/>
          </w:tcPr>
          <w:p>
            <w:pPr>
              <w:jc w:val="center"/>
              <w:rPr>
                <w:color w:val="auto"/>
                <w:highlight w:val="none"/>
              </w:rPr>
            </w:pPr>
          </w:p>
        </w:tc>
        <w:tc>
          <w:tcPr>
            <w:tcW w:w="1547" w:type="dxa"/>
            <w:gridSpan w:val="2"/>
            <w:noWrap w:val="0"/>
            <w:vAlign w:val="center"/>
          </w:tcPr>
          <w:p>
            <w:pPr>
              <w:jc w:val="center"/>
              <w:rPr>
                <w:color w:val="auto"/>
                <w:highlight w:val="none"/>
              </w:rPr>
            </w:pPr>
          </w:p>
        </w:tc>
        <w:tc>
          <w:tcPr>
            <w:tcW w:w="1548" w:type="dxa"/>
            <w:gridSpan w:val="2"/>
            <w:noWrap w:val="0"/>
            <w:vAlign w:val="center"/>
          </w:tcPr>
          <w:p>
            <w:pPr>
              <w:jc w:val="center"/>
              <w:rPr>
                <w:color w:val="auto"/>
                <w:highlight w:val="none"/>
              </w:rPr>
            </w:pPr>
          </w:p>
        </w:tc>
        <w:tc>
          <w:tcPr>
            <w:tcW w:w="1547" w:type="dxa"/>
            <w:gridSpan w:val="2"/>
            <w:noWrap w:val="0"/>
            <w:vAlign w:val="center"/>
          </w:tcPr>
          <w:p>
            <w:pPr>
              <w:jc w:val="center"/>
              <w:rPr>
                <w:color w:val="auto"/>
                <w:highlight w:val="none"/>
              </w:rPr>
            </w:pPr>
          </w:p>
        </w:tc>
        <w:tc>
          <w:tcPr>
            <w:tcW w:w="1548" w:type="dxa"/>
            <w:gridSpan w:val="2"/>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pPr>
              <w:jc w:val="center"/>
              <w:rPr>
                <w:color w:val="auto"/>
                <w:highlight w:val="none"/>
              </w:rPr>
            </w:pPr>
          </w:p>
        </w:tc>
        <w:tc>
          <w:tcPr>
            <w:tcW w:w="1548" w:type="dxa"/>
            <w:noWrap w:val="0"/>
            <w:vAlign w:val="center"/>
          </w:tcPr>
          <w:p>
            <w:pPr>
              <w:jc w:val="center"/>
              <w:rPr>
                <w:color w:val="auto"/>
                <w:highlight w:val="none"/>
              </w:rPr>
            </w:pPr>
          </w:p>
        </w:tc>
        <w:tc>
          <w:tcPr>
            <w:tcW w:w="1547" w:type="dxa"/>
            <w:gridSpan w:val="2"/>
            <w:noWrap w:val="0"/>
            <w:vAlign w:val="center"/>
          </w:tcPr>
          <w:p>
            <w:pPr>
              <w:jc w:val="center"/>
              <w:rPr>
                <w:color w:val="auto"/>
                <w:highlight w:val="none"/>
              </w:rPr>
            </w:pPr>
          </w:p>
        </w:tc>
        <w:tc>
          <w:tcPr>
            <w:tcW w:w="1548" w:type="dxa"/>
            <w:gridSpan w:val="2"/>
            <w:noWrap w:val="0"/>
            <w:vAlign w:val="center"/>
          </w:tcPr>
          <w:p>
            <w:pPr>
              <w:jc w:val="center"/>
              <w:rPr>
                <w:color w:val="auto"/>
                <w:highlight w:val="none"/>
              </w:rPr>
            </w:pPr>
          </w:p>
        </w:tc>
        <w:tc>
          <w:tcPr>
            <w:tcW w:w="1547" w:type="dxa"/>
            <w:gridSpan w:val="2"/>
            <w:noWrap w:val="0"/>
            <w:vAlign w:val="center"/>
          </w:tcPr>
          <w:p>
            <w:pPr>
              <w:jc w:val="center"/>
              <w:rPr>
                <w:color w:val="auto"/>
                <w:highlight w:val="none"/>
              </w:rPr>
            </w:pPr>
          </w:p>
        </w:tc>
        <w:tc>
          <w:tcPr>
            <w:tcW w:w="1548" w:type="dxa"/>
            <w:gridSpan w:val="2"/>
            <w:noWrap w:val="0"/>
            <w:vAlign w:val="center"/>
          </w:tcPr>
          <w:p>
            <w:pPr>
              <w:jc w:val="center"/>
              <w:rPr>
                <w:color w:val="auto"/>
                <w:highlight w:val="none"/>
              </w:rPr>
            </w:pPr>
          </w:p>
        </w:tc>
      </w:tr>
    </w:tbl>
    <w:p>
      <w:pPr>
        <w:spacing w:line="360" w:lineRule="auto"/>
        <w:rPr>
          <w:color w:val="auto"/>
          <w:highlight w:val="none"/>
        </w:rPr>
      </w:pPr>
    </w:p>
    <w:p>
      <w:pPr>
        <w:spacing w:line="360" w:lineRule="auto"/>
        <w:rPr>
          <w:rFonts w:eastAsia="楷体_GB2312"/>
          <w:color w:val="auto"/>
          <w:highlight w:val="none"/>
        </w:rPr>
      </w:pPr>
      <w:r>
        <w:rPr>
          <w:rFonts w:hint="eastAsia" w:eastAsia="楷体_GB2312" w:cs="楷体_GB2312"/>
          <w:color w:val="auto"/>
          <w:highlight w:val="none"/>
        </w:rPr>
        <w:t>备注：</w:t>
      </w:r>
    </w:p>
    <w:p>
      <w:pPr>
        <w:spacing w:line="360" w:lineRule="auto"/>
        <w:ind w:firstLine="420" w:firstLineChars="200"/>
        <w:rPr>
          <w:rFonts w:eastAsia="楷体_GB2312"/>
          <w:color w:val="auto"/>
          <w:highlight w:val="none"/>
        </w:rPr>
      </w:pPr>
      <w:r>
        <w:rPr>
          <w:rFonts w:eastAsia="楷体_GB2312"/>
          <w:color w:val="auto"/>
          <w:highlight w:val="none"/>
        </w:rPr>
        <w:t>1</w:t>
      </w:r>
      <w:r>
        <w:rPr>
          <w:rFonts w:hint="eastAsia" w:eastAsia="楷体_GB2312" w:cs="楷体_GB2312"/>
          <w:color w:val="auto"/>
          <w:highlight w:val="none"/>
        </w:rPr>
        <w:t>、已完成的类似工程应附中标通知书（如有）、合同协议书有关页面、工程竣工验收证明材料的复印件。在建类似工程应附中标通知书（如有）、工程合同协议书有关页面复印件。</w:t>
      </w:r>
    </w:p>
    <w:p>
      <w:pPr>
        <w:spacing w:before="120" w:beforeLines="50"/>
        <w:ind w:firstLine="420" w:firstLineChars="200"/>
        <w:rPr>
          <w:rFonts w:eastAsia="楷体_GB2312"/>
          <w:color w:val="auto"/>
          <w:highlight w:val="none"/>
        </w:rPr>
      </w:pPr>
    </w:p>
    <w:p>
      <w:pPr>
        <w:spacing w:line="360" w:lineRule="auto"/>
        <w:ind w:firstLine="525" w:firstLineChars="250"/>
        <w:rPr>
          <w:color w:val="auto"/>
          <w:highlight w:val="none"/>
        </w:rPr>
      </w:pPr>
    </w:p>
    <w:p>
      <w:pPr>
        <w:spacing w:line="360" w:lineRule="auto"/>
        <w:ind w:firstLine="525" w:firstLineChars="250"/>
        <w:rPr>
          <w:color w:val="auto"/>
          <w:highlight w:val="none"/>
        </w:rPr>
        <w:sectPr>
          <w:pgSz w:w="11907" w:h="16840"/>
          <w:pgMar w:top="1440" w:right="1440" w:bottom="1440" w:left="1797" w:header="851" w:footer="851" w:gutter="0"/>
          <w:cols w:space="720" w:num="1"/>
          <w:docGrid w:linePitch="312" w:charSpace="0"/>
        </w:sectPr>
      </w:pPr>
    </w:p>
    <w:p>
      <w:pPr>
        <w:spacing w:line="360" w:lineRule="auto"/>
        <w:ind w:firstLine="525" w:firstLineChars="250"/>
        <w:rPr>
          <w:color w:val="auto"/>
          <w:highlight w:val="none"/>
        </w:rPr>
      </w:pPr>
    </w:p>
    <w:p>
      <w:pPr>
        <w:pStyle w:val="25"/>
        <w:jc w:val="center"/>
        <w:outlineLvl w:val="0"/>
        <w:rPr>
          <w:b/>
          <w:bCs/>
          <w:color w:val="auto"/>
          <w:sz w:val="24"/>
          <w:szCs w:val="24"/>
          <w:highlight w:val="none"/>
        </w:rPr>
      </w:pPr>
      <w:bookmarkStart w:id="495" w:name="_Toc389065365"/>
      <w:bookmarkStart w:id="496" w:name="_Toc251052219"/>
      <w:bookmarkStart w:id="497" w:name="_Toc173579007"/>
      <w:bookmarkStart w:id="498" w:name="_Toc153274949"/>
      <w:bookmarkStart w:id="499" w:name="_Toc172364027"/>
      <w:r>
        <w:rPr>
          <w:b/>
          <w:bCs/>
          <w:color w:val="auto"/>
          <w:sz w:val="24"/>
          <w:szCs w:val="24"/>
          <w:highlight w:val="none"/>
        </w:rPr>
        <w:t>3</w:t>
      </w:r>
      <w:r>
        <w:rPr>
          <w:rFonts w:hint="eastAsia" w:cs="宋体"/>
          <w:b/>
          <w:bCs/>
          <w:color w:val="auto"/>
          <w:sz w:val="24"/>
          <w:szCs w:val="24"/>
          <w:highlight w:val="none"/>
        </w:rPr>
        <w:t>、项目技术负责人简历表</w:t>
      </w:r>
      <w:bookmarkEnd w:id="495"/>
      <w:bookmarkEnd w:id="496"/>
      <w:bookmarkEnd w:id="497"/>
      <w:bookmarkEnd w:id="498"/>
      <w:bookmarkEnd w:id="499"/>
    </w:p>
    <w:p>
      <w:pPr>
        <w:pStyle w:val="25"/>
        <w:rPr>
          <w:color w:val="auto"/>
          <w:highlight w:val="none"/>
          <w:u w:val="single"/>
        </w:rPr>
      </w:pPr>
    </w:p>
    <w:p>
      <w:pPr>
        <w:pStyle w:val="25"/>
        <w:rPr>
          <w:color w:val="auto"/>
          <w:highlight w:val="none"/>
        </w:rPr>
      </w:pPr>
      <w:r>
        <w:rPr>
          <w:color w:val="auto"/>
          <w:highlight w:val="none"/>
          <w:u w:val="single"/>
        </w:rPr>
        <w:t xml:space="preserve">            </w:t>
      </w:r>
      <w:r>
        <w:rPr>
          <w:rFonts w:hint="eastAsia" w:cs="宋体"/>
          <w:color w:val="auto"/>
          <w:highlight w:val="none"/>
          <w:u w:val="single"/>
        </w:rPr>
        <w:t>（招标工程项目名称）</w:t>
      </w:r>
      <w:r>
        <w:rPr>
          <w:color w:val="auto"/>
          <w:highlight w:val="none"/>
          <w:u w:val="single"/>
        </w:rPr>
        <w:t xml:space="preserve">        </w:t>
      </w:r>
      <w:r>
        <w:rPr>
          <w:color w:val="auto"/>
          <w:highlight w:val="none"/>
        </w:rPr>
        <w:t xml:space="preserve"> </w:t>
      </w:r>
      <w:r>
        <w:rPr>
          <w:rFonts w:hint="eastAsia" w:cs="宋体"/>
          <w:color w:val="auto"/>
          <w:highlight w:val="none"/>
        </w:rPr>
        <w:t>工程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noWrap w:val="0"/>
            <w:vAlign w:val="center"/>
          </w:tcPr>
          <w:p>
            <w:pPr>
              <w:jc w:val="center"/>
              <w:rPr>
                <w:color w:val="auto"/>
                <w:highlight w:val="none"/>
              </w:rPr>
            </w:pPr>
            <w:r>
              <w:rPr>
                <w:rFonts w:hint="eastAsia" w:cs="宋体"/>
                <w:color w:val="auto"/>
                <w:highlight w:val="none"/>
              </w:rPr>
              <w:t>姓名</w:t>
            </w:r>
          </w:p>
        </w:tc>
        <w:tc>
          <w:tcPr>
            <w:tcW w:w="2340" w:type="dxa"/>
            <w:gridSpan w:val="3"/>
            <w:noWrap w:val="0"/>
            <w:vAlign w:val="center"/>
          </w:tcPr>
          <w:p>
            <w:pPr>
              <w:jc w:val="center"/>
              <w:rPr>
                <w:color w:val="auto"/>
                <w:highlight w:val="none"/>
              </w:rPr>
            </w:pPr>
          </w:p>
        </w:tc>
        <w:tc>
          <w:tcPr>
            <w:tcW w:w="1893" w:type="dxa"/>
            <w:gridSpan w:val="2"/>
            <w:noWrap w:val="0"/>
            <w:vAlign w:val="center"/>
          </w:tcPr>
          <w:p>
            <w:pPr>
              <w:jc w:val="center"/>
              <w:rPr>
                <w:color w:val="auto"/>
                <w:highlight w:val="none"/>
              </w:rPr>
            </w:pPr>
            <w:r>
              <w:rPr>
                <w:rFonts w:hint="eastAsia" w:cs="宋体"/>
                <w:color w:val="auto"/>
                <w:highlight w:val="none"/>
              </w:rPr>
              <w:t>性别</w:t>
            </w:r>
          </w:p>
        </w:tc>
        <w:tc>
          <w:tcPr>
            <w:tcW w:w="1585" w:type="dxa"/>
            <w:gridSpan w:val="2"/>
            <w:noWrap w:val="0"/>
            <w:vAlign w:val="center"/>
          </w:tcPr>
          <w:p>
            <w:pPr>
              <w:jc w:val="center"/>
              <w:rPr>
                <w:color w:val="auto"/>
                <w:highlight w:val="none"/>
              </w:rPr>
            </w:pPr>
          </w:p>
        </w:tc>
        <w:tc>
          <w:tcPr>
            <w:tcW w:w="1108" w:type="dxa"/>
            <w:gridSpan w:val="2"/>
            <w:noWrap w:val="0"/>
            <w:vAlign w:val="center"/>
          </w:tcPr>
          <w:p>
            <w:pPr>
              <w:jc w:val="center"/>
              <w:rPr>
                <w:color w:val="auto"/>
                <w:highlight w:val="none"/>
              </w:rPr>
            </w:pPr>
            <w:r>
              <w:rPr>
                <w:rFonts w:hint="eastAsia" w:cs="宋体"/>
                <w:color w:val="auto"/>
                <w:highlight w:val="none"/>
              </w:rPr>
              <w:t>年龄</w:t>
            </w:r>
          </w:p>
        </w:tc>
        <w:tc>
          <w:tcPr>
            <w:tcW w:w="1276"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noWrap w:val="0"/>
            <w:vAlign w:val="center"/>
          </w:tcPr>
          <w:p>
            <w:pPr>
              <w:jc w:val="center"/>
              <w:rPr>
                <w:color w:val="auto"/>
                <w:highlight w:val="none"/>
              </w:rPr>
            </w:pPr>
            <w:r>
              <w:rPr>
                <w:rFonts w:hint="eastAsia" w:cs="宋体"/>
                <w:color w:val="auto"/>
                <w:highlight w:val="none"/>
              </w:rPr>
              <w:t>职务</w:t>
            </w:r>
          </w:p>
        </w:tc>
        <w:tc>
          <w:tcPr>
            <w:tcW w:w="2340" w:type="dxa"/>
            <w:gridSpan w:val="3"/>
            <w:noWrap w:val="0"/>
            <w:vAlign w:val="center"/>
          </w:tcPr>
          <w:p>
            <w:pPr>
              <w:jc w:val="center"/>
              <w:rPr>
                <w:color w:val="auto"/>
                <w:highlight w:val="none"/>
              </w:rPr>
            </w:pPr>
          </w:p>
        </w:tc>
        <w:tc>
          <w:tcPr>
            <w:tcW w:w="1893" w:type="dxa"/>
            <w:gridSpan w:val="2"/>
            <w:noWrap w:val="0"/>
            <w:vAlign w:val="center"/>
          </w:tcPr>
          <w:p>
            <w:pPr>
              <w:jc w:val="center"/>
              <w:rPr>
                <w:color w:val="auto"/>
                <w:highlight w:val="none"/>
              </w:rPr>
            </w:pPr>
            <w:r>
              <w:rPr>
                <w:rFonts w:hint="eastAsia" w:cs="宋体"/>
                <w:color w:val="auto"/>
                <w:highlight w:val="none"/>
              </w:rPr>
              <w:t>职称</w:t>
            </w:r>
          </w:p>
        </w:tc>
        <w:tc>
          <w:tcPr>
            <w:tcW w:w="1585" w:type="dxa"/>
            <w:gridSpan w:val="2"/>
            <w:noWrap w:val="0"/>
            <w:vAlign w:val="center"/>
          </w:tcPr>
          <w:p>
            <w:pPr>
              <w:jc w:val="center"/>
              <w:rPr>
                <w:color w:val="auto"/>
                <w:highlight w:val="none"/>
              </w:rPr>
            </w:pPr>
          </w:p>
        </w:tc>
        <w:tc>
          <w:tcPr>
            <w:tcW w:w="1108" w:type="dxa"/>
            <w:gridSpan w:val="2"/>
            <w:noWrap w:val="0"/>
            <w:vAlign w:val="center"/>
          </w:tcPr>
          <w:p>
            <w:pPr>
              <w:jc w:val="center"/>
              <w:rPr>
                <w:color w:val="auto"/>
                <w:highlight w:val="none"/>
              </w:rPr>
            </w:pPr>
            <w:r>
              <w:rPr>
                <w:rFonts w:hint="eastAsia" w:cs="宋体"/>
                <w:color w:val="auto"/>
                <w:highlight w:val="none"/>
              </w:rPr>
              <w:t>学历</w:t>
            </w:r>
          </w:p>
        </w:tc>
        <w:tc>
          <w:tcPr>
            <w:tcW w:w="1276"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noWrap w:val="0"/>
            <w:vAlign w:val="center"/>
          </w:tcPr>
          <w:p>
            <w:pPr>
              <w:jc w:val="center"/>
              <w:rPr>
                <w:color w:val="auto"/>
                <w:highlight w:val="none"/>
              </w:rPr>
            </w:pPr>
            <w:r>
              <w:rPr>
                <w:rFonts w:hint="eastAsia" w:cs="宋体"/>
                <w:color w:val="auto"/>
                <w:highlight w:val="none"/>
              </w:rPr>
              <w:t>参加工作时间</w:t>
            </w:r>
          </w:p>
        </w:tc>
        <w:tc>
          <w:tcPr>
            <w:tcW w:w="1893" w:type="dxa"/>
            <w:gridSpan w:val="2"/>
            <w:noWrap w:val="0"/>
            <w:vAlign w:val="center"/>
          </w:tcPr>
          <w:p>
            <w:pPr>
              <w:jc w:val="center"/>
              <w:rPr>
                <w:color w:val="auto"/>
                <w:highlight w:val="none"/>
              </w:rPr>
            </w:pPr>
          </w:p>
        </w:tc>
        <w:tc>
          <w:tcPr>
            <w:tcW w:w="2693" w:type="dxa"/>
            <w:gridSpan w:val="4"/>
            <w:noWrap w:val="0"/>
            <w:vAlign w:val="center"/>
          </w:tcPr>
          <w:p>
            <w:pPr>
              <w:jc w:val="center"/>
              <w:rPr>
                <w:color w:val="auto"/>
                <w:highlight w:val="none"/>
              </w:rPr>
            </w:pPr>
            <w:r>
              <w:rPr>
                <w:rFonts w:hint="eastAsia" w:cs="宋体"/>
                <w:color w:val="auto"/>
                <w:highlight w:val="none"/>
              </w:rPr>
              <w:t>担任技术负责人年限</w:t>
            </w:r>
          </w:p>
        </w:tc>
        <w:tc>
          <w:tcPr>
            <w:tcW w:w="1276" w:type="dxa"/>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noWrap w:val="0"/>
            <w:vAlign w:val="center"/>
          </w:tcPr>
          <w:p>
            <w:pPr>
              <w:jc w:val="center"/>
              <w:rPr>
                <w:color w:val="auto"/>
                <w:highlight w:val="none"/>
              </w:rPr>
            </w:pPr>
            <w:r>
              <w:rPr>
                <w:rFonts w:hint="eastAsia" w:cs="宋体"/>
                <w:color w:val="auto"/>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noWrap w:val="0"/>
            <w:vAlign w:val="center"/>
          </w:tcPr>
          <w:p>
            <w:pPr>
              <w:jc w:val="center"/>
              <w:rPr>
                <w:color w:val="auto"/>
                <w:highlight w:val="none"/>
              </w:rPr>
            </w:pPr>
            <w:r>
              <w:rPr>
                <w:rFonts w:hint="eastAsia" w:cs="宋体"/>
                <w:color w:val="auto"/>
                <w:highlight w:val="none"/>
              </w:rPr>
              <w:t>建设单位</w:t>
            </w:r>
          </w:p>
        </w:tc>
        <w:tc>
          <w:tcPr>
            <w:tcW w:w="1548" w:type="dxa"/>
            <w:noWrap w:val="0"/>
            <w:vAlign w:val="center"/>
          </w:tcPr>
          <w:p>
            <w:pPr>
              <w:jc w:val="center"/>
              <w:rPr>
                <w:color w:val="auto"/>
                <w:highlight w:val="none"/>
              </w:rPr>
            </w:pPr>
            <w:r>
              <w:rPr>
                <w:rFonts w:hint="eastAsia" w:cs="宋体"/>
                <w:color w:val="auto"/>
                <w:highlight w:val="none"/>
              </w:rPr>
              <w:t>项目名称</w:t>
            </w:r>
          </w:p>
        </w:tc>
        <w:tc>
          <w:tcPr>
            <w:tcW w:w="1547" w:type="dxa"/>
            <w:gridSpan w:val="2"/>
            <w:noWrap w:val="0"/>
            <w:vAlign w:val="center"/>
          </w:tcPr>
          <w:p>
            <w:pPr>
              <w:jc w:val="center"/>
              <w:rPr>
                <w:color w:val="auto"/>
                <w:highlight w:val="none"/>
              </w:rPr>
            </w:pPr>
            <w:r>
              <w:rPr>
                <w:rFonts w:hint="eastAsia" w:cs="宋体"/>
                <w:color w:val="auto"/>
                <w:highlight w:val="none"/>
              </w:rPr>
              <w:t>建设规模</w:t>
            </w:r>
          </w:p>
        </w:tc>
        <w:tc>
          <w:tcPr>
            <w:tcW w:w="1548" w:type="dxa"/>
            <w:gridSpan w:val="2"/>
            <w:noWrap w:val="0"/>
            <w:vAlign w:val="center"/>
          </w:tcPr>
          <w:p>
            <w:pPr>
              <w:jc w:val="center"/>
              <w:rPr>
                <w:color w:val="auto"/>
                <w:highlight w:val="none"/>
              </w:rPr>
            </w:pPr>
            <w:r>
              <w:rPr>
                <w:rFonts w:hint="eastAsia" w:cs="宋体"/>
                <w:color w:val="auto"/>
                <w:highlight w:val="none"/>
              </w:rPr>
              <w:t>开、竣工日期</w:t>
            </w:r>
          </w:p>
        </w:tc>
        <w:tc>
          <w:tcPr>
            <w:tcW w:w="1547" w:type="dxa"/>
            <w:gridSpan w:val="2"/>
            <w:noWrap w:val="0"/>
            <w:vAlign w:val="center"/>
          </w:tcPr>
          <w:p>
            <w:pPr>
              <w:jc w:val="center"/>
              <w:rPr>
                <w:color w:val="auto"/>
                <w:highlight w:val="none"/>
              </w:rPr>
            </w:pPr>
            <w:r>
              <w:rPr>
                <w:rFonts w:hint="eastAsia" w:cs="宋体"/>
                <w:color w:val="auto"/>
                <w:highlight w:val="none"/>
              </w:rPr>
              <w:t>在建或已完</w:t>
            </w:r>
          </w:p>
        </w:tc>
        <w:tc>
          <w:tcPr>
            <w:tcW w:w="1548" w:type="dxa"/>
            <w:gridSpan w:val="2"/>
            <w:noWrap w:val="0"/>
            <w:vAlign w:val="center"/>
          </w:tcPr>
          <w:p>
            <w:pPr>
              <w:jc w:val="center"/>
              <w:rPr>
                <w:color w:val="auto"/>
                <w:highlight w:val="none"/>
              </w:rPr>
            </w:pPr>
            <w:r>
              <w:rPr>
                <w:rFonts w:hint="eastAsia" w:cs="宋体"/>
                <w:color w:val="auto"/>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highlight w:val="none"/>
              </w:rPr>
            </w:pPr>
          </w:p>
        </w:tc>
        <w:tc>
          <w:tcPr>
            <w:tcW w:w="1548" w:type="dxa"/>
            <w:noWrap w:val="0"/>
            <w:vAlign w:val="center"/>
          </w:tcPr>
          <w:p>
            <w:pPr>
              <w:jc w:val="center"/>
              <w:rPr>
                <w:color w:val="auto"/>
                <w:highlight w:val="none"/>
              </w:rPr>
            </w:pPr>
          </w:p>
        </w:tc>
        <w:tc>
          <w:tcPr>
            <w:tcW w:w="1547" w:type="dxa"/>
            <w:gridSpan w:val="2"/>
            <w:noWrap w:val="0"/>
            <w:vAlign w:val="center"/>
          </w:tcPr>
          <w:p>
            <w:pPr>
              <w:jc w:val="center"/>
              <w:rPr>
                <w:color w:val="auto"/>
                <w:highlight w:val="none"/>
              </w:rPr>
            </w:pPr>
          </w:p>
        </w:tc>
        <w:tc>
          <w:tcPr>
            <w:tcW w:w="1548" w:type="dxa"/>
            <w:gridSpan w:val="2"/>
            <w:noWrap w:val="0"/>
            <w:vAlign w:val="center"/>
          </w:tcPr>
          <w:p>
            <w:pPr>
              <w:jc w:val="center"/>
              <w:rPr>
                <w:color w:val="auto"/>
                <w:highlight w:val="none"/>
              </w:rPr>
            </w:pPr>
          </w:p>
        </w:tc>
        <w:tc>
          <w:tcPr>
            <w:tcW w:w="1547" w:type="dxa"/>
            <w:gridSpan w:val="2"/>
            <w:noWrap w:val="0"/>
            <w:vAlign w:val="center"/>
          </w:tcPr>
          <w:p>
            <w:pPr>
              <w:jc w:val="center"/>
              <w:rPr>
                <w:color w:val="auto"/>
                <w:highlight w:val="none"/>
              </w:rPr>
            </w:pPr>
          </w:p>
        </w:tc>
        <w:tc>
          <w:tcPr>
            <w:tcW w:w="1548" w:type="dxa"/>
            <w:gridSpan w:val="2"/>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highlight w:val="none"/>
              </w:rPr>
            </w:pPr>
          </w:p>
        </w:tc>
        <w:tc>
          <w:tcPr>
            <w:tcW w:w="1548" w:type="dxa"/>
            <w:noWrap w:val="0"/>
            <w:vAlign w:val="center"/>
          </w:tcPr>
          <w:p>
            <w:pPr>
              <w:jc w:val="center"/>
              <w:rPr>
                <w:color w:val="auto"/>
                <w:highlight w:val="none"/>
              </w:rPr>
            </w:pPr>
          </w:p>
        </w:tc>
        <w:tc>
          <w:tcPr>
            <w:tcW w:w="1547" w:type="dxa"/>
            <w:gridSpan w:val="2"/>
            <w:noWrap w:val="0"/>
            <w:vAlign w:val="center"/>
          </w:tcPr>
          <w:p>
            <w:pPr>
              <w:jc w:val="center"/>
              <w:rPr>
                <w:color w:val="auto"/>
                <w:highlight w:val="none"/>
              </w:rPr>
            </w:pPr>
          </w:p>
        </w:tc>
        <w:tc>
          <w:tcPr>
            <w:tcW w:w="1548" w:type="dxa"/>
            <w:gridSpan w:val="2"/>
            <w:noWrap w:val="0"/>
            <w:vAlign w:val="center"/>
          </w:tcPr>
          <w:p>
            <w:pPr>
              <w:jc w:val="center"/>
              <w:rPr>
                <w:color w:val="auto"/>
                <w:highlight w:val="none"/>
              </w:rPr>
            </w:pPr>
          </w:p>
        </w:tc>
        <w:tc>
          <w:tcPr>
            <w:tcW w:w="1547" w:type="dxa"/>
            <w:gridSpan w:val="2"/>
            <w:noWrap w:val="0"/>
            <w:vAlign w:val="center"/>
          </w:tcPr>
          <w:p>
            <w:pPr>
              <w:jc w:val="center"/>
              <w:rPr>
                <w:color w:val="auto"/>
                <w:highlight w:val="none"/>
              </w:rPr>
            </w:pPr>
          </w:p>
        </w:tc>
        <w:tc>
          <w:tcPr>
            <w:tcW w:w="1548" w:type="dxa"/>
            <w:gridSpan w:val="2"/>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noWrap w:val="0"/>
            <w:vAlign w:val="center"/>
          </w:tcPr>
          <w:p>
            <w:pPr>
              <w:jc w:val="center"/>
              <w:rPr>
                <w:color w:val="auto"/>
                <w:highlight w:val="none"/>
              </w:rPr>
            </w:pPr>
          </w:p>
        </w:tc>
        <w:tc>
          <w:tcPr>
            <w:tcW w:w="1548" w:type="dxa"/>
            <w:noWrap w:val="0"/>
            <w:vAlign w:val="center"/>
          </w:tcPr>
          <w:p>
            <w:pPr>
              <w:jc w:val="center"/>
              <w:rPr>
                <w:color w:val="auto"/>
                <w:highlight w:val="none"/>
              </w:rPr>
            </w:pPr>
          </w:p>
        </w:tc>
        <w:tc>
          <w:tcPr>
            <w:tcW w:w="1547" w:type="dxa"/>
            <w:gridSpan w:val="2"/>
            <w:noWrap w:val="0"/>
            <w:vAlign w:val="center"/>
          </w:tcPr>
          <w:p>
            <w:pPr>
              <w:jc w:val="center"/>
              <w:rPr>
                <w:color w:val="auto"/>
                <w:highlight w:val="none"/>
              </w:rPr>
            </w:pPr>
          </w:p>
        </w:tc>
        <w:tc>
          <w:tcPr>
            <w:tcW w:w="1548" w:type="dxa"/>
            <w:gridSpan w:val="2"/>
            <w:noWrap w:val="0"/>
            <w:vAlign w:val="center"/>
          </w:tcPr>
          <w:p>
            <w:pPr>
              <w:jc w:val="center"/>
              <w:rPr>
                <w:color w:val="auto"/>
                <w:highlight w:val="none"/>
              </w:rPr>
            </w:pPr>
          </w:p>
        </w:tc>
        <w:tc>
          <w:tcPr>
            <w:tcW w:w="1547" w:type="dxa"/>
            <w:gridSpan w:val="2"/>
            <w:noWrap w:val="0"/>
            <w:vAlign w:val="center"/>
          </w:tcPr>
          <w:p>
            <w:pPr>
              <w:jc w:val="center"/>
              <w:rPr>
                <w:color w:val="auto"/>
                <w:highlight w:val="none"/>
              </w:rPr>
            </w:pPr>
          </w:p>
        </w:tc>
        <w:tc>
          <w:tcPr>
            <w:tcW w:w="1548" w:type="dxa"/>
            <w:gridSpan w:val="2"/>
            <w:noWrap w:val="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noWrap w:val="0"/>
            <w:vAlign w:val="center"/>
          </w:tcPr>
          <w:p>
            <w:pPr>
              <w:jc w:val="center"/>
              <w:rPr>
                <w:color w:val="auto"/>
                <w:highlight w:val="none"/>
              </w:rPr>
            </w:pPr>
          </w:p>
        </w:tc>
        <w:tc>
          <w:tcPr>
            <w:tcW w:w="1548" w:type="dxa"/>
            <w:noWrap w:val="0"/>
            <w:vAlign w:val="center"/>
          </w:tcPr>
          <w:p>
            <w:pPr>
              <w:jc w:val="center"/>
              <w:rPr>
                <w:color w:val="auto"/>
                <w:highlight w:val="none"/>
              </w:rPr>
            </w:pPr>
          </w:p>
        </w:tc>
        <w:tc>
          <w:tcPr>
            <w:tcW w:w="1547" w:type="dxa"/>
            <w:gridSpan w:val="2"/>
            <w:noWrap w:val="0"/>
            <w:vAlign w:val="center"/>
          </w:tcPr>
          <w:p>
            <w:pPr>
              <w:jc w:val="center"/>
              <w:rPr>
                <w:color w:val="auto"/>
                <w:highlight w:val="none"/>
              </w:rPr>
            </w:pPr>
          </w:p>
        </w:tc>
        <w:tc>
          <w:tcPr>
            <w:tcW w:w="1548" w:type="dxa"/>
            <w:gridSpan w:val="2"/>
            <w:noWrap w:val="0"/>
            <w:vAlign w:val="center"/>
          </w:tcPr>
          <w:p>
            <w:pPr>
              <w:jc w:val="center"/>
              <w:rPr>
                <w:color w:val="auto"/>
                <w:highlight w:val="none"/>
              </w:rPr>
            </w:pPr>
          </w:p>
        </w:tc>
        <w:tc>
          <w:tcPr>
            <w:tcW w:w="1547" w:type="dxa"/>
            <w:gridSpan w:val="2"/>
            <w:noWrap w:val="0"/>
            <w:vAlign w:val="center"/>
          </w:tcPr>
          <w:p>
            <w:pPr>
              <w:jc w:val="center"/>
              <w:rPr>
                <w:color w:val="auto"/>
                <w:highlight w:val="none"/>
              </w:rPr>
            </w:pPr>
          </w:p>
        </w:tc>
        <w:tc>
          <w:tcPr>
            <w:tcW w:w="1548" w:type="dxa"/>
            <w:gridSpan w:val="2"/>
            <w:noWrap w:val="0"/>
            <w:vAlign w:val="center"/>
          </w:tcPr>
          <w:p>
            <w:pPr>
              <w:jc w:val="center"/>
              <w:rPr>
                <w:color w:val="auto"/>
                <w:highlight w:val="none"/>
              </w:rPr>
            </w:pPr>
          </w:p>
        </w:tc>
      </w:tr>
    </w:tbl>
    <w:p>
      <w:pPr>
        <w:spacing w:line="360" w:lineRule="auto"/>
        <w:rPr>
          <w:color w:val="auto"/>
          <w:highlight w:val="none"/>
        </w:rPr>
      </w:pPr>
    </w:p>
    <w:p>
      <w:pPr>
        <w:spacing w:line="360" w:lineRule="auto"/>
        <w:rPr>
          <w:rFonts w:eastAsia="楷体_GB2312"/>
          <w:color w:val="auto"/>
          <w:highlight w:val="none"/>
        </w:rPr>
      </w:pPr>
      <w:r>
        <w:rPr>
          <w:rFonts w:hint="eastAsia" w:eastAsia="楷体_GB2312" w:cs="楷体_GB2312"/>
          <w:color w:val="auto"/>
          <w:highlight w:val="none"/>
        </w:rPr>
        <w:t>备注：</w:t>
      </w:r>
    </w:p>
    <w:p>
      <w:pPr>
        <w:spacing w:line="360" w:lineRule="auto"/>
        <w:ind w:firstLine="420" w:firstLineChars="200"/>
        <w:rPr>
          <w:rFonts w:eastAsia="楷体_GB2312"/>
          <w:color w:val="auto"/>
          <w:highlight w:val="none"/>
        </w:rPr>
      </w:pPr>
      <w:r>
        <w:rPr>
          <w:rFonts w:eastAsia="楷体_GB2312"/>
          <w:color w:val="auto"/>
          <w:highlight w:val="none"/>
        </w:rPr>
        <w:t>1</w:t>
      </w:r>
      <w:r>
        <w:rPr>
          <w:rFonts w:hint="eastAsia" w:eastAsia="楷体_GB2312" w:cs="楷体_GB2312"/>
          <w:color w:val="auto"/>
          <w:highlight w:val="none"/>
        </w:rPr>
        <w:t>、职称证、已完成的类似工程应附中标通知书（如有）、合同协议书有关页面、工程竣工验收证明材料的复印件。在建类似工程应附中标通知书（如有）、工程合同协议书有关页面复印件。</w:t>
      </w:r>
    </w:p>
    <w:p>
      <w:pPr>
        <w:spacing w:line="360" w:lineRule="auto"/>
        <w:ind w:firstLine="420" w:firstLineChars="200"/>
        <w:rPr>
          <w:rFonts w:eastAsia="楷体_GB2312"/>
          <w:color w:val="auto"/>
          <w:highlight w:val="none"/>
        </w:rPr>
      </w:pPr>
    </w:p>
    <w:p>
      <w:pPr>
        <w:spacing w:line="360" w:lineRule="auto"/>
        <w:ind w:firstLine="420" w:firstLineChars="200"/>
        <w:rPr>
          <w:rFonts w:eastAsia="楷体_GB2312"/>
          <w:color w:val="auto"/>
          <w:highlight w:val="none"/>
        </w:rPr>
      </w:pPr>
    </w:p>
    <w:p>
      <w:pPr>
        <w:jc w:val="center"/>
        <w:rPr>
          <w:color w:val="auto"/>
          <w:sz w:val="32"/>
          <w:szCs w:val="32"/>
          <w:highlight w:val="none"/>
        </w:rPr>
      </w:pPr>
    </w:p>
    <w:p>
      <w:pPr>
        <w:rPr>
          <w:color w:val="auto"/>
          <w:highlight w:val="none"/>
        </w:rPr>
      </w:pPr>
    </w:p>
    <w:p>
      <w:pPr>
        <w:rPr>
          <w:color w:val="auto"/>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V</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FA6BD"/>
    <w:multiLevelType w:val="singleLevel"/>
    <w:tmpl w:val="BEBFA6BD"/>
    <w:lvl w:ilvl="0" w:tentative="0">
      <w:start w:val="1"/>
      <w:numFmt w:val="decimal"/>
      <w:suff w:val="nothing"/>
      <w:lvlText w:val="%1、"/>
      <w:lvlJc w:val="left"/>
    </w:lvl>
  </w:abstractNum>
  <w:abstractNum w:abstractNumId="1">
    <w:nsid w:val="C6E8F8B6"/>
    <w:multiLevelType w:val="singleLevel"/>
    <w:tmpl w:val="C6E8F8B6"/>
    <w:lvl w:ilvl="0" w:tentative="0">
      <w:start w:val="1"/>
      <w:numFmt w:val="decimal"/>
      <w:suff w:val="nothing"/>
      <w:lvlText w:val="（%1）"/>
      <w:lvlJc w:val="left"/>
    </w:lvl>
  </w:abstractNum>
  <w:abstractNum w:abstractNumId="2">
    <w:nsid w:val="0000000F"/>
    <w:multiLevelType w:val="multilevel"/>
    <w:tmpl w:val="0000000F"/>
    <w:lvl w:ilvl="0" w:tentative="0">
      <w:start w:val="1"/>
      <w:numFmt w:val="chineseCountingThousand"/>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99466E"/>
    <w:multiLevelType w:val="singleLevel"/>
    <w:tmpl w:val="5A99466E"/>
    <w:lvl w:ilvl="0" w:tentative="0">
      <w:start w:val="7"/>
      <w:numFmt w:val="decimal"/>
      <w:suff w:val="space"/>
      <w:lvlText w:val="%1."/>
      <w:lvlJc w:val="left"/>
    </w:lvl>
  </w:abstractNum>
  <w:abstractNum w:abstractNumId="4">
    <w:nsid w:val="6EDD6596"/>
    <w:multiLevelType w:val="singleLevel"/>
    <w:tmpl w:val="6EDD6596"/>
    <w:lvl w:ilvl="0" w:tentative="0">
      <w:start w:val="1"/>
      <w:numFmt w:val="decimal"/>
      <w:suff w:val="space"/>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D7C4C"/>
    <w:rsid w:val="01781653"/>
    <w:rsid w:val="06665208"/>
    <w:rsid w:val="0BFC1173"/>
    <w:rsid w:val="0FB65C84"/>
    <w:rsid w:val="157329C0"/>
    <w:rsid w:val="204D1AEF"/>
    <w:rsid w:val="23BC3EE7"/>
    <w:rsid w:val="2B02001A"/>
    <w:rsid w:val="2D8736E2"/>
    <w:rsid w:val="2E30586E"/>
    <w:rsid w:val="2EF31A28"/>
    <w:rsid w:val="2FB27E4D"/>
    <w:rsid w:val="30AF260D"/>
    <w:rsid w:val="346150E6"/>
    <w:rsid w:val="38E078CE"/>
    <w:rsid w:val="3C201069"/>
    <w:rsid w:val="3E6C7C2F"/>
    <w:rsid w:val="4027378E"/>
    <w:rsid w:val="40691FE0"/>
    <w:rsid w:val="41346E98"/>
    <w:rsid w:val="42343BD3"/>
    <w:rsid w:val="4EAA7A44"/>
    <w:rsid w:val="50DA37F7"/>
    <w:rsid w:val="527122BF"/>
    <w:rsid w:val="54094C32"/>
    <w:rsid w:val="550B040C"/>
    <w:rsid w:val="55441898"/>
    <w:rsid w:val="5659291B"/>
    <w:rsid w:val="59050854"/>
    <w:rsid w:val="5F036AE3"/>
    <w:rsid w:val="62BD7C4C"/>
    <w:rsid w:val="681E0479"/>
    <w:rsid w:val="684F73B4"/>
    <w:rsid w:val="77CD4754"/>
    <w:rsid w:val="78594213"/>
    <w:rsid w:val="7C824539"/>
    <w:rsid w:val="7D481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9"/>
    <w:pPr>
      <w:keepNext/>
      <w:keepLines/>
      <w:spacing w:line="360" w:lineRule="auto"/>
      <w:outlineLvl w:val="0"/>
    </w:pPr>
    <w:rPr>
      <w:rFonts w:eastAsia="黑体"/>
      <w:b/>
      <w:bCs/>
      <w:kern w:val="44"/>
      <w:sz w:val="32"/>
      <w:szCs w:val="44"/>
    </w:rPr>
  </w:style>
  <w:style w:type="paragraph" w:styleId="6">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7">
    <w:name w:val="heading 3"/>
    <w:basedOn w:val="1"/>
    <w:next w:val="1"/>
    <w:qFormat/>
    <w:uiPriority w:val="0"/>
    <w:pPr>
      <w:keepNext/>
      <w:keepLines/>
      <w:spacing w:line="360" w:lineRule="auto"/>
      <w:outlineLvl w:val="2"/>
    </w:pPr>
    <w:rPr>
      <w:rFonts w:eastAsia="黑体"/>
      <w:b/>
      <w:bCs/>
      <w:szCs w:val="32"/>
    </w:rPr>
  </w:style>
  <w:style w:type="paragraph" w:styleId="8">
    <w:name w:val="heading 4"/>
    <w:basedOn w:val="1"/>
    <w:next w:val="1"/>
    <w:qFormat/>
    <w:uiPriority w:val="99"/>
    <w:pPr>
      <w:keepNext/>
      <w:keepLines/>
      <w:spacing w:line="360" w:lineRule="auto"/>
      <w:outlineLvl w:val="3"/>
    </w:pPr>
    <w:rPr>
      <w:rFonts w:ascii="Arial" w:hAnsi="Arial"/>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4"/>
    <w:qFormat/>
    <w:uiPriority w:val="99"/>
    <w:pPr>
      <w:spacing w:before="25" w:after="25"/>
      <w:jc w:val="left"/>
    </w:pPr>
    <w:rPr>
      <w:bCs/>
      <w:spacing w:val="10"/>
      <w:kern w:val="0"/>
      <w:sz w:val="24"/>
    </w:rPr>
  </w:style>
  <w:style w:type="paragraph" w:styleId="3">
    <w:name w:val="Body Text Indent"/>
    <w:basedOn w:val="1"/>
    <w:qFormat/>
    <w:uiPriority w:val="0"/>
    <w:pPr>
      <w:spacing w:before="240" w:line="360" w:lineRule="auto"/>
      <w:ind w:firstLine="552" w:firstLineChars="263"/>
    </w:pPr>
    <w:rPr>
      <w:rFonts w:ascii="宋体" w:hAnsi="宋体"/>
      <w:szCs w:val="20"/>
    </w:rPr>
  </w:style>
  <w:style w:type="paragraph" w:styleId="4">
    <w:name w:val="Body Text"/>
    <w:basedOn w:val="1"/>
    <w:next w:val="1"/>
    <w:qFormat/>
    <w:uiPriority w:val="0"/>
    <w:pPr>
      <w:adjustRightInd w:val="0"/>
      <w:spacing w:after="60" w:line="360" w:lineRule="atLeast"/>
      <w:ind w:left="72" w:leftChars="30" w:right="30" w:rightChars="30"/>
      <w:jc w:val="center"/>
      <w:textAlignment w:val="baseline"/>
    </w:pPr>
    <w:rPr>
      <w:szCs w:val="22"/>
    </w:rPr>
  </w:style>
  <w:style w:type="paragraph" w:styleId="9">
    <w:name w:val="annotation text"/>
    <w:basedOn w:val="1"/>
    <w:qFormat/>
    <w:uiPriority w:val="0"/>
    <w:pPr>
      <w:jc w:val="left"/>
    </w:pPr>
    <w:rPr>
      <w:sz w:val="24"/>
      <w:szCs w:val="24"/>
    </w:rPr>
  </w:style>
  <w:style w:type="paragraph" w:styleId="10">
    <w:name w:val="toc 3"/>
    <w:basedOn w:val="1"/>
    <w:next w:val="1"/>
    <w:qFormat/>
    <w:uiPriority w:val="39"/>
    <w:pPr>
      <w:ind w:left="840" w:leftChars="400"/>
    </w:pPr>
  </w:style>
  <w:style w:type="paragraph" w:styleId="11">
    <w:name w:val="Plain Text"/>
    <w:basedOn w:val="1"/>
    <w:next w:val="8"/>
    <w:qFormat/>
    <w:uiPriority w:val="0"/>
    <w:rPr>
      <w:rFonts w:ascii="宋体" w:hAnsi="Courier New"/>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60" w:line="400" w:lineRule="exact"/>
    </w:pPr>
    <w:rPr>
      <w:rFonts w:eastAsia="黑体"/>
    </w:rPr>
  </w:style>
  <w:style w:type="paragraph" w:styleId="15">
    <w:name w:val="toc 2"/>
    <w:basedOn w:val="1"/>
    <w:next w:val="1"/>
    <w:qFormat/>
    <w:uiPriority w:val="39"/>
    <w:pPr>
      <w:ind w:left="420" w:leftChars="200"/>
    </w:pPr>
    <w:rPr>
      <w:rFonts w:ascii="Calibri" w:hAnsi="Calibri"/>
      <w:szCs w:val="22"/>
    </w:rPr>
  </w:style>
  <w:style w:type="paragraph" w:styleId="16">
    <w:name w:val="Body Text 2"/>
    <w:basedOn w:val="1"/>
    <w:qFormat/>
    <w:uiPriority w:val="0"/>
    <w:pPr>
      <w:spacing w:after="120" w:line="480" w:lineRule="auto"/>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color w:val="666666"/>
      <w:u w:val="none"/>
    </w:rPr>
  </w:style>
  <w:style w:type="paragraph" w:customStyle="1" w:styleId="2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3">
    <w:name w:val="CM92"/>
    <w:basedOn w:val="22"/>
    <w:next w:val="22"/>
    <w:qFormat/>
    <w:uiPriority w:val="0"/>
    <w:pPr>
      <w:spacing w:after="530" w:afterLines="0"/>
    </w:pPr>
    <w:rPr>
      <w:rFonts w:cs="Times New Roman"/>
      <w:color w:val="auto"/>
    </w:rPr>
  </w:style>
  <w:style w:type="paragraph" w:customStyle="1" w:styleId="24">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文本_0"/>
    <w:basedOn w:val="28"/>
    <w:unhideWhenUsed/>
    <w:qFormat/>
    <w:uiPriority w:val="0"/>
    <w:pPr>
      <w:adjustRightInd w:val="0"/>
      <w:spacing w:after="60" w:line="360" w:lineRule="atLeast"/>
      <w:ind w:left="72" w:leftChars="30" w:right="30" w:rightChars="30"/>
      <w:jc w:val="center"/>
    </w:pPr>
    <w:rPr>
      <w:rFonts w:ascii="Times New Roman" w:hAnsi="Times New Roman"/>
    </w:rPr>
  </w:style>
  <w:style w:type="paragraph" w:customStyle="1" w:styleId="30">
    <w:name w:val="标题_0"/>
    <w:basedOn w:val="31"/>
    <w:next w:val="31"/>
    <w:qFormat/>
    <w:uiPriority w:val="0"/>
    <w:pPr>
      <w:spacing w:before="240" w:after="60"/>
      <w:jc w:val="center"/>
      <w:outlineLvl w:val="0"/>
    </w:pPr>
    <w:rPr>
      <w:rFonts w:ascii="Cambria" w:hAnsi="Cambria"/>
      <w:b/>
      <w:bCs/>
      <w:sz w:val="32"/>
      <w:szCs w:val="32"/>
    </w:rPr>
  </w:style>
  <w:style w:type="paragraph" w:customStyle="1" w:styleId="3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正文_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62433</Words>
  <Characters>65996</Characters>
  <Lines>0</Lines>
  <Paragraphs>0</Paragraphs>
  <TotalTime>35</TotalTime>
  <ScaleCrop>false</ScaleCrop>
  <LinksUpToDate>false</LinksUpToDate>
  <CharactersWithSpaces>74465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2021-09-07T15:33:00Z</dcterms:created>
  <dc:creator>各位观众五条烟</dc:creator>
  <cp:lastModifiedBy>苏晚晴</cp:lastModifiedBy>
  <cp:lastPrinted>2021-09-13T07:10:52Z</cp:lastPrinted>
  <dcterms:modified xsi:type="dcterms:W3CDTF">2021-09-13T07:59:54Z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95E258185D11415FA96822F3277007D0</vt:lpwstr>
  </property>
</Properties>
</file>