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ascii="仿宋" w:hAnsi="仿宋" w:eastAsia="仿宋" w:cs="仿宋"/>
          <w:color w:val="000000" w:themeColor="text1"/>
          <w:spacing w:val="30"/>
          <w:kern w:val="52"/>
          <w:sz w:val="44"/>
          <w:szCs w:val="44"/>
          <w14:textFill>
            <w14:solidFill>
              <w14:schemeClr w14:val="tx1"/>
            </w14:solidFill>
          </w14:textFill>
        </w:rPr>
      </w:pPr>
      <w:r>
        <w:rPr>
          <w:rFonts w:hint="eastAsia" w:ascii="仿宋" w:hAnsi="仿宋" w:eastAsia="仿宋" w:cs="仿宋"/>
          <w:color w:val="000000" w:themeColor="text1"/>
          <w:spacing w:val="30"/>
          <w:kern w:val="52"/>
          <w:sz w:val="44"/>
          <w:szCs w:val="44"/>
          <w14:textFill>
            <w14:solidFill>
              <w14:schemeClr w14:val="tx1"/>
            </w14:solidFill>
          </w14:textFill>
        </w:rPr>
        <w:t>华物盛泰工程咨询管理有限公司</w:t>
      </w:r>
    </w:p>
    <w:p>
      <w:pPr>
        <w:pStyle w:val="17"/>
        <w:jc w:val="center"/>
        <w:rPr>
          <w:rFonts w:ascii="黑体" w:hAnsi="黑体" w:eastAsia="黑体" w:cs="方正小标宋简体"/>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100330</wp:posOffset>
                </wp:positionV>
                <wp:extent cx="5877560" cy="8255"/>
                <wp:effectExtent l="0" t="6350" r="8890" b="1397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77560" cy="8255"/>
                        </a:xfrm>
                        <a:prstGeom prst="line">
                          <a:avLst/>
                        </a:prstGeom>
                        <a:noFill/>
                        <a:ln w="12700">
                          <a:solidFill>
                            <a:srgbClr val="000000"/>
                          </a:solidFill>
                          <a:round/>
                        </a:ln>
                      </wps:spPr>
                      <wps:bodyPr/>
                    </wps:wsp>
                  </a:graphicData>
                </a:graphic>
              </wp:anchor>
            </w:drawing>
          </mc:Choice>
          <mc:Fallback>
            <w:pict>
              <v:line id="直接连接符 1" o:spid="_x0000_s1026" o:spt="20" style="position:absolute;left:0pt;flip:y;margin-left:9pt;margin-top:7.9pt;height:0.65pt;width:462.8pt;z-index:251659264;mso-width-relative:page;mso-height-relative:page;" filled="f" stroked="t" coordsize="21600,21600" o:gfxdata="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XCcbXAAAACAEAAA8AAAAAAAAAAQAgAAAAIgAAAGRycy9kb3ducmV2LnhtbFBLAQIUABQAAAAI&#10;AIdO4kDR+VGA7gEAALgDAAAOAAAAAAAAAAEAIAAAACYBAABkcnMvZTJvRG9jLnhtbFBLBQYAAAAA&#10;BgAGAFkBAACGBQ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ascii="宋体" w:hAnsi="宋体" w:cs="宋体"/>
          <w:b/>
          <w:bCs/>
          <w:color w:val="000000" w:themeColor="text1"/>
          <w:sz w:val="36"/>
          <w:szCs w:val="36"/>
          <w14:textFill>
            <w14:solidFill>
              <w14:schemeClr w14:val="tx1"/>
            </w14:solidFill>
          </w14:textFill>
        </w:rPr>
      </w:pPr>
    </w:p>
    <w:p>
      <w:pPr>
        <w:snapToGrid w:val="0"/>
        <w:spacing w:before="156" w:beforeLines="50" w:line="360" w:lineRule="auto"/>
        <w:jc w:val="both"/>
        <w:rPr>
          <w:rFonts w:hint="eastAsia"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竞争性磋商文件</w:t>
      </w:r>
    </w:p>
    <w:p>
      <w:pPr>
        <w:pStyle w:val="17"/>
        <w:keepNext w:val="0"/>
        <w:keepLines w:val="0"/>
        <w:pageBreakBefore w:val="0"/>
        <w:kinsoku/>
        <w:wordWrap/>
        <w:overflowPunct/>
        <w:topLinePunct w:val="0"/>
        <w:autoSpaceDE/>
        <w:autoSpaceDN/>
        <w:bidi w:val="0"/>
        <w:snapToGrid w:val="0"/>
        <w:spacing w:line="360" w:lineRule="auto"/>
        <w:ind w:firstLine="1205" w:firstLineChars="400"/>
        <w:outlineLvl w:val="9"/>
        <w:rPr>
          <w:rFonts w:ascii="仿宋_GB2312" w:hAnsi="宋体" w:eastAsia="仿宋_GB2312"/>
          <w:b/>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outlineLvl w:val="9"/>
      </w:pPr>
    </w:p>
    <w:p>
      <w:pPr>
        <w:keepNext w:val="0"/>
        <w:keepLines w:val="0"/>
        <w:pageBreakBefore w:val="0"/>
        <w:widowControl/>
        <w:tabs>
          <w:tab w:val="left" w:pos="2155"/>
        </w:tabs>
        <w:kinsoku/>
        <w:wordWrap/>
        <w:overflowPunct/>
        <w:topLinePunct w:val="0"/>
        <w:autoSpaceDE/>
        <w:autoSpaceDN/>
        <w:bidi w:val="0"/>
        <w:adjustRightInd w:val="0"/>
        <w:snapToGrid/>
        <w:ind w:left="2154"/>
        <w:textAlignment w:val="baseline"/>
        <w:outlineLvl w:val="9"/>
      </w:pPr>
    </w:p>
    <w:p>
      <w:pPr>
        <w:pStyle w:val="2"/>
      </w:pPr>
    </w:p>
    <w:p/>
    <w:p>
      <w:pPr>
        <w:keepNext w:val="0"/>
        <w:keepLines w:val="0"/>
        <w:pageBreakBefore w:val="0"/>
        <w:widowControl/>
        <w:tabs>
          <w:tab w:val="left" w:pos="2155"/>
        </w:tabs>
        <w:kinsoku/>
        <w:wordWrap/>
        <w:overflowPunct/>
        <w:topLinePunct w:val="0"/>
        <w:autoSpaceDE/>
        <w:autoSpaceDN/>
        <w:bidi w:val="0"/>
        <w:adjustRightInd w:val="0"/>
        <w:snapToGrid/>
        <w:ind w:left="2154"/>
        <w:textAlignment w:val="baseline"/>
        <w:outlineLvl w:val="9"/>
      </w:pPr>
    </w:p>
    <w:p>
      <w:pPr>
        <w:pStyle w:val="17"/>
        <w:snapToGrid w:val="0"/>
        <w:spacing w:line="480" w:lineRule="auto"/>
        <w:ind w:left="319" w:leftChars="152" w:firstLine="643" w:firstLineChars="200"/>
        <w:jc w:val="left"/>
        <w:rPr>
          <w:rFonts w:hint="eastAsia" w:ascii="仿宋_GB2312" w:hAnsi="宋体" w:eastAsia="仿宋_GB2312"/>
          <w:b/>
          <w:bCs/>
          <w:color w:val="000000" w:themeColor="text1"/>
          <w:sz w:val="32"/>
          <w:szCs w:val="32"/>
          <w:lang w:eastAsia="zh-CN"/>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项目</w:t>
      </w:r>
      <w:r>
        <w:rPr>
          <w:rFonts w:hint="eastAsia" w:ascii="仿宋_GB2312" w:hAnsi="宋体" w:eastAsia="仿宋_GB2312" w:cs="Courier New"/>
          <w:b/>
          <w:bCs/>
          <w:color w:val="000000" w:themeColor="text1"/>
          <w:w w:val="95"/>
          <w:sz w:val="32"/>
          <w:szCs w:val="32"/>
          <w14:textFill>
            <w14:solidFill>
              <w14:schemeClr w14:val="tx1"/>
            </w14:solidFill>
          </w14:textFill>
        </w:rPr>
        <w:t>名称</w:t>
      </w:r>
      <w:r>
        <w:rPr>
          <w:rFonts w:hint="eastAsia" w:ascii="仿宋_GB2312" w:hAnsi="宋体" w:eastAsia="仿宋_GB2312"/>
          <w:b/>
          <w:bCs/>
          <w:color w:val="000000" w:themeColor="text1"/>
          <w:sz w:val="32"/>
          <w:szCs w:val="32"/>
          <w14:textFill>
            <w14:solidFill>
              <w14:schemeClr w14:val="tx1"/>
            </w14:solidFill>
          </w14:textFill>
        </w:rPr>
        <w:t>：</w:t>
      </w:r>
      <w:r>
        <w:rPr>
          <w:rFonts w:hint="eastAsia" w:ascii="仿宋_GB2312" w:hAnsi="宋体" w:eastAsia="仿宋_GB2312"/>
          <w:b/>
          <w:bCs/>
          <w:color w:val="000000" w:themeColor="text1"/>
          <w:sz w:val="32"/>
          <w:szCs w:val="32"/>
          <w:lang w:eastAsia="zh-CN"/>
          <w14:textFill>
            <w14:solidFill>
              <w14:schemeClr w14:val="tx1"/>
            </w14:solidFill>
          </w14:textFill>
        </w:rPr>
        <w:t>广西低成本实用性村庄规划快速编制平台建设服务</w:t>
      </w:r>
    </w:p>
    <w:p>
      <w:pPr>
        <w:pStyle w:val="17"/>
        <w:snapToGrid w:val="0"/>
        <w:spacing w:line="480" w:lineRule="auto"/>
        <w:ind w:firstLine="964" w:firstLineChars="300"/>
        <w:jc w:val="left"/>
        <w:rPr>
          <w:rFonts w:hint="eastAsia" w:ascii="仿宋_GB2312" w:hAnsi="宋体" w:eastAsia="仿宋_GB2312"/>
          <w:b/>
          <w:bCs/>
          <w:color w:val="000000" w:themeColor="text1"/>
          <w:sz w:val="32"/>
          <w:szCs w:val="32"/>
          <w:lang w:eastAsia="zh-CN"/>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项目编号：</w:t>
      </w:r>
      <w:r>
        <w:rPr>
          <w:rFonts w:hint="eastAsia" w:ascii="仿宋_GB2312" w:hAnsi="宋体" w:eastAsia="仿宋_GB2312"/>
          <w:b/>
          <w:bCs/>
          <w:color w:val="000000" w:themeColor="text1"/>
          <w:sz w:val="32"/>
          <w:szCs w:val="32"/>
          <w:lang w:eastAsia="zh-CN"/>
          <w14:textFill>
            <w14:solidFill>
              <w14:schemeClr w14:val="tx1"/>
            </w14:solidFill>
          </w14:textFill>
        </w:rPr>
        <w:t>GXZC2022-C3-002833-HWST</w:t>
      </w:r>
    </w:p>
    <w:p>
      <w:pPr>
        <w:snapToGrid w:val="0"/>
        <w:spacing w:line="360" w:lineRule="auto"/>
        <w:ind w:firstLine="1221" w:firstLineChars="400"/>
        <w:rPr>
          <w:rFonts w:ascii="仿宋_GB2312" w:hAnsi="宋体" w:eastAsia="仿宋_GB2312" w:cs="Courier New"/>
          <w:b/>
          <w:bCs/>
          <w:color w:val="000000" w:themeColor="text1"/>
          <w:w w:val="95"/>
          <w:sz w:val="32"/>
          <w:szCs w:val="32"/>
          <w14:textFill>
            <w14:solidFill>
              <w14:schemeClr w14:val="tx1"/>
            </w14:solidFill>
          </w14:textFill>
        </w:rPr>
      </w:pPr>
    </w:p>
    <w:p>
      <w:pPr>
        <w:snapToGrid w:val="0"/>
        <w:spacing w:line="360" w:lineRule="auto"/>
        <w:ind w:firstLine="1285" w:firstLineChars="4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p>
    <w:p>
      <w:pPr>
        <w:snapToGrid w:val="0"/>
        <w:spacing w:line="360" w:lineRule="auto"/>
        <w:ind w:firstLine="1285" w:firstLineChars="400"/>
        <w:rPr>
          <w:rFonts w:ascii="仿宋_GB2312" w:hAnsi="宋体" w:eastAsia="仿宋_GB2312"/>
          <w:b/>
          <w:color w:val="000000" w:themeColor="text1"/>
          <w:sz w:val="32"/>
          <w:szCs w:val="32"/>
          <w14:textFill>
            <w14:solidFill>
              <w14:schemeClr w14:val="tx1"/>
            </w14:solidFill>
          </w14:textFill>
        </w:rPr>
      </w:pPr>
    </w:p>
    <w:p>
      <w:pPr>
        <w:pStyle w:val="24"/>
      </w:pPr>
    </w:p>
    <w:p>
      <w:pPr>
        <w:pStyle w:val="17"/>
        <w:snapToGrid w:val="0"/>
        <w:spacing w:line="900" w:lineRule="exact"/>
        <w:ind w:firstLine="1200" w:firstLineChars="393"/>
        <w:rPr>
          <w:rFonts w:hint="eastAsia" w:ascii="仿宋_GB2312" w:hAnsi="宋体" w:eastAsia="仿宋_GB2312"/>
          <w:b/>
          <w:bCs/>
          <w:color w:val="000000" w:themeColor="text1"/>
          <w:w w:val="95"/>
          <w:sz w:val="32"/>
          <w:szCs w:val="32"/>
          <w:lang w:eastAsia="zh-CN"/>
          <w14:textFill>
            <w14:solidFill>
              <w14:schemeClr w14:val="tx1"/>
            </w14:solidFill>
          </w14:textFill>
        </w:rPr>
      </w:pPr>
      <w:r>
        <w:rPr>
          <w:rFonts w:hint="eastAsia" w:ascii="仿宋_GB2312" w:hAnsi="宋体" w:eastAsia="仿宋_GB2312"/>
          <w:b/>
          <w:bCs/>
          <w:color w:val="000000" w:themeColor="text1"/>
          <w:w w:val="95"/>
          <w:sz w:val="32"/>
          <w:szCs w:val="32"/>
          <w14:textFill>
            <w14:solidFill>
              <w14:schemeClr w14:val="tx1"/>
            </w14:solidFill>
          </w14:textFill>
        </w:rPr>
        <w:t>采 购 人：</w:t>
      </w:r>
      <w:r>
        <w:rPr>
          <w:rFonts w:hint="eastAsia" w:ascii="仿宋_GB2312" w:hAnsi="宋体" w:eastAsia="仿宋_GB2312"/>
          <w:b/>
          <w:bCs/>
          <w:color w:val="000000" w:themeColor="text1"/>
          <w:w w:val="95"/>
          <w:sz w:val="32"/>
          <w:szCs w:val="32"/>
          <w:lang w:eastAsia="zh-CN"/>
          <w14:textFill>
            <w14:solidFill>
              <w14:schemeClr w14:val="tx1"/>
            </w14:solidFill>
          </w14:textFill>
        </w:rPr>
        <w:t>广西壮族自治区自然资源调查监测院</w:t>
      </w:r>
    </w:p>
    <w:p>
      <w:pPr>
        <w:pStyle w:val="17"/>
        <w:snapToGrid w:val="0"/>
        <w:spacing w:line="900" w:lineRule="exact"/>
        <w:ind w:firstLine="1200" w:firstLineChars="393"/>
        <w:rPr>
          <w:rFonts w:ascii="仿宋_GB2312" w:hAnsi="宋体" w:eastAsia="仿宋_GB2312"/>
          <w:b/>
          <w:bCs/>
          <w:color w:val="000000" w:themeColor="text1"/>
          <w:w w:val="95"/>
          <w:sz w:val="32"/>
          <w:szCs w:val="32"/>
          <w14:textFill>
            <w14:solidFill>
              <w14:schemeClr w14:val="tx1"/>
            </w14:solidFill>
          </w14:textFill>
        </w:rPr>
      </w:pPr>
      <w:r>
        <w:rPr>
          <w:rFonts w:hint="eastAsia" w:ascii="仿宋_GB2312" w:hAnsi="宋体" w:eastAsia="仿宋_GB2312"/>
          <w:b/>
          <w:bCs/>
          <w:color w:val="000000" w:themeColor="text1"/>
          <w:w w:val="95"/>
          <w:sz w:val="32"/>
          <w:szCs w:val="32"/>
          <w14:textFill>
            <w14:solidFill>
              <w14:schemeClr w14:val="tx1"/>
            </w14:solidFill>
          </w14:textFill>
        </w:rPr>
        <w:t>采购代理机构：</w:t>
      </w:r>
      <w:r>
        <w:rPr>
          <w:rFonts w:hint="eastAsia" w:ascii="仿宋_GB2312" w:hAnsi="宋体" w:eastAsia="仿宋_GB2312"/>
          <w:b/>
          <w:color w:val="000000" w:themeColor="text1"/>
          <w:sz w:val="32"/>
          <w:szCs w:val="32"/>
          <w14:textFill>
            <w14:solidFill>
              <w14:schemeClr w14:val="tx1"/>
            </w14:solidFill>
          </w14:textFill>
        </w:rPr>
        <w:t>华物盛泰工程咨询管理有限公司</w:t>
      </w:r>
    </w:p>
    <w:p>
      <w:pPr>
        <w:pStyle w:val="17"/>
        <w:snapToGrid w:val="0"/>
        <w:spacing w:line="900" w:lineRule="exact"/>
        <w:jc w:val="center"/>
        <w:rPr>
          <w:rFonts w:ascii="仿宋_GB2312" w:hAnsi="宋体" w:eastAsia="仿宋_GB2312"/>
          <w:b/>
          <w:bCs/>
          <w:color w:val="000000" w:themeColor="text1"/>
          <w:w w:val="95"/>
          <w:sz w:val="32"/>
          <w:szCs w:val="32"/>
          <w14:textFill>
            <w14:solidFill>
              <w14:schemeClr w14:val="tx1"/>
            </w14:solidFill>
          </w14:textFill>
        </w:rPr>
      </w:pPr>
      <w:r>
        <w:rPr>
          <w:rFonts w:hint="eastAsia" w:ascii="仿宋_GB2312" w:hAnsi="宋体" w:eastAsia="仿宋_GB2312"/>
          <w:b/>
          <w:bCs/>
          <w:color w:val="000000" w:themeColor="text1"/>
          <w:w w:val="95"/>
          <w:sz w:val="32"/>
          <w:szCs w:val="32"/>
          <w14:textFill>
            <w14:solidFill>
              <w14:schemeClr w14:val="tx1"/>
            </w14:solidFill>
          </w14:textFill>
        </w:rPr>
        <w:t>2022年</w:t>
      </w:r>
      <w:r>
        <w:rPr>
          <w:rFonts w:hint="eastAsia" w:ascii="仿宋_GB2312" w:hAnsi="宋体" w:eastAsia="仿宋_GB2312"/>
          <w:b/>
          <w:bCs/>
          <w:color w:val="000000" w:themeColor="text1"/>
          <w:w w:val="95"/>
          <w:sz w:val="32"/>
          <w:szCs w:val="32"/>
          <w:lang w:val="en-US" w:eastAsia="zh-CN"/>
          <w14:textFill>
            <w14:solidFill>
              <w14:schemeClr w14:val="tx1"/>
            </w14:solidFill>
          </w14:textFill>
        </w:rPr>
        <w:t>9</w:t>
      </w:r>
      <w:r>
        <w:rPr>
          <w:rFonts w:hint="eastAsia" w:ascii="仿宋_GB2312" w:hAnsi="宋体" w:eastAsia="仿宋_GB2312"/>
          <w:b/>
          <w:bCs/>
          <w:color w:val="000000" w:themeColor="text1"/>
          <w:w w:val="95"/>
          <w:sz w:val="32"/>
          <w:szCs w:val="32"/>
          <w14:textFill>
            <w14:solidFill>
              <w14:schemeClr w14:val="tx1"/>
            </w14:solidFill>
          </w14:textFill>
        </w:rPr>
        <w:t>月</w:t>
      </w:r>
    </w:p>
    <w:p>
      <w:pPr>
        <w:spacing w:line="360" w:lineRule="auto"/>
        <w:jc w:val="center"/>
        <w:rPr>
          <w:rFonts w:ascii="宋体" w:hAnsi="宋体"/>
          <w:b/>
          <w:color w:val="000000" w:themeColor="text1"/>
          <w:sz w:val="44"/>
          <w:szCs w:val="44"/>
          <w14:textFill>
            <w14:solidFill>
              <w14:schemeClr w14:val="tx1"/>
            </w14:solidFill>
          </w14:textFill>
        </w:rPr>
        <w:sectPr>
          <w:footerReference r:id="rId5" w:type="default"/>
          <w:pgSz w:w="11906" w:h="16838"/>
          <w:pgMar w:top="1440" w:right="1080" w:bottom="1440" w:left="1080" w:header="851" w:footer="992" w:gutter="0"/>
          <w:pgNumType w:start="0"/>
          <w:cols w:space="720" w:num="1"/>
          <w:titlePg/>
          <w:docGrid w:type="lines" w:linePitch="312" w:charSpace="0"/>
        </w:sectPr>
      </w:pPr>
    </w:p>
    <w:p>
      <w:pPr>
        <w:spacing w:line="360" w:lineRule="auto"/>
        <w:ind w:left="0" w:leftChars="0" w:firstLine="0" w:firstLineChars="0"/>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spacing w:line="400" w:lineRule="exact"/>
        <w:jc w:val="center"/>
        <w:rPr>
          <w:rFonts w:ascii="宋体" w:hAnsi="宋体"/>
          <w:b/>
          <w:color w:val="000000" w:themeColor="text1"/>
          <w:sz w:val="44"/>
          <w:szCs w:val="44"/>
          <w14:textFill>
            <w14:solidFill>
              <w14:schemeClr w14:val="tx1"/>
            </w14:solidFill>
          </w14:textFill>
        </w:rPr>
      </w:pPr>
    </w:p>
    <w:p>
      <w:pPr>
        <w:pStyle w:val="21"/>
        <w:tabs>
          <w:tab w:val="right" w:leader="dot" w:pos="8869"/>
          <w:tab w:val="clear" w:pos="8494"/>
        </w:tabs>
        <w:snapToGrid w:val="0"/>
        <w:spacing w:line="800" w:lineRule="exact"/>
        <w:rPr>
          <w:rFonts w:ascii="宋体" w:hAnsi="宋体"/>
          <w:b/>
          <w:color w:val="000000" w:themeColor="text1"/>
          <w:sz w:val="24"/>
          <w14:textFill>
            <w14:solidFill>
              <w14:schemeClr w14:val="tx1"/>
            </w14:solidFill>
          </w14:textFill>
        </w:rPr>
      </w:pP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b/>
          <w:color w:val="000000" w:themeColor="text1"/>
          <w:sz w:val="24"/>
          <w:szCs w:val="24"/>
          <w14:textFill>
            <w14:solidFill>
              <w14:schemeClr w14:val="tx1"/>
            </w14:solidFill>
          </w14:textFill>
        </w:rPr>
        <w:fldChar w:fldCharType="begin"/>
      </w:r>
      <w:r>
        <w:rPr>
          <w:rFonts w:hint="eastAsia" w:ascii="宋体" w:hAnsi="宋体"/>
          <w:b/>
          <w:color w:val="000000" w:themeColor="text1"/>
          <w:sz w:val="24"/>
          <w:szCs w:val="24"/>
          <w14:textFill>
            <w14:solidFill>
              <w14:schemeClr w14:val="tx1"/>
            </w14:solidFill>
          </w14:textFill>
        </w:rPr>
        <w:instrText xml:space="preserve"> TOC \o "1-3" \h \z \u </w:instrText>
      </w:r>
      <w:r>
        <w:rPr>
          <w:rFonts w:hint="eastAsia" w:ascii="宋体" w:hAnsi="宋体"/>
          <w:b/>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_Toc29720 </w:instrText>
      </w:r>
      <w:r>
        <w:rPr>
          <w:rFonts w:hint="eastAsia" w:ascii="宋体" w:hAnsi="宋体"/>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_Toc29720 \h </w:instrText>
      </w:r>
      <w:r>
        <w:rPr>
          <w:sz w:val="24"/>
          <w:szCs w:val="24"/>
        </w:rPr>
        <w:fldChar w:fldCharType="separate"/>
      </w:r>
      <w:r>
        <w:rPr>
          <w:sz w:val="24"/>
          <w:szCs w:val="24"/>
        </w:rPr>
        <w:t>1</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_Toc30172 </w:instrText>
      </w:r>
      <w:r>
        <w:rPr>
          <w:rFonts w:hint="eastAsia" w:ascii="宋体" w:hAnsi="宋体"/>
          <w:sz w:val="24"/>
          <w:szCs w:val="24"/>
        </w:rPr>
        <w:fldChar w:fldCharType="separate"/>
      </w:r>
      <w:r>
        <w:rPr>
          <w:rFonts w:hint="eastAsia"/>
          <w:sz w:val="24"/>
          <w:szCs w:val="24"/>
        </w:rPr>
        <w:t>第二章 供应商须知</w:t>
      </w:r>
      <w:r>
        <w:rPr>
          <w:sz w:val="24"/>
          <w:szCs w:val="24"/>
        </w:rPr>
        <w:tab/>
      </w:r>
      <w:r>
        <w:rPr>
          <w:sz w:val="24"/>
          <w:szCs w:val="24"/>
        </w:rPr>
        <w:fldChar w:fldCharType="begin"/>
      </w:r>
      <w:r>
        <w:rPr>
          <w:sz w:val="24"/>
          <w:szCs w:val="24"/>
        </w:rPr>
        <w:instrText xml:space="preserve"> PAGEREF _Toc30172 \h </w:instrText>
      </w:r>
      <w:r>
        <w:rPr>
          <w:sz w:val="24"/>
          <w:szCs w:val="24"/>
        </w:rPr>
        <w:fldChar w:fldCharType="separate"/>
      </w:r>
      <w:r>
        <w:rPr>
          <w:sz w:val="24"/>
          <w:szCs w:val="24"/>
        </w:rPr>
        <w:t>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_Toc8484 </w:instrText>
      </w:r>
      <w:r>
        <w:rPr>
          <w:rFonts w:hint="eastAsia" w:ascii="宋体" w:hAnsi="宋体"/>
          <w:sz w:val="24"/>
          <w:szCs w:val="24"/>
        </w:rPr>
        <w:fldChar w:fldCharType="separate"/>
      </w:r>
      <w:r>
        <w:rPr>
          <w:rFonts w:hint="eastAsia"/>
          <w:sz w:val="24"/>
          <w:szCs w:val="24"/>
        </w:rPr>
        <w:t>第三章 采购需求</w:t>
      </w:r>
      <w:r>
        <w:rPr>
          <w:sz w:val="24"/>
          <w:szCs w:val="24"/>
        </w:rPr>
        <w:tab/>
      </w:r>
      <w:r>
        <w:rPr>
          <w:sz w:val="24"/>
          <w:szCs w:val="24"/>
        </w:rPr>
        <w:fldChar w:fldCharType="begin"/>
      </w:r>
      <w:r>
        <w:rPr>
          <w:sz w:val="24"/>
          <w:szCs w:val="24"/>
        </w:rPr>
        <w:instrText xml:space="preserve"> PAGEREF _Toc8484 \h </w:instrText>
      </w:r>
      <w:r>
        <w:rPr>
          <w:sz w:val="24"/>
          <w:szCs w:val="24"/>
        </w:rPr>
        <w:fldChar w:fldCharType="separate"/>
      </w:r>
      <w:r>
        <w:rPr>
          <w:sz w:val="24"/>
          <w:szCs w:val="24"/>
        </w:rPr>
        <w:t>22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_Toc5444 </w:instrText>
      </w:r>
      <w:r>
        <w:rPr>
          <w:rFonts w:hint="eastAsia" w:ascii="宋体" w:hAnsi="宋体"/>
          <w:sz w:val="24"/>
          <w:szCs w:val="24"/>
        </w:rPr>
        <w:fldChar w:fldCharType="separate"/>
      </w:r>
      <w:r>
        <w:rPr>
          <w:rFonts w:hint="eastAsia"/>
          <w:sz w:val="24"/>
          <w:szCs w:val="24"/>
        </w:rPr>
        <w:t>第四章 评审程序、评审方法和评审标准</w:t>
      </w:r>
      <w:r>
        <w:rPr>
          <w:sz w:val="24"/>
          <w:szCs w:val="24"/>
        </w:rPr>
        <w:tab/>
      </w:r>
      <w:r>
        <w:rPr>
          <w:sz w:val="24"/>
          <w:szCs w:val="24"/>
        </w:rPr>
        <w:fldChar w:fldCharType="begin"/>
      </w:r>
      <w:r>
        <w:rPr>
          <w:sz w:val="24"/>
          <w:szCs w:val="24"/>
        </w:rPr>
        <w:instrText xml:space="preserve"> PAGEREF _Toc5444 \h </w:instrText>
      </w:r>
      <w:r>
        <w:rPr>
          <w:sz w:val="24"/>
          <w:szCs w:val="24"/>
        </w:rPr>
        <w:fldChar w:fldCharType="separate"/>
      </w:r>
      <w:r>
        <w:rPr>
          <w:sz w:val="24"/>
          <w:szCs w:val="24"/>
        </w:rPr>
        <w:t>26</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_Toc5832 </w:instrText>
      </w:r>
      <w:r>
        <w:rPr>
          <w:rFonts w:hint="eastAsia" w:ascii="宋体" w:hAnsi="宋体"/>
          <w:sz w:val="24"/>
          <w:szCs w:val="24"/>
        </w:rPr>
        <w:fldChar w:fldCharType="separate"/>
      </w:r>
      <w:r>
        <w:rPr>
          <w:rFonts w:hint="eastAsia"/>
          <w:sz w:val="24"/>
          <w:szCs w:val="24"/>
        </w:rPr>
        <w:t>第五章 响应文件格式</w:t>
      </w:r>
      <w:r>
        <w:rPr>
          <w:sz w:val="24"/>
          <w:szCs w:val="24"/>
        </w:rPr>
        <w:tab/>
      </w:r>
      <w:r>
        <w:rPr>
          <w:sz w:val="24"/>
          <w:szCs w:val="24"/>
        </w:rPr>
        <w:fldChar w:fldCharType="begin"/>
      </w:r>
      <w:r>
        <w:rPr>
          <w:sz w:val="24"/>
          <w:szCs w:val="24"/>
        </w:rPr>
        <w:instrText xml:space="preserve"> PAGEREF _Toc5832 \h </w:instrText>
      </w:r>
      <w:r>
        <w:rPr>
          <w:sz w:val="24"/>
          <w:szCs w:val="24"/>
        </w:rPr>
        <w:fldChar w:fldCharType="separate"/>
      </w:r>
      <w:r>
        <w:rPr>
          <w:sz w:val="24"/>
          <w:szCs w:val="24"/>
        </w:rPr>
        <w:t>35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pStyle w:val="21"/>
        <w:keepNext w:val="0"/>
        <w:keepLines w:val="0"/>
        <w:pageBreakBefore w:val="0"/>
        <w:widowControl/>
        <w:tabs>
          <w:tab w:val="right" w:leader="dot" w:pos="9746"/>
          <w:tab w:val="clear" w:pos="8494"/>
        </w:tabs>
        <w:kinsoku/>
        <w:wordWrap/>
        <w:overflowPunct/>
        <w:topLinePunct w:val="0"/>
        <w:autoSpaceDE/>
        <w:autoSpaceDN/>
        <w:bidi w:val="0"/>
        <w:adjustRightInd/>
        <w:snapToGrid/>
        <w:spacing w:line="800" w:lineRule="exact"/>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_Toc10745 </w:instrText>
      </w:r>
      <w:r>
        <w:rPr>
          <w:rFonts w:hint="eastAsia" w:ascii="宋体" w:hAnsi="宋体"/>
          <w:sz w:val="24"/>
          <w:szCs w:val="24"/>
        </w:rPr>
        <w:fldChar w:fldCharType="separate"/>
      </w:r>
      <w:r>
        <w:rPr>
          <w:rFonts w:hint="eastAsia"/>
          <w:sz w:val="24"/>
          <w:szCs w:val="24"/>
        </w:rPr>
        <w:t>第六章 合同文本</w:t>
      </w:r>
      <w:r>
        <w:rPr>
          <w:sz w:val="24"/>
          <w:szCs w:val="24"/>
        </w:rPr>
        <w:tab/>
      </w:r>
      <w:r>
        <w:rPr>
          <w:sz w:val="24"/>
          <w:szCs w:val="24"/>
        </w:rPr>
        <w:fldChar w:fldCharType="begin"/>
      </w:r>
      <w:r>
        <w:rPr>
          <w:sz w:val="24"/>
          <w:szCs w:val="24"/>
        </w:rPr>
        <w:instrText xml:space="preserve"> PAGEREF _Toc10745 \h </w:instrText>
      </w:r>
      <w:r>
        <w:rPr>
          <w:sz w:val="24"/>
          <w:szCs w:val="24"/>
        </w:rPr>
        <w:fldChar w:fldCharType="separate"/>
      </w:r>
      <w:r>
        <w:rPr>
          <w:sz w:val="24"/>
          <w:szCs w:val="24"/>
        </w:rPr>
        <w:t>62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800" w:lineRule="exact"/>
        <w:ind w:firstLine="422" w:firstLineChars="176"/>
        <w:textAlignment w:val="auto"/>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pPr>
        <w:ind w:firstLine="420"/>
        <w:rPr>
          <w:color w:val="000000" w:themeColor="text1"/>
          <w14:textFill>
            <w14:solidFill>
              <w14:schemeClr w14:val="tx1"/>
            </w14:solidFill>
          </w14:textFill>
        </w:rPr>
      </w:pPr>
    </w:p>
    <w:p>
      <w:pPr>
        <w:spacing w:before="260" w:after="260" w:line="415" w:lineRule="auto"/>
        <w:ind w:firstLine="0" w:firstLineChars="0"/>
        <w:rPr>
          <w:color w:val="000000" w:themeColor="text1"/>
          <w14:textFill>
            <w14:solidFill>
              <w14:schemeClr w14:val="tx1"/>
            </w14:solidFill>
          </w14:textFill>
        </w:rPr>
        <w:sectPr>
          <w:headerReference r:id="rId6" w:type="default"/>
          <w:footerReference r:id="rId7" w:type="default"/>
          <w:pgSz w:w="11906" w:h="16838"/>
          <w:pgMar w:top="1440" w:right="1080" w:bottom="1440" w:left="1080" w:header="851" w:footer="992" w:gutter="0"/>
          <w:cols w:space="425" w:num="1"/>
          <w:docGrid w:type="lines" w:linePitch="312" w:charSpace="0"/>
        </w:sectPr>
      </w:pPr>
      <w:r>
        <w:rPr>
          <w:color w:val="000000" w:themeColor="text1"/>
          <w14:textFill>
            <w14:solidFill>
              <w14:schemeClr w14:val="tx1"/>
            </w14:solidFill>
          </w14:textFill>
        </w:rPr>
        <w:br w:type="page"/>
      </w:r>
    </w:p>
    <w:p>
      <w:pPr>
        <w:pStyle w:val="44"/>
        <w:bidi w:val="0"/>
        <w:rPr>
          <w:rFonts w:hint="eastAsia"/>
        </w:rPr>
      </w:pPr>
      <w:bookmarkStart w:id="0" w:name="_Toc29720"/>
      <w:bookmarkStart w:id="1" w:name="_Toc76480565"/>
      <w:r>
        <w:rPr>
          <w:rFonts w:hint="eastAsia"/>
        </w:rPr>
        <w:t>第一章</w:t>
      </w:r>
      <w:bookmarkStart w:id="2" w:name="_Toc28359001"/>
      <w:bookmarkStart w:id="3" w:name="_Toc35393789"/>
      <w:r>
        <w:rPr>
          <w:rFonts w:hint="eastAsia"/>
        </w:rPr>
        <w:t xml:space="preserve"> </w:t>
      </w:r>
      <w:bookmarkEnd w:id="2"/>
      <w:bookmarkEnd w:id="3"/>
      <w:r>
        <w:rPr>
          <w:rFonts w:hint="eastAsia"/>
        </w:rPr>
        <w:t>竞争性磋商公告</w:t>
      </w:r>
      <w:bookmarkEnd w:id="0"/>
      <w:bookmarkEnd w:id="1"/>
    </w:p>
    <w:p>
      <w:pPr>
        <w:pBdr>
          <w:top w:val="single" w:color="auto" w:sz="4" w:space="1"/>
          <w:left w:val="single" w:color="auto" w:sz="4" w:space="4"/>
          <w:bottom w:val="single" w:color="auto" w:sz="4" w:space="1"/>
          <w:right w:val="single" w:color="auto" w:sz="4" w:space="4"/>
        </w:pBd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ind w:firstLine="42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广西低成本实用性村庄规划快速编制平台建设服务</w:t>
      </w:r>
      <w:r>
        <w:rPr>
          <w:rFonts w:hint="eastAsia" w:ascii="宋体" w:hAnsi="宋体"/>
          <w:color w:val="000000" w:themeColor="text1"/>
          <w:u w:val="none"/>
          <w:lang w:val="en-US" w:eastAsia="zh-CN"/>
          <w14:textFill>
            <w14:solidFill>
              <w14:schemeClr w14:val="tx1"/>
            </w14:solidFill>
          </w14:textFill>
        </w:rPr>
        <w:t>项目</w:t>
      </w:r>
      <w:r>
        <w:rPr>
          <w:rFonts w:hint="eastAsia" w:ascii="宋体" w:hAnsi="宋体"/>
          <w:color w:val="000000" w:themeColor="text1"/>
          <w14:textFill>
            <w14:solidFill>
              <w14:schemeClr w14:val="tx1"/>
            </w14:solidFill>
          </w14:textFill>
        </w:rPr>
        <w:t>的潜在供应商应在</w:t>
      </w:r>
      <w:r>
        <w:rPr>
          <w:rFonts w:hint="eastAsia" w:ascii="宋体" w:hAnsi="宋体"/>
          <w:color w:val="000000" w:themeColor="text1"/>
          <w:u w:val="single"/>
          <w14:textFill>
            <w14:solidFill>
              <w14:schemeClr w14:val="tx1"/>
            </w14:solidFill>
          </w14:textFill>
        </w:rPr>
        <w:t>“政采云”平台（https://www.zcygov.cn）</w:t>
      </w:r>
      <w:r>
        <w:rPr>
          <w:rFonts w:hint="eastAsia" w:ascii="宋体" w:hAnsi="宋体"/>
          <w:color w:val="000000" w:themeColor="text1"/>
          <w14:textFill>
            <w14:solidFill>
              <w14:schemeClr w14:val="tx1"/>
            </w14:solidFill>
          </w14:textFill>
        </w:rPr>
        <w:t>获取采购文件，并于</w:t>
      </w:r>
      <w:r>
        <w:rPr>
          <w:rFonts w:hint="eastAsia" w:ascii="宋体" w:hAnsi="宋体"/>
          <w:color w:val="000000" w:themeColor="text1"/>
          <w:u w:val="single"/>
          <w14:textFill>
            <w14:solidFill>
              <w14:schemeClr w14:val="tx1"/>
            </w14:solidFill>
          </w14:textFill>
        </w:rPr>
        <w:t>202</w:t>
      </w:r>
      <w:r>
        <w:rPr>
          <w:rFonts w:ascii="宋体" w:hAnsi="宋体"/>
          <w:color w:val="000000" w:themeColor="text1"/>
          <w:u w:val="single"/>
          <w14:textFill>
            <w14:solidFill>
              <w14:schemeClr w14:val="tx1"/>
            </w14:solidFill>
          </w14:textFill>
        </w:rPr>
        <w:t>2</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9</w:t>
      </w:r>
      <w:r>
        <w:rPr>
          <w:rFonts w:hint="eastAsia" w:ascii="宋体" w:hAnsi="宋体"/>
          <w:color w:val="000000" w:themeColor="text1"/>
          <w:u w:val="single"/>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13</w:t>
      </w:r>
      <w:r>
        <w:rPr>
          <w:rFonts w:hint="eastAsia" w:ascii="宋体" w:hAnsi="宋体"/>
          <w:color w:val="000000" w:themeColor="text1"/>
          <w:u w:val="single"/>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15:30</w:t>
      </w:r>
      <w:r>
        <w:rPr>
          <w:rFonts w:hint="eastAsia" w:ascii="宋体" w:hAnsi="宋体"/>
          <w:color w:val="000000" w:themeColor="text1"/>
          <w:u w:val="single"/>
          <w14:textFill>
            <w14:solidFill>
              <w14:schemeClr w14:val="tx1"/>
            </w14:solidFill>
          </w14:textFill>
        </w:rPr>
        <w:t>（北京时间）</w:t>
      </w:r>
      <w:r>
        <w:rPr>
          <w:rFonts w:hint="eastAsia" w:ascii="宋体" w:hAnsi="宋体"/>
          <w:color w:val="000000" w:themeColor="text1"/>
          <w14:textFill>
            <w14:solidFill>
              <w14:schemeClr w14:val="tx1"/>
            </w14:solidFill>
          </w14:textFill>
        </w:rPr>
        <w:t>前提交响应文件。</w:t>
      </w:r>
    </w:p>
    <w:p>
      <w:pPr>
        <w:pStyle w:val="50"/>
        <w:keepNext/>
        <w:keepLines/>
        <w:pageBreakBefore w:val="0"/>
        <w:widowControl/>
        <w:kinsoku/>
        <w:wordWrap/>
        <w:overflowPunct/>
        <w:topLinePunct w:val="0"/>
        <w:autoSpaceDE/>
        <w:autoSpaceDN/>
        <w:bidi w:val="0"/>
        <w:adjustRightInd/>
        <w:snapToGrid/>
        <w:spacing w:before="100" w:after="100"/>
        <w:textAlignment w:val="auto"/>
        <w:rPr>
          <w:bCs/>
          <w:color w:val="000000" w:themeColor="text1"/>
          <w14:textFill>
            <w14:solidFill>
              <w14:schemeClr w14:val="tx1"/>
            </w14:solidFill>
          </w14:textFill>
        </w:rPr>
      </w:pPr>
      <w:bookmarkStart w:id="4" w:name="_Toc44405601"/>
      <w:bookmarkStart w:id="5" w:name="_Toc72767522"/>
      <w:bookmarkStart w:id="6" w:name="_Toc15611"/>
      <w:r>
        <w:rPr>
          <w:rFonts w:hint="eastAsia"/>
          <w:bCs/>
          <w:color w:val="000000" w:themeColor="text1"/>
          <w14:textFill>
            <w14:solidFill>
              <w14:schemeClr w14:val="tx1"/>
            </w14:solidFill>
          </w14:textFill>
        </w:rPr>
        <w:t>一、项目基本情况</w:t>
      </w:r>
      <w:bookmarkEnd w:id="4"/>
      <w:bookmarkEnd w:id="5"/>
      <w:bookmarkEnd w:id="6"/>
    </w:p>
    <w:p>
      <w:pPr>
        <w:ind w:firstLine="420"/>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GXZC2022-C3-002833-HWST</w:t>
      </w:r>
    </w:p>
    <w:p>
      <w:pPr>
        <w:ind w:firstLine="420"/>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广西低成本实用性村庄规划快速编制平台建设服务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采购方式：竞争性磋商</w:t>
      </w:r>
    </w:p>
    <w:p>
      <w:pPr>
        <w:ind w:firstLine="420"/>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预算总金额（元）：</w:t>
      </w:r>
      <w:r>
        <w:rPr>
          <w:rFonts w:hint="eastAsia"/>
          <w:color w:val="000000" w:themeColor="text1"/>
          <w:lang w:val="en-US" w:eastAsia="zh-CN"/>
          <w14:textFill>
            <w14:solidFill>
              <w14:schemeClr w14:val="tx1"/>
            </w14:solidFill>
          </w14:textFill>
        </w:rPr>
        <w:t>1400000.00</w:t>
      </w:r>
    </w:p>
    <w:p>
      <w:pP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snapToGrid/>
        <w:ind w:left="420" w:leftChars="20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标项名称</w:t>
      </w:r>
      <w:r>
        <w:rPr>
          <w:rFonts w:hint="eastAsia"/>
          <w:color w:val="000000" w:themeColor="text1"/>
          <w:lang w:eastAsia="zh-CN"/>
          <w14:textFill>
            <w14:solidFill>
              <w14:schemeClr w14:val="tx1"/>
            </w14:solidFill>
          </w14:textFill>
        </w:rPr>
        <w:t>：广西低成本实用性村庄规划快速编制平台建设服务</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数量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1项</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预算金额（元）</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1400000.00</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简要规格描述或项目基本概况介绍、用途：</w:t>
      </w:r>
      <w:r>
        <w:rPr>
          <w:rFonts w:hint="eastAsia"/>
        </w:rPr>
        <w:t>基于</w:t>
      </w:r>
      <w:r>
        <w:rPr>
          <w:rFonts w:hint="eastAsia"/>
          <w:lang w:val="en-US" w:eastAsia="zh-CN"/>
        </w:rPr>
        <w:t>GIS</w:t>
      </w:r>
      <w:r>
        <w:rPr>
          <w:rFonts w:hint="eastAsia"/>
        </w:rPr>
        <w:t>地理信息基础平台</w:t>
      </w:r>
      <w:r>
        <w:rPr>
          <w:rFonts w:hint="eastAsia"/>
          <w:lang w:eastAsia="zh-CN"/>
        </w:rPr>
        <w:t>，打造一款实用性村庄规划快速编制软件。软件面向用户主要为</w:t>
      </w:r>
      <w:r>
        <w:rPr>
          <w:rFonts w:hint="eastAsia"/>
        </w:rPr>
        <w:t>规划人员、管理人员</w:t>
      </w:r>
      <w:r>
        <w:rPr>
          <w:rFonts w:hint="eastAsia"/>
          <w:lang w:eastAsia="zh-CN"/>
        </w:rPr>
        <w:t>，可解决</w:t>
      </w:r>
      <w:r>
        <w:rPr>
          <w:rFonts w:hint="eastAsia"/>
        </w:rPr>
        <w:t>当前村庄规划编制存在工作周期较长、处理流程重复繁琐、成果未按标准建库等问题</w:t>
      </w:r>
      <w:r>
        <w:rPr>
          <w:rFonts w:hint="eastAsia"/>
          <w:lang w:eastAsia="zh-CN"/>
        </w:rPr>
        <w:t>。通过</w:t>
      </w:r>
      <w:r>
        <w:rPr>
          <w:rFonts w:hint="eastAsia"/>
        </w:rPr>
        <w:t>开发规划编制专用模块，实现数据一键入库，规划图、文、表的简洁快速输出</w:t>
      </w:r>
      <w:r>
        <w:rPr>
          <w:rFonts w:hint="eastAsia"/>
          <w:lang w:eastAsia="zh-CN"/>
        </w:rPr>
        <w:t>，</w:t>
      </w:r>
      <w:r>
        <w:rPr>
          <w:rFonts w:hint="eastAsia"/>
        </w:rPr>
        <w:t>提高村庄规划信息化、便利化水平</w:t>
      </w:r>
      <w:r>
        <w:rPr>
          <w:rFonts w:hint="eastAsia"/>
          <w:lang w:eastAsia="zh-CN"/>
        </w:rPr>
        <w:t>，降低编制成本。</w:t>
      </w:r>
      <w:r>
        <w:rPr>
          <w:rFonts w:hint="eastAsia"/>
          <w:color w:val="000000" w:themeColor="text1"/>
          <w14:textFill>
            <w14:solidFill>
              <w14:schemeClr w14:val="tx1"/>
            </w14:solidFill>
          </w14:textFill>
        </w:rPr>
        <w:t>详见竞争性磋商文件。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Theme="minorEastAsia"/>
          <w:color w:val="auto"/>
          <w:lang w:val="en-US" w:eastAsia="zh-CN"/>
        </w:rPr>
      </w:pPr>
      <w:r>
        <w:rPr>
          <w:rFonts w:hint="eastAsia"/>
          <w:color w:val="auto"/>
        </w:rPr>
        <w:t>最高限价：</w:t>
      </w:r>
      <w:r>
        <w:rPr>
          <w:rFonts w:hint="eastAsia"/>
          <w:color w:val="auto"/>
          <w:lang w:val="en-US"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Theme="minorEastAsia"/>
          <w:color w:val="auto"/>
          <w:lang w:val="en-US" w:eastAsia="zh-CN"/>
        </w:rPr>
      </w:pPr>
      <w:r>
        <w:rPr>
          <w:rFonts w:hint="eastAsia"/>
          <w:color w:val="auto"/>
        </w:rPr>
        <w:t>合同履约期限：</w:t>
      </w:r>
      <w:r>
        <w:rPr>
          <w:rFonts w:hint="eastAsia" w:ascii="宋体" w:hAnsi="宋体"/>
          <w:color w:val="auto"/>
          <w:szCs w:val="21"/>
          <w:highlight w:val="none"/>
          <w:lang w:val="en-US" w:eastAsia="zh-CN"/>
        </w:rPr>
        <w:t>2022年11月30日前</w:t>
      </w:r>
    </w:p>
    <w:p>
      <w:pPr>
        <w:keepNext w:val="0"/>
        <w:keepLines w:val="0"/>
        <w:pageBreakBefore w:val="0"/>
        <w:widowControl/>
        <w:kinsoku/>
        <w:wordWrap/>
        <w:overflowPunct/>
        <w:topLinePunct w:val="0"/>
        <w:autoSpaceDE/>
        <w:autoSpaceDN/>
        <w:bidi w:val="0"/>
        <w:adjustRightInd/>
        <w:snapToGrid/>
        <w:ind w:left="420" w:leftChars="200" w:firstLine="0" w:firstLineChars="0"/>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本标项（否）接受联合体投标</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备注：</w:t>
      </w:r>
      <w:r>
        <w:rPr>
          <w:rFonts w:hint="eastAsia"/>
          <w:color w:val="000000" w:themeColor="text1"/>
          <w:lang w:val="en-US" w:eastAsia="zh-CN"/>
          <w14:textFill>
            <w14:solidFill>
              <w14:schemeClr w14:val="tx1"/>
            </w14:solidFill>
          </w14:textFill>
        </w:rPr>
        <w:t>无</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7" w:name="_Toc11886"/>
      <w:r>
        <w:rPr>
          <w:rFonts w:hint="eastAsia"/>
          <w:bCs/>
          <w:color w:val="000000" w:themeColor="text1"/>
          <w14:textFill>
            <w14:solidFill>
              <w14:schemeClr w14:val="tx1"/>
            </w14:solidFill>
          </w14:textFill>
        </w:rPr>
        <w:t>二、申请人的资格要求</w:t>
      </w:r>
      <w:bookmarkEnd w:id="7"/>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eastAsiaTheme="minorEastAsia"/>
          <w:color w:val="auto"/>
          <w:lang w:val="en-US" w:eastAsia="zh-CN"/>
        </w:rPr>
      </w:pPr>
      <w:r>
        <w:rPr>
          <w:rFonts w:hint="eastAsia"/>
          <w:color w:val="auto"/>
          <w:lang w:val="en-US" w:eastAsia="zh-CN"/>
        </w:rPr>
        <w:t>2</w:t>
      </w:r>
      <w:r>
        <w:rPr>
          <w:rFonts w:hint="eastAsia"/>
          <w:color w:val="auto"/>
        </w:rPr>
        <w:t>.落实政府采购政策需满足的资格要求：</w:t>
      </w:r>
      <w:r>
        <w:rPr>
          <w:rFonts w:hint="eastAsia"/>
          <w:color w:val="auto"/>
          <w:lang w:val="en-US" w:eastAsia="zh-CN"/>
        </w:rPr>
        <w:t>无</w:t>
      </w:r>
    </w:p>
    <w:p>
      <w:pPr>
        <w:ind w:firstLine="420"/>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.本项目的特定资格要求：</w:t>
      </w:r>
      <w:r>
        <w:rPr>
          <w:rFonts w:hint="eastAsia"/>
          <w:color w:val="000000" w:themeColor="text1"/>
          <w:lang w:val="en-US" w:eastAsia="zh-CN"/>
          <w14:textFill>
            <w14:solidFill>
              <w14:schemeClr w14:val="tx1"/>
            </w14:solidFill>
          </w14:textFill>
        </w:rPr>
        <w:t>无</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8" w:name="_Toc5999"/>
      <w:r>
        <w:rPr>
          <w:rFonts w:hint="eastAsia"/>
          <w:bCs/>
          <w:color w:val="000000" w:themeColor="text1"/>
          <w14:textFill>
            <w14:solidFill>
              <w14:schemeClr w14:val="tx1"/>
            </w14:solidFill>
          </w14:textFill>
        </w:rPr>
        <w:t>三、获取采购文件</w:t>
      </w:r>
      <w:bookmarkEnd w:id="8"/>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时间：202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日至202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日，每天上午0</w:t>
      </w:r>
      <w:r>
        <w:rPr>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00至12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00 ，下午12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00至</w:t>
      </w:r>
      <w:r>
        <w:rPr>
          <w:color w:val="000000" w:themeColor="text1"/>
          <w14:textFill>
            <w14:solidFill>
              <w14:schemeClr w14:val="tx1"/>
            </w14:solidFill>
          </w14:textFill>
        </w:rPr>
        <w:t>23</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59</w:t>
      </w:r>
      <w:r>
        <w:rPr>
          <w:rFonts w:hint="eastAsia"/>
          <w:color w:val="000000" w:themeColor="text1"/>
          <w14:textFill>
            <w14:solidFill>
              <w14:schemeClr w14:val="tx1"/>
            </w14:solidFill>
          </w14:textFill>
        </w:rPr>
        <w:t>（北京时间，法定节假日除外）</w:t>
      </w:r>
      <w:r>
        <w:rPr>
          <w:rFonts w:hint="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cs="宋体"/>
          <w:bCs/>
          <w:color w:val="000000" w:themeColor="text1"/>
          <w:kern w:val="0"/>
          <w14:textFill>
            <w14:solidFill>
              <w14:schemeClr w14:val="tx1"/>
            </w14:solidFill>
          </w14:textFill>
        </w:rPr>
      </w:pPr>
      <w:r>
        <w:rPr>
          <w:rFonts w:hint="eastAsia"/>
          <w:color w:val="000000" w:themeColor="text1"/>
          <w14:textFill>
            <w14:solidFill>
              <w14:schemeClr w14:val="tx1"/>
            </w14:solidFill>
          </w14:textFill>
        </w:rPr>
        <w:t>地点（网址）：</w:t>
      </w:r>
      <w:r>
        <w:rPr>
          <w:rFonts w:hint="eastAsia" w:ascii="宋体" w:hAnsi="宋体" w:cs="宋体"/>
          <w:bCs/>
          <w:color w:val="000000" w:themeColor="text1"/>
          <w:kern w:val="0"/>
          <w14:textFill>
            <w14:solidFill>
              <w14:schemeClr w14:val="tx1"/>
            </w14:solidFill>
          </w14:textFill>
        </w:rPr>
        <w:t>“政采云”平台（https://www.zcygov.cn）</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lang w:eastAsia="zh-CN"/>
          <w14:textFill>
            <w14:solidFill>
              <w14:schemeClr w14:val="tx1"/>
            </w14:solidFill>
          </w14:textFill>
        </w:rPr>
        <w:t>方式：网上下载。本项目不发放纸质文件，供应商可自行在“政采云”平台（http：//www.zcygov.cn）下载采购文件（操作路径：登录“政采云”平台-项目采购-获取采购文件-找到本项目-点击“申请获取采购文件”），电子响应文件制作需要基于“政采云”平台获取的采购文件编制。</w:t>
      </w:r>
    </w:p>
    <w:p>
      <w:pPr>
        <w:numPr>
          <w:ilvl w:val="0"/>
          <w:numId w:val="0"/>
        </w:numPr>
        <w:snapToGrid w:val="0"/>
        <w:spacing w:line="400" w:lineRule="exact"/>
        <w:ind w:firstLine="420" w:firstLineChars="200"/>
        <w:rPr>
          <w:rFonts w:hint="eastAsia"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lang w:eastAsia="zh-CN"/>
          <w14:textFill>
            <w14:solidFill>
              <w14:schemeClr w14:val="tx1"/>
            </w14:solidFill>
          </w14:textFill>
        </w:rPr>
        <w:t>售价（</w:t>
      </w:r>
      <w:r>
        <w:rPr>
          <w:rFonts w:hint="eastAsia" w:ascii="宋体" w:hAnsi="宋体" w:cs="宋体"/>
          <w:bCs/>
          <w:color w:val="000000" w:themeColor="text1"/>
          <w:kern w:val="0"/>
          <w:lang w:val="en-US" w:eastAsia="zh-CN"/>
          <w14:textFill>
            <w14:solidFill>
              <w14:schemeClr w14:val="tx1"/>
            </w14:solidFill>
          </w14:textFill>
        </w:rPr>
        <w:t>元</w:t>
      </w:r>
      <w:r>
        <w:rPr>
          <w:rFonts w:hint="eastAsia" w:ascii="宋体" w:hAnsi="宋体" w:cs="宋体"/>
          <w:bCs/>
          <w:color w:val="000000" w:themeColor="text1"/>
          <w:kern w:val="0"/>
          <w:lang w:eastAsia="zh-CN"/>
          <w14:textFill>
            <w14:solidFill>
              <w14:schemeClr w14:val="tx1"/>
            </w14:solidFill>
          </w14:textFill>
        </w:rPr>
        <w:t>）：</w:t>
      </w:r>
      <w:r>
        <w:rPr>
          <w:rFonts w:hint="eastAsia" w:ascii="宋体" w:hAnsi="宋体" w:cs="宋体"/>
          <w:bCs/>
          <w:color w:val="000000" w:themeColor="text1"/>
          <w:kern w:val="0"/>
          <w:lang w:val="en-US" w:eastAsia="zh-CN"/>
          <w14:textFill>
            <w14:solidFill>
              <w14:schemeClr w14:val="tx1"/>
            </w14:solidFill>
          </w14:textFill>
        </w:rPr>
        <w:t>0</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9" w:name="_Toc32592"/>
      <w:r>
        <w:rPr>
          <w:rFonts w:hint="eastAsia"/>
          <w:bCs/>
          <w:color w:val="000000" w:themeColor="text1"/>
          <w14:textFill>
            <w14:solidFill>
              <w14:schemeClr w14:val="tx1"/>
            </w14:solidFill>
          </w14:textFill>
        </w:rPr>
        <w:t>四、响应文件提交</w:t>
      </w:r>
      <w:bookmarkEnd w:id="9"/>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w:t>
      </w:r>
      <w:r>
        <w:rPr>
          <w:rFonts w:hint="eastAsia" w:ascii="宋体" w:hAnsi="宋体"/>
          <w:color w:val="000000" w:themeColor="text1"/>
          <w:u w:val="single"/>
          <w14:textFill>
            <w14:solidFill>
              <w14:schemeClr w14:val="tx1"/>
            </w14:solidFill>
          </w14:textFill>
        </w:rPr>
        <w:t>202</w:t>
      </w:r>
      <w:r>
        <w:rPr>
          <w:rFonts w:ascii="宋体" w:hAnsi="宋体"/>
          <w:color w:val="000000" w:themeColor="text1"/>
          <w:u w:val="single"/>
          <w14:textFill>
            <w14:solidFill>
              <w14:schemeClr w14:val="tx1"/>
            </w14:solidFill>
          </w14:textFill>
        </w:rPr>
        <w:t>2</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9</w:t>
      </w:r>
      <w:r>
        <w:rPr>
          <w:rFonts w:hint="eastAsia" w:ascii="宋体" w:hAnsi="宋体"/>
          <w:color w:val="000000" w:themeColor="text1"/>
          <w:u w:val="single"/>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13</w:t>
      </w:r>
      <w:r>
        <w:rPr>
          <w:rFonts w:hint="eastAsia" w:ascii="宋体" w:hAnsi="宋体"/>
          <w:color w:val="000000" w:themeColor="text1"/>
          <w:u w:val="single"/>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15:30</w:t>
      </w:r>
      <w:r>
        <w:rPr>
          <w:rFonts w:hint="eastAsia"/>
          <w:color w:val="000000" w:themeColor="text1"/>
          <w14:textFill>
            <w14:solidFill>
              <w14:schemeClr w14:val="tx1"/>
            </w14:solidFill>
          </w14:textFill>
        </w:rPr>
        <w:t>（北京时间）</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r>
        <w:rPr>
          <w:rFonts w:hint="eastAsia" w:ascii="宋体" w:hAnsi="宋体" w:cs="宋体"/>
          <w:bCs/>
          <w:color w:val="000000" w:themeColor="text1"/>
          <w:kern w:val="0"/>
          <w14:textFill>
            <w14:solidFill>
              <w14:schemeClr w14:val="tx1"/>
            </w14:solidFill>
          </w14:textFill>
        </w:rPr>
        <w:t>“政采云”平台</w:t>
      </w:r>
      <w:r>
        <w:rPr>
          <w:rFonts w:hint="eastAsia"/>
          <w:color w:val="000000" w:themeColor="text1"/>
          <w14:textFill>
            <w14:solidFill>
              <w14:schemeClr w14:val="tx1"/>
            </w14:solidFill>
          </w14:textFill>
        </w:rPr>
        <w:t>（https://www.zcygov.cn）</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10" w:name="_Toc3638"/>
      <w:r>
        <w:rPr>
          <w:rFonts w:hint="eastAsia"/>
          <w:bCs/>
          <w:color w:val="000000" w:themeColor="text1"/>
          <w14:textFill>
            <w14:solidFill>
              <w14:schemeClr w14:val="tx1"/>
            </w14:solidFill>
          </w14:textFill>
        </w:rPr>
        <w:t>五、响应文件开启</w:t>
      </w:r>
      <w:bookmarkEnd w:id="10"/>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开启时间：</w:t>
      </w:r>
      <w:r>
        <w:rPr>
          <w:rFonts w:hint="eastAsia" w:ascii="宋体" w:hAnsi="宋体"/>
          <w:color w:val="000000" w:themeColor="text1"/>
          <w:u w:val="single"/>
          <w14:textFill>
            <w14:solidFill>
              <w14:schemeClr w14:val="tx1"/>
            </w14:solidFill>
          </w14:textFill>
        </w:rPr>
        <w:t>202</w:t>
      </w:r>
      <w:r>
        <w:rPr>
          <w:rFonts w:ascii="宋体" w:hAnsi="宋体"/>
          <w:color w:val="000000" w:themeColor="text1"/>
          <w:u w:val="single"/>
          <w14:textFill>
            <w14:solidFill>
              <w14:schemeClr w14:val="tx1"/>
            </w14:solidFill>
          </w14:textFill>
        </w:rPr>
        <w:t>2</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9</w:t>
      </w:r>
      <w:r>
        <w:rPr>
          <w:rFonts w:hint="eastAsia" w:ascii="宋体" w:hAnsi="宋体"/>
          <w:color w:val="000000" w:themeColor="text1"/>
          <w:u w:val="single"/>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13</w:t>
      </w:r>
      <w:r>
        <w:rPr>
          <w:rFonts w:hint="eastAsia" w:ascii="宋体" w:hAnsi="宋体"/>
          <w:color w:val="000000" w:themeColor="text1"/>
          <w:u w:val="single"/>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15:30</w:t>
      </w:r>
      <w:r>
        <w:rPr>
          <w:rFonts w:hint="eastAsia"/>
          <w:color w:val="000000" w:themeColor="text1"/>
          <w14:textFill>
            <w14:solidFill>
              <w14:schemeClr w14:val="tx1"/>
            </w14:solidFill>
          </w14:textFill>
        </w:rPr>
        <w:t>（北京时间）</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r>
        <w:rPr>
          <w:rFonts w:hint="eastAsia" w:ascii="宋体" w:hAnsi="宋体" w:cs="宋体"/>
          <w:bCs/>
          <w:color w:val="000000" w:themeColor="text1"/>
          <w:kern w:val="0"/>
          <w14:textFill>
            <w14:solidFill>
              <w14:schemeClr w14:val="tx1"/>
            </w14:solidFill>
          </w14:textFill>
        </w:rPr>
        <w:t>“政采云”平台</w:t>
      </w:r>
      <w:r>
        <w:rPr>
          <w:rFonts w:hint="eastAsia"/>
          <w:color w:val="000000" w:themeColor="text1"/>
          <w14:textFill>
            <w14:solidFill>
              <w14:schemeClr w14:val="tx1"/>
            </w14:solidFill>
          </w14:textFill>
        </w:rPr>
        <w:t>（https://www.zcygov.cn）</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11" w:name="_Toc16468"/>
      <w:r>
        <w:rPr>
          <w:rFonts w:hint="eastAsia"/>
          <w:bCs/>
          <w:color w:val="000000" w:themeColor="text1"/>
          <w14:textFill>
            <w14:solidFill>
              <w14:schemeClr w14:val="tx1"/>
            </w14:solidFill>
          </w14:textFill>
        </w:rPr>
        <w:t>六、公告期限</w:t>
      </w:r>
      <w:bookmarkEnd w:id="11"/>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自本公告发布之日起3个工作日。</w:t>
      </w:r>
    </w:p>
    <w:p>
      <w:pPr>
        <w:pStyle w:val="50"/>
        <w:keepNext/>
        <w:keepLines/>
        <w:pageBreakBefore w:val="0"/>
        <w:widowControl/>
        <w:kinsoku/>
        <w:wordWrap/>
        <w:overflowPunct/>
        <w:topLinePunct w:val="0"/>
        <w:autoSpaceDE/>
        <w:autoSpaceDN/>
        <w:bidi w:val="0"/>
        <w:adjustRightInd/>
        <w:snapToGrid/>
        <w:spacing w:before="100" w:after="100"/>
        <w:textAlignment w:val="auto"/>
        <w:rPr>
          <w:rFonts w:hint="eastAsia"/>
          <w:bCs/>
          <w:color w:val="000000" w:themeColor="text1"/>
          <w14:textFill>
            <w14:solidFill>
              <w14:schemeClr w14:val="tx1"/>
            </w14:solidFill>
          </w14:textFill>
        </w:rPr>
      </w:pPr>
      <w:bookmarkStart w:id="12" w:name="_Toc13875"/>
      <w:r>
        <w:rPr>
          <w:rFonts w:hint="eastAsia"/>
          <w:bCs/>
          <w:color w:val="000000" w:themeColor="text1"/>
          <w14:textFill>
            <w14:solidFill>
              <w14:schemeClr w14:val="tx1"/>
            </w14:solidFill>
          </w14:textFill>
        </w:rPr>
        <w:t>七、其他补充事宜</w:t>
      </w:r>
      <w:bookmarkEnd w:id="12"/>
    </w:p>
    <w:p>
      <w:pPr>
        <w:keepNext w:val="0"/>
        <w:keepLines w:val="0"/>
        <w:pageBreakBefore w:val="0"/>
        <w:widowControl/>
        <w:kinsoku/>
        <w:overflowPunct/>
        <w:topLinePunct w:val="0"/>
        <w:autoSpaceDE/>
        <w:autoSpaceDN/>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1.磋商保证金：</w:t>
      </w:r>
      <w:r>
        <w:rPr>
          <w:rFonts w:hint="eastAsia"/>
          <w:color w:val="000000" w:themeColor="text1"/>
          <w:u w:val="single"/>
          <w14:textFill>
            <w14:solidFill>
              <w14:schemeClr w14:val="tx1"/>
            </w14:solidFill>
          </w14:textFill>
        </w:rPr>
        <w:t>人民币</w:t>
      </w:r>
      <w:r>
        <w:rPr>
          <w:rFonts w:hint="eastAsia"/>
          <w:color w:val="000000" w:themeColor="text1"/>
          <w:u w:val="single"/>
          <w:lang w:val="en-US" w:eastAsia="zh-CN"/>
          <w14:textFill>
            <w14:solidFill>
              <w14:schemeClr w14:val="tx1"/>
            </w14:solidFill>
          </w14:textFill>
        </w:rPr>
        <w:t>壹万元整</w:t>
      </w:r>
      <w:r>
        <w:rPr>
          <w:rFonts w:hint="eastAsia"/>
          <w:color w:val="000000" w:themeColor="text1"/>
          <w:u w:val="single"/>
          <w14:textFill>
            <w14:solidFill>
              <w14:schemeClr w14:val="tx1"/>
            </w14:solidFill>
          </w14:textFill>
        </w:rPr>
        <w:t>（¥</w:t>
      </w:r>
      <w:r>
        <w:rPr>
          <w:rFonts w:hint="eastAsia"/>
          <w:color w:val="000000" w:themeColor="text1"/>
          <w:u w:val="single"/>
          <w:lang w:val="en-US" w:eastAsia="zh-CN"/>
          <w14:textFill>
            <w14:solidFill>
              <w14:schemeClr w14:val="tx1"/>
            </w14:solidFill>
          </w14:textFill>
        </w:rPr>
        <w:t>10000</w:t>
      </w:r>
      <w:r>
        <w:rPr>
          <w:rFonts w:hint="eastAsia"/>
          <w:color w:val="000000" w:themeColor="text1"/>
          <w:u w:val="single"/>
          <w14:textFill>
            <w14:solidFill>
              <w14:schemeClr w14:val="tx1"/>
            </w14:solidFill>
          </w14:textFill>
        </w:rPr>
        <w:t>.00）。</w:t>
      </w:r>
    </w:p>
    <w:p>
      <w:pPr>
        <w:keepNext w:val="0"/>
        <w:keepLines w:val="0"/>
        <w:pageBreakBefore w:val="0"/>
        <w:widowControl/>
        <w:kinsoku/>
        <w:wordWrap w:val="0"/>
        <w:overflowPunct/>
        <w:topLinePunct w:val="0"/>
        <w:autoSpaceDE/>
        <w:autoSpaceDN/>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磋商保证金的交纳方式：</w:t>
      </w:r>
      <w:r>
        <w:rPr>
          <w:rFonts w:hint="eastAsia" w:ascii="宋体" w:hAnsi="宋体" w:cs="宋体"/>
          <w:color w:val="auto"/>
          <w:kern w:val="0"/>
          <w:szCs w:val="21"/>
        </w:rPr>
        <w:t>以银行转账、支票、汇票、本票或者金融机构、担保机构出具的保函等非现金形式提交。采用银行转账方式的，在投标截止时间前交至采购代理机构指定账户并且到账（本项目投标保证金缴纳账号采用</w:t>
      </w:r>
      <w:r>
        <w:rPr>
          <w:rFonts w:hint="eastAsia" w:ascii="宋体" w:hAnsi="宋体" w:cs="宋体"/>
          <w:b/>
          <w:bCs/>
          <w:color w:val="auto"/>
          <w:kern w:val="0"/>
          <w:szCs w:val="21"/>
        </w:rPr>
        <w:t>对公开户银行：</w:t>
      </w:r>
      <w:r>
        <w:rPr>
          <w:rFonts w:hint="eastAsia" w:ascii="宋体" w:hAnsi="宋体" w:cs="宋体"/>
          <w:b/>
          <w:bCs/>
          <w:color w:val="auto"/>
          <w:kern w:val="0"/>
          <w:szCs w:val="21"/>
          <w:u w:val="single"/>
        </w:rPr>
        <w:t>中国工商银行南宁市南湖支行</w:t>
      </w:r>
      <w:r>
        <w:rPr>
          <w:rFonts w:hint="eastAsia" w:ascii="宋体" w:hAnsi="宋体" w:cs="宋体"/>
          <w:b/>
          <w:bCs/>
          <w:color w:val="auto"/>
          <w:kern w:val="0"/>
          <w:szCs w:val="21"/>
        </w:rPr>
        <w:t>，开户名称：</w:t>
      </w:r>
      <w:r>
        <w:rPr>
          <w:rFonts w:hint="eastAsia" w:ascii="宋体" w:hAnsi="宋体" w:cs="宋体"/>
          <w:b/>
          <w:bCs/>
          <w:color w:val="auto"/>
          <w:kern w:val="0"/>
          <w:szCs w:val="21"/>
          <w:u w:val="single"/>
        </w:rPr>
        <w:t>华物盛泰工程咨询管理有限公司</w:t>
      </w:r>
      <w:r>
        <w:rPr>
          <w:rFonts w:hint="eastAsia" w:ascii="宋体" w:hAnsi="宋体" w:cs="宋体"/>
          <w:b/>
          <w:bCs/>
          <w:color w:val="auto"/>
          <w:kern w:val="0"/>
          <w:szCs w:val="21"/>
        </w:rPr>
        <w:t>，银行账号：</w:t>
      </w:r>
      <w:r>
        <w:rPr>
          <w:rFonts w:hint="eastAsia" w:ascii="宋体" w:hAnsi="宋体" w:cs="宋体"/>
          <w:b/>
          <w:bCs/>
          <w:color w:val="auto"/>
          <w:kern w:val="0"/>
          <w:szCs w:val="21"/>
          <w:u w:val="single"/>
        </w:rPr>
        <w:t>2102 1100 1930 0328 345</w:t>
      </w:r>
      <w:r>
        <w:rPr>
          <w:rFonts w:hint="eastAsia" w:ascii="宋体" w:hAnsi="宋体" w:cs="宋体"/>
          <w:b/>
          <w:bCs/>
          <w:color w:val="auto"/>
          <w:kern w:val="0"/>
          <w:szCs w:val="21"/>
        </w:rPr>
        <w:t>，开户行行号：</w:t>
      </w:r>
      <w:r>
        <w:rPr>
          <w:rFonts w:hint="eastAsia" w:ascii="宋体" w:hAnsi="宋体" w:cs="宋体"/>
          <w:b/>
          <w:bCs/>
          <w:color w:val="auto"/>
          <w:kern w:val="0"/>
          <w:szCs w:val="21"/>
          <w:u w:val="single"/>
          <w:lang w:val="en-US" w:eastAsia="zh-CN"/>
        </w:rPr>
        <w:t>102611011005</w:t>
      </w:r>
      <w:r>
        <w:rPr>
          <w:rFonts w:hint="eastAsia" w:ascii="宋体" w:hAnsi="宋体" w:cs="宋体"/>
          <w:b/>
          <w:bCs/>
          <w:color w:val="auto"/>
          <w:kern w:val="0"/>
          <w:szCs w:val="21"/>
        </w:rPr>
        <w:t>）</w:t>
      </w:r>
      <w:r>
        <w:rPr>
          <w:rFonts w:hint="eastAsia" w:ascii="宋体" w:hAnsi="宋体" w:cs="宋体"/>
          <w:color w:val="auto"/>
          <w:kern w:val="0"/>
          <w:szCs w:val="21"/>
        </w:rPr>
        <w:t>，采用支票、汇票、本票或者保函等方式的，在投标截止时间前，投标人必须递交单独密封的支票、汇票、本票或者保函原件给采购代理机构</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否则视为无效磋商保证金</w:t>
      </w:r>
      <w:r>
        <w:rPr>
          <w:rFonts w:hint="eastAsia"/>
          <w:color w:val="000000" w:themeColor="text1"/>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4、网上查询地址：中国政府采购网（www.ccgp.gov.cn）、广西政府采购网（zfcg.gxzf.gov.cn）。</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5、本项目需要落实的政府采购政策：</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（2）政府采购支持采用本国产品的政策。</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（3）强制采购节能产品；优先采购节能产品、环境标志产品。</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（4）政府采购促进残疾人就业政策。</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（5）政府采购支持监狱企业发展。</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（6）扶持不发达地区和少数民族地区政策。</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6、磋商注意事项：</w:t>
      </w:r>
    </w:p>
    <w:p>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提交方式：本项目为全流程电子化政府采购项目，通过“政采云”平台（http：//www.zcygov.cn）实行在线电子磋商采购，供应商应先安装“政采云电子交易客户端”（请自行前往“政采云”平台进行下载），并按照本项目竞争性磋商文件和“政采云”平台的要求编制、加密后在首次响应文件提交截止时间前通过网络上传至“政采云”平台，</w:t>
      </w:r>
      <w:r>
        <w:rPr>
          <w:rFonts w:hint="eastAsia" w:ascii="宋体" w:hAnsi="宋体" w:cs="宋体"/>
          <w:b/>
          <w:color w:val="000000" w:themeColor="text1"/>
          <w:szCs w:val="21"/>
          <w14:textFill>
            <w14:solidFill>
              <w14:schemeClr w14:val="tx1"/>
            </w14:solidFill>
          </w14:textFill>
        </w:rPr>
        <w:t>供应商在“政采云”平台提交电子版响应文件时，请填写参加远程开标活动经办人联系方式。</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Style w:val="32"/>
          <w:color w:val="000000" w:themeColor="text1"/>
          <w14:textFill>
            <w14:solidFill>
              <w14:schemeClr w14:val="tx1"/>
            </w14:solidFill>
          </w14:textFill>
        </w:rPr>
        <w:t>https://service.zcygov.cn/#/knowledges/tree?tag=AG1DtGwBFdiHxlNdhY0r</w:t>
      </w:r>
      <w:r>
        <w:rPr>
          <w:rStyle w:val="32"/>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；及时完成CA申领和绑定（见广西壮族自治区政府采购网—办事服务—下载专区-政采云CA证书办理操作指南）。</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（4）为确保网上操作合法、有效和安全，请供应商确保在电子竞标过程中能够对相关数据电文进行加密和使用电子签章，妥善保管CA数字证书并使用有效的CA数字证书参与整个采购活动。</w:t>
      </w:r>
    </w:p>
    <w:p>
      <w:pPr>
        <w:keepNext w:val="0"/>
        <w:keepLines w:val="0"/>
        <w:pageBreakBefore w:val="0"/>
        <w:widowControl/>
        <w:kinsoku/>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注：供应商应当在首次响应文件提交截止时间前完成电子响应文件的上传、递交，</w:t>
      </w:r>
      <w:r>
        <w:rPr>
          <w:rFonts w:hint="eastAsia" w:ascii="宋体" w:hAnsi="宋体" w:cs="宋体"/>
          <w:b/>
          <w:color w:val="000000" w:themeColor="text1"/>
          <w:szCs w:val="21"/>
          <w14:textFill>
            <w14:solidFill>
              <w14:schemeClr w14:val="tx1"/>
            </w14:solidFill>
          </w14:textFill>
        </w:rPr>
        <w:t>首次响应文件提交截止时间</w:t>
      </w:r>
      <w:r>
        <w:rPr>
          <w:rFonts w:hint="eastAsia" w:ascii="宋体" w:hAnsi="宋体" w:cs="宋体"/>
          <w:b/>
          <w:bCs/>
          <w:color w:val="000000" w:themeColor="text1"/>
          <w:szCs w:val="21"/>
          <w14:textFill>
            <w14:solidFill>
              <w14:schemeClr w14:val="tx1"/>
            </w14:solidFill>
          </w14:textFill>
        </w:rPr>
        <w:t>前可以补充、修改或者撤回响应文件。补充或者修改响应文件的，应当先行撤回原文件，补充、修改后重新上传、递交。</w:t>
      </w:r>
      <w:r>
        <w:rPr>
          <w:rFonts w:hint="eastAsia" w:ascii="宋体" w:hAnsi="宋体" w:cs="宋体"/>
          <w:b/>
          <w:color w:val="000000" w:themeColor="text1"/>
          <w:szCs w:val="21"/>
          <w14:textFill>
            <w14:solidFill>
              <w14:schemeClr w14:val="tx1"/>
            </w14:solidFill>
          </w14:textFill>
        </w:rPr>
        <w:t>首次响应文件提交截止时间</w:t>
      </w:r>
      <w:r>
        <w:rPr>
          <w:rFonts w:hint="eastAsia" w:ascii="宋体" w:hAnsi="宋体" w:cs="宋体"/>
          <w:b/>
          <w:bCs/>
          <w:color w:val="000000" w:themeColor="text1"/>
          <w:szCs w:val="21"/>
          <w14:textFill>
            <w14:solidFill>
              <w14:schemeClr w14:val="tx1"/>
            </w14:solidFill>
          </w14:textFill>
        </w:rPr>
        <w:t>前未完成上传、递交的，视为撤回响应文件。</w:t>
      </w:r>
      <w:r>
        <w:rPr>
          <w:rFonts w:hint="eastAsia" w:ascii="宋体" w:hAnsi="宋体" w:cs="宋体"/>
          <w:b/>
          <w:color w:val="000000" w:themeColor="text1"/>
          <w:szCs w:val="21"/>
          <w14:textFill>
            <w14:solidFill>
              <w14:schemeClr w14:val="tx1"/>
            </w14:solidFill>
          </w14:textFill>
        </w:rPr>
        <w:t>首次响应文件提交截止时间</w:t>
      </w:r>
      <w:r>
        <w:rPr>
          <w:rFonts w:hint="eastAsia" w:ascii="宋体" w:hAnsi="宋体" w:cs="宋体"/>
          <w:b/>
          <w:bCs/>
          <w:color w:val="000000" w:themeColor="text1"/>
          <w:szCs w:val="21"/>
          <w14:textFill>
            <w14:solidFill>
              <w14:schemeClr w14:val="tx1"/>
            </w14:solidFill>
          </w14:textFill>
        </w:rPr>
        <w:t>以后上传递交的响应文件，“政采云”平台将予以拒收。</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CA证书在线解密：首次响应文件开启时，须要供应商携带制作响应文件时用来加密的有效数字证书（CA认证）登录“政采云”平台电子开标大厅现场按规定时间对加密的响应文件进行解密，否则后果自负。</w:t>
      </w:r>
    </w:p>
    <w:p>
      <w:pPr>
        <w:keepNext w:val="0"/>
        <w:keepLines w:val="0"/>
        <w:pageBreakBefore w:val="0"/>
        <w:widowControl/>
        <w:kinsoku/>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8、供应商需要在具备有摄像头及语音功能且互联网网络状况良好的电脑登录“政采云”平台远程开标大厅参与本次磋商，否则后果自负。</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9、若对项目采购电子交易系统操作有疑问，可登录“政采云”平台（https://www.zcygov.cn/），点击右侧咨询小采，获取采小蜜智能服务管家帮助，或拨打政采云服务热线400-881-7190获取热线服务帮助。</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八、凡对本次采购提出询问，请按以下方式联系。</w:t>
      </w:r>
    </w:p>
    <w:p>
      <w:pPr>
        <w:spacing w:line="360" w:lineRule="auto"/>
        <w:ind w:firstLine="567" w:firstLineChars="270"/>
        <w:jc w:val="left"/>
        <w:rPr>
          <w:rFonts w:ascii="宋体" w:hAnsi="宋体" w:cs="宋体"/>
          <w:color w:val="000000" w:themeColor="text1"/>
          <w:szCs w:val="21"/>
          <w14:textFill>
            <w14:solidFill>
              <w14:schemeClr w14:val="tx1"/>
            </w14:solidFill>
          </w14:textFill>
        </w:rPr>
      </w:pPr>
      <w:bookmarkStart w:id="13" w:name="_Toc35393806"/>
      <w:bookmarkStart w:id="14" w:name="_Toc35393637"/>
      <w:bookmarkStart w:id="15" w:name="_Toc28359096"/>
      <w:bookmarkStart w:id="16" w:name="_Toc28359019"/>
      <w:r>
        <w:rPr>
          <w:rFonts w:hint="eastAsia" w:ascii="宋体" w:hAnsi="宋体" w:cs="宋体"/>
          <w:color w:val="000000" w:themeColor="text1"/>
          <w:szCs w:val="21"/>
          <w14:textFill>
            <w14:solidFill>
              <w14:schemeClr w14:val="tx1"/>
            </w14:solidFill>
          </w14:textFill>
        </w:rPr>
        <w:t>1.采购人信息</w:t>
      </w:r>
    </w:p>
    <w:p>
      <w:pPr>
        <w:spacing w:line="360" w:lineRule="auto"/>
        <w:ind w:firstLine="567" w:firstLineChars="270"/>
        <w:jc w:val="left"/>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w:t>
      </w:r>
      <w:r>
        <w:rPr>
          <w:rFonts w:hint="eastAsia" w:ascii="宋体" w:hAnsi="宋体" w:cs="宋体"/>
          <w:color w:val="000000" w:themeColor="text1"/>
          <w:szCs w:val="21"/>
          <w:lang w:eastAsia="zh-CN"/>
          <w14:textFill>
            <w14:solidFill>
              <w14:schemeClr w14:val="tx1"/>
            </w14:solidFill>
          </w14:textFill>
        </w:rPr>
        <w:t>广西壮族自治区自然资源调查监测院</w:t>
      </w:r>
    </w:p>
    <w:p>
      <w:pPr>
        <w:spacing w:line="360" w:lineRule="auto"/>
        <w:ind w:firstLine="567" w:firstLineChars="27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color w:val="000000" w:themeColor="text1"/>
          <w:szCs w:val="21"/>
          <w:lang w:eastAsia="zh-CN"/>
          <w14:textFill>
            <w14:solidFill>
              <w14:schemeClr w14:val="tx1"/>
            </w14:solidFill>
          </w14:textFill>
        </w:rPr>
        <w:t>南宁市良庆区冬花路</w:t>
      </w:r>
      <w:r>
        <w:rPr>
          <w:rFonts w:hint="eastAsia" w:ascii="宋体" w:hAnsi="宋体" w:cs="宋体"/>
          <w:color w:val="000000" w:themeColor="text1"/>
          <w:szCs w:val="21"/>
          <w:lang w:val="en-US" w:eastAsia="zh-CN"/>
          <w14:textFill>
            <w14:solidFill>
              <w14:schemeClr w14:val="tx1"/>
            </w14:solidFill>
          </w14:textFill>
        </w:rPr>
        <w:t>21号中国东盟地理信息与卫星应用产业园1号楼</w:t>
      </w:r>
      <w:r>
        <w:rPr>
          <w:rFonts w:hint="eastAsia" w:ascii="宋体" w:hAnsi="宋体" w:cs="宋体"/>
          <w:color w:val="000000" w:themeColor="text1"/>
          <w:szCs w:val="21"/>
          <w14:textFill>
            <w14:solidFill>
              <w14:schemeClr w14:val="tx1"/>
            </w14:solidFill>
          </w14:textFill>
        </w:rPr>
        <w:t> </w:t>
      </w:r>
    </w:p>
    <w:p>
      <w:pPr>
        <w:spacing w:line="360" w:lineRule="auto"/>
        <w:ind w:firstLine="567" w:firstLineChars="270"/>
        <w:jc w:val="left"/>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项目联系人：郎荣庆</w:t>
      </w:r>
    </w:p>
    <w:p>
      <w:pPr>
        <w:spacing w:line="360" w:lineRule="auto"/>
        <w:ind w:firstLine="567" w:firstLineChars="270"/>
        <w:jc w:val="left"/>
        <w:rPr>
          <w:rFonts w:hint="default" w:ascii="宋体" w:hAnsi="宋体" w:cs="宋体" w:eastAsiaTheme="minorEastAsia"/>
          <w:color w:val="auto"/>
          <w:szCs w:val="21"/>
          <w:lang w:val="en-US" w:eastAsia="zh-CN"/>
        </w:rPr>
      </w:pPr>
      <w:r>
        <w:rPr>
          <w:rFonts w:hint="eastAsia" w:ascii="宋体" w:hAnsi="宋体" w:cs="宋体"/>
          <w:color w:val="auto"/>
          <w:szCs w:val="21"/>
        </w:rPr>
        <w:t>项目联系方式：</w:t>
      </w:r>
      <w:bookmarkStart w:id="17" w:name="_Toc28359009"/>
      <w:bookmarkStart w:id="18" w:name="_Toc28359086"/>
      <w:r>
        <w:rPr>
          <w:rFonts w:hint="eastAsia" w:ascii="宋体" w:hAnsi="宋体" w:cs="宋体"/>
          <w:color w:val="auto"/>
          <w:szCs w:val="21"/>
        </w:rPr>
        <w:t>15994391620</w:t>
      </w:r>
    </w:p>
    <w:p>
      <w:pPr>
        <w:spacing w:line="360" w:lineRule="auto"/>
        <w:ind w:firstLine="567" w:firstLineChars="27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17"/>
      <w:bookmarkEnd w:id="18"/>
    </w:p>
    <w:p>
      <w:pPr>
        <w:spacing w:line="360" w:lineRule="auto"/>
        <w:ind w:firstLine="567" w:firstLine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r>
        <w:rPr>
          <w:rFonts w:hint="eastAsia" w:ascii="宋体" w:hAnsi="宋体" w:cs="Arial"/>
          <w:color w:val="000000" w:themeColor="text1"/>
          <w:szCs w:val="21"/>
          <w14:textFill>
            <w14:solidFill>
              <w14:schemeClr w14:val="tx1"/>
            </w14:solidFill>
          </w14:textFill>
        </w:rPr>
        <w:t>华物盛泰工程咨询管理有限公司</w:t>
      </w:r>
    </w:p>
    <w:p>
      <w:pPr>
        <w:spacing w:line="360" w:lineRule="auto"/>
        <w:ind w:firstLine="567" w:firstLine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址：南宁市青秀区百花岭路10号百花苑6栋2层</w:t>
      </w:r>
    </w:p>
    <w:p>
      <w:pPr>
        <w:spacing w:line="360" w:lineRule="auto"/>
        <w:ind w:firstLine="567" w:firstLineChars="270"/>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w:t>
      </w:r>
      <w:r>
        <w:rPr>
          <w:rFonts w:hint="eastAsia" w:ascii="宋体" w:hAnsi="宋体"/>
          <w:color w:val="000000" w:themeColor="text1"/>
          <w:szCs w:val="21"/>
          <w:lang w:val="en-US" w:eastAsia="zh-CN"/>
          <w14:textFill>
            <w14:solidFill>
              <w14:schemeClr w14:val="tx1"/>
            </w14:solidFill>
          </w14:textFill>
        </w:rPr>
        <w:t>兰燕婷</w:t>
      </w:r>
    </w:p>
    <w:p>
      <w:pPr>
        <w:spacing w:line="360" w:lineRule="auto"/>
        <w:ind w:firstLine="567" w:firstLine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项目联系方式：</w:t>
      </w:r>
      <w:bookmarkStart w:id="19" w:name="_Toc28359010"/>
      <w:bookmarkStart w:id="20" w:name="_Toc28359087"/>
      <w:r>
        <w:rPr>
          <w:rFonts w:hint="eastAsia" w:ascii="宋体" w:hAnsi="宋体"/>
          <w:color w:val="000000" w:themeColor="text1"/>
          <w:szCs w:val="21"/>
          <w14:textFill>
            <w14:solidFill>
              <w14:schemeClr w14:val="tx1"/>
            </w14:solidFill>
          </w14:textFill>
        </w:rPr>
        <w:t>0771-5581861</w:t>
      </w:r>
    </w:p>
    <w:bookmarkEnd w:id="19"/>
    <w:bookmarkEnd w:id="20"/>
    <w:p>
      <w:pPr>
        <w:spacing w:line="360" w:lineRule="auto"/>
        <w:ind w:firstLine="567" w:firstLineChars="27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华物盛泰工程咨询管理有限公司</w:t>
      </w:r>
    </w:p>
    <w:p>
      <w:pPr>
        <w:spacing w:line="400" w:lineRule="exact"/>
        <w:ind w:firstLine="210" w:firstLineChars="100"/>
        <w:jc w:val="right"/>
        <w:rPr>
          <w:rFonts w:hint="eastAsia" w:ascii="宋体" w:hAnsi="宋体"/>
          <w:color w:val="auto"/>
        </w:rPr>
      </w:pPr>
      <w:r>
        <w:rPr>
          <w:rFonts w:hint="eastAsia" w:ascii="宋体" w:hAnsi="宋体" w:cs="Arial"/>
          <w:color w:val="000000" w:themeColor="text1"/>
          <w:szCs w:val="21"/>
          <w14:textFill>
            <w14:solidFill>
              <w14:schemeClr w14:val="tx1"/>
            </w14:solidFill>
          </w14:textFill>
        </w:rPr>
        <w:t xml:space="preserve">                                                   2022年</w:t>
      </w:r>
      <w:r>
        <w:rPr>
          <w:rFonts w:hint="eastAsia" w:ascii="宋体" w:hAnsi="宋体" w:cs="Arial"/>
          <w:color w:val="000000" w:themeColor="text1"/>
          <w:szCs w:val="21"/>
          <w:lang w:val="en-US" w:eastAsia="zh-CN"/>
          <w14:textFill>
            <w14:solidFill>
              <w14:schemeClr w14:val="tx1"/>
            </w14:solidFill>
          </w14:textFill>
        </w:rPr>
        <w:t>9</w:t>
      </w:r>
      <w:r>
        <w:rPr>
          <w:rFonts w:hint="eastAsia" w:ascii="宋体" w:hAnsi="宋体" w:cs="Arial"/>
          <w:color w:val="000000" w:themeColor="text1"/>
          <w:szCs w:val="21"/>
          <w14:textFill>
            <w14:solidFill>
              <w14:schemeClr w14:val="tx1"/>
            </w14:solidFill>
          </w14:textFill>
        </w:rPr>
        <w:t>月</w:t>
      </w:r>
      <w:r>
        <w:rPr>
          <w:rFonts w:hint="eastAsia" w:ascii="宋体" w:hAnsi="宋体" w:cs="Arial"/>
          <w:color w:val="000000" w:themeColor="text1"/>
          <w:szCs w:val="21"/>
          <w:lang w:val="en-US" w:eastAsia="zh-CN"/>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日</w:t>
      </w:r>
      <w:bookmarkEnd w:id="13"/>
      <w:bookmarkEnd w:id="14"/>
      <w:bookmarkEnd w:id="15"/>
      <w:bookmarkEnd w:id="16"/>
    </w:p>
    <w:p>
      <w:pPr>
        <w:spacing w:before="260" w:after="260" w:line="415" w:lineRule="auto"/>
        <w:ind w:firstLine="0" w:firstLineChars="0"/>
        <w:jc w:val="center"/>
        <w:rPr>
          <w:color w:val="000000" w:themeColor="text1"/>
          <w14:textFill>
            <w14:solidFill>
              <w14:schemeClr w14:val="tx1"/>
            </w14:solidFill>
          </w14:textFill>
        </w:rPr>
      </w:pPr>
      <w:bookmarkStart w:id="191" w:name="_GoBack"/>
      <w:bookmarkEnd w:id="191"/>
    </w:p>
    <w:p>
      <w:pPr>
        <w:rPr>
          <w:rFonts w:hint="eastAsia"/>
          <w:color w:val="000000" w:themeColor="text1"/>
          <w14:textFill>
            <w14:solidFill>
              <w14:schemeClr w14:val="tx1"/>
            </w14:solidFill>
          </w14:textFill>
        </w:rPr>
      </w:pPr>
      <w:bookmarkStart w:id="21" w:name="_Toc76480566"/>
      <w:r>
        <w:rPr>
          <w:rFonts w:hint="eastAsia"/>
          <w:color w:val="000000" w:themeColor="text1"/>
          <w14:textFill>
            <w14:solidFill>
              <w14:schemeClr w14:val="tx1"/>
            </w14:solidFill>
          </w14:textFill>
        </w:rPr>
        <w:br w:type="page"/>
      </w:r>
    </w:p>
    <w:p>
      <w:pPr>
        <w:pStyle w:val="44"/>
        <w:bidi w:val="0"/>
        <w:rPr>
          <w:rFonts w:hint="eastAsia"/>
        </w:rPr>
      </w:pPr>
      <w:bookmarkStart w:id="22" w:name="_Toc30172"/>
      <w:r>
        <w:rPr>
          <w:rFonts w:hint="eastAsia"/>
        </w:rPr>
        <w:t>第二章 供应商须知</w:t>
      </w:r>
      <w:bookmarkEnd w:id="21"/>
      <w:bookmarkEnd w:id="22"/>
    </w:p>
    <w:p>
      <w:pPr>
        <w:pStyle w:val="58"/>
        <w:rPr>
          <w:color w:val="000000" w:themeColor="text1"/>
          <w14:textFill>
            <w14:solidFill>
              <w14:schemeClr w14:val="tx1"/>
            </w14:solidFill>
          </w14:textFill>
        </w:rPr>
      </w:pPr>
      <w:bookmarkStart w:id="23" w:name="_Toc16705"/>
      <w:r>
        <w:rPr>
          <w:rFonts w:hint="eastAsia"/>
          <w:color w:val="000000" w:themeColor="text1"/>
          <w14:textFill>
            <w14:solidFill>
              <w14:schemeClr w14:val="tx1"/>
            </w14:solidFill>
          </w14:textFill>
        </w:rPr>
        <w:t>供应商须知前附表</w:t>
      </w:r>
      <w:bookmarkEnd w:id="23"/>
    </w:p>
    <w:tbl>
      <w:tblPr>
        <w:tblStyle w:val="26"/>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8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tcPr>
          <w:p>
            <w:pPr>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条款号</w:t>
            </w:r>
          </w:p>
        </w:tc>
        <w:tc>
          <w:tcPr>
            <w:tcW w:w="8557" w:type="dxa"/>
          </w:tcPr>
          <w:p>
            <w:pPr>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557" w:type="dxa"/>
            <w:vAlign w:val="center"/>
          </w:tcPr>
          <w:p>
            <w:pPr>
              <w:ind w:firstLine="0" w:firstLineChars="0"/>
              <w:rPr>
                <w:rFonts w:cs="Times New Roman"/>
                <w:color w:val="000000" w:themeColor="text1"/>
                <w14:textFill>
                  <w14:solidFill>
                    <w14:schemeClr w14:val="tx1"/>
                  </w14:solidFill>
                </w14:textFill>
              </w:rPr>
            </w:pPr>
            <w:r>
              <w:rPr>
                <w:rFonts w:hint="eastAsia"/>
                <w:bCs/>
                <w:color w:val="000000" w:themeColor="text1"/>
                <w14:textFill>
                  <w14:solidFill>
                    <w14:schemeClr w14:val="tx1"/>
                  </w14:solidFill>
                </w14:textFill>
              </w:rPr>
              <w:t>1.供应商的资格条件</w:t>
            </w:r>
            <w:r>
              <w:rPr>
                <w:rFonts w:hint="eastAsia"/>
                <w:color w:val="000000" w:themeColor="text1"/>
                <w14:textFill>
                  <w14:solidFill>
                    <w14:schemeClr w14:val="tx1"/>
                  </w14:solidFill>
                </w14:textFill>
              </w:rPr>
              <w:t>：详见竞争性磋商公告</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Cs/>
                <w:color w:val="000000" w:themeColor="text1"/>
                <w14:textFill>
                  <w14:solidFill>
                    <w14:schemeClr w14:val="tx1"/>
                  </w14:solidFill>
                </w14:textFill>
              </w:rPr>
              <w:t>供应商</w:t>
            </w:r>
            <w:r>
              <w:rPr>
                <w:rFonts w:hint="eastAsia"/>
                <w:color w:val="000000" w:themeColor="text1"/>
                <w14:textFill>
                  <w14:solidFill>
                    <w14:schemeClr w14:val="tx1"/>
                  </w14:solidFill>
                </w14:textFill>
              </w:rPr>
              <w:t>出现下列情形之一的，不得参加政府采购活动：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kinsoku/>
              <w:wordWrap w:val="0"/>
              <w:overflowPunct/>
              <w:topLinePunct w:val="0"/>
              <w:autoSpaceDE/>
              <w:autoSpaceDN/>
              <w:bidi w:val="0"/>
              <w:adjustRightInd/>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8557"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.2</w:t>
            </w:r>
          </w:p>
        </w:tc>
        <w:tc>
          <w:tcPr>
            <w:tcW w:w="8557" w:type="dxa"/>
            <w:vAlign w:val="center"/>
          </w:tcPr>
          <w:p>
            <w:pPr>
              <w:ind w:firstLine="0" w:firstLineChars="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如接受联合体竞标，联合体竞标要求如下：</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1.两个以上供应商可以组成一个竞标联合体，以一个供应商的身份共同参加竞标。联合体竞标的，须提供《联合体竞标协议书》（格式后附）。</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3.联合体各方之间必须签订联合竞标协议，协议书必须明确主体方（或者牵头方）并明确约定联合体各方承担的工作和相应的责任（</w:t>
            </w:r>
            <w:r>
              <w:rPr>
                <w:rFonts w:hint="eastAsia" w:ascii="宋体" w:hAnsi="宋体" w:cs="宋体"/>
                <w:b/>
                <w:bCs/>
                <w:color w:val="000000" w:themeColor="text1"/>
                <w14:textFill>
                  <w14:solidFill>
                    <w14:schemeClr w14:val="tx1"/>
                  </w14:solidFill>
                </w14:textFill>
              </w:rPr>
              <w:t>各方承担责任与义务的分工必须符合采购需求，否则，联合体竞标无效</w:t>
            </w:r>
            <w:r>
              <w:rPr>
                <w:rFonts w:hint="eastAsia" w:ascii="宋体" w:hAnsi="宋体" w:cs="宋体"/>
                <w:color w:val="000000" w:themeColor="text1"/>
                <w14:textFill>
                  <w14:solidFill>
                    <w14:schemeClr w14:val="tx1"/>
                  </w14:solidFill>
                </w14:textFill>
              </w:rPr>
              <w:t>），并将联合竞标协议放入响应文件。联合体各方必须共同与采购人签订采购合同，就采购合同约定的事项对采购人承担连带责任。</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4.以联合体形式参加政府采购活动的，联合体各方不得再单独参加或者与其他供应商另外组成联合体参加同一合同项下的政府采购活动。</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5.联合体中有同类资质的供应商按照联合体分工承担相同工作的，应当按照资质等级较低的供应商确定资质等级。</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6.联合体竞标业绩、履约能力按照联合体各方中较高的一方认定并计算（磋商文件另有规定的除外）。</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7.供应商为联合体的，可以由联合体中的一方或者多方共同交纳磋商保证金，其交纳的保证金对联合体各方均具有约束力。</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p>
        </w:tc>
        <w:tc>
          <w:tcPr>
            <w:tcW w:w="8557" w:type="dxa"/>
            <w:vAlign w:val="center"/>
          </w:tcPr>
          <w:p>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w:instrText>
            </w:r>
            <w:r>
              <w:rPr>
                <w:rFonts w:hint="eastAsia"/>
                <w:b/>
                <w:bCs/>
                <w:color w:val="000000" w:themeColor="text1"/>
                <w14:textFill>
                  <w14:solidFill>
                    <w14:schemeClr w14:val="tx1"/>
                  </w14:solidFill>
                </w14:textFill>
              </w:rPr>
              <w:instrText xml:space="preserve">eq \o\ac(□,√)</w:instrTex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t>不允许分包</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□允许分包</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分包内容：</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分包金额或者比例：</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12.1.</w:t>
            </w:r>
            <w:r>
              <w:rPr>
                <w:color w:val="000000" w:themeColor="text1"/>
                <w14:textFill>
                  <w14:solidFill>
                    <w14:schemeClr w14:val="tx1"/>
                  </w14:solidFill>
                </w14:textFill>
              </w:rPr>
              <w:t>1</w:t>
            </w:r>
          </w:p>
        </w:tc>
        <w:tc>
          <w:tcPr>
            <w:tcW w:w="8557" w:type="dxa"/>
            <w:vAlign w:val="center"/>
          </w:tcPr>
          <w:p>
            <w:pPr>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资格证明文件</w:t>
            </w:r>
          </w:p>
          <w:p>
            <w:pPr>
              <w:pStyle w:val="56"/>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cs="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供应商为法人或者其他组织的提供其营业执照等证明文件（如营业执照或者事业单位法人证书或者执业许可证或者登记证书等），供应商为自然人的提供其身份证复印件；（</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2、供应商依法缴纳税收的相关材料（</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至今</w:t>
            </w:r>
            <w:r>
              <w:rPr>
                <w:rFonts w:hint="eastAsia" w:ascii="宋体" w:hAnsi="宋体" w:cs="宋体"/>
                <w:color w:val="000000" w:themeColor="text1"/>
                <w:szCs w:val="21"/>
                <w14:textFill>
                  <w14:solidFill>
                    <w14:schemeClr w14:val="tx1"/>
                  </w14:solidFill>
                </w14:textFill>
              </w:rPr>
              <w:t>任意</w:t>
            </w:r>
            <w:r>
              <w:rPr>
                <w:rFonts w:hint="eastAsia" w:ascii="宋体" w:hAnsi="宋体" w:cs="宋体"/>
                <w:color w:val="000000" w:themeColor="text1"/>
                <w:szCs w:val="21"/>
                <w:u w:val="single"/>
                <w:lang w:val="en-US" w:eastAsia="zh-CN"/>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个月的依法缴纳税收的凭据复印件；</w:t>
            </w:r>
            <w:r>
              <w:rPr>
                <w:rFonts w:hint="eastAsia"/>
                <w:color w:val="000000" w:themeColor="text1"/>
                <w:szCs w:val="21"/>
                <w14:textFill>
                  <w14:solidFill>
                    <w14:schemeClr w14:val="tx1"/>
                  </w14:solidFill>
                </w14:textFill>
              </w:rPr>
              <w:t>依法免税的，必须提供相应文件证明其依法免税。</w:t>
            </w:r>
            <w:r>
              <w:rPr>
                <w:rFonts w:hint="eastAsia" w:ascii="宋体" w:hAnsi="宋体" w:cs="宋体"/>
                <w:color w:val="000000" w:themeColor="text1"/>
                <w:szCs w:val="21"/>
                <w14:textFill>
                  <w14:solidFill>
                    <w14:schemeClr w14:val="tx1"/>
                  </w14:solidFill>
                </w14:textFill>
              </w:rPr>
              <w:t>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到响应文件提交截止时间止不足要求月数的，只需提供从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的依法缴纳税收</w:t>
            </w:r>
            <w:r>
              <w:rPr>
                <w:rFonts w:hint="eastAsia"/>
                <w:color w:val="000000" w:themeColor="text1"/>
                <w:szCs w:val="2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3、供应商依法缴纳社会保障资金的相关材料[</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至今</w:t>
            </w:r>
            <w:r>
              <w:rPr>
                <w:rFonts w:hint="eastAsia" w:ascii="宋体" w:hAnsi="宋体" w:cs="宋体"/>
                <w:color w:val="000000" w:themeColor="text1"/>
                <w:szCs w:val="21"/>
                <w14:textFill>
                  <w14:solidFill>
                    <w14:schemeClr w14:val="tx1"/>
                  </w14:solidFill>
                </w14:textFill>
              </w:rPr>
              <w:t>任意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个月的依法缴纳社会保障资金的缴费凭证（专用收据或者社会保险缴纳清单）复印件；</w:t>
            </w:r>
            <w:r>
              <w:rPr>
                <w:rFonts w:hint="eastAsia"/>
                <w:color w:val="000000" w:themeColor="text1"/>
                <w:szCs w:val="21"/>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14:textFill>
                  <w14:solidFill>
                    <w14:schemeClr w14:val="tx1"/>
                  </w14:solidFill>
                </w14:textFill>
              </w:rPr>
              <w:t>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到响应文件提交截止时间止不足要求月数的只需提供从</w:t>
            </w:r>
            <w:r>
              <w:rPr>
                <w:rFonts w:hint="eastAsia"/>
                <w:color w:val="000000" w:themeColor="text1"/>
                <w:szCs w:val="21"/>
                <w14:textFill>
                  <w14:solidFill>
                    <w14:schemeClr w14:val="tx1"/>
                  </w14:solidFill>
                </w14:textFill>
              </w:rPr>
              <w:t>成立之日起</w:t>
            </w:r>
            <w:r>
              <w:rPr>
                <w:rFonts w:hint="eastAsia" w:ascii="宋体" w:hAnsi="宋体" w:cs="宋体"/>
                <w:color w:val="000000" w:themeColor="text1"/>
                <w:szCs w:val="21"/>
                <w14:textFill>
                  <w14:solidFill>
                    <w14:schemeClr w14:val="tx1"/>
                  </w14:solidFill>
                </w14:textFill>
              </w:rPr>
              <w:t>的依法缴纳社会保障资金的</w:t>
            </w:r>
            <w:r>
              <w:rPr>
                <w:rFonts w:hint="eastAsia"/>
                <w:color w:val="000000" w:themeColor="text1"/>
                <w:szCs w:val="2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pPr>
              <w:pStyle w:val="56"/>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供应商</w:t>
            </w:r>
            <w:r>
              <w:rPr>
                <w:rFonts w:hint="eastAsia"/>
                <w:color w:val="000000" w:themeColor="text1"/>
                <w14:textFill>
                  <w14:solidFill>
                    <w14:schemeClr w14:val="tx1"/>
                  </w14:solidFill>
                </w14:textFill>
              </w:rPr>
              <w:t>财务状况报告（</w:t>
            </w:r>
            <w:r>
              <w:rPr>
                <w:color w:val="000000" w:themeColor="text1"/>
                <w:u w:val="single"/>
                <w14:textFill>
                  <w14:solidFill>
                    <w14:schemeClr w14:val="tx1"/>
                  </w14:solidFill>
                </w14:textFill>
              </w:rPr>
              <w:t>202</w:t>
            </w:r>
            <w:r>
              <w:rPr>
                <w:rFonts w:hint="eastAsia"/>
                <w:color w:val="000000" w:themeColor="text1"/>
                <w:u w:val="single"/>
                <w:lang w:val="en-US" w:eastAsia="zh-CN"/>
                <w14:textFill>
                  <w14:solidFill>
                    <w14:schemeClr w14:val="tx1"/>
                  </w14:solidFill>
                </w14:textFill>
              </w:rPr>
              <w:t>1</w:t>
            </w:r>
            <w:r>
              <w:rPr>
                <w:rFonts w:hint="eastAsia"/>
                <w:color w:val="000000" w:themeColor="text1"/>
                <w14:textFill>
                  <w14:solidFill>
                    <w14:schemeClr w14:val="tx1"/>
                  </w14:solidFill>
                </w14:textFill>
              </w:rPr>
              <w:t>年度财务报表复印件，或者银行出具的资信证明，或者中国人民银行征信中心出具的信用报告（企业竞标的提供企业信用报告，自然人竞标的提供个人信用报告）；供应商属于成立时间</w:t>
            </w:r>
            <w:r>
              <w:rPr>
                <w:rFonts w:hint="eastAsia"/>
                <w:color w:val="000000" w:themeColor="text1"/>
                <w:kern w:val="0"/>
                <w14:textFill>
                  <w14:solidFill>
                    <w14:schemeClr w14:val="tx1"/>
                  </w14:solidFill>
                </w14:textFill>
              </w:rPr>
              <w:t>在规定年度之后</w:t>
            </w:r>
            <w:r>
              <w:rPr>
                <w:rFonts w:hint="eastAsia"/>
                <w:color w:val="000000" w:themeColor="text1"/>
                <w14:textFill>
                  <w14:solidFill>
                    <w14:schemeClr w14:val="tx1"/>
                  </w14:solidFill>
                </w14:textFill>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14:textFill>
                  <w14:solidFill>
                    <w14:schemeClr w14:val="tx1"/>
                  </w14:solidFill>
                </w14:textFill>
              </w:rPr>
              <w:t>；</w:t>
            </w:r>
            <w:r>
              <w:rPr>
                <w:rFonts w:hint="eastAsia"/>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必须提供，否则响应文件按无效响应处理</w:t>
            </w:r>
            <w:r>
              <w:rPr>
                <w:rFonts w:hint="eastAsia"/>
                <w:bCs/>
                <w:color w:val="000000" w:themeColor="text1"/>
                <w14:textFill>
                  <w14:solidFill>
                    <w14:schemeClr w14:val="tx1"/>
                  </w14:solidFill>
                </w14:textFill>
              </w:rPr>
              <w:t>）</w:t>
            </w:r>
          </w:p>
          <w:p>
            <w:pPr>
              <w:pStyle w:val="56"/>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供应商直接控股、管理关系信息表（格式后附）；（</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竞标声明（格式后附）；（</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联合体竞标协议书（格式后附）；（</w:t>
            </w:r>
            <w:r>
              <w:rPr>
                <w:rFonts w:hint="eastAsia"/>
                <w:b/>
                <w:bCs/>
                <w:color w:val="000000" w:themeColor="text1"/>
                <w14:textFill>
                  <w14:solidFill>
                    <w14:schemeClr w14:val="tx1"/>
                  </w14:solidFill>
                </w14:textFill>
              </w:rPr>
              <w:t>联合体竞标时必须提供，否则响应文件按无效响应处理</w:t>
            </w:r>
            <w:r>
              <w:rPr>
                <w:rFonts w:hint="eastAsia"/>
                <w:color w:val="000000" w:themeColor="text1"/>
                <w14:textFill>
                  <w14:solidFill>
                    <w14:schemeClr w14:val="tx1"/>
                  </w14:solidFill>
                </w14:textFill>
              </w:rPr>
              <w:t>）</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除磋商文件规定必须提供以外，供应商认为需要提供的其他证明材料。</w:t>
            </w:r>
          </w:p>
          <w:p>
            <w:pPr>
              <w:ind w:firstLine="0" w:firstLineChars="0"/>
              <w:rPr>
                <w:b/>
                <w:bCs/>
                <w:color w:val="auto"/>
              </w:rPr>
            </w:pPr>
            <w:r>
              <w:rPr>
                <w:rFonts w:hint="eastAsia"/>
                <w:b/>
                <w:bCs/>
                <w:color w:val="auto"/>
              </w:rPr>
              <w:t>注：1.以上标明“必须提供”的材料属于复印件的，必须加盖供应商公章，否则响应文件按无效响应处理。</w:t>
            </w:r>
          </w:p>
          <w:p>
            <w:pPr>
              <w:ind w:firstLine="422"/>
              <w:rPr>
                <w:b/>
                <w:bCs/>
                <w:color w:val="auto"/>
              </w:rPr>
            </w:pPr>
            <w:r>
              <w:rPr>
                <w:rFonts w:hint="eastAsia"/>
                <w:b/>
                <w:bCs/>
                <w:color w:val="auto"/>
                <w:lang w:val="en-US" w:eastAsia="zh-CN"/>
              </w:rPr>
              <w:t>2</w:t>
            </w:r>
            <w:r>
              <w:rPr>
                <w:rFonts w:hint="eastAsia"/>
                <w:b/>
                <w:bCs/>
                <w:color w:val="auto"/>
              </w:rPr>
              <w:t>.联合体竞标时，第1-5项资格证明文件联合体各方均必须分别提供，联合体各方分别盖章和签字，否则响应文件按无效响应处理。</w:t>
            </w:r>
          </w:p>
          <w:p>
            <w:pPr>
              <w:ind w:firstLine="422"/>
              <w:rPr>
                <w:rFonts w:ascii="宋体" w:hAnsi="宋体"/>
                <w:b/>
                <w:bCs/>
                <w:color w:val="auto"/>
              </w:rPr>
            </w:pPr>
            <w:r>
              <w:rPr>
                <w:rFonts w:hint="eastAsia" w:ascii="宋体" w:hAnsi="宋体"/>
                <w:b/>
                <w:bCs/>
                <w:color w:val="auto"/>
                <w:lang w:val="en-US" w:eastAsia="zh-CN"/>
              </w:rPr>
              <w:t>3</w:t>
            </w:r>
            <w:r>
              <w:rPr>
                <w:rFonts w:ascii="宋体" w:hAnsi="宋体"/>
                <w:b/>
                <w:bCs/>
                <w:color w:val="auto"/>
              </w:rPr>
              <w:t>.</w:t>
            </w:r>
            <w:r>
              <w:rPr>
                <w:rFonts w:hint="eastAsia" w:ascii="宋体" w:hAnsi="宋体"/>
                <w:b/>
                <w:bCs/>
                <w:color w:val="auto"/>
              </w:rPr>
              <w:t>电子响应文件中所须加盖公章部分均建议采用CA签章。若响应文件中有专门标注的某关联点，并要求供应商在电子投标系统中作出竞标响应的，如供应商未对关联点进行响应或者在响应文件其它内容进行描述，造成电子评审不能查询的责任由供应商自行承担。</w:t>
            </w:r>
          </w:p>
          <w:p>
            <w:pPr>
              <w:ind w:firstLine="422"/>
              <w:rPr>
                <w:rFonts w:ascii="宋体" w:hAnsi="宋体"/>
                <w:b/>
                <w:bCs/>
                <w:color w:val="000000" w:themeColor="text1"/>
                <w14:textFill>
                  <w14:solidFill>
                    <w14:schemeClr w14:val="tx1"/>
                  </w14:solidFill>
                </w14:textFill>
              </w:rPr>
            </w:pPr>
            <w:r>
              <w:rPr>
                <w:rFonts w:hint="eastAsia" w:ascii="宋体" w:hAnsi="宋体"/>
                <w:b/>
                <w:bCs/>
                <w:color w:val="auto"/>
                <w:lang w:val="en-US" w:eastAsia="zh-CN"/>
              </w:rPr>
              <w:t>4</w:t>
            </w:r>
            <w:r>
              <w:rPr>
                <w:rFonts w:hint="eastAsia" w:ascii="宋体" w:hAnsi="宋体"/>
                <w:b/>
                <w:bCs/>
                <w:color w:val="auto"/>
              </w:rPr>
              <w:t>.分公司参加竞标的，应当取得总公司授权。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12.1.2</w:t>
            </w:r>
          </w:p>
        </w:tc>
        <w:tc>
          <w:tcPr>
            <w:tcW w:w="8557" w:type="dxa"/>
            <w:vAlign w:val="center"/>
          </w:tcPr>
          <w:p>
            <w:pPr>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报价文件</w:t>
            </w:r>
          </w:p>
          <w:p>
            <w:pPr>
              <w:pStyle w:val="56"/>
              <w:numPr>
                <w:ilvl w:val="0"/>
                <w:numId w:val="0"/>
              </w:numPr>
              <w:ind w:leftChars="200"/>
              <w:rPr>
                <w:b/>
                <w:bCs/>
                <w:color w:val="auto"/>
              </w:rPr>
            </w:pPr>
            <w:r>
              <w:rPr>
                <w:rFonts w:hint="eastAsia"/>
                <w:b w:val="0"/>
                <w:bCs w:val="0"/>
                <w:color w:val="auto"/>
                <w:lang w:val="en-US" w:eastAsia="zh-CN"/>
              </w:rPr>
              <w:t>1.</w:t>
            </w:r>
            <w:r>
              <w:rPr>
                <w:rFonts w:hint="eastAsia"/>
                <w:b w:val="0"/>
                <w:bCs w:val="0"/>
                <w:color w:val="auto"/>
              </w:rPr>
              <w:t>竞标报价表（格式后附）；</w:t>
            </w:r>
            <w:r>
              <w:rPr>
                <w:rFonts w:hint="eastAsia"/>
                <w:b/>
                <w:bCs/>
                <w:color w:val="auto"/>
              </w:rPr>
              <w:t>（必须提供，否则响应文件按无效处理）</w:t>
            </w:r>
          </w:p>
          <w:p>
            <w:pPr>
              <w:pStyle w:val="56"/>
              <w:numPr>
                <w:ilvl w:val="0"/>
                <w:numId w:val="0"/>
              </w:numPr>
              <w:ind w:leftChars="200"/>
              <w:rPr>
                <w:b/>
                <w:bCs/>
                <w:color w:val="auto"/>
              </w:rPr>
            </w:pPr>
            <w:r>
              <w:rPr>
                <w:rFonts w:hint="eastAsia" w:ascii="宋体" w:hAnsi="宋体" w:cs="宋体"/>
                <w:b w:val="0"/>
                <w:bCs w:val="0"/>
                <w:color w:val="auto"/>
                <w:lang w:val="en-US" w:eastAsia="zh-CN"/>
              </w:rPr>
              <w:t>2.</w:t>
            </w:r>
            <w:r>
              <w:rPr>
                <w:rFonts w:ascii="宋体" w:hAnsi="宋体" w:cs="宋体"/>
                <w:b w:val="0"/>
                <w:bCs w:val="0"/>
                <w:color w:val="auto"/>
              </w:rPr>
              <w:t>中小企业声明函（格式后附</w:t>
            </w:r>
            <w:r>
              <w:rPr>
                <w:rFonts w:hint="eastAsia" w:ascii="宋体" w:hAnsi="宋体" w:cs="宋体"/>
                <w:b w:val="0"/>
                <w:bCs w:val="0"/>
                <w:color w:val="auto"/>
                <w:lang w:eastAsia="zh-CN"/>
              </w:rPr>
              <w:t>）</w:t>
            </w:r>
            <w:r>
              <w:rPr>
                <w:rFonts w:ascii="宋体" w:hAnsi="宋体" w:cs="宋体"/>
                <w:b w:val="0"/>
                <w:bCs w:val="0"/>
                <w:color w:val="auto"/>
              </w:rPr>
              <w:t>；</w:t>
            </w:r>
            <w:r>
              <w:rPr>
                <w:rFonts w:ascii="宋体" w:hAnsi="宋体" w:cs="宋体"/>
                <w:b/>
                <w:bCs/>
                <w:color w:val="auto"/>
              </w:rPr>
              <w:t>（如有请提供）</w:t>
            </w:r>
          </w:p>
          <w:p>
            <w:pPr>
              <w:pStyle w:val="56"/>
              <w:numPr>
                <w:ilvl w:val="0"/>
                <w:numId w:val="0"/>
              </w:numPr>
              <w:ind w:leftChars="200"/>
              <w:rPr>
                <w:rFonts w:ascii="宋体" w:hAnsi="宋体" w:cs="宋体"/>
                <w:color w:val="000000" w:themeColor="text1"/>
                <w14:textFill>
                  <w14:solidFill>
                    <w14:schemeClr w14:val="tx1"/>
                  </w14:solidFill>
                </w14:textFill>
              </w:rPr>
            </w:pPr>
            <w:r>
              <w:rPr>
                <w:rFonts w:hint="eastAsia"/>
                <w:b w:val="0"/>
                <w:bCs w:val="0"/>
                <w:color w:val="auto"/>
                <w:lang w:val="en-US" w:eastAsia="zh-CN"/>
              </w:rPr>
              <w:t>3.</w:t>
            </w:r>
            <w:r>
              <w:rPr>
                <w:rFonts w:hint="eastAsia"/>
                <w:b w:val="0"/>
                <w:bCs w:val="0"/>
                <w:color w:val="auto"/>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p>
        </w:tc>
        <w:tc>
          <w:tcPr>
            <w:tcW w:w="8557" w:type="dxa"/>
            <w:vAlign w:val="center"/>
          </w:tcPr>
          <w:p>
            <w:pPr>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商务技术文件</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无串通竞标行为的承诺函（格式后附）；（</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法定代表人身份证明书及法定代表人有效身份证正反面复印件（格式后附）；（</w:t>
            </w:r>
            <w:r>
              <w:rPr>
                <w:rFonts w:hint="eastAsia"/>
                <w:b/>
                <w:bCs/>
                <w:color w:val="000000" w:themeColor="text1"/>
                <w14:textFill>
                  <w14:solidFill>
                    <w14:schemeClr w14:val="tx1"/>
                  </w14:solidFill>
                </w14:textFill>
              </w:rPr>
              <w:t>除自然人竞标外必须提供，否则响应文件按无效响应处理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授权委托书及委托代理人有效身份证正反面复印件（格式后附）；（</w:t>
            </w:r>
            <w:r>
              <w:rPr>
                <w:rFonts w:hint="eastAsia"/>
                <w:b/>
                <w:bCs/>
                <w:color w:val="000000" w:themeColor="text1"/>
                <w14:textFill>
                  <w14:solidFill>
                    <w14:schemeClr w14:val="tx1"/>
                  </w14:solidFill>
                </w14:textFill>
              </w:rPr>
              <w:t>委托时必须提供，否则响应文件按无效响应处理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磋商保证金提交凭证；（</w:t>
            </w:r>
            <w:r>
              <w:rPr>
                <w:rFonts w:hint="eastAsia"/>
                <w:b/>
                <w:bCs/>
                <w:color w:val="000000" w:themeColor="text1"/>
                <w14:textFill>
                  <w14:solidFill>
                    <w14:schemeClr w14:val="tx1"/>
                  </w14:solidFill>
                </w14:textFill>
              </w:rPr>
              <w:t>如要求提交磋商保证金的则必须提供</w:t>
            </w:r>
            <w:r>
              <w:rPr>
                <w:rFonts w:hint="eastAsia" w:ascii="宋体" w:hAnsi="宋体" w:cs="宋体"/>
                <w:b/>
                <w:color w:val="000000" w:themeColor="text1"/>
                <w14:textFill>
                  <w14:solidFill>
                    <w14:schemeClr w14:val="tx1"/>
                  </w14:solidFill>
                </w14:textFill>
              </w:rPr>
              <w:t>，否则响应文件按无效响应处理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商务要求偏离表（格式后附）；（</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服务方案（格式自拟）；（</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技术要求偏离表（格式后附）；（</w:t>
            </w:r>
            <w:r>
              <w:rPr>
                <w:rFonts w:hint="eastAsia"/>
                <w:b/>
                <w:bCs/>
                <w:color w:val="000000" w:themeColor="text1"/>
                <w14:textFill>
                  <w14:solidFill>
                    <w14:schemeClr w14:val="tx1"/>
                  </w14:solidFill>
                </w14:textFill>
              </w:rPr>
              <w:t>必须提供，否则响应文件按无效响应处理</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对应采购需求的技术要求、商务要求提供的其他文件资料（格式自拟）</w:t>
            </w:r>
            <w:r>
              <w:rPr>
                <w:rFonts w:hint="eastAsia"/>
                <w:color w:val="000000" w:themeColor="text1"/>
                <w14:textFill>
                  <w14:solidFill>
                    <w14:schemeClr w14:val="tx1"/>
                  </w14:solidFill>
                </w14:textFill>
              </w:rPr>
              <w:t>；</w:t>
            </w:r>
          </w:p>
          <w:p>
            <w:pPr>
              <w:pStyle w:val="56"/>
              <w:numPr>
                <w:ilvl w:val="0"/>
                <w:numId w:val="1"/>
              </w:numPr>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供应商认为需要提供的其他有关资料。</w:t>
            </w:r>
          </w:p>
          <w:p>
            <w:pPr>
              <w:ind w:firstLine="0" w:firstLineChars="0"/>
              <w:rPr>
                <w:b/>
                <w:bCs/>
                <w:color w:val="auto"/>
              </w:rPr>
            </w:pPr>
            <w:r>
              <w:rPr>
                <w:rFonts w:hint="eastAsia"/>
                <w:b/>
                <w:bCs/>
                <w:color w:val="auto"/>
              </w:rPr>
              <w:t>注：</w:t>
            </w:r>
            <w:r>
              <w:rPr>
                <w:rFonts w:ascii="宋体" w:hAnsi="宋体" w:eastAsia="宋体" w:cs="宋体"/>
                <w:b/>
                <w:color w:val="auto"/>
              </w:rPr>
              <w:t>1</w:t>
            </w:r>
            <w:r>
              <w:rPr>
                <w:rFonts w:hint="eastAsia" w:ascii="宋体" w:hAnsi="宋体" w:eastAsia="宋体" w:cs="宋体"/>
                <w:b/>
                <w:color w:val="auto"/>
              </w:rPr>
              <w:t>.以上标明“必须提供”的材料属于复印件的，必须加盖供应商公章，否则响应文件按无效响应处理。</w:t>
            </w:r>
          </w:p>
          <w:p>
            <w:pPr>
              <w:snapToGrid w:val="0"/>
              <w:ind w:firstLine="422"/>
              <w:rPr>
                <w:rFonts w:ascii="宋体" w:hAnsi="宋体" w:eastAsia="宋体" w:cs="宋体"/>
                <w:b/>
                <w:color w:val="auto"/>
              </w:rPr>
            </w:pPr>
            <w:r>
              <w:rPr>
                <w:rFonts w:ascii="宋体" w:hAnsi="宋体"/>
                <w:b/>
                <w:bCs/>
                <w:color w:val="auto"/>
              </w:rPr>
              <w:t>2.</w:t>
            </w:r>
            <w:r>
              <w:rPr>
                <w:rFonts w:hint="eastAsia" w:ascii="宋体" w:hAnsi="宋体"/>
                <w:b/>
                <w:bCs/>
                <w:color w:val="auto"/>
              </w:rPr>
              <w:t>电子响应文件中所须加盖公章部分均建议采用CA签章。若响应文件中有专门标注的某关联点，并要求供应商在电子投标系统中作出竞标响应的，如供应商未对关联点进行响应或者在响应文件其它内容进行描述，造成电子评审不能查询的责任由供应商自行承担。</w:t>
            </w:r>
          </w:p>
          <w:p>
            <w:pPr>
              <w:ind w:firstLine="422" w:firstLineChars="200"/>
              <w:rPr>
                <w:b/>
                <w:bCs/>
                <w:color w:val="000000" w:themeColor="text1"/>
                <w14:textFill>
                  <w14:solidFill>
                    <w14:schemeClr w14:val="tx1"/>
                  </w14:solidFill>
                </w14:textFill>
              </w:rPr>
            </w:pPr>
            <w:r>
              <w:rPr>
                <w:rFonts w:ascii="宋体" w:hAnsi="宋体" w:eastAsia="宋体" w:cs="宋体"/>
                <w:b/>
                <w:color w:val="auto"/>
              </w:rPr>
              <w:t>3</w:t>
            </w:r>
            <w:r>
              <w:rPr>
                <w:rFonts w:hint="eastAsia" w:ascii="宋体" w:hAnsi="宋体" w:eastAsia="宋体" w:cs="宋体"/>
                <w:b/>
                <w:color w:val="auto"/>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8557" w:type="dxa"/>
            <w:vAlign w:val="center"/>
          </w:tcPr>
          <w:p>
            <w:pPr>
              <w:widowControl w:val="0"/>
              <w:ind w:firstLine="0" w:firstLineChars="0"/>
              <w:contextualSpacing/>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竞标报价是履行合同的最终价格，</w:t>
            </w:r>
            <w:r>
              <w:rPr>
                <w:rFonts w:hint="eastAsia" w:ascii="宋体" w:hAnsi="宋体" w:eastAsia="宋体" w:cs="宋体"/>
                <w:color w:val="000000" w:themeColor="text1"/>
                <w14:textFill>
                  <w14:solidFill>
                    <w14:schemeClr w14:val="tx1"/>
                  </w14:solidFill>
                </w14:textFill>
              </w:rPr>
              <w:t>即满足全部采购需求所应提供的服务的价格；</w:t>
            </w:r>
            <w:r>
              <w:rPr>
                <w:rFonts w:hint="eastAsia" w:cs="新宋体" w:hAnsiTheme="minorEastAsia"/>
                <w:color w:val="000000"/>
              </w:rPr>
              <w:t>本次报价须为人民币报价，包含产品价、运输费（含装卸费）、保险费、安装调试费、税费、培训费、产品检测费、产品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竞标总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2</w:t>
            </w:r>
          </w:p>
        </w:tc>
        <w:tc>
          <w:tcPr>
            <w:tcW w:w="8557"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竞标有效期：自首次响应文件提交截止之日起</w:t>
            </w:r>
            <w:r>
              <w:rPr>
                <w:b/>
                <w:bCs/>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60</w:t>
            </w:r>
            <w:r>
              <w:rPr>
                <w:b/>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1"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17.1</w:t>
            </w:r>
          </w:p>
        </w:tc>
        <w:tc>
          <w:tcPr>
            <w:tcW w:w="8557" w:type="dxa"/>
            <w:vAlign w:val="center"/>
          </w:tcPr>
          <w:p>
            <w:pPr>
              <w:ind w:firstLine="0" w:firstLineChars="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□本项目不收取磋商保证金。</w:t>
            </w:r>
          </w:p>
          <w:p>
            <w:pPr>
              <w:ind w:firstLine="0" w:firstLineChars="0"/>
              <w:rPr>
                <w:rFonts w:cs="Times New Roman"/>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fldChar w:fldCharType="begin"/>
            </w:r>
            <w:r>
              <w:rPr>
                <w:rFonts w:ascii="宋体" w:hAnsi="宋体"/>
                <w:b/>
                <w:bCs/>
                <w:color w:val="000000" w:themeColor="text1"/>
                <w14:textFill>
                  <w14:solidFill>
                    <w14:schemeClr w14:val="tx1"/>
                  </w14:solidFill>
                </w14:textFill>
              </w:rPr>
              <w:instrText xml:space="preserve"> </w:instrText>
            </w:r>
            <w:r>
              <w:rPr>
                <w:rFonts w:hint="eastAsia" w:ascii="宋体" w:hAnsi="宋体"/>
                <w:b/>
                <w:bCs/>
                <w:color w:val="000000" w:themeColor="text1"/>
                <w14:textFill>
                  <w14:solidFill>
                    <w14:schemeClr w14:val="tx1"/>
                  </w14:solidFill>
                </w14:textFill>
              </w:rPr>
              <w:instrText xml:space="preserve">eq \o\ac(□,√)</w:instrText>
            </w:r>
            <w:r>
              <w:rPr>
                <w:rFonts w:ascii="宋体" w:hAnsi="宋体"/>
                <w:b/>
                <w:bCs/>
                <w:color w:val="000000" w:themeColor="text1"/>
                <w14:textFill>
                  <w14:solidFill>
                    <w14:schemeClr w14:val="tx1"/>
                  </w14:solidFill>
                </w14:textFill>
              </w:rPr>
              <w:fldChar w:fldCharType="end"/>
            </w:r>
            <w:r>
              <w:rPr>
                <w:rFonts w:hint="eastAsia" w:cs="Times New Roman"/>
                <w:b/>
                <w:bCs/>
                <w:color w:val="000000" w:themeColor="text1"/>
                <w14:textFill>
                  <w14:solidFill>
                    <w14:schemeClr w14:val="tx1"/>
                  </w14:solidFill>
                </w14:textFill>
              </w:rPr>
              <w:t>本项目收取磋商保证金，具体规定如下：</w:t>
            </w:r>
          </w:p>
          <w:p>
            <w:pPr>
              <w:ind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磋商保证金：</w:t>
            </w:r>
            <w:r>
              <w:rPr>
                <w:rFonts w:hint="eastAsia"/>
                <w:color w:val="000000" w:themeColor="text1"/>
                <w:kern w:val="0"/>
                <w:lang w:val="en-US" w:eastAsia="zh-CN"/>
                <w14:textFill>
                  <w14:solidFill>
                    <w14:schemeClr w14:val="tx1"/>
                  </w14:solidFill>
                </w14:textFill>
              </w:rPr>
              <w:t>详见竞争性磋商公告</w:t>
            </w:r>
            <w:r>
              <w:rPr>
                <w:rFonts w:hint="eastAsia"/>
                <w:color w:val="000000" w:themeColor="text1"/>
                <w:kern w:val="0"/>
                <w14:textFill>
                  <w14:solidFill>
                    <w14:schemeClr w14:val="tx1"/>
                  </w14:solidFill>
                </w14:textFill>
              </w:rPr>
              <w:t>。</w:t>
            </w:r>
          </w:p>
          <w:p>
            <w:pPr>
              <w:wordWrap w:val="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磋商保证金的交纳方式：</w:t>
            </w:r>
            <w:r>
              <w:rPr>
                <w:rFonts w:hint="eastAsia"/>
                <w:color w:val="000000" w:themeColor="text1"/>
                <w:kern w:val="0"/>
                <w:lang w:val="en-US" w:eastAsia="zh-CN"/>
                <w14:textFill>
                  <w14:solidFill>
                    <w14:schemeClr w14:val="tx1"/>
                  </w14:solidFill>
                </w14:textFill>
              </w:rPr>
              <w:t>详见竞争性磋商公告</w:t>
            </w:r>
            <w:r>
              <w:rPr>
                <w:rFonts w:hint="eastAsia"/>
                <w:color w:val="000000" w:themeColor="text1"/>
                <w14:textFill>
                  <w14:solidFill>
                    <w14:schemeClr w14:val="tx1"/>
                  </w14:solidFill>
                </w14:textFill>
              </w:rPr>
              <w:t>。</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相关要求：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1.磋商保证金采用银行转账交纳方式的，在响应文件提交截止时间前交至指定账户并且到账，供应商应将银行转账底单的复印件作为磋商保证金提交凭证，放置于商务技术文件中，</w:t>
            </w:r>
            <w:r>
              <w:rPr>
                <w:rFonts w:hint="eastAsia"/>
                <w:b/>
                <w:bCs/>
                <w:color w:val="000000" w:themeColor="text1"/>
                <w14:textFill>
                  <w14:solidFill>
                    <w14:schemeClr w14:val="tx1"/>
                  </w14:solidFill>
                </w14:textFill>
              </w:rPr>
              <w:t>否则响应文件按无效响应处理</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磋商保证金采用支票、汇票、本票或者银行、保险机构出具的保函</w:t>
            </w:r>
            <w:r>
              <w:rPr>
                <w:rFonts w:hint="eastAsia"/>
                <w:color w:val="000000" w:themeColor="text1"/>
                <w14:textFill>
                  <w14:solidFill>
                    <w14:schemeClr w14:val="tx1"/>
                  </w14:solidFill>
                </w14:textFill>
              </w:rPr>
              <w:t>、保险</w:t>
            </w:r>
            <w:r>
              <w:rPr>
                <w:rFonts w:hint="eastAsia" w:ascii="宋体" w:hAnsi="宋体"/>
                <w:color w:val="000000" w:themeColor="text1"/>
                <w14:textFill>
                  <w14:solidFill>
                    <w14:schemeClr w14:val="tx1"/>
                  </w14:solidFill>
                </w14:textFill>
              </w:rPr>
              <w:t>交纳方式的，供应商应将支票、汇票、本票或者银行、保险机构出具的保函</w:t>
            </w:r>
            <w:r>
              <w:rPr>
                <w:rFonts w:hint="eastAsia"/>
                <w:color w:val="000000" w:themeColor="text1"/>
                <w14:textFill>
                  <w14:solidFill>
                    <w14:schemeClr w14:val="tx1"/>
                  </w14:solidFill>
                </w14:textFill>
              </w:rPr>
              <w:t>、保险</w:t>
            </w:r>
            <w:r>
              <w:rPr>
                <w:rFonts w:hint="eastAsia" w:ascii="宋体" w:hAnsi="宋体"/>
                <w:color w:val="000000" w:themeColor="text1"/>
                <w14:textFill>
                  <w14:solidFill>
                    <w14:schemeClr w14:val="tx1"/>
                  </w14:solidFill>
                </w14:textFill>
              </w:rPr>
              <w:t>的复印件作为磋商保证金提交凭证，放置于</w:t>
            </w:r>
            <w:r>
              <w:rPr>
                <w:rFonts w:hint="eastAsia" w:ascii="宋体" w:hAnsi="宋体" w:cs="宋体"/>
                <w:color w:val="000000" w:themeColor="text1"/>
                <w14:textFill>
                  <w14:solidFill>
                    <w14:schemeClr w14:val="tx1"/>
                  </w14:solidFill>
                </w14:textFill>
              </w:rPr>
              <w:t>商务技术文件</w:t>
            </w:r>
            <w:r>
              <w:rPr>
                <w:rFonts w:hint="eastAsia" w:ascii="宋体" w:hAnsi="宋体"/>
                <w:color w:val="000000" w:themeColor="text1"/>
                <w14:textFill>
                  <w14:solidFill>
                    <w14:schemeClr w14:val="tx1"/>
                  </w14:solidFill>
                </w14:textFill>
              </w:rPr>
              <w:t>中</w:t>
            </w:r>
            <w:r>
              <w:rPr>
                <w:rFonts w:hint="eastAsia" w:cs="Times New Roman"/>
                <w:color w:val="000000" w:themeColor="text1"/>
                <w14:textFill>
                  <w14:solidFill>
                    <w14:schemeClr w14:val="tx1"/>
                  </w14:solidFill>
                </w14:textFill>
              </w:rPr>
              <w:t>，</w:t>
            </w:r>
            <w:r>
              <w:rPr>
                <w:rFonts w:hint="eastAsia"/>
                <w:b/>
                <w:bCs/>
                <w:color w:val="000000" w:themeColor="text1"/>
                <w14:textFill>
                  <w14:solidFill>
                    <w14:schemeClr w14:val="tx1"/>
                  </w14:solidFill>
                </w14:textFill>
              </w:rPr>
              <w:t>否则响应文件按无效处理</w:t>
            </w:r>
            <w:r>
              <w:rPr>
                <w:rFonts w:hint="eastAsia"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供应商必须</w:t>
            </w:r>
            <w:r>
              <w:rPr>
                <w:rFonts w:hint="eastAsia"/>
                <w:color w:val="000000" w:themeColor="text1"/>
                <w14:textFill>
                  <w14:solidFill>
                    <w14:schemeClr w14:val="tx1"/>
                  </w14:solidFill>
                </w14:textFill>
              </w:rPr>
              <w:t>在响应文件提交截止时间前采用现场或邮寄方式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现场提交地址：</w:t>
            </w:r>
            <w:r>
              <w:rPr>
                <w:rFonts w:hint="eastAsia"/>
                <w:color w:val="000000" w:themeColor="text1"/>
                <w:lang w:eastAsia="zh-CN"/>
                <w14:textFill>
                  <w14:solidFill>
                    <w14:schemeClr w14:val="tx1"/>
                  </w14:solidFill>
                </w14:textFill>
              </w:rPr>
              <w:t>华物盛泰工程咨询管理有限公司</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南宁市青秀区百花岭路10号百花苑6栋2层</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招标部</w:t>
            </w:r>
            <w:r>
              <w:rPr>
                <w:rFonts w:hint="eastAsia"/>
                <w:color w:val="000000" w:themeColor="text1"/>
                <w14:textFill>
                  <w14:solidFill>
                    <w14:schemeClr w14:val="tx1"/>
                  </w14:solidFill>
                </w14:textFill>
              </w:rPr>
              <w:t>；邮寄地址：</w:t>
            </w:r>
            <w:r>
              <w:rPr>
                <w:rFonts w:hint="eastAsia"/>
                <w:color w:val="000000" w:themeColor="text1"/>
                <w:lang w:eastAsia="zh-CN"/>
                <w14:textFill>
                  <w14:solidFill>
                    <w14:schemeClr w14:val="tx1"/>
                  </w14:solidFill>
                </w14:textFill>
              </w:rPr>
              <w:t>华物盛泰工程咨询管理有限公司</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南宁市青秀区百花岭路10号百花苑6栋2层</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招标部</w:t>
            </w:r>
            <w:r>
              <w:rPr>
                <w:rFonts w:hint="eastAsia"/>
                <w:color w:val="000000" w:themeColor="text1"/>
                <w14:textFill>
                  <w14:solidFill>
                    <w14:schemeClr w14:val="tx1"/>
                  </w14:solidFill>
                </w14:textFill>
              </w:rPr>
              <w:t>，收件人：</w:t>
            </w:r>
            <w:r>
              <w:rPr>
                <w:rFonts w:hint="eastAsia"/>
                <w:color w:val="000000" w:themeColor="text1"/>
                <w:lang w:val="en-US" w:eastAsia="zh-CN"/>
                <w14:textFill>
                  <w14:solidFill>
                    <w14:schemeClr w14:val="tx1"/>
                  </w14:solidFill>
                </w14:textFill>
              </w:rPr>
              <w:t>兰工</w:t>
            </w:r>
            <w:r>
              <w:rPr>
                <w:rFonts w:hint="eastAsia"/>
                <w:color w:val="000000" w:themeColor="text1"/>
                <w14:textFill>
                  <w14:solidFill>
                    <w14:schemeClr w14:val="tx1"/>
                  </w14:solidFill>
                </w14:textFill>
              </w:rPr>
              <w:t>，联系方式：</w:t>
            </w:r>
            <w:r>
              <w:rPr>
                <w:rFonts w:hint="eastAsia"/>
                <w:color w:val="000000" w:themeColor="text1"/>
                <w:lang w:eastAsia="zh-CN"/>
                <w14:textFill>
                  <w14:solidFill>
                    <w14:schemeClr w14:val="tx1"/>
                  </w14:solidFill>
                </w14:textFill>
              </w:rPr>
              <w:t>0771-5581861】</w:t>
            </w:r>
            <w:r>
              <w:rPr>
                <w:rFonts w:hint="eastAsia" w:ascii="宋体" w:hAnsi="宋体"/>
                <w:color w:val="000000" w:themeColor="text1"/>
                <w14:textFill>
                  <w14:solidFill>
                    <w14:schemeClr w14:val="tx1"/>
                  </w14:solidFill>
                </w14:textFill>
              </w:rPr>
              <w:t>将</w:t>
            </w:r>
            <w:r>
              <w:rPr>
                <w:rFonts w:hint="eastAsia" w:ascii="宋体" w:hAnsi="宋体" w:cs="宋体"/>
                <w:color w:val="000000" w:themeColor="text1"/>
                <w:kern w:val="0"/>
                <w14:textFill>
                  <w14:solidFill>
                    <w14:schemeClr w14:val="tx1"/>
                  </w14:solidFill>
                </w14:textFill>
              </w:rPr>
              <w:t>单独密封的</w:t>
            </w:r>
            <w:r>
              <w:rPr>
                <w:rFonts w:hint="eastAsia" w:ascii="宋体" w:hAnsi="宋体"/>
                <w:color w:val="000000" w:themeColor="text1"/>
                <w14:textFill>
                  <w14:solidFill>
                    <w14:schemeClr w14:val="tx1"/>
                  </w14:solidFill>
                </w14:textFill>
              </w:rPr>
              <w:t>支票、汇票、本票或者银行、保险机构出具的保函原件提交给采购人或者采购代理机构，由采购人或者采购代理机构向供应商出具回执（邮寄方式的除外），并妥善保管。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3.供应商为联合体的，可以由联合体中的一方或者多方共同交纳磋商保证金，其交纳的保证金对联合体各方均具有约束力。</w:t>
            </w:r>
          </w:p>
          <w:p>
            <w:pPr>
              <w:ind w:firstLine="0" w:firstLineChars="0"/>
              <w:rPr>
                <w:b/>
                <w:bCs/>
                <w:color w:val="000000" w:themeColor="text1"/>
                <w14:textFill>
                  <w14:solidFill>
                    <w14:schemeClr w14:val="tx1"/>
                  </w14:solidFill>
                </w14:textFill>
              </w:rPr>
            </w:pPr>
          </w:p>
          <w:p>
            <w:pPr>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注：1.磋商保证金在响应文件提交截止时间后提交的，或者不按规定交纳方式交纳的，或者未足额交纳的（包含保函或保险额度不足的），视为无效磋商保证金。</w:t>
            </w:r>
          </w:p>
          <w:p>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2.供应商采用现钞方式或者从个人账户（自然人竞标除外）转出的磋商保证金，视为无效磋商保证金。</w:t>
            </w:r>
          </w:p>
          <w:p>
            <w:pPr>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3.支票、汇票或者本票出现无效或者背书情形的，视为无效磋商保证金。</w:t>
            </w:r>
          </w:p>
          <w:p>
            <w:pPr>
              <w:snapToGrid w:val="0"/>
              <w:ind w:firstLine="4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4.保函、保险有效期低于竞标有效期的，视为无效磋商保证金。</w:t>
            </w:r>
          </w:p>
          <w:p>
            <w:pPr>
              <w:snapToGrid w:val="0"/>
              <w:ind w:firstLine="42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5.采用银行、保险机构出具保函的，必须为无条件保函，否则视为无效</w:t>
            </w:r>
            <w:r>
              <w:rPr>
                <w:rFonts w:hint="eastAsia"/>
                <w:b/>
                <w:bCs/>
                <w:color w:val="000000" w:themeColor="text1"/>
                <w14:textFill>
                  <w14:solidFill>
                    <w14:schemeClr w14:val="tx1"/>
                  </w14:solidFill>
                </w14:textFill>
              </w:rPr>
              <w:t>磋商</w:t>
            </w:r>
            <w:r>
              <w:rPr>
                <w:rFonts w:hint="eastAsia" w:ascii="宋体" w:hAnsi="宋体"/>
                <w:b/>
                <w:color w:val="000000" w:themeColor="text1"/>
                <w14:textFill>
                  <w14:solidFill>
                    <w14:schemeClr w14:val="tx1"/>
                  </w14:solidFill>
                </w14:textFill>
              </w:rPr>
              <w:t>保证金。</w:t>
            </w:r>
          </w:p>
          <w:p>
            <w:pPr>
              <w:ind w:firstLine="422"/>
              <w:rPr>
                <w:b/>
                <w:bCs/>
                <w:color w:val="000000" w:themeColor="text1"/>
                <w14:textFill>
                  <w14:solidFill>
                    <w14:schemeClr w14:val="tx1"/>
                  </w14:solidFill>
                </w14:textFill>
              </w:rPr>
            </w:pPr>
            <w:r>
              <w:rPr>
                <w:rFonts w:ascii="宋体" w:hAnsi="宋体"/>
                <w:b/>
                <w:color w:val="000000" w:themeColor="text1"/>
                <w14:textFill>
                  <w14:solidFill>
                    <w14:schemeClr w14:val="tx1"/>
                  </w14:solidFill>
                </w14:textFill>
              </w:rPr>
              <w:t>6.</w:t>
            </w:r>
            <w:r>
              <w:rPr>
                <w:rFonts w:hint="eastAsia" w:ascii="宋体" w:hAnsi="宋体"/>
                <w:b/>
                <w:color w:val="000000" w:themeColor="text1"/>
                <w14:textFill>
                  <w14:solidFill>
                    <w14:schemeClr w14:val="tx1"/>
                  </w14:solidFill>
                </w14:textFill>
              </w:rPr>
              <w:t>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19</w:t>
            </w:r>
          </w:p>
        </w:tc>
        <w:tc>
          <w:tcPr>
            <w:tcW w:w="8557"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本项目不接受电子备份响应文件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.1</w:t>
            </w:r>
          </w:p>
        </w:tc>
        <w:tc>
          <w:tcPr>
            <w:tcW w:w="8557" w:type="dxa"/>
            <w:vAlign w:val="center"/>
          </w:tcPr>
          <w:p>
            <w:pPr>
              <w:ind w:firstLine="0" w:firstLineChars="0"/>
              <w:contextualSpacing/>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响应文件提交截止时间：详见竞争性磋商公告。</w:t>
            </w:r>
          </w:p>
          <w:p>
            <w:pPr>
              <w:ind w:firstLine="0" w:firstLineChars="0"/>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p>
        </w:tc>
        <w:tc>
          <w:tcPr>
            <w:tcW w:w="8557" w:type="dxa"/>
            <w:vAlign w:val="center"/>
          </w:tcPr>
          <w:p>
            <w:pPr>
              <w:ind w:firstLine="0" w:firstLineChars="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磋商小组的人数：</w:t>
            </w:r>
            <w:r>
              <w:rPr>
                <w:rFonts w:hint="eastAsia"/>
                <w:b/>
                <w:bCs/>
                <w:color w:val="000000" w:themeColor="text1"/>
                <w:u w:val="single"/>
                <w14:textFill>
                  <w14:solidFill>
                    <w14:schemeClr w14:val="tx1"/>
                  </w14:solidFill>
                </w14:textFill>
              </w:rPr>
              <w:t xml:space="preserve"> </w:t>
            </w:r>
            <w:r>
              <w:rPr>
                <w:b/>
                <w:bCs/>
                <w:color w:val="000000" w:themeColor="text1"/>
                <w:u w:val="single"/>
                <w14:textFill>
                  <w14:solidFill>
                    <w14:schemeClr w14:val="tx1"/>
                  </w14:solidFill>
                </w14:textFill>
              </w:rPr>
              <w:t>3</w:t>
            </w:r>
            <w:r>
              <w:rPr>
                <w:rFonts w:hint="eastAsia"/>
                <w:b/>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ascii="宋体" w:hAnsi="宋体" w:eastAsia="宋体" w:cs="宋体"/>
                <w:color w:val="000000" w:themeColor="text1"/>
                <w14:textFill>
                  <w14:solidFill>
                    <w14:schemeClr w14:val="tx1"/>
                  </w14:solidFill>
                </w14:textFill>
              </w:rPr>
              <w:t>5</w:t>
            </w:r>
          </w:p>
        </w:tc>
        <w:tc>
          <w:tcPr>
            <w:tcW w:w="8557" w:type="dxa"/>
            <w:vAlign w:val="center"/>
          </w:tcPr>
          <w:p>
            <w:pPr>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首次响应文件开启时间详见“竞争性磋商公告”</w:t>
            </w:r>
          </w:p>
          <w:p>
            <w:pPr>
              <w:ind w:firstLine="0" w:firstLineChars="0"/>
              <w:rPr>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首次响应文件解密时间：</w:t>
            </w:r>
            <w:r>
              <w:rPr>
                <w:rFonts w:hint="eastAsia" w:ascii="宋体" w:hAnsi="宋体"/>
                <w:b/>
                <w:bCs/>
                <w:color w:val="auto"/>
              </w:rPr>
              <w:t>响应文件提交截止时间后30分钟内，供应商必须在此时间段内登录政采云平台，用“项目采购-开标评标”功能完成电子响应文件的解密。若供应商在规定时间内未按时解密的，视为响应文件撤回。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6.3</w:t>
            </w:r>
          </w:p>
        </w:tc>
        <w:tc>
          <w:tcPr>
            <w:tcW w:w="8557" w:type="dxa"/>
            <w:vAlign w:val="center"/>
          </w:tcPr>
          <w:p>
            <w:pPr>
              <w:ind w:firstLine="0" w:firstLineChars="0"/>
              <w:rPr>
                <w:color w:val="auto"/>
              </w:rPr>
            </w:pPr>
            <w:r>
              <w:rPr>
                <w:rFonts w:hint="eastAsia"/>
                <w:color w:val="auto"/>
              </w:rPr>
              <w:t>商务要求评审中允许负偏离的条款数为</w:t>
            </w:r>
            <w:r>
              <w:rPr>
                <w:rFonts w:hint="eastAsia"/>
                <w:b/>
                <w:bCs/>
                <w:color w:val="auto"/>
                <w:u w:val="single"/>
              </w:rPr>
              <w:t xml:space="preserve"> </w:t>
            </w:r>
            <w:r>
              <w:rPr>
                <w:b/>
                <w:bCs/>
                <w:color w:val="auto"/>
                <w:u w:val="single"/>
              </w:rPr>
              <w:t>0</w:t>
            </w:r>
            <w:r>
              <w:rPr>
                <w:rFonts w:hint="eastAsia"/>
                <w:color w:val="auto"/>
                <w:u w:val="single"/>
              </w:rPr>
              <w:t xml:space="preserve"> </w:t>
            </w:r>
            <w:r>
              <w:rPr>
                <w:rFonts w:hint="eastAsia"/>
                <w:color w:val="auto"/>
              </w:rPr>
              <w:t>项。</w:t>
            </w:r>
          </w:p>
          <w:p>
            <w:pPr>
              <w:ind w:firstLine="0" w:firstLineChars="0"/>
              <w:rPr>
                <w:color w:val="000000" w:themeColor="text1"/>
                <w14:textFill>
                  <w14:solidFill>
                    <w14:schemeClr w14:val="tx1"/>
                  </w14:solidFill>
                </w14:textFill>
              </w:rPr>
            </w:pPr>
            <w:r>
              <w:rPr>
                <w:rFonts w:hint="eastAsia"/>
                <w:color w:val="auto"/>
              </w:rPr>
              <w:t>技术要求评审中允许负偏离的条款数为</w:t>
            </w:r>
            <w:r>
              <w:rPr>
                <w:rFonts w:hint="eastAsia"/>
                <w:color w:val="auto"/>
                <w:u w:val="single"/>
              </w:rPr>
              <w:t xml:space="preserve"> </w:t>
            </w:r>
            <w:r>
              <w:rPr>
                <w:rFonts w:hint="eastAsia"/>
                <w:b/>
                <w:bCs/>
                <w:color w:val="auto"/>
                <w:u w:val="single"/>
                <w:lang w:val="en-US" w:eastAsia="zh-CN"/>
              </w:rPr>
              <w:t xml:space="preserve">0 </w:t>
            </w:r>
            <w:r>
              <w:rPr>
                <w:rFonts w:hint="eastAsia"/>
                <w:color w:val="auto"/>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5"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28.1</w:t>
            </w:r>
          </w:p>
        </w:tc>
        <w:tc>
          <w:tcPr>
            <w:tcW w:w="8557" w:type="dxa"/>
            <w:vAlign w:val="center"/>
          </w:tcPr>
          <w:p>
            <w:pPr>
              <w:widowControl w:val="0"/>
              <w:autoSpaceDE w:val="0"/>
              <w:autoSpaceDN w:val="0"/>
              <w:snapToGrid w:val="0"/>
              <w:ind w:firstLine="0" w:firstLineChars="0"/>
              <w:jc w:val="both"/>
              <w:textAlignment w:val="bottom"/>
              <w:rPr>
                <w:rFonts w:ascii="宋体" w:hAnsi="宋体" w:eastAsia="宋体" w:cs="Times New Roman"/>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fldChar w:fldCharType="begin"/>
            </w:r>
            <w:r>
              <w:rPr>
                <w:rFonts w:ascii="宋体" w:hAnsi="宋体"/>
                <w:b/>
                <w:bCs/>
                <w:color w:val="000000" w:themeColor="text1"/>
                <w14:textFill>
                  <w14:solidFill>
                    <w14:schemeClr w14:val="tx1"/>
                  </w14:solidFill>
                </w14:textFill>
              </w:rPr>
              <w:instrText xml:space="preserve"> </w:instrText>
            </w:r>
            <w:r>
              <w:rPr>
                <w:rFonts w:hint="eastAsia" w:ascii="宋体" w:hAnsi="宋体"/>
                <w:b/>
                <w:bCs/>
                <w:color w:val="000000" w:themeColor="text1"/>
                <w14:textFill>
                  <w14:solidFill>
                    <w14:schemeClr w14:val="tx1"/>
                  </w14:solidFill>
                </w14:textFill>
              </w:rPr>
              <w:instrText xml:space="preserve">eq \o\ac(□</w:instrText>
            </w:r>
            <w:r>
              <w:rPr>
                <w:rFonts w:hint="eastAsia" w:ascii="宋体" w:hAnsi="宋体"/>
                <w:b/>
                <w:bCs/>
                <w:color w:val="000000" w:themeColor="text1"/>
                <w:lang w:eastAsia="zh-CN"/>
                <w14:textFill>
                  <w14:solidFill>
                    <w14:schemeClr w14:val="tx1"/>
                  </w14:solidFill>
                </w14:textFill>
              </w:rPr>
              <w:instrText xml:space="preserve">,</w:instrText>
            </w:r>
            <w:r>
              <w:rPr>
                <w:rFonts w:hint="eastAsia" w:ascii="宋体" w:hAnsi="宋体"/>
                <w:b/>
                <w:bCs/>
                <w:color w:val="000000" w:themeColor="text1"/>
                <w:position w:val="2"/>
                <w:sz w:val="13"/>
                <w:lang w:eastAsia="zh-CN"/>
                <w14:textFill>
                  <w14:solidFill>
                    <w14:schemeClr w14:val="tx1"/>
                  </w14:solidFill>
                </w14:textFill>
              </w:rPr>
              <w:instrText xml:space="preserve">√</w:instrText>
            </w:r>
            <w:r>
              <w:rPr>
                <w:rFonts w:hint="eastAsia" w:ascii="宋体" w:hAnsi="宋体"/>
                <w:b/>
                <w:bCs/>
                <w:color w:val="000000" w:themeColor="text1"/>
                <w14:textFill>
                  <w14:solidFill>
                    <w14:schemeClr w14:val="tx1"/>
                  </w14:solidFill>
                </w14:textFill>
              </w:rPr>
              <w:instrText xml:space="preserve">)</w:instrText>
            </w:r>
            <w:r>
              <w:rPr>
                <w:rFonts w:ascii="宋体" w:hAnsi="宋体"/>
                <w:b/>
                <w:bCs/>
                <w:color w:val="000000" w:themeColor="text1"/>
                <w14:textFill>
                  <w14:solidFill>
                    <w14:schemeClr w14:val="tx1"/>
                  </w14:solidFill>
                </w14:textFill>
              </w:rPr>
              <w:fldChar w:fldCharType="end"/>
            </w:r>
            <w:r>
              <w:rPr>
                <w:rFonts w:hint="eastAsia" w:ascii="宋体" w:hAnsi="宋体" w:eastAsia="宋体" w:cs="Times New Roman"/>
                <w:b/>
                <w:bCs/>
                <w:color w:val="000000" w:themeColor="text1"/>
                <w14:textFill>
                  <w14:solidFill>
                    <w14:schemeClr w14:val="tx1"/>
                  </w14:solidFill>
                </w14:textFill>
              </w:rPr>
              <w:t>本项目不收取履约保证金。</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Times New Roman"/>
                <w:b w:val="0"/>
                <w:bCs w:val="0"/>
                <w:color w:val="auto"/>
              </w:rPr>
            </w:pPr>
            <w:r>
              <w:rPr>
                <w:rFonts w:hint="eastAsia" w:ascii="宋体" w:hAnsi="宋体" w:eastAsia="宋体" w:cs="Times New Roman"/>
                <w:b w:val="0"/>
                <w:bCs w:val="0"/>
                <w:color w:val="000000" w:themeColor="text1"/>
                <w:lang w:eastAsia="zh-CN"/>
                <w14:textFill>
                  <w14:solidFill>
                    <w14:schemeClr w14:val="tx1"/>
                  </w14:solidFill>
                </w14:textFill>
              </w:rPr>
              <w:t>□</w:t>
            </w:r>
            <w:r>
              <w:rPr>
                <w:rFonts w:hint="eastAsia" w:ascii="宋体" w:hAnsi="宋体" w:eastAsia="宋体" w:cs="Times New Roman"/>
                <w:b w:val="0"/>
                <w:bCs w:val="0"/>
                <w:color w:val="000000" w:themeColor="text1"/>
                <w14:textFill>
                  <w14:solidFill>
                    <w14:schemeClr w14:val="tx1"/>
                  </w14:solidFill>
                </w14:textFill>
              </w:rPr>
              <w:t>本项目收取履约保证金</w:t>
            </w:r>
            <w:r>
              <w:rPr>
                <w:rFonts w:hint="eastAsia" w:ascii="宋体" w:hAnsi="宋体" w:eastAsia="宋体" w:cs="Times New Roman"/>
                <w:b w:val="0"/>
                <w:bCs w:val="0"/>
                <w:color w:val="auto"/>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1.在合同签订前，成交供应商按合同金额的3%向采购人指定账户交纳履约保证金，否则不予办理合同签订。</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2.履约保证金递交方式：银行转账、电汇或网上支付、支票、汇票、本票或者金融机构、担保机构出具的保函方式交至采购单位财务处。</w:t>
            </w:r>
          </w:p>
          <w:p>
            <w:pPr>
              <w:ind w:firstLine="0" w:firstLineChars="0"/>
              <w:rPr>
                <w:color w:val="000000" w:themeColor="text1"/>
                <w14:textFill>
                  <w14:solidFill>
                    <w14:schemeClr w14:val="tx1"/>
                  </w14:solidFill>
                </w14:textFill>
              </w:rPr>
            </w:pPr>
            <w:r>
              <w:rPr>
                <w:rFonts w:hint="eastAsia" w:ascii="宋体" w:hAnsi="宋体"/>
                <w:color w:val="auto"/>
                <w:szCs w:val="21"/>
                <w:highlight w:val="none"/>
              </w:rPr>
              <w:t>3.履约保证金在成交人按合同约定履约完毕并验收合格，由成交人提出申请后15个工作日内无息返还。涉及违约的违约金和损失赔偿从履约保证金中扣减。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29.1</w:t>
            </w:r>
          </w:p>
        </w:tc>
        <w:tc>
          <w:tcPr>
            <w:tcW w:w="8557" w:type="dxa"/>
            <w:vAlign w:val="center"/>
          </w:tcPr>
          <w:p>
            <w:pPr>
              <w:autoSpaceDE w:val="0"/>
              <w:autoSpaceDN w:val="0"/>
              <w:snapToGrid w:val="0"/>
              <w:ind w:firstLine="0" w:firstLineChars="0"/>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签订合同携带的证明材料： </w:t>
            </w:r>
          </w:p>
          <w:p>
            <w:pPr>
              <w:autoSpaceDE w:val="0"/>
              <w:autoSpaceDN w:val="0"/>
              <w:snapToGrid w:val="0"/>
              <w:ind w:left="0" w:leftChars="0" w:firstLine="0" w:firstLineChars="0"/>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委托代理人负责签订合同的，须携带授权委托书及委托代理人身份证原件等其他资格证件。</w:t>
            </w:r>
          </w:p>
          <w:p>
            <w:pPr>
              <w:autoSpaceDE w:val="0"/>
              <w:autoSpaceDN w:val="0"/>
              <w:snapToGrid w:val="0"/>
              <w:ind w:left="0" w:leftChars="0" w:firstLine="0" w:firstLineChars="0"/>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法定代表人负责签订合同的，须携带法定代表人</w:t>
            </w:r>
            <w:r>
              <w:rPr>
                <w:rFonts w:ascii="宋体" w:hAnsi="宋体"/>
                <w:color w:val="000000" w:themeColor="text1"/>
                <w14:textFill>
                  <w14:solidFill>
                    <w14:schemeClr w14:val="tx1"/>
                  </w14:solidFill>
                </w14:textFill>
              </w:rPr>
              <w:t>身份证明原件</w:t>
            </w: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身份证原件</w:t>
            </w:r>
            <w:r>
              <w:rPr>
                <w:rFonts w:hint="eastAsia" w:ascii="宋体" w:hAnsi="宋体"/>
                <w:color w:val="000000" w:themeColor="text1"/>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5"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1.2</w:t>
            </w:r>
          </w:p>
        </w:tc>
        <w:tc>
          <w:tcPr>
            <w:tcW w:w="8557"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接收质疑函方式：以书面形式。</w:t>
            </w:r>
          </w:p>
          <w:p>
            <w:pP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质疑联系部门及联系方式：华物盛泰工程咨询管理有限公司招标部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联系电话：0771-5581861，通讯地址：南宁市青秀区百花岭路10号百花苑6栋2层。</w:t>
            </w:r>
          </w:p>
          <w:p>
            <w:pPr>
              <w:ind w:firstLine="420"/>
              <w:rPr>
                <w:rFonts w:hint="eastAsia" w:ascii="Times New Roman" w:eastAsiaTheme="minorEastAsia"/>
                <w:color w:val="000000" w:themeColor="text1"/>
                <w:szCs w:val="24"/>
                <w:lang w:eastAsia="zh-CN"/>
                <w14:textFill>
                  <w14:solidFill>
                    <w14:schemeClr w14:val="tx1"/>
                  </w14:solidFill>
                </w14:textFill>
              </w:rPr>
            </w:pPr>
            <w:r>
              <w:rPr>
                <w:rFonts w:hint="eastAsia" w:ascii="Times New Roman"/>
                <w:color w:val="000000" w:themeColor="text1"/>
                <w:szCs w:val="24"/>
                <w14:textFill>
                  <w14:solidFill>
                    <w14:schemeClr w14:val="tx1"/>
                  </w14:solidFill>
                </w14:textFill>
              </w:rPr>
              <w:t>业务时间：工作日每天上午</w:t>
            </w:r>
            <w:r>
              <w:rPr>
                <w:rFonts w:hint="eastAsia" w:ascii="宋体" w:hAnsi="宋体"/>
                <w:color w:val="auto"/>
                <w:szCs w:val="21"/>
              </w:rPr>
              <w:t>8时30分到12时00分，15时00分到17时30分，业务时间以外、双休日和法定节假日不办理业务</w:t>
            </w:r>
            <w:r>
              <w:rPr>
                <w:rFonts w:hint="eastAsia" w:ascii="宋体" w:hAnsi="宋体"/>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9" w:hRule="atLeast"/>
          <w:jc w:val="center"/>
        </w:trPr>
        <w:tc>
          <w:tcPr>
            <w:tcW w:w="1082" w:type="dxa"/>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32.1</w:t>
            </w:r>
          </w:p>
        </w:tc>
        <w:tc>
          <w:tcPr>
            <w:tcW w:w="8557" w:type="dxa"/>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1.采购代理费支付方式：</w:t>
            </w:r>
          </w:p>
          <w:p>
            <w:pPr>
              <w:keepNext w:val="0"/>
              <w:keepLines w:val="0"/>
              <w:pageBreakBefore w:val="0"/>
              <w:widowControl/>
              <w:kinsoku/>
              <w:wordWrap/>
              <w:overflowPunct/>
              <w:topLinePunct w:val="0"/>
              <w:autoSpaceDE/>
              <w:autoSpaceDN/>
              <w:bidi w:val="0"/>
              <w:adjustRightInd/>
              <w:snapToGrid/>
              <w:spacing w:line="460" w:lineRule="exact"/>
              <w:ind w:firstLine="422"/>
              <w:textAlignment w:val="auto"/>
              <w:rPr>
                <w:b/>
                <w:bCs/>
                <w:color w:val="000000" w:themeColor="text1"/>
                <w:kern w:val="0"/>
                <w14:textFill>
                  <w14:solidFill>
                    <w14:schemeClr w14:val="tx1"/>
                  </w14:solidFill>
                </w14:textFill>
              </w:rPr>
            </w:pPr>
            <w:r>
              <w:rPr>
                <w:rFonts w:hAnsi="宋体"/>
                <w:b/>
                <w:bCs/>
                <w:color w:val="000000" w:themeColor="text1"/>
                <w14:textFill>
                  <w14:solidFill>
                    <w14:schemeClr w14:val="tx1"/>
                  </w14:solidFill>
                </w14:textFill>
              </w:rPr>
              <w:fldChar w:fldCharType="begin"/>
            </w:r>
            <w:r>
              <w:rPr>
                <w:rFonts w:hAnsi="宋体"/>
                <w:b/>
                <w:bCs/>
                <w:color w:val="000000" w:themeColor="text1"/>
                <w14:textFill>
                  <w14:solidFill>
                    <w14:schemeClr w14:val="tx1"/>
                  </w14:solidFill>
                </w14:textFill>
              </w:rPr>
              <w:instrText xml:space="preserve"> </w:instrText>
            </w:r>
            <w:r>
              <w:rPr>
                <w:rFonts w:hint="eastAsia" w:hAnsi="宋体"/>
                <w:b/>
                <w:bCs/>
                <w:color w:val="000000" w:themeColor="text1"/>
                <w14:textFill>
                  <w14:solidFill>
                    <w14:schemeClr w14:val="tx1"/>
                  </w14:solidFill>
                </w14:textFill>
              </w:rPr>
              <w:instrText xml:space="preserve">eq \o\ac(□,√)</w:instrText>
            </w:r>
            <w:r>
              <w:rPr>
                <w:rFonts w:hAnsi="宋体"/>
                <w:b/>
                <w:bCs/>
                <w:color w:val="000000" w:themeColor="text1"/>
                <w14:textFill>
                  <w14:solidFill>
                    <w14:schemeClr w14:val="tx1"/>
                  </w14:solidFill>
                </w14:textFill>
              </w:rPr>
              <w:fldChar w:fldCharType="end"/>
            </w:r>
            <w:r>
              <w:rPr>
                <w:rFonts w:hint="eastAsia"/>
                <w:b/>
                <w:bCs/>
                <w:color w:val="000000" w:themeColor="text1"/>
                <w:kern w:val="0"/>
                <w14:textFill>
                  <w14:solidFill>
                    <w14:schemeClr w14:val="tx1"/>
                  </w14:solidFill>
                </w14:textFill>
              </w:rPr>
              <w:t>本项目代理服务费由</w:t>
            </w:r>
            <w:r>
              <w:rPr>
                <w:rFonts w:hint="eastAsia"/>
                <w:b/>
                <w:bCs/>
                <w:color w:val="000000" w:themeColor="text1"/>
                <w:kern w:val="0"/>
                <w:u w:val="single"/>
                <w14:textFill>
                  <w14:solidFill>
                    <w14:schemeClr w14:val="tx1"/>
                  </w14:solidFill>
                </w14:textFill>
              </w:rPr>
              <w:t xml:space="preserve"> 成交供应商 </w:t>
            </w:r>
            <w:r>
              <w:rPr>
                <w:rFonts w:hint="eastAsia"/>
                <w:b/>
                <w:bCs/>
                <w:color w:val="000000" w:themeColor="text1"/>
                <w:kern w:val="0"/>
                <w14:textFill>
                  <w14:solidFill>
                    <w14:schemeClr w14:val="tx1"/>
                  </w14:solidFill>
                </w14:textFill>
              </w:rPr>
              <w:t>领取成交通知书时，一次性向采购代理机构支付。</w:t>
            </w:r>
          </w:p>
          <w:p>
            <w:pPr>
              <w:keepNext w:val="0"/>
              <w:keepLines w:val="0"/>
              <w:pageBreakBefore w:val="0"/>
              <w:widowControl/>
              <w:kinsoku/>
              <w:wordWrap/>
              <w:overflowPunct/>
              <w:topLinePunct w:val="0"/>
              <w:autoSpaceDE/>
              <w:autoSpaceDN/>
              <w:bidi w:val="0"/>
              <w:adjustRightInd/>
              <w:snapToGrid/>
              <w:spacing w:line="460" w:lineRule="exact"/>
              <w:ind w:firstLine="420"/>
              <w:textAlignment w:val="auto"/>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□采购人支付。</w:t>
            </w:r>
          </w:p>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2.采购代理费收取标准：</w:t>
            </w:r>
          </w:p>
          <w:p>
            <w:pPr>
              <w:keepNext w:val="0"/>
              <w:keepLines w:val="0"/>
              <w:pageBreakBefore w:val="0"/>
              <w:widowControl/>
              <w:kinsoku/>
              <w:wordWrap/>
              <w:overflowPunct/>
              <w:topLinePunct w:val="0"/>
              <w:autoSpaceDE/>
              <w:autoSpaceDN/>
              <w:bidi w:val="0"/>
              <w:adjustRightInd/>
              <w:snapToGrid/>
              <w:spacing w:line="460" w:lineRule="exact"/>
              <w:ind w:firstLine="422"/>
              <w:textAlignment w:val="auto"/>
              <w:rPr>
                <w:color w:val="000000" w:themeColor="text1"/>
                <w:kern w:val="0"/>
                <w14:textFill>
                  <w14:solidFill>
                    <w14:schemeClr w14:val="tx1"/>
                  </w14:solidFill>
                </w14:textFill>
              </w:rPr>
            </w:pPr>
            <w:r>
              <w:rPr>
                <w:rFonts w:hAnsi="宋体"/>
                <w:b/>
                <w:bCs/>
                <w:color w:val="000000" w:themeColor="text1"/>
                <w14:textFill>
                  <w14:solidFill>
                    <w14:schemeClr w14:val="tx1"/>
                  </w14:solidFill>
                </w14:textFill>
              </w:rPr>
              <w:fldChar w:fldCharType="begin"/>
            </w:r>
            <w:r>
              <w:rPr>
                <w:rFonts w:hAnsi="宋体"/>
                <w:b/>
                <w:bCs/>
                <w:color w:val="000000" w:themeColor="text1"/>
                <w14:textFill>
                  <w14:solidFill>
                    <w14:schemeClr w14:val="tx1"/>
                  </w14:solidFill>
                </w14:textFill>
              </w:rPr>
              <w:instrText xml:space="preserve"> </w:instrText>
            </w:r>
            <w:r>
              <w:rPr>
                <w:rFonts w:hint="eastAsia" w:hAnsi="宋体"/>
                <w:b/>
                <w:bCs/>
                <w:color w:val="000000" w:themeColor="text1"/>
                <w14:textFill>
                  <w14:solidFill>
                    <w14:schemeClr w14:val="tx1"/>
                  </w14:solidFill>
                </w14:textFill>
              </w:rPr>
              <w:instrText xml:space="preserve">eq \o\ac(□,√)</w:instrText>
            </w:r>
            <w:r>
              <w:rPr>
                <w:rFonts w:hAnsi="宋体"/>
                <w:b/>
                <w:bCs/>
                <w:color w:val="000000" w:themeColor="text1"/>
                <w14:textFill>
                  <w14:solidFill>
                    <w14:schemeClr w14:val="tx1"/>
                  </w14:solidFill>
                </w14:textFill>
              </w:rPr>
              <w:fldChar w:fldCharType="end"/>
            </w:r>
            <w:r>
              <w:rPr>
                <w:rFonts w:hint="eastAsia"/>
                <w:b/>
                <w:bCs/>
                <w:color w:val="000000" w:themeColor="text1"/>
                <w:kern w:val="0"/>
                <w14:textFill>
                  <w14:solidFill>
                    <w14:schemeClr w14:val="tx1"/>
                  </w14:solidFill>
                </w14:textFill>
              </w:rPr>
              <w:t>以</w:t>
            </w:r>
            <w:r>
              <w:rPr>
                <w:rFonts w:hint="eastAsia" w:hAnsi="宋体" w:cs="宋体"/>
                <w:b/>
                <w:bCs/>
                <w:color w:val="000000" w:themeColor="text1"/>
                <w14:textFill>
                  <w14:solidFill>
                    <w14:schemeClr w14:val="tx1"/>
                  </w14:solidFill>
                </w14:textFill>
              </w:rPr>
              <w:t>项目</w:t>
            </w:r>
            <w:r>
              <w:rPr>
                <w:rFonts w:hint="eastAsia"/>
                <w:color w:val="000000" w:themeColor="text1"/>
                <w:kern w:val="0"/>
                <w14:textFill>
                  <w14:solidFill>
                    <w14:schemeClr w14:val="tx1"/>
                  </w14:solidFill>
                </w14:textFill>
              </w:rPr>
              <w:t>（</w:t>
            </w:r>
            <w:r>
              <w:rPr>
                <w:rFonts w:hAnsi="宋体"/>
                <w:b/>
                <w:bCs/>
                <w:color w:val="000000" w:themeColor="text1"/>
                <w14:textFill>
                  <w14:solidFill>
                    <w14:schemeClr w14:val="tx1"/>
                  </w14:solidFill>
                </w14:textFill>
              </w:rPr>
              <w:fldChar w:fldCharType="begin"/>
            </w:r>
            <w:r>
              <w:rPr>
                <w:rFonts w:hAnsi="宋体"/>
                <w:b/>
                <w:bCs/>
                <w:color w:val="000000" w:themeColor="text1"/>
                <w14:textFill>
                  <w14:solidFill>
                    <w14:schemeClr w14:val="tx1"/>
                  </w14:solidFill>
                </w14:textFill>
              </w:rPr>
              <w:instrText xml:space="preserve"> </w:instrText>
            </w:r>
            <w:r>
              <w:rPr>
                <w:rFonts w:hint="eastAsia" w:hAnsi="宋体"/>
                <w:b/>
                <w:bCs/>
                <w:color w:val="000000" w:themeColor="text1"/>
                <w14:textFill>
                  <w14:solidFill>
                    <w14:schemeClr w14:val="tx1"/>
                  </w14:solidFill>
                </w14:textFill>
              </w:rPr>
              <w:instrText xml:space="preserve">eq \o\ac(□,√)</w:instrText>
            </w:r>
            <w:r>
              <w:rPr>
                <w:rFonts w:hAnsi="宋体"/>
                <w:b/>
                <w:bCs/>
                <w:color w:val="000000" w:themeColor="text1"/>
                <w14:textFill>
                  <w14:solidFill>
                    <w14:schemeClr w14:val="tx1"/>
                  </w14:solidFill>
                </w14:textFill>
              </w:rPr>
              <w:fldChar w:fldCharType="end"/>
            </w:r>
            <w:r>
              <w:rPr>
                <w:rFonts w:hint="eastAsia"/>
                <w:b/>
                <w:bCs/>
                <w:color w:val="000000" w:themeColor="text1"/>
                <w:kern w:val="0"/>
                <w14:textFill>
                  <w14:solidFill>
                    <w14:schemeClr w14:val="tx1"/>
                  </w14:solidFill>
                </w14:textFill>
              </w:rPr>
              <w:t>成交金额</w:t>
            </w:r>
            <w:r>
              <w:rPr>
                <w:rFonts w:hint="eastAsia"/>
                <w:color w:val="000000" w:themeColor="text1"/>
                <w:kern w:val="0"/>
                <w14:textFill>
                  <w14:solidFill>
                    <w14:schemeClr w14:val="tx1"/>
                  </w14:solidFill>
                </w14:textFill>
              </w:rPr>
              <w:t>/□采购预算/□暂定成交金额/□其他</w:t>
            </w:r>
            <w:r>
              <w:rPr>
                <w:rFonts w:hint="eastAsia"/>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w:t>
            </w:r>
            <w:r>
              <w:rPr>
                <w:rFonts w:hAnsi="宋体" w:cs="宋体"/>
                <w:color w:val="000000" w:themeColor="text1"/>
                <w:u w:val="single"/>
                <w14:textFill>
                  <w14:solidFill>
                    <w14:schemeClr w14:val="tx1"/>
                  </w14:solidFill>
                </w14:textFill>
              </w:rPr>
              <w:t xml:space="preserve"> </w:t>
            </w:r>
            <w:r>
              <w:rPr>
                <w:rFonts w:hint="eastAsia"/>
                <w:color w:val="000000" w:themeColor="text1"/>
                <w:kern w:val="0"/>
                <w14:textFill>
                  <w14:solidFill>
                    <w14:schemeClr w14:val="tx1"/>
                  </w14:solidFill>
                </w14:textFill>
              </w:rPr>
              <w:t>）为计费额，按本须知正文第</w:t>
            </w:r>
            <w:r>
              <w:rPr>
                <w:color w:val="000000" w:themeColor="text1"/>
                <w:kern w:val="0"/>
                <w14:textFill>
                  <w14:solidFill>
                    <w14:schemeClr w14:val="tx1"/>
                  </w14:solidFill>
                </w14:textFill>
              </w:rPr>
              <w:t>32</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条规定的收费计算标准（</w:t>
            </w:r>
            <w:r>
              <w:rPr>
                <w:rFonts w:hint="eastAsia"/>
                <w:color w:val="000000" w:themeColor="text1"/>
                <w:kern w:val="0"/>
                <w:lang w:eastAsia="zh-CN"/>
                <w14:textFill>
                  <w14:solidFill>
                    <w14:schemeClr w14:val="tx1"/>
                  </w14:solidFill>
                </w14:textFill>
              </w:rPr>
              <w:t>☑</w:t>
            </w:r>
            <w:r>
              <w:rPr>
                <w:rFonts w:hint="eastAsia"/>
                <w:color w:val="000000" w:themeColor="text1"/>
                <w:kern w:val="0"/>
                <w14:textFill>
                  <w14:solidFill>
                    <w14:schemeClr w14:val="tx1"/>
                  </w14:solidFill>
                </w14:textFill>
              </w:rPr>
              <w:t>货物类/</w:t>
            </w:r>
            <w:r>
              <w:rPr>
                <w:rFonts w:hAnsi="宋体"/>
                <w:b/>
                <w:bCs/>
                <w:color w:val="000000" w:themeColor="text1"/>
                <w14:textFill>
                  <w14:solidFill>
                    <w14:schemeClr w14:val="tx1"/>
                  </w14:solidFill>
                </w14:textFill>
              </w:rPr>
              <w:fldChar w:fldCharType="begin"/>
            </w:r>
            <w:r>
              <w:rPr>
                <w:rFonts w:hAnsi="宋体"/>
                <w:b/>
                <w:bCs/>
                <w:color w:val="000000" w:themeColor="text1"/>
                <w14:textFill>
                  <w14:solidFill>
                    <w14:schemeClr w14:val="tx1"/>
                  </w14:solidFill>
                </w14:textFill>
              </w:rPr>
              <w:instrText xml:space="preserve"> </w:instrText>
            </w:r>
            <w:r>
              <w:rPr>
                <w:rFonts w:hint="eastAsia" w:hAnsi="宋体"/>
                <w:b/>
                <w:bCs/>
                <w:color w:val="000000" w:themeColor="text1"/>
                <w14:textFill>
                  <w14:solidFill>
                    <w14:schemeClr w14:val="tx1"/>
                  </w14:solidFill>
                </w14:textFill>
              </w:rPr>
              <w:instrText xml:space="preserve">eq \o\ac(□,√)</w:instrText>
            </w:r>
            <w:r>
              <w:rPr>
                <w:rFonts w:hAnsi="宋体"/>
                <w:b/>
                <w:bCs/>
                <w:color w:val="000000" w:themeColor="text1"/>
                <w14:textFill>
                  <w14:solidFill>
                    <w14:schemeClr w14:val="tx1"/>
                  </w14:solidFill>
                </w14:textFill>
              </w:rPr>
              <w:fldChar w:fldCharType="end"/>
            </w:r>
            <w:r>
              <w:rPr>
                <w:rFonts w:hint="eastAsia"/>
                <w:b/>
                <w:bCs/>
                <w:color w:val="000000" w:themeColor="text1"/>
                <w:kern w:val="0"/>
                <w14:textFill>
                  <w14:solidFill>
                    <w14:schemeClr w14:val="tx1"/>
                  </w14:solidFill>
                </w14:textFill>
              </w:rPr>
              <w:t>服务类</w:t>
            </w:r>
            <w:r>
              <w:rPr>
                <w:rFonts w:hint="eastAsia"/>
                <w:color w:val="000000" w:themeColor="text1"/>
                <w:kern w:val="0"/>
                <w14:textFill>
                  <w14:solidFill>
                    <w14:schemeClr w14:val="tx1"/>
                  </w14:solidFill>
                </w14:textFill>
              </w:rPr>
              <w:t>/□工程类）采用差额定率累进法计算出收费基准价格，采购代理收费以（</w:t>
            </w:r>
            <w:r>
              <w:rPr>
                <w:rFonts w:hAnsi="宋体"/>
                <w:b/>
                <w:bCs/>
                <w:color w:val="000000" w:themeColor="text1"/>
                <w14:textFill>
                  <w14:solidFill>
                    <w14:schemeClr w14:val="tx1"/>
                  </w14:solidFill>
                </w14:textFill>
              </w:rPr>
              <w:fldChar w:fldCharType="begin"/>
            </w:r>
            <w:r>
              <w:rPr>
                <w:rFonts w:hAnsi="宋体"/>
                <w:b/>
                <w:bCs/>
                <w:color w:val="000000" w:themeColor="text1"/>
                <w14:textFill>
                  <w14:solidFill>
                    <w14:schemeClr w14:val="tx1"/>
                  </w14:solidFill>
                </w14:textFill>
              </w:rPr>
              <w:instrText xml:space="preserve"> </w:instrText>
            </w:r>
            <w:r>
              <w:rPr>
                <w:rFonts w:hint="eastAsia" w:hAnsi="宋体"/>
                <w:b/>
                <w:bCs/>
                <w:color w:val="000000" w:themeColor="text1"/>
                <w14:textFill>
                  <w14:solidFill>
                    <w14:schemeClr w14:val="tx1"/>
                  </w14:solidFill>
                </w14:textFill>
              </w:rPr>
              <w:instrText xml:space="preserve">eq \o\ac(□,√)</w:instrText>
            </w:r>
            <w:r>
              <w:rPr>
                <w:rFonts w:hAnsi="宋体"/>
                <w:b/>
                <w:bCs/>
                <w:color w:val="000000" w:themeColor="text1"/>
                <w14:textFill>
                  <w14:solidFill>
                    <w14:schemeClr w14:val="tx1"/>
                  </w14:solidFill>
                </w14:textFill>
              </w:rPr>
              <w:fldChar w:fldCharType="end"/>
            </w:r>
            <w:r>
              <w:rPr>
                <w:rFonts w:hint="eastAsia"/>
                <w:b/>
                <w:bCs/>
                <w:color w:val="000000" w:themeColor="text1"/>
                <w:kern w:val="0"/>
                <w14:textFill>
                  <w14:solidFill>
                    <w14:schemeClr w14:val="tx1"/>
                  </w14:solidFill>
                </w14:textFill>
              </w:rPr>
              <w:t>收费基准价格</w:t>
            </w:r>
            <w:r>
              <w:rPr>
                <w:rFonts w:hint="eastAsia"/>
                <w:color w:val="000000" w:themeColor="text1"/>
                <w:kern w:val="0"/>
                <w14:textFill>
                  <w14:solidFill>
                    <w14:schemeClr w14:val="tx1"/>
                  </w14:solidFill>
                </w14:textFill>
              </w:rPr>
              <w:t>/□收费基准价格下浮</w:t>
            </w:r>
            <w:r>
              <w:rPr>
                <w:rFonts w:hint="eastAsia"/>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w:t>
            </w:r>
            <w:r>
              <w:rPr>
                <w:color w:val="000000" w:themeColor="text1"/>
                <w:kern w:val="0"/>
                <w:u w:val="single"/>
                <w14:textFill>
                  <w14:solidFill>
                    <w14:schemeClr w14:val="tx1"/>
                  </w14:solidFill>
                </w14:textFill>
              </w:rPr>
              <w:t xml:space="preserve"> </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□收费基准价格上浮</w:t>
            </w:r>
            <w:r>
              <w:rPr>
                <w:rFonts w:hint="eastAsia"/>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w:t>
            </w:r>
            <w:r>
              <w:rPr>
                <w:rFonts w:hAnsi="宋体" w:cs="宋体"/>
                <w:color w:val="000000" w:themeColor="text1"/>
                <w:u w:val="single"/>
                <w14:textFill>
                  <w14:solidFill>
                    <w14:schemeClr w14:val="tx1"/>
                  </w14:solidFill>
                </w14:textFill>
              </w:rPr>
              <w:t xml:space="preserve"> </w:t>
            </w:r>
            <w:r>
              <w:rPr>
                <w:rFonts w:hint="eastAsia"/>
                <w:color w:val="000000" w:themeColor="text1"/>
                <w:kern w:val="0"/>
                <w14:textFill>
                  <w14:solidFill>
                    <w14:schemeClr w14:val="tx1"/>
                  </w14:solidFill>
                </w14:textFill>
              </w:rPr>
              <w:t>%）收取。</w:t>
            </w:r>
          </w:p>
          <w:p>
            <w:pPr>
              <w:keepNext w:val="0"/>
              <w:keepLines w:val="0"/>
              <w:pageBreakBefore w:val="0"/>
              <w:widowControl/>
              <w:kinsoku/>
              <w:wordWrap/>
              <w:overflowPunct/>
              <w:topLinePunct w:val="0"/>
              <w:autoSpaceDE/>
              <w:autoSpaceDN/>
              <w:bidi w:val="0"/>
              <w:adjustRightInd/>
              <w:snapToGrid/>
              <w:spacing w:line="460" w:lineRule="exact"/>
              <w:ind w:firstLine="420"/>
              <w:textAlignment w:val="auto"/>
              <w:rPr>
                <w:rFonts w:hint="eastAsia" w:hAnsi="宋体"/>
                <w:color w:val="auto"/>
                <w:sz w:val="21"/>
                <w:szCs w:val="21"/>
              </w:rPr>
            </w:pPr>
            <w:r>
              <w:rPr>
                <w:rFonts w:hint="eastAsia"/>
                <w:color w:val="000000" w:themeColor="text1"/>
                <w:kern w:val="0"/>
                <w14:textFill>
                  <w14:solidFill>
                    <w14:schemeClr w14:val="tx1"/>
                  </w14:solidFill>
                </w14:textFill>
              </w:rPr>
              <w:t>□固定采购代理收费</w:t>
            </w:r>
            <w:r>
              <w:rPr>
                <w:rFonts w:hint="eastAsia"/>
                <w:color w:val="000000" w:themeColor="text1"/>
                <w:kern w:val="0"/>
                <w:u w:val="single"/>
                <w14:textFill>
                  <w14:solidFill>
                    <w14:schemeClr w14:val="tx1"/>
                  </w14:solidFill>
                </w14:textFill>
              </w:rPr>
              <w:t xml:space="preserve">       </w:t>
            </w:r>
            <w:r>
              <w:rPr>
                <w:color w:val="000000" w:themeColor="text1"/>
                <w:kern w:val="0"/>
                <w:u w:val="single"/>
                <w14:textFill>
                  <w14:solidFill>
                    <w14:schemeClr w14:val="tx1"/>
                  </w14:solidFill>
                </w14:textFill>
              </w:rPr>
              <w:t>/</w:t>
            </w:r>
            <w:r>
              <w:rPr>
                <w:rFonts w:hint="eastAsia"/>
                <w:color w:val="000000" w:themeColor="text1"/>
                <w:kern w:val="0"/>
                <w:u w:val="single"/>
                <w14:textFill>
                  <w14:solidFill>
                    <w14:schemeClr w14:val="tx1"/>
                  </w14:solidFill>
                </w14:textFill>
              </w:rPr>
              <w:t xml:space="preserve">       </w:t>
            </w:r>
            <w:r>
              <w:rPr>
                <w:rFonts w:hint="eastAsia"/>
                <w:color w:val="000000" w:themeColor="text1"/>
                <w:kern w:val="0"/>
                <w14:textFill>
                  <w14:solidFill>
                    <w14:schemeClr w14:val="tx1"/>
                  </w14:solidFill>
                </w14:textFill>
              </w:rPr>
              <w:t>。</w:t>
            </w:r>
          </w:p>
          <w:p>
            <w:pPr>
              <w:pStyle w:val="17"/>
              <w:snapToGrid w:val="0"/>
              <w:spacing w:line="380" w:lineRule="exact"/>
              <w:ind w:firstLine="420" w:firstLineChars="200"/>
              <w:rPr>
                <w:rFonts w:hint="eastAsia" w:hAnsi="宋体"/>
                <w:color w:val="auto"/>
                <w:sz w:val="21"/>
                <w:szCs w:val="21"/>
              </w:rPr>
            </w:pPr>
            <w:r>
              <w:rPr>
                <w:rFonts w:hint="eastAsia" w:hAnsi="宋体"/>
                <w:color w:val="auto"/>
                <w:sz w:val="21"/>
                <w:szCs w:val="21"/>
              </w:rPr>
              <w:t>代理服务收费标准：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费率</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color w:val="000000"/>
                      <w:szCs w:val="21"/>
                    </w:rPr>
                  </w:pPr>
                  <w:r>
                    <w:rPr>
                      <w:rFonts w:hint="eastAsia" w:ascii="宋体" w:hAnsi="宋体" w:cs="宋体"/>
                      <w:color w:val="000000"/>
                      <w:szCs w:val="21"/>
                    </w:rPr>
                    <w:t>金额</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货物类</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服务类</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100万元以下</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1.5%</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1.5%</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100～500万元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1.1%</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0.8%</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500～1000万元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0.8%</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0.45%</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1000～5000万元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0.5%</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0.25%</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5000万元～1亿元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0.25%</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0.1%</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1～5亿元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0.05%</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0.05%</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5～10亿元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0.035%</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0.035%</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10～50亿元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0.008%</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0.008%</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50～100亿元</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0.006%</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0.006%</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100亿以上</w:t>
                  </w:r>
                </w:p>
              </w:tc>
              <w:tc>
                <w:tcPr>
                  <w:tcW w:w="165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0.004%</w:t>
                  </w:r>
                </w:p>
              </w:tc>
              <w:tc>
                <w:tcPr>
                  <w:tcW w:w="153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0.004%</w:t>
                  </w: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szCs w:val="21"/>
                    </w:rPr>
                  </w:pPr>
                  <w:r>
                    <w:rPr>
                      <w:rFonts w:hint="eastAsia" w:ascii="宋体" w:hAnsi="宋体" w:cs="宋体"/>
                      <w:color w:val="000000"/>
                      <w:szCs w:val="21"/>
                    </w:rPr>
                    <w:t>0.004%</w:t>
                  </w:r>
                </w:p>
              </w:tc>
            </w:tr>
          </w:tbl>
          <w:p>
            <w:pPr>
              <w:pStyle w:val="19"/>
              <w:rPr>
                <w:sz w:val="21"/>
                <w:szCs w:val="21"/>
              </w:rPr>
            </w:pPr>
            <w:r>
              <w:rPr>
                <w:rFonts w:hint="eastAsia" w:ascii="宋体" w:hAnsi="宋体" w:cs="宋体"/>
                <w:color w:val="auto"/>
                <w:sz w:val="21"/>
                <w:szCs w:val="21"/>
              </w:rPr>
              <w:t>注：按本表费率计算的收费为采购代理的收费基准价格，采购代理收费按差额定率累进法计算。</w:t>
            </w:r>
          </w:p>
          <w:p>
            <w:pPr>
              <w:ind w:firstLine="0" w:firstLineChars="0"/>
              <w:rPr>
                <w:rFonts w:hint="eastAsia" w:eastAsiaTheme="minorEastAsia"/>
                <w:color w:val="000000" w:themeColor="text1"/>
                <w:kern w:val="0"/>
                <w:sz w:val="21"/>
                <w:szCs w:val="21"/>
                <w:lang w:eastAsia="zh-CN"/>
                <w14:textFill>
                  <w14:solidFill>
                    <w14:schemeClr w14:val="tx1"/>
                  </w14:solidFill>
                </w14:textFill>
              </w:rPr>
            </w:pPr>
            <w:r>
              <w:rPr>
                <w:rFonts w:hint="eastAsia"/>
                <w:color w:val="000000" w:themeColor="text1"/>
                <w:kern w:val="0"/>
                <w:sz w:val="21"/>
                <w:szCs w:val="21"/>
                <w14:textFill>
                  <w14:solidFill>
                    <w14:schemeClr w14:val="tx1"/>
                  </w14:solidFill>
                </w14:textFill>
              </w:rPr>
              <w:t>3.采购代理费收取银行账户</w:t>
            </w:r>
            <w:r>
              <w:rPr>
                <w:rFonts w:hint="eastAsia"/>
                <w:color w:val="000000" w:themeColor="text1"/>
                <w:kern w:val="0"/>
                <w:sz w:val="21"/>
                <w:szCs w:val="21"/>
                <w:lang w:eastAsia="zh-CN"/>
                <w14:textFill>
                  <w14:solidFill>
                    <w14:schemeClr w14:val="tx1"/>
                  </w14:solidFill>
                </w14:textFill>
              </w:rPr>
              <w:t>：</w:t>
            </w:r>
          </w:p>
          <w:p>
            <w:pPr>
              <w:ind w:firstLine="420"/>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 xml:space="preserve">账户名称：华物盛泰工程咨询管理有限公司 </w:t>
            </w:r>
          </w:p>
          <w:p>
            <w:pPr>
              <w:ind w:firstLine="420"/>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 xml:space="preserve">开户银行：中国工商银行南宁市津头支行( 可选南湖支行)  </w:t>
            </w:r>
          </w:p>
          <w:p>
            <w:pPr>
              <w:ind w:firstLine="420"/>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 xml:space="preserve">银行账号：2102 1083 0930 0006 294 </w:t>
            </w:r>
          </w:p>
          <w:p>
            <w:pPr>
              <w:ind w:firstLine="420"/>
              <w:rPr>
                <w:color w:val="000000" w:themeColor="text1"/>
                <w:kern w:val="0"/>
                <w14:textFill>
                  <w14:solidFill>
                    <w14:schemeClr w14:val="tx1"/>
                  </w14:solidFill>
                </w14:textFill>
              </w:rPr>
            </w:pPr>
            <w:r>
              <w:rPr>
                <w:rFonts w:hint="eastAsia"/>
                <w:color w:val="000000" w:themeColor="text1"/>
                <w:kern w:val="0"/>
                <w:sz w:val="21"/>
                <w:szCs w:val="21"/>
                <w14:textFill>
                  <w14:solidFill>
                    <w14:schemeClr w14:val="tx1"/>
                  </w14:solidFill>
                </w14:textFill>
              </w:rPr>
              <w:t>开户行行号：102611010834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3.1</w:t>
            </w:r>
          </w:p>
        </w:tc>
        <w:tc>
          <w:tcPr>
            <w:tcW w:w="8557" w:type="dxa"/>
            <w:vAlign w:val="center"/>
          </w:tcPr>
          <w:p>
            <w:pPr>
              <w:ind w:firstLine="0" w:firstLineChars="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解释：</w:t>
            </w:r>
            <w:r>
              <w:rPr>
                <w:rFonts w:hAnsi="宋体"/>
                <w:color w:val="000000" w:themeColor="text1"/>
                <w14:textFill>
                  <w14:solidFill>
                    <w14:schemeClr w14:val="tx1"/>
                  </w14:solidFill>
                </w14:textFill>
              </w:rPr>
              <w:t>构成本</w:t>
            </w:r>
            <w:r>
              <w:rPr>
                <w:rFonts w:hint="eastAsia" w:hAnsi="宋体"/>
                <w:color w:val="000000" w:themeColor="text1"/>
                <w14:textFill>
                  <w14:solidFill>
                    <w14:schemeClr w14:val="tx1"/>
                  </w14:solidFill>
                </w14:textFill>
              </w:rPr>
              <w:t>磋商文件</w:t>
            </w:r>
            <w:r>
              <w:rPr>
                <w:rFonts w:hAnsi="宋体"/>
                <w:color w:val="000000" w:themeColor="text1"/>
                <w14:textFill>
                  <w14:solidFill>
                    <w14:schemeClr w14:val="tx1"/>
                  </w14:solidFill>
                </w14:textFill>
              </w:rPr>
              <w:t>的各个组成文件应互为解释，互为说明；除</w:t>
            </w:r>
            <w:r>
              <w:rPr>
                <w:rFonts w:hint="eastAsia" w:hAnsi="宋体"/>
                <w:color w:val="000000" w:themeColor="text1"/>
                <w14:textFill>
                  <w14:solidFill>
                    <w14:schemeClr w14:val="tx1"/>
                  </w14:solidFill>
                </w14:textFill>
              </w:rPr>
              <w:t>磋商文件</w:t>
            </w:r>
            <w:r>
              <w:rPr>
                <w:rFonts w:hAnsi="宋体"/>
                <w:color w:val="000000" w:themeColor="text1"/>
                <w14:textFill>
                  <w14:solidFill>
                    <w14:schemeClr w14:val="tx1"/>
                  </w14:solidFill>
                </w14:textFill>
              </w:rPr>
              <w:t>中有特别规定外，仅适用于</w:t>
            </w:r>
            <w:r>
              <w:rPr>
                <w:rFonts w:hint="eastAsia" w:hAnsi="宋体"/>
                <w:color w:val="000000" w:themeColor="text1"/>
                <w14:textFill>
                  <w14:solidFill>
                    <w14:schemeClr w14:val="tx1"/>
                  </w14:solidFill>
                </w14:textFill>
              </w:rPr>
              <w:t>竞标</w:t>
            </w:r>
            <w:r>
              <w:rPr>
                <w:rFonts w:hAnsi="宋体"/>
                <w:color w:val="000000" w:themeColor="text1"/>
                <w14:textFill>
                  <w14:solidFill>
                    <w14:schemeClr w14:val="tx1"/>
                  </w14:solidFill>
                </w14:textFill>
              </w:rPr>
              <w:t>阶段的规定，按</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竞争性磋商</w:t>
            </w:r>
            <w:r>
              <w:rPr>
                <w:rFonts w:hAnsi="宋体"/>
                <w:color w:val="000000" w:themeColor="text1"/>
                <w14:textFill>
                  <w14:solidFill>
                    <w14:schemeClr w14:val="tx1"/>
                  </w14:solidFill>
                </w14:textFill>
              </w:rPr>
              <w:t>公告、</w:t>
            </w:r>
            <w:r>
              <w:rPr>
                <w:rFonts w:hint="eastAsia" w:hAnsi="宋体"/>
                <w:color w:val="000000" w:themeColor="text1"/>
                <w14:textFill>
                  <w14:solidFill>
                    <w14:schemeClr w14:val="tx1"/>
                  </w14:solidFill>
                </w14:textFill>
              </w:rPr>
              <w:t>供应商</w:t>
            </w:r>
            <w:r>
              <w:rPr>
                <w:rFonts w:hAnsi="宋体"/>
                <w:color w:val="000000" w:themeColor="text1"/>
                <w14:textFill>
                  <w14:solidFill>
                    <w14:schemeClr w14:val="tx1"/>
                  </w14:solidFill>
                </w14:textFill>
              </w:rPr>
              <w:t>须知</w:t>
            </w:r>
            <w:r>
              <w:rPr>
                <w:rFonts w:hint="eastAsia" w:hAnsi="宋体"/>
                <w:color w:val="000000" w:themeColor="text1"/>
                <w14:textFill>
                  <w14:solidFill>
                    <w14:schemeClr w14:val="tx1"/>
                  </w14:solidFill>
                </w14:textFill>
              </w:rPr>
              <w:t>、采购需求</w:t>
            </w:r>
            <w:r>
              <w:rPr>
                <w:rFonts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评审程序、评审方法和评审标准</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响应</w:t>
            </w:r>
            <w:r>
              <w:rPr>
                <w:rFonts w:hAnsi="宋体"/>
                <w:color w:val="000000" w:themeColor="text1"/>
                <w14:textFill>
                  <w14:solidFill>
                    <w14:schemeClr w14:val="tx1"/>
                  </w14:solidFill>
                </w14:textFill>
              </w:rPr>
              <w:t>文件格式</w:t>
            </w:r>
            <w:r>
              <w:rPr>
                <w:rFonts w:hint="eastAsia" w:hAnsi="宋体"/>
                <w:color w:val="000000" w:themeColor="text1"/>
                <w14:textFill>
                  <w14:solidFill>
                    <w14:schemeClr w14:val="tx1"/>
                  </w14:solidFill>
                </w14:textFill>
              </w:rPr>
              <w:t>、合同文本</w:t>
            </w:r>
            <w:r>
              <w:rPr>
                <w:rFonts w:hAnsi="宋体"/>
                <w:color w:val="000000" w:themeColor="text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与同步更新的</w:t>
            </w:r>
            <w:r>
              <w:rPr>
                <w:rFonts w:hint="eastAsia" w:hAnsi="宋体"/>
                <w:color w:val="000000" w:themeColor="text1"/>
                <w14:textFill>
                  <w14:solidFill>
                    <w14:schemeClr w14:val="tx1"/>
                  </w14:solidFill>
                </w14:textFill>
              </w:rPr>
              <w:t>磋商文件</w:t>
            </w:r>
            <w:r>
              <w:rPr>
                <w:rFonts w:hAnsi="宋体"/>
                <w:color w:val="000000" w:themeColor="text1"/>
                <w14:textFill>
                  <w14:solidFill>
                    <w14:schemeClr w14:val="tx1"/>
                  </w14:solidFill>
                </w14:textFill>
              </w:rPr>
              <w:t>不一致时以</w:t>
            </w:r>
            <w:r>
              <w:rPr>
                <w:rFonts w:hint="eastAsia" w:hAnsi="宋体"/>
                <w:color w:val="000000" w:themeColor="text1"/>
                <w14:textFill>
                  <w14:solidFill>
                    <w14:schemeClr w14:val="tx1"/>
                  </w14:solidFill>
                </w14:textFill>
              </w:rPr>
              <w:t>更正公告（澄清公告）</w:t>
            </w:r>
            <w:r>
              <w:rPr>
                <w:rFonts w:hAnsi="宋体"/>
                <w:color w:val="000000" w:themeColor="text1"/>
                <w14:textFill>
                  <w14:solidFill>
                    <w14:schemeClr w14:val="tx1"/>
                  </w14:solidFill>
                </w14:textFill>
              </w:rPr>
              <w:t>为准。按本款前述规定仍不能形成结论的，由</w:t>
            </w:r>
            <w:r>
              <w:rPr>
                <w:rFonts w:hint="eastAsia" w:hAnsi="宋体"/>
                <w:color w:val="000000" w:themeColor="text1"/>
                <w14:textFill>
                  <w14:solidFill>
                    <w14:schemeClr w14:val="tx1"/>
                  </w14:solidFill>
                </w14:textFill>
              </w:rPr>
              <w:t>采购</w:t>
            </w:r>
            <w:r>
              <w:rPr>
                <w:rFonts w:hAnsi="宋体"/>
                <w:color w:val="000000" w:themeColor="text1"/>
                <w14:textFill>
                  <w14:solidFill>
                    <w14:schemeClr w14:val="tx1"/>
                  </w14:solidFill>
                </w14:textFill>
              </w:rPr>
              <w:t>人</w:t>
            </w:r>
            <w:r>
              <w:rPr>
                <w:rFonts w:hint="eastAsia" w:hAnsi="宋体"/>
                <w:color w:val="000000" w:themeColor="text1"/>
                <w14:textFill>
                  <w14:solidFill>
                    <w14:schemeClr w14:val="tx1"/>
                  </w14:solidFill>
                </w14:textFill>
              </w:rPr>
              <w:t>或者采购代理机构</w:t>
            </w:r>
            <w:r>
              <w:rPr>
                <w:rFonts w:hAnsi="宋体"/>
                <w:color w:val="000000" w:themeColor="text1"/>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2"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3.2</w:t>
            </w:r>
          </w:p>
        </w:tc>
        <w:tc>
          <w:tcPr>
            <w:tcW w:w="8557" w:type="dxa"/>
            <w:vAlign w:val="center"/>
          </w:tcPr>
          <w:p>
            <w:pPr>
              <w:widowControl w:val="0"/>
              <w:snapToGrid w:val="0"/>
              <w:ind w:firstLine="42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widowControl w:val="0"/>
              <w:snapToGrid w:val="0"/>
              <w:ind w:firstLine="42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2.本磋商文件所称的“</w:t>
            </w:r>
            <w:r>
              <w:rPr>
                <w:rFonts w:hint="eastAsia" w:ascii="宋体" w:hAnsi="宋体" w:eastAsia="宋体" w:cs="Times New Roman"/>
                <w:color w:val="000000" w:themeColor="text1"/>
                <w:kern w:val="0"/>
                <w14:textFill>
                  <w14:solidFill>
                    <w14:schemeClr w14:val="tx1"/>
                  </w14:solidFill>
                </w14:textFill>
              </w:rPr>
              <w:t>电子签章</w:t>
            </w:r>
            <w:r>
              <w:rPr>
                <w:rFonts w:hint="eastAsia" w:ascii="宋体" w:hAnsi="宋体" w:eastAsia="宋体" w:cs="宋体"/>
                <w:bCs/>
                <w:color w:val="000000" w:themeColor="text1"/>
                <w:kern w:val="0"/>
                <w14:textFill>
                  <w14:solidFill>
                    <w14:schemeClr w14:val="tx1"/>
                  </w14:solidFill>
                </w14:textFill>
              </w:rPr>
              <w:t>”、“电子签名”</w:t>
            </w:r>
            <w:r>
              <w:rPr>
                <w:rFonts w:hint="eastAsia" w:ascii="宋体" w:hAnsi="宋体" w:eastAsia="宋体" w:cs="Times New Roman"/>
                <w:color w:val="000000" w:themeColor="text1"/>
                <w:kern w:val="0"/>
                <w14:textFill>
                  <w14:solidFill>
                    <w14:schemeClr w14:val="tx1"/>
                  </w14:solidFill>
                </w14:textFill>
              </w:rPr>
              <w:t>，是指经“政采云”平台认可的CA认证的电子签名数据为表现形式的印章，可用于签署电子响应文件，电子印章与实物印章具有同等法律效力，不因其采用电子化表现形式而否定其法律效力。</w:t>
            </w:r>
          </w:p>
          <w:p>
            <w:pPr>
              <w:widowControl w:val="0"/>
              <w:snapToGrid w:val="0"/>
              <w:ind w:firstLine="420"/>
              <w:rPr>
                <w:rFonts w:ascii="宋体" w:hAnsi="宋体" w:eastAsia="宋体" w:cs="宋体"/>
                <w:bCs/>
                <w:color w:val="000000" w:themeColor="text1"/>
                <w:kern w:val="0"/>
                <w14:textFill>
                  <w14:solidFill>
                    <w14:schemeClr w14:val="tx1"/>
                  </w14:solidFill>
                </w14:textFill>
              </w:rPr>
            </w:pPr>
            <w:r>
              <w:rPr>
                <w:rFonts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.供应商为其他组织或者自然人时，本磋商文件规定的法定代表人指负责人或者自然人。本磋商文件所称负责人是指参加竞标的其他组织</w:t>
            </w:r>
            <w:r>
              <w:rPr>
                <w:rFonts w:hint="eastAsia" w:ascii="宋体" w:hAnsi="宋体" w:eastAsia="宋体" w:cs="宋体"/>
                <w:bCs/>
                <w:color w:val="000000" w:themeColor="text1"/>
                <w:kern w:val="0"/>
                <w14:textFill>
                  <w14:solidFill>
                    <w14:schemeClr w14:val="tx1"/>
                  </w14:solidFill>
                </w14:textFill>
              </w:rPr>
              <w:t>营业执照或者执业许可证等证照上的</w:t>
            </w:r>
            <w:r>
              <w:rPr>
                <w:rFonts w:hint="eastAsia" w:ascii="宋体" w:hAnsi="宋体" w:eastAsia="宋体" w:cs="宋体"/>
                <w:color w:val="000000" w:themeColor="text1"/>
                <w:kern w:val="0"/>
                <w14:textFill>
                  <w14:solidFill>
                    <w14:schemeClr w14:val="tx1"/>
                  </w14:solidFill>
                </w14:textFill>
              </w:rPr>
              <w:t>负责人，本磋商文件所称自然人指参与竞标的自然人本人，</w:t>
            </w:r>
            <w:r>
              <w:rPr>
                <w:rFonts w:hint="eastAsia" w:ascii="宋体" w:hAnsi="宋体" w:eastAsia="宋体" w:cs="宋体"/>
                <w:bCs/>
                <w:color w:val="000000" w:themeColor="text1"/>
                <w:kern w:val="0"/>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pPr>
              <w:widowControl w:val="0"/>
              <w:snapToGrid w:val="0"/>
              <w:ind w:firstLine="420"/>
              <w:rPr>
                <w:rFonts w:ascii="宋体" w:hAnsi="宋体" w:eastAsia="宋体" w:cs="宋体"/>
                <w:color w:val="000000" w:themeColor="text1"/>
                <w:kern w:val="0"/>
                <w14:textFill>
                  <w14:solidFill>
                    <w14:schemeClr w14:val="tx1"/>
                  </w14:solidFill>
                </w14:textFill>
              </w:rPr>
            </w:pPr>
            <w:r>
              <w:rPr>
                <w:rFonts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pPr>
              <w:ind w:firstLine="420"/>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9639" w:type="dxa"/>
            <w:gridSpan w:val="2"/>
            <w:vAlign w:val="center"/>
          </w:tcPr>
          <w:p>
            <w:pPr>
              <w:ind w:left="0" w:leftChars="0" w:firstLine="0" w:firstLineChars="0"/>
              <w:rPr>
                <w:rFonts w:hint="eastAsia" w:ascii="宋体" w:hAnsi="宋体" w:eastAsia="宋体" w:cs="宋体"/>
                <w:color w:val="000000" w:themeColor="text1"/>
                <w:szCs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r>
              <w:rPr>
                <w:rFonts w:hint="eastAsia" w:hAnsi="宋体" w:cs="宋体"/>
                <w:b/>
                <w:bCs/>
                <w:color w:val="000000" w:themeColor="text1"/>
                <w:szCs w:val="21"/>
                <w14:textFill>
                  <w14:solidFill>
                    <w14:schemeClr w14:val="tx1"/>
                  </w14:solidFill>
                </w14:textFill>
              </w:rPr>
              <w:t>文中需提供原件部分可为电子版原件或彩色扫描件。</w:t>
            </w:r>
          </w:p>
        </w:tc>
      </w:tr>
    </w:tbl>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8"/>
        <w:rPr>
          <w:color w:val="000000" w:themeColor="text1"/>
          <w14:textFill>
            <w14:solidFill>
              <w14:schemeClr w14:val="tx1"/>
            </w14:solidFill>
          </w14:textFill>
        </w:rPr>
      </w:pPr>
      <w:bookmarkStart w:id="24" w:name="_Toc13669"/>
      <w:r>
        <w:rPr>
          <w:rFonts w:hint="eastAsia"/>
          <w:color w:val="000000" w:themeColor="text1"/>
          <w14:textFill>
            <w14:solidFill>
              <w14:schemeClr w14:val="tx1"/>
            </w14:solidFill>
          </w14:textFill>
        </w:rPr>
        <w:t>供应商须知正文</w:t>
      </w:r>
      <w:bookmarkEnd w:id="24"/>
    </w:p>
    <w:p>
      <w:pPr>
        <w:pStyle w:val="62"/>
        <w:rPr>
          <w:color w:val="000000" w:themeColor="text1"/>
          <w14:textFill>
            <w14:solidFill>
              <w14:schemeClr w14:val="tx1"/>
            </w14:solidFill>
          </w14:textFill>
        </w:rPr>
      </w:pPr>
      <w:bookmarkStart w:id="25" w:name="_Toc13740"/>
      <w:r>
        <w:rPr>
          <w:rFonts w:hint="eastAsia"/>
          <w:color w:val="000000" w:themeColor="text1"/>
          <w14:textFill>
            <w14:solidFill>
              <w14:schemeClr w14:val="tx1"/>
            </w14:solidFill>
          </w14:textFill>
        </w:rPr>
        <w:t>一、总则</w:t>
      </w:r>
      <w:bookmarkEnd w:id="25"/>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1.适用范围</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color w:val="000000" w:themeColor="text1"/>
          <w14:textFill>
            <w14:solidFill>
              <w14:schemeClr w14:val="tx1"/>
            </w14:solidFill>
          </w14:textFill>
        </w:rPr>
        <w:t>《政府采购竞争性磋商采购方式管理暂行办法》、《财政部关于政府采购竞争性磋商采购方式管理暂行办法有关问题的补充通知》</w:t>
      </w:r>
      <w:r>
        <w:rPr>
          <w:rFonts w:hint="eastAsia" w:cs="宋体"/>
          <w:color w:val="000000" w:themeColor="text1"/>
          <w14:textFill>
            <w14:solidFill>
              <w14:schemeClr w14:val="tx1"/>
            </w14:solidFill>
          </w14:textFill>
        </w:rPr>
        <w:t>及本项目本级和上级财政部门政府采购有关规定的约束和保护。</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w:t>
      </w:r>
      <w:r>
        <w:rPr>
          <w:rFonts w:hint="eastAsia" w:cs="宋体"/>
          <w:color w:val="000000" w:themeColor="text1"/>
          <w:spacing w:val="-6"/>
          <w14:textFill>
            <w14:solidFill>
              <w14:schemeClr w14:val="tx1"/>
            </w14:solidFill>
          </w14:textFill>
        </w:rPr>
        <w:t>本竞争性磋商文件（以下简称磋商文件）适用于本项目的所有采购程序和环节（法律、法规另有规定的，从其规定）。</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2.定义</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2.1“采购人”是指依法进行政府采购的国家机关、事业单位、团体组织。</w:t>
      </w:r>
    </w:p>
    <w:p>
      <w:pPr>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2.2“采购代理机构”是指政府采购集中采购机构和集中采购机构以外的采购代理机构。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2.3“供应商”是指向采购人提供货物、工程或者服务的法人、其他组织或者自然人。</w:t>
      </w:r>
    </w:p>
    <w:p>
      <w:pPr>
        <w:ind w:firstLine="420"/>
        <w:rPr>
          <w:rFonts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rFonts w:hint="eastAsia" w:ascii="宋体" w:hAnsi="宋体" w:eastAsia="宋体" w:cs="Times New Roman"/>
          <w:color w:val="000000" w:themeColor="text1"/>
          <w14:textFill>
            <w14:solidFill>
              <w14:schemeClr w14:val="tx1"/>
            </w14:solidFill>
          </w14:textFill>
        </w:rPr>
        <w:t>“服务”是指除货物和工程以外的其他政府采购对象。</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“竞标”是指供应商按照本项目竞争性磋商公告或者邀请函规定的方式获取磋商文件、提交响应文件并希望获得标的的行为。</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6</w:t>
      </w:r>
      <w:r>
        <w:rPr>
          <w:rFonts w:hint="eastAsia" w:cs="宋体"/>
          <w:color w:val="000000" w:themeColor="text1"/>
          <w14:textFill>
            <w14:solidFill>
              <w14:schemeClr w14:val="tx1"/>
            </w14:solidFill>
          </w14:textFill>
        </w:rPr>
        <w:t>“书面形式”是指合同书、信件和数据电文（包括电报、电传、传真、电子数据交换和电子邮件）等可以有形地表现所载内容的形式。</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7</w:t>
      </w:r>
      <w:r>
        <w:rPr>
          <w:rFonts w:hint="eastAsia" w:cs="宋体"/>
          <w:color w:val="000000" w:themeColor="text1"/>
          <w14:textFill>
            <w14:solidFill>
              <w14:schemeClr w14:val="tx1"/>
            </w14:solidFill>
          </w14:textFill>
        </w:rPr>
        <w:t>“响应文件”</w:t>
      </w:r>
      <w:r>
        <w:rPr>
          <w:rFonts w:hint="eastAsia" w:cs="宋体"/>
          <w:color w:val="000000" w:themeColor="text1"/>
          <w:spacing w:val="-6"/>
          <w14:textFill>
            <w14:solidFill>
              <w14:schemeClr w14:val="tx1"/>
            </w14:solidFill>
          </w14:textFill>
        </w:rPr>
        <w:t>是指：供应商根据本磋商文件要求，编制包含资格证明、报价商务技术等所有内容的文件。</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8</w:t>
      </w:r>
      <w:r>
        <w:rPr>
          <w:rFonts w:hint="eastAsia" w:cs="宋体"/>
          <w:color w:val="000000" w:themeColor="text1"/>
          <w14:textFill>
            <w14:solidFill>
              <w14:schemeClr w14:val="tx1"/>
            </w14:solidFill>
          </w14:textFill>
        </w:rPr>
        <w:t>“实质性要求”是指磋商文件中已经指明不满足则响应文件按无效响应处理的条款，或者不能负偏离的条款，或者采购需求中带“▲”的条款。</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9</w:t>
      </w:r>
      <w:r>
        <w:rPr>
          <w:rFonts w:hint="eastAsia" w:cs="宋体"/>
          <w:color w:val="000000" w:themeColor="text1"/>
          <w14:textFill>
            <w14:solidFill>
              <w14:schemeClr w14:val="tx1"/>
            </w14:solidFill>
          </w14:textFill>
        </w:rPr>
        <w:t>“正偏离”，是指响应文件对磋商文件“采购需求”中有关条款作出的响应优于条款要求并有利于采购人的情形。</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1</w:t>
      </w:r>
      <w:r>
        <w:rPr>
          <w:rFonts w:cs="宋体"/>
          <w:color w:val="000000" w:themeColor="text1"/>
          <w14:textFill>
            <w14:solidFill>
              <w14:schemeClr w14:val="tx1"/>
            </w14:solidFill>
          </w14:textFill>
        </w:rPr>
        <w:t>0</w:t>
      </w:r>
      <w:r>
        <w:rPr>
          <w:rFonts w:hint="eastAsia" w:cs="宋体"/>
          <w:color w:val="000000" w:themeColor="text1"/>
          <w14:textFill>
            <w14:solidFill>
              <w14:schemeClr w14:val="tx1"/>
            </w14:solidFill>
          </w14:textFill>
        </w:rPr>
        <w:t>“负偏离”，是指响应文件对磋商文件“采购需求”中有关条款作出的响应不满足条款要求，导致采购人要求不能得到满足的情形。</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2.1</w:t>
      </w: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“允许负偏离的条款”是指采购需求中的不属于“实质性要求”的条款。</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12</w:t>
      </w:r>
      <w:r>
        <w:rPr>
          <w:rFonts w:hint="eastAsia" w:cs="宋体"/>
          <w:color w:val="000000" w:themeColor="text1"/>
          <w14:textFill>
            <w14:solidFill>
              <w14:schemeClr w14:val="tx1"/>
            </w14:solidFill>
          </w14:textFill>
        </w:rPr>
        <w:t>“首次报价”是指供应商提交的首次响应文件中的报价。</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3.供应商的资格条件</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供应商的资格条件详见“供应商须知前附表”。</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4.竞标费用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5.联合体竞标</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5.1本项目是否接受联合体竞标，详见“供应商须知前附表”。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w:t>
      </w:r>
      <w:r>
        <w:rPr>
          <w:rFonts w:hint="eastAsia"/>
          <w:color w:val="000000" w:themeColor="text1"/>
          <w:szCs w:val="24"/>
          <w14:textFill>
            <w14:solidFill>
              <w14:schemeClr w14:val="tx1"/>
            </w14:solidFill>
          </w14:textFill>
        </w:rPr>
        <w:t>如接受联合体竞标，</w:t>
      </w:r>
      <w:r>
        <w:rPr>
          <w:rFonts w:hint="eastAsia" w:cs="宋体"/>
          <w:color w:val="000000" w:themeColor="text1"/>
          <w14:textFill>
            <w14:solidFill>
              <w14:schemeClr w14:val="tx1"/>
            </w14:solidFill>
          </w14:textFill>
        </w:rPr>
        <w:t>联合体竞标要求详见“供应商须知前附表”。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w:t>
      </w:r>
      <w:r>
        <w:rPr>
          <w:rFonts w:hint="eastAsia"/>
          <w:color w:val="000000" w:themeColor="text1"/>
          <w14:textFill>
            <w14:solidFill>
              <w14:schemeClr w14:val="tx1"/>
            </w14:solidFill>
          </w14:textFill>
        </w:rPr>
        <w:t>根据《政府采购促进中小企业发展管理办法》（财库〔2020〕46号）</w:t>
      </w:r>
      <w:r>
        <w:rPr>
          <w:rFonts w:hint="eastAsia"/>
          <w:color w:val="000000" w:themeColor="text1"/>
          <w:lang w:eastAsia="zh-CN"/>
          <w14:textFill>
            <w14:solidFill>
              <w14:schemeClr w14:val="tx1"/>
            </w14:solidFill>
          </w14:textFill>
        </w:rPr>
        <w:t>、《关于进一步加大政府采购支持中小企业力度的通知》（财库〔2022〕19号）</w:t>
      </w:r>
      <w:r>
        <w:rPr>
          <w:rFonts w:hint="eastAsia"/>
          <w:color w:val="000000" w:themeColor="text1"/>
          <w14:textFill>
            <w14:solidFill>
              <w14:schemeClr w14:val="tx1"/>
            </w14:solidFill>
          </w14:textFill>
        </w:rPr>
        <w:t>的规定，大中型企业与小微企业组成联合体或者大中型企业向小微企业分包的，采购人、采购代理机构应当对联合体或者大中型企业的报价予以4%—6%的扣除，用扣除后的价格参加评审。</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6.转包与分包</w:t>
      </w:r>
    </w:p>
    <w:p>
      <w:pPr>
        <w:ind w:firstLine="420"/>
        <w:rPr>
          <w:bCs/>
          <w:color w:val="000000" w:themeColor="text1"/>
          <w:lang w:val="zh-CN"/>
          <w14:textFill>
            <w14:solidFill>
              <w14:schemeClr w14:val="tx1"/>
            </w14:solidFill>
          </w14:textFill>
        </w:rPr>
      </w:pPr>
      <w:r>
        <w:rPr>
          <w:rFonts w:hint="eastAsia"/>
          <w:bCs/>
          <w:color w:val="000000" w:themeColor="text1"/>
          <w:lang w:val="zh-CN"/>
          <w14:textFill>
            <w14:solidFill>
              <w14:schemeClr w14:val="tx1"/>
            </w14:solidFill>
          </w14:textFill>
        </w:rPr>
        <w:t>6.1本项目不允许转包。</w:t>
      </w:r>
    </w:p>
    <w:p>
      <w:pPr>
        <w:ind w:firstLine="420"/>
        <w:rPr>
          <w:bCs/>
          <w:color w:val="000000" w:themeColor="text1"/>
          <w:lang w:val="zh-CN"/>
          <w14:textFill>
            <w14:solidFill>
              <w14:schemeClr w14:val="tx1"/>
            </w14:solidFill>
          </w14:textFill>
        </w:rPr>
      </w:pPr>
      <w:r>
        <w:rPr>
          <w:rFonts w:hint="eastAsia"/>
          <w:bCs/>
          <w:color w:val="000000" w:themeColor="text1"/>
          <w:lang w:val="zh-CN"/>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ind w:firstLine="420"/>
        <w:rPr>
          <w:bCs/>
          <w:color w:val="000000" w:themeColor="text1"/>
          <w:lang w:val="zh-CN"/>
          <w14:textFill>
            <w14:solidFill>
              <w14:schemeClr w14:val="tx1"/>
            </w14:solidFill>
          </w14:textFill>
        </w:rPr>
      </w:pPr>
      <w:r>
        <w:rPr>
          <w:rFonts w:hint="eastAsia"/>
          <w:bCs/>
          <w:color w:val="000000" w:themeColor="text1"/>
          <w:lang w:val="zh-CN"/>
          <w14:textFill>
            <w14:solidFill>
              <w14:schemeClr w14:val="tx1"/>
            </w14:solidFill>
          </w14:textFill>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7.特别说明</w:t>
      </w:r>
    </w:p>
    <w:p>
      <w:pPr>
        <w:ind w:firstLine="420"/>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如果本磋商文件要求提供供应商或制造商（或承接服务供应商）的资格、信誉、荣誉、业绩与企业认证等材料的，资格、信誉、荣誉、业绩与企业认证等必须为供应商或者制造商（或承接服务供应商）的所拥有或自身获得 </w:t>
      </w:r>
      <w:r>
        <w:rPr>
          <w:rFonts w:hint="eastAsia" w:cs="宋体"/>
          <w:color w:val="000000" w:themeColor="text1"/>
          <w14:textFill>
            <w14:solidFill>
              <w14:schemeClr w14:val="tx1"/>
            </w14:solidFill>
          </w14:textFill>
        </w:rPr>
        <w:t>。</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供应商应仔细阅读磋商文件的所有内容，按照磋商文件的要求提交响应文件，并对所提供的全部资料的真实性承担法律责任。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w:t>
      </w: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w:t>
      </w:r>
      <w:r>
        <w:rPr>
          <w:rFonts w:cs="宋体"/>
          <w:color w:val="000000" w:themeColor="text1"/>
          <w14:textFill>
            <w14:solidFill>
              <w14:schemeClr w14:val="tx1"/>
            </w14:solidFill>
          </w14:textFill>
        </w:rPr>
        <w:t>4</w:t>
      </w:r>
      <w:r>
        <w:rPr>
          <w:rFonts w:hint="eastAsia" w:cs="宋体"/>
          <w:color w:val="000000" w:themeColor="text1"/>
          <w14:textFill>
            <w14:solidFill>
              <w14:schemeClr w14:val="tx1"/>
            </w14:solidFill>
          </w14:textFill>
        </w:rPr>
        <w:t>在政府采购活动中，采购人员及相关人员与供应商有下列利害关系之一的，应当回避：</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（1）参加采购活动前3年内与供应商存在劳动关系；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（2）参加采购活动前3年内担任供应商的董事、监事；</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（3）参加采购活动前3年内是供应商的控股股东或者实际控制人；</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（4）与供应商的法定代表人或者负责人有夫妻、直系血亲、三代以内旁系血亲或者近姻亲关系；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（5）与供应商有其他可能影响政府采购活动公平、公正进行的关系。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w:t>
      </w: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有下列情形之一的视为供应商相互串通竞标，响应文件将被视为无效：</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（1）不同供应商的响应文件由同一单位或者个人编制； </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（2）不同供应商委托同一单位或者个人办理竞标事宜；</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（3）不同的供应商的响应文件载明的项目管理员为同一个人；</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（4）不同供应商的响应文件异常一致或者报价呈规律性差异；</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（5）不同供应商的响应文件相互混装；</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（6）不同供应商的磋商保证金从同一单位或者个人账户转出。</w:t>
      </w:r>
      <w:r>
        <w:rPr>
          <w:rFonts w:cs="宋体"/>
          <w:color w:val="000000" w:themeColor="text1"/>
          <w14:textFill>
            <w14:solidFill>
              <w14:schemeClr w14:val="tx1"/>
            </w14:solidFill>
          </w14:textFill>
        </w:rPr>
        <w:tab/>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w:t>
      </w:r>
      <w:r>
        <w:rPr>
          <w:rFonts w:cs="宋体"/>
          <w:color w:val="000000" w:themeColor="text1"/>
          <w14:textFill>
            <w14:solidFill>
              <w14:schemeClr w14:val="tx1"/>
            </w14:solidFill>
          </w14:textFill>
        </w:rPr>
        <w:t>6</w:t>
      </w:r>
      <w:r>
        <w:rPr>
          <w:rFonts w:hint="eastAsia" w:cs="宋体"/>
          <w:color w:val="000000" w:themeColor="text1"/>
          <w14:textFill>
            <w14:solidFill>
              <w14:schemeClr w14:val="tx1"/>
            </w14:solidFill>
          </w14:textFill>
        </w:rPr>
        <w:t>供应商有下列情形之一的，属于恶意串通行为，将报同级监督管理部门：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（1）供应商直接或者间接从采购人或者采购代理机构处获得其他供应商的相关信息并修改其响应文件；</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（2）供应商按照采购人或者采购代理机构的授意撤换、修改响应文件；</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（3）供应商之间协商报价、技术方案等响应文件或者响应文件的实质性内容；</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（4）属于同一集团、协会、商会等组织成员的供应商按照该组织要求协同参加政府采购活动；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（6）供应商之间商定部分供应商放弃参加政府采购活动或者放弃成交；</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（7）供应商与采购人或者采购代理机构之间、供应商相互之间，为谋求特定供应商成交或者排斥其他供应商的其他串通行为。</w:t>
      </w:r>
    </w:p>
    <w:p>
      <w:pPr>
        <w:pStyle w:val="62"/>
        <w:rPr>
          <w:color w:val="000000" w:themeColor="text1"/>
          <w14:textFill>
            <w14:solidFill>
              <w14:schemeClr w14:val="tx1"/>
            </w14:solidFill>
          </w14:textFill>
        </w:rPr>
      </w:pPr>
      <w:bookmarkStart w:id="26" w:name="_Toc254970675"/>
      <w:bookmarkStart w:id="27" w:name="_Toc254970534"/>
      <w:bookmarkStart w:id="28" w:name="_Toc16301"/>
      <w:r>
        <w:rPr>
          <w:rFonts w:hint="eastAsia"/>
          <w:color w:val="000000" w:themeColor="text1"/>
          <w14:textFill>
            <w14:solidFill>
              <w14:schemeClr w14:val="tx1"/>
            </w14:solidFill>
          </w14:textFill>
        </w:rPr>
        <w:t>二、磋商文件</w:t>
      </w:r>
      <w:bookmarkEnd w:id="26"/>
      <w:bookmarkEnd w:id="27"/>
      <w:bookmarkEnd w:id="28"/>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8.磋商文件的构成</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（1）竞争性磋商公告；</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（2）供应商须知；</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（3）采购需求；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（4）评审程序、评审方法和评审标准；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（5）响应文件格式；</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（6）合同文本。</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9.供应商的询问</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供应商应认真阅读磋商文件的采购需求，如供应商对磋商文件有疑问的，如要求采购人作出澄清或者修改的，供应商尽可能在</w:t>
      </w:r>
      <w:r>
        <w:rPr>
          <w:color w:val="000000" w:themeColor="text1"/>
          <w14:textFill>
            <w14:solidFill>
              <w14:schemeClr w14:val="tx1"/>
            </w14:solidFill>
          </w14:textFill>
        </w:rPr>
        <w:t>提交首次响应文件截止之日前</w:t>
      </w:r>
      <w:r>
        <w:rPr>
          <w:rFonts w:hint="eastAsia"/>
          <w:color w:val="000000" w:themeColor="text1"/>
          <w14:textFill>
            <w14:solidFill>
              <w14:schemeClr w14:val="tx1"/>
            </w14:solidFill>
          </w14:textFill>
        </w:rPr>
        <w:t>，以书面形式向</w:t>
      </w:r>
      <w:r>
        <w:rPr>
          <w:color w:val="000000" w:themeColor="text1"/>
          <w14:textFill>
            <w14:solidFill>
              <w14:schemeClr w14:val="tx1"/>
            </w14:solidFill>
          </w14:textFill>
        </w:rPr>
        <w:t>采购人、采购代理机构</w:t>
      </w:r>
      <w:r>
        <w:rPr>
          <w:rFonts w:hint="eastAsia"/>
          <w:color w:val="000000" w:themeColor="text1"/>
          <w14:textFill>
            <w14:solidFill>
              <w14:schemeClr w14:val="tx1"/>
            </w14:solidFill>
          </w14:textFill>
        </w:rPr>
        <w:t>提出。</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10.磋商文件的澄清和修改</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color w:val="000000" w:themeColor="text1"/>
          <w14:textFill>
            <w14:solidFill>
              <w14:schemeClr w14:val="tx1"/>
            </w14:solidFill>
          </w14:textFill>
        </w:rPr>
        <w:t>获取</w:t>
      </w:r>
      <w:r>
        <w:rPr>
          <w:color w:val="000000" w:themeColor="text1"/>
          <w14:textFill>
            <w14:solidFill>
              <w14:schemeClr w14:val="tx1"/>
            </w14:solidFill>
          </w14:textFill>
        </w:rPr>
        <w:t>磋商文件的供应商，不足3个工作日的，应当顺延提交首次响应文件截止之日。</w:t>
      </w:r>
    </w:p>
    <w:p>
      <w:pPr>
        <w:pStyle w:val="62"/>
        <w:rPr>
          <w:color w:val="000000" w:themeColor="text1"/>
          <w14:textFill>
            <w14:solidFill>
              <w14:schemeClr w14:val="tx1"/>
            </w14:solidFill>
          </w14:textFill>
        </w:rPr>
      </w:pPr>
      <w:bookmarkStart w:id="29" w:name="_Toc24153"/>
      <w:r>
        <w:rPr>
          <w:rFonts w:hint="eastAsia"/>
          <w:color w:val="000000" w:themeColor="text1"/>
          <w14:textFill>
            <w14:solidFill>
              <w14:schemeClr w14:val="tx1"/>
            </w14:solidFill>
          </w14:textFill>
        </w:rPr>
        <w:t>三、响应文件的编制</w:t>
      </w:r>
      <w:bookmarkEnd w:id="29"/>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11.响应文件的编制原则</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供应商必须按照磋商文件的要求编制响应文件，并对其提交的响应文件的真实性、合法性承担法律责任。响应文件必须对磋商文件作出实质性响应。</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12.响应文件的组成</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12.1响应文件由资格证明文件、</w:t>
      </w:r>
      <w:r>
        <w:rPr>
          <w:rFonts w:hint="eastAsia" w:ascii="宋体" w:hAnsi="宋体" w:cs="宋体"/>
          <w:color w:val="000000" w:themeColor="text1"/>
          <w14:textFill>
            <w14:solidFill>
              <w14:schemeClr w14:val="tx1"/>
            </w14:solidFill>
          </w14:textFill>
        </w:rPr>
        <w:t>报价文件、商务技术文件三部分组成。</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12.1.1资格证明文件：详见“供应商须知前附表”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12.1.2报价文件：详见“供应商须知前附表”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12.1.3商务技术文件：详见“供应商须知前附表”</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13.计量单位</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14.竞标的风险</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15.竞标报价</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15.1竞标报价应按磋商文件中“竞标报价表”格式填写。</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15.2竞标报价的内容见“供应商须知前附表”。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15.3竞标报价要求</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r>
        <w:rPr>
          <w:rFonts w:cs="宋体"/>
          <w:color w:val="000000" w:themeColor="text1"/>
          <w14:textFill>
            <w14:solidFill>
              <w14:schemeClr w14:val="tx1"/>
            </w14:solidFill>
          </w14:textFill>
        </w:rPr>
        <w:t>5.3.1</w:t>
      </w:r>
      <w:r>
        <w:rPr>
          <w:rFonts w:hint="eastAsia" w:cs="宋体"/>
          <w:color w:val="000000" w:themeColor="text1"/>
          <w14:textFill>
            <w14:solidFill>
              <w14:schemeClr w14:val="tx1"/>
            </w14:solidFill>
          </w14:textFill>
        </w:rPr>
        <w:t>供应商的竞标报价应符合以下要求，否则响应文件按无效响应处理：</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（1）供应商必须就“采购需求”中所竞标的全部内容分别作完整唯一总价报价，不得存在漏项报价；</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）供应商必须就所竞标的单项内容作唯一报价。</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15.3.</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竞标报价（包含首次报价、最后报价）超过所竞标规定的采购预算金额或者最高限价的，其响应文件将按无效处理。</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15.3.</w:t>
      </w:r>
      <w:r>
        <w:rPr>
          <w:rFonts w:cs="宋体"/>
          <w:color w:val="000000" w:themeColor="text1"/>
          <w14:textFill>
            <w14:solidFill>
              <w14:schemeClr w14:val="tx1"/>
            </w14:solidFill>
          </w14:textFill>
        </w:rPr>
        <w:t>3</w:t>
      </w:r>
      <w:bookmarkStart w:id="30" w:name="_Hlk42592874"/>
      <w:r>
        <w:rPr>
          <w:rFonts w:hint="eastAsia" w:cs="宋体"/>
          <w:color w:val="000000" w:themeColor="text1"/>
          <w14:textFill>
            <w14:solidFill>
              <w14:schemeClr w14:val="tx1"/>
            </w14:solidFill>
          </w14:textFill>
        </w:rPr>
        <w:t>竞标报价（包含首次报价、最后报价）超过采购预算金额或者最高限价的，其响应文件将按无效处理。</w:t>
      </w:r>
    </w:p>
    <w:bookmarkEnd w:id="30"/>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16.竞标有效期</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16.1竞标有效期是指为保证采购人有足够的时间在提交响应文件后完成评审、确定成交供应商、</w:t>
      </w:r>
      <w:r>
        <w:rPr>
          <w:rFonts w:hint="eastAsia" w:ascii="宋体" w:hAnsi="宋体" w:cs="宋体"/>
          <w:color w:val="000000" w:themeColor="text1"/>
          <w14:textFill>
            <w14:solidFill>
              <w14:schemeClr w14:val="tx1"/>
            </w14:solidFill>
          </w14:textFill>
        </w:rPr>
        <w:t>合同签订等工作而要求供应商提交的响应文件在一定时间内保持有效的期限。</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16.2 竞标有效期应由供应商按“供应商须知前附表”规定的期限作出响应。</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16.3供应商的响应文件在竞标有效期内均保持有效。</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17.磋商保证金</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17.1供应商须按“供应商须知前附表”的规定提交磋商保证金。</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17.2磋商保证金的退还</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未</w:t>
      </w:r>
      <w:r>
        <w:rPr>
          <w:rFonts w:hint="eastAsia" w:cs="宋体"/>
          <w:color w:val="000000" w:themeColor="text1"/>
          <w:spacing w:val="-6"/>
          <w14:textFill>
            <w14:solidFill>
              <w14:schemeClr w14:val="tx1"/>
            </w14:solidFill>
          </w14:textFill>
        </w:rPr>
        <w:t>成交供应商的磋商保证金自成交通知书发出之日起</w:t>
      </w:r>
      <w:r>
        <w:rPr>
          <w:rFonts w:hint="eastAsia" w:cs="宋体"/>
          <w:color w:val="000000" w:themeColor="text1"/>
          <w:spacing w:val="-6"/>
          <w:lang w:val="en-US" w:eastAsia="zh-CN"/>
          <w14:textFill>
            <w14:solidFill>
              <w14:schemeClr w14:val="tx1"/>
            </w14:solidFill>
          </w14:textFill>
        </w:rPr>
        <w:t>4</w:t>
      </w:r>
      <w:r>
        <w:rPr>
          <w:rFonts w:hint="eastAsia" w:cs="宋体"/>
          <w:color w:val="000000" w:themeColor="text1"/>
          <w:spacing w:val="-6"/>
          <w14:textFill>
            <w14:solidFill>
              <w14:schemeClr w14:val="tx1"/>
            </w14:solidFill>
          </w14:textFill>
        </w:rPr>
        <w:t>个工作日内退还；</w:t>
      </w:r>
      <w:r>
        <w:rPr>
          <w:rFonts w:hint="eastAsia" w:cs="宋体"/>
          <w:color w:val="000000" w:themeColor="text1"/>
          <w14:textFill>
            <w14:solidFill>
              <w14:schemeClr w14:val="tx1"/>
            </w14:solidFill>
          </w14:textFill>
        </w:rPr>
        <w:t>成交供应商的磋商保证金自签订合同之日起</w:t>
      </w:r>
      <w:r>
        <w:rPr>
          <w:rFonts w:hint="eastAsia" w:cs="宋体"/>
          <w:color w:val="000000" w:themeColor="text1"/>
          <w:lang w:val="en-US" w:eastAsia="zh-CN"/>
          <w14:textFill>
            <w14:solidFill>
              <w14:schemeClr w14:val="tx1"/>
            </w14:solidFill>
          </w14:textFill>
        </w:rPr>
        <w:t>4</w:t>
      </w:r>
      <w:r>
        <w:rPr>
          <w:rFonts w:hint="eastAsia" w:cs="宋体"/>
          <w:color w:val="000000" w:themeColor="text1"/>
          <w14:textFill>
            <w14:solidFill>
              <w14:schemeClr w14:val="tx1"/>
            </w14:solidFill>
          </w14:textFill>
        </w:rPr>
        <w:t xml:space="preserve">个工作日内退还。 </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17.3磋商保证金不计息。</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17.4供应商有下列情形之一的，磋商保证金将不予退还： </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（1）供应商在提交响应文件截止时间后撤回响应文件的；</w:t>
      </w:r>
    </w:p>
    <w:p>
      <w:pPr>
        <w:ind w:firstLine="420"/>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（2）未按规定提交履约保证金的；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（3）供应商在响应文件中提供虚假材料的；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（4）除因不可抗力或者磋商文件认可的情形以外，成交供应商不与采购人签订合同的；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（5）供应商与采购人、其他供应商或者采购代理机构恶意串通的；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（6）法律法规规定的其他情形。</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18.响应文件编制的要求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18.1供应商应先安装“政采云投标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18.2为确保网上操作合法、有效和安全，供应商应当在提交响应文件截止时间前完成在“政采云”平台的身份认证，确保在电子竞标过程中能够对相关数据电文进行加密和使用电子签章。</w:t>
      </w:r>
    </w:p>
    <w:p>
      <w:pPr>
        <w:ind w:firstLine="420"/>
        <w:rPr>
          <w:b/>
          <w:bCs/>
          <w:color w:val="000000" w:themeColor="text1"/>
          <w14:textFill>
            <w14:solidFill>
              <w14:schemeClr w14:val="tx1"/>
            </w14:solidFill>
          </w14:textFill>
        </w:rPr>
      </w:pPr>
      <w:r>
        <w:rPr>
          <w:rFonts w:hint="eastAsia"/>
          <w:color w:val="000000" w:themeColor="text1"/>
          <w14:textFill>
            <w14:solidFill>
              <w14:schemeClr w14:val="tx1"/>
            </w14:solidFill>
          </w14:textFill>
        </w:rPr>
        <w:t>18.3</w:t>
      </w:r>
      <w:r>
        <w:rPr>
          <w:rFonts w:hint="eastAsia"/>
          <w:b/>
          <w:bCs/>
          <w:color w:val="000000" w:themeColor="text1"/>
          <w14:textFill>
            <w14:solidFill>
              <w14:schemeClr w14:val="tx1"/>
            </w14:solidFill>
          </w14:textFill>
        </w:rPr>
        <w:t>响应文件须由供应商在规定位置签字、盖章（具体以供应商须知前附表或响应文件格式规定为准），否则按无效响应处理。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18.4</w:t>
      </w:r>
      <w:r>
        <w:rPr>
          <w:rFonts w:hint="eastAsia"/>
          <w:b/>
          <w:bCs/>
          <w:color w:val="000000" w:themeColor="text1"/>
          <w14:textFill>
            <w14:solidFill>
              <w14:schemeClr w14:val="tx1"/>
            </w14:solidFill>
          </w14:textFill>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19.电子备份响应文件</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电子备份响应文件是指通过“政采云投标客户端”在线编制生成且后缀名为“</w:t>
      </w:r>
      <w:r>
        <w:rPr>
          <w:rFonts w:ascii="Times New Roman" w:hAnsi="Times New Roman" w:eastAsia="宋体" w:cs="Times New Roman"/>
          <w:color w:val="000000" w:themeColor="text1"/>
          <w:szCs w:val="24"/>
          <w14:textFill>
            <w14:solidFill>
              <w14:schemeClr w14:val="tx1"/>
            </w14:solidFill>
          </w14:textFill>
        </w:rPr>
        <w:t>bfbs</w:t>
      </w:r>
      <w:r>
        <w:rPr>
          <w:rFonts w:hint="eastAsia" w:ascii="Times New Roman" w:hAnsi="Times New Roman" w:eastAsia="宋体" w:cs="Times New Roman"/>
          <w:color w:val="000000" w:themeColor="text1"/>
          <w:szCs w:val="24"/>
          <w14:textFill>
            <w14:solidFill>
              <w14:schemeClr w14:val="tx1"/>
            </w14:solidFill>
          </w14:textFill>
        </w:rPr>
        <w:t>”的文件，是否接受电子备份响应文件</w:t>
      </w:r>
      <w:r>
        <w:rPr>
          <w:rFonts w:hint="eastAsia" w:ascii="Times New Roman" w:hAnsi="宋体" w:eastAsia="宋体" w:cs="Times New Roman"/>
          <w:bCs/>
          <w:color w:val="000000" w:themeColor="text1"/>
          <w14:textFill>
            <w14:solidFill>
              <w14:schemeClr w14:val="tx1"/>
            </w14:solidFill>
          </w14:textFill>
        </w:rPr>
        <w:t>详见在“供应商须知前附表”。</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.响应文件的提交</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20</w:t>
      </w:r>
      <w:r>
        <w:rPr>
          <w:rFonts w:hint="eastAsia" w:cs="宋体"/>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供应商必须按“供应商须知前附表”规定的</w:t>
      </w:r>
      <w:r>
        <w:rPr>
          <w:rFonts w:hint="eastAsia" w:ascii="宋体" w:hAnsi="宋体" w:cs="宋体"/>
          <w:color w:val="000000" w:themeColor="text1"/>
          <w14:textFill>
            <w14:solidFill>
              <w14:schemeClr w14:val="tx1"/>
            </w14:solidFill>
          </w14:textFill>
        </w:rPr>
        <w:t>时间</w:t>
      </w:r>
      <w:r>
        <w:rPr>
          <w:rFonts w:hint="eastAsia" w:ascii="宋体" w:hAnsi="宋体"/>
          <w:color w:val="000000" w:themeColor="text1"/>
          <w14:textFill>
            <w14:solidFill>
              <w14:schemeClr w14:val="tx1"/>
            </w14:solidFill>
          </w14:textFill>
        </w:rPr>
        <w:t>及</w:t>
      </w:r>
      <w:r>
        <w:rPr>
          <w:rFonts w:hint="eastAsia" w:hAnsi="宋体"/>
          <w:bCs/>
          <w:color w:val="000000" w:themeColor="text1"/>
          <w14:textFill>
            <w14:solidFill>
              <w14:schemeClr w14:val="tx1"/>
            </w14:solidFill>
          </w14:textFill>
        </w:rPr>
        <w:t>地点提交响应文件。电子响应文件应在制作完成后，</w:t>
      </w:r>
      <w:r>
        <w:rPr>
          <w:rFonts w:hAnsi="宋体"/>
          <w:bCs/>
          <w:color w:val="000000" w:themeColor="text1"/>
          <w14:textFill>
            <w14:solidFill>
              <w14:schemeClr w14:val="tx1"/>
            </w14:solidFill>
          </w14:textFill>
        </w:rPr>
        <w:t>在</w:t>
      </w:r>
      <w:r>
        <w:rPr>
          <w:rFonts w:hint="eastAsia" w:hAnsi="宋体"/>
          <w:bCs/>
          <w:color w:val="000000" w:themeColor="text1"/>
          <w14:textFill>
            <w14:solidFill>
              <w14:schemeClr w14:val="tx1"/>
            </w14:solidFill>
          </w14:textFill>
        </w:rPr>
        <w:t>提交响应文件截止</w:t>
      </w:r>
      <w:r>
        <w:rPr>
          <w:rFonts w:hAnsi="宋体"/>
          <w:bCs/>
          <w:color w:val="000000" w:themeColor="text1"/>
          <w14:textFill>
            <w14:solidFill>
              <w14:schemeClr w14:val="tx1"/>
            </w14:solidFill>
          </w14:textFill>
        </w:rPr>
        <w:t>时间前</w:t>
      </w:r>
      <w:r>
        <w:rPr>
          <w:rFonts w:hint="eastAsia" w:hAnsi="宋体"/>
          <w:bCs/>
          <w:color w:val="000000" w:themeColor="text1"/>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14:textFill>
            <w14:solidFill>
              <w14:schemeClr w14:val="tx1"/>
            </w14:solidFill>
          </w14:textFill>
        </w:rPr>
        <w:t>“政采云”平台</w:t>
      </w:r>
      <w:r>
        <w:rPr>
          <w:rFonts w:hint="eastAsia" w:hAnsi="宋体"/>
          <w:bCs/>
          <w:color w:val="000000" w:themeColor="text1"/>
          <w14:textFill>
            <w14:solidFill>
              <w14:schemeClr w14:val="tx1"/>
            </w14:solidFill>
          </w14:textFill>
        </w:rPr>
        <w:t>。</w:t>
      </w:r>
    </w:p>
    <w:p>
      <w:pPr>
        <w:ind w:firstLine="420"/>
        <w:rPr>
          <w:rFonts w:ascii="宋体" w:hAnsi="Calibri" w:eastAsia="宋体" w:cs="Times New Roman"/>
          <w:color w:val="000000" w:themeColor="text1"/>
          <w14:textFill>
            <w14:solidFill>
              <w14:schemeClr w14:val="tx1"/>
            </w14:solidFill>
          </w14:textFill>
        </w:rPr>
      </w:pPr>
      <w:r>
        <w:rPr>
          <w:rFonts w:ascii="宋体" w:hAnsi="Calibri" w:eastAsia="宋体" w:cs="Times New Roman"/>
          <w:color w:val="000000" w:themeColor="text1"/>
          <w14:textFill>
            <w14:solidFill>
              <w14:schemeClr w14:val="tx1"/>
            </w14:solidFill>
          </w14:textFill>
        </w:rPr>
        <w:t>20.2</w:t>
      </w:r>
      <w:r>
        <w:rPr>
          <w:rFonts w:hint="eastAsia" w:ascii="宋体" w:hAnsi="宋体"/>
          <w:b/>
          <w:color w:val="000000" w:themeColor="text1"/>
          <w14:textFill>
            <w14:solidFill>
              <w14:schemeClr w14:val="tx1"/>
            </w14:solidFill>
          </w14:textFill>
        </w:rPr>
        <w:t>未在规定时间内提交或者未按照磋商文件要求加密的电子响应文件，“政采云”平台将拒收。</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首次响应文件的补充、修改与撤回</w:t>
      </w:r>
    </w:p>
    <w:p>
      <w:pPr>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pPr>
        <w:ind w:firstLine="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21.2在提交响应文件截止时间前，除供应商补充、修改或者撤回响应文件外，任何单位和个人不得解密或提取响应文件。</w:t>
      </w:r>
    </w:p>
    <w:p>
      <w:pPr>
        <w:pStyle w:val="63"/>
        <w:ind w:firstLine="424"/>
        <w:rPr>
          <w:color w:val="000000" w:themeColor="text1"/>
          <w14:textFill>
            <w14:solidFill>
              <w14:schemeClr w14:val="tx1"/>
            </w14:solidFill>
          </w14:textFill>
        </w:rPr>
      </w:pPr>
      <w:bookmarkStart w:id="31" w:name="_Hlk45702405"/>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.响应文件的退回</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采购人和采购代理机构对已提交的响应文件概不退回。</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.截止时间后的撤回</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供应商在响应文件提交截止时间后向采购人、采购代理机构书面申请撤回响应文件的，将根据本须知正文17.4的规定不予退还其磋商保证金。</w:t>
      </w:r>
    </w:p>
    <w:bookmarkEnd w:id="31"/>
    <w:p>
      <w:pPr>
        <w:pStyle w:val="62"/>
        <w:rPr>
          <w:color w:val="000000" w:themeColor="text1"/>
          <w14:textFill>
            <w14:solidFill>
              <w14:schemeClr w14:val="tx1"/>
            </w14:solidFill>
          </w14:textFill>
        </w:rPr>
      </w:pPr>
      <w:bookmarkStart w:id="32" w:name="_Toc29880"/>
      <w:r>
        <w:rPr>
          <w:rFonts w:hint="eastAsia"/>
          <w:color w:val="000000" w:themeColor="text1"/>
          <w14:textFill>
            <w14:solidFill>
              <w14:schemeClr w14:val="tx1"/>
            </w14:solidFill>
          </w14:textFill>
        </w:rPr>
        <w:t>四、评审及磋商</w:t>
      </w:r>
      <w:bookmarkEnd w:id="32"/>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.磋商小组成立</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24.3采购代理机构应当基于“政采云”平台抽（选）取评审专家。</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25.</w:t>
      </w:r>
      <w:r>
        <w:rPr>
          <w:rFonts w:hint="eastAsia"/>
          <w:color w:val="000000" w:themeColor="text1"/>
          <w14:textFill>
            <w14:solidFill>
              <w14:schemeClr w14:val="tx1"/>
            </w14:solidFill>
          </w14:textFill>
        </w:rPr>
        <w:t>首次响应文件的开启和解密</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代理机构将在“供应商须知前附表”规定的时间通过电子交易平台组织响应文件开启，供应商的法定代表人或其委托代理人须携带加密时所用的CA锁，按平台提示和磋商文件的规定登录到“政采云”平台电子开标大厅签到，采购代理机构依托“政采云”平台向各供应商发出电子加密响应文件【开始解密】通知，由供应商按“供应商须知前附表”规定的时间内自行进行响应文件解密。</w:t>
      </w:r>
      <w:r>
        <w:rPr>
          <w:rFonts w:hint="eastAsia" w:cs="宋体"/>
          <w:b/>
          <w:bCs/>
          <w:color w:val="000000" w:themeColor="text1"/>
          <w14:textFill>
            <w14:solidFill>
              <w14:schemeClr w14:val="tx1"/>
            </w14:solidFill>
          </w14:textFill>
        </w:rPr>
        <w:t>供应商未在规定的时间内解密响应文件或者解密失败的，供应商的响应文件作无效处理。</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26</w:t>
      </w:r>
      <w:r>
        <w:rPr>
          <w:rFonts w:hint="eastAsia"/>
          <w:color w:val="000000" w:themeColor="text1"/>
          <w14:textFill>
            <w14:solidFill>
              <w14:schemeClr w14:val="tx1"/>
            </w14:solidFill>
          </w14:textFill>
        </w:rPr>
        <w:t>.评审程序、评审方法和评审标准</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6</w:t>
      </w:r>
      <w:r>
        <w:rPr>
          <w:rFonts w:hint="eastAsia" w:cs="宋体"/>
          <w:color w:val="000000" w:themeColor="text1"/>
          <w14:textFill>
            <w14:solidFill>
              <w14:schemeClr w14:val="tx1"/>
            </w14:solidFill>
          </w14:textFill>
        </w:rPr>
        <w:t>.1本项目的评审方法为综合评分法。</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26.2</w:t>
      </w:r>
      <w:r>
        <w:rPr>
          <w:rFonts w:hint="eastAsia" w:cs="宋体"/>
          <w:color w:val="000000" w:themeColor="text1"/>
          <w14:textFill>
            <w14:solidFill>
              <w14:schemeClr w14:val="tx1"/>
            </w14:solidFill>
          </w14:textFill>
        </w:rPr>
        <w:t>磋商小组</w:t>
      </w:r>
      <w:r>
        <w:rPr>
          <w:rFonts w:cs="宋体"/>
          <w:color w:val="000000" w:themeColor="text1"/>
          <w14:textFill>
            <w14:solidFill>
              <w14:schemeClr w14:val="tx1"/>
            </w14:solidFill>
          </w14:textFill>
        </w:rPr>
        <w:t>按照</w:t>
      </w:r>
      <w:r>
        <w:rPr>
          <w:rFonts w:hint="eastAsia" w:cs="宋体"/>
          <w:color w:val="000000" w:themeColor="text1"/>
          <w14:textFill>
            <w14:solidFill>
              <w14:schemeClr w14:val="tx1"/>
            </w14:solidFill>
          </w14:textFill>
        </w:rPr>
        <w:t>“第四章 评审程序、评审方法和评审标准”</w:t>
      </w:r>
      <w:r>
        <w:rPr>
          <w:rFonts w:cs="宋体"/>
          <w:color w:val="000000" w:themeColor="text1"/>
          <w14:textFill>
            <w14:solidFill>
              <w14:schemeClr w14:val="tx1"/>
            </w14:solidFill>
          </w14:textFill>
        </w:rPr>
        <w:t>规定的方法、评审因素、标准和程序对</w:t>
      </w:r>
      <w:r>
        <w:rPr>
          <w:rFonts w:hint="eastAsia" w:cs="宋体"/>
          <w:color w:val="000000" w:themeColor="text1"/>
          <w14:textFill>
            <w14:solidFill>
              <w14:schemeClr w14:val="tx1"/>
            </w14:solidFill>
          </w14:textFill>
        </w:rPr>
        <w:t>响应</w:t>
      </w:r>
      <w:r>
        <w:rPr>
          <w:rFonts w:cs="宋体"/>
          <w:color w:val="000000" w:themeColor="text1"/>
          <w14:textFill>
            <w14:solidFill>
              <w14:schemeClr w14:val="tx1"/>
            </w14:solidFill>
          </w14:textFill>
        </w:rPr>
        <w:t>文件进行评审。</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26.3商务/技术要求允许负偏离的条款数详见“供应商须知前附表”。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26.5电子交易活动的中止。采购过程中出现以下情形，导致电子交易平台无法正常运行，或者无法保证电子交易的公平、公正和安全时，采购机构可中止电子交易活动：</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（1）电子交易平台发生故障而无法登录访问的； </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（2）电子交易平台应用或数据库出现错误，不能进行正常操作的；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（3）电子交易平台发现严重安全漏洞，有潜在泄密危险的；</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（4）病毒发作导致不能进行正常操作的； </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（5）其他无法保证电子交易的公平、公正和安全的情况。</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27</w:t>
      </w:r>
      <w:r>
        <w:rPr>
          <w:rFonts w:hint="eastAsia"/>
          <w:color w:val="000000" w:themeColor="text1"/>
          <w14:textFill>
            <w14:solidFill>
              <w14:schemeClr w14:val="tx1"/>
            </w14:solidFill>
          </w14:textFill>
        </w:rPr>
        <w:t>.确定成交供应商及结果公告</w:t>
      </w:r>
    </w:p>
    <w:p>
      <w:pPr>
        <w:ind w:firstLine="420"/>
        <w:rPr>
          <w:rFonts w:ascii="宋体" w:hAnsi="宋体" w:eastAsia="宋体" w:cs="宋体"/>
          <w:color w:val="000000" w:themeColor="text1"/>
          <w14:textFill>
            <w14:solidFill>
              <w14:schemeClr w14:val="tx1"/>
            </w14:solidFill>
          </w14:textFill>
        </w:rPr>
      </w:pPr>
      <w:r>
        <w:rPr>
          <w:rFonts w:cs="宋体"/>
          <w:color w:val="000000" w:themeColor="text1"/>
          <w14:textFill>
            <w14:solidFill>
              <w14:schemeClr w14:val="tx1"/>
            </w14:solidFill>
          </w14:textFill>
        </w:rPr>
        <w:t>27</w:t>
      </w:r>
      <w:r>
        <w:rPr>
          <w:rFonts w:hint="eastAsia"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27</w:t>
      </w:r>
      <w:r>
        <w:rPr>
          <w:rFonts w:hint="eastAsia"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采购代理机构应当在</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宋体" w:hAnsi="宋体" w:cs="Courier New"/>
          <w:color w:val="000000" w:themeColor="text1"/>
          <w14:textFill>
            <w14:solidFill>
              <w14:schemeClr w14:val="tx1"/>
            </w14:solidFill>
          </w14:textFill>
        </w:rPr>
        <w:t>成交供应商享受</w:t>
      </w:r>
      <w:r>
        <w:rPr>
          <w:rFonts w:hint="eastAsia" w:ascii="宋体" w:hAnsi="宋体"/>
          <w:color w:val="000000" w:themeColor="text1"/>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14:textFill>
            <w14:solidFill>
              <w14:schemeClr w14:val="tx1"/>
            </w14:solidFill>
          </w14:textFill>
        </w:rPr>
        <w:t>政策的，采购人、采购代理机构应当随成交结果公开成交供应商的《中小企业声明函》。</w:t>
      </w:r>
      <w:bookmarkEnd w:id="33"/>
    </w:p>
    <w:p>
      <w:pPr>
        <w:widowControl w:val="0"/>
        <w:ind w:firstLine="420"/>
        <w:jc w:val="both"/>
        <w:rPr>
          <w:rFonts w:ascii="宋体" w:hAnsi="宋体" w:eastAsia="宋体" w:cs="Courier New"/>
          <w:color w:val="000000" w:themeColor="text1"/>
          <w14:textFill>
            <w14:solidFill>
              <w14:schemeClr w14:val="tx1"/>
            </w14:solidFill>
          </w14:textFill>
        </w:rPr>
      </w:pPr>
      <w:r>
        <w:rPr>
          <w:rFonts w:hint="eastAsia" w:ascii="宋体" w:hAnsi="宋体" w:eastAsia="宋体" w:cs="Courier New"/>
          <w:color w:val="000000" w:themeColor="text1"/>
          <w14:textFill>
            <w14:solidFill>
              <w14:schemeClr w14:val="tx1"/>
            </w14:solidFill>
          </w14:textFill>
        </w:rPr>
        <w:t>2</w:t>
      </w:r>
      <w:r>
        <w:rPr>
          <w:rFonts w:ascii="宋体" w:hAnsi="宋体" w:eastAsia="宋体" w:cs="Courier New"/>
          <w:color w:val="000000" w:themeColor="text1"/>
          <w14:textFill>
            <w14:solidFill>
              <w14:schemeClr w14:val="tx1"/>
            </w14:solidFill>
          </w14:textFill>
        </w:rPr>
        <w:t>7</w:t>
      </w:r>
      <w:r>
        <w:rPr>
          <w:rFonts w:hint="eastAsia" w:ascii="宋体" w:hAnsi="宋体" w:eastAsia="宋体" w:cs="Courier New"/>
          <w:color w:val="000000" w:themeColor="text1"/>
          <w14:textFill>
            <w14:solidFill>
              <w14:schemeClr w14:val="tx1"/>
            </w14:solidFill>
          </w14:textFill>
        </w:rPr>
        <w:t>.3出现下列情形之一的，采购人或者采购代理机构应当终止竞争性磋商采购活动，发布项目终止公告并说明原因，重新开展采购活动：</w:t>
      </w:r>
    </w:p>
    <w:p>
      <w:pPr>
        <w:widowControl w:val="0"/>
        <w:ind w:firstLine="420"/>
        <w:jc w:val="both"/>
        <w:rPr>
          <w:rFonts w:ascii="宋体" w:hAnsi="宋体" w:eastAsia="宋体" w:cs="Courier New"/>
          <w:color w:val="000000" w:themeColor="text1"/>
          <w14:textFill>
            <w14:solidFill>
              <w14:schemeClr w14:val="tx1"/>
            </w14:solidFill>
          </w14:textFill>
        </w:rPr>
      </w:pPr>
      <w:r>
        <w:rPr>
          <w:rFonts w:hint="eastAsia" w:ascii="宋体" w:hAnsi="宋体" w:eastAsia="宋体" w:cs="Courier New"/>
          <w:color w:val="000000" w:themeColor="text1"/>
          <w14:textFill>
            <w14:solidFill>
              <w14:schemeClr w14:val="tx1"/>
            </w14:solidFill>
          </w14:textFill>
        </w:rPr>
        <w:t>（1）因情况变化，不再符合规定的竞争性磋商采购方式适用情形的；</w:t>
      </w:r>
    </w:p>
    <w:p>
      <w:pPr>
        <w:widowControl w:val="0"/>
        <w:ind w:firstLine="420"/>
        <w:jc w:val="both"/>
        <w:rPr>
          <w:rFonts w:ascii="宋体" w:hAnsi="宋体" w:eastAsia="宋体" w:cs="Courier New"/>
          <w:color w:val="000000" w:themeColor="text1"/>
          <w14:textFill>
            <w14:solidFill>
              <w14:schemeClr w14:val="tx1"/>
            </w14:solidFill>
          </w14:textFill>
        </w:rPr>
      </w:pPr>
      <w:r>
        <w:rPr>
          <w:rFonts w:hint="eastAsia" w:ascii="宋体" w:hAnsi="宋体" w:eastAsia="宋体" w:cs="Courier New"/>
          <w:color w:val="000000" w:themeColor="text1"/>
          <w14:textFill>
            <w14:solidFill>
              <w14:schemeClr w14:val="tx1"/>
            </w14:solidFill>
          </w14:textFill>
        </w:rPr>
        <w:t>（2）出现影响采购公正的违法、违规行为的；</w:t>
      </w:r>
    </w:p>
    <w:p>
      <w:pPr>
        <w:widowControl w:val="0"/>
        <w:ind w:firstLine="420"/>
        <w:jc w:val="both"/>
        <w:rPr>
          <w:rFonts w:ascii="宋体" w:hAnsi="宋体" w:eastAsia="宋体" w:cs="Courier New"/>
          <w:color w:val="000000" w:themeColor="text1"/>
          <w14:textFill>
            <w14:solidFill>
              <w14:schemeClr w14:val="tx1"/>
            </w14:solidFill>
          </w14:textFill>
        </w:rPr>
      </w:pPr>
      <w:r>
        <w:rPr>
          <w:rFonts w:hint="eastAsia" w:ascii="宋体" w:hAnsi="宋体" w:eastAsia="宋体" w:cs="Courier New"/>
          <w:color w:val="000000" w:themeColor="text1"/>
          <w14:textFill>
            <w14:solidFill>
              <w14:schemeClr w14:val="tx1"/>
            </w14:solidFill>
          </w14:textFill>
        </w:rPr>
        <w:t>（3）除“第四章 评审程序、评审方法和评审标准”第4.3条规定的情形外，在采购过程中符合要求的供应商或者报价未超过采购预算的供应商不足3家的。</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Courier New"/>
          <w:color w:val="000000" w:themeColor="text1"/>
          <w14:textFill>
            <w14:solidFill>
              <w14:schemeClr w14:val="tx1"/>
            </w14:solidFill>
          </w14:textFill>
        </w:rPr>
        <w:t>2</w:t>
      </w:r>
      <w:r>
        <w:rPr>
          <w:rFonts w:ascii="宋体" w:hAnsi="宋体" w:eastAsia="宋体" w:cs="Courier New"/>
          <w:color w:val="000000" w:themeColor="text1"/>
          <w14:textFill>
            <w14:solidFill>
              <w14:schemeClr w14:val="tx1"/>
            </w14:solidFill>
          </w14:textFill>
        </w:rPr>
        <w:t>7</w:t>
      </w:r>
      <w:r>
        <w:rPr>
          <w:rFonts w:hint="eastAsia" w:ascii="宋体" w:hAnsi="宋体" w:eastAsia="宋体" w:cs="Courier New"/>
          <w:color w:val="000000" w:themeColor="text1"/>
          <w14:textFill>
            <w14:solidFill>
              <w14:schemeClr w14:val="tx1"/>
            </w14:solidFill>
          </w14:textFill>
        </w:rPr>
        <w:t>.4在采购活动中因重大变故，采购任务取消的，采购人或者采购代理机构应当终止采购活动，通知所有参加采购活动的供应商，并将项目实施情况和采购任务取消原因报送本级财政部门。</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28</w:t>
      </w:r>
      <w:r>
        <w:rPr>
          <w:rFonts w:hint="eastAsia"/>
          <w:color w:val="000000" w:themeColor="text1"/>
          <w14:textFill>
            <w14:solidFill>
              <w14:schemeClr w14:val="tx1"/>
            </w14:solidFill>
          </w14:textFill>
        </w:rPr>
        <w:t>.履约保证金</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28</w:t>
      </w:r>
      <w:r>
        <w:rPr>
          <w:rFonts w:hint="eastAsia" w:cs="宋体"/>
          <w:color w:val="000000" w:themeColor="text1"/>
          <w14:textFill>
            <w14:solidFill>
              <w14:schemeClr w14:val="tx1"/>
            </w14:solidFill>
          </w14:textFill>
        </w:rPr>
        <w:t>.1履约保证金的金额、提交方式、退付的时间和条件详见“供应商须知前附表”。成交供应商未按规定提交履约保证金的，视为拒绝</w:t>
      </w:r>
      <w:r>
        <w:rPr>
          <w:color w:val="000000" w:themeColor="text1"/>
          <w:szCs w:val="24"/>
          <w14:textFill>
            <w14:solidFill>
              <w14:schemeClr w14:val="tx1"/>
            </w14:solidFill>
          </w14:textFill>
        </w:rPr>
        <w:t>与采购人</w:t>
      </w:r>
      <w:r>
        <w:rPr>
          <w:rFonts w:hint="eastAsia" w:cs="宋体"/>
          <w:color w:val="000000" w:themeColor="text1"/>
          <w14:textFill>
            <w14:solidFill>
              <w14:schemeClr w14:val="tx1"/>
            </w14:solidFill>
          </w14:textFill>
        </w:rPr>
        <w:t>签订合同。</w:t>
      </w:r>
    </w:p>
    <w:p>
      <w:pPr>
        <w:ind w:firstLine="42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28</w:t>
      </w: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29</w:t>
      </w:r>
      <w:r>
        <w:rPr>
          <w:rFonts w:hint="eastAsia"/>
          <w:color w:val="000000" w:themeColor="text1"/>
          <w14:textFill>
            <w14:solidFill>
              <w14:schemeClr w14:val="tx1"/>
            </w14:solidFill>
          </w14:textFill>
        </w:rPr>
        <w:t>.签订合同</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pPr>
        <w:widowControl w:val="0"/>
        <w:ind w:firstLine="424" w:firstLineChars="202"/>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线下签订纸质合同：供应商领取成交通知书后，按“供应商须知前附表”规定向采购人出示相关证明材料，经采购人核验合格后方可签订合同。</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29.2签订合同时间：按成交通知书规定的时间与采购人签订合同。</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29.6如签订合同并生效后，供应商无故拒绝或延期，除按照合同条款处理外，将承担相应的法律责任。</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.政府采购合同公告</w:t>
      </w:r>
    </w:p>
    <w:p>
      <w:pPr>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14:textFill>
            <w14:solidFill>
              <w14:schemeClr w14:val="tx1"/>
            </w14:solidFill>
          </w14:textFill>
        </w:rPr>
        <w:t>询问、质疑和投诉</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w:t>
      </w:r>
      <w:r>
        <w:rPr>
          <w:rFonts w:cs="宋体"/>
          <w:color w:val="000000" w:themeColor="text1"/>
          <w:szCs w:val="24"/>
          <w14:textFill>
            <w14:solidFill>
              <w14:schemeClr w14:val="tx1"/>
            </w14:solidFill>
          </w14:textFill>
        </w:rPr>
        <w:t>1</w:t>
      </w:r>
      <w:r>
        <w:rPr>
          <w:rFonts w:hint="eastAsia" w:cs="宋体"/>
          <w:color w:val="000000" w:themeColor="text1"/>
          <w:szCs w:val="24"/>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但答复的内容不得涉及商业秘密。</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w:t>
      </w:r>
      <w:r>
        <w:rPr>
          <w:rFonts w:cs="宋体"/>
          <w:color w:val="000000" w:themeColor="text1"/>
          <w:szCs w:val="24"/>
          <w14:textFill>
            <w14:solidFill>
              <w14:schemeClr w14:val="tx1"/>
            </w14:solidFill>
          </w14:textFill>
        </w:rPr>
        <w:t>1</w:t>
      </w:r>
      <w:r>
        <w:rPr>
          <w:rFonts w:hint="eastAsia" w:cs="宋体"/>
          <w:color w:val="000000" w:themeColor="text1"/>
          <w:szCs w:val="24"/>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cs="Arial"/>
          <w:color w:val="000000" w:themeColor="text1"/>
          <w:szCs w:val="24"/>
          <w:shd w:val="clear" w:color="auto" w:fill="FFFFFF"/>
          <w14:textFill>
            <w14:solidFill>
              <w14:schemeClr w14:val="tx1"/>
            </w14:solidFill>
          </w14:textFill>
        </w:rPr>
        <w:t>接收质疑函的方式、联系部门、联系电话和通讯地址等信息</w:t>
      </w:r>
      <w:r>
        <w:rPr>
          <w:rFonts w:hint="eastAsia" w:cs="Arial"/>
          <w:color w:val="000000" w:themeColor="text1"/>
          <w:szCs w:val="24"/>
          <w:shd w:val="clear" w:color="auto" w:fill="FFFFFF"/>
          <w14:textFill>
            <w14:solidFill>
              <w14:schemeClr w14:val="tx1"/>
            </w14:solidFill>
          </w14:textFill>
        </w:rPr>
        <w:t>详见</w:t>
      </w:r>
      <w:r>
        <w:rPr>
          <w:rFonts w:hint="eastAsia" w:cs="宋体"/>
          <w:color w:val="000000" w:themeColor="text1"/>
          <w14:textFill>
            <w14:solidFill>
              <w14:schemeClr w14:val="tx1"/>
            </w14:solidFill>
          </w14:textFill>
        </w:rPr>
        <w:t>“供应商须知前附表”</w:t>
      </w:r>
      <w:r>
        <w:rPr>
          <w:rFonts w:hint="eastAsia" w:cs="宋体"/>
          <w:color w:val="000000" w:themeColor="text1"/>
          <w:szCs w:val="24"/>
          <w14:textFill>
            <w14:solidFill>
              <w14:schemeClr w14:val="tx1"/>
            </w14:solidFill>
          </w14:textFill>
        </w:rPr>
        <w:t>。具体质疑起算时间如下：</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（1）对可以质疑的磋商文件提出质疑的，为收到磋商文件之日或者</w:t>
      </w:r>
      <w:r>
        <w:rPr>
          <w:rFonts w:hint="eastAsia"/>
          <w:color w:val="000000" w:themeColor="text1"/>
          <w:szCs w:val="24"/>
          <w14:textFill>
            <w14:solidFill>
              <w14:schemeClr w14:val="tx1"/>
            </w14:solidFill>
          </w14:textFill>
        </w:rPr>
        <w:t>竞争性磋商公告期限届满之日</w:t>
      </w:r>
      <w:r>
        <w:rPr>
          <w:rFonts w:hint="eastAsia" w:cs="宋体"/>
          <w:color w:val="000000" w:themeColor="text1"/>
          <w:szCs w:val="24"/>
          <w14:textFill>
            <w14:solidFill>
              <w14:schemeClr w14:val="tx1"/>
            </w14:solidFill>
          </w14:textFill>
        </w:rPr>
        <w:t>；</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（2）对采购过程提出质疑的，为各采购程序环节结束之日；</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（3）对成交结果提出质疑的，为成交结果公告期限届满之日。</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w:t>
      </w:r>
      <w:r>
        <w:rPr>
          <w:rFonts w:cs="宋体"/>
          <w:color w:val="000000" w:themeColor="text1"/>
          <w:szCs w:val="24"/>
          <w14:textFill>
            <w14:solidFill>
              <w14:schemeClr w14:val="tx1"/>
            </w14:solidFill>
          </w14:textFill>
        </w:rPr>
        <w:t>1</w:t>
      </w:r>
      <w:r>
        <w:rPr>
          <w:rFonts w:hint="eastAsia" w:cs="宋体"/>
          <w:color w:val="000000" w:themeColor="text1"/>
          <w:szCs w:val="24"/>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w:t>
      </w:r>
      <w:r>
        <w:rPr>
          <w:rFonts w:cs="宋体"/>
          <w:color w:val="000000" w:themeColor="text1"/>
          <w:szCs w:val="24"/>
          <w14:textFill>
            <w14:solidFill>
              <w14:schemeClr w14:val="tx1"/>
            </w14:solidFill>
          </w14:textFill>
        </w:rPr>
        <w:t>1</w:t>
      </w:r>
      <w:r>
        <w:rPr>
          <w:rFonts w:hint="eastAsia" w:cs="宋体"/>
          <w:color w:val="000000" w:themeColor="text1"/>
          <w:szCs w:val="24"/>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ascii="Times New Roman"/>
          <w:bCs/>
          <w:color w:val="000000" w:themeColor="text1"/>
          <w:szCs w:val="24"/>
          <w14:textFill>
            <w14:solidFill>
              <w14:schemeClr w14:val="tx1"/>
            </w14:solidFill>
          </w14:textFill>
        </w:rPr>
        <w:t>（质疑函格式后附）</w:t>
      </w:r>
      <w:r>
        <w:rPr>
          <w:rFonts w:hint="eastAsia" w:cs="宋体"/>
          <w:color w:val="000000" w:themeColor="text1"/>
          <w:szCs w:val="24"/>
          <w14:textFill>
            <w14:solidFill>
              <w14:schemeClr w14:val="tx1"/>
            </w14:solidFill>
          </w14:textFill>
        </w:rPr>
        <w:t>：</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（1）供应商的姓名或者名称、地址、邮编、联系人及联系电话；</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（2）质疑项目的名称、编号；</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（3）具体、明确的质疑事项和与质疑事项相关的请求；</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（4）事实依据；</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（5）必要的法律依据；</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（6）提出质疑的日期。</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供应商为自然人的，应当由本人签字；供应商为法人或者其他组织的，应当由法定代表人、主要负责人，或者其委托代理人签字或者盖章，并加盖公章。</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w:t>
      </w:r>
      <w:r>
        <w:rPr>
          <w:rFonts w:cs="宋体"/>
          <w:color w:val="000000" w:themeColor="text1"/>
          <w:szCs w:val="24"/>
          <w14:textFill>
            <w14:solidFill>
              <w14:schemeClr w14:val="tx1"/>
            </w14:solidFill>
          </w14:textFill>
        </w:rPr>
        <w:t>1.5</w:t>
      </w:r>
      <w:r>
        <w:rPr>
          <w:rFonts w:hint="eastAsia" w:cs="宋体"/>
          <w:color w:val="000000" w:themeColor="text1"/>
          <w:szCs w:val="24"/>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ind w:firstLine="42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质疑答复导致成交结果改变的，采购人或者采购代理机构应当将有关情况书面报告本级财政部门。</w:t>
      </w:r>
    </w:p>
    <w:p>
      <w:pPr>
        <w:ind w:firstLine="420"/>
        <w:rPr>
          <w:rFonts w:cs="宋体"/>
          <w:color w:val="000000" w:themeColor="text1"/>
          <w14:textFill>
            <w14:solidFill>
              <w14:schemeClr w14:val="tx1"/>
            </w14:solidFill>
          </w14:textFill>
        </w:rPr>
      </w:pPr>
      <w:r>
        <w:rPr>
          <w:rFonts w:cs="宋体"/>
          <w:color w:val="000000" w:themeColor="text1"/>
          <w:szCs w:val="24"/>
          <w14:textFill>
            <w14:solidFill>
              <w14:schemeClr w14:val="tx1"/>
            </w14:solidFill>
          </w14:textFill>
        </w:rPr>
        <w:t>31</w:t>
      </w:r>
      <w:r>
        <w:rPr>
          <w:rFonts w:hint="eastAsia" w:cs="宋体"/>
          <w:color w:val="000000" w:themeColor="text1"/>
          <w:szCs w:val="24"/>
          <w14:textFill>
            <w14:solidFill>
              <w14:schemeClr w14:val="tx1"/>
            </w14:solidFill>
          </w14:textFill>
        </w:rPr>
        <w:t>.</w:t>
      </w:r>
      <w:r>
        <w:rPr>
          <w:rFonts w:cs="宋体"/>
          <w:color w:val="000000" w:themeColor="text1"/>
          <w:szCs w:val="24"/>
          <w14:textFill>
            <w14:solidFill>
              <w14:schemeClr w14:val="tx1"/>
            </w14:solidFill>
          </w14:textFill>
        </w:rPr>
        <w:t>6</w:t>
      </w:r>
      <w:r>
        <w:rPr>
          <w:rFonts w:hint="eastAsia" w:cs="宋体"/>
          <w:color w:val="000000" w:themeColor="text1"/>
          <w:szCs w:val="24"/>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.其他内容</w:t>
      </w:r>
    </w:p>
    <w:p>
      <w:pPr>
        <w:ind w:firstLine="420"/>
        <w:rPr>
          <w:rFonts w:hint="eastAsia"/>
        </w:rPr>
      </w:pPr>
      <w:r>
        <w:rPr>
          <w:rFonts w:cs="宋体"/>
          <w:color w:val="000000" w:themeColor="text1"/>
          <w14:textFill>
            <w14:solidFill>
              <w14:schemeClr w14:val="tx1"/>
            </w14:solidFill>
          </w14:textFill>
        </w:rPr>
        <w:t>32</w:t>
      </w:r>
      <w:r>
        <w:rPr>
          <w:rFonts w:hint="eastAsia" w:cs="宋体"/>
          <w:color w:val="000000" w:themeColor="text1"/>
          <w14:textFill>
            <w14:solidFill>
              <w14:schemeClr w14:val="tx1"/>
            </w14:solidFill>
          </w14:textFill>
        </w:rPr>
        <w:t>.1代理服务收取标准及缴费账户详见“供应商须知前附表”，供应商为联合体的，可以由联合体中的一方或者多方共同交纳代理服务费。</w:t>
      </w:r>
      <w:r>
        <w:rPr>
          <w:rFonts w:hint="eastAsia" w:cs="宋体"/>
          <w:color w:val="000000" w:themeColor="text1"/>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3.需要补充的其他内容</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33.1本磋商文件解释规则详见“供应商须知前附表”。</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33.2其他事项详见“供应商须知前附表”。</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（2）在工程采购项目中，工程由中小企业承建，即工程施工单位为中小企业，不对其中涉及的货物的制造商和服务的承接商作出要求；</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kinsoku/>
        <w:wordWrap/>
        <w:overflowPunct/>
        <w:topLinePunct w:val="0"/>
        <w:autoSpaceDE/>
        <w:autoSpaceDN/>
        <w:bidi w:val="0"/>
        <w:adjustRightInd/>
        <w:snapToGrid/>
        <w:ind w:firstLine="420"/>
        <w:textAlignment w:val="auto"/>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ind w:firstLine="420"/>
        <w:textAlignment w:val="auto"/>
        <w:rPr>
          <w:color w:val="000000" w:themeColor="text1"/>
          <w:kern w:val="0"/>
          <w:lang w:val="zh-CN"/>
          <w14:textFill>
            <w14:solidFill>
              <w14:schemeClr w14:val="tx1"/>
            </w14:solidFill>
          </w14:textFill>
        </w:rPr>
      </w:pPr>
      <w:r>
        <w:rPr>
          <w:rFonts w:hint="eastAsia" w:cs="宋体"/>
          <w:color w:val="000000" w:themeColor="text1"/>
          <w:szCs w:val="24"/>
          <w14:textFill>
            <w14:solidFill>
              <w14:schemeClr w14:val="tx1"/>
            </w14:solidFill>
          </w14:textFill>
        </w:rPr>
        <w:t>依据本磋商文件规定享受扶持政策获得政府采购合同的，小微企业不得将合同分包给大中型企业，中型企业不得将合同分包给大型企业。</w:t>
      </w:r>
    </w:p>
    <w:p>
      <w:pPr>
        <w:pageBreakBefore w:val="0"/>
        <w:widowControl/>
        <w:kinsoku/>
        <w:wordWrap/>
        <w:overflowPunct/>
        <w:topLinePunct w:val="0"/>
        <w:autoSpaceDE/>
        <w:autoSpaceDN/>
        <w:bidi w:val="0"/>
        <w:adjustRightInd/>
        <w:snapToGrid/>
        <w:spacing w:before="260" w:after="260" w:line="415" w:lineRule="auto"/>
        <w:ind w:firstLine="0" w:firstLineChars="0"/>
        <w:jc w:val="both"/>
        <w:textAlignment w:val="auto"/>
        <w:outlineLvl w:val="9"/>
        <w:rPr>
          <w:rFonts w:ascii="黑体" w:hAnsi="黑体" w:eastAsia="黑体"/>
          <w:b/>
          <w:bCs/>
          <w:color w:val="000000" w:themeColor="text1"/>
          <w:sz w:val="30"/>
          <w:szCs w:val="24"/>
          <w14:textFill>
            <w14:solidFill>
              <w14:schemeClr w14:val="tx1"/>
            </w14:solidFill>
          </w14:textFill>
        </w:rPr>
      </w:pPr>
    </w:p>
    <w:p>
      <w:pPr>
        <w:pStyle w:val="2"/>
      </w:pPr>
    </w:p>
    <w:p>
      <w:pPr>
        <w:pStyle w:val="2"/>
        <w:rPr>
          <w:rFonts w:ascii="黑体" w:hAnsi="黑体" w:eastAsia="黑体"/>
          <w:b/>
          <w:bCs/>
          <w:color w:val="000000" w:themeColor="text1"/>
          <w:sz w:val="30"/>
          <w:szCs w:val="24"/>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textAlignment w:val="auto"/>
        <w:outlineLvl w:val="9"/>
      </w:pPr>
    </w:p>
    <w:p>
      <w:pPr>
        <w:pageBreakBefore w:val="0"/>
        <w:widowControl/>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color w:val="000000" w:themeColor="text1"/>
          <w14:textFill>
            <w14:solidFill>
              <w14:schemeClr w14:val="tx1"/>
            </w14:solidFill>
          </w14:textFill>
        </w:rPr>
      </w:pPr>
      <w:bookmarkStart w:id="34" w:name="_Toc76480567"/>
    </w:p>
    <w:p>
      <w:pPr>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000000" w:themeColor="text1"/>
          <w14:textFill>
            <w14:solidFill>
              <w14:schemeClr w14:val="tx1"/>
            </w14:solidFill>
          </w14:textFill>
        </w:rPr>
      </w:pPr>
    </w:p>
    <w:p>
      <w:pPr>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000000" w:themeColor="text1"/>
          <w14:textFill>
            <w14:solidFill>
              <w14:schemeClr w14:val="tx1"/>
            </w14:solidFill>
          </w14:textFill>
        </w:rPr>
      </w:pPr>
    </w:p>
    <w:p>
      <w:pPr>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000000" w:themeColor="text1"/>
          <w14:textFill>
            <w14:solidFill>
              <w14:schemeClr w14:val="tx1"/>
            </w14:solidFill>
          </w14:textFill>
        </w:rPr>
      </w:pPr>
    </w:p>
    <w:p>
      <w:pPr>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000000" w:themeColor="text1"/>
          <w14:textFill>
            <w14:solidFill>
              <w14:schemeClr w14:val="tx1"/>
            </w14:solidFill>
          </w14:textFill>
        </w:rPr>
      </w:pPr>
    </w:p>
    <w:p>
      <w:pPr>
        <w:pageBreakBefore w:val="0"/>
        <w:widowControl/>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color w:val="000000" w:themeColor="text1"/>
          <w14:textFill>
            <w14:solidFill>
              <w14:schemeClr w14:val="tx1"/>
            </w14:solidFill>
          </w14:textFill>
        </w:rPr>
      </w:pPr>
    </w:p>
    <w:p>
      <w:pPr>
        <w:pageBreakBefore w:val="0"/>
        <w:widowControl/>
        <w:kinsoku/>
        <w:wordWrap/>
        <w:overflowPunct/>
        <w:topLinePunct w:val="0"/>
        <w:autoSpaceDE/>
        <w:autoSpaceDN/>
        <w:bidi w:val="0"/>
        <w:adjustRightInd/>
        <w:snapToGrid/>
        <w:textAlignment w:val="auto"/>
        <w:outlineLvl w:val="9"/>
        <w:rPr>
          <w:rFonts w:hint="eastAsia"/>
        </w:rPr>
      </w:pPr>
    </w:p>
    <w:p>
      <w:pPr>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000000" w:themeColor="text1"/>
          <w14:textFill>
            <w14:solidFill>
              <w14:schemeClr w14:val="tx1"/>
            </w14:solidFill>
          </w14:textFill>
        </w:rPr>
      </w:pPr>
    </w:p>
    <w:p>
      <w:pPr>
        <w:pStyle w:val="44"/>
        <w:bidi w:val="0"/>
        <w:rPr>
          <w:rFonts w:hint="eastAsia"/>
        </w:rPr>
      </w:pPr>
      <w:bookmarkStart w:id="35" w:name="_Toc8484"/>
      <w:r>
        <w:rPr>
          <w:rFonts w:hint="eastAsia"/>
        </w:rPr>
        <w:t>第三章 采购需求</w:t>
      </w:r>
      <w:bookmarkEnd w:id="34"/>
      <w:bookmarkEnd w:id="35"/>
    </w:p>
    <w:p>
      <w:pPr>
        <w:widowControl w:val="0"/>
        <w:ind w:firstLine="0" w:firstLineChars="0"/>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采购项目技术规格、参数及要求</w:t>
      </w:r>
    </w:p>
    <w:p>
      <w:pPr>
        <w:pStyle w:val="55"/>
        <w:keepNext/>
        <w:keepLines/>
        <w:pageBreakBefore w:val="0"/>
        <w:widowControl/>
        <w:kinsoku/>
        <w:wordWrap/>
        <w:overflowPunct/>
        <w:topLinePunct w:val="0"/>
        <w:autoSpaceDE/>
        <w:autoSpaceDN/>
        <w:bidi w:val="0"/>
        <w:adjustRightInd/>
        <w:snapToGrid/>
        <w:textAlignment w:val="auto"/>
        <w:outlineLvl w:val="9"/>
        <w:rPr>
          <w:color w:val="000000" w:themeColor="text1"/>
          <w14:textFill>
            <w14:solidFill>
              <w14:schemeClr w14:val="tx1"/>
            </w14:solidFill>
          </w14:textFill>
        </w:rPr>
      </w:pPr>
      <w:bookmarkStart w:id="36" w:name="_Toc14642"/>
      <w:r>
        <w:rPr>
          <w:rFonts w:hint="eastAsia"/>
          <w:color w:val="000000" w:themeColor="text1"/>
          <w14:textFill>
            <w14:solidFill>
              <w14:schemeClr w14:val="tx1"/>
            </w14:solidFill>
          </w14:textFill>
        </w:rPr>
        <w:t>说明：</w:t>
      </w:r>
      <w:bookmarkEnd w:id="36"/>
    </w:p>
    <w:p>
      <w:pPr>
        <w:widowControl w:val="0"/>
        <w:ind w:firstLine="420"/>
        <w:rPr>
          <w:rFonts w:ascii="宋体" w:hAnsi="宋体" w:eastAsia="宋体" w:cs="宋体"/>
          <w:color w:val="000000" w:themeColor="text1"/>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w:t>
      </w:r>
      <w:r>
        <w:rPr>
          <w:rFonts w:hint="eastAsia" w:ascii="Times New Roman" w:hAnsi="Times New Roman" w:eastAsia="宋体" w:cs="Times New Roman"/>
          <w:color w:val="000000" w:themeColor="text1"/>
          <w:szCs w:val="24"/>
          <w14:textFill>
            <w14:solidFill>
              <w14:schemeClr w14:val="tx1"/>
            </w14:solidFill>
          </w14:textFill>
        </w:rPr>
        <w:t>.为落实政府采购政策需满足的要求</w:t>
      </w:r>
    </w:p>
    <w:p>
      <w:pPr>
        <w:widowControl w:val="0"/>
        <w:ind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（1）本竞争性磋商采购文件所称中小企业必须符合《政府采购促进中小企业发展管理办法》（财库〔2020〕46号）的规定。</w:t>
      </w:r>
    </w:p>
    <w:p>
      <w:pPr>
        <w:widowControl w:val="0"/>
        <w:ind w:firstLine="424" w:firstLineChars="20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2.“实质性要求”是指采购需求中带“▲”的条款或者不能负偏离的条款或者已经指明不满足按响应文件按无效处理的条款。</w:t>
      </w:r>
    </w:p>
    <w:p>
      <w:pPr>
        <w:widowControl w:val="0"/>
        <w:ind w:firstLine="424" w:firstLineChars="202"/>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.供应商应根据自身实际情况如实响应磋商文件</w:t>
      </w:r>
      <w:r>
        <w:rPr>
          <w:rFonts w:hint="eastAsia" w:ascii="宋体" w:hAnsi="宋体" w:eastAsia="宋体" w:cs="Times New Roman"/>
          <w:color w:val="000000" w:themeColor="text1"/>
          <w14:textFill>
            <w14:solidFill>
              <w14:schemeClr w14:val="tx1"/>
            </w14:solidFill>
          </w14:textFill>
        </w:rPr>
        <w:t>，不得仅将</w:t>
      </w:r>
      <w:r>
        <w:rPr>
          <w:rFonts w:hint="eastAsia" w:ascii="宋体" w:hAnsi="宋体" w:eastAsia="宋体" w:cs="宋体"/>
          <w:color w:val="000000" w:themeColor="text1"/>
          <w14:textFill>
            <w14:solidFill>
              <w14:schemeClr w14:val="tx1"/>
            </w14:solidFill>
          </w14:textFill>
        </w:rPr>
        <w:t>磋商文件</w:t>
      </w:r>
      <w:r>
        <w:rPr>
          <w:rFonts w:hint="eastAsia" w:ascii="宋体" w:hAnsi="宋体" w:eastAsia="宋体" w:cs="Times New Roman"/>
          <w:color w:val="000000" w:themeColor="text1"/>
          <w14:textFill>
            <w14:solidFill>
              <w14:schemeClr w14:val="tx1"/>
            </w14:solidFill>
          </w14:textFill>
        </w:rPr>
        <w:t>内容简单复制粘贴作为竞标响应，还应当提供相关证明材料。</w:t>
      </w:r>
      <w:r>
        <w:rPr>
          <w:rFonts w:hint="eastAsia" w:ascii="Times New Roman" w:hAnsi="Times New Roman" w:eastAsia="宋体" w:cs="Times New Roman"/>
          <w:color w:val="000000" w:themeColor="text1"/>
          <w:szCs w:val="24"/>
          <w14:textFill>
            <w14:solidFill>
              <w14:schemeClr w14:val="tx1"/>
            </w14:solidFill>
          </w14:textFill>
        </w:rPr>
        <w:t>对于重要技术条款或技术参数应当在响应文件中提供技术支持资料，技术支持资料以磋商文件中规定的形式为准，</w:t>
      </w:r>
      <w:r>
        <w:rPr>
          <w:rFonts w:hint="eastAsia" w:ascii="Times New Roman" w:hAnsi="Times New Roman" w:eastAsia="宋体" w:cs="Times New Roman"/>
          <w:b/>
          <w:bCs/>
          <w:color w:val="000000" w:themeColor="text1"/>
          <w:szCs w:val="24"/>
          <w14:textFill>
            <w14:solidFill>
              <w14:schemeClr w14:val="tx1"/>
            </w14:solidFill>
          </w14:textFill>
        </w:rPr>
        <w:t>否则将视为无效技术支持资料</w:t>
      </w:r>
      <w:r>
        <w:rPr>
          <w:rFonts w:hint="eastAsia" w:ascii="Times New Roman" w:hAnsi="Times New Roman" w:eastAsia="宋体" w:cs="Times New Roman"/>
          <w:color w:val="000000" w:themeColor="text1"/>
          <w:szCs w:val="24"/>
          <w14:textFill>
            <w14:solidFill>
              <w14:schemeClr w14:val="tx1"/>
            </w14:solidFill>
          </w14:textFill>
        </w:rPr>
        <w:t>。</w:t>
      </w:r>
    </w:p>
    <w:p>
      <w:pPr>
        <w:widowControl w:val="0"/>
        <w:ind w:firstLine="424" w:firstLineChars="202"/>
        <w:rPr>
          <w:rFonts w:ascii="宋体" w:hAnsi="宋体" w:eastAsia="宋体" w:cs="Times New Roman"/>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w:t>
      </w:r>
      <w:r>
        <w:rPr>
          <w:rFonts w:hint="eastAsia" w:ascii="Times New Roman" w:hAnsi="Times New Roman" w:eastAsia="宋体" w:cs="Times New Roman"/>
          <w:color w:val="000000" w:themeColor="text1"/>
          <w:szCs w:val="24"/>
          <w14:textFill>
            <w14:solidFill>
              <w14:schemeClr w14:val="tx1"/>
            </w14:solidFill>
          </w14:textFill>
        </w:rPr>
        <w:t>供应商必须自行为其竞标产品侵犯他人的知识产权或者专利成果的行为承担相应法律责任。</w:t>
      </w:r>
    </w:p>
    <w:p>
      <w:pPr>
        <w:widowControl w:val="0"/>
        <w:ind w:firstLine="424" w:firstLineChars="202"/>
        <w:rPr>
          <w:rFonts w:ascii="宋体" w:hAnsi="宋体" w:eastAsia="宋体" w:cs="Times New Roman"/>
          <w:b w:val="0"/>
          <w:bCs w:val="0"/>
          <w:color w:val="000000" w:themeColor="text1"/>
          <w14:textFill>
            <w14:solidFill>
              <w14:schemeClr w14:val="tx1"/>
            </w14:solidFill>
          </w14:textFill>
        </w:rPr>
      </w:pPr>
      <w:r>
        <w:rPr>
          <w:rFonts w:hint="eastAsia" w:ascii="宋体" w:hAnsi="宋体" w:eastAsia="宋体" w:cs="Times New Roman"/>
          <w:b w:val="0"/>
          <w:bCs w:val="0"/>
          <w:color w:val="000000" w:themeColor="text1"/>
          <w:lang w:val="en-US" w:eastAsia="zh-CN"/>
          <w14:textFill>
            <w14:solidFill>
              <w14:schemeClr w14:val="tx1"/>
            </w14:solidFill>
          </w14:textFill>
        </w:rPr>
        <w:t>5</w:t>
      </w:r>
      <w:r>
        <w:rPr>
          <w:rFonts w:ascii="宋体" w:hAnsi="宋体" w:eastAsia="宋体" w:cs="Times New Roman"/>
          <w:b w:val="0"/>
          <w:bCs w:val="0"/>
          <w:color w:val="000000" w:themeColor="text1"/>
          <w14:textFill>
            <w14:solidFill>
              <w14:schemeClr w14:val="tx1"/>
            </w14:solidFill>
          </w14:textFill>
        </w:rPr>
        <w:t>.</w:t>
      </w:r>
      <w:r>
        <w:rPr>
          <w:rFonts w:hint="eastAsia" w:ascii="宋体" w:hAnsi="宋体" w:eastAsia="宋体" w:cs="Times New Roman"/>
          <w:b w:val="0"/>
          <w:bCs w:val="0"/>
          <w:color w:val="000000" w:themeColor="text1"/>
          <w14:textFill>
            <w14:solidFill>
              <w14:schemeClr w14:val="tx1"/>
            </w14:solidFill>
          </w14:textFill>
        </w:rPr>
        <w:t>本项目为服务类项目，不设核心产品。</w:t>
      </w:r>
    </w:p>
    <w:p>
      <w:pPr>
        <w:widowControl w:val="0"/>
        <w:ind w:firstLine="424" w:firstLineChars="202"/>
        <w:rPr>
          <w:rFonts w:hint="eastAsia" w:eastAsiaTheme="minorEastAsia"/>
          <w:b/>
          <w:bCs/>
          <w:color w:val="000000" w:themeColor="text1"/>
          <w:shd w:val="clear" w:color="auto" w:fill="FFFFFF"/>
          <w:lang w:eastAsia="zh-CN"/>
          <w14:textFill>
            <w14:solidFill>
              <w14:schemeClr w14:val="tx1"/>
            </w14:solidFill>
          </w14:textFill>
        </w:rPr>
      </w:pPr>
      <w:r>
        <w:rPr>
          <w:rFonts w:hint="eastAsia" w:ascii="宋体" w:hAnsi="宋体" w:eastAsia="宋体" w:cs="Times New Roman"/>
          <w:b w:val="0"/>
          <w:bCs w:val="0"/>
          <w:color w:val="000000" w:themeColor="text1"/>
          <w:lang w:val="en-US" w:eastAsia="zh-CN"/>
          <w14:textFill>
            <w14:solidFill>
              <w14:schemeClr w14:val="tx1"/>
            </w14:solidFill>
          </w14:textFill>
        </w:rPr>
        <w:t>6</w:t>
      </w:r>
      <w:r>
        <w:rPr>
          <w:rFonts w:ascii="宋体" w:hAnsi="宋体" w:eastAsia="宋体" w:cs="Times New Roman"/>
          <w:b w:val="0"/>
          <w:bCs w:val="0"/>
          <w:color w:val="000000" w:themeColor="text1"/>
          <w14:textFill>
            <w14:solidFill>
              <w14:schemeClr w14:val="tx1"/>
            </w14:solidFill>
          </w14:textFill>
        </w:rPr>
        <w:t>.</w:t>
      </w:r>
      <w:r>
        <w:rPr>
          <w:rFonts w:hint="eastAsia" w:cs="Arial" w:hAnsiTheme="minorEastAsia"/>
          <w:b w:val="0"/>
          <w:bCs w:val="0"/>
          <w:color w:val="000000" w:themeColor="text1"/>
          <w14:textFill>
            <w14:solidFill>
              <w14:schemeClr w14:val="tx1"/>
            </w14:solidFill>
          </w14:textFill>
        </w:rPr>
        <w:t>本项目所属行业：软件和信息技术服务业</w:t>
      </w:r>
    </w:p>
    <w:tbl>
      <w:tblPr>
        <w:tblStyle w:val="2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85"/>
        <w:gridCol w:w="871"/>
        <w:gridCol w:w="189"/>
        <w:gridCol w:w="88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Cs w:val="21"/>
                <w:highlight w:val="none"/>
              </w:rPr>
            </w:pPr>
            <w:r>
              <w:rPr>
                <w:rFonts w:ascii="宋体" w:hAnsi="宋体"/>
                <w:color w:val="auto"/>
                <w:szCs w:val="21"/>
                <w:highlight w:val="none"/>
              </w:rPr>
              <w:t>项号</w:t>
            </w:r>
          </w:p>
        </w:tc>
        <w:tc>
          <w:tcPr>
            <w:tcW w:w="1745"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采购标的内容</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bCs/>
                <w:color w:val="auto"/>
                <w:szCs w:val="21"/>
                <w:highlight w:val="none"/>
              </w:rPr>
            </w:pPr>
            <w:r>
              <w:rPr>
                <w:rFonts w:ascii="宋体" w:hAnsi="宋体"/>
                <w:color w:val="auto"/>
                <w:szCs w:val="21"/>
                <w:highlight w:val="none"/>
              </w:rPr>
              <w:t>数量</w:t>
            </w:r>
          </w:p>
        </w:tc>
        <w:tc>
          <w:tcPr>
            <w:tcW w:w="649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bCs/>
                <w:color w:val="auto"/>
                <w:szCs w:val="21"/>
                <w:highlight w:val="none"/>
              </w:rPr>
            </w:pPr>
            <w:r>
              <w:rPr>
                <w:rFonts w:hint="eastAsia" w:ascii="宋体" w:hAnsi="宋体"/>
                <w:color w:val="auto"/>
                <w:szCs w:val="21"/>
                <w:highlight w:val="none"/>
              </w:rPr>
              <w:t>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745"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广西低成本实用性村庄规划快速编制平台建设服务</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olor w:val="FF0000"/>
                <w:szCs w:val="21"/>
                <w:highlight w:val="none"/>
              </w:rPr>
            </w:pPr>
            <w:r>
              <w:rPr>
                <w:rFonts w:hint="eastAsia" w:ascii="宋体" w:hAnsi="宋体"/>
                <w:color w:val="auto"/>
                <w:szCs w:val="21"/>
                <w:highlight w:val="none"/>
              </w:rPr>
              <w:t>1项</w:t>
            </w:r>
          </w:p>
        </w:tc>
        <w:tc>
          <w:tcPr>
            <w:tcW w:w="6491" w:type="dxa"/>
            <w:noWrap w:val="0"/>
            <w:vAlign w:val="center"/>
          </w:tcPr>
          <w:p>
            <w:pPr>
              <w:bidi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一、总体需求</w:t>
            </w:r>
          </w:p>
          <w:p>
            <w:pPr>
              <w:bidi w:val="0"/>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基于</w:t>
            </w:r>
            <w:r>
              <w:rPr>
                <w:rFonts w:hint="eastAsia" w:asciiTheme="minorEastAsia" w:hAnsiTheme="minorEastAsia" w:eastAsiaTheme="minorEastAsia" w:cstheme="minorEastAsia"/>
                <w:sz w:val="21"/>
                <w:szCs w:val="21"/>
                <w:lang w:val="en-US" w:eastAsia="zh-CN"/>
              </w:rPr>
              <w:t>GIS</w:t>
            </w:r>
            <w:r>
              <w:rPr>
                <w:rFonts w:hint="eastAsia" w:asciiTheme="minorEastAsia" w:hAnsiTheme="minorEastAsia" w:eastAsiaTheme="minorEastAsia" w:cstheme="minorEastAsia"/>
                <w:sz w:val="21"/>
                <w:szCs w:val="21"/>
              </w:rPr>
              <w:t>地理信息基础平台</w:t>
            </w:r>
            <w:r>
              <w:rPr>
                <w:rFonts w:hint="eastAsia" w:asciiTheme="minorEastAsia" w:hAnsiTheme="minorEastAsia" w:eastAsiaTheme="minorEastAsia" w:cstheme="minorEastAsia"/>
                <w:sz w:val="21"/>
                <w:szCs w:val="21"/>
                <w:lang w:eastAsia="zh-CN"/>
              </w:rPr>
              <w:t>，打造一款实用性村庄规划快速编制软件。软件面向用户主要为</w:t>
            </w:r>
            <w:r>
              <w:rPr>
                <w:rFonts w:hint="eastAsia" w:asciiTheme="minorEastAsia" w:hAnsiTheme="minorEastAsia" w:eastAsiaTheme="minorEastAsia" w:cstheme="minorEastAsia"/>
                <w:sz w:val="21"/>
                <w:szCs w:val="21"/>
              </w:rPr>
              <w:t>规划人员、管理人员</w:t>
            </w:r>
            <w:r>
              <w:rPr>
                <w:rFonts w:hint="eastAsia" w:asciiTheme="minorEastAsia" w:hAnsiTheme="minorEastAsia" w:eastAsiaTheme="minorEastAsia" w:cstheme="minorEastAsia"/>
                <w:sz w:val="21"/>
                <w:szCs w:val="21"/>
                <w:lang w:eastAsia="zh-CN"/>
              </w:rPr>
              <w:t>，可解决</w:t>
            </w:r>
            <w:r>
              <w:rPr>
                <w:rFonts w:hint="eastAsia" w:asciiTheme="minorEastAsia" w:hAnsiTheme="minorEastAsia" w:eastAsiaTheme="minorEastAsia" w:cstheme="minorEastAsia"/>
                <w:sz w:val="21"/>
                <w:szCs w:val="21"/>
              </w:rPr>
              <w:t>当前村庄规划编制存在工作周期较长、处理流程重复繁琐、成果未按标准建库等问题</w:t>
            </w:r>
            <w:r>
              <w:rPr>
                <w:rFonts w:hint="eastAsia" w:asciiTheme="minorEastAsia" w:hAnsiTheme="minorEastAsia" w:eastAsiaTheme="minorEastAsia" w:cstheme="minorEastAsia"/>
                <w:sz w:val="21"/>
                <w:szCs w:val="21"/>
                <w:lang w:eastAsia="zh-CN"/>
              </w:rPr>
              <w:t>。通过</w:t>
            </w:r>
            <w:r>
              <w:rPr>
                <w:rFonts w:hint="eastAsia" w:asciiTheme="minorEastAsia" w:hAnsiTheme="minorEastAsia" w:eastAsiaTheme="minorEastAsia" w:cstheme="minorEastAsia"/>
                <w:sz w:val="21"/>
                <w:szCs w:val="21"/>
              </w:rPr>
              <w:t>开发规划编制专用模块，实现数据一键入库，规划图、文、表的简洁快速输出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提高村庄规划信息化、便利化水平</w:t>
            </w:r>
            <w:r>
              <w:rPr>
                <w:rFonts w:hint="eastAsia" w:asciiTheme="minorEastAsia" w:hAnsiTheme="minorEastAsia" w:eastAsiaTheme="minorEastAsia" w:cstheme="minorEastAsia"/>
                <w:sz w:val="21"/>
                <w:szCs w:val="21"/>
                <w:lang w:eastAsia="zh-CN"/>
              </w:rPr>
              <w:t>，降低编制成本。</w:t>
            </w:r>
          </w:p>
          <w:p>
            <w:pPr>
              <w:bidi w:val="0"/>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二、主要内容</w:t>
            </w:r>
          </w:p>
          <w:p>
            <w:pPr>
              <w:numPr>
                <w:ilvl w:val="0"/>
                <w:numId w:val="2"/>
              </w:numPr>
              <w:bidi w:val="0"/>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rPr>
              <w:t>数据交互</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与众规APP、中间平台、业务平台之间进行数据交互，包括用户登录</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接</w:t>
            </w:r>
            <w:r>
              <w:rPr>
                <w:rFonts w:hint="eastAsia" w:asciiTheme="minorEastAsia" w:hAnsiTheme="minorEastAsia" w:eastAsiaTheme="minorEastAsia" w:cstheme="minorEastAsia"/>
                <w:b w:val="0"/>
                <w:bCs w:val="0"/>
                <w:sz w:val="21"/>
                <w:szCs w:val="21"/>
                <w:lang w:eastAsia="zh-CN"/>
              </w:rPr>
              <w:t>收</w:t>
            </w:r>
            <w:r>
              <w:rPr>
                <w:rFonts w:hint="eastAsia" w:asciiTheme="minorEastAsia" w:hAnsiTheme="minorEastAsia" w:eastAsiaTheme="minorEastAsia" w:cstheme="minorEastAsia"/>
                <w:b w:val="0"/>
                <w:bCs w:val="0"/>
                <w:sz w:val="21"/>
                <w:szCs w:val="21"/>
              </w:rPr>
              <w:t>消息</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任务数据</w:t>
            </w:r>
            <w:r>
              <w:rPr>
                <w:rFonts w:hint="eastAsia" w:asciiTheme="minorEastAsia" w:hAnsiTheme="minorEastAsia" w:eastAsiaTheme="minorEastAsia" w:cstheme="minorEastAsia"/>
                <w:b w:val="0"/>
                <w:bCs w:val="0"/>
                <w:sz w:val="21"/>
                <w:szCs w:val="21"/>
                <w:lang w:eastAsia="zh-CN"/>
              </w:rPr>
              <w:t>在线调用、</w:t>
            </w:r>
            <w:r>
              <w:rPr>
                <w:rFonts w:hint="eastAsia" w:asciiTheme="minorEastAsia" w:hAnsiTheme="minorEastAsia" w:eastAsiaTheme="minorEastAsia" w:cstheme="minorEastAsia"/>
                <w:b w:val="0"/>
                <w:bCs w:val="0"/>
                <w:sz w:val="21"/>
                <w:szCs w:val="21"/>
              </w:rPr>
              <w:t>离线数据包导入导出</w:t>
            </w:r>
            <w:r>
              <w:rPr>
                <w:rFonts w:hint="eastAsia" w:asciiTheme="minorEastAsia" w:hAnsiTheme="minorEastAsia" w:eastAsiaTheme="minorEastAsia" w:cstheme="minorEastAsia"/>
                <w:b w:val="0"/>
                <w:bCs w:val="0"/>
                <w:sz w:val="21"/>
                <w:szCs w:val="21"/>
                <w:lang w:eastAsia="zh-CN"/>
              </w:rPr>
              <w:t>；数据处理：</w:t>
            </w:r>
            <w:r>
              <w:rPr>
                <w:rFonts w:hint="eastAsia" w:asciiTheme="minorEastAsia" w:hAnsiTheme="minorEastAsia" w:eastAsiaTheme="minorEastAsia" w:cstheme="minorEastAsia"/>
                <w:b w:val="0"/>
                <w:bCs w:val="0"/>
                <w:sz w:val="21"/>
                <w:szCs w:val="21"/>
              </w:rPr>
              <w:t>在编制阶段对基础数据、规划数据进行数据预处理，包括基数转换、格式转换、坐标转换等，且内置基础的编辑功能</w:t>
            </w:r>
            <w:r>
              <w:rPr>
                <w:rFonts w:hint="eastAsia" w:asciiTheme="minorEastAsia" w:hAnsiTheme="minorEastAsia" w:eastAsiaTheme="minorEastAsia" w:cstheme="minorEastAsia"/>
                <w:b w:val="0"/>
                <w:bCs w:val="0"/>
                <w:sz w:val="21"/>
                <w:szCs w:val="21"/>
                <w:lang w:eastAsia="zh-CN"/>
              </w:rPr>
              <w:t>；规划编制：</w:t>
            </w:r>
            <w:r>
              <w:rPr>
                <w:rFonts w:hint="eastAsia" w:asciiTheme="minorEastAsia" w:hAnsiTheme="minorEastAsia" w:eastAsiaTheme="minorEastAsia" w:cstheme="minorEastAsia"/>
                <w:b w:val="0"/>
                <w:bCs w:val="0"/>
                <w:sz w:val="21"/>
                <w:szCs w:val="21"/>
              </w:rPr>
              <w:t>编制平台主要的功能模块，主要包括</w:t>
            </w:r>
            <w:r>
              <w:rPr>
                <w:rFonts w:hint="eastAsia" w:asciiTheme="minorEastAsia" w:hAnsiTheme="minorEastAsia" w:eastAsiaTheme="minorEastAsia" w:cstheme="minorEastAsia"/>
                <w:b w:val="0"/>
                <w:bCs w:val="0"/>
                <w:sz w:val="21"/>
                <w:szCs w:val="21"/>
                <w:lang w:eastAsia="zh-CN"/>
              </w:rPr>
              <w:t>需求统计、指标分析、人口预测、现状分析、规划设计、规划分析</w:t>
            </w:r>
            <w:r>
              <w:rPr>
                <w:rFonts w:hint="eastAsia" w:asciiTheme="minorEastAsia" w:hAnsiTheme="minorEastAsia" w:eastAsiaTheme="minorEastAsia" w:cstheme="minorEastAsia"/>
                <w:b w:val="0"/>
                <w:bCs w:val="0"/>
                <w:sz w:val="21"/>
                <w:szCs w:val="21"/>
              </w:rPr>
              <w:t>等</w:t>
            </w:r>
            <w:r>
              <w:rPr>
                <w:rFonts w:hint="eastAsia" w:asciiTheme="minorEastAsia" w:hAnsiTheme="minorEastAsia" w:eastAsiaTheme="minorEastAsia" w:cstheme="minorEastAsia"/>
                <w:b w:val="0"/>
                <w:bCs w:val="0"/>
                <w:sz w:val="21"/>
                <w:szCs w:val="21"/>
                <w:lang w:eastAsia="zh-CN"/>
              </w:rPr>
              <w:t>；成果自检：</w:t>
            </w:r>
            <w:r>
              <w:rPr>
                <w:rFonts w:hint="eastAsia" w:asciiTheme="minorEastAsia" w:hAnsiTheme="minorEastAsia" w:eastAsiaTheme="minorEastAsia" w:cstheme="minorEastAsia"/>
                <w:b w:val="0"/>
                <w:bCs w:val="0"/>
                <w:sz w:val="21"/>
                <w:szCs w:val="21"/>
              </w:rPr>
              <w:t>输出成果前的检查，包括规则列表、自检结果、导出检查报告等</w:t>
            </w:r>
            <w:r>
              <w:rPr>
                <w:rFonts w:hint="eastAsia" w:asciiTheme="minorEastAsia" w:hAnsiTheme="minorEastAsia" w:eastAsiaTheme="minorEastAsia" w:cstheme="minorEastAsia"/>
                <w:b w:val="0"/>
                <w:bCs w:val="0"/>
                <w:sz w:val="21"/>
                <w:szCs w:val="21"/>
                <w:lang w:eastAsia="zh-CN"/>
              </w:rPr>
              <w:t>；成果输出：</w:t>
            </w:r>
            <w:r>
              <w:rPr>
                <w:rFonts w:hint="eastAsia" w:asciiTheme="minorEastAsia" w:hAnsiTheme="minorEastAsia" w:eastAsiaTheme="minorEastAsia" w:cstheme="minorEastAsia"/>
                <w:b w:val="0"/>
                <w:bCs w:val="0"/>
                <w:sz w:val="21"/>
                <w:szCs w:val="21"/>
              </w:rPr>
              <w:t>编制成果的输出，输出形式为可选输出，输出成果包括文、图、表、库</w:t>
            </w:r>
            <w:r>
              <w:rPr>
                <w:rFonts w:hint="eastAsia" w:asciiTheme="minorEastAsia" w:hAnsiTheme="minorEastAsia" w:eastAsiaTheme="minorEastAsia" w:cstheme="minorEastAsia"/>
                <w:b w:val="0"/>
                <w:bCs w:val="0"/>
                <w:sz w:val="21"/>
                <w:szCs w:val="21"/>
                <w:lang w:eastAsia="zh-CN"/>
              </w:rPr>
              <w:t>；成果管理：</w:t>
            </w:r>
            <w:r>
              <w:rPr>
                <w:rFonts w:hint="eastAsia" w:asciiTheme="minorEastAsia" w:hAnsiTheme="minorEastAsia" w:eastAsiaTheme="minorEastAsia" w:cstheme="minorEastAsia"/>
                <w:b w:val="0"/>
                <w:bCs w:val="0"/>
                <w:sz w:val="21"/>
                <w:szCs w:val="21"/>
              </w:rPr>
              <w:t>成果管理主要包括</w:t>
            </w:r>
            <w:r>
              <w:rPr>
                <w:rFonts w:hint="eastAsia" w:asciiTheme="minorEastAsia" w:hAnsiTheme="minorEastAsia" w:eastAsiaTheme="minorEastAsia" w:cstheme="minorEastAsia"/>
                <w:b w:val="0"/>
                <w:bCs w:val="0"/>
                <w:sz w:val="21"/>
                <w:szCs w:val="21"/>
                <w:lang w:eastAsia="zh-CN"/>
              </w:rPr>
              <w:t>成果推送</w:t>
            </w:r>
            <w:r>
              <w:rPr>
                <w:rFonts w:hint="eastAsia" w:asciiTheme="minorEastAsia" w:hAnsiTheme="minorEastAsia" w:eastAsiaTheme="minorEastAsia" w:cstheme="minorEastAsia"/>
                <w:b w:val="0"/>
                <w:bCs w:val="0"/>
                <w:sz w:val="21"/>
                <w:szCs w:val="21"/>
              </w:rPr>
              <w:t>、阶段性成果</w:t>
            </w:r>
            <w:r>
              <w:rPr>
                <w:rFonts w:hint="eastAsia" w:asciiTheme="minorEastAsia" w:hAnsiTheme="minorEastAsia" w:eastAsiaTheme="minorEastAsia" w:cstheme="minorEastAsia"/>
                <w:b w:val="0"/>
                <w:bCs w:val="0"/>
                <w:sz w:val="21"/>
                <w:szCs w:val="21"/>
                <w:lang w:eastAsia="zh-CN"/>
              </w:rPr>
              <w:t>备份、</w:t>
            </w:r>
            <w:r>
              <w:rPr>
                <w:rFonts w:hint="eastAsia" w:asciiTheme="minorEastAsia" w:hAnsiTheme="minorEastAsia" w:eastAsiaTheme="minorEastAsia" w:cstheme="minorEastAsia"/>
                <w:b w:val="0"/>
                <w:bCs w:val="0"/>
                <w:sz w:val="21"/>
                <w:szCs w:val="21"/>
              </w:rPr>
              <w:t>最终成果备份与导出</w:t>
            </w:r>
            <w:r>
              <w:rPr>
                <w:rFonts w:hint="eastAsia" w:asciiTheme="minorEastAsia" w:hAnsiTheme="minorEastAsia" w:eastAsiaTheme="minorEastAsia" w:cstheme="minorEastAsia"/>
                <w:b w:val="0"/>
                <w:bCs w:val="0"/>
                <w:sz w:val="21"/>
                <w:szCs w:val="21"/>
                <w:lang w:eastAsia="zh-CN"/>
              </w:rPr>
              <w:t>等功能模块；</w:t>
            </w:r>
          </w:p>
          <w:p>
            <w:pPr>
              <w:numPr>
                <w:ilvl w:val="0"/>
                <w:numId w:val="2"/>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软件运行维护更新。</w:t>
            </w:r>
          </w:p>
          <w:p>
            <w:pPr>
              <w:numPr>
                <w:ilvl w:val="0"/>
                <w:numId w:val="0"/>
              </w:numPr>
              <w:bidi w:val="0"/>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三、成果清单</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1.测试报告</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2.设计报告</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3.试运行报告</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4.用户手册</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5.广西实用性村庄规划快速编制软件</w:t>
            </w:r>
          </w:p>
          <w:p>
            <w:pPr>
              <w:numPr>
                <w:ilvl w:val="0"/>
                <w:numId w:val="0"/>
              </w:numPr>
              <w:bidi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6.软件源代码</w:t>
            </w:r>
          </w:p>
          <w:p>
            <w:pPr>
              <w:numPr>
                <w:ilvl w:val="0"/>
                <w:numId w:val="0"/>
              </w:numPr>
              <w:bidi w:val="0"/>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四、性能要求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1.规范性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规划编制</w:t>
            </w:r>
            <w:r>
              <w:rPr>
                <w:rFonts w:hint="eastAsia" w:asciiTheme="minorEastAsia" w:hAnsiTheme="minorEastAsia" w:eastAsiaTheme="minorEastAsia" w:cstheme="minorEastAsia"/>
                <w:sz w:val="21"/>
                <w:szCs w:val="21"/>
              </w:rPr>
              <w:t>过程的控制，应以</w:t>
            </w:r>
            <w:r>
              <w:rPr>
                <w:rFonts w:hint="eastAsia" w:asciiTheme="minorEastAsia" w:hAnsiTheme="minorEastAsia" w:eastAsiaTheme="minorEastAsia" w:cstheme="minorEastAsia"/>
                <w:sz w:val="21"/>
                <w:szCs w:val="21"/>
                <w:lang w:val="en-US" w:eastAsia="zh-CN"/>
              </w:rPr>
              <w:t>广西壮族自治区</w:t>
            </w:r>
            <w:r>
              <w:rPr>
                <w:rFonts w:hint="eastAsia" w:asciiTheme="minorEastAsia" w:hAnsiTheme="minorEastAsia" w:eastAsiaTheme="minorEastAsia" w:cstheme="minorEastAsia"/>
                <w:sz w:val="21"/>
                <w:szCs w:val="21"/>
              </w:rPr>
              <w:t>自然资源厅现有的技术规程为基础，确保软件在工作流程上符合规范；在输入/输出上符合行业标准；在软件工程和数据库建设上符合行业规范。</w:t>
            </w:r>
          </w:p>
          <w:p>
            <w:pPr>
              <w:spacing w:line="360" w:lineRule="auto"/>
              <w:rPr>
                <w:rFonts w:hint="eastAsia" w:asciiTheme="minorEastAsia" w:hAnsiTheme="minorEastAsia" w:eastAsiaTheme="minorEastAsia" w:cstheme="minorEastAsia"/>
                <w:sz w:val="21"/>
                <w:szCs w:val="21"/>
              </w:rPr>
            </w:pPr>
            <w:bookmarkStart w:id="37" w:name="_Toc83293241"/>
            <w:bookmarkStart w:id="38" w:name="_Toc104025260"/>
            <w:bookmarkStart w:id="39" w:name="_Toc239503562"/>
            <w:bookmarkStart w:id="40" w:name="_Toc402768005"/>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.先进性</w:t>
            </w:r>
            <w:bookmarkEnd w:id="37"/>
            <w:bookmarkEnd w:id="38"/>
            <w:bookmarkEnd w:id="39"/>
            <w:bookmarkEnd w:id="40"/>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在软件、硬件、操作系统、网络技术和开发思想要有一定的先进性，应采用先进的主流软件技术和适当的软件配置方案，充分考虑当前IT技术的发展方向。</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高效性</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满足数据响应时间小于3s</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能够快捷高效处理、统计、分析相关规划数据。</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4.专业性</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编辑功能齐全，满足输出各类规划图件和表格</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稳定性</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稳定性包括软件的正确性、健壮性两个方面。一方面，软件在提交前应该经过反复的测试，在可能的情况下，把错误减少到最少的程度，保证软件的长期的正常运转；另一方面，软件必须有足够的健壮性，在发生意外的软、硬件故障等情况下，能够很好的处理并给出错误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正式上线使用后，</w:t>
            </w:r>
            <w:r>
              <w:rPr>
                <w:rFonts w:hint="eastAsia" w:asciiTheme="minorEastAsia" w:hAnsiTheme="minorEastAsia" w:eastAsiaTheme="minorEastAsia" w:cstheme="minorEastAsia"/>
                <w:sz w:val="21"/>
                <w:szCs w:val="21"/>
              </w:rPr>
              <w:t>系统运行稳定，不出现闪退等问题</w:t>
            </w:r>
            <w:r>
              <w:rPr>
                <w:rFonts w:hint="eastAsia" w:asciiTheme="minorEastAsia" w:hAnsiTheme="minorEastAsia" w:eastAsiaTheme="minorEastAsia" w:cstheme="minorEastAsia"/>
                <w:sz w:val="21"/>
                <w:szCs w:val="21"/>
                <w:lang w:eastAsia="zh-CN"/>
              </w:rPr>
              <w:t>。</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易操作性</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简单，容易上手。提供美观实用、友好直观的中文图形化用户管理界面，充分考虑日常操作习惯，方便易学、易于操作，含全菜单式处理和各种快捷操作。各种屏幕格式、报表格式、菜单格式、提示信息等均采用Windows标准，各种常用操作需符合Windows习惯。</w:t>
            </w:r>
          </w:p>
          <w:p>
            <w:pPr>
              <w:spacing w:line="360" w:lineRule="auto"/>
              <w:rPr>
                <w:rFonts w:hint="eastAsia" w:asciiTheme="minorEastAsia" w:hAnsiTheme="minorEastAsia" w:eastAsiaTheme="minorEastAsia" w:cstheme="minorEastAsia"/>
                <w:sz w:val="21"/>
                <w:szCs w:val="21"/>
              </w:rPr>
            </w:pPr>
            <w:bookmarkStart w:id="41" w:name="_Toc239503565"/>
            <w:bookmarkStart w:id="42" w:name="_Toc83293244"/>
            <w:bookmarkStart w:id="43" w:name="_Toc402768008"/>
            <w:bookmarkStart w:id="44" w:name="_Toc104025263"/>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.可维护性</w:t>
            </w:r>
            <w:bookmarkEnd w:id="41"/>
            <w:bookmarkEnd w:id="42"/>
            <w:bookmarkEnd w:id="43"/>
            <w:bookmarkEnd w:id="44"/>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要能够提供对自身的维护功能，实现数据的备份和恢复。各项维护操作应尽量简单、清晰，减少手工维护工作量。当进行版本升级时，提供版本差异的详细说明，并提供在不影响现有业务工作基础上的自动升级功能。</w:t>
            </w:r>
          </w:p>
          <w:p>
            <w:pPr>
              <w:spacing w:line="360" w:lineRule="auto"/>
              <w:rPr>
                <w:rFonts w:hint="eastAsia" w:asciiTheme="minorEastAsia" w:hAnsiTheme="minorEastAsia" w:eastAsiaTheme="minorEastAsia" w:cstheme="minorEastAsia"/>
                <w:sz w:val="21"/>
                <w:szCs w:val="21"/>
              </w:rPr>
            </w:pPr>
            <w:bookmarkStart w:id="45" w:name="_Toc402768009"/>
            <w:bookmarkStart w:id="46" w:name="_Toc104025265"/>
            <w:bookmarkStart w:id="47" w:name="_Toc83293246"/>
            <w:bookmarkStart w:id="48" w:name="_Toc239503567"/>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.安全性</w:t>
            </w:r>
            <w:bookmarkEnd w:id="45"/>
            <w:bookmarkEnd w:id="46"/>
            <w:bookmarkEnd w:id="47"/>
            <w:bookmarkEnd w:id="48"/>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软件应采用权限控制和网络控制两种方法，保证整个软件系统不会出现非法访问和各子功能的非法使用。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.可扩展和开放性</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软件要求具有良好的接口和方便的二次开发工具，以便软件不断地扩充、求精和完善；应设计优化的软件结构及灵活的数据库系统，使各功能模块在相互关联的基础上尽可能独立操作运行。</w:t>
            </w:r>
          </w:p>
          <w:p>
            <w:pPr>
              <w:numPr>
                <w:ilvl w:val="0"/>
                <w:numId w:val="0"/>
              </w:numPr>
              <w:bidi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五、运维要求</w:t>
            </w:r>
          </w:p>
          <w:p>
            <w:pPr>
              <w:pStyle w:val="6"/>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b w:val="0"/>
                <w:bCs/>
                <w:sz w:val="21"/>
                <w:szCs w:val="21"/>
              </w:rPr>
            </w:pPr>
            <w:bookmarkStart w:id="49" w:name="_Toc5629"/>
            <w:bookmarkStart w:id="50" w:name="_Toc23708"/>
            <w:bookmarkStart w:id="51" w:name="_Toc1515"/>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技术后援支持</w:t>
            </w:r>
            <w:bookmarkEnd w:id="49"/>
            <w:bookmarkEnd w:id="50"/>
            <w:bookmarkEnd w:id="51"/>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结合实际需求提供高质量的技术后援支持。包括：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（1）咨询</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系统服务期内，向用户提供各种与系统相关的免费技术咨询服务，包括热线电话，电子邮件（7×24），传真等方式。</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（2）系统优化</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虽然在系统安装调试时做过性能优化，但在实际运行时，还将根据业务运行情况、网络情况继续对应用系统参数提供优化建议，确保系统随着业务的发展能够持续、稳定、高效地运行。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（3）对重要活动的技术支持</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在有重要活动时，如领导考察、兄弟单位技术交流等，可提供必要的技术支持和技术保障。</w:t>
            </w:r>
          </w:p>
          <w:p>
            <w:pPr>
              <w:pStyle w:val="6"/>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b w:val="0"/>
                <w:bCs/>
                <w:sz w:val="21"/>
                <w:szCs w:val="21"/>
              </w:rPr>
            </w:pPr>
            <w:bookmarkStart w:id="52" w:name="_Toc30336"/>
            <w:bookmarkStart w:id="53" w:name="_Toc27044"/>
            <w:bookmarkStart w:id="54" w:name="_Toc27461"/>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技术后援支持方式</w:t>
            </w:r>
            <w:bookmarkEnd w:id="52"/>
            <w:bookmarkEnd w:id="53"/>
            <w:bookmarkEnd w:id="54"/>
          </w:p>
          <w:p>
            <w:pPr>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远程支持</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采用电话指导或远程登录、电子邮件、QQ 群等方式提供技术支持。 </w:t>
            </w:r>
          </w:p>
          <w:p>
            <w:pPr>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现场技术服务</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当远程支持无法解决用户问题时，指派技术人员、协调厂商提供现场技术服务。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（3）定期跟踪</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应用系统安装、验收完毕后，会随时定期通过电话跟踪使用情况，及时了解存在的问题，并随时给予解决。必要时派遣技术人员到现场解决存在的问题。 </w:t>
            </w:r>
          </w:p>
          <w:p>
            <w:pPr>
              <w:pStyle w:val="6"/>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b w:val="0"/>
                <w:bCs/>
                <w:sz w:val="21"/>
                <w:szCs w:val="21"/>
              </w:rPr>
            </w:pPr>
            <w:bookmarkStart w:id="55" w:name="_Toc10766"/>
            <w:bookmarkStart w:id="56" w:name="_Toc24873"/>
            <w:bookmarkStart w:id="57" w:name="_Toc18136"/>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系统维护服务</w:t>
            </w:r>
            <w:bookmarkEnd w:id="55"/>
            <w:bookmarkEnd w:id="56"/>
            <w:bookmarkEnd w:id="57"/>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在系统安装调试完毕并通过最终验收后，即进入系统的维护期。从这个阶段开始，系统正式进入使用阶段，承担起运载各项业务的重任，因而这一阶段将成为整个系统维护的工作中心和重点。根据用户的需要，提供远程维护（采用电话指导或远程登录）和现场故障抢修两种技术支援方式。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（1）服务范围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软件故障、系统故障、系统优化、对系统问题的咨询服务、其它必须的技术服务。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（2）响应时间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系统运行出现故障时，迅速提供技术服务，承诺2小时内给予解答，24小时提供解决方案；若有必要12小时内到达用户现场排除故障。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（3）服务方式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现场抢修方式、远程维护（采用电话指导或远程登录）、提供专业咨询和技术支持热线、提供专门电子邮件信箱，用于技术咨询和回复。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（4）服务标准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现场支持——软件、系统技术专家将直接到用户的现场进行故障诊断，解决出现的问题。 </w:t>
            </w:r>
          </w:p>
          <w:p>
            <w:pPr>
              <w:pageBreakBefore w:val="0"/>
              <w:widowControl w:val="0"/>
              <w:kinsoku/>
              <w:wordWrap/>
              <w:overflowPunct/>
              <w:topLinePunct w:val="0"/>
              <w:autoSpaceDE/>
              <w:autoSpaceDN/>
              <w:bidi w:val="0"/>
              <w:adjustRightInd/>
              <w:snapToGrid/>
              <w:spacing w:before="10" w:after="1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完整的服务——到达现场后，工程师将提供连续服务，直到故障被排除、软件恢复正常运行为止。</w:t>
            </w:r>
          </w:p>
          <w:p>
            <w:pPr>
              <w:spacing w:line="360" w:lineRule="auto"/>
              <w:outlineLvl w:val="1"/>
              <w:rPr>
                <w:rFonts w:hint="eastAsia" w:asciiTheme="minorEastAsia" w:hAnsiTheme="minorEastAsia" w:eastAsiaTheme="minorEastAsia" w:cstheme="minorEastAsia"/>
                <w:b/>
                <w:bCs/>
                <w:sz w:val="21"/>
                <w:szCs w:val="21"/>
              </w:rPr>
            </w:pPr>
            <w:bookmarkStart w:id="58" w:name="_Toc25769"/>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、售后服务要求</w:t>
            </w:r>
            <w:bookmarkEnd w:id="58"/>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.售后服务期从项目验收后第一天开始起算，为期一年。售后服务期内，成交人必须提供免费的软件版本升级、用户所需的接口扩展。在售后服务期内发现的系统缺陷，成交人应免费修复。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.售后服务期内，升级、维修、更换等所需一切支出由成交人负责。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人员撤换要求：本项目实施过程中，若采购人发现拟派本项目工作人员，未能尽职尽责，工作懈怠或因其他原因不适合继续参与本项目相关工作的，采购人有权要求成交供应商撤换相关岗位工作人员，成交供应商须无条件响应，并及时作出撤换，撤换工作人员资历不得低于</w:t>
            </w:r>
            <w:r>
              <w:rPr>
                <w:rFonts w:hint="eastAsia" w:hAnsiTheme="minorEastAsia" w:cstheme="minorEastAsia"/>
                <w:sz w:val="21"/>
                <w:szCs w:val="21"/>
                <w:lang w:val="en-US" w:eastAsia="zh-CN"/>
              </w:rPr>
              <w:t>采购</w:t>
            </w:r>
            <w:r>
              <w:rPr>
                <w:rFonts w:hint="eastAsia" w:asciiTheme="minorEastAsia" w:hAnsiTheme="minorEastAsia" w:eastAsiaTheme="minorEastAsia" w:cstheme="minorEastAsia"/>
                <w:sz w:val="21"/>
                <w:szCs w:val="21"/>
              </w:rPr>
              <w:t>文件规定的人员要求。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.在合同约定的服务期内，如成交人提供的服务无法满足采购人的需要或未达到</w:t>
            </w:r>
            <w:r>
              <w:rPr>
                <w:rFonts w:hint="eastAsia" w:hAnsiTheme="minorEastAsia" w:cstheme="minorEastAsia"/>
                <w:sz w:val="21"/>
                <w:szCs w:val="21"/>
                <w:lang w:val="en-US" w:eastAsia="zh-CN"/>
              </w:rPr>
              <w:t>采购</w:t>
            </w:r>
            <w:r>
              <w:rPr>
                <w:rFonts w:hint="eastAsia" w:asciiTheme="minorEastAsia" w:hAnsiTheme="minorEastAsia" w:eastAsiaTheme="minorEastAsia" w:cstheme="minorEastAsia"/>
                <w:sz w:val="21"/>
                <w:szCs w:val="21"/>
              </w:rPr>
              <w:t>响应承诺的标准，经采购人指出后仍未有改进的，采购人可单方解除合同，由此造成采购人的一切损失均由成交人承担。</w:t>
            </w:r>
          </w:p>
          <w:p>
            <w:pPr>
              <w:spacing w:line="360" w:lineRule="auto"/>
              <w:rPr>
                <w:rFonts w:ascii="宋体" w:hAnsi="宋体" w:cs="宋体"/>
                <w:color w:val="FF0000"/>
                <w:szCs w:val="21"/>
                <w:highlight w:val="none"/>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.本项目成果所有权和使用权均属于采购人。成交人不得以任何借口留存，否则承担由此产生的一切法律和经济责任。未经允许，任何单位和个人不得转让和使用本项目成果。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b/>
                <w:color w:val="FF0000"/>
                <w:szCs w:val="21"/>
                <w:highlight w:val="none"/>
              </w:rPr>
            </w:pPr>
            <w:r>
              <w:rPr>
                <w:rFonts w:hint="eastAsia" w:ascii="宋体" w:hAnsi="宋体"/>
                <w:b/>
                <w:color w:val="auto"/>
                <w:szCs w:val="21"/>
                <w:highlight w:val="none"/>
              </w:rPr>
              <w:t>二、涉及项目的其他要求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采购预算金额</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项目总预算金额为</w:t>
            </w:r>
            <w:r>
              <w:rPr>
                <w:rFonts w:hint="eastAsia" w:ascii="宋体" w:hAnsi="宋体"/>
                <w:color w:val="auto"/>
                <w:szCs w:val="21"/>
                <w:highlight w:val="none"/>
                <w:lang w:val="en-US" w:eastAsia="zh-CN"/>
              </w:rPr>
              <w:t>1400000.00</w:t>
            </w: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采购标的需实现的功能或者目标</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见本表“项目需要及技术需求”。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s="Arial"/>
                <w:color w:val="auto"/>
                <w:szCs w:val="21"/>
                <w:highlight w:val="none"/>
              </w:rPr>
              <w:t>为落实政府采购政策需满足的要求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具体见本采购文件“供应商须知”及“评定成交的标准”。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Arial"/>
                <w:color w:val="auto"/>
                <w:szCs w:val="21"/>
                <w:highlight w:val="none"/>
              </w:rPr>
            </w:pPr>
            <w:r>
              <w:rPr>
                <w:rFonts w:hint="eastAsia" w:ascii="宋体" w:hAnsi="宋体" w:cs="Arial"/>
                <w:color w:val="auto"/>
                <w:szCs w:val="21"/>
                <w:highlight w:val="none"/>
              </w:rPr>
              <w:t>规范标准</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s="Arial"/>
                <w:color w:val="auto"/>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Arial"/>
                <w:color w:val="auto"/>
                <w:szCs w:val="21"/>
                <w:highlight w:val="none"/>
              </w:rPr>
            </w:pPr>
            <w:r>
              <w:rPr>
                <w:rFonts w:hint="eastAsia" w:ascii="宋体" w:hAnsi="宋体" w:cs="Arial"/>
                <w:color w:val="auto"/>
                <w:szCs w:val="21"/>
                <w:highlight w:val="none"/>
              </w:rPr>
              <w:t>采购标的需满足的质量、安全、技术规格、物理特性等</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Arial"/>
                <w:color w:val="auto"/>
                <w:szCs w:val="21"/>
                <w:highlight w:val="none"/>
              </w:rPr>
            </w:pPr>
            <w:r>
              <w:rPr>
                <w:rFonts w:hint="eastAsia" w:ascii="宋体" w:hAnsi="宋体" w:cs="Arial"/>
                <w:color w:val="auto"/>
                <w:szCs w:val="21"/>
                <w:highlight w:val="none"/>
              </w:rPr>
              <w:t>见本表“项目需要及技术需求”。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Arial"/>
                <w:color w:val="auto"/>
                <w:szCs w:val="21"/>
                <w:highlight w:val="none"/>
              </w:rPr>
            </w:pPr>
            <w:r>
              <w:rPr>
                <w:rFonts w:hint="eastAsia" w:ascii="宋体" w:hAnsi="宋体" w:cs="Arial"/>
                <w:color w:val="auto"/>
                <w:szCs w:val="21"/>
                <w:highlight w:val="none"/>
              </w:rPr>
              <w:t>采购标的需满足的服务标准、期限、效率等要求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Arial"/>
                <w:color w:val="auto"/>
                <w:szCs w:val="21"/>
                <w:highlight w:val="none"/>
              </w:rPr>
            </w:pPr>
            <w:r>
              <w:rPr>
                <w:rFonts w:hint="eastAsia" w:ascii="宋体" w:hAnsi="宋体" w:cs="Arial"/>
                <w:color w:val="auto"/>
                <w:szCs w:val="21"/>
                <w:highlight w:val="none"/>
              </w:rPr>
              <w:t>见本表“项目需要及技术需求”及“商务条款”。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采购标的验收标准及要求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合同履行过程中，由采购单位根据服务单位所提供的服务对照采购文件要求及服务单位响应文件承诺进行检验并记录，如不符合采购文件服务需求及要求以及提供虚假承诺的，按相关规定做违约处理，成交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Arial"/>
                <w:color w:val="auto"/>
                <w:szCs w:val="21"/>
                <w:highlight w:val="none"/>
              </w:rPr>
            </w:pPr>
            <w:r>
              <w:rPr>
                <w:rFonts w:hint="eastAsia" w:ascii="宋体" w:hAnsi="宋体" w:cs="Arial"/>
                <w:color w:val="auto"/>
                <w:szCs w:val="21"/>
                <w:highlight w:val="none"/>
              </w:rPr>
              <w:t>其他技术及服务要求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b/>
                <w:color w:val="auto"/>
                <w:szCs w:val="21"/>
                <w:highlight w:val="none"/>
              </w:rPr>
            </w:pPr>
            <w:r>
              <w:rPr>
                <w:rFonts w:hint="eastAsia" w:ascii="宋体" w:hAnsi="宋体"/>
                <w:b/>
                <w:color w:val="auto"/>
                <w:szCs w:val="21"/>
                <w:highlight w:val="none"/>
              </w:rPr>
              <w:t>三、供应商的资信要求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color w:val="auto"/>
                <w:highlight w:val="none"/>
              </w:rPr>
            </w:pPr>
            <w:r>
              <w:rPr>
                <w:rFonts w:hint="eastAsia"/>
                <w:color w:val="auto"/>
                <w:highlight w:val="none"/>
              </w:rPr>
              <w:t>政策性加分条件</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color w:val="auto"/>
                <w:highlight w:val="none"/>
              </w:rPr>
            </w:pPr>
            <w:r>
              <w:rPr>
                <w:rFonts w:hint="eastAsia"/>
                <w:color w:val="auto"/>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color w:val="auto"/>
                <w:highlight w:val="none"/>
              </w:rPr>
            </w:pPr>
            <w:r>
              <w:rPr>
                <w:rFonts w:hint="eastAsia"/>
                <w:color w:val="auto"/>
                <w:highlight w:val="none"/>
              </w:rPr>
              <w:t>质量管理、企业信用要求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color w:val="auto"/>
                <w:highlight w:val="none"/>
              </w:rPr>
              <w:t>见本采购文件第四章“评定成交的标准”。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color w:val="auto"/>
                <w:highlight w:val="none"/>
              </w:rPr>
            </w:pPr>
            <w:r>
              <w:rPr>
                <w:rFonts w:hint="eastAsia"/>
                <w:color w:val="auto"/>
                <w:highlight w:val="none"/>
              </w:rPr>
              <w:t>能力或业绩要求</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color w:val="auto"/>
                <w:highlight w:val="none"/>
              </w:rPr>
              <w:t>见本采购文件第四章“评定成交的标准”。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原厂商授权</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产品资料及说明文件</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其他</w:t>
            </w:r>
          </w:p>
        </w:tc>
        <w:tc>
          <w:tcPr>
            <w:tcW w:w="756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供应商结合自身情况，结合本采购文件采购需求及要求提供服务方案和服务承诺，以及采购文件以外的有利于采购人的优化服务措施或增值服务承诺。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宋体" w:hAnsi="宋体"/>
                <w:color w:val="auto"/>
                <w:szCs w:val="21"/>
                <w:highlight w:val="none"/>
              </w:rPr>
            </w:pPr>
            <w:r>
              <w:rPr>
                <w:rFonts w:hint="eastAsia" w:ascii="宋体" w:hAnsi="宋体"/>
                <w:color w:val="auto"/>
                <w:szCs w:val="21"/>
                <w:highlight w:val="none"/>
                <w:lang w:val="en-US" w:eastAsia="zh-CN"/>
              </w:rPr>
              <w:t>合同履约</w:t>
            </w:r>
            <w:r>
              <w:rPr>
                <w:rFonts w:hint="eastAsia" w:ascii="宋体" w:hAnsi="宋体"/>
                <w:color w:val="auto"/>
                <w:szCs w:val="21"/>
                <w:highlight w:val="none"/>
              </w:rPr>
              <w:t>期限及服务地点</w:t>
            </w:r>
          </w:p>
        </w:tc>
        <w:tc>
          <w:tcPr>
            <w:tcW w:w="8432"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合同履约期限：</w:t>
            </w:r>
            <w:r>
              <w:rPr>
                <w:rFonts w:hint="eastAsia" w:ascii="宋体" w:hAnsi="宋体"/>
                <w:color w:val="auto"/>
                <w:szCs w:val="21"/>
                <w:highlight w:val="none"/>
                <w:lang w:val="en-US" w:eastAsia="zh-CN"/>
              </w:rPr>
              <w:t>2022年11月30日前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2.服务地点：广西区内采购人指定地点。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交付使用期</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2022年11月30日前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宋体" w:hAnsi="宋体"/>
                <w:color w:val="auto"/>
                <w:szCs w:val="21"/>
                <w:highlight w:val="none"/>
              </w:rPr>
            </w:pPr>
            <w:r>
              <w:rPr>
                <w:rFonts w:hint="eastAsia" w:ascii="宋体" w:hAnsi="宋体"/>
                <w:color w:val="auto"/>
                <w:szCs w:val="21"/>
                <w:highlight w:val="none"/>
              </w:rPr>
              <w:t>付款条件</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合同签订后10个工作日内，甲方向乙方支付合同总价40%的启动经费；乙方提交初步成果，甲方向乙方支付合同总价50%的进度经费；成果提交并经甲方验收合格后，甲方在十五个工作日内一次性支付合同总价的剩余10%服务款给乙方。乙方在每次收到货款之日起5个工作日内开具全额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宋体" w:hAnsi="宋体"/>
                <w:color w:val="auto"/>
                <w:szCs w:val="21"/>
                <w:highlight w:val="none"/>
              </w:rPr>
            </w:pPr>
            <w:r>
              <w:rPr>
                <w:rFonts w:hint="eastAsia" w:ascii="宋体" w:hAnsi="宋体"/>
                <w:color w:val="auto"/>
                <w:szCs w:val="21"/>
                <w:highlight w:val="none"/>
              </w:rPr>
              <w:t>投标报价要求</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1.磋商服务项目的价格，</w:t>
            </w:r>
            <w:r>
              <w:rPr>
                <w:rFonts w:hint="eastAsia" w:cs="新宋体" w:hAnsiTheme="minorEastAsia"/>
                <w:color w:val="000000"/>
              </w:rPr>
              <w:t>包含产品价、运输费（含装卸费）、保险费、安装调试费、税费、培训费、产品检测费、产品维护费等费用。</w:t>
            </w:r>
            <w:r>
              <w:rPr>
                <w:rFonts w:hint="eastAsia" w:ascii="宋体" w:hAnsi="宋体"/>
                <w:color w:val="auto"/>
                <w:szCs w:val="21"/>
                <w:highlight w:val="none"/>
              </w:rPr>
              <w:t>合同履行过程中采购人不再支付任何费用。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履约保证金</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其他</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olor w:val="auto"/>
                <w:szCs w:val="21"/>
                <w:highlight w:val="none"/>
              </w:rPr>
            </w:pPr>
            <w:r>
              <w:rPr>
                <w:rFonts w:hint="eastAsia" w:ascii="宋体" w:hAnsi="宋体"/>
                <w:b/>
                <w:color w:val="auto"/>
                <w:szCs w:val="21"/>
                <w:highlight w:val="none"/>
              </w:rPr>
              <w:t>五、采购人对项目的特殊要求及说明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b w:val="0"/>
                <w:bCs/>
                <w:color w:val="auto"/>
                <w:szCs w:val="21"/>
                <w:highlight w:val="none"/>
              </w:rPr>
            </w:pPr>
            <w:r>
              <w:rPr>
                <w:rFonts w:hint="eastAsia" w:ascii="宋体" w:hAnsi="宋体"/>
                <w:b w:val="0"/>
                <w:bCs/>
                <w:color w:val="auto"/>
                <w:szCs w:val="21"/>
                <w:highlight w:val="none"/>
              </w:rPr>
              <w:t>其他说明</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宋体" w:hAnsi="宋体"/>
                <w:b w:val="0"/>
                <w:bCs/>
                <w:color w:val="auto"/>
                <w:szCs w:val="21"/>
                <w:highlight w:val="none"/>
              </w:rPr>
            </w:pPr>
            <w:r>
              <w:rPr>
                <w:rFonts w:hint="eastAsia" w:ascii="宋体" w:hAnsi="宋体"/>
                <w:b w:val="0"/>
                <w:bCs/>
                <w:color w:val="auto"/>
                <w:szCs w:val="21"/>
                <w:highlight w:val="none"/>
              </w:rPr>
              <w:t>为避免供应商不良诚信记录的发生，及配合采购单位政府采购项目执行和备案，未在政采云注册的供应商可在获取竞争性磋商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其他要求</w:t>
            </w:r>
          </w:p>
        </w:tc>
        <w:tc>
          <w:tcPr>
            <w:tcW w:w="843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eastAsiaTheme="minorEastAsia"/>
                <w:b w:val="0"/>
                <w:bCs w:val="0"/>
                <w:color w:val="auto"/>
                <w:szCs w:val="21"/>
                <w:highlight w:val="none"/>
                <w:lang w:val="en-US" w:eastAsia="zh-CN"/>
              </w:rPr>
            </w:pPr>
            <w:r>
              <w:rPr>
                <w:rFonts w:hint="eastAsia" w:ascii="宋体" w:hAnsi="宋体"/>
                <w:b w:val="0"/>
                <w:bCs w:val="0"/>
                <w:color w:val="auto"/>
                <w:szCs w:val="21"/>
                <w:highlight w:val="none"/>
                <w:lang w:val="en-US" w:eastAsia="zh-CN"/>
              </w:rPr>
              <w:t>/</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40" w:lineRule="exact"/>
        <w:rPr>
          <w:rFonts w:hint="eastAsia" w:ascii="宋体" w:hAnsi="宋体"/>
          <w:b/>
          <w:color w:val="000000"/>
          <w:szCs w:val="21"/>
          <w:highlight w:val="none"/>
        </w:rPr>
      </w:pPr>
      <w:r>
        <w:rPr>
          <w:rFonts w:hint="eastAsia" w:ascii="宋体" w:hAnsi="宋体"/>
          <w:b/>
          <w:color w:val="000000"/>
          <w:szCs w:val="21"/>
          <w:highlight w:val="none"/>
        </w:rPr>
        <w:t>附件：</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中小微企业划型标准</w:t>
      </w:r>
    </w:p>
    <w:tbl>
      <w:tblPr>
        <w:tblStyle w:val="26"/>
        <w:tblW w:w="9476" w:type="dxa"/>
        <w:tblInd w:w="250" w:type="dxa"/>
        <w:tblLayout w:type="fixed"/>
        <w:tblCellMar>
          <w:top w:w="0" w:type="dxa"/>
          <w:left w:w="108" w:type="dxa"/>
          <w:bottom w:w="0" w:type="dxa"/>
          <w:right w:w="108" w:type="dxa"/>
        </w:tblCellMar>
      </w:tblPr>
      <w:tblGrid>
        <w:gridCol w:w="2021"/>
        <w:gridCol w:w="1643"/>
        <w:gridCol w:w="1083"/>
        <w:gridCol w:w="1923"/>
        <w:gridCol w:w="1710"/>
        <w:gridCol w:w="1096"/>
      </w:tblGrid>
      <w:tr>
        <w:tblPrEx>
          <w:tblCellMar>
            <w:top w:w="0" w:type="dxa"/>
            <w:left w:w="108" w:type="dxa"/>
            <w:bottom w:w="0" w:type="dxa"/>
            <w:right w:w="108" w:type="dxa"/>
          </w:tblCellMar>
        </w:tblPrEx>
        <w:trPr>
          <w:trHeight w:val="142" w:hRule="atLeast"/>
        </w:trPr>
        <w:tc>
          <w:tcPr>
            <w:tcW w:w="2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行业名称</w:t>
            </w:r>
          </w:p>
        </w:tc>
        <w:tc>
          <w:tcPr>
            <w:tcW w:w="16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指标名称</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计量单位</w:t>
            </w:r>
          </w:p>
        </w:tc>
        <w:tc>
          <w:tcPr>
            <w:tcW w:w="1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中型</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小型</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微型</w:t>
            </w:r>
          </w:p>
        </w:tc>
      </w:tr>
      <w:tr>
        <w:tblPrEx>
          <w:tblCellMar>
            <w:top w:w="0" w:type="dxa"/>
            <w:left w:w="108" w:type="dxa"/>
            <w:bottom w:w="0" w:type="dxa"/>
            <w:right w:w="108" w:type="dxa"/>
          </w:tblCellMar>
        </w:tblPrEx>
        <w:trPr>
          <w:trHeight w:val="323" w:hRule="atLeast"/>
        </w:trPr>
        <w:tc>
          <w:tcPr>
            <w:tcW w:w="20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农、林、牧、渔</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500≤Y＜20000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50≤Y＜500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Y＜50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工业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300≤X＜1000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20≤X＜300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2000≤Y＜40000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300≤Y＜2000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Y＜300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建筑业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6000≤Y＜80000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300≤Y＜6000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Y＜300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资产总额（Z）</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5000≤Z＜80000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300≤Z＜5000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Z＜300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批发业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20≤X＜200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5≤X＜20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X＜5</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5000≤Y＜40000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1000≤Y＜5000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零售业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10≤X＜50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500≤Y＜20000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100≤Y＜500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交通运输业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300≤X＜1000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20≤X＜300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3000≤Y＜30000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200≤Y＜3000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Y＜200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仓储业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100≤X＜200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1000≤Y＜30000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100≤Y＜1000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邮政业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300≤X＜1000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20≤X＜300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X＜20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2000≤Y＜30000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100≤Y＜2000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住宿业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2000≤Y＜10000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100≤Y＜2000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餐饮业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2000≤Y＜10000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100≤Y＜2000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信息传输业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100≤X＜2000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1000≤Y＜100000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100≤Y＜1000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软件和信息技术服务业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1000≤Y＜10000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50≤Y＜1000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Y＜50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房地产开发经营</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1000≤Y＜200000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100≤X＜1000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资产总额（Z）</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5000≤Z＜10000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2000≤Y＜5000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Y＜2000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物业管理</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300≤X＜1000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营业收入（Y）</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1000≤Y＜5000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500≤Y＜1000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Y＜500</w:t>
            </w:r>
          </w:p>
        </w:tc>
      </w:tr>
      <w:tr>
        <w:tblPrEx>
          <w:tblCellMar>
            <w:top w:w="0" w:type="dxa"/>
            <w:left w:w="108" w:type="dxa"/>
            <w:bottom w:w="0" w:type="dxa"/>
            <w:right w:w="108" w:type="dxa"/>
          </w:tblCellMar>
        </w:tblPrEx>
        <w:trPr>
          <w:trHeight w:val="142" w:hRule="atLeast"/>
        </w:trPr>
        <w:tc>
          <w:tcPr>
            <w:tcW w:w="20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租赁和商务服务业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r>
        <w:tblPrEx>
          <w:tblCellMar>
            <w:top w:w="0" w:type="dxa"/>
            <w:left w:w="108" w:type="dxa"/>
            <w:bottom w:w="0" w:type="dxa"/>
            <w:right w:w="108" w:type="dxa"/>
          </w:tblCellMar>
        </w:tblPrEx>
        <w:trPr>
          <w:trHeight w:val="142" w:hRule="atLeast"/>
        </w:trPr>
        <w:tc>
          <w:tcPr>
            <w:tcW w:w="20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资产总额（Z）</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8000≤Z＜120000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100≤Z＜8000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Y＜100</w:t>
            </w:r>
          </w:p>
        </w:tc>
      </w:tr>
      <w:tr>
        <w:tblPrEx>
          <w:tblCellMar>
            <w:top w:w="0" w:type="dxa"/>
            <w:left w:w="108" w:type="dxa"/>
            <w:bottom w:w="0" w:type="dxa"/>
            <w:right w:w="108" w:type="dxa"/>
          </w:tblCellMar>
        </w:tblPrEx>
        <w:trPr>
          <w:trHeight w:val="362" w:hRule="atLeast"/>
        </w:trPr>
        <w:tc>
          <w:tcPr>
            <w:tcW w:w="20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其他未列明行业</w:t>
            </w:r>
          </w:p>
        </w:tc>
        <w:tc>
          <w:tcPr>
            <w:tcW w:w="1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从业人员（X）</w:t>
            </w:r>
          </w:p>
        </w:tc>
        <w:tc>
          <w:tcPr>
            <w:tcW w:w="10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人</w:t>
            </w:r>
          </w:p>
        </w:tc>
        <w:tc>
          <w:tcPr>
            <w:tcW w:w="19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100≤X＜300</w:t>
            </w:r>
          </w:p>
        </w:tc>
        <w:tc>
          <w:tcPr>
            <w:tcW w:w="1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10≤X＜100</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X＜10</w:t>
            </w:r>
          </w:p>
        </w:tc>
      </w:tr>
    </w:tbl>
    <w:p>
      <w:pPr>
        <w:spacing w:line="428" w:lineRule="exact"/>
        <w:ind w:left="119"/>
        <w:rPr>
          <w:rFonts w:hint="eastAsia" w:ascii="宋体" w:hAnsi="宋体" w:eastAsia="宋体" w:cs="宋体"/>
          <w:sz w:val="32"/>
          <w:szCs w:val="32"/>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ind w:left="0" w:leftChars="0" w:firstLine="0" w:firstLineChars="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br w:type="page"/>
      </w:r>
    </w:p>
    <w:p>
      <w:pPr>
        <w:pStyle w:val="44"/>
        <w:bidi w:val="0"/>
        <w:rPr>
          <w:rFonts w:hint="eastAsia"/>
        </w:rPr>
      </w:pPr>
      <w:bookmarkStart w:id="59" w:name="_Toc5444"/>
      <w:bookmarkStart w:id="60" w:name="_Toc76480568"/>
      <w:bookmarkStart w:id="61" w:name="_Toc74322608"/>
      <w:r>
        <w:rPr>
          <w:rFonts w:hint="eastAsia"/>
        </w:rPr>
        <w:t>第四章 评审程序、评审方法和评审标准</w:t>
      </w:r>
      <w:bookmarkEnd w:id="59"/>
      <w:bookmarkEnd w:id="60"/>
      <w:bookmarkEnd w:id="61"/>
    </w:p>
    <w:p>
      <w:pPr>
        <w:pStyle w:val="62"/>
        <w:rPr>
          <w:color w:val="000000" w:themeColor="text1"/>
          <w14:textFill>
            <w14:solidFill>
              <w14:schemeClr w14:val="tx1"/>
            </w14:solidFill>
          </w14:textFill>
        </w:rPr>
      </w:pPr>
      <w:bookmarkStart w:id="62" w:name="_Toc24524"/>
      <w:r>
        <w:rPr>
          <w:rFonts w:hint="eastAsia"/>
          <w:color w:val="000000" w:themeColor="text1"/>
          <w14:textFill>
            <w14:solidFill>
              <w14:schemeClr w14:val="tx1"/>
            </w14:solidFill>
          </w14:textFill>
        </w:rPr>
        <w:t>一、评审程序和评审方法</w:t>
      </w:r>
      <w:bookmarkEnd w:id="62"/>
    </w:p>
    <w:p>
      <w:pPr>
        <w:pStyle w:val="63"/>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9"/>
        <w:rPr>
          <w:color w:val="000000" w:themeColor="text1"/>
          <w14:textFill>
            <w14:solidFill>
              <w14:schemeClr w14:val="tx1"/>
            </w14:solidFill>
          </w14:textFill>
        </w:rPr>
      </w:pP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.资格审查</w:t>
      </w:r>
    </w:p>
    <w:p>
      <w:pPr>
        <w:widowControl w:val="0"/>
        <w:snapToGrid w:val="0"/>
        <w:ind w:firstLine="420"/>
        <w:jc w:val="both"/>
        <w:rPr>
          <w:rFonts w:ascii="宋体" w:hAnsi="宋体" w:eastAsia="宋体" w:cs="Times New Roman"/>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响应文件开启后，磋商小组依法对供应商的资格证明文件进行审查。</w:t>
      </w:r>
    </w:p>
    <w:p>
      <w:pPr>
        <w:widowControl w:val="0"/>
        <w:snapToGrid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r>
        <w:rPr>
          <w:rFonts w:hint="eastAsia" w:ascii="Times New Roman" w:hAnsi="Times New Roman" w:eastAsia="宋体" w:cs="Times New Roman"/>
          <w:color w:val="000000" w:themeColor="text1"/>
          <w:szCs w:val="24"/>
          <w14:textFill>
            <w14:solidFill>
              <w14:schemeClr w14:val="tx1"/>
            </w14:solidFill>
          </w14:textFill>
        </w:rPr>
        <w:t>磋商小组</w:t>
      </w:r>
      <w:r>
        <w:rPr>
          <w:rFonts w:hint="eastAsia" w:ascii="宋体" w:hAnsi="宋体" w:eastAsia="宋体" w:cs="宋体"/>
          <w:color w:val="000000" w:themeColor="text1"/>
          <w14:textFill>
            <w14:solidFill>
              <w14:schemeClr w14:val="tx1"/>
            </w14:solidFill>
          </w14:textFill>
        </w:rPr>
        <w:t>在资格审查结束前，对供应商进行信用查询。</w:t>
      </w:r>
    </w:p>
    <w:p>
      <w:pPr>
        <w:widowControl w:val="0"/>
        <w:snapToGrid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（1）查询渠道：“政采云”平台“信用中国”网站(www.creditchina.gov.cn)、中国政府采购网(www.ccgp.gov.cn)链接入口。</w:t>
      </w:r>
    </w:p>
    <w:p>
      <w:pPr>
        <w:widowControl w:val="0"/>
        <w:snapToGrid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（2）信用查询截止时点：资格审查结束前。</w:t>
      </w:r>
    </w:p>
    <w:p>
      <w:pPr>
        <w:widowControl w:val="0"/>
        <w:snapToGrid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（3）查询记录和证据留存方式：在查询网站中直接查询，截图另存为电子文档作为评审资料保存。</w:t>
      </w:r>
    </w:p>
    <w:p>
      <w:pPr>
        <w:widowControl w:val="0"/>
        <w:snapToGrid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000000" w:themeColor="text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000000" w:themeColor="text1"/>
          <w14:textFill>
            <w14:solidFill>
              <w14:schemeClr w14:val="tx1"/>
            </w14:solidFill>
          </w14:textFill>
        </w:rPr>
        <w:t>。</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.3供应商有下列情形之一的，资格审查不通过，其响应文件按无效响应处理：</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（1）不具备磋商文件中规定的资格要求的；</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（2）未按磋商文件规定的方式获取本磋商文件的供应商；</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（3）响应文件的资格证明文件缺少任一项“供应商须知前附表”资格证明文件规定的“必须提供”的文件资料的；</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（4）响应文件中的资格证明文件出现任一项不符合“供应商须知前附表”资格证明文件规定的“必须提供”的文件资料要求或者无效的；</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pPr>
        <w:snapToGrid w:val="0"/>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1.4通过资格审查的合格供应商不足3家的，不得进入符合性审查环节，采购人或者采购代理机构应当重新开展采购活动。</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.符合性审查</w:t>
      </w:r>
    </w:p>
    <w:p>
      <w:pPr>
        <w:widowControl w:val="0"/>
        <w:ind w:firstLine="420"/>
        <w:jc w:val="both"/>
        <w:rPr>
          <w:rFonts w:ascii="宋体" w:hAnsi="宋体" w:eastAsia="宋体" w:cs="宋体"/>
          <w:color w:val="000000" w:themeColor="text1"/>
          <w14:textFill>
            <w14:solidFill>
              <w14:schemeClr w14:val="tx1"/>
            </w14:solidFill>
          </w14:textFill>
        </w:rPr>
      </w:pPr>
      <w:bookmarkStart w:id="63" w:name="_Hlk42528882"/>
      <w:r>
        <w:rPr>
          <w:rFonts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由磋商小组对</w:t>
      </w:r>
      <w:r>
        <w:rPr>
          <w:rFonts w:hint="eastAsia" w:ascii="宋体" w:hAnsi="宋体" w:eastAsia="宋体" w:cs="Times New Roman"/>
          <w:color w:val="000000" w:themeColor="text1"/>
          <w14:textFill>
            <w14:solidFill>
              <w14:schemeClr w14:val="tx1"/>
            </w14:solidFill>
          </w14:textFill>
        </w:rPr>
        <w:t>通过资格审查的合格供应商</w:t>
      </w:r>
      <w:r>
        <w:rPr>
          <w:rFonts w:hint="eastAsia" w:ascii="宋体" w:hAnsi="宋体" w:eastAsia="宋体" w:cs="宋体"/>
          <w:color w:val="000000" w:themeColor="text1"/>
          <w14:textFill>
            <w14:solidFill>
              <w14:schemeClr w14:val="tx1"/>
            </w14:solidFill>
          </w14:textFill>
        </w:rPr>
        <w:t>的响应文件的竞标报价、商务、技术等实质性要求进行符合性审查，以确定其是否满足磋商文件的实质性要求。</w:t>
      </w:r>
    </w:p>
    <w:bookmarkEnd w:id="63"/>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widowControl w:val="0"/>
        <w:ind w:firstLine="39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 xml:space="preserve">首次响应文件报价出现前后不一致的，按照下列规定修正： </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（1）响应文件中报价表内容与响应文件中相应内容不一致的，以报价表为准；</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（2）大写金额和小写金额不一致的，以大写金额为准；</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（3）单价金额小数点或者百分比有明显错位的，以报价表的总价为准，并修改单价；</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（4）总价金额与按单价汇总金额不一致的，以单价金额计算结果为准。</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商务技术报价评审</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在评审时，如发现下列情形之一的，将被视为响应文件无效处理：</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（1）商务技术评审</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1）响应文件未按磋商文件要求签署、盖章；</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2）委托代理人未能出具有效身份证或者出具的身份证与授权委托书中的信息不符的； </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3）提交的磋商保证金无效的或者未按照磋商文件的规定提交磋商保证金；</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5）商务要求允许负偏离的条款数超过“供应商须知前附表”规定项数的；</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6）未对竞标有效期作出响应或者响应文件承诺的竞标有效期不满足磋商文件要求；</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7）响应文件的实质性内容未使用中文表述、使用计量单位不符合磋商文件要求；</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8）响应文件中的文件资料因填写不齐全或者内容虚假或者出现其他情形而导致被磋商小组认定无效；</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9）响应文件含有采购人不能接受的附加条件；</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10）属于“供应商须知正文”第7.5条情形；</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11）技术要求允许负偏离的条款数超过“供应商须知前附表”规定项数；</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12）虚假竞标，或者出现其他情形而导致被磋商小组认定无效；</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13）磋商文件未载明允许提供备选（替代）竞标方案或明确不允许提供备选（替代）竞标方案时，供应商提供了备选（替代）竞标方案的；</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14）响应文件标注的项目名称或者项目编号与磋商文件标注的项目名称或者项目编号不一致的；</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15）竞争性磋商文件明确不允许分包，响应文件拟分包的；</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16）未响应磋商文件实质性要求；</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17）法律、法规和磋商文件规定的其他无效情形。</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）报价评审</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响应文件未提供“供应商须知前附表” 报价文件中规定的“竞标报价表”；</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2）未采用人民币报价或者未按照磋商文件标明的币种报价；</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4）竞标报价（包含首次报价、最后报价）超过所竞标分标规定的采购预算金额或者最高限价的（如本项目公布了最高限价）；</w:t>
      </w:r>
      <w:bookmarkStart w:id="64" w:name="_Hlk42596405"/>
      <w:r>
        <w:rPr>
          <w:rFonts w:hint="eastAsia" w:ascii="宋体" w:hAnsi="宋体" w:eastAsia="宋体" w:cs="宋体"/>
          <w:color w:val="000000" w:themeColor="text1"/>
          <w14:textFill>
            <w14:solidFill>
              <w14:schemeClr w14:val="tx1"/>
            </w14:solidFill>
          </w14:textFill>
        </w:rPr>
        <w:t>竞标报价（包含首次报价、最后报价）</w:t>
      </w:r>
      <w:bookmarkEnd w:id="64"/>
      <w:bookmarkStart w:id="65" w:name="_Hlk42596276"/>
      <w:r>
        <w:rPr>
          <w:rFonts w:hint="eastAsia" w:ascii="宋体" w:hAnsi="宋体" w:eastAsia="宋体" w:cs="宋体"/>
          <w:color w:val="000000" w:themeColor="text1"/>
          <w14:textFill>
            <w14:solidFill>
              <w14:schemeClr w14:val="tx1"/>
            </w14:solidFill>
          </w14:textFill>
        </w:rPr>
        <w:t>超过磋商文件分项采购预算金额或者最高限价的</w:t>
      </w:r>
      <w:bookmarkEnd w:id="65"/>
      <w:r>
        <w:rPr>
          <w:rFonts w:hint="eastAsia" w:ascii="宋体" w:hAnsi="宋体" w:eastAsia="宋体" w:cs="宋体"/>
          <w:color w:val="000000" w:themeColor="text1"/>
          <w14:textFill>
            <w14:solidFill>
              <w14:schemeClr w14:val="tx1"/>
            </w14:solidFill>
          </w14:textFill>
        </w:rPr>
        <w:t>（如本项目公布了最高限价）；</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Times New Roman"/>
          <w:color w:val="000000" w:themeColor="text1"/>
          <w14:textFill>
            <w14:solidFill>
              <w14:schemeClr w14:val="tx1"/>
            </w14:solidFill>
          </w14:textFill>
        </w:rPr>
        <w:t>响应文件响应的标的数量及单位与竞争性磋商采购文件要求实质性不一致的。</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2.7</w:t>
      </w:r>
      <w:r>
        <w:rPr>
          <w:rFonts w:hint="eastAsia" w:ascii="宋体" w:hAnsi="宋体" w:eastAsia="宋体" w:cs="Times New Roman"/>
          <w:color w:val="000000" w:themeColor="text1"/>
          <w14:textFill>
            <w14:solidFill>
              <w14:schemeClr w14:val="tx1"/>
            </w14:solidFill>
          </w14:textFill>
        </w:rPr>
        <w:t>通过符合性审查的合格供应商不足3家的，不得进入磋商环节，采购人或者采购代理机构应当重新开展采购活动。</w:t>
      </w:r>
    </w:p>
    <w:p>
      <w:pPr>
        <w:pStyle w:val="63"/>
        <w:ind w:firstLine="424"/>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.磋商程序</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3.3对磋商文件作出的实质性变动是磋商文件的有效组成部分，由磋商小组及时以电子澄清函形式同时通知所有参加磋商的供应商。</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3.4供应商必须按照磋商文件的变动情况和磋商小组的要求以回函的形式重新提交响应文件，并加盖电子签章。参加磋商的供应商未在规定时间内重新提交响应文件的，视同退出磋商，其响应文件按无效处理。</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3.5磋商中，磋商的任何一方不得透露与磋商有关的其他供应商的技术资料、价格和其他信息。</w:t>
      </w:r>
    </w:p>
    <w:p>
      <w:pPr>
        <w:widowControl w:val="0"/>
        <w:ind w:firstLine="42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3.6采购代理机构对磋商过程和重要磋商内容进行记录。</w:t>
      </w:r>
    </w:p>
    <w:p>
      <w:pPr>
        <w:tabs>
          <w:tab w:val="left" w:pos="540"/>
        </w:tabs>
        <w:ind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val="0"/>
        <w:tabs>
          <w:tab w:val="left" w:pos="2835"/>
        </w:tabs>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3.8</w:t>
      </w:r>
      <w:r>
        <w:rPr>
          <w:rFonts w:hint="eastAsia" w:ascii="宋体" w:hAnsi="宋体" w:eastAsia="宋体" w:cs="Times New Roman"/>
          <w:color w:val="000000" w:themeColor="text1"/>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pPr>
        <w:pStyle w:val="63"/>
        <w:ind w:firstLine="424"/>
        <w:rPr>
          <w:rFonts w:ascii="宋体" w:hAnsi="宋体" w:eastAsia="宋体"/>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最后报价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4.1磋商文件能够详细列明采购标的的技术、服务要求的，磋商结束后，磋商小组应当要求所有继续参加磋商的供应商在规定时间内在“政采云”平台开标大厅提交最后报价，除本章第4.3条外，提交最后报价的供应商不得少于3家，否则必须重新采购。</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4.5供应商未在规定时间内提交最后报价的，视同退出磋商，其响应文件按无效处理。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4.6最后报价统一开启后，磋商小组对最后报价进行有效性、完整性和响应程度的审查。</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4.7最后报价出现前后不一致的，按照本章第2.4条的规定修正。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4.8修正后的报价出现下列情形的，按无效响应处理：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（1）供应商不确认的（全流程电子化评标采取在线确认）；</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（2）经供应商确认修正后的竞标报价（包含首次报价、最后报价）超过所竞标分标规定的采购预算金额或者最高限价的（如本项目公布了最高限价）；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（3）经供应商确认修正后的竞标报价（包含首次报价、最后报价）超过分项采购预算金额或者最高限价的（如本项目公布了最高限价）。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4.9经供应商确认修正后的最后报价作为评审及签订合同的依据。</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4.10供应商出现最后报价按无效响应处理或者响应文件按无效处理时，磋商小组应当告知有关供应商。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4.11最后报价结束后，磋商小组不得再与供应商进行任何形式的商谈。</w:t>
      </w:r>
    </w:p>
    <w:p>
      <w:pPr>
        <w:pStyle w:val="63"/>
        <w:ind w:firstLine="424"/>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比较与评价</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5.1</w:t>
      </w:r>
      <w:r>
        <w:rPr>
          <w:rFonts w:hint="eastAsia" w:ascii="宋体" w:hAnsi="宋体" w:eastAsia="宋体" w:cs="宋体"/>
          <w:color w:val="000000" w:themeColor="text1"/>
          <w14:textFill>
            <w14:solidFill>
              <w14:schemeClr w14:val="tx1"/>
            </w14:solidFill>
          </w14:textFill>
        </w:rPr>
        <w:t>评审方法：综合评分法。</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5.2</w:t>
      </w:r>
      <w:r>
        <w:rPr>
          <w:rFonts w:hint="eastAsia" w:ascii="宋体" w:hAnsi="宋体" w:eastAsia="宋体" w:cs="宋体"/>
          <w:color w:val="000000" w:themeColor="text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5.3</w:t>
      </w:r>
      <w:r>
        <w:rPr>
          <w:rFonts w:hint="eastAsia" w:ascii="宋体" w:hAnsi="宋体" w:eastAsia="宋体" w:cs="宋体"/>
          <w:color w:val="000000" w:themeColor="text1"/>
          <w14:textFill>
            <w14:solidFill>
              <w14:schemeClr w14:val="tx1"/>
            </w14:solidFill>
          </w14:textFill>
        </w:rPr>
        <w:t>评审时，磋商小组各成员应当独立对每个有效响应的文件进行评价、打分，然后汇总每个供应商每项评分因素的得分。</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（1）磋商小组按照磋商文件中规定的评审标准计算各供应商的报价得分。项目评审过程中，不得去掉最后报价中的最高报价和最低报价。</w:t>
      </w:r>
    </w:p>
    <w:p>
      <w:pPr>
        <w:widowControl w:val="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（2）各供应商的得分为磋商小组所有成员的有效评分的算术平均数。</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5.4</w:t>
      </w:r>
      <w:r>
        <w:rPr>
          <w:rFonts w:hint="eastAsia" w:ascii="宋体" w:hAnsi="宋体" w:eastAsia="宋体" w:cs="宋体"/>
          <w:color w:val="000000" w:themeColor="text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widowControl w:val="0"/>
        <w:ind w:firstLine="420"/>
        <w:jc w:val="both"/>
        <w:rPr>
          <w:rFonts w:ascii="宋体" w:hAnsi="宋体" w:eastAsia="宋体" w:cs="Times New Roman"/>
          <w:color w:val="000000" w:themeColor="text1"/>
          <w:kern w:val="0"/>
          <w14:textFill>
            <w14:solidFill>
              <w14:schemeClr w14:val="tx1"/>
            </w14:solidFill>
          </w14:textFill>
        </w:rPr>
      </w:pPr>
      <w:r>
        <w:rPr>
          <w:rFonts w:ascii="宋体" w:hAnsi="宋体" w:eastAsia="宋体" w:cs="宋体"/>
          <w:color w:val="000000" w:themeColor="text1"/>
          <w14:textFill>
            <w14:solidFill>
              <w14:schemeClr w14:val="tx1"/>
            </w14:solidFill>
          </w14:textFill>
        </w:rPr>
        <w:t>5.5</w:t>
      </w:r>
      <w:r>
        <w:rPr>
          <w:rFonts w:hint="eastAsia" w:ascii="宋体" w:hAnsi="宋体" w:eastAsia="宋体" w:cs="宋体"/>
          <w:color w:val="000000" w:themeColor="text1"/>
          <w14:textFill>
            <w14:solidFill>
              <w14:schemeClr w14:val="tx1"/>
            </w14:solidFill>
          </w14:textFill>
        </w:rPr>
        <w:t>由磋商小组根据综合评分情况，按照评审得分由高到低顺序推荐3名以上成交候选供应商，并编写评</w:t>
      </w:r>
      <w:r>
        <w:rPr>
          <w:rFonts w:hint="eastAsia" w:ascii="宋体" w:hAnsi="宋体" w:eastAsia="宋体" w:cs="Times New Roman"/>
          <w:color w:val="000000" w:themeColor="text1"/>
          <w:kern w:val="0"/>
          <w14:textFill>
            <w14:solidFill>
              <w14:schemeClr w14:val="tx1"/>
            </w14:solidFill>
          </w14:textFill>
        </w:rPr>
        <w:t>审报告。符合本章第</w:t>
      </w:r>
      <w:r>
        <w:rPr>
          <w:rFonts w:ascii="宋体" w:hAnsi="宋体" w:eastAsia="宋体" w:cs="Times New Roman"/>
          <w:color w:val="000000" w:themeColor="text1"/>
          <w:kern w:val="0"/>
          <w14:textFill>
            <w14:solidFill>
              <w14:schemeClr w14:val="tx1"/>
            </w14:solidFill>
          </w14:textFill>
        </w:rPr>
        <w:t>4.3</w:t>
      </w:r>
      <w:r>
        <w:rPr>
          <w:rFonts w:hint="eastAsia" w:ascii="宋体" w:hAnsi="宋体" w:eastAsia="宋体" w:cs="Times New Roman"/>
          <w:color w:val="000000" w:themeColor="text1"/>
          <w:kern w:val="0"/>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pPr>
        <w:widowControl w:val="0"/>
        <w:ind w:firstLine="420"/>
        <w:jc w:val="both"/>
        <w:rPr>
          <w:rFonts w:ascii="宋体" w:hAnsi="宋体" w:eastAsia="宋体" w:cs="宋体"/>
          <w:color w:val="000000" w:themeColor="text1"/>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5.6</w:t>
      </w:r>
      <w:r>
        <w:rPr>
          <w:rFonts w:hint="eastAsia" w:ascii="宋体" w:hAnsi="宋体" w:eastAsia="宋体" w:cs="Times New Roman"/>
          <w:color w:val="000000" w:themeColor="text1"/>
          <w:kern w:val="0"/>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2"/>
        <w:keepNext/>
        <w:keepLines/>
        <w:pageBreakBefore w:val="0"/>
        <w:widowControl/>
        <w:kinsoku/>
        <w:wordWrap/>
        <w:overflowPunct/>
        <w:topLinePunct w:val="0"/>
        <w:autoSpaceDE/>
        <w:autoSpaceDN/>
        <w:bidi w:val="0"/>
        <w:adjustRightInd/>
        <w:snapToGrid/>
        <w:textAlignment w:val="auto"/>
        <w:outlineLvl w:val="9"/>
        <w:rPr>
          <w:rFonts w:hint="eastAsia"/>
          <w:color w:val="000000" w:themeColor="text1"/>
          <w14:textFill>
            <w14:solidFill>
              <w14:schemeClr w14:val="tx1"/>
            </w14:solidFill>
          </w14:textFill>
        </w:rPr>
      </w:pPr>
      <w:bookmarkStart w:id="66" w:name="_Toc16817"/>
    </w:p>
    <w:p>
      <w:pPr>
        <w:pStyle w:val="62"/>
        <w:keepNext/>
        <w:keepLines/>
        <w:pageBreakBefore w:val="0"/>
        <w:widowControl/>
        <w:kinsoku/>
        <w:wordWrap/>
        <w:overflowPunct/>
        <w:topLinePunct w:val="0"/>
        <w:autoSpaceDE/>
        <w:autoSpaceDN/>
        <w:bidi w:val="0"/>
        <w:adjustRightInd/>
        <w:snapToGrid/>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二、评审标准</w:t>
      </w:r>
      <w:bookmarkEnd w:id="66"/>
    </w:p>
    <w:p>
      <w:pPr>
        <w:pStyle w:val="17"/>
        <w:spacing w:line="440" w:lineRule="exact"/>
        <w:ind w:firstLine="455" w:firstLineChars="216"/>
        <w:rPr>
          <w:rFonts w:hAnsi="宋体"/>
          <w:b/>
          <w:sz w:val="21"/>
        </w:rPr>
      </w:pPr>
      <w:bookmarkStart w:id="67" w:name="_Toc76480569"/>
      <w:r>
        <w:rPr>
          <w:rFonts w:hint="eastAsia" w:hAnsi="宋体"/>
          <w:b/>
          <w:sz w:val="21"/>
        </w:rPr>
        <w:t>一、评</w:t>
      </w:r>
      <w:r>
        <w:rPr>
          <w:rFonts w:hint="eastAsia" w:hAnsi="宋体"/>
          <w:b/>
          <w:sz w:val="21"/>
          <w:lang w:val="en-US" w:eastAsia="zh-CN"/>
        </w:rPr>
        <w:t>审</w:t>
      </w:r>
      <w:r>
        <w:rPr>
          <w:rFonts w:hint="eastAsia" w:hAnsi="宋体"/>
          <w:b/>
          <w:sz w:val="21"/>
        </w:rPr>
        <w:t>原则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（一）磋商小组成：磋商小组由采购人代表和评审专家共</w:t>
      </w:r>
      <w:r>
        <w:rPr>
          <w:rFonts w:ascii="宋体" w:hAnsi="宋体"/>
          <w:szCs w:val="21"/>
        </w:rPr>
        <w:t>3</w:t>
      </w:r>
      <w:r>
        <w:rPr>
          <w:rFonts w:hint="eastAsia" w:ascii="宋体" w:hAnsi="宋体"/>
          <w:szCs w:val="21"/>
        </w:rPr>
        <w:t>人以上单数组成，其中评审专家人数不得少于磋商小组成员总数的三分之二。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（二）评审依据：磋商小组将以磋商文件、响应文件为评</w:t>
      </w:r>
      <w:r>
        <w:rPr>
          <w:rFonts w:hint="eastAsia" w:ascii="宋体" w:hAnsi="宋体"/>
          <w:szCs w:val="21"/>
          <w:lang w:val="en-US" w:eastAsia="zh-CN"/>
        </w:rPr>
        <w:t>审</w:t>
      </w:r>
      <w:r>
        <w:rPr>
          <w:rFonts w:hint="eastAsia" w:ascii="宋体" w:hAnsi="宋体"/>
          <w:szCs w:val="21"/>
        </w:rPr>
        <w:t>依据，对供应商的磋商报价、服务方案和承诺、企业信誉及综合能力分等方面内容按百分制打分。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（三）评标方式：以封闭方式进行。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四</w:t>
      </w:r>
      <w:r>
        <w:rPr>
          <w:rFonts w:hint="eastAsia" w:ascii="宋体" w:hAnsi="宋体"/>
          <w:szCs w:val="21"/>
        </w:rPr>
        <w:t>）磋商小组认为，某供应商的最终报价明显低于其他实质性响应磋商文件的供应商的最终报价，有可能影响产品质量或者不能诚信履约的，可要求其在评标现场合理的时间内提供书面说明，必要时提交相关证明材料；供应商不能证明其报价合理性的，磋商小组可将其作为未实质性响应磋商文件处理。</w:t>
      </w:r>
    </w:p>
    <w:p>
      <w:pPr>
        <w:pStyle w:val="17"/>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hint="eastAsia" w:hAnsi="宋体"/>
          <w:b/>
          <w:bCs/>
          <w:color w:val="auto"/>
          <w:sz w:val="21"/>
          <w:szCs w:val="21"/>
          <w:highlight w:val="none"/>
        </w:rPr>
      </w:pPr>
      <w:r>
        <w:rPr>
          <w:rFonts w:hint="eastAsia" w:hAnsi="宋体"/>
          <w:b/>
          <w:bCs/>
          <w:color w:val="auto"/>
          <w:sz w:val="21"/>
          <w:szCs w:val="21"/>
          <w:highlight w:val="none"/>
        </w:rPr>
        <w:t>二、评</w:t>
      </w:r>
      <w:r>
        <w:rPr>
          <w:rFonts w:hint="eastAsia" w:hAnsi="宋体"/>
          <w:b/>
          <w:bCs/>
          <w:color w:val="auto"/>
          <w:sz w:val="21"/>
          <w:szCs w:val="21"/>
          <w:highlight w:val="none"/>
          <w:lang w:val="en-US" w:eastAsia="zh-CN"/>
        </w:rPr>
        <w:t>定</w:t>
      </w:r>
      <w:r>
        <w:rPr>
          <w:rFonts w:hint="eastAsia" w:hAnsi="宋体"/>
          <w:b/>
          <w:bCs/>
          <w:color w:val="auto"/>
          <w:sz w:val="21"/>
          <w:szCs w:val="21"/>
          <w:highlight w:val="none"/>
        </w:rPr>
        <w:t>方法</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outlineLvl w:val="3"/>
        <w:rPr>
          <w:rFonts w:ascii="宋体" w:hAnsi="宋体" w:cs="Courier New"/>
          <w:bCs/>
          <w:szCs w:val="21"/>
        </w:rPr>
      </w:pPr>
      <w:bookmarkStart w:id="68" w:name="_Toc32378"/>
      <w:bookmarkStart w:id="69" w:name="_Toc322094435"/>
      <w:r>
        <w:rPr>
          <w:rFonts w:hint="eastAsia" w:ascii="宋体" w:hAnsi="宋体" w:cs="Courier New"/>
          <w:bCs/>
          <w:szCs w:val="21"/>
        </w:rPr>
        <w:t>（一）对进入详评的，采用百分制综合评分法。</w:t>
      </w:r>
      <w:bookmarkEnd w:id="68"/>
      <w:bookmarkEnd w:id="69"/>
    </w:p>
    <w:p>
      <w:pPr>
        <w:pStyle w:val="17"/>
        <w:keepNext w:val="0"/>
        <w:keepLines w:val="0"/>
        <w:pageBreakBefore w:val="0"/>
        <w:widowControl w:val="0"/>
        <w:kinsoku/>
        <w:wordWrap/>
        <w:overflowPunct/>
        <w:topLinePunct w:val="0"/>
        <w:autoSpaceDE/>
        <w:autoSpaceDN/>
        <w:bidi w:val="0"/>
        <w:adjustRightInd/>
        <w:snapToGrid/>
        <w:spacing w:line="440" w:lineRule="exact"/>
        <w:ind w:firstLine="411" w:firstLineChars="196"/>
        <w:textAlignment w:val="auto"/>
        <w:outlineLvl w:val="3"/>
        <w:rPr>
          <w:rFonts w:hAnsi="宋体"/>
          <w:bCs/>
          <w:sz w:val="21"/>
        </w:rPr>
      </w:pPr>
      <w:bookmarkStart w:id="70" w:name="_Toc322094436"/>
      <w:bookmarkStart w:id="71" w:name="_Toc27620"/>
      <w:r>
        <w:rPr>
          <w:rFonts w:hint="eastAsia" w:hAnsi="宋体"/>
          <w:bCs/>
          <w:sz w:val="21"/>
        </w:rPr>
        <w:t>（二）计分办法（按四舍五入取至百分位）。</w:t>
      </w:r>
      <w:bookmarkEnd w:id="70"/>
      <w:bookmarkEnd w:id="71"/>
    </w:p>
    <w:p>
      <w:pPr>
        <w:pStyle w:val="17"/>
        <w:keepNext w:val="0"/>
        <w:keepLines w:val="0"/>
        <w:pageBreakBefore w:val="0"/>
        <w:kinsoku/>
        <w:wordWrap/>
        <w:overflowPunct/>
        <w:topLinePunct w:val="0"/>
        <w:autoSpaceDE/>
        <w:autoSpaceDN/>
        <w:bidi w:val="0"/>
        <w:adjustRightInd/>
        <w:snapToGrid/>
        <w:spacing w:line="400" w:lineRule="exact"/>
        <w:ind w:firstLine="420"/>
        <w:textAlignment w:val="auto"/>
        <w:rPr>
          <w:rFonts w:hAnsi="宋体"/>
          <w:b/>
          <w:bCs/>
          <w:color w:val="auto"/>
          <w:sz w:val="21"/>
          <w:szCs w:val="21"/>
          <w:highlight w:val="none"/>
        </w:rPr>
      </w:pPr>
      <w:r>
        <w:rPr>
          <w:rFonts w:hint="eastAsia" w:hAnsi="宋体"/>
          <w:b/>
          <w:bCs/>
          <w:color w:val="auto"/>
          <w:sz w:val="21"/>
          <w:szCs w:val="21"/>
          <w:highlight w:val="none"/>
        </w:rPr>
        <w:t>1、价格分…………………………………………………………………………</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hAnsi="宋体"/>
          <w:b/>
          <w:bCs/>
          <w:color w:val="auto"/>
          <w:sz w:val="21"/>
          <w:szCs w:val="21"/>
          <w:highlight w:val="none"/>
          <w:lang w:val="en-US" w:eastAsia="zh-CN"/>
        </w:rPr>
        <w:t>15</w:t>
      </w:r>
      <w:r>
        <w:rPr>
          <w:rFonts w:hint="eastAsia" w:hAnsi="宋体"/>
          <w:b/>
          <w:bCs/>
          <w:color w:val="auto"/>
          <w:sz w:val="21"/>
          <w:szCs w:val="21"/>
          <w:highlight w:val="none"/>
        </w:rPr>
        <w:t>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s="Courier New"/>
          <w:bCs/>
          <w:color w:val="000000"/>
          <w:szCs w:val="21"/>
        </w:rPr>
        <w:t>（1）</w:t>
      </w:r>
      <w:r>
        <w:rPr>
          <w:rFonts w:hint="eastAsia" w:ascii="宋体" w:hAnsi="宋体"/>
          <w:color w:val="000000"/>
          <w:szCs w:val="21"/>
        </w:rPr>
        <w:t>评审价为供应商的最后报价进行政策性扣除后的价格，评审价只是作为评审时使用。最终成交供应商的成交金额等于最后报价（如有修正，以确认修正后的最后报价为准）。</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Ansi="宋体"/>
          <w:color w:val="000000"/>
          <w:sz w:val="21"/>
          <w:lang w:val="en-US" w:eastAsia="zh-CN"/>
        </w:rPr>
      </w:pPr>
      <w:r>
        <w:rPr>
          <w:rFonts w:hint="eastAsia" w:hAnsi="宋体" w:cs="Courier New"/>
          <w:bCs/>
          <w:color w:val="000000"/>
          <w:kern w:val="2"/>
          <w:sz w:val="21"/>
          <w:lang w:val="en-US" w:eastAsia="zh-CN"/>
        </w:rPr>
        <w:t>（2）政府采购政策性扣除计算方法：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Cs/>
          <w:color w:val="000000"/>
          <w:szCs w:val="21"/>
        </w:rPr>
      </w:pPr>
      <w:r>
        <w:rPr>
          <w:rFonts w:hint="eastAsia" w:ascii="宋体" w:hAnsi="宋体"/>
          <w:bCs/>
          <w:color w:val="000000"/>
          <w:szCs w:val="21"/>
        </w:rPr>
        <w:t>根据《政府采购促进中小企业发展管理办法》（财库〔2020〕46号）</w:t>
      </w:r>
      <w:r>
        <w:rPr>
          <w:rFonts w:hint="eastAsia" w:ascii="宋体" w:hAnsi="宋体"/>
          <w:bCs/>
          <w:color w:val="000000"/>
          <w:szCs w:val="21"/>
          <w:lang w:eastAsia="zh-CN"/>
        </w:rPr>
        <w:t>、《关于进一步加大政府采购支持中小企业力度的通知》（财库〔2022〕19号）</w:t>
      </w:r>
      <w:r>
        <w:rPr>
          <w:rFonts w:hint="eastAsia" w:ascii="宋体" w:hAnsi="宋体"/>
          <w:bCs/>
          <w:color w:val="000000"/>
          <w:szCs w:val="21"/>
        </w:rPr>
        <w:t>的规定，供应商在其响应文件中提供《中小企业声明函》，且服务</w:t>
      </w:r>
      <w:r>
        <w:rPr>
          <w:rFonts w:hint="eastAsia"/>
          <w:color w:val="000000"/>
        </w:rPr>
        <w:t>全部由小微企业提供</w:t>
      </w:r>
      <w:r>
        <w:rPr>
          <w:rFonts w:hint="eastAsia" w:ascii="宋体" w:hAnsi="宋体"/>
          <w:bCs/>
          <w:color w:val="000000"/>
          <w:szCs w:val="21"/>
        </w:rPr>
        <w:t>，对供应商的竞标报价给予</w:t>
      </w:r>
      <w:r>
        <w:rPr>
          <w:rFonts w:hint="eastAsia" w:ascii="宋体" w:hAnsi="宋体"/>
          <w:bCs/>
          <w:color w:val="000000"/>
          <w:szCs w:val="21"/>
          <w:lang w:val="en-US" w:eastAsia="zh-CN"/>
        </w:rPr>
        <w:t>20</w:t>
      </w:r>
      <w:r>
        <w:rPr>
          <w:rFonts w:hint="eastAsia" w:ascii="宋体" w:hAnsi="宋体"/>
          <w:bCs/>
          <w:color w:val="000000"/>
          <w:szCs w:val="21"/>
        </w:rPr>
        <w:t>%的扣除，扣除后的价格为评审价，即评审价=竞标报价×（1-</w:t>
      </w:r>
      <w:r>
        <w:rPr>
          <w:rFonts w:hint="eastAsia" w:ascii="宋体" w:hAnsi="宋体"/>
          <w:bCs/>
          <w:color w:val="000000"/>
          <w:szCs w:val="21"/>
          <w:lang w:val="en-US" w:eastAsia="zh-CN"/>
        </w:rPr>
        <w:t>20</w:t>
      </w:r>
      <w:r>
        <w:rPr>
          <w:rFonts w:hint="eastAsia" w:ascii="宋体" w:hAnsi="宋体"/>
          <w:bCs/>
          <w:color w:val="000000"/>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hAnsi="宋体" w:cs="Courier New"/>
          <w:bCs/>
          <w:color w:val="000000"/>
          <w:kern w:val="2"/>
          <w:sz w:val="21"/>
          <w:lang w:val="en-US" w:eastAsia="zh-CN"/>
        </w:rPr>
      </w:pPr>
      <w:r>
        <w:rPr>
          <w:rFonts w:hAnsi="宋体" w:cs="Courier New"/>
          <w:bCs/>
          <w:color w:val="000000"/>
          <w:kern w:val="2"/>
          <w:sz w:val="21"/>
          <w:lang w:val="en-US" w:eastAsia="zh-CN"/>
        </w:rPr>
        <w:t>（5</w:t>
      </w:r>
      <w:r>
        <w:rPr>
          <w:rFonts w:hint="eastAsia" w:hAnsi="宋体" w:cs="Courier New"/>
          <w:bCs/>
          <w:color w:val="000000"/>
          <w:kern w:val="2"/>
          <w:sz w:val="21"/>
          <w:lang w:val="en-US" w:eastAsia="zh-CN"/>
        </w:rPr>
        <w:t>）以进入比较与评价环节的最低的评审价为基准价，基准价得分为</w:t>
      </w:r>
      <w:r>
        <w:rPr>
          <w:rFonts w:hint="eastAsia" w:hAnsi="宋体" w:cs="Courier New"/>
          <w:bCs/>
          <w:color w:val="000000"/>
          <w:kern w:val="2"/>
          <w:sz w:val="21"/>
          <w:u w:val="single"/>
          <w:lang w:val="en-US" w:eastAsia="zh-CN"/>
        </w:rPr>
        <w:t>15分</w:t>
      </w:r>
      <w:r>
        <w:rPr>
          <w:rFonts w:hint="eastAsia" w:hAnsi="宋体" w:cs="Courier New"/>
          <w:bCs/>
          <w:color w:val="000000"/>
          <w:kern w:val="2"/>
          <w:sz w:val="21"/>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hAnsi="宋体" w:cs="Courier New"/>
          <w:bCs/>
          <w:color w:val="000000"/>
          <w:sz w:val="21"/>
          <w:u w:val="single"/>
          <w:lang w:val="en-US" w:eastAsia="zh-CN"/>
        </w:rPr>
      </w:pPr>
      <w:r>
        <w:rPr>
          <w:rFonts w:hint="eastAsia" w:hAnsi="宋体" w:cs="Courier New"/>
          <w:bCs/>
          <w:color w:val="000000"/>
          <w:kern w:val="2"/>
          <w:sz w:val="21"/>
          <w:lang w:val="en-US" w:eastAsia="zh-CN"/>
        </w:rPr>
        <w:t>（</w:t>
      </w:r>
      <w:r>
        <w:rPr>
          <w:rFonts w:hAnsi="宋体" w:cs="Courier New"/>
          <w:bCs/>
          <w:color w:val="000000"/>
          <w:kern w:val="2"/>
          <w:sz w:val="21"/>
          <w:lang w:val="en-US" w:eastAsia="zh-CN"/>
        </w:rPr>
        <w:t>6</w:t>
      </w:r>
      <w:r>
        <w:rPr>
          <w:rFonts w:hint="eastAsia" w:hAnsi="宋体" w:cs="Courier New"/>
          <w:bCs/>
          <w:color w:val="000000"/>
          <w:kern w:val="2"/>
          <w:sz w:val="21"/>
          <w:lang w:val="en-US" w:eastAsia="zh-CN"/>
        </w:rPr>
        <w:t>）价格分计算公式：报价得分=（基准价/最后报价）</w:t>
      </w:r>
      <w:r>
        <w:rPr>
          <w:rFonts w:hint="eastAsia" w:hAnsi="宋体" w:cs="Courier New"/>
          <w:bCs/>
          <w:color w:val="000000"/>
          <w:sz w:val="21"/>
          <w:lang w:val="en-US" w:eastAsia="zh-CN"/>
        </w:rPr>
        <w:t>×</w:t>
      </w:r>
      <w:r>
        <w:rPr>
          <w:rFonts w:hint="eastAsia" w:hAnsi="宋体" w:cs="Courier New"/>
          <w:bCs/>
          <w:color w:val="000000"/>
          <w:sz w:val="21"/>
          <w:u w:val="single"/>
          <w:lang w:val="en-US" w:eastAsia="zh-CN"/>
        </w:rPr>
        <w:t xml:space="preserve">  15 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Theme="minorEastAsia"/>
          <w:b/>
          <w:bCs/>
          <w:color w:val="auto"/>
          <w:kern w:val="0"/>
          <w:sz w:val="21"/>
          <w:szCs w:val="21"/>
          <w:highlight w:val="none"/>
          <w:shd w:val="clear" w:color="auto" w:fill="auto"/>
          <w:lang w:val="en-US" w:eastAsia="zh-CN"/>
        </w:rPr>
      </w:pPr>
      <w:r>
        <w:rPr>
          <w:rFonts w:hint="eastAsia" w:ascii="宋体" w:hAnsi="宋体"/>
          <w:b/>
          <w:bCs/>
          <w:color w:val="auto"/>
          <w:kern w:val="0"/>
          <w:sz w:val="21"/>
          <w:szCs w:val="21"/>
          <w:highlight w:val="none"/>
          <w:shd w:val="clear" w:color="auto" w:fill="auto"/>
        </w:rPr>
        <w:t>2、</w:t>
      </w:r>
      <w:r>
        <w:rPr>
          <w:rFonts w:hint="eastAsia" w:ascii="宋体" w:hAnsi="宋体"/>
          <w:b/>
          <w:bCs/>
          <w:color w:val="auto"/>
          <w:kern w:val="0"/>
          <w:sz w:val="21"/>
          <w:szCs w:val="21"/>
          <w:highlight w:val="none"/>
          <w:shd w:val="clear" w:color="auto" w:fill="auto"/>
          <w:lang w:val="en-US" w:eastAsia="zh-CN"/>
        </w:rPr>
        <w:t>技术分</w:t>
      </w:r>
      <w:r>
        <w:rPr>
          <w:rFonts w:hint="eastAsia" w:ascii="宋体" w:hAnsi="宋体"/>
          <w:b/>
          <w:bCs/>
          <w:color w:val="auto"/>
          <w:kern w:val="0"/>
          <w:sz w:val="21"/>
          <w:szCs w:val="21"/>
          <w:highlight w:val="none"/>
          <w:shd w:val="clear" w:color="auto" w:fill="auto"/>
        </w:rPr>
        <w:t>…………………………………………………………</w:t>
      </w:r>
      <w:r>
        <w:rPr>
          <w:rFonts w:hint="eastAsia" w:ascii="宋体" w:hAnsi="宋体"/>
          <w:b/>
          <w:bCs/>
          <w:color w:val="auto"/>
          <w:kern w:val="0"/>
          <w:sz w:val="21"/>
          <w:szCs w:val="21"/>
          <w:highlight w:val="none"/>
          <w:shd w:val="clear" w:color="auto" w:fill="auto"/>
          <w:lang w:eastAsia="zh-CN"/>
        </w:rPr>
        <w:t>……………………</w:t>
      </w:r>
      <w:r>
        <w:rPr>
          <w:rFonts w:hint="eastAsia" w:ascii="宋体" w:hAnsi="宋体"/>
          <w:b/>
          <w:bCs/>
          <w:color w:val="auto"/>
          <w:kern w:val="0"/>
          <w:sz w:val="21"/>
          <w:szCs w:val="21"/>
          <w:highlight w:val="none"/>
          <w:shd w:val="clear" w:color="auto" w:fill="auto"/>
        </w:rPr>
        <w:t>……………</w:t>
      </w:r>
      <w:r>
        <w:rPr>
          <w:rFonts w:hint="eastAsia" w:ascii="宋体" w:hAnsi="宋体"/>
          <w:b/>
          <w:bCs/>
          <w:color w:val="auto"/>
          <w:kern w:val="0"/>
          <w:sz w:val="21"/>
          <w:szCs w:val="21"/>
          <w:highlight w:val="none"/>
          <w:shd w:val="clear" w:color="auto" w:fill="auto"/>
          <w:lang w:val="en-US" w:eastAsia="zh-CN"/>
        </w:rPr>
        <w:t>45</w:t>
      </w:r>
      <w:r>
        <w:rPr>
          <w:rFonts w:hint="eastAsia" w:ascii="宋体" w:hAnsi="宋体"/>
          <w:b/>
          <w:bCs/>
          <w:color w:val="auto"/>
          <w:kern w:val="0"/>
          <w:sz w:val="21"/>
          <w:szCs w:val="21"/>
          <w:highlight w:val="none"/>
          <w:shd w:val="clear" w:color="auto" w:fill="auto"/>
        </w:rPr>
        <w:t>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1</w:t>
      </w:r>
      <w:r>
        <w:rPr>
          <w:rFonts w:hint="eastAsia" w:ascii="宋体" w:hAnsi="宋体"/>
          <w:b/>
          <w:bCs/>
          <w:color w:val="auto"/>
          <w:kern w:val="0"/>
          <w:sz w:val="21"/>
          <w:szCs w:val="21"/>
          <w:highlight w:val="none"/>
          <w:lang w:eastAsia="zh-CN"/>
        </w:rPr>
        <w:t>）总体设计</w:t>
      </w:r>
      <w:r>
        <w:rPr>
          <w:rFonts w:hint="eastAsia" w:ascii="宋体" w:hAnsi="宋体"/>
          <w:b/>
          <w:bCs/>
          <w:color w:val="auto"/>
          <w:kern w:val="0"/>
          <w:sz w:val="21"/>
          <w:szCs w:val="21"/>
          <w:highlight w:val="none"/>
        </w:rPr>
        <w:t>…………………………………………………………</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rPr>
        <w:t>……………</w:t>
      </w:r>
      <w:r>
        <w:rPr>
          <w:rFonts w:hint="eastAsia" w:ascii="宋体" w:hAnsi="宋体"/>
          <w:b/>
          <w:bCs/>
          <w:color w:val="auto"/>
          <w:kern w:val="0"/>
          <w:sz w:val="21"/>
          <w:szCs w:val="21"/>
          <w:highlight w:val="none"/>
          <w:lang w:val="en-US" w:eastAsia="zh-CN"/>
        </w:rPr>
        <w:t>6</w:t>
      </w:r>
      <w:r>
        <w:rPr>
          <w:rFonts w:hint="eastAsia" w:ascii="宋体" w:hAnsi="宋体"/>
          <w:b/>
          <w:bCs/>
          <w:color w:val="auto"/>
          <w:kern w:val="0"/>
          <w:sz w:val="21"/>
          <w:szCs w:val="21"/>
          <w:highlight w:val="none"/>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总体服务方案编制的内容是否齐全、结构是否完整、表述是否准确、条理是否清晰、响应是否全面</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提供的方案酌情打分，全面、科学、完整、合理的得6分，基本科学、基本合理的得4分，存在部分缺陷或缺漏的得2分。本项最多得6分。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2</w:t>
      </w:r>
      <w:r>
        <w:rPr>
          <w:rFonts w:hint="eastAsia" w:ascii="宋体" w:hAnsi="宋体" w:cs="宋体"/>
          <w:b/>
          <w:bCs/>
          <w:color w:val="auto"/>
          <w:sz w:val="21"/>
          <w:szCs w:val="21"/>
          <w:lang w:eastAsia="zh-CN"/>
        </w:rPr>
        <w:t>）技术参数</w:t>
      </w:r>
      <w:r>
        <w:rPr>
          <w:rFonts w:hint="eastAsia" w:hAnsi="宋体" w:cs="宋体"/>
          <w:b/>
          <w:bCs/>
          <w:color w:val="auto"/>
          <w:sz w:val="21"/>
          <w:szCs w:val="21"/>
          <w:lang w:val="en-US" w:eastAsia="zh-CN"/>
        </w:rPr>
        <w:t>响应</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6</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根据对本项目技术要求响应，所有指标完全满足或优于技术参数要求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提供的响应内容酌情打分，所有指标全部满足且有部分优于技术参数要求的得6分，所有指标完全满足技术参数要求的得</w:t>
      </w:r>
      <w:r>
        <w:rPr>
          <w:rFonts w:hint="eastAsia" w:hAnsi="宋体" w:cs="宋体"/>
          <w:b w:val="0"/>
          <w:bCs w:val="0"/>
          <w:color w:val="auto"/>
          <w:sz w:val="21"/>
          <w:szCs w:val="21"/>
          <w:lang w:val="en-US" w:eastAsia="zh-CN"/>
        </w:rPr>
        <w:t>3</w:t>
      </w:r>
      <w:r>
        <w:rPr>
          <w:rFonts w:hint="eastAsia" w:ascii="宋体" w:hAnsi="宋体" w:cs="宋体"/>
          <w:b w:val="0"/>
          <w:bCs w:val="0"/>
          <w:color w:val="auto"/>
          <w:sz w:val="21"/>
          <w:szCs w:val="21"/>
          <w:lang w:eastAsia="zh-CN"/>
        </w:rPr>
        <w:t>分。本项最多得6分。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hAnsi="宋体" w:cs="宋体"/>
          <w:b/>
          <w:bCs/>
          <w:color w:val="auto"/>
          <w:sz w:val="21"/>
          <w:szCs w:val="21"/>
          <w:lang w:val="en-US" w:eastAsia="zh-CN"/>
        </w:rPr>
        <w:t>3</w:t>
      </w:r>
      <w:r>
        <w:rPr>
          <w:rFonts w:hint="eastAsia" w:ascii="宋体" w:hAnsi="宋体" w:cs="宋体"/>
          <w:b/>
          <w:bCs/>
          <w:color w:val="auto"/>
          <w:sz w:val="21"/>
          <w:szCs w:val="21"/>
          <w:lang w:eastAsia="zh-CN"/>
        </w:rPr>
        <w:t>）软件成熟度</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16</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1.</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针对数据交互</w:t>
      </w:r>
      <w:r>
        <w:rPr>
          <w:rFonts w:hint="eastAsia" w:hAnsi="宋体" w:cs="宋体"/>
          <w:b w:val="0"/>
          <w:bCs w:val="0"/>
          <w:color w:val="auto"/>
          <w:sz w:val="21"/>
          <w:szCs w:val="21"/>
          <w:lang w:eastAsia="zh-CN"/>
        </w:rPr>
        <w:t>：</w:t>
      </w:r>
      <w:r>
        <w:rPr>
          <w:rFonts w:hint="eastAsia" w:ascii="宋体" w:hAnsi="宋体" w:cs="宋体"/>
          <w:b w:val="0"/>
          <w:bCs w:val="0"/>
          <w:color w:val="auto"/>
          <w:sz w:val="21"/>
          <w:szCs w:val="21"/>
          <w:lang w:eastAsia="zh-CN"/>
        </w:rPr>
        <w:t>与众规APP、中间平台、业务平台之间进行数据交互，包括用户登录、接收消息、任务数据在线调用、离线数据包导入导出建设内容。</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提供的响应内容酌情打分，全面、科学、完整、合理的得3分，基本科学、基本合理的得2分，存在部分缺陷或缺漏的得1分。本项最多得3分。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2.</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针对数据处理</w:t>
      </w:r>
      <w:r>
        <w:rPr>
          <w:rFonts w:hint="eastAsia" w:hAnsi="宋体" w:cs="宋体"/>
          <w:b w:val="0"/>
          <w:bCs w:val="0"/>
          <w:color w:val="auto"/>
          <w:sz w:val="21"/>
          <w:szCs w:val="21"/>
          <w:lang w:eastAsia="zh-CN"/>
        </w:rPr>
        <w:t>：</w:t>
      </w:r>
      <w:r>
        <w:rPr>
          <w:rFonts w:hint="eastAsia" w:ascii="宋体" w:hAnsi="宋体" w:cs="宋体"/>
          <w:b w:val="0"/>
          <w:bCs w:val="0"/>
          <w:color w:val="auto"/>
          <w:sz w:val="21"/>
          <w:szCs w:val="21"/>
          <w:lang w:eastAsia="zh-CN"/>
        </w:rPr>
        <w:t>在编制阶段对基础数据、规划数据进行数据预处理，包括基数转换、格式转换、坐标转换等，且内置基础的编辑功能建设内容。</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提供的响应内容酌情打分，全面、科学、完整、合理的得3分，基本科学、基本合理的得2分，存在部分缺陷或缺漏的得1分。本项最多得3分。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3.</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针对规划编制：编制平台主要的功能模块，主要包括需求统计、指标分析、人口预测、现状分析、规划设计、规划分析等建设内容。</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提供的响应内容酌情打分，全面、科学、完整、合理的得3分，基本科学、基本合理的得2分，存在部分缺陷或缺漏的得1分。本项最多得3分。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4.</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针对成果自检：输出成果前的检查，包括规则列表、自检结果、导出检查报告等建设内容。</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提供的响应内容酌情打分，全面、科学、完整、合理的得3分，基本科学、基本合理的得2分，存在部分缺陷或缺漏的得1分。本项最多得3分。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5.</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针对成果输出：编制成果的输出，输出形式为可选输出，输出成果包括文、图、表、库等建设内容。</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提供的响应内容酌情打分，全面、科学、完整、合理的得2分，基本科学、基本合理的得1分，存在部分缺陷或缺漏的得0.5分。本项最多得2分。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6.</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针对成果管理主要包括成果推送、阶段性成果备份、最终成果备份与导出等功能模块。</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提供的响应内容酌情打分，全面、科学、完整、合理的得2分，基本科学、基本合理的得1分，存在部分缺陷或缺漏的得0.5分。本项最多得2分。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hAnsi="宋体" w:cs="宋体"/>
          <w:b/>
          <w:bCs/>
          <w:color w:val="auto"/>
          <w:sz w:val="21"/>
          <w:szCs w:val="21"/>
          <w:lang w:val="en-US" w:eastAsia="zh-CN"/>
        </w:rPr>
        <w:t>4</w:t>
      </w:r>
      <w:r>
        <w:rPr>
          <w:rFonts w:hint="eastAsia" w:ascii="宋体" w:hAnsi="宋体" w:cs="宋体"/>
          <w:b/>
          <w:bCs/>
          <w:color w:val="auto"/>
          <w:sz w:val="21"/>
          <w:szCs w:val="21"/>
          <w:lang w:eastAsia="zh-CN"/>
        </w:rPr>
        <w:t>）项目组织实施</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5</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根据本项目组织实施方案的详细程度、人员配比情况、人员从业工作经验情况、工作任务和流程的科学合理安排和设置等方面</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提供的方案酌情打分</w:t>
      </w:r>
      <w:r>
        <w:rPr>
          <w:rFonts w:hint="eastAsia" w:hAnsi="宋体" w:cs="宋体"/>
          <w:b w:val="0"/>
          <w:bCs w:val="0"/>
          <w:color w:val="auto"/>
          <w:sz w:val="21"/>
          <w:szCs w:val="21"/>
          <w:lang w:eastAsia="zh-CN"/>
        </w:rPr>
        <w:t>，</w:t>
      </w:r>
      <w:r>
        <w:rPr>
          <w:rFonts w:hint="eastAsia" w:ascii="宋体" w:hAnsi="宋体" w:cs="宋体"/>
          <w:b w:val="0"/>
          <w:bCs w:val="0"/>
          <w:color w:val="auto"/>
          <w:sz w:val="21"/>
          <w:szCs w:val="21"/>
          <w:lang w:eastAsia="zh-CN"/>
        </w:rPr>
        <w:t>全面、科学、完整、合理的得5分，基本科学、基本合理的得3分，存在部分缺陷或缺漏的得1分。本项最多得5分。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hAnsi="宋体" w:cs="宋体"/>
          <w:b/>
          <w:bCs/>
          <w:color w:val="auto"/>
          <w:sz w:val="21"/>
          <w:szCs w:val="21"/>
          <w:lang w:val="en-US" w:eastAsia="zh-CN"/>
        </w:rPr>
        <w:t>5</w:t>
      </w:r>
      <w:r>
        <w:rPr>
          <w:rFonts w:hint="eastAsia" w:ascii="宋体" w:hAnsi="宋体" w:cs="宋体"/>
          <w:b/>
          <w:bCs/>
          <w:color w:val="auto"/>
          <w:sz w:val="21"/>
          <w:szCs w:val="21"/>
          <w:lang w:eastAsia="zh-CN"/>
        </w:rPr>
        <w:t>）工期进度保障</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4</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有明确的任务工期安排与合理的实施周期步骤。</w:t>
      </w:r>
      <w:r>
        <w:rPr>
          <w:rFonts w:hint="eastAsia" w:hAnsi="宋体" w:cs="宋体"/>
          <w:b w:val="0"/>
          <w:bCs w:val="0"/>
          <w:color w:val="auto"/>
          <w:sz w:val="21"/>
          <w:szCs w:val="21"/>
          <w:lang w:val="en-US" w:eastAsia="zh-CN"/>
        </w:rPr>
        <w:t>磋商小组</w:t>
      </w:r>
      <w:r>
        <w:rPr>
          <w:rFonts w:hint="eastAsia" w:ascii="宋体" w:hAnsi="宋体" w:cs="宋体"/>
          <w:b w:val="0"/>
          <w:bCs w:val="0"/>
          <w:color w:val="auto"/>
          <w:sz w:val="21"/>
          <w:szCs w:val="21"/>
          <w:lang w:eastAsia="zh-CN"/>
        </w:rPr>
        <w:t>根据</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提供的方案酌情打分</w:t>
      </w:r>
      <w:r>
        <w:rPr>
          <w:rFonts w:hint="eastAsia" w:hAnsi="宋体" w:cs="宋体"/>
          <w:b w:val="0"/>
          <w:bCs w:val="0"/>
          <w:color w:val="auto"/>
          <w:sz w:val="21"/>
          <w:szCs w:val="21"/>
          <w:lang w:eastAsia="zh-CN"/>
        </w:rPr>
        <w:t>，</w:t>
      </w:r>
      <w:r>
        <w:rPr>
          <w:rFonts w:hint="eastAsia" w:ascii="宋体" w:hAnsi="宋体" w:cs="宋体"/>
          <w:b w:val="0"/>
          <w:bCs w:val="0"/>
          <w:color w:val="auto"/>
          <w:sz w:val="21"/>
          <w:szCs w:val="21"/>
          <w:lang w:eastAsia="zh-CN"/>
        </w:rPr>
        <w:t>全面、科学、完整、合理的得4分，基本科学、基本合理的得2分，存在部分缺陷或缺漏的得1分。本项最多得4分。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hAnsi="宋体" w:cs="宋体"/>
          <w:b/>
          <w:bCs/>
          <w:color w:val="auto"/>
          <w:sz w:val="21"/>
          <w:szCs w:val="21"/>
          <w:lang w:val="en-US" w:eastAsia="zh-CN"/>
        </w:rPr>
        <w:t>6</w:t>
      </w:r>
      <w:r>
        <w:rPr>
          <w:rFonts w:hint="eastAsia" w:ascii="宋体" w:hAnsi="宋体" w:cs="宋体"/>
          <w:b/>
          <w:bCs/>
          <w:color w:val="auto"/>
          <w:sz w:val="21"/>
          <w:szCs w:val="21"/>
          <w:lang w:eastAsia="zh-CN"/>
        </w:rPr>
        <w:t>）质量控制保障</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4</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根据质量保证措施可行性、质量检查控制的有效性等情况进行综合评分，全面、科学、完整、合理的得4分，基本科学、基本合理的得2分，存在部分缺陷或缺漏的得1分。本项最多得4分。</w:t>
      </w:r>
    </w:p>
    <w:p>
      <w:pPr>
        <w:pStyle w:val="17"/>
        <w:pageBreakBefore w:val="0"/>
        <w:widowControl w:val="0"/>
        <w:kinsoku/>
        <w:overflowPunct/>
        <w:topLinePunct w:val="0"/>
        <w:autoSpaceDE/>
        <w:autoSpaceDN/>
        <w:bidi w:val="0"/>
        <w:adjustRightInd/>
        <w:snapToGrid/>
        <w:spacing w:line="360" w:lineRule="auto"/>
        <w:textAlignment w:val="auto"/>
        <w:rPr>
          <w:rFonts w:hint="default" w:hAnsi="宋体" w:eastAsia="宋体"/>
          <w:b/>
          <w:bCs/>
          <w:color w:val="auto"/>
          <w:sz w:val="21"/>
          <w:szCs w:val="21"/>
          <w:highlight w:val="none"/>
          <w:lang w:val="en-US" w:eastAsia="zh-CN"/>
        </w:rPr>
      </w:pPr>
      <w:r>
        <w:rPr>
          <w:rFonts w:hint="eastAsia" w:ascii="宋体" w:hAnsi="宋体" w:cs="宋体"/>
          <w:b/>
          <w:bCs/>
          <w:color w:val="auto"/>
          <w:sz w:val="21"/>
          <w:szCs w:val="21"/>
          <w:lang w:eastAsia="zh-CN"/>
        </w:rPr>
        <w:t>（</w:t>
      </w:r>
      <w:r>
        <w:rPr>
          <w:rFonts w:hint="eastAsia" w:hAnsi="宋体" w:cs="宋体"/>
          <w:b/>
          <w:bCs/>
          <w:color w:val="auto"/>
          <w:sz w:val="21"/>
          <w:szCs w:val="21"/>
          <w:lang w:val="en-US" w:eastAsia="zh-CN"/>
        </w:rPr>
        <w:t>7</w:t>
      </w:r>
      <w:r>
        <w:rPr>
          <w:rFonts w:hint="eastAsia" w:ascii="宋体" w:hAnsi="宋体" w:cs="宋体"/>
          <w:b/>
          <w:bCs/>
          <w:color w:val="auto"/>
          <w:sz w:val="21"/>
          <w:szCs w:val="21"/>
          <w:lang w:eastAsia="zh-CN"/>
        </w:rPr>
        <w:t>）售后服务及培训方案</w:t>
      </w:r>
      <w:r>
        <w:rPr>
          <w:rFonts w:hint="eastAsia" w:hAnsi="宋体"/>
          <w:b/>
          <w:bCs/>
          <w:color w:val="auto"/>
          <w:sz w:val="21"/>
          <w:szCs w:val="21"/>
          <w:highlight w:val="none"/>
        </w:rPr>
        <w:t>………………………</w:t>
      </w:r>
      <w:r>
        <w:rPr>
          <w:rFonts w:hint="eastAsia" w:hAnsi="宋体"/>
          <w:b/>
          <w:bCs/>
          <w:color w:val="auto"/>
          <w:sz w:val="21"/>
          <w:szCs w:val="21"/>
          <w:highlight w:val="none"/>
          <w:lang w:eastAsia="zh-CN"/>
        </w:rPr>
        <w:t>…………</w:t>
      </w:r>
      <w:r>
        <w:rPr>
          <w:rFonts w:hint="eastAsia" w:hAnsi="宋体"/>
          <w:b/>
          <w:bCs/>
          <w:color w:val="auto"/>
          <w:sz w:val="21"/>
          <w:szCs w:val="21"/>
          <w:highlight w:val="none"/>
        </w:rPr>
        <w:t>……………………………</w:t>
      </w:r>
      <w:r>
        <w:rPr>
          <w:rFonts w:hint="eastAsia" w:ascii="宋体" w:hAnsi="宋体" w:eastAsiaTheme="minorEastAsia" w:cstheme="minorBidi"/>
          <w:b/>
          <w:bCs/>
          <w:color w:val="auto"/>
          <w:kern w:val="0"/>
          <w:sz w:val="21"/>
          <w:szCs w:val="21"/>
          <w:highlight w:val="none"/>
          <w:lang w:val="en-US" w:eastAsia="zh-CN" w:bidi="ar-SA"/>
        </w:rPr>
        <w:t>……</w:t>
      </w:r>
      <w:r>
        <w:rPr>
          <w:rFonts w:hint="eastAsia" w:hAnsi="宋体" w:eastAsiaTheme="minorEastAsia" w:cstheme="minorBidi"/>
          <w:b/>
          <w:bCs/>
          <w:color w:val="auto"/>
          <w:kern w:val="0"/>
          <w:sz w:val="21"/>
          <w:szCs w:val="21"/>
          <w:highlight w:val="none"/>
          <w:lang w:val="en-US" w:eastAsia="zh-CN" w:bidi="ar-SA"/>
        </w:rPr>
        <w:t>4</w:t>
      </w:r>
      <w:r>
        <w:rPr>
          <w:rFonts w:hint="eastAsia" w:ascii="宋体" w:hAnsi="宋体" w:eastAsiaTheme="minorEastAsia" w:cstheme="minorBidi"/>
          <w:b/>
          <w:bCs/>
          <w:color w:val="auto"/>
          <w:kern w:val="0"/>
          <w:sz w:val="21"/>
          <w:szCs w:val="21"/>
          <w:highlight w:val="none"/>
          <w:lang w:val="en-US" w:eastAsia="zh-CN" w:bidi="ar-SA"/>
        </w:rPr>
        <w:t>分</w:t>
      </w:r>
    </w:p>
    <w:p>
      <w:pPr>
        <w:pStyle w:val="17"/>
        <w:pageBreakBefore w:val="0"/>
        <w:widowControl w:val="0"/>
        <w:kinsoku/>
        <w:overflowPunct/>
        <w:topLinePunct w:val="0"/>
        <w:autoSpaceDE/>
        <w:autoSpaceDN/>
        <w:bidi w:val="0"/>
        <w:adjustRightInd/>
        <w:snapToGrid/>
        <w:spacing w:line="360" w:lineRule="auto"/>
        <w:ind w:firstLine="420" w:firstLineChars="200"/>
        <w:textAlignment w:val="auto"/>
        <w:rPr>
          <w:rFonts w:hAnsi="宋体"/>
          <w:b w:val="0"/>
          <w:bCs w:val="0"/>
          <w:color w:val="auto"/>
          <w:sz w:val="21"/>
          <w:szCs w:val="21"/>
          <w:highlight w:val="none"/>
        </w:rPr>
      </w:pPr>
      <w:r>
        <w:rPr>
          <w:rFonts w:hint="eastAsia" w:hAnsi="宋体"/>
          <w:b w:val="0"/>
          <w:bCs w:val="0"/>
          <w:color w:val="auto"/>
          <w:sz w:val="21"/>
          <w:szCs w:val="21"/>
          <w:highlight w:val="none"/>
          <w:lang w:val="en-US" w:eastAsia="zh-CN"/>
        </w:rPr>
        <w:t>供应商</w:t>
      </w:r>
      <w:r>
        <w:rPr>
          <w:rFonts w:hint="eastAsia" w:hAnsi="宋体"/>
          <w:b w:val="0"/>
          <w:bCs w:val="0"/>
          <w:color w:val="auto"/>
          <w:sz w:val="21"/>
          <w:szCs w:val="21"/>
          <w:highlight w:val="none"/>
        </w:rPr>
        <w:t>应提供完整、详细、切实可行的售后服务及培训方案，包括承诺提供的售后服务，维护人员情况，以及服务承诺落实的保障措施等，并提供</w:t>
      </w:r>
      <w:r>
        <w:rPr>
          <w:rFonts w:hint="eastAsia" w:hAnsi="宋体"/>
          <w:b w:val="0"/>
          <w:bCs w:val="0"/>
          <w:color w:val="auto"/>
          <w:sz w:val="21"/>
          <w:szCs w:val="21"/>
          <w:highlight w:val="none"/>
          <w:lang w:val="en-US" w:eastAsia="zh-CN"/>
        </w:rPr>
        <w:t>成交</w:t>
      </w:r>
      <w:r>
        <w:rPr>
          <w:rFonts w:hint="eastAsia" w:hAnsi="宋体"/>
          <w:b w:val="0"/>
          <w:bCs w:val="0"/>
          <w:color w:val="auto"/>
          <w:sz w:val="21"/>
          <w:szCs w:val="21"/>
          <w:highlight w:val="none"/>
        </w:rPr>
        <w:t>后设立本地化售后服务机构承诺函。由</w:t>
      </w:r>
      <w:r>
        <w:rPr>
          <w:rFonts w:hint="eastAsia" w:hAnsi="宋体"/>
          <w:b w:val="0"/>
          <w:bCs w:val="0"/>
          <w:color w:val="auto"/>
          <w:sz w:val="21"/>
          <w:szCs w:val="21"/>
          <w:highlight w:val="none"/>
          <w:lang w:val="en-US" w:eastAsia="zh-CN"/>
        </w:rPr>
        <w:t>磋商小组</w:t>
      </w:r>
      <w:r>
        <w:rPr>
          <w:rFonts w:hint="eastAsia" w:hAnsi="宋体"/>
          <w:b w:val="0"/>
          <w:bCs w:val="0"/>
          <w:color w:val="auto"/>
          <w:sz w:val="21"/>
          <w:szCs w:val="21"/>
          <w:highlight w:val="none"/>
        </w:rPr>
        <w:t>根据各</w:t>
      </w:r>
      <w:r>
        <w:rPr>
          <w:rFonts w:hint="eastAsia" w:hAnsi="宋体"/>
          <w:b w:val="0"/>
          <w:bCs w:val="0"/>
          <w:color w:val="auto"/>
          <w:sz w:val="21"/>
          <w:szCs w:val="21"/>
          <w:highlight w:val="none"/>
          <w:lang w:val="en-US" w:eastAsia="zh-CN"/>
        </w:rPr>
        <w:t>供应商</w:t>
      </w:r>
      <w:r>
        <w:rPr>
          <w:rFonts w:hint="eastAsia" w:hAnsi="宋体"/>
          <w:b w:val="0"/>
          <w:bCs w:val="0"/>
          <w:color w:val="auto"/>
          <w:sz w:val="21"/>
          <w:szCs w:val="21"/>
          <w:highlight w:val="none"/>
        </w:rPr>
        <w:t>提供的方案对各</w:t>
      </w:r>
      <w:r>
        <w:rPr>
          <w:rFonts w:hint="eastAsia" w:hAnsi="宋体"/>
          <w:b w:val="0"/>
          <w:bCs w:val="0"/>
          <w:color w:val="auto"/>
          <w:sz w:val="21"/>
          <w:szCs w:val="21"/>
          <w:highlight w:val="none"/>
          <w:lang w:val="en-US" w:eastAsia="zh-CN"/>
        </w:rPr>
        <w:t>供应商</w:t>
      </w:r>
      <w:r>
        <w:rPr>
          <w:rFonts w:hint="eastAsia" w:hAnsi="宋体"/>
          <w:b w:val="0"/>
          <w:bCs w:val="0"/>
          <w:color w:val="auto"/>
          <w:sz w:val="21"/>
          <w:szCs w:val="21"/>
          <w:highlight w:val="none"/>
        </w:rPr>
        <w:t>进行综合评定</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全面、科学、完整、合理的得</w:t>
      </w:r>
      <w:r>
        <w:rPr>
          <w:rFonts w:hAnsi="宋体"/>
          <w:b w:val="0"/>
          <w:bCs w:val="0"/>
          <w:color w:val="auto"/>
          <w:sz w:val="21"/>
          <w:szCs w:val="21"/>
          <w:highlight w:val="none"/>
        </w:rPr>
        <w:t>4</w:t>
      </w:r>
      <w:r>
        <w:rPr>
          <w:rFonts w:hint="eastAsia" w:hAnsi="宋体"/>
          <w:b w:val="0"/>
          <w:bCs w:val="0"/>
          <w:color w:val="auto"/>
          <w:sz w:val="21"/>
          <w:szCs w:val="21"/>
          <w:highlight w:val="none"/>
        </w:rPr>
        <w:t>分，基本科学、基本合理的得</w:t>
      </w:r>
      <w:r>
        <w:rPr>
          <w:rFonts w:hAnsi="宋体"/>
          <w:b w:val="0"/>
          <w:bCs w:val="0"/>
          <w:color w:val="auto"/>
          <w:sz w:val="21"/>
          <w:szCs w:val="21"/>
          <w:highlight w:val="none"/>
        </w:rPr>
        <w:t>2</w:t>
      </w:r>
      <w:r>
        <w:rPr>
          <w:rFonts w:hint="eastAsia" w:hAnsi="宋体"/>
          <w:b w:val="0"/>
          <w:bCs w:val="0"/>
          <w:color w:val="auto"/>
          <w:sz w:val="21"/>
          <w:szCs w:val="21"/>
          <w:highlight w:val="none"/>
        </w:rPr>
        <w:t>分，存在部分缺陷或缺漏的得1分。本项最多得</w:t>
      </w:r>
      <w:r>
        <w:rPr>
          <w:rFonts w:hAnsi="宋体"/>
          <w:b w:val="0"/>
          <w:bCs w:val="0"/>
          <w:color w:val="auto"/>
          <w:sz w:val="21"/>
          <w:szCs w:val="21"/>
          <w:highlight w:val="none"/>
        </w:rPr>
        <w:t>4</w:t>
      </w:r>
      <w:r>
        <w:rPr>
          <w:rFonts w:hint="eastAsia" w:hAnsi="宋体"/>
          <w:b w:val="0"/>
          <w:bCs w:val="0"/>
          <w:color w:val="auto"/>
          <w:sz w:val="21"/>
          <w:szCs w:val="21"/>
          <w:highlight w:val="none"/>
        </w:rPr>
        <w:t>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3、企业信誉及综合能力分……………………………………</w:t>
      </w:r>
      <w:r>
        <w:rPr>
          <w:rFonts w:hint="eastAsia" w:hAnsi="宋体" w:cs="宋体"/>
          <w:b/>
          <w:bCs/>
          <w:color w:val="auto"/>
          <w:sz w:val="21"/>
          <w:szCs w:val="21"/>
          <w:lang w:eastAsia="zh-CN"/>
        </w:rPr>
        <w:t>…………</w:t>
      </w:r>
      <w:r>
        <w:rPr>
          <w:rFonts w:hint="eastAsia" w:ascii="宋体" w:hAnsi="宋体" w:cs="宋体"/>
          <w:b/>
          <w:bCs/>
          <w:color w:val="auto"/>
          <w:sz w:val="21"/>
          <w:szCs w:val="21"/>
          <w:lang w:eastAsia="zh-CN"/>
        </w:rPr>
        <w:t>……………</w:t>
      </w:r>
      <w:r>
        <w:rPr>
          <w:rFonts w:hint="eastAsia" w:hAnsi="宋体" w:cs="宋体"/>
          <w:b/>
          <w:bCs/>
          <w:color w:val="auto"/>
          <w:sz w:val="21"/>
          <w:szCs w:val="21"/>
          <w:lang w:eastAsia="zh-CN"/>
        </w:rPr>
        <w:t>……</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40</w:t>
      </w:r>
      <w:r>
        <w:rPr>
          <w:rFonts w:hint="eastAsia" w:ascii="宋体" w:hAnsi="宋体" w:cs="宋体"/>
          <w:b/>
          <w:bCs/>
          <w:color w:val="auto"/>
          <w:sz w:val="21"/>
          <w:szCs w:val="21"/>
          <w:lang w:eastAsia="zh-CN"/>
        </w:rPr>
        <w:t>分</w:t>
      </w:r>
    </w:p>
    <w:p>
      <w:pPr>
        <w:pStyle w:val="17"/>
        <w:pageBreakBefore w:val="0"/>
        <w:widowControl w:val="0"/>
        <w:kinsoku/>
        <w:overflowPunct/>
        <w:topLinePunct w:val="0"/>
        <w:autoSpaceDE/>
        <w:autoSpaceDN/>
        <w:bidi w:val="0"/>
        <w:adjustRightInd/>
        <w:snapToGrid/>
        <w:spacing w:line="360" w:lineRule="auto"/>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）类似业绩………………………………………………………………………</w:t>
      </w:r>
      <w:r>
        <w:rPr>
          <w:rFonts w:hint="eastAsia" w:ascii="宋体" w:hAnsi="宋体" w:cs="宋体"/>
          <w:b/>
          <w:bCs/>
          <w:color w:val="auto"/>
          <w:sz w:val="21"/>
          <w:szCs w:val="21"/>
          <w:lang w:val="en-US" w:eastAsia="zh-CN"/>
        </w:rPr>
        <w:t>……14分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1、具有国土空间规划编制项目相关案例的得2分，没有的不得分。此项满分2分。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2、具有国土空间基础信息平台应用系统开发及集成项目相关案例的得2分，没有的不得分。此项满分2分。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3、具有国土空间规划“一张图”实施监督项目案例每个得2分，没有的不得分。此项满分6分。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4、具有土地调查初始库质量检查方案研究项目案例的得1分，在此基础上有相关质量检查软件开发项目案例的加1分，没有的不得分。此项满分2分。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5、具有共享平台项目相关案例的，每提供一个得1分，没有的不得分。此项满分2分。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注：以上业绩均需提供</w:t>
      </w:r>
      <w:r>
        <w:rPr>
          <w:rFonts w:hint="eastAsia" w:hAnsi="宋体" w:cs="宋体"/>
          <w:b w:val="0"/>
          <w:bCs w:val="0"/>
          <w:color w:val="auto"/>
          <w:sz w:val="21"/>
          <w:szCs w:val="21"/>
          <w:lang w:val="en-US" w:eastAsia="zh-CN"/>
        </w:rPr>
        <w:t>成交/中标</w:t>
      </w:r>
      <w:r>
        <w:rPr>
          <w:rFonts w:hint="eastAsia" w:ascii="宋体" w:hAnsi="宋体" w:cs="宋体"/>
          <w:b w:val="0"/>
          <w:bCs w:val="0"/>
          <w:color w:val="auto"/>
          <w:sz w:val="21"/>
          <w:szCs w:val="21"/>
          <w:lang w:eastAsia="zh-CN"/>
        </w:rPr>
        <w:t>通知书或合同复印件加盖公章。</w:t>
      </w:r>
    </w:p>
    <w:p>
      <w:pPr>
        <w:pStyle w:val="17"/>
        <w:pageBreakBefore w:val="0"/>
        <w:widowControl w:val="0"/>
        <w:kinsoku/>
        <w:overflowPunct/>
        <w:topLinePunct w:val="0"/>
        <w:autoSpaceDE/>
        <w:autoSpaceDN/>
        <w:bidi w:val="0"/>
        <w:adjustRightInd/>
        <w:snapToGrid/>
        <w:spacing w:line="360" w:lineRule="auto"/>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2</w:t>
      </w:r>
      <w:r>
        <w:rPr>
          <w:rFonts w:hint="eastAsia" w:ascii="宋体" w:hAnsi="宋体" w:cs="宋体"/>
          <w:b/>
          <w:bCs/>
          <w:color w:val="auto"/>
          <w:sz w:val="21"/>
          <w:szCs w:val="21"/>
          <w:lang w:eastAsia="zh-CN"/>
        </w:rPr>
        <w:t>）体系证书………………………………………………………………………</w:t>
      </w:r>
      <w:r>
        <w:rPr>
          <w:rFonts w:hint="eastAsia" w:ascii="宋体" w:hAnsi="宋体" w:cs="宋体"/>
          <w:b/>
          <w:bCs/>
          <w:color w:val="auto"/>
          <w:sz w:val="21"/>
          <w:szCs w:val="21"/>
          <w:lang w:val="en-US" w:eastAsia="zh-CN"/>
        </w:rPr>
        <w:t>……3分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具有质量管理体系认证证书、环境管理体系认证证书、职业健康安全管理体系认证书，且认证范围均包含地理信息数据加工或处理，全部满足的得3分，提供不全得1分，没有的不得分。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注：需提供有效证书复印件加盖公章，并同时提供在全国认证认可信息公共服务平台（http://cx.cnca.cn）对体系证书的信息查询截图作为评审依据，已失效或撤销的不得分。</w:t>
      </w:r>
    </w:p>
    <w:p>
      <w:pPr>
        <w:pStyle w:val="17"/>
        <w:pageBreakBefore w:val="0"/>
        <w:widowControl w:val="0"/>
        <w:kinsoku/>
        <w:overflowPunct/>
        <w:topLinePunct w:val="0"/>
        <w:autoSpaceDE/>
        <w:autoSpaceDN/>
        <w:bidi w:val="0"/>
        <w:adjustRightInd/>
        <w:snapToGrid/>
        <w:spacing w:line="360" w:lineRule="auto"/>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eastAsia="zh-CN"/>
        </w:rPr>
        <w:t>）专业实力………………………………………………………………………</w:t>
      </w:r>
      <w:r>
        <w:rPr>
          <w:rFonts w:hint="eastAsia" w:ascii="宋体" w:hAnsi="宋体" w:cs="宋体"/>
          <w:b/>
          <w:bCs/>
          <w:color w:val="auto"/>
          <w:sz w:val="21"/>
          <w:szCs w:val="21"/>
          <w:lang w:val="en-US" w:eastAsia="zh-CN"/>
        </w:rPr>
        <w:t>……13分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1、具有多规合一规划编制管理系统、国土空间规划质检管理平台、国土空间规划编制系统、国土空间规划“一张图”实施监督信息系统、国土空间基础信息平台、国土空间基础数据整合及质检管理平台相关软件著作权登记证书的，每提供一个得1分，没有不得分。满分6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2、具有2000国家大地坐标系转换系统软件并通过国家测绘产品质量检验测试中心测评，每提供一个技术应用证明得1分，没有的不得分，此项满分2分。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3、</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获得信息类相关学会（协会）颁发的科技进步（科学技术）奖或优秀工程奖的，全国性奖项每提供1个得1分，全省性奖项每提供1个得0.5分；若奖项为一等奖或金奖的每个加0.5分。此项最高得5分。（提供证书复印件加盖</w:t>
      </w:r>
      <w:r>
        <w:rPr>
          <w:rFonts w:hint="eastAsia" w:hAnsi="宋体" w:cs="宋体"/>
          <w:b w:val="0"/>
          <w:bCs w:val="0"/>
          <w:color w:val="auto"/>
          <w:sz w:val="21"/>
          <w:szCs w:val="21"/>
          <w:lang w:val="en-US" w:eastAsia="zh-CN"/>
        </w:rPr>
        <w:t>供应商</w:t>
      </w:r>
      <w:r>
        <w:rPr>
          <w:rFonts w:hint="eastAsia" w:ascii="宋体" w:hAnsi="宋体" w:cs="宋体"/>
          <w:b w:val="0"/>
          <w:bCs w:val="0"/>
          <w:color w:val="auto"/>
          <w:sz w:val="21"/>
          <w:szCs w:val="21"/>
          <w:lang w:eastAsia="zh-CN"/>
        </w:rPr>
        <w:t>公章，否则不得分）。</w:t>
      </w:r>
    </w:p>
    <w:p>
      <w:pPr>
        <w:pStyle w:val="17"/>
        <w:pageBreakBefore w:val="0"/>
        <w:widowControl w:val="0"/>
        <w:kinsoku/>
        <w:overflowPunct/>
        <w:topLinePunct w:val="0"/>
        <w:autoSpaceDE/>
        <w:autoSpaceDN/>
        <w:bidi w:val="0"/>
        <w:adjustRightInd/>
        <w:snapToGrid/>
        <w:spacing w:line="360" w:lineRule="auto"/>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）项目人员………………………………………………………………………</w:t>
      </w:r>
      <w:r>
        <w:rPr>
          <w:rFonts w:hint="eastAsia" w:ascii="宋体" w:hAnsi="宋体" w:cs="宋体"/>
          <w:b/>
          <w:bCs/>
          <w:color w:val="auto"/>
          <w:sz w:val="21"/>
          <w:szCs w:val="21"/>
          <w:lang w:val="en-US" w:eastAsia="zh-CN"/>
        </w:rPr>
        <w:t>……10分</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1、项目负责人：具备地理信息工程专业正高级职称证书资格得2分；获得过地理信息科技进步奖得1分；本项最高得3分；须提供身份证、职称证、奖项证书及本公司2022年</w:t>
      </w:r>
      <w:r>
        <w:rPr>
          <w:rFonts w:hint="eastAsia" w:hAnsi="宋体" w:cs="宋体"/>
          <w:b w:val="0"/>
          <w:bCs w:val="0"/>
          <w:color w:val="auto"/>
          <w:sz w:val="21"/>
          <w:szCs w:val="21"/>
          <w:lang w:val="en-US" w:eastAsia="zh-CN"/>
        </w:rPr>
        <w:t>1月以来</w:t>
      </w:r>
      <w:r>
        <w:rPr>
          <w:rFonts w:hint="eastAsia" w:ascii="宋体" w:hAnsi="宋体" w:cs="宋体"/>
          <w:b w:val="0"/>
          <w:bCs w:val="0"/>
          <w:color w:val="auto"/>
          <w:sz w:val="21"/>
          <w:szCs w:val="21"/>
          <w:lang w:eastAsia="zh-CN"/>
        </w:rPr>
        <w:t>任意一个月缴纳社保的证明材料。</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2、技术负责人：具备土地管理专业正高级职称证书得2分；该项最高得2分。须提供身份证、职称证及本公司2022年</w:t>
      </w:r>
      <w:r>
        <w:rPr>
          <w:rFonts w:hint="eastAsia" w:hAnsi="宋体" w:cs="宋体"/>
          <w:b w:val="0"/>
          <w:bCs w:val="0"/>
          <w:color w:val="auto"/>
          <w:sz w:val="21"/>
          <w:szCs w:val="21"/>
          <w:lang w:val="en-US" w:eastAsia="zh-CN"/>
        </w:rPr>
        <w:t>1月以来</w:t>
      </w:r>
      <w:r>
        <w:rPr>
          <w:rFonts w:hint="eastAsia" w:ascii="宋体" w:hAnsi="宋体" w:cs="宋体"/>
          <w:b w:val="0"/>
          <w:bCs w:val="0"/>
          <w:color w:val="auto"/>
          <w:sz w:val="21"/>
          <w:szCs w:val="21"/>
          <w:lang w:eastAsia="zh-CN"/>
        </w:rPr>
        <w:t>任意一个月缴纳社保的证明材料。</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3、项目团队成员具有地理信息系统专业中级职称证书的，每提供一个证书得0.5分，该项最高得3分。须提供身份证、职称证及本公司2022年</w:t>
      </w:r>
      <w:r>
        <w:rPr>
          <w:rFonts w:hint="eastAsia" w:hAnsi="宋体" w:cs="宋体"/>
          <w:b w:val="0"/>
          <w:bCs w:val="0"/>
          <w:color w:val="auto"/>
          <w:sz w:val="21"/>
          <w:szCs w:val="21"/>
          <w:lang w:val="en-US" w:eastAsia="zh-CN"/>
        </w:rPr>
        <w:t>1月以来</w:t>
      </w:r>
      <w:r>
        <w:rPr>
          <w:rFonts w:hint="eastAsia" w:ascii="宋体" w:hAnsi="宋体" w:cs="宋体"/>
          <w:b w:val="0"/>
          <w:bCs w:val="0"/>
          <w:color w:val="auto"/>
          <w:sz w:val="21"/>
          <w:szCs w:val="21"/>
          <w:lang w:eastAsia="zh-CN"/>
        </w:rPr>
        <w:t>任意一个月缴纳社保的证明材料。</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4、项目团队成员具有全国信息化工程师GIS应用水平二级及以上证书的，每提供一个证书得1分，本项最高2分；须提供身份证、证书及本公司2022年</w:t>
      </w:r>
      <w:r>
        <w:rPr>
          <w:rFonts w:hint="eastAsia" w:hAnsi="宋体" w:cs="宋体"/>
          <w:b w:val="0"/>
          <w:bCs w:val="0"/>
          <w:color w:val="auto"/>
          <w:sz w:val="21"/>
          <w:szCs w:val="21"/>
          <w:lang w:val="en-US" w:eastAsia="zh-CN"/>
        </w:rPr>
        <w:t>1月以来</w:t>
      </w:r>
      <w:r>
        <w:rPr>
          <w:rFonts w:hint="eastAsia" w:ascii="宋体" w:hAnsi="宋体" w:cs="宋体"/>
          <w:b w:val="0"/>
          <w:bCs w:val="0"/>
          <w:color w:val="auto"/>
          <w:sz w:val="21"/>
          <w:szCs w:val="21"/>
          <w:lang w:eastAsia="zh-CN"/>
        </w:rPr>
        <w:t>任意一个月缴纳社保的证明材料。</w:t>
      </w:r>
    </w:p>
    <w:p>
      <w:pPr>
        <w:pStyle w:val="17"/>
        <w:pageBreakBefore w:val="0"/>
        <w:widowControl w:val="0"/>
        <w:kinsoku/>
        <w:overflowPunct/>
        <w:topLinePunct w:val="0"/>
        <w:autoSpaceDE/>
        <w:autoSpaceDN/>
        <w:bidi w:val="0"/>
        <w:adjustRightInd/>
        <w:snapToGrid/>
        <w:spacing w:line="360" w:lineRule="auto"/>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注：上述人员不可以重复，同一人员按最高得分项计分。</w:t>
      </w:r>
    </w:p>
    <w:p>
      <w:pPr>
        <w:keepNext w:val="0"/>
        <w:keepLines w:val="0"/>
        <w:pageBreakBefore w:val="0"/>
        <w:widowControl/>
        <w:tabs>
          <w:tab w:val="left" w:pos="2155"/>
        </w:tabs>
        <w:kinsoku/>
        <w:wordWrap/>
        <w:overflowPunct/>
        <w:topLinePunct w:val="0"/>
        <w:autoSpaceDE/>
        <w:autoSpaceDN/>
        <w:bidi w:val="0"/>
        <w:adjustRightInd w:val="0"/>
        <w:snapToGrid/>
        <w:ind w:left="2154"/>
        <w:textAlignment w:val="baseline"/>
        <w:outlineLvl w:val="9"/>
        <w:rPr>
          <w:rFonts w:hint="eastAsia" w:hAnsi="宋体"/>
          <w:b/>
          <w:bCs/>
          <w:color w:val="auto"/>
          <w:sz w:val="21"/>
          <w:szCs w:val="21"/>
          <w:highlight w:val="none"/>
        </w:rPr>
      </w:pPr>
    </w:p>
    <w:p>
      <w:pPr>
        <w:pStyle w:val="17"/>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hAnsi="宋体"/>
          <w:b/>
          <w:bCs/>
          <w:color w:val="auto"/>
          <w:sz w:val="21"/>
          <w:szCs w:val="21"/>
          <w:highlight w:val="none"/>
        </w:rPr>
      </w:pPr>
      <w:r>
        <w:rPr>
          <w:rFonts w:hint="eastAsia" w:hAnsi="宋体"/>
          <w:b/>
          <w:bCs/>
          <w:color w:val="auto"/>
          <w:sz w:val="21"/>
          <w:szCs w:val="21"/>
          <w:highlight w:val="none"/>
        </w:rPr>
        <w:t>（三）总得分=1+2+3。</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bCs/>
          <w:color w:val="auto"/>
          <w:kern w:val="0"/>
          <w:sz w:val="21"/>
          <w:szCs w:val="21"/>
          <w:highlight w:val="none"/>
        </w:rPr>
      </w:pPr>
      <w:r>
        <w:rPr>
          <w:rFonts w:hint="eastAsia" w:ascii="宋体" w:hAnsi="宋体"/>
          <w:b/>
          <w:bCs/>
          <w:color w:val="auto"/>
          <w:kern w:val="0"/>
          <w:sz w:val="21"/>
          <w:szCs w:val="21"/>
          <w:highlight w:val="none"/>
        </w:rPr>
        <w:t>注：本项目为服务采购项目，不属于财政部规定的节能产品和环境标志产品范畴，不适用财库〔2019〕9号及财库〔2019〕19号文件规定，也不适用《广西壮族自治区人民政府办公厅关于印发招标采购促进广西工业产品产销对接实施细则的通知》（桂政办发【2015】78号）的相关规定。</w:t>
      </w:r>
    </w:p>
    <w:p>
      <w:pPr>
        <w:pStyle w:val="17"/>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三、成交候选人推荐原则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000000"/>
          <w:szCs w:val="21"/>
          <w:lang w:eastAsia="zh-CN"/>
        </w:rPr>
      </w:pPr>
      <w:r>
        <w:rPr>
          <w:rFonts w:hint="eastAsia" w:ascii="宋体" w:hAnsi="宋体"/>
          <w:bCs/>
          <w:color w:val="000000"/>
          <w:szCs w:val="21"/>
          <w:lang w:eastAsia="zh-CN"/>
        </w:rPr>
        <w:t>（一）磋商小组将根据总得分由高到低对供应商排列次序（得分相同时，以最终报价由低到高顺序排列；得分相同且最终报价相同的，按技术指标优劣顺序排列），并推荐前三名为成交候选人。采购人应当确定磋商小组推荐排名第一的成交候选人为成交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000000"/>
          <w:szCs w:val="21"/>
          <w:lang w:eastAsia="zh-CN"/>
        </w:rPr>
      </w:pPr>
      <w:r>
        <w:rPr>
          <w:rFonts w:hint="eastAsia" w:ascii="宋体" w:hAnsi="宋体"/>
          <w:bCs/>
          <w:color w:val="000000"/>
          <w:szCs w:val="21"/>
          <w:lang w:eastAsia="zh-CN"/>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4"/>
        <w:numPr>
          <w:ilvl w:val="0"/>
          <w:numId w:val="0"/>
        </w:numPr>
        <w:bidi w:val="0"/>
        <w:jc w:val="center"/>
        <w:rPr>
          <w:rFonts w:hint="eastAsia"/>
          <w:color w:val="000000" w:themeColor="text1"/>
          <w14:textFill>
            <w14:solidFill>
              <w14:schemeClr w14:val="tx1"/>
            </w14:solidFill>
          </w14:textFill>
        </w:rPr>
      </w:pPr>
      <w:bookmarkStart w:id="72" w:name="_Toc5832"/>
      <w:r>
        <w:rPr>
          <w:rFonts w:hint="eastAsia"/>
          <w:lang w:val="en-US" w:eastAsia="zh-CN"/>
        </w:rPr>
        <w:t xml:space="preserve">第五章 </w:t>
      </w:r>
      <w:r>
        <w:rPr>
          <w:rFonts w:hint="eastAsia"/>
        </w:rPr>
        <w:t>响应文件格式</w:t>
      </w:r>
      <w:bookmarkEnd w:id="67"/>
      <w:bookmarkEnd w:id="72"/>
    </w:p>
    <w:p>
      <w:pPr>
        <w:pStyle w:val="44"/>
        <w:keepNext w:val="0"/>
        <w:keepLines w:val="0"/>
        <w:pageBreakBefore w:val="0"/>
        <w:widowControl/>
        <w:numPr>
          <w:ilvl w:val="0"/>
          <w:numId w:val="0"/>
        </w:numPr>
        <w:kinsoku/>
        <w:wordWrap/>
        <w:overflowPunct/>
        <w:topLinePunct w:val="0"/>
        <w:autoSpaceDE w:val="0"/>
        <w:autoSpaceDN w:val="0"/>
        <w:bidi w:val="0"/>
        <w:adjustRightInd w:val="0"/>
        <w:snapToGrid/>
        <w:jc w:val="both"/>
        <w:textAlignment w:val="auto"/>
        <w:outlineLvl w:val="1"/>
        <w:rPr>
          <w:rFonts w:hint="eastAsia"/>
          <w:color w:val="000000" w:themeColor="text1"/>
          <w14:textFill>
            <w14:solidFill>
              <w14:schemeClr w14:val="tx1"/>
            </w14:solidFill>
          </w14:textFill>
        </w:rPr>
      </w:pPr>
      <w:bookmarkStart w:id="73" w:name="_Toc24934"/>
    </w:p>
    <w:p>
      <w:pPr>
        <w:pStyle w:val="44"/>
        <w:keepNext w:val="0"/>
        <w:keepLines w:val="0"/>
        <w:pageBreakBefore w:val="0"/>
        <w:widowControl/>
        <w:numPr>
          <w:ilvl w:val="0"/>
          <w:numId w:val="0"/>
        </w:numPr>
        <w:kinsoku/>
        <w:wordWrap/>
        <w:overflowPunct/>
        <w:topLinePunct w:val="0"/>
        <w:autoSpaceDE w:val="0"/>
        <w:autoSpaceDN w:val="0"/>
        <w:bidi w:val="0"/>
        <w:adjustRightInd w:val="0"/>
        <w:snapToGrid/>
        <w:jc w:val="both"/>
        <w:textAlignment w:val="auto"/>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一、资格证明文件格式</w:t>
      </w:r>
      <w:bookmarkEnd w:id="73"/>
    </w:p>
    <w:p>
      <w:pPr>
        <w:pStyle w:val="55"/>
        <w:rPr>
          <w:color w:val="000000" w:themeColor="text1"/>
          <w14:textFill>
            <w14:solidFill>
              <w14:schemeClr w14:val="tx1"/>
            </w14:solidFill>
          </w14:textFill>
        </w:rPr>
      </w:pPr>
      <w:bookmarkStart w:id="74" w:name="_Toc29081"/>
      <w:r>
        <w:rPr>
          <w:color w:val="000000" w:themeColor="text1"/>
          <w14:textFill>
            <w14:solidFill>
              <w14:schemeClr w14:val="tx1"/>
            </w14:solidFill>
          </w14:textFill>
        </w:rPr>
        <w:t>1.</w:t>
      </w:r>
      <w:r>
        <w:rPr>
          <w:rFonts w:hint="eastAsia"/>
          <w:color w:val="000000" w:themeColor="text1"/>
          <w14:textFill>
            <w14:solidFill>
              <w14:schemeClr w14:val="tx1"/>
            </w14:solidFill>
          </w14:textFill>
        </w:rPr>
        <w:t>资格证明文件封面格式</w:t>
      </w:r>
      <w:bookmarkEnd w:id="74"/>
    </w:p>
    <w:p>
      <w:pPr>
        <w:ind w:firstLine="199" w:firstLineChars="83"/>
        <w:rPr>
          <w:color w:val="000000" w:themeColor="text1"/>
          <w:sz w:val="24"/>
          <w:szCs w:val="24"/>
          <w14:textFill>
            <w14:solidFill>
              <w14:schemeClr w14:val="tx1"/>
            </w14:solidFill>
          </w14:textFill>
        </w:rPr>
      </w:pPr>
    </w:p>
    <w:p>
      <w:pPr>
        <w:ind w:firstLine="199" w:firstLineChars="83"/>
        <w:rPr>
          <w:color w:val="000000" w:themeColor="text1"/>
          <w:sz w:val="24"/>
          <w:szCs w:val="24"/>
          <w14:textFill>
            <w14:solidFill>
              <w14:schemeClr w14:val="tx1"/>
            </w14:solidFill>
          </w14:textFill>
        </w:rPr>
      </w:pPr>
    </w:p>
    <w:p>
      <w:pPr>
        <w:ind w:firstLine="0" w:firstLineChars="0"/>
        <w:jc w:val="center"/>
        <w:rPr>
          <w:rFonts w:ascii="宋体" w:hAnsi="Calibri" w:eastAsia="宋体" w:cs="Times New Roman"/>
          <w:b/>
          <w:bCs/>
          <w:color w:val="000000" w:themeColor="text1"/>
          <w:sz w:val="44"/>
          <w:szCs w:val="44"/>
          <w14:textFill>
            <w14:solidFill>
              <w14:schemeClr w14:val="tx1"/>
            </w14:solidFill>
          </w14:textFill>
        </w:rPr>
      </w:pPr>
      <w:r>
        <w:rPr>
          <w:rFonts w:hint="eastAsia" w:ascii="宋体" w:hAnsi="Calibri" w:eastAsia="宋体" w:cs="Times New Roman"/>
          <w:b/>
          <w:bCs/>
          <w:color w:val="000000" w:themeColor="text1"/>
          <w:sz w:val="44"/>
          <w:szCs w:val="44"/>
          <w14:textFill>
            <w14:solidFill>
              <w14:schemeClr w14:val="tx1"/>
            </w14:solidFill>
          </w14:textFill>
        </w:rPr>
        <w:t>资格证明文件</w:t>
      </w:r>
    </w:p>
    <w:p>
      <w:pPr>
        <w:ind w:firstLine="480"/>
        <w:rPr>
          <w:rFonts w:ascii="宋体" w:hAnsi="Calibri" w:eastAsia="宋体" w:cs="Times New Roman"/>
          <w:color w:val="000000" w:themeColor="text1"/>
          <w:sz w:val="24"/>
          <w:szCs w:val="24"/>
          <w14:textFill>
            <w14:solidFill>
              <w14:schemeClr w14:val="tx1"/>
            </w14:solidFill>
          </w14:textFill>
        </w:rPr>
      </w:pPr>
    </w:p>
    <w:p>
      <w:pPr>
        <w:ind w:firstLine="480"/>
        <w:rPr>
          <w:rFonts w:ascii="宋体" w:hAnsi="Calibri" w:eastAsia="宋体" w:cs="Times New Roman"/>
          <w:color w:val="000000" w:themeColor="text1"/>
          <w:sz w:val="24"/>
          <w:szCs w:val="24"/>
          <w14:textFill>
            <w14:solidFill>
              <w14:schemeClr w14:val="tx1"/>
            </w14:solidFill>
          </w14:textFill>
        </w:rPr>
      </w:pPr>
    </w:p>
    <w:p>
      <w:pPr>
        <w:ind w:firstLine="480"/>
        <w:rPr>
          <w:rFonts w:ascii="宋体" w:hAnsi="Calibri" w:eastAsia="宋体" w:cs="Times New Roman"/>
          <w:color w:val="000000" w:themeColor="text1"/>
          <w:sz w:val="24"/>
          <w:szCs w:val="24"/>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项目编号：</w:t>
      </w:r>
    </w:p>
    <w:p>
      <w:pPr>
        <w:ind w:firstLine="0" w:firstLineChars="0"/>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供应商名称：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640"/>
        <w:jc w:val="center"/>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年    月    日</w:t>
      </w:r>
    </w:p>
    <w:p>
      <w:pPr>
        <w:ind w:firstLine="420"/>
        <w:rPr>
          <w:rFonts w:ascii="宋体" w:hAnsi="Calibri" w:eastAsia="宋体" w:cs="Times New Roman"/>
          <w:color w:val="000000" w:themeColor="text1"/>
          <w14:textFill>
            <w14:solidFill>
              <w14:schemeClr w14:val="tx1"/>
            </w14:solidFill>
          </w14:textFill>
        </w:rPr>
      </w:pP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75" w:name="_Toc15115"/>
      <w:r>
        <w:rPr>
          <w:color w:val="000000" w:themeColor="text1"/>
          <w14:textFill>
            <w14:solidFill>
              <w14:schemeClr w14:val="tx1"/>
            </w14:solidFill>
          </w14:textFill>
        </w:rPr>
        <w:t>2.</w:t>
      </w:r>
      <w:r>
        <w:rPr>
          <w:rFonts w:hint="eastAsia"/>
          <w:color w:val="000000" w:themeColor="text1"/>
          <w14:textFill>
            <w14:solidFill>
              <w14:schemeClr w14:val="tx1"/>
            </w14:solidFill>
          </w14:textFill>
        </w:rPr>
        <w:t>资格证明文件目录</w:t>
      </w:r>
      <w:bookmarkEnd w:id="75"/>
    </w:p>
    <w:p>
      <w:pPr>
        <w:widowControl w:val="0"/>
        <w:snapToGrid w:val="0"/>
        <w:spacing w:before="120" w:beforeLines="50" w:after="50"/>
        <w:ind w:firstLine="645" w:firstLineChars="0"/>
        <w:jc w:val="both"/>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根据磋商文件规定及供应商提供的材料自行编写目录（部分格式后附）。</w:t>
      </w:r>
    </w:p>
    <w:p>
      <w:pPr>
        <w:spacing w:before="260" w:after="260" w:line="415" w:lineRule="auto"/>
        <w:ind w:firstLine="0" w:firstLineChars="0"/>
        <w:jc w:val="center"/>
        <w:rPr>
          <w:rFonts w:ascii="宋体" w:hAnsi="宋体" w:eastAsia="宋体"/>
          <w:b/>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76" w:name="_Toc20999"/>
      <w:r>
        <w:rPr>
          <w:color w:val="000000" w:themeColor="text1"/>
          <w14:textFill>
            <w14:solidFill>
              <w14:schemeClr w14:val="tx1"/>
            </w14:solidFill>
          </w14:textFill>
        </w:rPr>
        <w:t>3.</w:t>
      </w:r>
      <w:r>
        <w:rPr>
          <w:rFonts w:hint="eastAsia"/>
          <w:color w:val="000000" w:themeColor="text1"/>
          <w14:textFill>
            <w14:solidFill>
              <w14:schemeClr w14:val="tx1"/>
            </w14:solidFill>
          </w14:textFill>
        </w:rPr>
        <w:t>供应商直接控股、管理关系信息表</w:t>
      </w:r>
      <w:bookmarkEnd w:id="76"/>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供应商直接控股股东信息表</w:t>
      </w:r>
    </w:p>
    <w:p>
      <w:pPr>
        <w:ind w:firstLine="420"/>
        <w:rPr>
          <w:color w:val="000000" w:themeColor="text1"/>
          <w14:textFill>
            <w14:solidFill>
              <w14:schemeClr w14:val="tx1"/>
            </w14:solidFill>
          </w14:textFill>
        </w:rPr>
      </w:pPr>
    </w:p>
    <w:tbl>
      <w:tblPr>
        <w:tblStyle w:val="26"/>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2293"/>
        <w:gridCol w:w="881"/>
        <w:gridCol w:w="411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blHeader/>
          <w:jc w:val="center"/>
        </w:trPr>
        <w:tc>
          <w:tcPr>
            <w:tcW w:w="786"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293"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881"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114"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724"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8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29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88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411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72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78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29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88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411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72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78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29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88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411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72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8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29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88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411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724"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bl>
    <w:p>
      <w:pPr>
        <w:snapToGrid w:val="0"/>
        <w:ind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napToGrid w:val="0"/>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ind w:firstLine="48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供应商不存在直接控股股东的，</w:t>
      </w:r>
      <w:r>
        <w:rPr>
          <w:rFonts w:hint="eastAsia" w:ascii="宋体" w:hAnsi="宋体"/>
          <w:b/>
          <w:bCs/>
          <w:color w:val="000000" w:themeColor="text1"/>
          <w:sz w:val="24"/>
          <w14:textFill>
            <w14:solidFill>
              <w14:schemeClr w14:val="tx1"/>
            </w14:solidFill>
          </w14:textFill>
        </w:rPr>
        <w:t>则在“直接控股股东名称”填“无”</w:t>
      </w:r>
      <w:r>
        <w:rPr>
          <w:rFonts w:hint="eastAsia" w:ascii="宋体" w:hAnsi="宋体" w:cs="宋体"/>
          <w:b/>
          <w:bCs/>
          <w:color w:val="000000" w:themeColor="text1"/>
          <w:sz w:val="24"/>
          <w14:textFill>
            <w14:solidFill>
              <w14:schemeClr w14:val="tx1"/>
            </w14:solidFill>
          </w14:textFill>
        </w:rPr>
        <w:t>。</w:t>
      </w:r>
    </w:p>
    <w:p>
      <w:pPr>
        <w:snapToGrid w:val="0"/>
        <w:ind w:firstLine="480"/>
        <w:rPr>
          <w:rFonts w:ascii="宋体" w:hAnsi="宋体"/>
          <w:color w:val="000000" w:themeColor="text1"/>
          <w:sz w:val="24"/>
          <w14:textFill>
            <w14:solidFill>
              <w14:schemeClr w14:val="tx1"/>
            </w14:solidFill>
          </w14:textFill>
        </w:rPr>
      </w:pPr>
    </w:p>
    <w:p>
      <w:pPr>
        <w:snapToGrid w:val="0"/>
        <w:ind w:firstLine="480"/>
        <w:rPr>
          <w:rFonts w:ascii="宋体" w:hAnsi="宋体"/>
          <w:color w:val="000000" w:themeColor="text1"/>
          <w:sz w:val="24"/>
          <w14:textFill>
            <w14:solidFill>
              <w14:schemeClr w14:val="tx1"/>
            </w14:solidFill>
          </w14:textFill>
        </w:rPr>
      </w:pPr>
    </w:p>
    <w:p>
      <w:pPr>
        <w:spacing w:line="600" w:lineRule="auto"/>
        <w:ind w:firstLine="0" w:firstLineChars="0"/>
        <w:rPr>
          <w:rFonts w:ascii="宋体" w:hAnsi="宋体"/>
          <w:color w:val="000000" w:themeColor="text1"/>
          <w:spacing w:val="20"/>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法定代表人或者委托代理人</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签字或者盖章或者电子签名</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spacing w:line="600" w:lineRule="auto"/>
        <w:ind w:firstLine="0" w:firstLineChars="0"/>
        <w:rPr>
          <w:rFonts w:ascii="宋体" w:hAnsi="宋体"/>
          <w:color w:val="000000" w:themeColor="text1"/>
          <w:sz w:val="24"/>
          <w:szCs w:val="22"/>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电子签章）</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年</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月</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日</w:t>
      </w:r>
    </w:p>
    <w:p>
      <w:pPr>
        <w:spacing w:before="260" w:after="260" w:line="415" w:lineRule="auto"/>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ascii="宋体" w:hAnsi="宋体" w:eastAsia="宋体" w:cs="方正小标宋简体"/>
          <w:b/>
          <w:color w:val="000000" w:themeColor="text1"/>
          <w:sz w:val="44"/>
          <w:szCs w:val="44"/>
          <w14:textFill>
            <w14:solidFill>
              <w14:schemeClr w14:val="tx1"/>
            </w14:solidFill>
          </w14:textFill>
        </w:rPr>
        <w:br w:type="page"/>
      </w:r>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供应商直接管理关系信息表</w:t>
      </w:r>
    </w:p>
    <w:p>
      <w:pPr>
        <w:ind w:firstLine="420"/>
        <w:rPr>
          <w:color w:val="000000" w:themeColor="text1"/>
          <w14:textFill>
            <w14:solidFill>
              <w14:schemeClr w14:val="tx1"/>
            </w14:solidFill>
          </w14:textFill>
        </w:rPr>
      </w:pPr>
    </w:p>
    <w:tbl>
      <w:tblPr>
        <w:tblStyle w:val="2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7"/>
        <w:gridCol w:w="3083"/>
        <w:gridCol w:w="3013"/>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blHeader/>
          <w:jc w:val="center"/>
        </w:trPr>
        <w:tc>
          <w:tcPr>
            <w:tcW w:w="957"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083"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013"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925"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5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08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301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1925"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5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08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301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1925"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5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08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301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1925"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95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08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3013"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c>
          <w:tcPr>
            <w:tcW w:w="1925"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000000" w:themeColor="text1"/>
                <w:kern w:val="0"/>
                <w:sz w:val="24"/>
                <w14:textFill>
                  <w14:solidFill>
                    <w14:schemeClr w14:val="tx1"/>
                  </w14:solidFill>
                </w14:textFill>
              </w:rPr>
            </w:pPr>
          </w:p>
        </w:tc>
      </w:tr>
    </w:tbl>
    <w:p>
      <w:pPr>
        <w:snapToGrid w:val="0"/>
        <w:ind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napToGrid w:val="0"/>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pPr>
        <w:snapToGrid w:val="0"/>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pPr>
        <w:widowControl w:val="0"/>
        <w:ind w:firstLine="482"/>
        <w:contextualSpacing/>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3.供应商不存在直接管理关系的，则在“直接管理关系单位名称”填“无”。</w:t>
      </w:r>
    </w:p>
    <w:p>
      <w:pPr>
        <w:snapToGrid w:val="0"/>
        <w:ind w:firstLine="480"/>
        <w:rPr>
          <w:rFonts w:ascii="宋体" w:hAnsi="宋体"/>
          <w:color w:val="000000" w:themeColor="text1"/>
          <w:sz w:val="24"/>
          <w14:textFill>
            <w14:solidFill>
              <w14:schemeClr w14:val="tx1"/>
            </w14:solidFill>
          </w14:textFill>
        </w:rPr>
      </w:pPr>
    </w:p>
    <w:p>
      <w:pPr>
        <w:snapToGrid w:val="0"/>
        <w:ind w:firstLine="480"/>
        <w:rPr>
          <w:rFonts w:ascii="宋体" w:hAnsi="宋体"/>
          <w:color w:val="000000" w:themeColor="text1"/>
          <w:sz w:val="24"/>
          <w14:textFill>
            <w14:solidFill>
              <w14:schemeClr w14:val="tx1"/>
            </w14:solidFill>
          </w14:textFill>
        </w:rPr>
      </w:pPr>
    </w:p>
    <w:p>
      <w:pPr>
        <w:snapToGrid w:val="0"/>
        <w:ind w:firstLine="480"/>
        <w:rPr>
          <w:rFonts w:ascii="宋体" w:hAnsi="宋体"/>
          <w:color w:val="000000" w:themeColor="text1"/>
          <w:sz w:val="24"/>
          <w14:textFill>
            <w14:solidFill>
              <w14:schemeClr w14:val="tx1"/>
            </w14:solidFill>
          </w14:textFill>
        </w:rPr>
      </w:pPr>
    </w:p>
    <w:p>
      <w:pPr>
        <w:spacing w:line="600" w:lineRule="auto"/>
        <w:ind w:firstLine="0" w:firstLineChars="0"/>
        <w:rPr>
          <w:rFonts w:ascii="宋体" w:hAnsi="宋体"/>
          <w:color w:val="000000" w:themeColor="text1"/>
          <w:spacing w:val="20"/>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法定代表人或者委托代理人</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签字或者盖章或者电子签名</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spacing w:line="600" w:lineRule="auto"/>
        <w:ind w:firstLine="0" w:firstLineChars="0"/>
        <w:rPr>
          <w:rFonts w:ascii="宋体" w:hAnsi="宋体"/>
          <w:color w:val="000000" w:themeColor="text1"/>
          <w:sz w:val="24"/>
          <w:szCs w:val="22"/>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电子签章）</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年</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月</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日</w:t>
      </w:r>
    </w:p>
    <w:p>
      <w:pPr>
        <w:snapToGrid w:val="0"/>
        <w:spacing w:before="50" w:after="120" w:afterLines="50"/>
        <w:ind w:firstLine="420"/>
        <w:rPr>
          <w:rFonts w:ascii="宋体" w:hAnsi="宋体"/>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77" w:name="_Toc20170"/>
      <w:r>
        <w:rPr>
          <w:color w:val="000000" w:themeColor="text1"/>
          <w14:textFill>
            <w14:solidFill>
              <w14:schemeClr w14:val="tx1"/>
            </w14:solidFill>
          </w14:textFill>
        </w:rPr>
        <w:t>4.</w:t>
      </w:r>
      <w:r>
        <w:rPr>
          <w:rFonts w:hint="eastAsia"/>
          <w:color w:val="000000" w:themeColor="text1"/>
          <w14:textFill>
            <w14:solidFill>
              <w14:schemeClr w14:val="tx1"/>
            </w14:solidFill>
          </w14:textFill>
        </w:rPr>
        <w:t>竞标声明</w:t>
      </w:r>
      <w:bookmarkEnd w:id="77"/>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竞标声明</w:t>
      </w:r>
    </w:p>
    <w:p>
      <w:pPr>
        <w:ind w:firstLine="0" w:firstLineChars="0"/>
        <w:rPr>
          <w:b/>
          <w:bCs/>
          <w:color w:val="000000" w:themeColor="text1"/>
          <w:sz w:val="24"/>
          <w:szCs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致：</w:t>
      </w:r>
      <w:r>
        <w:rPr>
          <w:rFonts w:hint="eastAsia"/>
          <w:b/>
          <w:bCs/>
          <w:color w:val="000000" w:themeColor="text1"/>
          <w:sz w:val="24"/>
          <w:szCs w:val="24"/>
          <w:u w:val="single"/>
          <w14:textFill>
            <w14:solidFill>
              <w14:schemeClr w14:val="tx1"/>
            </w14:solidFill>
          </w14:textFill>
        </w:rPr>
        <w:t>（采购人名称）：</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系中华人民共和国合法供应商，经营地址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我方愿意参加贵方组织的</w:t>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项目的竞标，为便于贵方公正、择优地确定成交供应商及其竞标产品和服务，我方就本次竞标有关事项郑重声明如下：</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1.我方向贵方提交的所有响应文件、资料都是准确的和真实的。</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2.我方不是为本次采购项目提供整体设计、规范编制或者项目管理、监理、检测等服务的供应商。</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3.在此，我方宣布同意如下：</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（1）将按磋商文件的约定履行合同责任和义务；</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（2）已详细审查全部磋商文件，包括澄清或者更正公告（如有）；</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（3）同意提供按照贵方可能要求的与磋商有关的一切数据或者资料；</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（4）响应磋商文件规定的竞标有效期。</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4.我方承诺符合《中华人民共和国政府采购法》第二十二条规定：</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000000" w:themeColor="text1"/>
          <w:sz w:val="24"/>
          <w:szCs w:val="24"/>
          <w14:textFill>
            <w14:solidFill>
              <w14:schemeClr w14:val="tx1"/>
            </w14:solidFill>
          </w14:textFill>
        </w:rPr>
        <w:t>两项内容中必须选择一项</w:t>
      </w:r>
      <w:r>
        <w:rPr>
          <w:rFonts w:hint="eastAsia" w:ascii="宋体" w:hAnsi="宋体" w:cs="宋体"/>
          <w:color w:val="000000" w:themeColor="text1"/>
          <w:sz w:val="24"/>
          <w:szCs w:val="24"/>
          <w14:textFill>
            <w14:solidFill>
              <w14:schemeClr w14:val="tx1"/>
            </w14:solidFill>
          </w14:textFill>
        </w:rPr>
        <w:t>）</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□我方本次响应文件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000000" w:themeColor="text1"/>
          <w:sz w:val="24"/>
          <w:szCs w:val="24"/>
          <w14:textFill>
            <w14:solidFill>
              <w14:schemeClr w14:val="tx1"/>
            </w14:solidFill>
          </w14:textFill>
        </w:rPr>
        <w:t>未</w:t>
      </w:r>
      <w:r>
        <w:rPr>
          <w:rFonts w:hint="eastAsia" w:ascii="宋体" w:hAnsi="宋体" w:cs="宋体"/>
          <w:color w:val="000000" w:themeColor="text1"/>
          <w:kern w:val="0"/>
          <w:sz w:val="24"/>
          <w:szCs w:val="24"/>
          <w14:textFill>
            <w14:solidFill>
              <w14:schemeClr w14:val="tx1"/>
            </w14:solidFill>
          </w14:textFill>
        </w:rPr>
        <w:t>涉及商业秘密；</w:t>
      </w:r>
    </w:p>
    <w:p>
      <w:pPr>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□我方本次响应文件</w:t>
      </w:r>
      <w:r>
        <w:rPr>
          <w:rFonts w:hint="eastAsia" w:ascii="宋体" w:hAnsi="宋体" w:cs="宋体"/>
          <w:color w:val="000000" w:themeColor="text1"/>
          <w:kern w:val="0"/>
          <w:sz w:val="24"/>
          <w:szCs w:val="24"/>
          <w14:textFill>
            <w14:solidFill>
              <w14:schemeClr w14:val="tx1"/>
            </w14:solidFill>
          </w14:textFill>
        </w:rPr>
        <w:t>涉及商业秘密的内容有：</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w:t>
      </w:r>
    </w:p>
    <w:p>
      <w:pPr>
        <w:pStyle w:val="17"/>
        <w:spacing w:line="360" w:lineRule="auto"/>
        <w:ind w:firstLine="480"/>
        <w:contextualSpacing/>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w:t>
      </w:r>
    </w:p>
    <w:p>
      <w:pPr>
        <w:pStyle w:val="17"/>
        <w:spacing w:line="360" w:lineRule="auto"/>
        <w:ind w:firstLine="480"/>
        <w:contextualSpacing/>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邮政编号：</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p>
    <w:p>
      <w:pPr>
        <w:pStyle w:val="17"/>
        <w:spacing w:line="360" w:lineRule="auto"/>
        <w:ind w:firstLine="480"/>
        <w:contextualSpacing/>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电子邮箱：</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 xml:space="preserve"> </w:t>
      </w:r>
    </w:p>
    <w:p>
      <w:pPr>
        <w:pStyle w:val="15"/>
        <w:tabs>
          <w:tab w:val="left" w:pos="939"/>
        </w:tabs>
        <w:spacing w:line="360" w:lineRule="auto"/>
        <w:ind w:left="0" w:leftChars="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帐号：</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pStyle w:val="15"/>
        <w:tabs>
          <w:tab w:val="left" w:pos="939"/>
        </w:tabs>
        <w:spacing w:line="360" w:lineRule="auto"/>
        <w:ind w:left="0" w:leftChars="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pPr>
        <w:pStyle w:val="15"/>
        <w:tabs>
          <w:tab w:val="left" w:pos="939"/>
        </w:tabs>
        <w:spacing w:line="360" w:lineRule="auto"/>
        <w:ind w:left="0" w:leftChars="0"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pStyle w:val="15"/>
        <w:tabs>
          <w:tab w:val="left" w:pos="939"/>
        </w:tabs>
        <w:spacing w:line="360" w:lineRule="auto"/>
        <w:ind w:left="0" w:leftChars="0" w:firstLine="360" w:firstLineChars="150"/>
        <w:jc w:val="left"/>
        <w:rPr>
          <w:rFonts w:ascii="宋体" w:hAnsi="宋体" w:cs="宋体"/>
          <w:color w:val="000000" w:themeColor="text1"/>
          <w:sz w:val="24"/>
          <w14:textFill>
            <w14:solidFill>
              <w14:schemeClr w14:val="tx1"/>
            </w14:solidFill>
          </w14:textFill>
        </w:rPr>
      </w:pPr>
    </w:p>
    <w:p>
      <w:pPr>
        <w:widowControl w:val="0"/>
        <w:ind w:firstLine="0" w:firstLineChars="0"/>
        <w:contextualSpacing/>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Times New Roman"/>
          <w:b/>
          <w:color w:val="000000" w:themeColor="text1"/>
          <w:sz w:val="24"/>
          <w:szCs w:val="24"/>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pStyle w:val="15"/>
        <w:tabs>
          <w:tab w:val="left" w:pos="939"/>
        </w:tabs>
        <w:spacing w:line="360" w:lineRule="auto"/>
        <w:ind w:left="0" w:leftChars="0" w:firstLine="360" w:firstLineChars="150"/>
        <w:jc w:val="left"/>
        <w:rPr>
          <w:rFonts w:ascii="宋体" w:hAnsi="宋体" w:cs="宋体"/>
          <w:color w:val="000000" w:themeColor="text1"/>
          <w:sz w:val="24"/>
          <w14:textFill>
            <w14:solidFill>
              <w14:schemeClr w14:val="tx1"/>
            </w14:solidFill>
          </w14:textFill>
        </w:rPr>
      </w:pPr>
    </w:p>
    <w:p>
      <w:pPr>
        <w:spacing w:line="600" w:lineRule="auto"/>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w:t>
      </w:r>
      <w:r>
        <w:rPr>
          <w:rFonts w:hint="eastAsia"/>
          <w:b/>
          <w:bCs/>
          <w:color w:val="000000" w:themeColor="text1"/>
          <w:sz w:val="24"/>
          <w:szCs w:val="24"/>
          <w14:textFill>
            <w14:solidFill>
              <w14:schemeClr w14:val="tx1"/>
            </w14:solidFill>
          </w14:textFill>
        </w:rPr>
        <w:t>签字或者盖章或者电子签名</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p>
    <w:p>
      <w:pPr>
        <w:spacing w:line="600" w:lineRule="auto"/>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供应商（</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p>
      <w:pPr>
        <w:wordWrap w:val="0"/>
        <w:spacing w:line="600" w:lineRule="auto"/>
        <w:ind w:firstLine="0" w:firstLineChars="0"/>
        <w:jc w:val="right"/>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日 </w:t>
      </w:r>
      <w:r>
        <w:rPr>
          <w:color w:val="000000" w:themeColor="text1"/>
          <w:sz w:val="24"/>
          <w:szCs w:val="24"/>
          <w14:textFill>
            <w14:solidFill>
              <w14:schemeClr w14:val="tx1"/>
            </w14:solidFill>
          </w14:textFill>
        </w:rPr>
        <w:t xml:space="preserve">   </w:t>
      </w:r>
    </w:p>
    <w:p>
      <w:pPr>
        <w:ind w:firstLine="420"/>
        <w:rPr>
          <w:color w:val="000000" w:themeColor="text1"/>
          <w14:textFill>
            <w14:solidFill>
              <w14:schemeClr w14:val="tx1"/>
            </w14:solidFill>
          </w14:textFill>
        </w:rPr>
      </w:pPr>
    </w:p>
    <w:p>
      <w:pPr>
        <w:ind w:firstLine="562"/>
        <w:rPr>
          <w:rFonts w:ascii="宋体" w:eastAsia="宋体" w:hAnsiTheme="minorEastAsia"/>
          <w:b/>
          <w:bCs/>
          <w:color w:val="000000" w:themeColor="text1"/>
          <w:sz w:val="28"/>
          <w:szCs w:val="44"/>
          <w14:textFill>
            <w14:solidFill>
              <w14:schemeClr w14:val="tx1"/>
            </w14:solidFill>
          </w14:textFill>
        </w:rPr>
      </w:pPr>
    </w:p>
    <w:p>
      <w:pPr>
        <w:spacing w:before="260" w:after="260" w:line="415" w:lineRule="auto"/>
        <w:ind w:firstLine="0" w:firstLineChars="0"/>
        <w:jc w:val="center"/>
        <w:rPr>
          <w:rFonts w:ascii="宋体" w:eastAsia="宋体" w:hAnsiTheme="minorEastAsia"/>
          <w:b/>
          <w:bCs/>
          <w:color w:val="000000" w:themeColor="text1"/>
          <w:sz w:val="28"/>
          <w:szCs w:val="44"/>
          <w14:textFill>
            <w14:solidFill>
              <w14:schemeClr w14:val="tx1"/>
            </w14:solidFill>
          </w14:textFill>
        </w:rPr>
      </w:pPr>
      <w:r>
        <w:rPr>
          <w:color w:val="000000" w:themeColor="text1"/>
          <w14:textFill>
            <w14:solidFill>
              <w14:schemeClr w14:val="tx1"/>
            </w14:solidFill>
          </w14:textFill>
        </w:rPr>
        <w:br w:type="page"/>
      </w:r>
    </w:p>
    <w:p>
      <w:pPr>
        <w:pStyle w:val="68"/>
        <w:rPr>
          <w:color w:val="000000" w:themeColor="text1"/>
          <w14:textFill>
            <w14:solidFill>
              <w14:schemeClr w14:val="tx1"/>
            </w14:solidFill>
          </w14:textFill>
        </w:rPr>
      </w:pPr>
      <w:bookmarkStart w:id="78" w:name="_Toc76"/>
      <w:r>
        <w:rPr>
          <w:rFonts w:hint="eastAsia"/>
          <w:color w:val="000000" w:themeColor="text1"/>
          <w14:textFill>
            <w14:solidFill>
              <w14:schemeClr w14:val="tx1"/>
            </w14:solidFill>
          </w14:textFill>
        </w:rPr>
        <w:t>二、报价文件格式</w:t>
      </w:r>
      <w:bookmarkEnd w:id="78"/>
    </w:p>
    <w:p>
      <w:pPr>
        <w:pStyle w:val="55"/>
        <w:rPr>
          <w:color w:val="000000" w:themeColor="text1"/>
          <w14:textFill>
            <w14:solidFill>
              <w14:schemeClr w14:val="tx1"/>
            </w14:solidFill>
          </w14:textFill>
        </w:rPr>
      </w:pPr>
      <w:bookmarkStart w:id="79" w:name="_Toc28049"/>
      <w:r>
        <w:rPr>
          <w:rFonts w:hint="eastAsia"/>
          <w:color w:val="000000" w:themeColor="text1"/>
          <w14:textFill>
            <w14:solidFill>
              <w14:schemeClr w14:val="tx1"/>
            </w14:solidFill>
          </w14:textFill>
        </w:rPr>
        <w:t>1.报价文件封面格式</w:t>
      </w:r>
      <w:bookmarkEnd w:id="79"/>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0" w:firstLineChars="0"/>
        <w:jc w:val="center"/>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b/>
          <w:bCs/>
          <w:color w:val="000000" w:themeColor="text1"/>
          <w:sz w:val="44"/>
          <w:szCs w:val="44"/>
          <w14:textFill>
            <w14:solidFill>
              <w14:schemeClr w14:val="tx1"/>
            </w14:solidFill>
          </w14:textFill>
        </w:rPr>
        <w:t>报价文件</w:t>
      </w:r>
    </w:p>
    <w:p>
      <w:pPr>
        <w:ind w:firstLine="480"/>
        <w:rPr>
          <w:rFonts w:ascii="宋体" w:hAnsi="Calibri" w:eastAsia="宋体" w:cs="Times New Roman"/>
          <w:color w:val="000000" w:themeColor="text1"/>
          <w:sz w:val="24"/>
          <w:szCs w:val="24"/>
          <w14:textFill>
            <w14:solidFill>
              <w14:schemeClr w14:val="tx1"/>
            </w14:solidFill>
          </w14:textFill>
        </w:rPr>
      </w:pPr>
    </w:p>
    <w:p>
      <w:pPr>
        <w:ind w:firstLine="480"/>
        <w:rPr>
          <w:rFonts w:ascii="宋体" w:hAnsi="Calibri" w:eastAsia="宋体" w:cs="Times New Roman"/>
          <w:color w:val="000000" w:themeColor="text1"/>
          <w:sz w:val="24"/>
          <w:szCs w:val="24"/>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项目编号：</w:t>
      </w:r>
    </w:p>
    <w:p>
      <w:pPr>
        <w:ind w:firstLine="0" w:firstLineChars="0"/>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供应商名称：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640"/>
        <w:jc w:val="center"/>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年    月    日</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80" w:name="_Toc29907"/>
      <w:r>
        <w:rPr>
          <w:color w:val="000000" w:themeColor="text1"/>
          <w14:textFill>
            <w14:solidFill>
              <w14:schemeClr w14:val="tx1"/>
            </w14:solidFill>
          </w14:textFill>
        </w:rPr>
        <w:t>2.</w:t>
      </w:r>
      <w:r>
        <w:rPr>
          <w:rFonts w:hint="eastAsia"/>
          <w:color w:val="000000" w:themeColor="text1"/>
          <w14:textFill>
            <w14:solidFill>
              <w14:schemeClr w14:val="tx1"/>
            </w14:solidFill>
          </w14:textFill>
        </w:rPr>
        <w:t>报价文件目录</w:t>
      </w:r>
      <w:bookmarkEnd w:id="80"/>
    </w:p>
    <w:p>
      <w:pPr>
        <w:widowControl w:val="0"/>
        <w:snapToGrid w:val="0"/>
        <w:spacing w:before="120" w:beforeLines="50" w:after="50"/>
        <w:ind w:firstLine="645" w:firstLineChars="0"/>
        <w:jc w:val="both"/>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根据磋商文件规定及供应商提供的材料自行编写目录（部分格式后附）。</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81" w:name="_Toc13449"/>
      <w:r>
        <w:rPr>
          <w:color w:val="000000" w:themeColor="text1"/>
          <w14:textFill>
            <w14:solidFill>
              <w14:schemeClr w14:val="tx1"/>
            </w14:solidFill>
          </w14:textFill>
        </w:rPr>
        <w:t>3</w:t>
      </w:r>
      <w:r>
        <w:rPr>
          <w:rFonts w:hint="eastAsia"/>
          <w:color w:val="000000" w:themeColor="text1"/>
          <w14:textFill>
            <w14:solidFill>
              <w14:schemeClr w14:val="tx1"/>
            </w14:solidFill>
          </w14:textFill>
        </w:rPr>
        <w:t>.竞标报价表</w:t>
      </w:r>
      <w:bookmarkEnd w:id="81"/>
    </w:p>
    <w:p>
      <w:pPr>
        <w:snapToGrid w:val="0"/>
        <w:spacing w:before="50" w:after="50"/>
        <w:ind w:firstLine="0" w:firstLineChars="0"/>
        <w:jc w:val="center"/>
        <w:rPr>
          <w:rFonts w:ascii="宋体" w:hAnsi="宋体" w:eastAsia="宋体" w:cs="方正小标宋简体"/>
          <w:b/>
          <w:color w:val="000000" w:themeColor="text1"/>
          <w:sz w:val="32"/>
          <w:szCs w:val="32"/>
          <w14:textFill>
            <w14:solidFill>
              <w14:schemeClr w14:val="tx1"/>
            </w14:solidFill>
          </w14:textFill>
        </w:rPr>
      </w:pPr>
      <w:r>
        <w:rPr>
          <w:rFonts w:hint="eastAsia" w:ascii="宋体" w:hAnsi="宋体" w:eastAsia="宋体" w:cs="方正小标宋简体"/>
          <w:b/>
          <w:color w:val="000000" w:themeColor="text1"/>
          <w:sz w:val="32"/>
          <w:szCs w:val="32"/>
          <w14:textFill>
            <w14:solidFill>
              <w14:schemeClr w14:val="tx1"/>
            </w14:solidFill>
          </w14:textFill>
        </w:rPr>
        <w:t>竞标报价表</w:t>
      </w:r>
    </w:p>
    <w:p>
      <w:pPr>
        <w:ind w:firstLine="0" w:firstLineChars="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单位：元</w:t>
      </w:r>
    </w:p>
    <w:p>
      <w:pPr>
        <w:spacing w:line="500" w:lineRule="exact"/>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500" w:lineRule="exact"/>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w:t>
      </w:r>
    </w:p>
    <w:p>
      <w:pPr>
        <w:spacing w:line="500" w:lineRule="exact"/>
        <w:rPr>
          <w:rFonts w:hint="eastAsia" w:ascii="宋体" w:hAnsi="宋体"/>
          <w:sz w:val="24"/>
          <w:szCs w:val="24"/>
        </w:rPr>
      </w:pP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10"/>
        <w:gridCol w:w="954"/>
        <w:gridCol w:w="1050"/>
        <w:gridCol w:w="272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r>
              <w:rPr>
                <w:rFonts w:hint="eastAsia" w:ascii="宋体" w:hAnsi="宋体"/>
                <w:sz w:val="24"/>
                <w:szCs w:val="24"/>
              </w:rPr>
              <w:t>序号</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Theme="minorEastAsia"/>
                <w:sz w:val="24"/>
                <w:szCs w:val="24"/>
                <w:lang w:eastAsia="zh-CN"/>
              </w:rPr>
            </w:pPr>
            <w:r>
              <w:rPr>
                <w:rFonts w:hint="eastAsia" w:ascii="宋体" w:hAnsi="宋体"/>
                <w:sz w:val="24"/>
                <w:szCs w:val="24"/>
              </w:rPr>
              <w:t>服务</w:t>
            </w:r>
            <w:r>
              <w:rPr>
                <w:rFonts w:hint="eastAsia" w:ascii="宋体" w:hAnsi="宋体"/>
                <w:sz w:val="24"/>
                <w:szCs w:val="24"/>
                <w:lang w:val="en-US" w:eastAsia="zh-CN"/>
              </w:rPr>
              <w:t>名称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r>
              <w:rPr>
                <w:rFonts w:hint="eastAsia" w:ascii="宋体" w:hAnsi="宋体"/>
                <w:sz w:val="24"/>
                <w:szCs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r>
              <w:rPr>
                <w:rFonts w:hint="eastAsia" w:ascii="宋体" w:hAnsi="宋体"/>
                <w:sz w:val="24"/>
                <w:szCs w:val="24"/>
              </w:rPr>
              <w:t>单位</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r>
              <w:rPr>
                <w:rFonts w:hint="eastAsia" w:ascii="宋体" w:hAnsi="宋体"/>
                <w:sz w:val="24"/>
                <w:szCs w:val="24"/>
              </w:rPr>
              <w:t>金  额（元）</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Theme="minorEastAsia"/>
                <w:sz w:val="24"/>
                <w:szCs w:val="24"/>
                <w:lang w:eastAsia="zh-CN"/>
              </w:rPr>
            </w:pPr>
            <w:r>
              <w:rPr>
                <w:rFonts w:hint="eastAsia" w:ascii="宋体" w:hAnsi="宋体"/>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r>
              <w:rPr>
                <w:rFonts w:hint="eastAsia" w:ascii="宋体" w:hAnsi="宋体"/>
                <w:sz w:val="24"/>
                <w:szCs w:val="24"/>
              </w:rPr>
              <w:t>1</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p>
        </w:tc>
        <w:tc>
          <w:tcPr>
            <w:tcW w:w="2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Theme="minorEastAsia"/>
                <w:sz w:val="24"/>
                <w:szCs w:val="24"/>
                <w:lang w:val="en-US" w:eastAsia="zh-CN"/>
              </w:rPr>
            </w:pPr>
            <w:r>
              <w:rPr>
                <w:rFonts w:hint="eastAsia" w:ascii="宋体" w:hAnsi="宋体" w:cs="宋体"/>
                <w:color w:val="000000"/>
                <w:sz w:val="24"/>
                <w:szCs w:val="24"/>
              </w:rPr>
              <w:t>人民币合计金额（大写）：</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元整（¥</w:t>
            </w:r>
            <w:r>
              <w:rPr>
                <w:rFonts w:ascii="宋体" w:hAnsi="宋体" w:cs="宋体"/>
                <w:color w:val="000000"/>
                <w:sz w:val="24"/>
                <w:szCs w:val="24"/>
                <w:u w:val="single"/>
              </w:rPr>
              <w:t xml:space="preserve">           </w:t>
            </w:r>
            <w:r>
              <w:rPr>
                <w:rFonts w:hint="eastAsia" w:ascii="宋体"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宋体" w:hAnsi="宋体" w:cs="仿宋_GB2312" w:eastAsiaTheme="minorEastAsia"/>
                <w:color w:val="000000" w:themeColor="text1"/>
                <w:sz w:val="24"/>
                <w:lang w:val="en-US" w:eastAsia="zh-CN"/>
                <w14:textFill>
                  <w14:solidFill>
                    <w14:schemeClr w14:val="tx1"/>
                  </w14:solidFill>
                </w14:textFill>
              </w:rPr>
            </w:pPr>
            <w:r>
              <w:rPr>
                <w:rFonts w:hint="eastAsia" w:ascii="宋体" w:hAnsi="宋体" w:cs="仿宋_GB2312" w:eastAsiaTheme="minorEastAsia"/>
                <w:color w:val="000000" w:themeColor="text1"/>
                <w:sz w:val="24"/>
                <w:lang w:val="en-US" w:eastAsia="zh-CN"/>
                <w14:textFill>
                  <w14:solidFill>
                    <w14:schemeClr w14:val="tx1"/>
                  </w14:solidFill>
                </w14:textFill>
              </w:rPr>
              <w:t>交付使用期</w:t>
            </w:r>
            <w:r>
              <w:rPr>
                <w:rFonts w:hint="eastAsia" w:ascii="宋体" w:hAnsi="宋体" w:cs="仿宋_GB2312"/>
                <w:color w:val="000000" w:themeColor="text1"/>
                <w:sz w:val="24"/>
                <w:lang w:val="en-US" w:eastAsia="zh-CN"/>
                <w14:textFill>
                  <w14:solidFill>
                    <w14:schemeClr w14:val="tx1"/>
                  </w14:solidFill>
                </w14:textFill>
              </w:rPr>
              <w:t>：</w:t>
            </w:r>
          </w:p>
        </w:tc>
      </w:tr>
    </w:tbl>
    <w:p>
      <w:pPr>
        <w:ind w:firstLine="0" w:firstLineChars="0"/>
        <w:rPr>
          <w:rFonts w:hint="eastAsia"/>
          <w:color w:val="000000" w:themeColor="text1"/>
          <w:sz w:val="24"/>
          <w:szCs w:val="24"/>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注: </w:t>
      </w:r>
    </w:p>
    <w:p>
      <w:pPr>
        <w:snapToGrid w:val="0"/>
        <w:ind w:firstLine="480"/>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.供应商的报价表必须加盖供应商电子签章并由法定代表人或者委托代理人签字或者盖章或者电子签名，</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pPr>
        <w:snapToGrid w:val="0"/>
        <w:ind w:firstLine="480"/>
        <w:rPr>
          <w:rFonts w:ascii="宋体" w:hAnsi="宋体" w:cs="仿宋_GB2312"/>
          <w:b/>
          <w:color w:val="000000" w:themeColor="text1"/>
          <w:sz w:val="24"/>
          <w14:textFill>
            <w14:solidFill>
              <w14:schemeClr w14:val="tx1"/>
            </w14:solidFill>
          </w14:textFill>
        </w:rPr>
      </w:pPr>
      <w:r>
        <w:rPr>
          <w:rFonts w:ascii="宋体" w:hAnsi="宋体" w:cs="仿宋_GB2312"/>
          <w:bCs/>
          <w:color w:val="000000" w:themeColor="text1"/>
          <w:sz w:val="24"/>
          <w14:textFill>
            <w14:solidFill>
              <w14:schemeClr w14:val="tx1"/>
            </w14:solidFill>
          </w14:textFill>
        </w:rPr>
        <w:t>2</w:t>
      </w:r>
      <w:r>
        <w:rPr>
          <w:rFonts w:hint="eastAsia" w:ascii="宋体" w:hAnsi="宋体" w:cs="仿宋_GB2312"/>
          <w:bCs/>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报价一经涂改，应在涂改处加盖供应商公章或者加盖电子签章或者由法定代表人或者授权委托人签字（或者电子签名），</w:t>
      </w:r>
      <w:r>
        <w:rPr>
          <w:rFonts w:hint="eastAsia" w:ascii="宋体" w:hAnsi="宋体" w:cs="仿宋_GB2312"/>
          <w:b/>
          <w:bCs/>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pPr>
        <w:snapToGrid w:val="0"/>
        <w:ind w:firstLine="480"/>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.如为联合体竞标，</w:t>
      </w:r>
      <w:r>
        <w:rPr>
          <w:rFonts w:hint="eastAsia" w:ascii="宋体" w:hAnsi="宋体"/>
          <w:color w:val="000000" w:themeColor="text1"/>
          <w:spacing w:val="-6"/>
          <w:sz w:val="24"/>
          <w14:textFill>
            <w14:solidFill>
              <w14:schemeClr w14:val="tx1"/>
            </w14:solidFill>
          </w14:textFill>
        </w:rPr>
        <w:t>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pPr>
        <w:spacing w:line="600" w:lineRule="auto"/>
        <w:ind w:firstLine="0" w:firstLineChars="0"/>
        <w:rPr>
          <w:rFonts w:hint="eastAsia" w:ascii="宋体" w:hAnsi="宋体"/>
          <w:color w:val="000000" w:themeColor="text1"/>
          <w:sz w:val="24"/>
          <w:szCs w:val="24"/>
          <w14:textFill>
            <w14:solidFill>
              <w14:schemeClr w14:val="tx1"/>
            </w14:solidFill>
          </w14:textFill>
        </w:rPr>
      </w:pPr>
      <w:bookmarkStart w:id="82" w:name="_Toc19686837"/>
    </w:p>
    <w:p>
      <w:pPr>
        <w:spacing w:line="600" w:lineRule="auto"/>
        <w:ind w:firstLine="0" w:firstLineChars="0"/>
        <w:rPr>
          <w:rFonts w:ascii="宋体" w:hAnsi="宋体"/>
          <w:color w:val="000000" w:themeColor="text1"/>
          <w:spacing w:val="20"/>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法定代表人或者委托代理人</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签字或者盖章或者电子签名</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spacing w:line="600" w:lineRule="auto"/>
        <w:ind w:firstLine="0" w:firstLineChars="0"/>
        <w:rPr>
          <w:rFonts w:ascii="宋体" w:hAnsi="宋体"/>
          <w:color w:val="000000" w:themeColor="text1"/>
          <w:sz w:val="24"/>
          <w:szCs w:val="22"/>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电子签章）</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年</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月</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日</w:t>
      </w:r>
    </w:p>
    <w:p>
      <w:pPr>
        <w:spacing w:before="260" w:after="260" w:line="415" w:lineRule="auto"/>
        <w:ind w:firstLine="0" w:firstLineChars="0"/>
        <w:jc w:val="center"/>
        <w:rPr>
          <w:rFonts w:ascii="宋体" w:hAnsi="宋体" w:eastAsia="宋体"/>
          <w:b/>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bookmarkEnd w:id="82"/>
    </w:p>
    <w:p>
      <w:pPr>
        <w:pStyle w:val="68"/>
        <w:keepNext/>
        <w:keepLines/>
        <w:pageBreakBefore w:val="0"/>
        <w:widowControl/>
        <w:kinsoku/>
        <w:wordWrap/>
        <w:overflowPunct/>
        <w:topLinePunct w:val="0"/>
        <w:autoSpaceDE/>
        <w:autoSpaceDN/>
        <w:bidi w:val="0"/>
        <w:adjustRightInd/>
        <w:snapToGrid/>
        <w:textAlignment w:val="auto"/>
        <w:outlineLvl w:val="9"/>
        <w:rPr>
          <w:rFonts w:hint="eastAsia"/>
          <w:color w:val="000000" w:themeColor="text1"/>
          <w14:textFill>
            <w14:solidFill>
              <w14:schemeClr w14:val="tx1"/>
            </w14:solidFill>
          </w14:textFill>
        </w:rPr>
      </w:pPr>
      <w:bookmarkStart w:id="83" w:name="_Toc27872"/>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三、商务技术文件格式</w:t>
      </w:r>
      <w:bookmarkEnd w:id="83"/>
    </w:p>
    <w:p>
      <w:pPr>
        <w:pStyle w:val="55"/>
        <w:rPr>
          <w:color w:val="000000" w:themeColor="text1"/>
          <w14:textFill>
            <w14:solidFill>
              <w14:schemeClr w14:val="tx1"/>
            </w14:solidFill>
          </w14:textFill>
        </w:rPr>
      </w:pPr>
      <w:bookmarkStart w:id="84" w:name="_Toc13732"/>
      <w:r>
        <w:rPr>
          <w:rFonts w:hint="eastAsia"/>
          <w:color w:val="000000" w:themeColor="text1"/>
          <w14:textFill>
            <w14:solidFill>
              <w14:schemeClr w14:val="tx1"/>
            </w14:solidFill>
          </w14:textFill>
        </w:rPr>
        <w:t>1.商务技术文件封面格式</w:t>
      </w:r>
      <w:bookmarkEnd w:id="84"/>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199" w:firstLineChars="83"/>
        <w:rPr>
          <w:rFonts w:ascii="宋体" w:hAnsi="Calibri" w:eastAsia="宋体" w:cs="Times New Roman"/>
          <w:color w:val="000000" w:themeColor="text1"/>
          <w:sz w:val="24"/>
          <w:szCs w:val="24"/>
          <w14:textFill>
            <w14:solidFill>
              <w14:schemeClr w14:val="tx1"/>
            </w14:solidFill>
          </w14:textFill>
        </w:rPr>
      </w:pPr>
    </w:p>
    <w:p>
      <w:pPr>
        <w:ind w:firstLine="0" w:firstLineChars="0"/>
        <w:jc w:val="center"/>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b/>
          <w:bCs/>
          <w:color w:val="000000" w:themeColor="text1"/>
          <w:sz w:val="44"/>
          <w:szCs w:val="44"/>
          <w14:textFill>
            <w14:solidFill>
              <w14:schemeClr w14:val="tx1"/>
            </w14:solidFill>
          </w14:textFill>
        </w:rPr>
        <w:t>商务技术文件</w:t>
      </w:r>
    </w:p>
    <w:p>
      <w:pPr>
        <w:ind w:firstLine="480"/>
        <w:rPr>
          <w:rFonts w:ascii="宋体" w:hAnsi="Calibri" w:eastAsia="宋体" w:cs="Times New Roman"/>
          <w:color w:val="000000" w:themeColor="text1"/>
          <w:sz w:val="24"/>
          <w:szCs w:val="24"/>
          <w14:textFill>
            <w14:solidFill>
              <w14:schemeClr w14:val="tx1"/>
            </w14:solidFill>
          </w14:textFill>
        </w:rPr>
      </w:pPr>
    </w:p>
    <w:p>
      <w:pPr>
        <w:ind w:firstLine="480"/>
        <w:rPr>
          <w:rFonts w:ascii="宋体" w:hAnsi="Calibri" w:eastAsia="宋体" w:cs="Times New Roman"/>
          <w:color w:val="000000" w:themeColor="text1"/>
          <w:sz w:val="24"/>
          <w:szCs w:val="24"/>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项目编号：</w:t>
      </w:r>
    </w:p>
    <w:p>
      <w:pPr>
        <w:ind w:firstLine="0" w:firstLineChars="0"/>
        <w:rPr>
          <w:rFonts w:ascii="宋体" w:hAnsi="Calibri" w:eastAsia="宋体" w:cs="Times New Roman"/>
          <w:color w:val="000000" w:themeColor="text1"/>
          <w:sz w:val="32"/>
          <w:szCs w:val="32"/>
          <w14:textFill>
            <w14:solidFill>
              <w14:schemeClr w14:val="tx1"/>
            </w14:solidFill>
          </w14:textFill>
        </w:rPr>
      </w:pPr>
    </w:p>
    <w:p>
      <w:pPr>
        <w:ind w:firstLine="1132" w:firstLineChars="354"/>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供应商名称：</w:t>
      </w:r>
    </w:p>
    <w:p>
      <w:pPr>
        <w:ind w:firstLine="1132" w:firstLineChars="354"/>
        <w:rPr>
          <w:rFonts w:ascii="宋体" w:hAnsi="Calibri" w:eastAsia="宋体" w:cs="Times New Roman"/>
          <w:color w:val="000000" w:themeColor="text1"/>
          <w:sz w:val="32"/>
          <w:szCs w:val="32"/>
          <w14:textFill>
            <w14:solidFill>
              <w14:schemeClr w14:val="tx1"/>
            </w14:solidFill>
          </w14:textFill>
        </w:rPr>
      </w:pPr>
    </w:p>
    <w:p>
      <w:pPr>
        <w:ind w:firstLine="640"/>
        <w:jc w:val="center"/>
        <w:rPr>
          <w:rFonts w:ascii="宋体" w:hAnsi="Calibri" w:eastAsia="宋体" w:cs="Times New Roman"/>
          <w:color w:val="000000" w:themeColor="text1"/>
          <w:sz w:val="32"/>
          <w:szCs w:val="32"/>
          <w14:textFill>
            <w14:solidFill>
              <w14:schemeClr w14:val="tx1"/>
            </w14:solidFill>
          </w14:textFill>
        </w:rPr>
      </w:pPr>
      <w:r>
        <w:rPr>
          <w:rFonts w:hint="eastAsia" w:ascii="宋体" w:hAnsi="Calibri" w:eastAsia="宋体" w:cs="Times New Roman"/>
          <w:color w:val="000000" w:themeColor="text1"/>
          <w:sz w:val="32"/>
          <w:szCs w:val="32"/>
          <w14:textFill>
            <w14:solidFill>
              <w14:schemeClr w14:val="tx1"/>
            </w14:solidFill>
          </w14:textFill>
        </w:rPr>
        <w:t>年    月    日</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85" w:name="_Toc15729"/>
      <w:r>
        <w:rPr>
          <w:color w:val="000000" w:themeColor="text1"/>
          <w14:textFill>
            <w14:solidFill>
              <w14:schemeClr w14:val="tx1"/>
            </w14:solidFill>
          </w14:textFill>
        </w:rPr>
        <w:t>2.</w:t>
      </w:r>
      <w:r>
        <w:rPr>
          <w:rFonts w:hint="eastAsia"/>
          <w:color w:val="000000" w:themeColor="text1"/>
          <w14:textFill>
            <w14:solidFill>
              <w14:schemeClr w14:val="tx1"/>
            </w14:solidFill>
          </w14:textFill>
        </w:rPr>
        <w:t>商务技术文件目录</w:t>
      </w:r>
      <w:bookmarkEnd w:id="85"/>
    </w:p>
    <w:p>
      <w:pPr>
        <w:widowControl w:val="0"/>
        <w:snapToGrid w:val="0"/>
        <w:spacing w:before="120" w:beforeLines="50" w:after="50"/>
        <w:ind w:firstLine="645" w:firstLineChars="0"/>
        <w:jc w:val="both"/>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根据磋商文件规定及供应商提供的材料自行编写目录（部分格式后附）。</w:t>
      </w:r>
    </w:p>
    <w:p>
      <w:pPr>
        <w:ind w:firstLine="420"/>
        <w:rPr>
          <w:color w:val="000000" w:themeColor="text1"/>
          <w14:textFill>
            <w14:solidFill>
              <w14:schemeClr w14:val="tx1"/>
            </w14:solidFill>
          </w14:textFill>
        </w:rPr>
      </w:pPr>
    </w:p>
    <w:p>
      <w:pPr>
        <w:spacing w:before="260" w:after="260" w:line="415" w:lineRule="auto"/>
        <w:ind w:firstLine="0" w:firstLineChars="0"/>
        <w:jc w:val="center"/>
        <w:rPr>
          <w:rFonts w:ascii="宋体" w:hAnsi="宋体" w:eastAsia="宋体"/>
          <w:b/>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86" w:name="_Toc6506"/>
      <w:r>
        <w:rPr>
          <w:color w:val="000000" w:themeColor="text1"/>
          <w14:textFill>
            <w14:solidFill>
              <w14:schemeClr w14:val="tx1"/>
            </w14:solidFill>
          </w14:textFill>
        </w:rPr>
        <w:t>3</w:t>
      </w:r>
      <w:r>
        <w:rPr>
          <w:rFonts w:hint="eastAsia"/>
          <w:color w:val="000000" w:themeColor="text1"/>
          <w14:textFill>
            <w14:solidFill>
              <w14:schemeClr w14:val="tx1"/>
            </w14:solidFill>
          </w14:textFill>
        </w:rPr>
        <w:t>.无串通竞标行为的承诺函</w:t>
      </w:r>
      <w:bookmarkEnd w:id="86"/>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无串通竞标行为的承诺函</w:t>
      </w:r>
    </w:p>
    <w:p>
      <w:pPr>
        <w:ind w:firstLine="0" w:firstLineChars="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1.不同供应商的响应文件由同一单位或者个人编制；</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2.不同供应商委托同一单位或者个人办理竞标事宜；</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3.不同供应商的响应文件载明的项目管理员为同一个人；</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5.不同供应商的响应文件相互混装；</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6.不同供应商的磋商保证金从同一单位或者个人账户转出。</w:t>
      </w:r>
    </w:p>
    <w:p>
      <w:pPr>
        <w:ind w:firstLine="0" w:firstLineChars="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1.供应商直接或者间接从采购人或者采购代理机构处获得其他供应商的相关信息并修改其响应文件；</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2.供应商按照采购人或者采购代理机构的授意撤换、修改响应文件；</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4.属于同一集团、协会、商会等组织成员的供应商按照该组织要求协同参加政府采购活动；</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6.供应商之间商定部分供应商放弃参加政府采购活动或者放弃成交；</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pPr>
        <w:ind w:firstLine="482"/>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pPr>
        <w:wordWrap w:val="0"/>
        <w:spacing w:line="600" w:lineRule="auto"/>
        <w:ind w:firstLine="0" w:firstLineChars="0"/>
        <w:jc w:val="right"/>
        <w:rPr>
          <w:rFonts w:ascii="宋体" w:hAnsi="宋体"/>
          <w:color w:val="000000" w:themeColor="text1"/>
          <w:spacing w:val="20"/>
          <w:sz w:val="24"/>
          <w:szCs w:val="24"/>
          <w:u w:val="single"/>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spacing w:line="600" w:lineRule="auto"/>
        <w:ind w:firstLine="0" w:firstLineChars="0"/>
        <w:jc w:val="right"/>
        <w:rPr>
          <w:color w:val="000000" w:themeColor="text1"/>
          <w:sz w:val="24"/>
          <w:szCs w:val="24"/>
          <w:lang w:val="zh-CN"/>
          <w14:textFill>
            <w14:solidFill>
              <w14:schemeClr w14:val="tx1"/>
            </w14:solidFill>
          </w14:textFill>
        </w:rPr>
      </w:pP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 xml:space="preserve">日 </w:t>
      </w:r>
      <w:r>
        <w:rPr>
          <w:color w:val="000000" w:themeColor="text1"/>
          <w:sz w:val="24"/>
          <w:szCs w:val="24"/>
          <w:lang w:val="zh-CN"/>
          <w14:textFill>
            <w14:solidFill>
              <w14:schemeClr w14:val="tx1"/>
            </w14:solidFill>
          </w14:textFill>
        </w:rPr>
        <w:t xml:space="preserve">     </w:t>
      </w:r>
    </w:p>
    <w:p>
      <w:pPr>
        <w:pStyle w:val="55"/>
        <w:keepNext/>
        <w:keepLines/>
        <w:pageBreakBefore w:val="0"/>
        <w:widowControl/>
        <w:kinsoku/>
        <w:wordWrap/>
        <w:overflowPunct/>
        <w:topLinePunct w:val="0"/>
        <w:autoSpaceDE/>
        <w:autoSpaceDN/>
        <w:bidi w:val="0"/>
        <w:adjustRightInd/>
        <w:snapToGrid/>
        <w:textAlignment w:val="auto"/>
        <w:outlineLvl w:val="9"/>
        <w:rPr>
          <w:color w:val="000000" w:themeColor="text1"/>
          <w14:textFill>
            <w14:solidFill>
              <w14:schemeClr w14:val="tx1"/>
            </w14:solidFill>
          </w14:textFill>
        </w:rPr>
      </w:pPr>
    </w:p>
    <w:p>
      <w:pPr>
        <w:rPr>
          <w:color w:val="000000" w:themeColor="text1"/>
          <w14:textFill>
            <w14:solidFill>
              <w14:schemeClr w14:val="tx1"/>
            </w14:solidFill>
          </w14:textFill>
        </w:rPr>
      </w:pPr>
      <w:bookmarkStart w:id="87" w:name="_Toc7759"/>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.法定代表人证明书</w:t>
      </w:r>
      <w:bookmarkEnd w:id="87"/>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法定代表人证明书</w:t>
      </w:r>
    </w:p>
    <w:p>
      <w:pPr>
        <w:ind w:firstLine="0" w:firstLineChars="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供应商名称：</w:t>
      </w:r>
      <w:r>
        <w:rPr>
          <w:rFonts w:hint="eastAsia"/>
          <w:color w:val="000000" w:themeColor="text1"/>
          <w:sz w:val="24"/>
          <w:szCs w:val="24"/>
          <w:u w:val="single"/>
          <w14:textFill>
            <w14:solidFill>
              <w14:schemeClr w14:val="tx1"/>
            </w14:solidFill>
          </w14:textFill>
        </w:rPr>
        <w:t xml:space="preserve">                                                        </w:t>
      </w:r>
    </w:p>
    <w:p>
      <w:pPr>
        <w:ind w:firstLine="0" w:firstLineChars="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地    址：</w:t>
      </w:r>
      <w:r>
        <w:rPr>
          <w:rFonts w:hint="eastAsia"/>
          <w:color w:val="000000" w:themeColor="text1"/>
          <w:sz w:val="24"/>
          <w:szCs w:val="24"/>
          <w:u w:val="single"/>
          <w14:textFill>
            <w14:solidFill>
              <w14:schemeClr w14:val="tx1"/>
            </w14:solidFill>
          </w14:textFill>
        </w:rPr>
        <w:t xml:space="preserve">                                                        </w:t>
      </w:r>
    </w:p>
    <w:p>
      <w:pPr>
        <w:ind w:firstLine="0" w:firstLineChars="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姓    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性      别：</w:t>
      </w:r>
      <w:r>
        <w:rPr>
          <w:rFonts w:hint="eastAsia"/>
          <w:color w:val="000000" w:themeColor="text1"/>
          <w:sz w:val="24"/>
          <w:szCs w:val="24"/>
          <w:u w:val="single"/>
          <w14:textFill>
            <w14:solidFill>
              <w14:schemeClr w14:val="tx1"/>
            </w14:solidFill>
          </w14:textFill>
        </w:rPr>
        <w:t xml:space="preserve">                  </w:t>
      </w:r>
    </w:p>
    <w:p>
      <w:pPr>
        <w:ind w:firstLine="0" w:firstLineChars="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年    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职      务：</w:t>
      </w:r>
      <w:r>
        <w:rPr>
          <w:rFonts w:hint="eastAsia"/>
          <w:color w:val="000000" w:themeColor="text1"/>
          <w:sz w:val="24"/>
          <w:szCs w:val="24"/>
          <w:u w:val="single"/>
          <w14:textFill>
            <w14:solidFill>
              <w14:schemeClr w14:val="tx1"/>
            </w14:solidFill>
          </w14:textFill>
        </w:rPr>
        <w:t xml:space="preserve">                  </w:t>
      </w: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身份证号码：</w:t>
      </w:r>
      <w:r>
        <w:rPr>
          <w:rFonts w:hint="eastAsia"/>
          <w:color w:val="000000" w:themeColor="text1"/>
          <w:sz w:val="24"/>
          <w:szCs w:val="24"/>
          <w:u w:val="single"/>
          <w14:textFill>
            <w14:solidFill>
              <w14:schemeClr w14:val="tx1"/>
            </w14:solidFill>
          </w14:textFill>
        </w:rPr>
        <w:t xml:space="preserve">                                                      </w:t>
      </w: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系</w:t>
      </w:r>
      <w:r>
        <w:rPr>
          <w:rFonts w:hint="eastAsia"/>
          <w:color w:val="000000" w:themeColor="text1"/>
          <w:sz w:val="24"/>
          <w:szCs w:val="24"/>
          <w:u w:val="single"/>
          <w14:textFill>
            <w14:solidFill>
              <w14:schemeClr w14:val="tx1"/>
            </w14:solidFill>
          </w14:textFill>
        </w:rPr>
        <w:t xml:space="preserve">            （供应商名称）              </w:t>
      </w:r>
      <w:r>
        <w:rPr>
          <w:rFonts w:hint="eastAsia"/>
          <w:color w:val="000000" w:themeColor="text1"/>
          <w:sz w:val="24"/>
          <w:szCs w:val="24"/>
          <w14:textFill>
            <w14:solidFill>
              <w14:schemeClr w14:val="tx1"/>
            </w14:solidFill>
          </w14:textFill>
        </w:rPr>
        <w:t>的法定代表人。</w:t>
      </w: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特此证明。</w:t>
      </w:r>
    </w:p>
    <w:p>
      <w:pPr>
        <w:ind w:firstLine="0" w:firstLineChars="0"/>
        <w:rPr>
          <w:color w:val="000000" w:themeColor="text1"/>
          <w:sz w:val="24"/>
          <w:szCs w:val="24"/>
          <w14:textFill>
            <w14:solidFill>
              <w14:schemeClr w14:val="tx1"/>
            </w14:solidFill>
          </w14:textFill>
        </w:rPr>
      </w:pPr>
    </w:p>
    <w:p>
      <w:pP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附件：法定代表人有效身份证正反面复印件</w:t>
      </w:r>
    </w:p>
    <w:p>
      <w:pPr>
        <w:ind w:firstLine="0" w:firstLineChars="0"/>
        <w:rPr>
          <w:color w:val="000000" w:themeColor="text1"/>
          <w:sz w:val="24"/>
          <w:szCs w:val="24"/>
          <w14:textFill>
            <w14:solidFill>
              <w14:schemeClr w14:val="tx1"/>
            </w14:solidFill>
          </w14:textFill>
        </w:rPr>
      </w:pPr>
    </w:p>
    <w:p>
      <w:pPr>
        <w:spacing w:line="600" w:lineRule="auto"/>
        <w:ind w:firstLine="0" w:firstLineChars="0"/>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                                    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wordWrap w:val="0"/>
        <w:spacing w:line="600" w:lineRule="auto"/>
        <w:ind w:firstLine="0" w:firstLineChars="0"/>
        <w:jc w:val="right"/>
        <w:rPr>
          <w:color w:val="000000" w:themeColor="text1"/>
          <w:sz w:val="24"/>
          <w:szCs w:val="24"/>
          <w:lang w:val="zh-CN"/>
          <w14:textFill>
            <w14:solidFill>
              <w14:schemeClr w14:val="tx1"/>
            </w14:solidFill>
          </w14:textFill>
        </w:rPr>
      </w:pPr>
      <w:r>
        <w:rPr>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 xml:space="preserve">日 </w:t>
      </w:r>
      <w:r>
        <w:rPr>
          <w:color w:val="000000" w:themeColor="text1"/>
          <w:sz w:val="24"/>
          <w:szCs w:val="24"/>
          <w:lang w:val="zh-CN"/>
          <w14:textFill>
            <w14:solidFill>
              <w14:schemeClr w14:val="tx1"/>
            </w14:solidFill>
          </w14:textFill>
        </w:rPr>
        <w:t xml:space="preserve">   </w:t>
      </w:r>
    </w:p>
    <w:p>
      <w:pPr>
        <w:ind w:firstLine="0" w:firstLineChars="0"/>
        <w:rPr>
          <w:color w:val="000000" w:themeColor="text1"/>
          <w:sz w:val="24"/>
          <w:szCs w:val="24"/>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注：自然人竞标的无需提供，联合体竞标的只需牵头人出具。</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88" w:name="_Toc11360"/>
      <w:r>
        <w:rPr>
          <w:color w:val="000000" w:themeColor="text1"/>
          <w14:textFill>
            <w14:solidFill>
              <w14:schemeClr w14:val="tx1"/>
            </w14:solidFill>
          </w14:textFill>
        </w:rPr>
        <w:t>5.</w:t>
      </w:r>
      <w:r>
        <w:rPr>
          <w:rFonts w:hint="eastAsia"/>
          <w:color w:val="000000" w:themeColor="text1"/>
          <w14:textFill>
            <w14:solidFill>
              <w14:schemeClr w14:val="tx1"/>
            </w14:solidFill>
          </w14:textFill>
        </w:rPr>
        <w:t>授权委托书格式</w:t>
      </w:r>
      <w:bookmarkEnd w:id="88"/>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授权委托书</w:t>
      </w:r>
    </w:p>
    <w:p>
      <w:pPr>
        <w:spacing w:line="276" w:lineRule="auto"/>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（非联合体竞标格式）</w:t>
      </w:r>
    </w:p>
    <w:p>
      <w:pPr>
        <w:spacing w:line="276" w:lineRule="auto"/>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（如有委托时）</w:t>
      </w:r>
    </w:p>
    <w:p>
      <w:pPr>
        <w:ind w:firstLine="0" w:firstLineChars="0"/>
        <w:rPr>
          <w:color w:val="000000" w:themeColor="text1"/>
          <w:sz w:val="24"/>
          <w:szCs w:val="24"/>
          <w14:textFill>
            <w14:solidFill>
              <w14:schemeClr w14:val="tx1"/>
            </w14:solidFill>
          </w14:textFill>
        </w:rPr>
      </w:pPr>
      <w:bookmarkStart w:id="89" w:name="_Hlk75765700"/>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14:textFill>
            <w14:solidFill>
              <w14:schemeClr w14:val="tx1"/>
            </w14:solidFill>
          </w14:textFill>
        </w:rPr>
        <w:t xml:space="preserve"> 采购人名称 </w:t>
      </w:r>
    </w:p>
    <w:bookmarkEnd w:id="89"/>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（姓名）系</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（供应商名称）的（</w:t>
      </w:r>
      <w:r>
        <w:rPr>
          <w:rFonts w:hint="eastAsia"/>
          <w:b/>
          <w:bCs/>
          <w:color w:val="000000" w:themeColor="text1"/>
          <w:sz w:val="24"/>
          <w:szCs w:val="24"/>
          <w:u w:val="single"/>
          <w14:textFill>
            <w14:solidFill>
              <w14:schemeClr w14:val="tx1"/>
            </w14:solidFill>
          </w14:textFill>
        </w:rPr>
        <w:t>□法定代表人/□负责人/□自然人本人</w:t>
      </w:r>
      <w:r>
        <w:rPr>
          <w:rFonts w:hint="eastAsia"/>
          <w:color w:val="000000" w:themeColor="text1"/>
          <w:sz w:val="24"/>
          <w:szCs w:val="24"/>
          <w14:textFill>
            <w14:solidFill>
              <w14:schemeClr w14:val="tx1"/>
            </w14:solidFill>
          </w14:textFill>
        </w:rPr>
        <w:t>），现授权委托</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（姓名）以我方的名义参加</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w:t>
      </w:r>
      <w:r>
        <w:rPr>
          <w:rFonts w:hint="eastAsia" w:ascii="宋体" w:hAnsi="宋体" w:cs="仿宋_GB2312"/>
          <w:color w:val="000000" w:themeColor="text1"/>
          <w:sz w:val="24"/>
          <w14:textFill>
            <w14:solidFill>
              <w14:schemeClr w14:val="tx1"/>
            </w14:solidFill>
          </w14:textFill>
        </w:rPr>
        <w:t>竞标</w:t>
      </w:r>
      <w:r>
        <w:rPr>
          <w:rFonts w:hint="eastAsia"/>
          <w:color w:val="000000" w:themeColor="text1"/>
          <w:sz w:val="24"/>
          <w:szCs w:val="24"/>
          <w14:textFill>
            <w14:solidFill>
              <w14:schemeClr w14:val="tx1"/>
            </w14:solidFill>
          </w14:textFill>
        </w:rPr>
        <w:t>活动，并代表我方全权办理针对上述项目的所有采购程序和环节的具体事务和签署相关文件。</w:t>
      </w:r>
    </w:p>
    <w:p>
      <w:pPr>
        <w:ind w:firstLine="480"/>
        <w:rPr>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委托代理人无转委托权，特此委托。</w:t>
      </w:r>
    </w:p>
    <w:p>
      <w:pPr>
        <w:ind w:firstLine="0" w:firstLineChars="0"/>
        <w:rPr>
          <w:rFonts w:ascii="黑体" w:hAnsi="黑体" w:eastAsia="黑体"/>
          <w:b/>
          <w:bCs/>
          <w:color w:val="000000" w:themeColor="text1"/>
          <w:sz w:val="28"/>
          <w:szCs w:val="28"/>
          <w14:textFill>
            <w14:solidFill>
              <w14:schemeClr w14:val="tx1"/>
            </w14:solidFill>
          </w14:textFill>
        </w:rPr>
      </w:pPr>
    </w:p>
    <w:p>
      <w:pP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附件：法定代表人身份证明书及委托代理人有效身份证正反面复印件</w:t>
      </w:r>
    </w:p>
    <w:p>
      <w:pPr>
        <w:spacing w:line="480" w:lineRule="auto"/>
        <w:ind w:firstLine="0" w:firstLineChars="0"/>
        <w:rPr>
          <w:color w:val="000000" w:themeColor="text1"/>
          <w:sz w:val="24"/>
          <w:szCs w:val="24"/>
          <w14:textFill>
            <w14:solidFill>
              <w14:schemeClr w14:val="tx1"/>
            </w14:solidFill>
          </w14:textFill>
        </w:rPr>
      </w:pPr>
    </w:p>
    <w:p>
      <w:pPr>
        <w:spacing w:line="480" w:lineRule="auto"/>
        <w:ind w:firstLine="424" w:firstLineChars="17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b/>
          <w:bCs/>
          <w:color w:val="000000" w:themeColor="text1"/>
          <w:sz w:val="24"/>
          <w:szCs w:val="24"/>
          <w14:textFill>
            <w14:solidFill>
              <w14:schemeClr w14:val="tx1"/>
            </w14:solidFill>
          </w14:textFill>
        </w:rPr>
        <w:t>签字或者盖章或者电子签名</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p>
    <w:p>
      <w:pPr>
        <w:spacing w:line="480" w:lineRule="auto"/>
        <w:ind w:firstLine="424" w:firstLineChars="17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委托代理人（</w:t>
      </w:r>
      <w:r>
        <w:rPr>
          <w:rFonts w:hint="eastAsia"/>
          <w:b/>
          <w:bCs/>
          <w:color w:val="000000" w:themeColor="text1"/>
          <w:sz w:val="24"/>
          <w:szCs w:val="24"/>
          <w14:textFill>
            <w14:solidFill>
              <w14:schemeClr w14:val="tx1"/>
            </w14:solidFill>
          </w14:textFill>
        </w:rPr>
        <w:t>签字或者电子签名</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480" w:lineRule="auto"/>
        <w:ind w:firstLine="48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委托代理人身份证号码：</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p>
      <w:pPr>
        <w:spacing w:line="480" w:lineRule="auto"/>
        <w:ind w:firstLine="0" w:firstLineChars="0"/>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                                    供应商</w:t>
      </w:r>
      <w:r>
        <w:rPr>
          <w:rFonts w:hint="eastAsia"/>
          <w:color w:val="000000" w:themeColor="text1"/>
          <w:sz w:val="24"/>
          <w:szCs w:val="24"/>
          <w14:textFill>
            <w14:solidFill>
              <w14:schemeClr w14:val="tx1"/>
            </w14:solidFill>
          </w14:textFill>
        </w:rPr>
        <w:t>（</w:t>
      </w:r>
      <w:r>
        <w:rPr>
          <w:rFonts w:hint="eastAsia" w:ascii="宋体" w:hAnsi="宋体"/>
          <w:b/>
          <w:bCs/>
          <w:color w:val="000000" w:themeColor="text1"/>
          <w:w w:val="94"/>
          <w:kern w:val="0"/>
          <w:sz w:val="24"/>
          <w:szCs w:val="24"/>
          <w14:textFill>
            <w14:solidFill>
              <w14:schemeClr w14:val="tx1"/>
            </w14:solidFill>
          </w14:textFill>
        </w:rPr>
        <w:t>电子签</w:t>
      </w:r>
      <w:r>
        <w:rPr>
          <w:rFonts w:hint="eastAsia" w:ascii="宋体" w:hAnsi="宋体"/>
          <w:b/>
          <w:bCs/>
          <w:color w:val="000000" w:themeColor="text1"/>
          <w:spacing w:val="30"/>
          <w:w w:val="94"/>
          <w:kern w:val="0"/>
          <w:sz w:val="24"/>
          <w:szCs w:val="24"/>
          <w14:textFill>
            <w14:solidFill>
              <w14:schemeClr w14:val="tx1"/>
            </w14:solidFill>
          </w14:textFill>
        </w:rPr>
        <w:t>章</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p>
    <w:p>
      <w:pPr>
        <w:wordWrap w:val="0"/>
        <w:spacing w:line="480" w:lineRule="auto"/>
        <w:ind w:firstLine="480"/>
        <w:jc w:val="right"/>
        <w:rPr>
          <w:color w:val="000000" w:themeColor="text1"/>
          <w:sz w:val="24"/>
          <w:szCs w:val="24"/>
          <w14:textFill>
            <w14:solidFill>
              <w14:schemeClr w14:val="tx1"/>
            </w14:solidFill>
          </w14:textFill>
        </w:rPr>
      </w:pP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 xml:space="preserve">日 </w:t>
      </w:r>
      <w:r>
        <w:rPr>
          <w:color w:val="000000" w:themeColor="text1"/>
          <w:sz w:val="24"/>
          <w:szCs w:val="24"/>
          <w:lang w:val="zh-CN"/>
          <w14:textFill>
            <w14:solidFill>
              <w14:schemeClr w14:val="tx1"/>
            </w14:solidFill>
          </w14:textFill>
        </w:rPr>
        <w:t xml:space="preserve">   </w:t>
      </w: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w:t>
      </w:r>
      <w:r>
        <w:rPr>
          <w:rFonts w:hint="eastAsia" w:ascii="宋体" w:hAnsi="宋体" w:cs="仿宋_GB2312"/>
          <w:color w:val="000000" w:themeColor="text1"/>
          <w:sz w:val="24"/>
          <w14:textFill>
            <w14:solidFill>
              <w14:schemeClr w14:val="tx1"/>
            </w14:solidFill>
          </w14:textFill>
        </w:rPr>
        <w:t>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否则其响应文件按无效响应处理。</w:t>
      </w:r>
    </w:p>
    <w:p>
      <w:pPr>
        <w:ind w:firstLine="424" w:firstLineChars="177"/>
        <w:rPr>
          <w:rFonts w:ascii="宋体" w:hAnsi="宋体" w:eastAsia="宋体" w:cs="方正小标宋简体"/>
          <w:b/>
          <w:color w:val="000000" w:themeColor="text1"/>
          <w:sz w:val="44"/>
          <w:szCs w:val="4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.法人、其他组织竞标时“我方”是指“我单位”，自然人竞标时“我方”是指“本人”。</w:t>
      </w:r>
    </w:p>
    <w:p>
      <w:pPr>
        <w:snapToGrid w:val="0"/>
        <w:spacing w:before="50" w:after="50"/>
        <w:ind w:firstLine="0" w:firstLineChars="0"/>
        <w:jc w:val="center"/>
        <w:rPr>
          <w:rFonts w:hint="eastAsia" w:ascii="宋体" w:hAnsi="宋体" w:eastAsia="宋体" w:cs="方正小标宋简体"/>
          <w:b/>
          <w:color w:val="000000" w:themeColor="text1"/>
          <w:sz w:val="44"/>
          <w:szCs w:val="44"/>
          <w14:textFill>
            <w14:solidFill>
              <w14:schemeClr w14:val="tx1"/>
            </w14:solidFill>
          </w14:textFill>
        </w:rPr>
      </w:pPr>
    </w:p>
    <w:p>
      <w:pPr>
        <w:snapToGrid w:val="0"/>
        <w:spacing w:before="50" w:after="50"/>
        <w:ind w:firstLine="0" w:firstLineChars="0"/>
        <w:jc w:val="center"/>
        <w:rPr>
          <w:rFonts w:hint="eastAsia" w:ascii="宋体" w:hAnsi="宋体" w:eastAsia="宋体" w:cs="方正小标宋简体"/>
          <w:b/>
          <w:color w:val="000000" w:themeColor="text1"/>
          <w:sz w:val="44"/>
          <w:szCs w:val="44"/>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授权委托书</w:t>
      </w:r>
    </w:p>
    <w:p>
      <w:pPr>
        <w:spacing w:line="276" w:lineRule="auto"/>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（联合体竞标格式）</w:t>
      </w:r>
    </w:p>
    <w:p>
      <w:pPr>
        <w:spacing w:line="276" w:lineRule="auto"/>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（如有委托时）</w:t>
      </w:r>
    </w:p>
    <w:p>
      <w:pPr>
        <w:ind w:firstLine="0" w:firstLineChars="0"/>
        <w:rPr>
          <w:color w:val="000000" w:themeColor="text1"/>
          <w:sz w:val="24"/>
          <w:szCs w:val="24"/>
          <w14:textFill>
            <w14:solidFill>
              <w14:schemeClr w14:val="tx1"/>
            </w14:solidFill>
          </w14:textFill>
        </w:rPr>
      </w:pP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本授权委托书声明：根据</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（牵头人名称）与</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（联合体其他成员名称）签订的《联合体竞标协议书》的内容，</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（牵头人名称）的法定代表人</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（姓名）现授权</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（姓名）为联合委托代理人，并代表我方全权办理针对上述项目的所有采购程序和环节的具体事务和签署相关文件。</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我方对委托代理人的</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事项负全部责任。</w:t>
      </w:r>
    </w:p>
    <w:p>
      <w:pPr>
        <w:ind w:firstLine="48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ind w:firstLineChars="0"/>
        <w:rPr>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pPr>
        <w:ind w:firstLine="480"/>
        <w:rPr>
          <w:color w:val="000000" w:themeColor="text1"/>
          <w:sz w:val="24"/>
          <w:szCs w:val="24"/>
          <w14:textFill>
            <w14:solidFill>
              <w14:schemeClr w14:val="tx1"/>
            </w14:solidFill>
          </w14:textFill>
        </w:rPr>
      </w:pPr>
    </w:p>
    <w:p>
      <w:pP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附件：法定代表人身份证明书及委托代理人有效身份证正反面复印件</w:t>
      </w:r>
    </w:p>
    <w:p>
      <w:pPr>
        <w:ind w:firstLine="480"/>
        <w:rPr>
          <w:color w:val="000000" w:themeColor="text1"/>
          <w:sz w:val="24"/>
          <w:szCs w:val="24"/>
          <w14:textFill>
            <w14:solidFill>
              <w14:schemeClr w14:val="tx1"/>
            </w14:solidFill>
          </w14:textFill>
        </w:rPr>
      </w:pP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牵头人法定代表人（</w:t>
      </w:r>
      <w:r>
        <w:rPr>
          <w:rFonts w:hint="eastAsia"/>
          <w:b/>
          <w:bCs/>
          <w:color w:val="000000" w:themeColor="text1"/>
          <w:sz w:val="24"/>
          <w:szCs w:val="24"/>
          <w14:textFill>
            <w14:solidFill>
              <w14:schemeClr w14:val="tx1"/>
            </w14:solidFill>
          </w14:textFill>
        </w:rPr>
        <w:t>签字或者盖章或者电子签名</w:t>
      </w:r>
      <w:r>
        <w:rPr>
          <w:rFonts w:hint="eastAsia"/>
          <w:color w:val="000000" w:themeColor="text1"/>
          <w:sz w:val="24"/>
          <w:szCs w:val="24"/>
          <w14:textFill>
            <w14:solidFill>
              <w14:schemeClr w14:val="tx1"/>
            </w14:solidFill>
          </w14:textFill>
        </w:rPr>
        <w:t>）：</w:t>
      </w:r>
    </w:p>
    <w:p>
      <w:pPr>
        <w:ind w:firstLine="3600" w:firstLineChars="15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牵头人（</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p>
    <w:p>
      <w:pPr>
        <w:ind w:firstLine="5239" w:firstLineChars="218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ind w:firstLine="480"/>
        <w:rPr>
          <w:color w:val="000000" w:themeColor="text1"/>
          <w:sz w:val="24"/>
          <w:szCs w:val="24"/>
          <w14:textFill>
            <w14:solidFill>
              <w14:schemeClr w14:val="tx1"/>
            </w14:solidFill>
          </w14:textFill>
        </w:rPr>
      </w:pPr>
    </w:p>
    <w:p>
      <w:pPr>
        <w:ind w:firstLine="2160" w:firstLineChars="9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被授权人（</w:t>
      </w:r>
      <w:r>
        <w:rPr>
          <w:rFonts w:hint="eastAsia"/>
          <w:b/>
          <w:bCs/>
          <w:color w:val="000000" w:themeColor="text1"/>
          <w:sz w:val="24"/>
          <w:szCs w:val="24"/>
          <w14:textFill>
            <w14:solidFill>
              <w14:schemeClr w14:val="tx1"/>
            </w14:solidFill>
          </w14:textFill>
        </w:rPr>
        <w:t>签字或者电子签名</w:t>
      </w:r>
      <w:r>
        <w:rPr>
          <w:rFonts w:hint="eastAsia"/>
          <w:color w:val="000000" w:themeColor="text1"/>
          <w:sz w:val="24"/>
          <w:szCs w:val="24"/>
          <w14:textFill>
            <w14:solidFill>
              <w14:schemeClr w14:val="tx1"/>
            </w14:solidFill>
          </w14:textFill>
        </w:rPr>
        <w:t>）：</w:t>
      </w:r>
    </w:p>
    <w:p>
      <w:pPr>
        <w:ind w:firstLine="5280" w:firstLineChars="2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w:t>
      </w:r>
      <w:r>
        <w:rPr>
          <w:rFonts w:hint="eastAsia" w:ascii="宋体" w:hAnsi="宋体" w:cs="仿宋_GB2312"/>
          <w:color w:val="000000" w:themeColor="text1"/>
          <w:sz w:val="24"/>
          <w14:textFill>
            <w14:solidFill>
              <w14:schemeClr w14:val="tx1"/>
            </w14:solidFill>
          </w14:textFill>
        </w:rPr>
        <w:t>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否则其响应文件按无效响应处理。</w:t>
      </w:r>
    </w:p>
    <w:p>
      <w:pPr>
        <w:ind w:firstLine="480"/>
        <w:rPr>
          <w:rFonts w:ascii="宋体" w:hAnsi="宋体" w:eastAsia="宋体" w:cs="仿宋_GB2312"/>
          <w:color w:val="000000" w:themeColor="text1"/>
          <w:spacing w:val="-11"/>
          <w:sz w:val="24"/>
          <w:szCs w:val="24"/>
          <w14:textFill>
            <w14:solidFill>
              <w14:schemeClr w14:val="tx1"/>
            </w14:solidFill>
          </w14:textFill>
        </w:rPr>
      </w:pPr>
      <w:r>
        <w:rPr>
          <w:rFonts w:ascii="宋体" w:hAnsi="宋体" w:eastAsia="宋体" w:cs="仿宋_GB2312"/>
          <w:color w:val="000000" w:themeColor="text1"/>
          <w:sz w:val="24"/>
          <w:szCs w:val="24"/>
          <w14:textFill>
            <w14:solidFill>
              <w14:schemeClr w14:val="tx1"/>
            </w14:solidFill>
          </w14:textFill>
        </w:rPr>
        <w:t>2.</w:t>
      </w:r>
      <w:r>
        <w:rPr>
          <w:rFonts w:hint="eastAsia" w:ascii="宋体" w:hAnsi="宋体" w:eastAsia="宋体" w:cs="仿宋_GB2312"/>
          <w:color w:val="000000" w:themeColor="text1"/>
          <w:sz w:val="24"/>
          <w:szCs w:val="24"/>
          <w14:textFill>
            <w14:solidFill>
              <w14:schemeClr w14:val="tx1"/>
            </w14:solidFill>
          </w14:textFill>
        </w:rPr>
        <w:t>法人、其他组织竞标时“我方”是指“我单位”，自然人竞标时“我方”是指“本人”。</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90" w:name="_Toc13919"/>
      <w:r>
        <w:rPr>
          <w:color w:val="000000" w:themeColor="text1"/>
          <w14:textFill>
            <w14:solidFill>
              <w14:schemeClr w14:val="tx1"/>
            </w14:solidFill>
          </w14:textFill>
        </w:rPr>
        <w:t>6</w:t>
      </w:r>
      <w:r>
        <w:rPr>
          <w:rFonts w:hint="eastAsia"/>
          <w:color w:val="000000" w:themeColor="text1"/>
          <w14:textFill>
            <w14:solidFill>
              <w14:schemeClr w14:val="tx1"/>
            </w14:solidFill>
          </w14:textFill>
        </w:rPr>
        <w:t>.商务要求偏离表格式</w:t>
      </w:r>
      <w:bookmarkEnd w:id="90"/>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商务要求偏离表（格式）</w:t>
      </w:r>
    </w:p>
    <w:tbl>
      <w:tblPr>
        <w:tblStyle w:val="26"/>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9"/>
        <w:gridCol w:w="2583"/>
        <w:gridCol w:w="1789"/>
        <w:gridCol w:w="2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项目</w:t>
            </w: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磋商文件商务要求</w:t>
            </w: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供应商的响应</w:t>
            </w: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color w:val="000000" w:themeColor="text1"/>
                <w:sz w:val="24"/>
                <w:szCs w:val="24"/>
                <w14:textFill>
                  <w14:solidFill>
                    <w14:schemeClr w14:val="tx1"/>
                  </w14:solidFill>
                </w14:textFill>
              </w:rPr>
            </w:pP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color w:val="000000" w:themeColor="text1"/>
                <w:sz w:val="24"/>
                <w:szCs w:val="24"/>
                <w14:textFill>
                  <w14:solidFill>
                    <w14:schemeClr w14:val="tx1"/>
                  </w14:solidFill>
                </w14:textFill>
              </w:rPr>
            </w:pP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color w:val="000000" w:themeColor="text1"/>
                <w:sz w:val="24"/>
                <w:szCs w:val="24"/>
                <w14:textFill>
                  <w14:solidFill>
                    <w14:schemeClr w14:val="tx1"/>
                  </w14:solidFill>
                </w14:textFill>
              </w:rPr>
            </w:pP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color w:val="000000" w:themeColor="text1"/>
                <w:sz w:val="24"/>
                <w:szCs w:val="24"/>
                <w14:textFill>
                  <w14:solidFill>
                    <w14:schemeClr w14:val="tx1"/>
                  </w14:solidFill>
                </w14:textFill>
              </w:rPr>
            </w:pP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w:t>
            </w:r>
          </w:p>
        </w:tc>
        <w:tc>
          <w:tcPr>
            <w:tcW w:w="25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178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c>
          <w:tcPr>
            <w:tcW w:w="20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000000" w:themeColor="text1"/>
                <w:sz w:val="24"/>
                <w:szCs w:val="24"/>
                <w14:textFill>
                  <w14:solidFill>
                    <w14:schemeClr w14:val="tx1"/>
                  </w14:solidFill>
                </w14:textFill>
              </w:rPr>
            </w:pPr>
          </w:p>
        </w:tc>
      </w:tr>
    </w:tbl>
    <w:p>
      <w:pPr>
        <w:ind w:firstLine="0" w:firstLineChars="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注：</w:t>
      </w:r>
    </w:p>
    <w:p>
      <w:pPr>
        <w:ind w:firstLine="424" w:firstLineChars="177"/>
        <w:rPr>
          <w:rFonts w:ascii="宋体"/>
          <w:color w:val="000000" w:themeColor="text1"/>
          <w:sz w:val="24"/>
          <w:szCs w:val="24"/>
          <w14:textFill>
            <w14:solidFill>
              <w14:schemeClr w14:val="tx1"/>
            </w14:solidFill>
          </w14:textFill>
        </w:rPr>
      </w:pPr>
      <w:r>
        <w:rPr>
          <w:rFonts w:ascii="宋体" w:eastAsia="宋体"/>
          <w:color w:val="000000" w:themeColor="text1"/>
          <w:sz w:val="24"/>
          <w:szCs w:val="24"/>
          <w14:textFill>
            <w14:solidFill>
              <w14:schemeClr w14:val="tx1"/>
            </w14:solidFill>
          </w14:textFill>
        </w:rPr>
        <w:t>1.</w:t>
      </w:r>
      <w:r>
        <w:rPr>
          <w:rFonts w:hint="eastAsia" w:ascii="宋体" w:eastAsia="宋体"/>
          <w:color w:val="000000" w:themeColor="text1"/>
          <w:sz w:val="24"/>
          <w:szCs w:val="24"/>
          <w14:textFill>
            <w14:solidFill>
              <w14:schemeClr w14:val="tx1"/>
            </w14:solidFill>
          </w14:textFill>
        </w:rPr>
        <w:t>说明：应对照磋商文件“第三章 采购需求”中的商务要求逐条作出明确响应，并作出偏离说明。</w:t>
      </w:r>
    </w:p>
    <w:p>
      <w:pPr>
        <w:ind w:firstLine="424" w:firstLineChars="177"/>
        <w:rPr>
          <w:rFonts w:ascii="宋体"/>
          <w:b/>
          <w:bCs/>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2.</w:t>
      </w:r>
      <w:r>
        <w:rPr>
          <w:rFonts w:hint="eastAsia" w:ascii="宋体"/>
          <w:b/>
          <w:bCs/>
          <w:color w:val="000000" w:themeColor="text1"/>
          <w:sz w:val="24"/>
          <w:szCs w:val="24"/>
          <w14:textFill>
            <w14:solidFill>
              <w14:schemeClr w14:val="tx1"/>
            </w14:solidFill>
          </w14:textFill>
        </w:rPr>
        <w:t>供应商应根据自身的承诺，对照磋商文件要求在“偏离说明”中注明“正偏离”、“负偏离”或者“无偏离”。既不属于“正偏离”也不属于“负偏离”即为“无偏离”。</w:t>
      </w:r>
    </w:p>
    <w:p>
      <w:pPr>
        <w:ind w:firstLine="0" w:firstLineChars="0"/>
        <w:rPr>
          <w:rFonts w:ascii="宋体"/>
          <w:color w:val="000000" w:themeColor="text1"/>
          <w:sz w:val="24"/>
          <w:szCs w:val="24"/>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日</w:t>
      </w:r>
    </w:p>
    <w:p>
      <w:pPr>
        <w:ind w:firstLine="0" w:firstLineChars="0"/>
        <w:rPr>
          <w:color w:val="000000" w:themeColor="text1"/>
          <w14:textFill>
            <w14:solidFill>
              <w14:schemeClr w14:val="tx1"/>
            </w14:solidFill>
          </w14:textFill>
        </w:rPr>
      </w:pPr>
    </w:p>
    <w:p>
      <w:pPr>
        <w:spacing w:before="260" w:after="260" w:line="415" w:lineRule="auto"/>
        <w:ind w:firstLine="0" w:firstLineChars="0"/>
        <w:jc w:val="center"/>
        <w:rPr>
          <w:rFonts w:ascii="宋体" w:hAnsi="宋体" w:eastAsia="宋体"/>
          <w:b/>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91" w:name="_Toc7297"/>
      <w:r>
        <w:rPr>
          <w:color w:val="000000" w:themeColor="text1"/>
          <w14:textFill>
            <w14:solidFill>
              <w14:schemeClr w14:val="tx1"/>
            </w14:solidFill>
          </w14:textFill>
        </w:rPr>
        <w:t>7.</w:t>
      </w:r>
      <w:r>
        <w:rPr>
          <w:rFonts w:hint="eastAsia"/>
          <w:color w:val="000000" w:themeColor="text1"/>
          <w14:textFill>
            <w14:solidFill>
              <w14:schemeClr w14:val="tx1"/>
            </w14:solidFill>
          </w14:textFill>
        </w:rPr>
        <w:t>技术要求偏离表格式</w:t>
      </w:r>
      <w:bookmarkEnd w:id="91"/>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技术要求偏离表（格式）</w:t>
      </w:r>
    </w:p>
    <w:p>
      <w:pPr>
        <w:ind w:firstLine="0" w:firstLineChars="0"/>
        <w:rPr>
          <w:rFonts w:ascii="宋体" w:hAnsi="宋体" w:eastAsia="宋体"/>
          <w:color w:val="000000" w:themeColor="text1"/>
          <w:sz w:val="24"/>
          <w:szCs w:val="24"/>
          <w14:textFill>
            <w14:solidFill>
              <w14:schemeClr w14:val="tx1"/>
            </w14:solidFill>
          </w14:textFill>
        </w:rPr>
      </w:pPr>
    </w:p>
    <w:tbl>
      <w:tblPr>
        <w:tblStyle w:val="26"/>
        <w:tblW w:w="88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0"/>
        <w:gridCol w:w="1317"/>
        <w:gridCol w:w="2524"/>
        <w:gridCol w:w="2656"/>
        <w:gridCol w:w="14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92" w:name="_Toc373333689"/>
            <w:bookmarkStart w:id="93" w:name="_Toc254970729"/>
            <w:bookmarkStart w:id="94" w:name="_Toc383699906"/>
            <w:bookmarkStart w:id="95" w:name="_Toc297193185"/>
            <w:bookmarkStart w:id="96" w:name="_Toc301781611"/>
            <w:bookmarkStart w:id="97" w:name="_Toc254970588"/>
            <w:bookmarkStart w:id="98" w:name="_Toc173211900"/>
            <w:bookmarkStart w:id="99" w:name="_Toc173066401"/>
            <w:bookmarkStart w:id="100" w:name="_Toc295404981"/>
            <w:r>
              <w:rPr>
                <w:rFonts w:hint="eastAsia" w:ascii="宋体" w:hAnsi="宋体" w:eastAsia="宋体" w:cs="仿宋_GB2312"/>
                <w:color w:val="000000" w:themeColor="text1"/>
                <w:sz w:val="24"/>
                <w:szCs w:val="24"/>
                <w14:textFill>
                  <w14:solidFill>
                    <w14:schemeClr w14:val="tx1"/>
                  </w14:solidFill>
                </w14:textFill>
              </w:rPr>
              <w:t>序号</w:t>
            </w:r>
            <w:bookmarkEnd w:id="92"/>
            <w:bookmarkEnd w:id="93"/>
            <w:bookmarkEnd w:id="94"/>
            <w:bookmarkEnd w:id="95"/>
            <w:bookmarkEnd w:id="96"/>
            <w:bookmarkEnd w:id="97"/>
            <w:bookmarkEnd w:id="98"/>
            <w:bookmarkEnd w:id="99"/>
            <w:bookmarkEnd w:id="100"/>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服务名称</w:t>
            </w: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磋商文件技术要求</w:t>
            </w: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01" w:name="_Toc383699908"/>
            <w:bookmarkStart w:id="102" w:name="_Toc254970590"/>
            <w:bookmarkStart w:id="103" w:name="_Toc301781613"/>
            <w:bookmarkStart w:id="104" w:name="_Toc297193187"/>
            <w:bookmarkStart w:id="105" w:name="_Toc373333691"/>
            <w:bookmarkStart w:id="106" w:name="_Toc254970731"/>
            <w:bookmarkStart w:id="107" w:name="_Toc173066403"/>
            <w:bookmarkStart w:id="108" w:name="_Toc173211902"/>
            <w:bookmarkStart w:id="109" w:name="_Toc295404983"/>
            <w:r>
              <w:rPr>
                <w:rFonts w:hint="eastAsia" w:ascii="宋体" w:hAnsi="宋体" w:eastAsia="宋体" w:cs="仿宋_GB2312"/>
                <w:color w:val="000000" w:themeColor="text1"/>
                <w:sz w:val="24"/>
                <w:szCs w:val="24"/>
                <w14:textFill>
                  <w14:solidFill>
                    <w14:schemeClr w14:val="tx1"/>
                  </w14:solidFill>
                </w14:textFill>
              </w:rPr>
              <w:t>竞标响应</w:t>
            </w:r>
            <w:bookmarkEnd w:id="101"/>
            <w:bookmarkEnd w:id="102"/>
            <w:bookmarkEnd w:id="103"/>
            <w:bookmarkEnd w:id="104"/>
            <w:bookmarkEnd w:id="105"/>
            <w:bookmarkEnd w:id="106"/>
            <w:bookmarkEnd w:id="107"/>
            <w:bookmarkEnd w:id="108"/>
            <w:bookmarkEnd w:id="109"/>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10" w:name="_Toc173211903"/>
            <w:bookmarkStart w:id="111" w:name="_Toc383699909"/>
            <w:bookmarkStart w:id="112" w:name="_Toc295404984"/>
            <w:bookmarkStart w:id="113" w:name="_Toc254970591"/>
            <w:bookmarkStart w:id="114" w:name="_Toc301781614"/>
            <w:bookmarkStart w:id="115" w:name="_Toc373333692"/>
            <w:bookmarkStart w:id="116" w:name="_Toc254970732"/>
            <w:bookmarkStart w:id="117" w:name="_Toc173066404"/>
            <w:bookmarkStart w:id="118" w:name="_Toc297193188"/>
            <w:r>
              <w:rPr>
                <w:rFonts w:hint="eastAsia" w:ascii="宋体" w:hAnsi="宋体" w:eastAsia="宋体" w:cs="仿宋_GB2312"/>
                <w:color w:val="000000" w:themeColor="text1"/>
                <w:sz w:val="24"/>
                <w:szCs w:val="24"/>
                <w14:textFill>
                  <w14:solidFill>
                    <w14:schemeClr w14:val="tx1"/>
                  </w14:solidFill>
                </w14:textFill>
              </w:rPr>
              <w:t>偏离</w:t>
            </w:r>
            <w:bookmarkEnd w:id="110"/>
            <w:bookmarkEnd w:id="111"/>
            <w:bookmarkEnd w:id="112"/>
            <w:bookmarkEnd w:id="113"/>
            <w:bookmarkEnd w:id="114"/>
            <w:bookmarkEnd w:id="115"/>
            <w:bookmarkEnd w:id="116"/>
            <w:bookmarkEnd w:id="117"/>
            <w:bookmarkEnd w:id="118"/>
            <w:bookmarkStart w:id="119" w:name="_Toc173211904"/>
            <w:bookmarkStart w:id="120" w:name="_Toc373333693"/>
            <w:bookmarkStart w:id="121" w:name="_Toc383699910"/>
            <w:bookmarkStart w:id="122" w:name="_Toc297193189"/>
            <w:bookmarkStart w:id="123" w:name="_Toc295404985"/>
            <w:bookmarkStart w:id="124" w:name="_Toc254970733"/>
            <w:bookmarkStart w:id="125" w:name="_Toc301781615"/>
            <w:bookmarkStart w:id="126" w:name="_Toc173066405"/>
            <w:bookmarkStart w:id="127" w:name="_Toc254970592"/>
            <w:r>
              <w:rPr>
                <w:rFonts w:hint="eastAsia" w:ascii="宋体" w:hAnsi="宋体" w:eastAsia="宋体" w:cs="仿宋_GB2312"/>
                <w:color w:val="000000" w:themeColor="text1"/>
                <w:sz w:val="24"/>
                <w:szCs w:val="24"/>
                <w14:textFill>
                  <w14:solidFill>
                    <w14:schemeClr w14:val="tx1"/>
                  </w14:solidFill>
                </w14:textFill>
              </w:rPr>
              <w:t>说明</w:t>
            </w:r>
            <w:bookmarkEnd w:id="119"/>
            <w:bookmarkEnd w:id="120"/>
            <w:bookmarkEnd w:id="121"/>
            <w:bookmarkEnd w:id="122"/>
            <w:bookmarkEnd w:id="123"/>
            <w:bookmarkEnd w:id="124"/>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28" w:name="_Toc383699911"/>
            <w:bookmarkStart w:id="129" w:name="_Toc254970593"/>
            <w:bookmarkStart w:id="130" w:name="_Toc297193190"/>
            <w:bookmarkStart w:id="131" w:name="_Toc173066406"/>
            <w:bookmarkStart w:id="132" w:name="_Toc295404986"/>
            <w:bookmarkStart w:id="133" w:name="_Toc373333694"/>
            <w:bookmarkStart w:id="134" w:name="_Toc173211905"/>
            <w:bookmarkStart w:id="135" w:name="_Toc254970734"/>
            <w:bookmarkStart w:id="136" w:name="_Toc301781616"/>
            <w:r>
              <w:rPr>
                <w:rFonts w:hint="eastAsia" w:ascii="宋体" w:hAnsi="宋体" w:eastAsia="宋体" w:cs="仿宋_GB2312"/>
                <w:color w:val="000000" w:themeColor="text1"/>
                <w:sz w:val="24"/>
                <w:szCs w:val="24"/>
                <w14:textFill>
                  <w14:solidFill>
                    <w14:schemeClr w14:val="tx1"/>
                  </w14:solidFill>
                </w14:textFill>
              </w:rPr>
              <w:t>1</w:t>
            </w:r>
            <w:bookmarkEnd w:id="128"/>
            <w:bookmarkEnd w:id="129"/>
            <w:bookmarkEnd w:id="130"/>
            <w:bookmarkEnd w:id="131"/>
            <w:bookmarkEnd w:id="132"/>
            <w:bookmarkEnd w:id="133"/>
            <w:bookmarkEnd w:id="134"/>
            <w:bookmarkEnd w:id="135"/>
            <w:bookmarkEnd w:id="136"/>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37" w:name="_Toc297193191"/>
            <w:bookmarkStart w:id="138" w:name="_Toc383699912"/>
            <w:bookmarkStart w:id="139" w:name="_Toc301781617"/>
            <w:bookmarkStart w:id="140" w:name="_Toc254970594"/>
            <w:bookmarkStart w:id="141" w:name="_Toc173211906"/>
            <w:bookmarkStart w:id="142" w:name="_Toc173066407"/>
            <w:bookmarkStart w:id="143" w:name="_Toc295404987"/>
            <w:bookmarkStart w:id="144" w:name="_Toc373333695"/>
            <w:bookmarkStart w:id="145" w:name="_Toc254970735"/>
            <w:r>
              <w:rPr>
                <w:rFonts w:hint="eastAsia" w:ascii="宋体" w:hAnsi="宋体" w:eastAsia="宋体" w:cs="仿宋_GB2312"/>
                <w:color w:val="000000" w:themeColor="text1"/>
                <w:sz w:val="24"/>
                <w:szCs w:val="24"/>
                <w14:textFill>
                  <w14:solidFill>
                    <w14:schemeClr w14:val="tx1"/>
                  </w14:solidFill>
                </w14:textFill>
              </w:rPr>
              <w:t>2</w:t>
            </w:r>
            <w:bookmarkEnd w:id="137"/>
            <w:bookmarkEnd w:id="138"/>
            <w:bookmarkEnd w:id="139"/>
            <w:bookmarkEnd w:id="140"/>
            <w:bookmarkEnd w:id="141"/>
            <w:bookmarkEnd w:id="142"/>
            <w:bookmarkEnd w:id="143"/>
            <w:bookmarkEnd w:id="144"/>
            <w:bookmarkEnd w:id="145"/>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46" w:name="_Toc173066408"/>
            <w:bookmarkStart w:id="147" w:name="_Toc383699913"/>
            <w:bookmarkStart w:id="148" w:name="_Toc295404988"/>
            <w:bookmarkStart w:id="149" w:name="_Toc297193192"/>
            <w:bookmarkStart w:id="150" w:name="_Toc373333696"/>
            <w:bookmarkStart w:id="151" w:name="_Toc254970736"/>
            <w:bookmarkStart w:id="152" w:name="_Toc254970595"/>
            <w:bookmarkStart w:id="153" w:name="_Toc301781618"/>
            <w:bookmarkStart w:id="154" w:name="_Toc173211907"/>
            <w:r>
              <w:rPr>
                <w:rFonts w:hint="eastAsia" w:ascii="宋体" w:hAnsi="宋体" w:eastAsia="宋体" w:cs="仿宋_GB2312"/>
                <w:color w:val="000000" w:themeColor="text1"/>
                <w:sz w:val="24"/>
                <w:szCs w:val="24"/>
                <w14:textFill>
                  <w14:solidFill>
                    <w14:schemeClr w14:val="tx1"/>
                  </w14:solidFill>
                </w14:textFill>
              </w:rPr>
              <w:t>3</w:t>
            </w:r>
            <w:bookmarkEnd w:id="146"/>
            <w:bookmarkEnd w:id="147"/>
            <w:bookmarkEnd w:id="148"/>
            <w:bookmarkEnd w:id="149"/>
            <w:bookmarkEnd w:id="150"/>
            <w:bookmarkEnd w:id="151"/>
            <w:bookmarkEnd w:id="152"/>
            <w:bookmarkEnd w:id="153"/>
            <w:bookmarkEnd w:id="154"/>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55" w:name="_Toc383699914"/>
            <w:bookmarkStart w:id="156" w:name="_Toc254970737"/>
            <w:bookmarkStart w:id="157" w:name="_Toc301781619"/>
            <w:bookmarkStart w:id="158" w:name="_Toc297193193"/>
            <w:bookmarkStart w:id="159" w:name="_Toc295404989"/>
            <w:bookmarkStart w:id="160" w:name="_Toc173066409"/>
            <w:bookmarkStart w:id="161" w:name="_Toc254970596"/>
            <w:bookmarkStart w:id="162" w:name="_Toc173211908"/>
            <w:bookmarkStart w:id="163" w:name="_Toc373333697"/>
            <w:r>
              <w:rPr>
                <w:rFonts w:hint="eastAsia" w:ascii="宋体" w:hAnsi="宋体" w:eastAsia="宋体" w:cs="仿宋_GB2312"/>
                <w:color w:val="000000" w:themeColor="text1"/>
                <w:sz w:val="24"/>
                <w:szCs w:val="24"/>
                <w14:textFill>
                  <w14:solidFill>
                    <w14:schemeClr w14:val="tx1"/>
                  </w14:solidFill>
                </w14:textFill>
              </w:rPr>
              <w:t>4</w:t>
            </w:r>
            <w:bookmarkEnd w:id="155"/>
            <w:bookmarkEnd w:id="156"/>
            <w:bookmarkEnd w:id="157"/>
            <w:bookmarkEnd w:id="158"/>
            <w:bookmarkEnd w:id="159"/>
            <w:bookmarkEnd w:id="160"/>
            <w:bookmarkEnd w:id="161"/>
            <w:bookmarkEnd w:id="162"/>
            <w:bookmarkEnd w:id="163"/>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64" w:name="_Toc373333698"/>
            <w:bookmarkStart w:id="165" w:name="_Toc295404990"/>
            <w:bookmarkStart w:id="166" w:name="_Toc254970738"/>
            <w:bookmarkStart w:id="167" w:name="_Toc383699915"/>
            <w:bookmarkStart w:id="168" w:name="_Toc254970597"/>
            <w:bookmarkStart w:id="169" w:name="_Toc297193194"/>
            <w:bookmarkStart w:id="170" w:name="_Toc173066410"/>
            <w:bookmarkStart w:id="171" w:name="_Toc173211909"/>
            <w:bookmarkStart w:id="172" w:name="_Toc301781620"/>
            <w:r>
              <w:rPr>
                <w:rFonts w:hint="eastAsia" w:ascii="宋体" w:hAnsi="宋体" w:eastAsia="宋体" w:cs="仿宋_GB2312"/>
                <w:color w:val="000000" w:themeColor="text1"/>
                <w:sz w:val="24"/>
                <w:szCs w:val="24"/>
                <w14:textFill>
                  <w14:solidFill>
                    <w14:schemeClr w14:val="tx1"/>
                  </w14:solidFill>
                </w14:textFill>
              </w:rPr>
              <w:t>5</w:t>
            </w:r>
            <w:bookmarkEnd w:id="164"/>
            <w:bookmarkEnd w:id="165"/>
            <w:bookmarkEnd w:id="166"/>
            <w:bookmarkEnd w:id="167"/>
            <w:bookmarkEnd w:id="168"/>
            <w:bookmarkEnd w:id="169"/>
            <w:bookmarkEnd w:id="170"/>
            <w:bookmarkEnd w:id="171"/>
            <w:bookmarkEnd w:id="172"/>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90"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bookmarkStart w:id="173" w:name="_Toc297193195"/>
            <w:bookmarkStart w:id="174" w:name="_Toc373333699"/>
            <w:bookmarkStart w:id="175" w:name="_Toc295404991"/>
            <w:bookmarkStart w:id="176" w:name="_Toc383699916"/>
            <w:bookmarkStart w:id="177" w:name="_Toc173211914"/>
            <w:bookmarkStart w:id="178" w:name="_Toc173066415"/>
            <w:bookmarkStart w:id="179" w:name="_Toc254970602"/>
            <w:bookmarkStart w:id="180" w:name="_Toc301781621"/>
            <w:bookmarkStart w:id="181" w:name="_Toc254970743"/>
            <w:r>
              <w:rPr>
                <w:rFonts w:hint="eastAsia" w:ascii="宋体" w:hAnsi="宋体" w:eastAsia="宋体" w:cs="仿宋_GB2312"/>
                <w:color w:val="000000" w:themeColor="text1"/>
                <w:sz w:val="24"/>
                <w:szCs w:val="24"/>
                <w14:textFill>
                  <w14:solidFill>
                    <w14:schemeClr w14:val="tx1"/>
                  </w14:solidFill>
                </w14:textFill>
              </w:rPr>
              <w:t>…</w:t>
            </w:r>
            <w:bookmarkEnd w:id="173"/>
            <w:bookmarkEnd w:id="174"/>
            <w:bookmarkEnd w:id="175"/>
            <w:bookmarkEnd w:id="176"/>
            <w:bookmarkEnd w:id="177"/>
            <w:bookmarkEnd w:id="178"/>
            <w:bookmarkEnd w:id="179"/>
            <w:bookmarkEnd w:id="180"/>
            <w:bookmarkEnd w:id="181"/>
          </w:p>
        </w:tc>
        <w:tc>
          <w:tcPr>
            <w:tcW w:w="1317"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524" w:type="dxa"/>
            <w:tcBorders>
              <w:lef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2656" w:type="dxa"/>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c>
          <w:tcPr>
            <w:tcW w:w="1449" w:type="dxa"/>
            <w:tcBorders>
              <w:right w:val="single" w:color="auto" w:sz="4" w:space="0"/>
            </w:tcBorders>
            <w:vAlign w:val="center"/>
          </w:tcPr>
          <w:p>
            <w:pPr>
              <w:widowControl w:val="0"/>
              <w:ind w:firstLine="0" w:firstLineChars="0"/>
              <w:contextualSpacing/>
              <w:jc w:val="center"/>
              <w:rPr>
                <w:rFonts w:ascii="宋体" w:hAnsi="宋体" w:eastAsia="宋体" w:cs="仿宋_GB2312"/>
                <w:color w:val="000000" w:themeColor="text1"/>
                <w:sz w:val="24"/>
                <w:szCs w:val="24"/>
                <w14:textFill>
                  <w14:solidFill>
                    <w14:schemeClr w14:val="tx1"/>
                  </w14:solidFill>
                </w14:textFill>
              </w:rPr>
            </w:pPr>
          </w:p>
        </w:tc>
      </w:tr>
    </w:tbl>
    <w:p>
      <w:pPr>
        <w:ind w:firstLine="0"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p>
    <w:p>
      <w:pPr>
        <w:ind w:firstLine="424" w:firstLineChars="177"/>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1.说明：应对照磋商文件“第三章 采购需求”中的技术要求逐条作出明确响应，并作出偏离说明。</w:t>
      </w:r>
    </w:p>
    <w:p>
      <w:pPr>
        <w:ind w:firstLine="424" w:firstLineChars="177"/>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b/>
          <w:bCs/>
          <w:color w:val="000000" w:themeColor="text1"/>
          <w:sz w:val="24"/>
          <w:szCs w:val="24"/>
          <w14:textFill>
            <w14:solidFill>
              <w14:schemeClr w14:val="tx1"/>
            </w14:solidFill>
          </w14:textFill>
        </w:rPr>
        <w:t>供应商应根据自身的承诺，对照磋商文件要求，在“偏离说明”中注明“正偏离”、“负偏离”或者“无偏离”。既不属于“正偏离”也不属于“负偏离”即为“无偏离”。</w:t>
      </w:r>
    </w:p>
    <w:p>
      <w:pPr>
        <w:ind w:firstLine="0" w:firstLineChars="0"/>
        <w:jc w:val="center"/>
        <w:rPr>
          <w:rFonts w:ascii="宋体" w:hAnsi="宋体" w:eastAsia="宋体"/>
          <w:color w:val="000000" w:themeColor="text1"/>
          <w:sz w:val="24"/>
          <w:szCs w:val="24"/>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日</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182" w:name="_Toc15277"/>
      <w:r>
        <w:rPr>
          <w:color w:val="000000" w:themeColor="text1"/>
          <w14:textFill>
            <w14:solidFill>
              <w14:schemeClr w14:val="tx1"/>
            </w14:solidFill>
          </w14:textFill>
        </w:rPr>
        <w:t>8.</w:t>
      </w:r>
      <w:r>
        <w:rPr>
          <w:rFonts w:hint="eastAsia"/>
          <w:color w:val="000000" w:themeColor="text1"/>
          <w14:textFill>
            <w14:solidFill>
              <w14:schemeClr w14:val="tx1"/>
            </w14:solidFill>
          </w14:textFill>
        </w:rPr>
        <w:t>项目实施人员一览表格式</w:t>
      </w:r>
      <w:bookmarkEnd w:id="182"/>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项目实施人员一览表（格式）</w:t>
      </w:r>
    </w:p>
    <w:p>
      <w:pPr>
        <w:ind w:firstLine="0" w:firstLineChars="0"/>
        <w:rPr>
          <w:color w:val="000000" w:themeColor="text1"/>
          <w:sz w:val="24"/>
          <w:szCs w:val="24"/>
          <w14:textFill>
            <w14:solidFill>
              <w14:schemeClr w14:val="tx1"/>
            </w14:solidFill>
          </w14:textFill>
        </w:rPr>
      </w:pPr>
    </w:p>
    <w:tbl>
      <w:tblPr>
        <w:tblStyle w:val="2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97"/>
        <w:gridCol w:w="2739"/>
        <w:gridCol w:w="1384"/>
        <w:gridCol w:w="153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920"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姓名</w:t>
            </w:r>
          </w:p>
        </w:tc>
        <w:tc>
          <w:tcPr>
            <w:tcW w:w="797"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职务</w:t>
            </w:r>
          </w:p>
        </w:tc>
        <w:tc>
          <w:tcPr>
            <w:tcW w:w="2739"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专业技术资格（职称）或者职业资格或者执业资格证或者其他证书</w:t>
            </w:r>
          </w:p>
        </w:tc>
        <w:tc>
          <w:tcPr>
            <w:tcW w:w="1384"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证书编号</w:t>
            </w:r>
          </w:p>
        </w:tc>
        <w:tc>
          <w:tcPr>
            <w:tcW w:w="1538"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参加本单位</w:t>
            </w:r>
          </w:p>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工作时间</w:t>
            </w:r>
          </w:p>
        </w:tc>
        <w:tc>
          <w:tcPr>
            <w:tcW w:w="1840" w:type="dxa"/>
            <w:vAlign w:val="center"/>
          </w:tcPr>
          <w:p>
            <w:pPr>
              <w:ind w:firstLine="0" w:firstLineChars="0"/>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797"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2739"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384"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538"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84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797"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2739"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384"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538"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84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2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797"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2739"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384"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538"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c>
          <w:tcPr>
            <w:tcW w:w="1840" w:type="dxa"/>
            <w:vAlign w:val="center"/>
          </w:tcPr>
          <w:p>
            <w:pPr>
              <w:ind w:firstLine="0" w:firstLineChars="0"/>
              <w:jc w:val="center"/>
              <w:rPr>
                <w:rFonts w:ascii="宋体" w:hAnsi="宋体"/>
                <w:color w:val="000000" w:themeColor="text1"/>
                <w:sz w:val="24"/>
                <w:szCs w:val="22"/>
                <w14:textFill>
                  <w14:solidFill>
                    <w14:schemeClr w14:val="tx1"/>
                  </w14:solidFill>
                </w14:textFill>
              </w:rPr>
            </w:pPr>
          </w:p>
        </w:tc>
      </w:tr>
    </w:tbl>
    <w:p>
      <w:pPr>
        <w:ind w:firstLine="0" w:firstLineChars="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注：在填写时，如本表格不适合供应商的实际情况，可根据本表格式自行制表填写。</w:t>
      </w:r>
    </w:p>
    <w:p>
      <w:pPr>
        <w:ind w:firstLine="0" w:firstLineChars="0"/>
        <w:rPr>
          <w:rFonts w:ascii="宋体" w:hAnsi="宋体"/>
          <w:color w:val="000000" w:themeColor="text1"/>
          <w:sz w:val="24"/>
          <w:szCs w:val="24"/>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日</w:t>
      </w:r>
    </w:p>
    <w:p>
      <w:pPr>
        <w:spacing w:before="260" w:after="260" w:line="415"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8"/>
        <w:rPr>
          <w:color w:val="000000" w:themeColor="text1"/>
          <w14:textFill>
            <w14:solidFill>
              <w14:schemeClr w14:val="tx1"/>
            </w14:solidFill>
          </w14:textFill>
        </w:rPr>
      </w:pPr>
      <w:bookmarkStart w:id="183" w:name="_Toc3999"/>
      <w:r>
        <w:rPr>
          <w:rFonts w:hint="eastAsia"/>
          <w:color w:val="000000" w:themeColor="text1"/>
          <w14:textFill>
            <w14:solidFill>
              <w14:schemeClr w14:val="tx1"/>
            </w14:solidFill>
          </w14:textFill>
        </w:rPr>
        <w:t>四、其他文书、文件格式</w:t>
      </w:r>
      <w:bookmarkEnd w:id="183"/>
    </w:p>
    <w:p>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left"/>
        <w:textAlignment w:val="auto"/>
        <w:outlineLvl w:val="2"/>
        <w:rPr>
          <w:rFonts w:hint="default" w:ascii="宋体" w:hAnsi="宋体"/>
          <w:b/>
          <w:sz w:val="32"/>
          <w:szCs w:val="32"/>
          <w:lang w:val="en-US"/>
        </w:rPr>
      </w:pPr>
      <w:bookmarkStart w:id="184" w:name="_Toc16806"/>
      <w:r>
        <w:rPr>
          <w:rFonts w:hint="eastAsia"/>
          <w:b/>
          <w:color w:val="000000"/>
          <w:sz w:val="24"/>
          <w:szCs w:val="24"/>
          <w:highlight w:val="none"/>
          <w:lang w:val="en-US" w:eastAsia="zh-CN"/>
        </w:rPr>
        <w:t>1、类似业绩表格式</w:t>
      </w:r>
    </w:p>
    <w:p>
      <w:pPr>
        <w:adjustRightInd w:val="0"/>
        <w:snapToGrid w:val="0"/>
        <w:spacing w:line="300" w:lineRule="auto"/>
        <w:jc w:val="center"/>
        <w:rPr>
          <w:rFonts w:hint="eastAsia" w:ascii="宋体" w:hAnsi="宋体"/>
          <w:b/>
          <w:sz w:val="32"/>
          <w:szCs w:val="32"/>
        </w:rPr>
      </w:pPr>
    </w:p>
    <w:p>
      <w:pPr>
        <w:adjustRightInd w:val="0"/>
        <w:snapToGrid w:val="0"/>
        <w:spacing w:line="300" w:lineRule="auto"/>
        <w:jc w:val="center"/>
        <w:rPr>
          <w:rFonts w:hint="eastAsia" w:ascii="宋体" w:hAnsi="宋体"/>
          <w:b/>
          <w:sz w:val="32"/>
          <w:szCs w:val="32"/>
        </w:rPr>
      </w:pPr>
      <w:r>
        <w:rPr>
          <w:rFonts w:hint="eastAsia" w:ascii="宋体" w:hAnsi="宋体"/>
          <w:b/>
          <w:sz w:val="32"/>
          <w:szCs w:val="32"/>
        </w:rPr>
        <w:t>类 似 业 绩（参考）</w:t>
      </w:r>
    </w:p>
    <w:p>
      <w:pPr>
        <w:snapToGrid w:val="0"/>
        <w:spacing w:before="156" w:beforeLines="50" w:after="50"/>
        <w:jc w:val="center"/>
        <w:rPr>
          <w:rFonts w:hint="eastAsia" w:ascii="宋体" w:hAnsi="宋体"/>
          <w:b/>
          <w:sz w:val="24"/>
          <w:szCs w:val="24"/>
        </w:rPr>
      </w:pPr>
      <w:r>
        <w:rPr>
          <w:rFonts w:hint="eastAsia" w:ascii="宋体" w:hAnsi="宋体"/>
          <w:b/>
          <w:sz w:val="24"/>
          <w:szCs w:val="24"/>
        </w:rPr>
        <w:t>与竞争性磋商文件</w:t>
      </w:r>
      <w:r>
        <w:rPr>
          <w:rFonts w:hint="eastAsia" w:ascii="宋体" w:hAnsi="宋体"/>
          <w:b/>
          <w:sz w:val="24"/>
          <w:szCs w:val="24"/>
          <w:lang w:val="en-US" w:eastAsia="zh-CN"/>
        </w:rPr>
        <w:t>采购</w:t>
      </w:r>
      <w:r>
        <w:rPr>
          <w:rFonts w:hint="eastAsia" w:ascii="宋体" w:hAnsi="宋体"/>
          <w:b/>
          <w:sz w:val="24"/>
          <w:szCs w:val="24"/>
        </w:rPr>
        <w:t>需求类似的项目业绩和合同履行情况</w:t>
      </w:r>
    </w:p>
    <w:tbl>
      <w:tblPr>
        <w:tblStyle w:val="26"/>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1744"/>
        <w:gridCol w:w="1818"/>
        <w:gridCol w:w="1597"/>
        <w:gridCol w:w="2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9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szCs w:val="21"/>
              </w:rPr>
            </w:pPr>
            <w:r>
              <w:rPr>
                <w:rFonts w:hint="eastAsia" w:ascii="宋体" w:hAnsi="宋体"/>
                <w:szCs w:val="21"/>
              </w:rPr>
              <w:t>采购单位名称</w:t>
            </w:r>
          </w:p>
        </w:tc>
        <w:tc>
          <w:tcPr>
            <w:tcW w:w="174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szCs w:val="21"/>
              </w:rPr>
            </w:pPr>
            <w:r>
              <w:rPr>
                <w:rFonts w:hint="eastAsia" w:ascii="宋体" w:hAnsi="宋体"/>
                <w:szCs w:val="21"/>
              </w:rPr>
              <w:t>项目名称</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szCs w:val="21"/>
              </w:rPr>
            </w:pPr>
            <w:r>
              <w:rPr>
                <w:rFonts w:hint="eastAsia" w:ascii="宋体" w:hAnsi="宋体"/>
                <w:szCs w:val="21"/>
              </w:rPr>
              <w:t>合同金额（万元）</w:t>
            </w:r>
          </w:p>
        </w:tc>
        <w:tc>
          <w:tcPr>
            <w:tcW w:w="1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center"/>
              <w:textAlignment w:val="auto"/>
              <w:rPr>
                <w:rFonts w:hint="eastAsia" w:ascii="宋体" w:hAnsi="宋体"/>
                <w:kern w:val="0"/>
                <w:szCs w:val="21"/>
              </w:rPr>
            </w:pPr>
            <w:r>
              <w:rPr>
                <w:rFonts w:hint="eastAsia" w:ascii="宋体" w:hAnsi="宋体"/>
                <w:szCs w:val="21"/>
              </w:rPr>
              <w:t>附件页码</w:t>
            </w:r>
          </w:p>
        </w:tc>
        <w:tc>
          <w:tcPr>
            <w:tcW w:w="2874"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kern w:val="0"/>
                <w:szCs w:val="21"/>
              </w:rPr>
            </w:pPr>
            <w:r>
              <w:rPr>
                <w:rFonts w:hint="eastAsia" w:ascii="宋体" w:hAnsi="宋体"/>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szCs w:val="21"/>
              </w:rPr>
            </w:pPr>
          </w:p>
        </w:tc>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szCs w:val="21"/>
              </w:rPr>
            </w:pPr>
          </w:p>
        </w:tc>
        <w:tc>
          <w:tcPr>
            <w:tcW w:w="1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szCs w:val="21"/>
              </w:rPr>
            </w:pPr>
            <w:r>
              <w:rPr>
                <w:rFonts w:hint="eastAsia" w:ascii="宋体" w:hAnsi="宋体"/>
                <w:szCs w:val="21"/>
              </w:rPr>
              <w:t>合同</w:t>
            </w:r>
          </w:p>
        </w:tc>
        <w:tc>
          <w:tcPr>
            <w:tcW w:w="2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szCs w:val="21"/>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szCs w:val="21"/>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szCs w:val="21"/>
              </w:rPr>
            </w:pPr>
          </w:p>
        </w:tc>
        <w:tc>
          <w:tcPr>
            <w:tcW w:w="28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9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28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9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28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28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15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c>
          <w:tcPr>
            <w:tcW w:w="28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50" w:after="156" w:afterLines="50" w:line="360" w:lineRule="exact"/>
              <w:ind w:firstLine="0" w:firstLineChars="0"/>
              <w:jc w:val="left"/>
              <w:textAlignment w:val="auto"/>
              <w:rPr>
                <w:rFonts w:hint="eastAsia" w:ascii="宋体" w:hAnsi="宋体"/>
                <w:szCs w:val="21"/>
              </w:rPr>
            </w:pPr>
          </w:p>
        </w:tc>
      </w:tr>
    </w:tbl>
    <w:p>
      <w:pPr>
        <w:spacing w:line="360" w:lineRule="auto"/>
        <w:rPr>
          <w:rFonts w:ascii="宋体" w:hAnsi="宋体"/>
          <w:szCs w:val="21"/>
        </w:rPr>
      </w:pPr>
      <w:r>
        <w:rPr>
          <w:rFonts w:hint="eastAsia" w:ascii="宋体" w:hAnsi="宋体"/>
          <w:szCs w:val="21"/>
        </w:rPr>
        <w:t>注：在填写时，如本表格不适合供应商的实际情况，可根据本表格式自行制表填写。（如有，请同时附证明材料）</w:t>
      </w:r>
    </w:p>
    <w:p>
      <w:pPr>
        <w:rPr>
          <w:rFonts w:hint="eastAsia"/>
          <w:color w:val="000000" w:themeColor="text1"/>
          <w:lang w:val="en-US" w:eastAsia="zh-CN"/>
          <w14:textFill>
            <w14:solidFill>
              <w14:schemeClr w14:val="tx1"/>
            </w14:solidFill>
          </w14:textFill>
        </w:rPr>
      </w:pPr>
    </w:p>
    <w:p>
      <w:pPr>
        <w:ind w:firstLine="0" w:firstLineChars="0"/>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供应商</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r>
        <w:rPr>
          <w:rFonts w:hint="eastAsia" w:ascii="宋体" w:hAnsi="宋体"/>
          <w:color w:val="000000" w:themeColor="text1"/>
          <w:spacing w:val="20"/>
          <w:sz w:val="24"/>
          <w:szCs w:val="24"/>
          <w14:textFill>
            <w14:solidFill>
              <w14:schemeClr w14:val="tx1"/>
            </w14:solidFill>
          </w14:textFill>
        </w:rPr>
        <w:t>：</w:t>
      </w:r>
      <w:r>
        <w:rPr>
          <w:rFonts w:hint="eastAsia" w:ascii="宋体" w:hAnsi="宋体"/>
          <w:color w:val="000000" w:themeColor="text1"/>
          <w:spacing w:val="20"/>
          <w:sz w:val="24"/>
          <w:szCs w:val="24"/>
          <w:u w:val="single"/>
          <w14:textFill>
            <w14:solidFill>
              <w14:schemeClr w14:val="tx1"/>
            </w14:solidFill>
          </w14:textFill>
        </w:rPr>
        <w:t xml:space="preserve">           </w:t>
      </w:r>
      <w:r>
        <w:rPr>
          <w:rFonts w:ascii="宋体" w:hAnsi="宋体"/>
          <w:color w:val="000000" w:themeColor="text1"/>
          <w:spacing w:val="20"/>
          <w:sz w:val="24"/>
          <w:szCs w:val="24"/>
          <w:u w:val="single"/>
          <w14:textFill>
            <w14:solidFill>
              <w14:schemeClr w14:val="tx1"/>
            </w14:solidFill>
          </w14:textFill>
        </w:rPr>
        <w:t xml:space="preserve">  </w:t>
      </w:r>
      <w:r>
        <w:rPr>
          <w:rFonts w:hint="eastAsia" w:ascii="宋体" w:hAnsi="宋体"/>
          <w:color w:val="000000" w:themeColor="text1"/>
          <w:spacing w:val="20"/>
          <w:sz w:val="24"/>
          <w:szCs w:val="24"/>
          <w14:textFill>
            <w14:solidFill>
              <w14:schemeClr w14:val="tx1"/>
            </w14:solidFill>
          </w14:textFill>
        </w:rPr>
        <w:t xml:space="preserve">    日  期：</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年</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月</w:t>
      </w:r>
      <w:r>
        <w:rPr>
          <w:rFonts w:hint="eastAsia"/>
          <w:color w:val="000000" w:themeColor="text1"/>
          <w:sz w:val="24"/>
          <w:szCs w:val="24"/>
          <w:u w:val="single"/>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日</w:t>
      </w:r>
    </w:p>
    <w:p>
      <w:pPr>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5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.联合体竞标协议书格式</w:t>
      </w:r>
      <w:bookmarkEnd w:id="184"/>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联合体竞标协议书</w:t>
      </w:r>
    </w:p>
    <w:p>
      <w:pPr>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ab/>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（所有成员单位名称） </w:t>
      </w:r>
      <w:r>
        <w:rPr>
          <w:rFonts w:hint="eastAsia"/>
          <w:color w:val="000000" w:themeColor="text1"/>
          <w:sz w:val="24"/>
          <w:szCs w:val="24"/>
          <w14:textFill>
            <w14:solidFill>
              <w14:schemeClr w14:val="tx1"/>
            </w14:solidFill>
          </w14:textFill>
        </w:rPr>
        <w:t>自愿组成</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（联合体名称） </w:t>
      </w:r>
      <w:r>
        <w:rPr>
          <w:rFonts w:hint="eastAsia"/>
          <w:color w:val="000000" w:themeColor="text1"/>
          <w:sz w:val="24"/>
          <w:szCs w:val="24"/>
          <w14:textFill>
            <w14:solidFill>
              <w14:schemeClr w14:val="tx1"/>
            </w14:solidFill>
          </w14:textFill>
        </w:rPr>
        <w:t xml:space="preserve">联合体，共同参加 </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u w:val="single"/>
          <w14:textFill>
            <w14:solidFill>
              <w14:schemeClr w14:val="tx1"/>
            </w14:solidFill>
          </w14:textFill>
        </w:rPr>
        <w:t>（项目名称）</w:t>
      </w:r>
      <w:r>
        <w:rPr>
          <w:rFonts w:hint="eastAsia"/>
          <w:color w:val="000000" w:themeColor="text1"/>
          <w:sz w:val="24"/>
          <w:szCs w:val="24"/>
          <w14:textFill>
            <w14:solidFill>
              <w14:schemeClr w14:val="tx1"/>
            </w14:solidFill>
          </w14:textFill>
        </w:rPr>
        <w:t>采购项目竞标。现就联合体投标事宜订立如下协议。</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（某成员单位名称） </w:t>
      </w:r>
      <w:r>
        <w:rPr>
          <w:rFonts w:hint="eastAsia"/>
          <w:color w:val="000000" w:themeColor="text1"/>
          <w:sz w:val="24"/>
          <w:szCs w:val="24"/>
          <w14:textFill>
            <w14:solidFill>
              <w14:schemeClr w14:val="tx1"/>
            </w14:solidFill>
          </w14:textFill>
        </w:rPr>
        <w:t>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u w:val="single"/>
          <w14:textFill>
            <w14:solidFill>
              <w14:schemeClr w14:val="tx1"/>
            </w14:solidFill>
          </w14:textFill>
        </w:rPr>
        <w:t xml:space="preserve">（联合体名称） </w:t>
      </w:r>
      <w:r>
        <w:rPr>
          <w:rFonts w:hint="eastAsia"/>
          <w:color w:val="000000" w:themeColor="text1"/>
          <w:sz w:val="24"/>
          <w:szCs w:val="24"/>
          <w14:textFill>
            <w14:solidFill>
              <w14:schemeClr w14:val="tx1"/>
            </w14:solidFill>
          </w14:textFill>
        </w:rPr>
        <w:t>牵头人。</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2.联合体各成员授权牵头人代表联合体参加竞标活动，签署文件及对文件的盖章，提交和接收相关的资料、 信息及指示，进行合同磋商活动，负责合同实施阶段的组织和协调工作，以及处理与本招标项 目有关的一切事宜。</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3.联合体牵头人在本项目中签署和盖章的一切文件和处理的一切事宜，联合体各成员均予以承认。 联合体各成员将严格按照采购文件、响应文件和合同的要求全面履行义务，并向采购人承担连带责任。</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4.联合体各成员单位内部的职责分工如下：</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ab/>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5.本协议书自所有成员单位法定代表人或者其委托代理人签字或者盖公章之日起生效，合同履行完毕后自动失效。</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6.本协议书一式</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ab/>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份，联合体成员和招标人各执一份。</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ascii="宋体" w:hAnsi="宋体" w:cs="仿宋_GB2312"/>
          <w:color w:val="000000" w:themeColor="text1"/>
          <w:sz w:val="24"/>
          <w:szCs w:val="24"/>
          <w14:textFill>
            <w14:solidFill>
              <w14:schemeClr w14:val="tx1"/>
            </w14:solidFill>
          </w14:textFill>
        </w:rPr>
        <w:t>本协议书应附法定代表人身份证明书；有委托代理的，应附权委托书（格式自拟）</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联合体牵头人名称（</w:t>
      </w:r>
      <w:r>
        <w:rPr>
          <w:rFonts w:hint="eastAsia" w:ascii="宋体" w:hAnsi="宋体" w:cs="仿宋_GB2312"/>
          <w:b/>
          <w:bCs/>
          <w:color w:val="000000" w:themeColor="text1"/>
          <w:sz w:val="24"/>
          <w:szCs w:val="24"/>
          <w14:textFill>
            <w14:solidFill>
              <w14:schemeClr w14:val="tx1"/>
            </w14:solidFill>
          </w14:textFill>
        </w:rPr>
        <w:t>电子签章</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法定代表人或者其委托代理人（</w:t>
      </w:r>
      <w:r>
        <w:rPr>
          <w:rFonts w:hint="eastAsia"/>
          <w:b/>
          <w:bCs/>
          <w:color w:val="000000" w:themeColor="text1"/>
          <w:sz w:val="24"/>
          <w:szCs w:val="24"/>
          <w14:textFill>
            <w14:solidFill>
              <w14:schemeClr w14:val="tx1"/>
            </w14:solidFill>
          </w14:textFill>
        </w:rPr>
        <w:t>签字或者盖章或者电子签名</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联合体成员名称（</w:t>
      </w:r>
      <w:r>
        <w:rPr>
          <w:rFonts w:hint="eastAsia" w:ascii="宋体" w:hAnsi="宋体" w:cs="仿宋_GB2312"/>
          <w:b/>
          <w:bCs/>
          <w:color w:val="000000" w:themeColor="text1"/>
          <w:sz w:val="24"/>
          <w:szCs w:val="24"/>
          <w14:textFill>
            <w14:solidFill>
              <w14:schemeClr w14:val="tx1"/>
            </w14:solidFill>
          </w14:textFill>
        </w:rPr>
        <w:t>盖公章或者电子签章</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法定代表人或者其委托代理人（</w:t>
      </w:r>
      <w:r>
        <w:rPr>
          <w:rFonts w:hint="eastAsia"/>
          <w:b/>
          <w:bCs/>
          <w:color w:val="000000" w:themeColor="text1"/>
          <w:sz w:val="24"/>
          <w:szCs w:val="24"/>
          <w14:textFill>
            <w14:solidFill>
              <w14:schemeClr w14:val="tx1"/>
            </w14:solidFill>
          </w14:textFill>
        </w:rPr>
        <w:t>签字或者盖章或者电子签名</w:t>
      </w:r>
      <w:r>
        <w:rPr>
          <w:rFonts w:hint="eastAsia"/>
          <w:color w:val="000000" w:themeColor="text1"/>
          <w:sz w:val="24"/>
          <w:szCs w:val="24"/>
          <w14:textFill>
            <w14:solidFill>
              <w14:schemeClr w14:val="tx1"/>
            </w14:solidFill>
          </w14:textFill>
        </w:rPr>
        <w:t>）：</w:t>
      </w: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p>
      <w:pPr>
        <w:ind w:firstLine="480"/>
        <w:jc w:val="righ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 xml:space="preserve">年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 xml:space="preserve">月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ind w:firstLine="480"/>
        <w:textAlignment w:val="auto"/>
        <w:rPr>
          <w:color w:val="000000" w:themeColor="text1"/>
          <w:sz w:val="24"/>
          <w:szCs w:val="24"/>
          <w14:textFill>
            <w14:solidFill>
              <w14:schemeClr w14:val="tx1"/>
            </w14:solidFill>
          </w14:textFill>
        </w:rPr>
      </w:pPr>
    </w:p>
    <w:p>
      <w:pPr>
        <w:pStyle w:val="55"/>
        <w:keepNext/>
        <w:keepLines/>
        <w:pageBreakBefore w:val="0"/>
        <w:widowControl/>
        <w:kinsoku/>
        <w:wordWrap/>
        <w:overflowPunct/>
        <w:topLinePunct w:val="0"/>
        <w:autoSpaceDE/>
        <w:autoSpaceDN/>
        <w:bidi w:val="0"/>
        <w:adjustRightInd/>
        <w:snapToGrid/>
        <w:textAlignment w:val="auto"/>
        <w:outlineLvl w:val="9"/>
        <w:rPr>
          <w:rFonts w:hint="eastAsia"/>
          <w:color w:val="000000" w:themeColor="text1"/>
          <w14:textFill>
            <w14:solidFill>
              <w14:schemeClr w14:val="tx1"/>
            </w14:solidFill>
          </w14:textFill>
        </w:rPr>
      </w:pPr>
    </w:p>
    <w:p>
      <w:pPr>
        <w:pStyle w:val="55"/>
        <w:keepNext/>
        <w:keepLines/>
        <w:pageBreakBefore w:val="0"/>
        <w:widowControl/>
        <w:kinsoku/>
        <w:wordWrap/>
        <w:overflowPunct/>
        <w:topLinePunct w:val="0"/>
        <w:autoSpaceDE/>
        <w:autoSpaceDN/>
        <w:bidi w:val="0"/>
        <w:adjustRightInd/>
        <w:snapToGrid/>
        <w:textAlignment w:val="auto"/>
        <w:outlineLvl w:val="9"/>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185" w:name="_Toc5826"/>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.中小企业声明函格式</w:t>
      </w:r>
      <w:bookmarkEnd w:id="185"/>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中小企业声明函（服务）</w:t>
      </w:r>
    </w:p>
    <w:p>
      <w:pPr>
        <w:ind w:firstLine="420"/>
        <w:rPr>
          <w:color w:val="000000" w:themeColor="text1"/>
          <w14:textFill>
            <w14:solidFill>
              <w14:schemeClr w14:val="tx1"/>
            </w14:solidFill>
          </w14:textFill>
        </w:rPr>
      </w:pPr>
    </w:p>
    <w:p>
      <w:pPr>
        <w:pStyle w:val="2"/>
        <w:spacing w:line="360" w:lineRule="auto"/>
        <w:ind w:firstLine="480"/>
        <w:contextualSpacing/>
        <w:jc w:val="left"/>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kern w:val="24"/>
          <w:u w:val="single"/>
          <w14:textFill>
            <w14:solidFill>
              <w14:schemeClr w14:val="tx1"/>
            </w14:solidFill>
          </w14:textFill>
        </w:rPr>
        <w:t xml:space="preserve"> </w:t>
      </w:r>
      <w:r>
        <w:rPr>
          <w:rFonts w:ascii="宋体" w:hAnsi="宋体"/>
          <w:color w:val="000000" w:themeColor="text1"/>
          <w:kern w:val="24"/>
          <w:u w:val="single"/>
          <w14:textFill>
            <w14:solidFill>
              <w14:schemeClr w14:val="tx1"/>
            </w14:solidFill>
          </w14:textFill>
        </w:rPr>
        <w:t>（单位名称）</w:t>
      </w:r>
      <w:r>
        <w:rPr>
          <w:rFonts w:hint="eastAsia" w:ascii="宋体" w:hAnsi="宋体"/>
          <w:color w:val="000000" w:themeColor="text1"/>
          <w:kern w:val="24"/>
          <w:u w:val="single"/>
          <w14:textFill>
            <w14:solidFill>
              <w14:schemeClr w14:val="tx1"/>
            </w14:solidFill>
          </w14:textFill>
        </w:rPr>
        <w:t xml:space="preserve"> </w:t>
      </w:r>
      <w:r>
        <w:rPr>
          <w:rFonts w:ascii="宋体" w:hAnsi="宋体"/>
          <w:color w:val="000000" w:themeColor="text1"/>
          <w:kern w:val="24"/>
          <w14:textFill>
            <w14:solidFill>
              <w14:schemeClr w14:val="tx1"/>
            </w14:solidFill>
          </w14:textFill>
        </w:rPr>
        <w:t>的</w:t>
      </w:r>
      <w:r>
        <w:rPr>
          <w:rFonts w:hint="eastAsia" w:ascii="宋体" w:hAnsi="宋体"/>
          <w:color w:val="000000" w:themeColor="text1"/>
          <w:kern w:val="24"/>
          <w:u w:val="single"/>
          <w14:textFill>
            <w14:solidFill>
              <w14:schemeClr w14:val="tx1"/>
            </w14:solidFill>
          </w14:textFill>
        </w:rPr>
        <w:t xml:space="preserve"> </w:t>
      </w:r>
      <w:r>
        <w:rPr>
          <w:rFonts w:ascii="宋体" w:hAnsi="宋体"/>
          <w:color w:val="000000" w:themeColor="text1"/>
          <w:kern w:val="24"/>
          <w:u w:val="single"/>
          <w14:textFill>
            <w14:solidFill>
              <w14:schemeClr w14:val="tx1"/>
            </w14:solidFill>
          </w14:textFill>
        </w:rPr>
        <w:t>（项目名称）</w:t>
      </w:r>
      <w:r>
        <w:rPr>
          <w:rFonts w:hint="eastAsia" w:ascii="宋体" w:hAnsi="宋体"/>
          <w:color w:val="000000" w:themeColor="text1"/>
          <w:kern w:val="24"/>
          <w:u w:val="single"/>
          <w14:textFill>
            <w14:solidFill>
              <w14:schemeClr w14:val="tx1"/>
            </w14:solidFill>
          </w14:textFill>
        </w:rPr>
        <w:t xml:space="preserve"> </w:t>
      </w:r>
      <w:r>
        <w:rPr>
          <w:rFonts w:ascii="宋体" w:hAnsi="宋体"/>
          <w:color w:val="000000" w:themeColor="text1"/>
          <w:kern w:val="24"/>
          <w14:textFill>
            <w14:solidFill>
              <w14:schemeClr w14:val="tx1"/>
            </w14:solidFill>
          </w14:textFill>
        </w:rPr>
        <w:t>采购活动，</w:t>
      </w:r>
      <w:r>
        <w:rPr>
          <w:rFonts w:hint="eastAsia" w:ascii="宋体" w:hAnsi="宋体"/>
          <w:color w:val="000000" w:themeColor="text1"/>
          <w:kern w:val="24"/>
          <w14:textFill>
            <w14:solidFill>
              <w14:schemeClr w14:val="tx1"/>
            </w14:solidFill>
          </w14:textFill>
        </w:rPr>
        <w:t>服务全部由符合政策要求的中小企业承接。相关企业（含联合体中的中小企业、签订分包意向协议的中小企业）的具体情况如下</w:t>
      </w:r>
      <w:r>
        <w:rPr>
          <w:rFonts w:ascii="宋体" w:hAnsi="宋体"/>
          <w:color w:val="000000" w:themeColor="text1"/>
          <w:kern w:val="24"/>
          <w14:textFill>
            <w14:solidFill>
              <w14:schemeClr w14:val="tx1"/>
            </w14:solidFill>
          </w14:textFill>
        </w:rPr>
        <w:t>：</w:t>
      </w:r>
    </w:p>
    <w:p>
      <w:pPr>
        <w:tabs>
          <w:tab w:val="left" w:pos="1384"/>
          <w:tab w:val="left" w:pos="4562"/>
          <w:tab w:val="left" w:pos="6803"/>
        </w:tabs>
        <w:ind w:firstLine="480"/>
        <w:contextualSpacing/>
        <w:rPr>
          <w:rFonts w:ascii="宋体" w:hAnsi="宋体"/>
          <w:color w:val="000000" w:themeColor="text1"/>
          <w:kern w:val="24"/>
          <w:sz w:val="24"/>
          <w:szCs w:val="24"/>
          <w14:textFill>
            <w14:solidFill>
              <w14:schemeClr w14:val="tx1"/>
            </w14:solidFill>
          </w14:textFill>
        </w:rPr>
      </w:pPr>
      <w:r>
        <w:rPr>
          <w:rFonts w:ascii="宋体" w:hAnsi="宋体"/>
          <w:color w:val="000000" w:themeColor="text1"/>
          <w:kern w:val="24"/>
          <w:sz w:val="24"/>
          <w:szCs w:val="24"/>
          <w14:textFill>
            <w14:solidFill>
              <w14:schemeClr w14:val="tx1"/>
            </w14:solidFill>
          </w14:textFill>
        </w:rPr>
        <w:t>1.</w:t>
      </w:r>
      <w:r>
        <w:rPr>
          <w:rFonts w:ascii="宋体" w:hAnsi="宋体"/>
          <w:color w:val="000000" w:themeColor="text1"/>
          <w:kern w:val="24"/>
          <w:sz w:val="24"/>
          <w:szCs w:val="24"/>
          <w:u w:val="single"/>
          <w14:textFill>
            <w14:solidFill>
              <w14:schemeClr w14:val="tx1"/>
            </w14:solidFill>
          </w14:textFill>
        </w:rPr>
        <w:t xml:space="preserve"> （标的名称）</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，属于</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（采购文件中明确的所属行业）</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行业；</w:t>
      </w:r>
      <w:r>
        <w:rPr>
          <w:rFonts w:hint="eastAsia" w:ascii="宋体" w:hAnsi="宋体"/>
          <w:color w:val="000000" w:themeColor="text1"/>
          <w:kern w:val="24"/>
          <w:sz w:val="24"/>
          <w:szCs w:val="24"/>
          <w14:textFill>
            <w14:solidFill>
              <w14:schemeClr w14:val="tx1"/>
            </w14:solidFill>
          </w14:textFill>
        </w:rPr>
        <w:t>承接企业为</w:t>
      </w:r>
      <w:r>
        <w:rPr>
          <w:rFonts w:ascii="宋体" w:hAnsi="宋体"/>
          <w:color w:val="000000" w:themeColor="text1"/>
          <w:kern w:val="24"/>
          <w:sz w:val="24"/>
          <w:szCs w:val="24"/>
          <w:u w:val="single"/>
          <w14:textFill>
            <w14:solidFill>
              <w14:schemeClr w14:val="tx1"/>
            </w14:solidFill>
          </w14:textFill>
        </w:rPr>
        <w:t>（企业名称）</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，从业人员</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人，营业收入为</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万元，资产总额为</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万元，属于</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（中型企业、小型企业、微型企业）</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w:t>
      </w:r>
    </w:p>
    <w:p>
      <w:pPr>
        <w:tabs>
          <w:tab w:val="left" w:pos="1384"/>
          <w:tab w:val="left" w:pos="4562"/>
          <w:tab w:val="left" w:pos="6803"/>
        </w:tabs>
        <w:ind w:firstLine="480"/>
        <w:contextualSpacing/>
        <w:rPr>
          <w:rFonts w:ascii="宋体" w:hAnsi="宋体"/>
          <w:color w:val="000000" w:themeColor="text1"/>
          <w:kern w:val="24"/>
          <w:sz w:val="24"/>
          <w:szCs w:val="24"/>
          <w14:textFill>
            <w14:solidFill>
              <w14:schemeClr w14:val="tx1"/>
            </w14:solidFill>
          </w14:textFill>
        </w:rPr>
      </w:pPr>
      <w:r>
        <w:rPr>
          <w:rFonts w:ascii="宋体" w:hAnsi="宋体"/>
          <w:color w:val="000000" w:themeColor="text1"/>
          <w:kern w:val="24"/>
          <w:sz w:val="24"/>
          <w:szCs w:val="24"/>
          <w14:textFill>
            <w14:solidFill>
              <w14:schemeClr w14:val="tx1"/>
            </w14:solidFill>
          </w14:textFill>
        </w:rPr>
        <w:t>2.</w:t>
      </w:r>
      <w:r>
        <w:rPr>
          <w:rFonts w:ascii="宋体" w:hAnsi="宋体"/>
          <w:color w:val="000000" w:themeColor="text1"/>
          <w:kern w:val="24"/>
          <w:sz w:val="24"/>
          <w:szCs w:val="24"/>
          <w:u w:val="single"/>
          <w14:textFill>
            <w14:solidFill>
              <w14:schemeClr w14:val="tx1"/>
            </w14:solidFill>
          </w14:textFill>
        </w:rPr>
        <w:t xml:space="preserve"> （标的名称）</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，属于</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（采购文件中明确的所属行业）</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行业；</w:t>
      </w:r>
      <w:r>
        <w:rPr>
          <w:rFonts w:hint="eastAsia" w:ascii="宋体" w:hAnsi="宋体"/>
          <w:color w:val="000000" w:themeColor="text1"/>
          <w:kern w:val="24"/>
          <w:sz w:val="24"/>
          <w:szCs w:val="24"/>
          <w14:textFill>
            <w14:solidFill>
              <w14:schemeClr w14:val="tx1"/>
            </w14:solidFill>
          </w14:textFill>
        </w:rPr>
        <w:t>承接企业为</w:t>
      </w:r>
      <w:r>
        <w:rPr>
          <w:rFonts w:ascii="宋体" w:hAnsi="宋体"/>
          <w:color w:val="000000" w:themeColor="text1"/>
          <w:kern w:val="24"/>
          <w:sz w:val="24"/>
          <w:szCs w:val="24"/>
          <w:u w:val="single"/>
          <w14:textFill>
            <w14:solidFill>
              <w14:schemeClr w14:val="tx1"/>
            </w14:solidFill>
          </w14:textFill>
        </w:rPr>
        <w:t>（企业名称）</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，从业人员</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人，营业收入为</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万元，资产总额为</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万元，属于</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u w:val="single"/>
          <w14:textFill>
            <w14:solidFill>
              <w14:schemeClr w14:val="tx1"/>
            </w14:solidFill>
          </w14:textFill>
        </w:rPr>
        <w:t>（中型企业、小型企业、微型企业）</w:t>
      </w:r>
      <w:r>
        <w:rPr>
          <w:rFonts w:hint="eastAsia" w:ascii="宋体" w:hAnsi="宋体"/>
          <w:color w:val="000000" w:themeColor="text1"/>
          <w:kern w:val="24"/>
          <w:sz w:val="24"/>
          <w:szCs w:val="24"/>
          <w:u w:val="single"/>
          <w14:textFill>
            <w14:solidFill>
              <w14:schemeClr w14:val="tx1"/>
            </w14:solidFill>
          </w14:textFill>
        </w:rPr>
        <w:t xml:space="preserve"> </w:t>
      </w:r>
      <w:r>
        <w:rPr>
          <w:rFonts w:ascii="宋体" w:hAnsi="宋体"/>
          <w:color w:val="000000" w:themeColor="text1"/>
          <w:kern w:val="24"/>
          <w:sz w:val="24"/>
          <w:szCs w:val="24"/>
          <w14:textFill>
            <w14:solidFill>
              <w14:schemeClr w14:val="tx1"/>
            </w14:solidFill>
          </w14:textFill>
        </w:rPr>
        <w:t>；</w:t>
      </w:r>
    </w:p>
    <w:p>
      <w:pPr>
        <w:pStyle w:val="2"/>
        <w:spacing w:line="360" w:lineRule="auto"/>
        <w:ind w:firstLine="480"/>
        <w:contextualSpacing/>
        <w:jc w:val="left"/>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 xml:space="preserve">…… </w:t>
      </w:r>
    </w:p>
    <w:p>
      <w:pPr>
        <w:pStyle w:val="2"/>
        <w:spacing w:line="360" w:lineRule="auto"/>
        <w:ind w:firstLine="453" w:firstLineChars="189"/>
        <w:contextualSpacing/>
        <w:jc w:val="left"/>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以上企业，不属于大企业的分支机构，不存在控股股东为大企业的情形，也不存在与大企业的负责人为同一人的情形。</w:t>
      </w:r>
    </w:p>
    <w:p>
      <w:pPr>
        <w:pStyle w:val="2"/>
        <w:spacing w:line="360" w:lineRule="auto"/>
        <w:ind w:firstLine="480"/>
        <w:contextualSpacing/>
        <w:jc w:val="left"/>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本企业对上述声明内容的真实性负责。如有虚假，将依法承担相应责任。</w:t>
      </w:r>
    </w:p>
    <w:p>
      <w:pPr>
        <w:pStyle w:val="2"/>
        <w:spacing w:line="360" w:lineRule="auto"/>
        <w:ind w:firstLine="480"/>
        <w:contextualSpacing/>
        <w:jc w:val="left"/>
        <w:rPr>
          <w:rFonts w:ascii="宋体" w:hAnsi="宋体"/>
          <w:color w:val="000000" w:themeColor="text1"/>
          <w:kern w:val="24"/>
          <w14:textFill>
            <w14:solidFill>
              <w14:schemeClr w14:val="tx1"/>
            </w14:solidFill>
          </w14:textFill>
        </w:rPr>
      </w:pPr>
    </w:p>
    <w:p>
      <w:pPr>
        <w:pStyle w:val="2"/>
        <w:spacing w:line="360" w:lineRule="auto"/>
        <w:ind w:firstLine="0" w:firstLineChars="0"/>
        <w:contextualSpacing/>
        <w:jc w:val="center"/>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企业名称（章）：</w:t>
      </w:r>
    </w:p>
    <w:p>
      <w:pPr>
        <w:pStyle w:val="2"/>
        <w:spacing w:line="360" w:lineRule="auto"/>
        <w:ind w:firstLine="0" w:firstLineChars="0"/>
        <w:contextualSpacing/>
        <w:jc w:val="center"/>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日</w:t>
      </w:r>
      <w:r>
        <w:rPr>
          <w:rFonts w:hint="eastAsia" w:ascii="宋体" w:hAnsi="宋体"/>
          <w:color w:val="000000" w:themeColor="text1"/>
          <w:kern w:val="24"/>
          <w14:textFill>
            <w14:solidFill>
              <w14:schemeClr w14:val="tx1"/>
            </w14:solidFill>
          </w14:textFill>
        </w:rPr>
        <w:t xml:space="preserve"> </w:t>
      </w:r>
      <w:r>
        <w:rPr>
          <w:rFonts w:ascii="宋体" w:hAnsi="宋体"/>
          <w:color w:val="000000" w:themeColor="text1"/>
          <w:kern w:val="24"/>
          <w14:textFill>
            <w14:solidFill>
              <w14:schemeClr w14:val="tx1"/>
            </w14:solidFill>
          </w14:textFill>
        </w:rPr>
        <w:t>期：</w:t>
      </w:r>
    </w:p>
    <w:p>
      <w:pPr>
        <w:pStyle w:val="2"/>
        <w:spacing w:line="360" w:lineRule="auto"/>
        <w:ind w:firstLine="0" w:firstLineChars="0"/>
        <w:contextualSpacing/>
        <w:jc w:val="left"/>
        <w:rPr>
          <w:rFonts w:ascii="宋体" w:hAnsi="宋体"/>
          <w:color w:val="000000" w:themeColor="text1"/>
          <w:kern w:val="24"/>
          <w14:textFill>
            <w14:solidFill>
              <w14:schemeClr w14:val="tx1"/>
            </w14:solidFill>
          </w14:textFill>
        </w:rPr>
      </w:pPr>
    </w:p>
    <w:p>
      <w:pPr>
        <w:pStyle w:val="2"/>
        <w:spacing w:line="360" w:lineRule="auto"/>
        <w:ind w:firstLine="0" w:firstLineChars="0"/>
        <w:contextualSpacing/>
        <w:jc w:val="left"/>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before="260" w:after="260" w:line="415" w:lineRule="auto"/>
        <w:ind w:firstLine="0" w:firstLineChars="0"/>
        <w:jc w:val="center"/>
        <w:rPr>
          <w:rFonts w:ascii="Times New Roman" w:hAnsi="Times New Roman" w:eastAsia="宋体" w:cs="Times New Roman"/>
          <w:b/>
          <w:color w:val="000000" w:themeColor="text1"/>
          <w:kern w:val="0"/>
          <w:sz w:val="24"/>
          <w:szCs w:val="24"/>
          <w:lang w:val="zh-CN"/>
          <w14:textFill>
            <w14:solidFill>
              <w14:schemeClr w14:val="tx1"/>
            </w14:solidFill>
          </w14:textFill>
        </w:rPr>
      </w:pPr>
      <w:r>
        <w:rPr>
          <w:b/>
          <w:color w:val="000000" w:themeColor="text1"/>
          <w14:textFill>
            <w14:solidFill>
              <w14:schemeClr w14:val="tx1"/>
            </w14:solidFill>
          </w14:textFill>
        </w:rPr>
        <w:br w:type="page"/>
      </w:r>
    </w:p>
    <w:p>
      <w:pPr>
        <w:pStyle w:val="55"/>
        <w:rPr>
          <w:color w:val="000000" w:themeColor="text1"/>
          <w14:textFill>
            <w14:solidFill>
              <w14:schemeClr w14:val="tx1"/>
            </w14:solidFill>
          </w14:textFill>
        </w:rPr>
      </w:pPr>
      <w:bookmarkStart w:id="186" w:name="_Toc4627"/>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.残疾人福利性单位声明函格式</w:t>
      </w:r>
      <w:bookmarkEnd w:id="186"/>
    </w:p>
    <w:p>
      <w:pPr>
        <w:ind w:firstLine="420"/>
        <w:rPr>
          <w:color w:val="000000" w:themeColor="text1"/>
          <w14:textFill>
            <w14:solidFill>
              <w14:schemeClr w14:val="tx1"/>
            </w14:solidFill>
          </w14:textFill>
        </w:rPr>
      </w:pPr>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残疾人福利性单位声明函</w:t>
      </w:r>
    </w:p>
    <w:p>
      <w:pPr>
        <w:ind w:firstLine="420"/>
        <w:rPr>
          <w:color w:val="000000" w:themeColor="text1"/>
          <w14:textFill>
            <w14:solidFill>
              <w14:schemeClr w14:val="tx1"/>
            </w14:solidFill>
          </w14:textFill>
        </w:rPr>
      </w:pPr>
    </w:p>
    <w:p>
      <w:pPr>
        <w:widowControl w:val="0"/>
        <w:ind w:firstLine="504"/>
        <w:contextualSpacing/>
        <w:jc w:val="both"/>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Times New Roman"/>
          <w:color w:val="000000" w:themeColor="text1"/>
          <w:sz w:val="24"/>
          <w:szCs w:val="24"/>
          <w14:textFill>
            <w14:solidFill>
              <w14:schemeClr w14:val="tx1"/>
            </w14:solidFill>
          </w14:textFill>
        </w:rPr>
        <w:t>〔2017〕 141</w:t>
      </w:r>
      <w:r>
        <w:rPr>
          <w:rFonts w:hint="eastAsia" w:ascii="宋体" w:hAnsi="宋体" w:eastAsia="宋体" w:cs="Times New Roman"/>
          <w:color w:val="000000" w:themeColor="text1"/>
          <w:spacing w:val="6"/>
          <w:sz w:val="24"/>
          <w:szCs w:val="24"/>
          <w14:textFill>
            <w14:solidFill>
              <w14:schemeClr w14:val="tx1"/>
            </w14:solidFill>
          </w14:textFill>
        </w:rPr>
        <w:t>号）的规定，本单位为符合条件的残疾人福利性单位，且本单位参加</w:t>
      </w:r>
      <w:r>
        <w:rPr>
          <w:rFonts w:hint="eastAsia" w:ascii="宋体" w:hAnsi="宋体" w:eastAsia="宋体" w:cs="Times New Roman"/>
          <w:color w:val="000000" w:themeColor="text1"/>
          <w:spacing w:val="6"/>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6"/>
          <w:sz w:val="24"/>
          <w:szCs w:val="24"/>
          <w14:textFill>
            <w14:solidFill>
              <w14:schemeClr w14:val="tx1"/>
            </w14:solidFill>
          </w14:textFill>
        </w:rPr>
        <w:t>单位的</w:t>
      </w:r>
      <w:r>
        <w:rPr>
          <w:rFonts w:hint="eastAsia" w:ascii="宋体" w:hAnsi="宋体" w:eastAsia="宋体" w:cs="Times New Roman"/>
          <w:color w:val="000000" w:themeColor="text1"/>
          <w:spacing w:val="6"/>
          <w:sz w:val="24"/>
          <w:szCs w:val="24"/>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6"/>
          <w:sz w:val="24"/>
          <w:szCs w:val="24"/>
          <w14:textFill>
            <w14:solidFill>
              <w14:schemeClr w14:val="tx1"/>
            </w14:solidFill>
          </w14:textFill>
        </w:rPr>
        <w:t>项目采购活动提供本单位制造的货物（由本单位承担工程/提供服务），或者提供其他残</w:t>
      </w:r>
      <w:r>
        <w:rPr>
          <w:rFonts w:hint="eastAsia" w:ascii="宋体" w:hAnsi="宋体" w:eastAsia="宋体" w:cs="Times New Roman"/>
          <w:color w:val="000000" w:themeColor="text1"/>
          <w:spacing w:val="-6"/>
          <w:sz w:val="24"/>
          <w:szCs w:val="24"/>
          <w14:textFill>
            <w14:solidFill>
              <w14:schemeClr w14:val="tx1"/>
            </w14:solidFill>
          </w14:textFill>
        </w:rPr>
        <w:t>疾人福利性单位制造的货物（不包括使用非残疾人福利性单位注册商标的货物）。</w:t>
      </w:r>
    </w:p>
    <w:p>
      <w:pPr>
        <w:widowControl w:val="0"/>
        <w:ind w:firstLine="504"/>
        <w:contextualSpacing/>
        <w:jc w:val="both"/>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本单位对上述声明的真实性负责。如有虚假，将依法承担相应责任。</w:t>
      </w:r>
    </w:p>
    <w:p>
      <w:pPr>
        <w:widowControl w:val="0"/>
        <w:ind w:firstLine="504"/>
        <w:contextualSpacing/>
        <w:jc w:val="both"/>
        <w:rPr>
          <w:rFonts w:ascii="宋体" w:hAnsi="宋体" w:eastAsia="宋体" w:cs="Times New Roman"/>
          <w:color w:val="000000" w:themeColor="text1"/>
          <w:spacing w:val="6"/>
          <w:sz w:val="24"/>
          <w:szCs w:val="24"/>
          <w14:textFill>
            <w14:solidFill>
              <w14:schemeClr w14:val="tx1"/>
            </w14:solidFill>
          </w14:textFill>
        </w:rPr>
      </w:pPr>
    </w:p>
    <w:p>
      <w:pPr>
        <w:widowControl w:val="0"/>
        <w:ind w:firstLine="504"/>
        <w:contextualSpacing/>
        <w:jc w:val="both"/>
        <w:rPr>
          <w:rFonts w:ascii="宋体" w:hAnsi="宋体" w:eastAsia="宋体" w:cs="Times New Roman"/>
          <w:color w:val="000000" w:themeColor="text1"/>
          <w:spacing w:val="6"/>
          <w:sz w:val="24"/>
          <w:szCs w:val="24"/>
          <w14:textFill>
            <w14:solidFill>
              <w14:schemeClr w14:val="tx1"/>
            </w14:solidFill>
          </w14:textFill>
        </w:rPr>
      </w:pPr>
    </w:p>
    <w:p>
      <w:pPr>
        <w:widowControl w:val="0"/>
        <w:tabs>
          <w:tab w:val="left" w:pos="4860"/>
        </w:tabs>
        <w:ind w:right="1560" w:firstLine="504"/>
        <w:contextualSpacing/>
        <w:jc w:val="center"/>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单位名称（盖章）：</w:t>
      </w:r>
    </w:p>
    <w:p>
      <w:pPr>
        <w:widowControl w:val="0"/>
        <w:tabs>
          <w:tab w:val="left" w:pos="4860"/>
        </w:tabs>
        <w:ind w:right="1560" w:firstLine="504"/>
        <w:contextualSpacing/>
        <w:jc w:val="center"/>
        <w:rPr>
          <w:rFonts w:ascii="宋体" w:hAnsi="宋体" w:eastAsia="宋体" w:cs="Times New Roman"/>
          <w:color w:val="000000" w:themeColor="text1"/>
          <w:spacing w:val="6"/>
          <w:sz w:val="24"/>
          <w:szCs w:val="24"/>
          <w14:textFill>
            <w14:solidFill>
              <w14:schemeClr w14:val="tx1"/>
            </w14:solidFill>
          </w14:textFill>
        </w:rPr>
      </w:pPr>
      <w:r>
        <w:rPr>
          <w:rFonts w:hint="eastAsia" w:ascii="宋体" w:hAnsi="宋体" w:eastAsia="宋体" w:cs="Times New Roman"/>
          <w:color w:val="000000" w:themeColor="text1"/>
          <w:spacing w:val="6"/>
          <w:sz w:val="24"/>
          <w:szCs w:val="24"/>
          <w14:textFill>
            <w14:solidFill>
              <w14:schemeClr w14:val="tx1"/>
            </w14:solidFill>
          </w14:textFill>
        </w:rPr>
        <w:t xml:space="preserve"> </w:t>
      </w:r>
      <w:r>
        <w:rPr>
          <w:rFonts w:ascii="宋体" w:hAnsi="宋体" w:eastAsia="宋体" w:cs="Times New Roman"/>
          <w:color w:val="000000" w:themeColor="text1"/>
          <w:spacing w:val="6"/>
          <w:sz w:val="24"/>
          <w:szCs w:val="24"/>
          <w14:textFill>
            <w14:solidFill>
              <w14:schemeClr w14:val="tx1"/>
            </w14:solidFill>
          </w14:textFill>
        </w:rPr>
        <w:t xml:space="preserve">       </w:t>
      </w:r>
      <w:r>
        <w:rPr>
          <w:rFonts w:hint="eastAsia" w:ascii="宋体" w:hAnsi="宋体" w:eastAsia="宋体" w:cs="Times New Roman"/>
          <w:color w:val="000000" w:themeColor="text1"/>
          <w:spacing w:val="6"/>
          <w:sz w:val="24"/>
          <w:szCs w:val="24"/>
          <w14:textFill>
            <w14:solidFill>
              <w14:schemeClr w14:val="tx1"/>
            </w14:solidFill>
          </w14:textFill>
        </w:rPr>
        <w:t>日  期：</w:t>
      </w:r>
    </w:p>
    <w:p>
      <w:pPr>
        <w:widowControl w:val="0"/>
        <w:ind w:firstLine="0" w:firstLineChars="0"/>
        <w:contextualSpacing/>
        <w:jc w:val="both"/>
        <w:rPr>
          <w:rFonts w:ascii="宋体" w:hAnsi="宋体" w:eastAsia="宋体" w:cs="Times New Roman"/>
          <w:color w:val="000000" w:themeColor="text1"/>
          <w:sz w:val="24"/>
          <w:szCs w:val="24"/>
          <w14:textFill>
            <w14:solidFill>
              <w14:schemeClr w14:val="tx1"/>
            </w14:solidFill>
          </w14:textFill>
        </w:rPr>
      </w:pPr>
    </w:p>
    <w:p>
      <w:pPr>
        <w:widowControl w:val="0"/>
        <w:ind w:firstLine="0" w:firstLineChars="0"/>
        <w:contextualSpacing/>
        <w:jc w:val="both"/>
        <w:rPr>
          <w:rFonts w:ascii="宋体" w:hAnsi="宋体" w:eastAsia="宋体" w:cs="Times New Roman"/>
          <w:color w:val="000000" w:themeColor="text1"/>
          <w:sz w:val="24"/>
          <w:szCs w:val="24"/>
          <w14:textFill>
            <w14:solidFill>
              <w14:schemeClr w14:val="tx1"/>
            </w14:solidFill>
          </w14:textFill>
        </w:rPr>
      </w:pPr>
    </w:p>
    <w:p>
      <w:pPr>
        <w:widowControl w:val="0"/>
        <w:ind w:firstLine="0" w:firstLineChars="0"/>
        <w:contextualSpacing/>
        <w:jc w:val="both"/>
        <w:rPr>
          <w:rFonts w:ascii="宋体" w:hAnsi="宋体" w:eastAsia="宋体" w:cs="Times New Roman"/>
          <w:color w:val="000000" w:themeColor="text1"/>
          <w:sz w:val="24"/>
          <w:szCs w:val="24"/>
          <w14:textFill>
            <w14:solidFill>
              <w14:schemeClr w14:val="tx1"/>
            </w14:solidFill>
          </w14:textFill>
        </w:rPr>
      </w:pPr>
    </w:p>
    <w:p>
      <w:pPr>
        <w:widowControl w:val="0"/>
        <w:ind w:firstLine="0" w:firstLineChars="0"/>
        <w:contextualSpacing/>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w:t>
      </w:r>
    </w:p>
    <w:p>
      <w:pPr>
        <w:spacing w:before="260" w:after="260" w:line="415" w:lineRule="auto"/>
        <w:ind w:firstLine="0" w:firstLineChars="0"/>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pPr>
        <w:pStyle w:val="55"/>
        <w:rPr>
          <w:color w:val="000000" w:themeColor="text1"/>
          <w14:textFill>
            <w14:solidFill>
              <w14:schemeClr w14:val="tx1"/>
            </w14:solidFill>
          </w14:textFill>
        </w:rPr>
      </w:pPr>
      <w:bookmarkStart w:id="187" w:name="_Toc12449"/>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.质疑函（格式）</w:t>
      </w:r>
      <w:bookmarkEnd w:id="187"/>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质疑函（格式）</w:t>
      </w:r>
    </w:p>
    <w:p>
      <w:pPr>
        <w:widowControl w:val="0"/>
        <w:snapToGrid w:val="0"/>
        <w:ind w:firstLine="482"/>
        <w:jc w:val="both"/>
        <w:rPr>
          <w:rFonts w:ascii="宋体" w:hAnsi="宋体" w:eastAsia="宋体" w:cs="Times New Roman"/>
          <w:b/>
          <w:bCs/>
          <w:color w:val="000000" w:themeColor="text1"/>
          <w:kern w:val="0"/>
          <w:sz w:val="24"/>
          <w:szCs w:val="24"/>
          <w:lang w:val="zh-CN"/>
          <w14:textFill>
            <w14:solidFill>
              <w14:schemeClr w14:val="tx1"/>
            </w14:solidFill>
          </w14:textFill>
        </w:rPr>
      </w:pPr>
      <w:r>
        <w:rPr>
          <w:rFonts w:hint="eastAsia" w:ascii="宋体" w:hAnsi="宋体" w:eastAsia="宋体" w:cs="Times New Roman"/>
          <w:b/>
          <w:bCs/>
          <w:color w:val="000000" w:themeColor="text1"/>
          <w:kern w:val="0"/>
          <w:sz w:val="24"/>
          <w:szCs w:val="24"/>
          <w:lang w:val="zh-CN"/>
          <w14:textFill>
            <w14:solidFill>
              <w14:schemeClr w14:val="tx1"/>
            </w14:solidFill>
          </w14:textFill>
        </w:rPr>
        <w:t>一、质疑供应商基本信息：</w:t>
      </w:r>
    </w:p>
    <w:p>
      <w:pPr>
        <w:widowControl w:val="0"/>
        <w:snapToGrid w:val="0"/>
        <w:ind w:firstLine="480"/>
        <w:jc w:val="both"/>
        <w:rPr>
          <w:rFonts w:ascii="宋体" w:hAnsi="宋体" w:eastAsia="宋体" w:cs="Times New Roman"/>
          <w:bCs/>
          <w:color w:val="000000" w:themeColor="text1"/>
          <w:kern w:val="0"/>
          <w:sz w:val="24"/>
          <w:szCs w:val="24"/>
          <w:u w:val="single"/>
          <w:lang w:val="zh-CN"/>
          <w14:textFill>
            <w14:solidFill>
              <w14:schemeClr w14:val="tx1"/>
            </w14:solidFill>
          </w14:textFill>
        </w:rPr>
      </w:pPr>
      <w:r>
        <w:rPr>
          <w:rFonts w:hint="eastAsia" w:ascii="宋体" w:hAnsi="宋体" w:eastAsia="宋体" w:cs="Times New Roman"/>
          <w:bCs/>
          <w:color w:val="000000" w:themeColor="text1"/>
          <w:kern w:val="0"/>
          <w:sz w:val="24"/>
          <w:szCs w:val="24"/>
          <w:lang w:val="zh-CN"/>
          <w14:textFill>
            <w14:solidFill>
              <w14:schemeClr w14:val="tx1"/>
            </w14:solidFill>
          </w14:textFill>
        </w:rPr>
        <w:t>质疑供应商：</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 w:val="24"/>
          <w:szCs w:val="24"/>
          <w:lang w:val="zh-CN"/>
          <w14:textFill>
            <w14:solidFill>
              <w14:schemeClr w14:val="tx1"/>
            </w14:solidFill>
          </w14:textFill>
        </w:rPr>
        <w:t xml:space="preserve">                 </w:t>
      </w:r>
    </w:p>
    <w:p>
      <w:pPr>
        <w:widowControl w:val="0"/>
        <w:snapToGrid w:val="0"/>
        <w:ind w:firstLine="480"/>
        <w:jc w:val="both"/>
        <w:rPr>
          <w:rFonts w:ascii="宋体" w:hAnsi="宋体" w:eastAsia="宋体" w:cs="Times New Roman"/>
          <w:bCs/>
          <w:color w:val="000000" w:themeColor="text1"/>
          <w:kern w:val="0"/>
          <w:sz w:val="24"/>
          <w:szCs w:val="24"/>
          <w:lang w:val="zh-CN"/>
          <w14:textFill>
            <w14:solidFill>
              <w14:schemeClr w14:val="tx1"/>
            </w14:solidFill>
          </w14:textFill>
        </w:rPr>
      </w:pPr>
      <w:r>
        <w:rPr>
          <w:rFonts w:ascii="宋体" w:hAnsi="宋体" w:eastAsia="宋体" w:cs="Times New Roman"/>
          <w:bCs/>
          <w:color w:val="000000" w:themeColor="text1"/>
          <w:kern w:val="0"/>
          <w:sz w:val="24"/>
          <w:szCs w:val="24"/>
          <w:lang w:val="zh-CN"/>
          <w14:textFill>
            <w14:solidFill>
              <w14:schemeClr w14:val="tx1"/>
            </w14:solidFill>
          </w14:textFill>
        </w:rPr>
        <w:t>地址</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ascii="宋体" w:hAnsi="宋体" w:eastAsia="宋体" w:cs="Times New Roman"/>
          <w:bCs/>
          <w:color w:val="000000" w:themeColor="text1"/>
          <w:kern w:val="0"/>
          <w:sz w:val="24"/>
          <w:szCs w:val="24"/>
          <w:lang w:val="zh-CN"/>
          <w14:textFill>
            <w14:solidFill>
              <w14:schemeClr w14:val="tx1"/>
            </w14:solidFill>
          </w14:textFill>
        </w:rPr>
        <w:t>邮编</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 w:val="24"/>
          <w:szCs w:val="24"/>
          <w:lang w:val="zh-CN"/>
          <w14:textFill>
            <w14:solidFill>
              <w14:schemeClr w14:val="tx1"/>
            </w14:solidFill>
          </w14:textFill>
        </w:rPr>
        <w:t xml:space="preserve">                 </w:t>
      </w:r>
    </w:p>
    <w:p>
      <w:pPr>
        <w:widowControl w:val="0"/>
        <w:snapToGrid w:val="0"/>
        <w:ind w:firstLine="480"/>
        <w:jc w:val="both"/>
        <w:rPr>
          <w:rFonts w:ascii="宋体" w:hAnsi="宋体" w:eastAsia="宋体" w:cs="Times New Roman"/>
          <w:bCs/>
          <w:color w:val="000000" w:themeColor="text1"/>
          <w:kern w:val="0"/>
          <w:sz w:val="24"/>
          <w:szCs w:val="24"/>
          <w:lang w:val="zh-CN"/>
          <w14:textFill>
            <w14:solidFill>
              <w14:schemeClr w14:val="tx1"/>
            </w14:solidFill>
          </w14:textFill>
        </w:rPr>
      </w:pPr>
      <w:r>
        <w:rPr>
          <w:rFonts w:ascii="宋体" w:hAnsi="宋体" w:eastAsia="宋体" w:cs="Times New Roman"/>
          <w:bCs/>
          <w:color w:val="000000" w:themeColor="text1"/>
          <w:kern w:val="0"/>
          <w:sz w:val="24"/>
          <w:szCs w:val="24"/>
          <w:lang w:val="zh-CN"/>
          <w14:textFill>
            <w14:solidFill>
              <w14:schemeClr w14:val="tx1"/>
            </w14:solidFill>
          </w14:textFill>
        </w:rPr>
        <w:t>联系人</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ascii="宋体" w:hAnsi="宋体" w:eastAsia="宋体" w:cs="Times New Roman"/>
          <w:bCs/>
          <w:color w:val="000000" w:themeColor="text1"/>
          <w:kern w:val="0"/>
          <w:sz w:val="24"/>
          <w:szCs w:val="24"/>
          <w:lang w:val="zh-CN"/>
          <w14:textFill>
            <w14:solidFill>
              <w14:schemeClr w14:val="tx1"/>
            </w14:solidFill>
          </w14:textFill>
        </w:rPr>
        <w:t>联系电话</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snapToGrid w:val="0"/>
        <w:ind w:firstLine="480"/>
        <w:jc w:val="both"/>
        <w:rPr>
          <w:rFonts w:ascii="宋体" w:hAnsi="宋体" w:eastAsia="宋体" w:cs="Times New Roman"/>
          <w:bCs/>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kern w:val="0"/>
          <w:sz w:val="24"/>
          <w:szCs w:val="24"/>
          <w:lang w:val="zh-CN"/>
          <w14:textFill>
            <w14:solidFill>
              <w14:schemeClr w14:val="tx1"/>
            </w14:solidFill>
          </w14:textFill>
        </w:rPr>
        <w:t>授权代表：</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snapToGrid w:val="0"/>
        <w:ind w:firstLine="480"/>
        <w:jc w:val="both"/>
        <w:rPr>
          <w:rFonts w:ascii="宋体" w:hAnsi="宋体" w:eastAsia="宋体" w:cs="Times New Roman"/>
          <w:bCs/>
          <w:color w:val="000000" w:themeColor="text1"/>
          <w:kern w:val="0"/>
          <w:sz w:val="24"/>
          <w:szCs w:val="24"/>
          <w:u w:val="single"/>
          <w:lang w:val="zh-CN"/>
          <w14:textFill>
            <w14:solidFill>
              <w14:schemeClr w14:val="tx1"/>
            </w14:solidFill>
          </w14:textFill>
        </w:rPr>
      </w:pPr>
      <w:r>
        <w:rPr>
          <w:rFonts w:ascii="宋体" w:hAnsi="宋体" w:eastAsia="宋体" w:cs="Times New Roman"/>
          <w:bCs/>
          <w:color w:val="000000" w:themeColor="text1"/>
          <w:kern w:val="0"/>
          <w:sz w:val="24"/>
          <w:szCs w:val="24"/>
          <w:lang w:val="zh-CN"/>
          <w14:textFill>
            <w14:solidFill>
              <w14:schemeClr w14:val="tx1"/>
            </w14:solidFill>
          </w14:textFill>
        </w:rPr>
        <w:t>联系</w:t>
      </w:r>
      <w:r>
        <w:rPr>
          <w:rFonts w:hint="eastAsia" w:ascii="宋体" w:hAnsi="宋体" w:eastAsia="宋体" w:cs="Times New Roman"/>
          <w:bCs/>
          <w:color w:val="000000" w:themeColor="text1"/>
          <w:kern w:val="0"/>
          <w:sz w:val="24"/>
          <w:szCs w:val="24"/>
          <w:lang w:val="zh-CN"/>
          <w14:textFill>
            <w14:solidFill>
              <w14:schemeClr w14:val="tx1"/>
            </w14:solidFill>
          </w14:textFill>
        </w:rPr>
        <w:t>电话：</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snapToGrid w:val="0"/>
        <w:ind w:firstLine="480"/>
        <w:jc w:val="both"/>
        <w:rPr>
          <w:rFonts w:ascii="宋体" w:hAnsi="宋体" w:eastAsia="宋体" w:cs="Times New Roman"/>
          <w:bCs/>
          <w:color w:val="000000" w:themeColor="text1"/>
          <w:kern w:val="0"/>
          <w:sz w:val="24"/>
          <w:szCs w:val="24"/>
          <w:lang w:val="zh-CN"/>
          <w14:textFill>
            <w14:solidFill>
              <w14:schemeClr w14:val="tx1"/>
            </w14:solidFill>
          </w14:textFill>
        </w:rPr>
      </w:pPr>
      <w:r>
        <w:rPr>
          <w:rFonts w:ascii="宋体" w:hAnsi="宋体" w:eastAsia="宋体" w:cs="Times New Roman"/>
          <w:bCs/>
          <w:color w:val="000000" w:themeColor="text1"/>
          <w:kern w:val="0"/>
          <w:sz w:val="24"/>
          <w:szCs w:val="24"/>
          <w:lang w:val="zh-CN"/>
          <w14:textFill>
            <w14:solidFill>
              <w14:schemeClr w14:val="tx1"/>
            </w14:solidFill>
          </w14:textFill>
        </w:rPr>
        <w:t>地址</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ascii="宋体" w:hAnsi="宋体" w:eastAsia="宋体" w:cs="Times New Roman"/>
          <w:bCs/>
          <w:color w:val="000000" w:themeColor="text1"/>
          <w:kern w:val="0"/>
          <w:sz w:val="24"/>
          <w:szCs w:val="24"/>
          <w:lang w:val="zh-CN"/>
          <w14:textFill>
            <w14:solidFill>
              <w14:schemeClr w14:val="tx1"/>
            </w14:solidFill>
          </w14:textFill>
        </w:rPr>
        <w:t>邮编</w:t>
      </w:r>
      <w:r>
        <w:rPr>
          <w:rFonts w:hint="eastAsia" w:ascii="宋体" w:hAnsi="宋体" w:eastAsia="宋体" w:cs="Times New Roman"/>
          <w:bCs/>
          <w:color w:val="000000" w:themeColor="text1"/>
          <w:kern w:val="0"/>
          <w:sz w:val="24"/>
          <w:szCs w:val="24"/>
          <w:lang w:val="zh-CN"/>
          <w14:textFill>
            <w14:solidFill>
              <w14:schemeClr w14:val="tx1"/>
            </w14:solidFill>
          </w14:textFill>
        </w:rPr>
        <w:t>：</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 w:val="24"/>
          <w:szCs w:val="24"/>
          <w:lang w:val="zh-CN"/>
          <w14:textFill>
            <w14:solidFill>
              <w14:schemeClr w14:val="tx1"/>
            </w14:solidFill>
          </w14:textFill>
        </w:rPr>
        <w:t xml:space="preserve">     </w:t>
      </w:r>
    </w:p>
    <w:p>
      <w:pPr>
        <w:widowControl w:val="0"/>
        <w:snapToGrid w:val="0"/>
        <w:ind w:firstLine="482"/>
        <w:jc w:val="both"/>
        <w:rPr>
          <w:rFonts w:ascii="宋体" w:hAnsi="宋体" w:eastAsia="宋体" w:cs="Times New Roman"/>
          <w:b/>
          <w:bCs/>
          <w:color w:val="000000" w:themeColor="text1"/>
          <w:kern w:val="0"/>
          <w:sz w:val="24"/>
          <w:szCs w:val="24"/>
          <w:lang w:val="zh-CN"/>
          <w14:textFill>
            <w14:solidFill>
              <w14:schemeClr w14:val="tx1"/>
            </w14:solidFill>
          </w14:textFill>
        </w:rPr>
      </w:pPr>
      <w:r>
        <w:rPr>
          <w:rFonts w:hint="eastAsia" w:ascii="宋体" w:hAnsi="宋体" w:eastAsia="宋体" w:cs="Times New Roman"/>
          <w:b/>
          <w:bCs/>
          <w:color w:val="000000" w:themeColor="text1"/>
          <w:kern w:val="0"/>
          <w:sz w:val="24"/>
          <w:szCs w:val="24"/>
          <w:lang w:val="zh-CN"/>
          <w14:textFill>
            <w14:solidFill>
              <w14:schemeClr w14:val="tx1"/>
            </w14:solidFill>
          </w14:textFill>
        </w:rPr>
        <w:t>二、质疑项目基本情况：</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kern w:val="0"/>
          <w:sz w:val="24"/>
          <w:szCs w:val="24"/>
          <w:lang w:val="zh-CN"/>
          <w14:textFill>
            <w14:solidFill>
              <w14:schemeClr w14:val="tx1"/>
            </w14:solidFill>
          </w14:textFill>
        </w:rPr>
        <w:t>质疑</w:t>
      </w:r>
      <w:r>
        <w:rPr>
          <w:rFonts w:hint="eastAsia" w:ascii="宋体" w:hAnsi="宋体" w:eastAsia="宋体" w:cs="Times New Roman"/>
          <w:color w:val="000000" w:themeColor="text1"/>
          <w:kern w:val="0"/>
          <w:sz w:val="24"/>
          <w:szCs w:val="24"/>
          <w:lang w:val="zh-CN"/>
          <w14:textFill>
            <w14:solidFill>
              <w14:schemeClr w14:val="tx1"/>
            </w14:solidFill>
          </w14:textFill>
        </w:rPr>
        <w:t>项目的名称：</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kern w:val="0"/>
          <w:sz w:val="24"/>
          <w:szCs w:val="24"/>
          <w:lang w:val="zh-CN"/>
          <w14:textFill>
            <w14:solidFill>
              <w14:schemeClr w14:val="tx1"/>
            </w14:solidFill>
          </w14:textFill>
        </w:rPr>
        <w:t>质疑</w:t>
      </w:r>
      <w:r>
        <w:rPr>
          <w:rFonts w:hint="eastAsia" w:ascii="宋体" w:hAnsi="宋体" w:eastAsia="宋体" w:cs="Times New Roman"/>
          <w:color w:val="000000" w:themeColor="text1"/>
          <w:kern w:val="0"/>
          <w:sz w:val="24"/>
          <w:szCs w:val="24"/>
          <w:lang w:val="zh-CN"/>
          <w14:textFill>
            <w14:solidFill>
              <w14:schemeClr w14:val="tx1"/>
            </w14:solidFill>
          </w14:textFill>
        </w:rPr>
        <w:t>项目的编号：</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采购人名称：</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质疑事项：</w:t>
      </w:r>
    </w:p>
    <w:p>
      <w:pPr>
        <w:widowControl w:val="0"/>
        <w:ind w:firstLine="424" w:firstLineChars="17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□采购文件   采购文件获取日期：</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24" w:firstLineChars="17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 xml:space="preserve">□采购过程   </w:t>
      </w:r>
    </w:p>
    <w:p>
      <w:pPr>
        <w:widowControl w:val="0"/>
        <w:ind w:firstLine="424" w:firstLineChars="177"/>
        <w:jc w:val="both"/>
        <w:rPr>
          <w:rFonts w:ascii="宋体" w:hAnsi="宋体" w:eastAsia="宋体" w:cs="Times New Roman"/>
          <w:bCs/>
          <w:color w:val="000000" w:themeColor="text1"/>
          <w:kern w:val="0"/>
          <w:sz w:val="24"/>
          <w:szCs w:val="24"/>
          <w:u w:val="single"/>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 xml:space="preserve">□成交结果   </w:t>
      </w:r>
    </w:p>
    <w:p>
      <w:pPr>
        <w:widowControl w:val="0"/>
        <w:ind w:firstLine="472" w:firstLineChars="196"/>
        <w:jc w:val="both"/>
        <w:rPr>
          <w:rFonts w:ascii="宋体" w:hAnsi="宋体" w:eastAsia="宋体" w:cs="Times New Roman"/>
          <w:b/>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三、质疑事项具体内容</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质疑事项1：</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事实依据：</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法律依据：</w:t>
      </w:r>
      <w:r>
        <w:rPr>
          <w:rFonts w:hint="eastAsia" w:ascii="宋体" w:hAnsi="宋体" w:eastAsia="宋体" w:cs="Times New Roman"/>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质疑事项2</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ascii="宋体" w:hAnsi="宋体" w:eastAsia="宋体" w:cs="Times New Roman"/>
          <w:color w:val="000000" w:themeColor="text1"/>
          <w:kern w:val="0"/>
          <w:sz w:val="24"/>
          <w:szCs w:val="24"/>
          <w:lang w:val="zh-CN"/>
          <w14:textFill>
            <w14:solidFill>
              <w14:schemeClr w14:val="tx1"/>
            </w14:solidFill>
          </w14:textFill>
        </w:rPr>
        <w:t>……</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四、与质疑事项相关的质疑请求：</w:t>
      </w:r>
    </w:p>
    <w:p>
      <w:pPr>
        <w:widowControl w:val="0"/>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请求：</w:t>
      </w:r>
      <w:r>
        <w:rPr>
          <w:rFonts w:hint="eastAsia" w:ascii="宋体" w:hAnsi="宋体" w:eastAsia="宋体" w:cs="Times New Roman"/>
          <w:bCs/>
          <w:color w:val="000000" w:themeColor="text1"/>
          <w:kern w:val="0"/>
          <w:sz w:val="24"/>
          <w:szCs w:val="24"/>
          <w:u w:val="single"/>
          <w:lang w:val="zh-CN"/>
          <w14:textFill>
            <w14:solidFill>
              <w14:schemeClr w14:val="tx1"/>
            </w14:solidFill>
          </w14:textFill>
        </w:rPr>
        <w:t xml:space="preserve">                                                                </w:t>
      </w:r>
    </w:p>
    <w:p>
      <w:pPr>
        <w:widowControl w:val="0"/>
        <w:spacing w:line="600" w:lineRule="auto"/>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签字（签章）：                                       公章：</w:t>
      </w:r>
    </w:p>
    <w:p>
      <w:pPr>
        <w:widowControl w:val="0"/>
        <w:spacing w:line="600" w:lineRule="auto"/>
        <w:ind w:firstLine="472" w:firstLineChars="197"/>
        <w:jc w:val="both"/>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日期：</w:t>
      </w:r>
    </w:p>
    <w:p>
      <w:pPr>
        <w:widowControl w:val="0"/>
        <w:snapToGrid w:val="0"/>
        <w:ind w:firstLine="0" w:firstLineChars="0"/>
        <w:jc w:val="both"/>
        <w:rPr>
          <w:rFonts w:ascii="宋体" w:hAnsi="宋体" w:eastAsia="宋体" w:cs="Times New Roman"/>
          <w:b/>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说明：</w:t>
      </w:r>
    </w:p>
    <w:p>
      <w:pPr>
        <w:widowControl w:val="0"/>
        <w:ind w:left="25" w:leftChars="12" w:firstLine="354" w:firstLineChars="147"/>
        <w:jc w:val="both"/>
        <w:rPr>
          <w:rFonts w:ascii="宋体" w:hAnsi="宋体" w:eastAsia="宋体" w:cs="Times New Roman"/>
          <w:b/>
          <w:bCs/>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1.供应商提出质疑时，应提交质疑函和必要的证明材料</w:t>
      </w:r>
      <w:r>
        <w:rPr>
          <w:rFonts w:hint="eastAsia" w:ascii="宋体" w:hAnsi="宋体" w:eastAsia="宋体" w:cs="Times New Roman"/>
          <w:b/>
          <w:bCs/>
          <w:color w:val="000000" w:themeColor="text1"/>
          <w:kern w:val="0"/>
          <w:sz w:val="24"/>
          <w:szCs w:val="24"/>
          <w:lang w:val="zh-CN"/>
          <w14:textFill>
            <w14:solidFill>
              <w14:schemeClr w14:val="tx1"/>
            </w14:solidFill>
          </w14:textFill>
        </w:rPr>
        <w:t>。</w:t>
      </w:r>
    </w:p>
    <w:p>
      <w:pPr>
        <w:widowControl w:val="0"/>
        <w:ind w:left="25" w:leftChars="12" w:firstLine="354" w:firstLineChars="147"/>
        <w:jc w:val="both"/>
        <w:rPr>
          <w:rFonts w:ascii="宋体" w:hAnsi="宋体" w:eastAsia="宋体" w:cs="Times New Roman"/>
          <w:b/>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ind w:left="25" w:leftChars="12" w:firstLine="354" w:firstLineChars="147"/>
        <w:jc w:val="both"/>
        <w:rPr>
          <w:rFonts w:ascii="宋体" w:hAnsi="宋体" w:eastAsia="宋体" w:cs="Times New Roman"/>
          <w:b/>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3.质疑函的质疑事项应具体、明确，并有必要的事实依据和法律依据。</w:t>
      </w:r>
    </w:p>
    <w:p>
      <w:pPr>
        <w:widowControl w:val="0"/>
        <w:ind w:left="25" w:leftChars="12" w:firstLine="354" w:firstLineChars="147"/>
        <w:jc w:val="both"/>
        <w:rPr>
          <w:rFonts w:ascii="宋体" w:hAnsi="宋体" w:eastAsia="宋体" w:cs="Times New Roman"/>
          <w:b/>
          <w:color w:val="000000" w:themeColor="text1"/>
          <w:kern w:val="0"/>
          <w:sz w:val="24"/>
          <w:szCs w:val="24"/>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4.质疑函的质疑请求应与质疑事项相关。</w:t>
      </w:r>
    </w:p>
    <w:p>
      <w:pPr>
        <w:widowControl w:val="0"/>
        <w:ind w:left="25" w:leftChars="12" w:firstLine="354" w:firstLineChars="147"/>
        <w:jc w:val="both"/>
        <w:rPr>
          <w:rFonts w:ascii="宋体" w:hAnsi="宋体" w:eastAsia="宋体" w:cs="Times New Roman"/>
          <w:b/>
          <w:color w:val="000000" w:themeColor="text1"/>
          <w:kern w:val="0"/>
          <w:sz w:val="20"/>
          <w:lang w:val="zh-CN"/>
          <w14:textFill>
            <w14:solidFill>
              <w14:schemeClr w14:val="tx1"/>
            </w14:solidFill>
          </w14:textFill>
        </w:rPr>
      </w:pPr>
      <w:r>
        <w:rPr>
          <w:rFonts w:hint="eastAsia" w:ascii="宋体" w:hAnsi="宋体" w:eastAsia="宋体" w:cs="Times New Roman"/>
          <w:b/>
          <w:color w:val="000000" w:themeColor="text1"/>
          <w:kern w:val="0"/>
          <w:sz w:val="24"/>
          <w:szCs w:val="24"/>
          <w:lang w:val="zh-CN"/>
          <w14:textFill>
            <w14:solidFill>
              <w14:schemeClr w14:val="tx1"/>
            </w14:solidFill>
          </w14:textFill>
        </w:rPr>
        <w:t>5.质疑供应商为法人或者其他组织的，质疑函应由法定代表人、主要负责人，或者其授权代表签字或者盖章，并加盖公章。</w:t>
      </w:r>
    </w:p>
    <w:p>
      <w:pPr>
        <w:widowControl w:val="0"/>
        <w:snapToGrid w:val="0"/>
        <w:spacing w:line="240" w:lineRule="auto"/>
        <w:ind w:firstLine="0" w:firstLineChars="0"/>
        <w:jc w:val="both"/>
        <w:rPr>
          <w:rFonts w:ascii="宋体" w:hAnsi="Courier New" w:eastAsia="宋体" w:cs="Times New Roman"/>
          <w:b/>
          <w:color w:val="000000" w:themeColor="text1"/>
          <w:kern w:val="0"/>
          <w:sz w:val="24"/>
          <w:szCs w:val="24"/>
          <w:lang w:val="zh-CN"/>
          <w14:textFill>
            <w14:solidFill>
              <w14:schemeClr w14:val="tx1"/>
            </w14:solidFill>
          </w14:textFill>
        </w:rPr>
      </w:pPr>
    </w:p>
    <w:p>
      <w:pPr>
        <w:pStyle w:val="55"/>
        <w:rPr>
          <w:bCs/>
          <w:color w:val="000000" w:themeColor="text1"/>
          <w:sz w:val="32"/>
          <w:szCs w:val="32"/>
          <w14:textFill>
            <w14:solidFill>
              <w14:schemeClr w14:val="tx1"/>
            </w14:solidFill>
          </w14:textFill>
        </w:rPr>
      </w:pPr>
      <w:r>
        <w:rPr>
          <w:rFonts w:ascii="Times New Roman" w:hAnsi="Times New Roman" w:eastAsia="隶书"/>
          <w:color w:val="000000" w:themeColor="text1"/>
          <w:sz w:val="44"/>
          <w14:textFill>
            <w14:solidFill>
              <w14:schemeClr w14:val="tx1"/>
            </w14:solidFill>
          </w14:textFill>
        </w:rPr>
        <w:br w:type="page"/>
      </w:r>
      <w:bookmarkStart w:id="188" w:name="_Toc25126"/>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.投诉书（格式）</w:t>
      </w:r>
      <w:bookmarkEnd w:id="188"/>
    </w:p>
    <w:p>
      <w:pPr>
        <w:snapToGrid w:val="0"/>
        <w:spacing w:before="50" w:after="50"/>
        <w:ind w:firstLine="0" w:firstLineChars="0"/>
        <w:jc w:val="center"/>
        <w:rPr>
          <w:rFonts w:ascii="宋体" w:hAnsi="宋体" w:eastAsia="宋体" w:cs="方正小标宋简体"/>
          <w:b/>
          <w:color w:val="000000" w:themeColor="text1"/>
          <w:sz w:val="44"/>
          <w:szCs w:val="44"/>
          <w14:textFill>
            <w14:solidFill>
              <w14:schemeClr w14:val="tx1"/>
            </w14:solidFill>
          </w14:textFill>
        </w:rPr>
      </w:pPr>
      <w:r>
        <w:rPr>
          <w:rFonts w:hint="eastAsia" w:ascii="宋体" w:hAnsi="宋体" w:eastAsia="宋体" w:cs="方正小标宋简体"/>
          <w:b/>
          <w:color w:val="000000" w:themeColor="text1"/>
          <w:sz w:val="44"/>
          <w:szCs w:val="44"/>
          <w14:textFill>
            <w14:solidFill>
              <w14:schemeClr w14:val="tx1"/>
            </w14:solidFill>
          </w14:textFill>
        </w:rPr>
        <w:t>投诉书（格式）</w:t>
      </w:r>
    </w:p>
    <w:p>
      <w:pPr>
        <w:widowControl w:val="0"/>
        <w:snapToGrid w:val="0"/>
        <w:ind w:firstLine="482"/>
        <w:rPr>
          <w:rFonts w:cs="Times New Roman" w:hAnsiTheme="minorEastAsia"/>
          <w:b/>
          <w:bCs/>
          <w:color w:val="000000" w:themeColor="text1"/>
          <w:kern w:val="0"/>
          <w:sz w:val="24"/>
          <w:szCs w:val="24"/>
          <w:lang w:val="zh-CN"/>
          <w14:textFill>
            <w14:solidFill>
              <w14:schemeClr w14:val="tx1"/>
            </w14:solidFill>
          </w14:textFill>
        </w:rPr>
      </w:pPr>
      <w:r>
        <w:rPr>
          <w:rFonts w:hint="eastAsia" w:cs="Times New Roman" w:hAnsiTheme="minorEastAsia"/>
          <w:b/>
          <w:bCs/>
          <w:color w:val="000000" w:themeColor="text1"/>
          <w:kern w:val="0"/>
          <w:sz w:val="24"/>
          <w:szCs w:val="24"/>
          <w:lang w:val="zh-CN"/>
          <w14:textFill>
            <w14:solidFill>
              <w14:schemeClr w14:val="tx1"/>
            </w14:solidFill>
          </w14:textFill>
        </w:rPr>
        <w:t>一、投诉相关主体基本情况：</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投标人：</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地址</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cs="Times New Roman" w:hAnsiTheme="minorEastAsia"/>
          <w:bCs/>
          <w:color w:val="000000" w:themeColor="text1"/>
          <w:kern w:val="0"/>
          <w:sz w:val="24"/>
          <w:szCs w:val="24"/>
          <w:lang w:val="zh-CN"/>
          <w14:textFill>
            <w14:solidFill>
              <w14:schemeClr w14:val="tx1"/>
            </w14:solidFill>
          </w14:textFill>
        </w:rPr>
        <w:t>邮编</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法定代表人/主要负责人：</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联系电话</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授权代表：</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cs="Times New Roman" w:hAnsiTheme="minorEastAsia"/>
          <w:bCs/>
          <w:color w:val="000000" w:themeColor="text1"/>
          <w:kern w:val="0"/>
          <w:sz w:val="24"/>
          <w:szCs w:val="24"/>
          <w:lang w:val="zh-CN"/>
          <w14:textFill>
            <w14:solidFill>
              <w14:schemeClr w14:val="tx1"/>
            </w14:solidFill>
          </w14:textFill>
        </w:rPr>
        <w:t>联系</w:t>
      </w:r>
      <w:r>
        <w:rPr>
          <w:rFonts w:hint="eastAsia" w:cs="Times New Roman" w:hAnsiTheme="minorEastAsia"/>
          <w:bCs/>
          <w:color w:val="000000" w:themeColor="text1"/>
          <w:kern w:val="0"/>
          <w:sz w:val="24"/>
          <w:szCs w:val="24"/>
          <w:lang w:val="zh-CN"/>
          <w14:textFill>
            <w14:solidFill>
              <w14:schemeClr w14:val="tx1"/>
            </w14:solidFill>
          </w14:textFill>
        </w:rPr>
        <w:t>电话：</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地址</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邮编</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被投诉人1：</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地址：</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邮编</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联系人：</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cs="Times New Roman" w:hAnsiTheme="minorEastAsia"/>
          <w:bCs/>
          <w:color w:val="000000" w:themeColor="text1"/>
          <w:kern w:val="0"/>
          <w:sz w:val="24"/>
          <w:szCs w:val="24"/>
          <w:lang w:val="zh-CN"/>
          <w14:textFill>
            <w14:solidFill>
              <w14:schemeClr w14:val="tx1"/>
            </w14:solidFill>
          </w14:textFill>
        </w:rPr>
        <w:t>联系</w:t>
      </w:r>
      <w:r>
        <w:rPr>
          <w:rFonts w:hint="eastAsia" w:cs="Times New Roman" w:hAnsiTheme="minorEastAsia"/>
          <w:bCs/>
          <w:color w:val="000000" w:themeColor="text1"/>
          <w:kern w:val="0"/>
          <w:sz w:val="24"/>
          <w:szCs w:val="24"/>
          <w:lang w:val="zh-CN"/>
          <w14:textFill>
            <w14:solidFill>
              <w14:schemeClr w14:val="tx1"/>
            </w14:solidFill>
          </w14:textFill>
        </w:rPr>
        <w:t>电话：</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被投诉人2：</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相关供应商：</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地址</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cs="Times New Roman" w:hAnsiTheme="minorEastAsia"/>
          <w:bCs/>
          <w:color w:val="000000" w:themeColor="text1"/>
          <w:kern w:val="0"/>
          <w:sz w:val="24"/>
          <w:szCs w:val="24"/>
          <w:lang w:val="zh-CN"/>
          <w14:textFill>
            <w14:solidFill>
              <w14:schemeClr w14:val="tx1"/>
            </w14:solidFill>
          </w14:textFill>
        </w:rPr>
        <w:t>邮编</w:t>
      </w:r>
      <w:r>
        <w:rPr>
          <w:rFonts w:hint="eastAsia" w:cs="Times New Roman" w:hAnsiTheme="minorEastAsia"/>
          <w:bCs/>
          <w:color w:val="000000" w:themeColor="text1"/>
          <w:kern w:val="0"/>
          <w:sz w:val="24"/>
          <w:szCs w:val="24"/>
          <w:lang w:val="zh-CN"/>
          <w14:textFill>
            <w14:solidFill>
              <w14:schemeClr w14:val="tx1"/>
            </w14:solidFill>
          </w14:textFill>
        </w:rPr>
        <w:t>：</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napToGrid w:val="0"/>
        <w:ind w:firstLine="480"/>
        <w:rPr>
          <w:rFonts w:cs="Times New Roman" w:hAnsiTheme="minorEastAsia"/>
          <w:bCs/>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联系人：</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cs="Times New Roman" w:hAnsiTheme="minorEastAsia"/>
          <w:bCs/>
          <w:color w:val="000000" w:themeColor="text1"/>
          <w:kern w:val="0"/>
          <w:sz w:val="24"/>
          <w:szCs w:val="24"/>
          <w:lang w:val="zh-CN"/>
          <w14:textFill>
            <w14:solidFill>
              <w14:schemeClr w14:val="tx1"/>
            </w14:solidFill>
          </w14:textFill>
        </w:rPr>
        <w:t>联系</w:t>
      </w:r>
      <w:r>
        <w:rPr>
          <w:rFonts w:hint="eastAsia" w:cs="Times New Roman" w:hAnsiTheme="minorEastAsia"/>
          <w:bCs/>
          <w:color w:val="000000" w:themeColor="text1"/>
          <w:kern w:val="0"/>
          <w:sz w:val="24"/>
          <w:szCs w:val="24"/>
          <w:lang w:val="zh-CN"/>
          <w14:textFill>
            <w14:solidFill>
              <w14:schemeClr w14:val="tx1"/>
            </w14:solidFill>
          </w14:textFill>
        </w:rPr>
        <w:t>电话：</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482"/>
        <w:rPr>
          <w:rFonts w:cs="Times New Roman" w:hAnsiTheme="minorEastAsia"/>
          <w:b/>
          <w:bCs/>
          <w:color w:val="000000" w:themeColor="text1"/>
          <w:kern w:val="0"/>
          <w:sz w:val="24"/>
          <w:szCs w:val="24"/>
          <w:lang w:val="zh-CN"/>
          <w14:textFill>
            <w14:solidFill>
              <w14:schemeClr w14:val="tx1"/>
            </w14:solidFill>
          </w14:textFill>
        </w:rPr>
      </w:pPr>
      <w:r>
        <w:rPr>
          <w:rFonts w:hint="eastAsia" w:cs="Times New Roman" w:hAnsiTheme="minorEastAsia"/>
          <w:b/>
          <w:bCs/>
          <w:color w:val="000000" w:themeColor="text1"/>
          <w:kern w:val="0"/>
          <w:sz w:val="24"/>
          <w:szCs w:val="24"/>
          <w:lang w:val="zh-CN"/>
          <w14:textFill>
            <w14:solidFill>
              <w14:schemeClr w14:val="tx1"/>
            </w14:solidFill>
          </w14:textFill>
        </w:rPr>
        <w:t>二、投诉项目基本情况：</w:t>
      </w:r>
    </w:p>
    <w:p>
      <w:pPr>
        <w:widowControl w:val="0"/>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采购</w:t>
      </w:r>
      <w:r>
        <w:rPr>
          <w:rFonts w:hint="eastAsia" w:cs="Times New Roman" w:hAnsiTheme="minorEastAsia"/>
          <w:color w:val="000000" w:themeColor="text1"/>
          <w:kern w:val="0"/>
          <w:sz w:val="24"/>
          <w:szCs w:val="24"/>
          <w:lang w:val="zh-CN"/>
          <w14:textFill>
            <w14:solidFill>
              <w14:schemeClr w14:val="tx1"/>
            </w14:solidFill>
          </w14:textFill>
        </w:rPr>
        <w:t>项目的名称：</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采购</w:t>
      </w:r>
      <w:r>
        <w:rPr>
          <w:rFonts w:hint="eastAsia" w:cs="Times New Roman" w:hAnsiTheme="minorEastAsia"/>
          <w:color w:val="000000" w:themeColor="text1"/>
          <w:kern w:val="0"/>
          <w:sz w:val="24"/>
          <w:szCs w:val="24"/>
          <w:lang w:val="zh-CN"/>
          <w14:textFill>
            <w14:solidFill>
              <w14:schemeClr w14:val="tx1"/>
            </w14:solidFill>
          </w14:textFill>
        </w:rPr>
        <w:t>项目的编号：</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采购人名称：</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代理机构名称：</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招标文件公告：</w:t>
      </w:r>
      <w:r>
        <w:rPr>
          <w:rFonts w:hint="eastAsia" w:cs="Times New Roman" w:hAnsiTheme="minorEastAsia"/>
          <w:bCs/>
          <w:color w:val="000000" w:themeColor="text1"/>
          <w:kern w:val="0"/>
          <w:sz w:val="24"/>
          <w:szCs w:val="24"/>
          <w:u w:val="single"/>
          <w:lang w:val="zh-CN"/>
          <w14:textFill>
            <w14:solidFill>
              <w14:schemeClr w14:val="tx1"/>
            </w14:solidFill>
          </w14:textFill>
        </w:rPr>
        <w:t>是/否</w:t>
      </w:r>
      <w:r>
        <w:rPr>
          <w:rFonts w:hint="eastAsia" w:cs="Times New Roman" w:hAnsiTheme="minorEastAsia"/>
          <w:bCs/>
          <w:color w:val="000000" w:themeColor="text1"/>
          <w:kern w:val="0"/>
          <w:sz w:val="24"/>
          <w:szCs w:val="24"/>
          <w:lang w:val="zh-CN"/>
          <w14:textFill>
            <w14:solidFill>
              <w14:schemeClr w14:val="tx1"/>
            </w14:solidFill>
          </w14:textFill>
        </w:rPr>
        <w:t>公告期限：</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采购结果公告：</w:t>
      </w:r>
      <w:r>
        <w:rPr>
          <w:rFonts w:hint="eastAsia" w:cs="Times New Roman" w:hAnsiTheme="minorEastAsia"/>
          <w:bCs/>
          <w:color w:val="000000" w:themeColor="text1"/>
          <w:kern w:val="0"/>
          <w:sz w:val="24"/>
          <w:szCs w:val="24"/>
          <w:u w:val="single"/>
          <w:lang w:val="zh-CN"/>
          <w14:textFill>
            <w14:solidFill>
              <w14:schemeClr w14:val="tx1"/>
            </w14:solidFill>
          </w14:textFill>
        </w:rPr>
        <w:t>是/否</w:t>
      </w:r>
      <w:r>
        <w:rPr>
          <w:rFonts w:hint="eastAsia" w:cs="Times New Roman" w:hAnsiTheme="minorEastAsia"/>
          <w:bCs/>
          <w:color w:val="000000" w:themeColor="text1"/>
          <w:kern w:val="0"/>
          <w:sz w:val="24"/>
          <w:szCs w:val="24"/>
          <w:lang w:val="zh-CN"/>
          <w14:textFill>
            <w14:solidFill>
              <w14:schemeClr w14:val="tx1"/>
            </w14:solidFill>
          </w14:textFill>
        </w:rPr>
        <w:t>公告期限：</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6"/>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三、质疑基本情况</w:t>
      </w:r>
    </w:p>
    <w:p>
      <w:pPr>
        <w:widowControl w:val="0"/>
        <w:ind w:firstLine="480"/>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投诉人于</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年</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月</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日，向</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提出质疑，质疑事项为：</w:t>
      </w:r>
    </w:p>
    <w:p>
      <w:pPr>
        <w:widowControl w:val="0"/>
        <w:ind w:firstLineChars="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 xml:space="preserve">    </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Chars="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 xml:space="preserve">    </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80"/>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u w:val="single"/>
          <w:lang w:val="zh-CN"/>
          <w14:textFill>
            <w14:solidFill>
              <w14:schemeClr w14:val="tx1"/>
            </w14:solidFill>
          </w14:textFill>
        </w:rPr>
        <w:t>采购人/代理机构</w:t>
      </w:r>
      <w:r>
        <w:rPr>
          <w:rFonts w:hint="eastAsia" w:cs="Times New Roman" w:hAnsiTheme="minorEastAsia"/>
          <w:bCs/>
          <w:color w:val="000000" w:themeColor="text1"/>
          <w:kern w:val="0"/>
          <w:sz w:val="24"/>
          <w:szCs w:val="24"/>
          <w:lang w:val="zh-CN"/>
          <w14:textFill>
            <w14:solidFill>
              <w14:schemeClr w14:val="tx1"/>
            </w14:solidFill>
          </w14:textFill>
        </w:rPr>
        <w:t>于</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年</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月</w:t>
      </w:r>
      <w:r>
        <w:rPr>
          <w:rFonts w:hint="eastAsia" w:cs="Times New Roman" w:hAnsiTheme="minorEastAsia"/>
          <w:color w:val="000000" w:themeColor="text1"/>
          <w:kern w:val="0"/>
          <w:sz w:val="24"/>
          <w:szCs w:val="24"/>
          <w:u w:val="single"/>
          <w:lang w:val="zh-CN"/>
          <w14:textFill>
            <w14:solidFill>
              <w14:schemeClr w14:val="tx1"/>
            </w14:solidFill>
          </w14:textFill>
        </w:rPr>
        <w:t xml:space="preserve">   </w:t>
      </w:r>
      <w:r>
        <w:rPr>
          <w:rFonts w:hint="eastAsia" w:cs="Times New Roman" w:hAnsiTheme="minorEastAsia"/>
          <w:color w:val="000000" w:themeColor="text1"/>
          <w:kern w:val="0"/>
          <w:sz w:val="24"/>
          <w:szCs w:val="24"/>
          <w:lang w:val="zh-CN"/>
          <w14:textFill>
            <w14:solidFill>
              <w14:schemeClr w14:val="tx1"/>
            </w14:solidFill>
          </w14:textFill>
        </w:rPr>
        <w:t>日，</w:t>
      </w:r>
      <w:r>
        <w:rPr>
          <w:rFonts w:hint="eastAsia" w:cs="Times New Roman" w:hAnsiTheme="minorEastAsia"/>
          <w:bCs/>
          <w:color w:val="000000" w:themeColor="text1"/>
          <w:kern w:val="0"/>
          <w:sz w:val="24"/>
          <w:szCs w:val="24"/>
          <w:lang w:val="zh-CN"/>
          <w14:textFill>
            <w14:solidFill>
              <w14:schemeClr w14:val="tx1"/>
            </w14:solidFill>
          </w14:textFill>
        </w:rPr>
        <w:t xml:space="preserve">就质疑事项作出了答复/没有在法定期限内作出答复。                                                                                             </w:t>
      </w:r>
    </w:p>
    <w:p>
      <w:pPr>
        <w:widowControl w:val="0"/>
        <w:ind w:firstLine="472" w:firstLineChars="196"/>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四、投诉事项具体内容</w:t>
      </w:r>
    </w:p>
    <w:p>
      <w:pPr>
        <w:widowControl w:val="0"/>
        <w:ind w:firstLine="472" w:firstLineChars="197"/>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投诉事项1：</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事实依据：</w:t>
      </w:r>
      <w:r>
        <w:rPr>
          <w:rFonts w:hint="eastAsia" w:cs="Times New Roman" w:hAnsiTheme="minorEastAsia"/>
          <w:color w:val="000000" w:themeColor="text1"/>
          <w:kern w:val="0"/>
          <w:sz w:val="24"/>
          <w:szCs w:val="24"/>
          <w:lang w:val="zh-CN"/>
          <w14:textFill>
            <w14:solidFill>
              <w14:schemeClr w14:val="tx1"/>
            </w14:solidFill>
          </w14:textFill>
        </w:rPr>
        <w:t xml:space="preserve"> </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80"/>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法律依据：</w:t>
      </w:r>
      <w:r>
        <w:rPr>
          <w:rFonts w:hint="eastAsia" w:cs="Times New Roman" w:hAnsiTheme="minorEastAsia"/>
          <w:color w:val="000000" w:themeColor="text1"/>
          <w:kern w:val="0"/>
          <w:sz w:val="24"/>
          <w:szCs w:val="24"/>
          <w:lang w:val="zh-CN"/>
          <w14:textFill>
            <w14:solidFill>
              <w14:schemeClr w14:val="tx1"/>
            </w14:solidFill>
          </w14:textFill>
        </w:rPr>
        <w:t xml:space="preserve"> </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352" w:firstLineChars="147"/>
        <w:rPr>
          <w:rFonts w:cs="Times New Roman" w:hAnsiTheme="minorEastAsia"/>
          <w:bCs/>
          <w:color w:val="000000" w:themeColor="text1"/>
          <w:kern w:val="0"/>
          <w:sz w:val="24"/>
          <w:szCs w:val="24"/>
          <w:u w:val="single"/>
          <w:lang w:val="zh-CN"/>
          <w14:textFill>
            <w14:solidFill>
              <w14:schemeClr w14:val="tx1"/>
            </w14:solidFill>
          </w14:textFill>
        </w:rPr>
      </w:pPr>
      <w:r>
        <w:rPr>
          <w:rFonts w:hint="eastAsia" w:cs="Times New Roman" w:hAnsiTheme="minorEastAsia"/>
          <w:bCs/>
          <w:color w:val="000000" w:themeColor="text1"/>
          <w:kern w:val="0"/>
          <w:sz w:val="24"/>
          <w:szCs w:val="24"/>
          <w:lang w:val="zh-CN"/>
          <w14:textFill>
            <w14:solidFill>
              <w14:schemeClr w14:val="tx1"/>
            </w14:solidFill>
          </w14:textFill>
        </w:rPr>
        <w:t xml:space="preserve"> </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ind w:firstLine="472" w:firstLineChars="197"/>
        <w:rPr>
          <w:rFonts w:cs="Times New Roman" w:hAnsiTheme="minorEastAsia"/>
          <w:bCs/>
          <w:color w:val="000000" w:themeColor="text1"/>
          <w:kern w:val="0"/>
          <w:sz w:val="24"/>
          <w:szCs w:val="24"/>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 xml:space="preserve">投诉事项2  </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ind w:firstLine="472" w:firstLineChars="197"/>
        <w:rPr>
          <w:rFonts w:cs="Times New Roman" w:hAnsiTheme="minorEastAsia"/>
          <w:bCs/>
          <w:color w:val="000000" w:themeColor="text1"/>
          <w:kern w:val="0"/>
          <w:sz w:val="24"/>
          <w:szCs w:val="24"/>
          <w:lang w:val="zh-CN"/>
          <w14:textFill>
            <w14:solidFill>
              <w14:schemeClr w14:val="tx1"/>
            </w14:solidFill>
          </w14:textFill>
        </w:rPr>
      </w:pPr>
      <w:r>
        <w:rPr>
          <w:rFonts w:cs="Times New Roman" w:hAnsiTheme="minorEastAsia"/>
          <w:bCs/>
          <w:color w:val="000000" w:themeColor="text1"/>
          <w:kern w:val="0"/>
          <w:sz w:val="24"/>
          <w:szCs w:val="24"/>
          <w:lang w:val="zh-CN"/>
          <w14:textFill>
            <w14:solidFill>
              <w14:schemeClr w14:val="tx1"/>
            </w14:solidFill>
          </w14:textFill>
        </w:rPr>
        <w:t>……</w:t>
      </w:r>
    </w:p>
    <w:p>
      <w:pPr>
        <w:widowControl w:val="0"/>
        <w:ind w:firstLine="472" w:firstLineChars="196"/>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五、与投诉事项相关的投诉请求：</w:t>
      </w:r>
    </w:p>
    <w:p>
      <w:pPr>
        <w:widowControl w:val="0"/>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请求：</w:t>
      </w:r>
      <w:r>
        <w:rPr>
          <w:rFonts w:hint="eastAsia" w:cs="Times New Roman" w:hAnsiTheme="minorEastAsia"/>
          <w:bCs/>
          <w:color w:val="000000" w:themeColor="text1"/>
          <w:kern w:val="0"/>
          <w:sz w:val="24"/>
          <w:szCs w:val="24"/>
          <w:u w:val="single"/>
          <w:lang w:val="zh-CN"/>
          <w14:textFill>
            <w14:solidFill>
              <w14:schemeClr w14:val="tx1"/>
            </w14:solidFill>
          </w14:textFill>
        </w:rPr>
        <w:t xml:space="preserve">                                                                                 </w:t>
      </w:r>
    </w:p>
    <w:p>
      <w:pPr>
        <w:widowControl w:val="0"/>
        <w:spacing w:line="480" w:lineRule="auto"/>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签字（签章）：                                       公章：</w:t>
      </w:r>
    </w:p>
    <w:p>
      <w:pPr>
        <w:widowControl w:val="0"/>
        <w:spacing w:line="480" w:lineRule="auto"/>
        <w:ind w:firstLine="472" w:firstLineChars="197"/>
        <w:rPr>
          <w:rFonts w:cs="Times New Roman" w:hAnsiTheme="minorEastAsia"/>
          <w:color w:val="000000" w:themeColor="text1"/>
          <w:kern w:val="0"/>
          <w:sz w:val="24"/>
          <w:szCs w:val="24"/>
          <w:lang w:val="zh-CN"/>
          <w14:textFill>
            <w14:solidFill>
              <w14:schemeClr w14:val="tx1"/>
            </w14:solidFill>
          </w14:textFill>
        </w:rPr>
      </w:pPr>
      <w:r>
        <w:rPr>
          <w:rFonts w:hint="eastAsia" w:cs="Times New Roman" w:hAnsiTheme="minorEastAsia"/>
          <w:color w:val="000000" w:themeColor="text1"/>
          <w:kern w:val="0"/>
          <w:sz w:val="24"/>
          <w:szCs w:val="24"/>
          <w:lang w:val="zh-CN"/>
          <w14:textFill>
            <w14:solidFill>
              <w14:schemeClr w14:val="tx1"/>
            </w14:solidFill>
          </w14:textFill>
        </w:rPr>
        <w:t>日期：</w:t>
      </w:r>
      <w:r>
        <w:rPr>
          <w:rFonts w:hint="eastAsia" w:cs="Times New Roman" w:hAnsiTheme="minorEastAsia"/>
          <w:bCs/>
          <w:color w:val="000000" w:themeColor="text1"/>
          <w:kern w:val="0"/>
          <w:sz w:val="24"/>
          <w:szCs w:val="24"/>
          <w:lang w:val="zh-CN"/>
          <w14:textFill>
            <w14:solidFill>
              <w14:schemeClr w14:val="tx1"/>
            </w14:solidFill>
          </w14:textFill>
        </w:rPr>
        <w:t xml:space="preserve"> </w:t>
      </w:r>
    </w:p>
    <w:p>
      <w:pPr>
        <w:widowControl w:val="0"/>
        <w:snapToGrid w:val="0"/>
        <w:ind w:firstLine="0" w:firstLineChars="0"/>
        <w:jc w:val="both"/>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说明：</w:t>
      </w:r>
    </w:p>
    <w:p>
      <w:pPr>
        <w:widowControl w:val="0"/>
        <w:ind w:left="25" w:leftChars="12" w:firstLine="354" w:firstLineChars="147"/>
        <w:jc w:val="both"/>
        <w:rPr>
          <w:rFonts w:cs="Times New Roman" w:hAnsiTheme="minorEastAsia"/>
          <w:b/>
          <w:bCs/>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1.投诉人提起投诉时，应当提交投诉书和必要的证明材料，并按照被投诉人和与投诉事项有关的供应商数量提供投诉书副本</w:t>
      </w:r>
      <w:r>
        <w:rPr>
          <w:rFonts w:hint="eastAsia" w:cs="Times New Roman" w:hAnsiTheme="minorEastAsia"/>
          <w:b/>
          <w:bCs/>
          <w:color w:val="000000" w:themeColor="text1"/>
          <w:kern w:val="0"/>
          <w:sz w:val="24"/>
          <w:szCs w:val="24"/>
          <w:lang w:val="zh-CN"/>
          <w14:textFill>
            <w14:solidFill>
              <w14:schemeClr w14:val="tx1"/>
            </w14:solidFill>
          </w14:textFill>
        </w:rPr>
        <w:t>。</w:t>
      </w:r>
    </w:p>
    <w:p>
      <w:pPr>
        <w:widowControl w:val="0"/>
        <w:ind w:left="25" w:leftChars="12" w:firstLine="354" w:firstLineChars="147"/>
        <w:jc w:val="both"/>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widowControl w:val="0"/>
        <w:ind w:left="25" w:leftChars="12" w:firstLine="354" w:firstLineChars="147"/>
        <w:jc w:val="both"/>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3.投诉书应简要列明质疑事项，质疑函、质疑答复等作为附件材料提供。</w:t>
      </w:r>
    </w:p>
    <w:p>
      <w:pPr>
        <w:widowControl w:val="0"/>
        <w:ind w:left="25" w:leftChars="12" w:firstLine="354" w:firstLineChars="147"/>
        <w:jc w:val="both"/>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4.投诉书的投诉事项应具体、明确，并有必要的事实依据和法律依据。</w:t>
      </w:r>
    </w:p>
    <w:p>
      <w:pPr>
        <w:widowControl w:val="0"/>
        <w:ind w:left="25" w:leftChars="12" w:firstLine="354" w:firstLineChars="147"/>
        <w:jc w:val="both"/>
        <w:rPr>
          <w:rFonts w:cs="Times New Roman" w:hAnsiTheme="minorEastAsia"/>
          <w:b/>
          <w:color w:val="000000" w:themeColor="text1"/>
          <w:kern w:val="0"/>
          <w:sz w:val="24"/>
          <w:szCs w:val="24"/>
          <w:lang w:val="zh-CN"/>
          <w14:textFill>
            <w14:solidFill>
              <w14:schemeClr w14:val="tx1"/>
            </w14:solidFill>
          </w14:textFill>
        </w:rPr>
      </w:pPr>
      <w:r>
        <w:rPr>
          <w:rFonts w:hint="eastAsia" w:cs="Times New Roman" w:hAnsiTheme="minorEastAsia"/>
          <w:b/>
          <w:color w:val="000000" w:themeColor="text1"/>
          <w:kern w:val="0"/>
          <w:sz w:val="24"/>
          <w:szCs w:val="24"/>
          <w:lang w:val="zh-CN"/>
          <w14:textFill>
            <w14:solidFill>
              <w14:schemeClr w14:val="tx1"/>
            </w14:solidFill>
          </w14:textFill>
        </w:rPr>
        <w:t>5.投诉书的投诉请求应与投诉事项相关。</w:t>
      </w:r>
    </w:p>
    <w:p>
      <w:pPr>
        <w:widowControl w:val="0"/>
        <w:ind w:left="25" w:leftChars="12" w:firstLine="354" w:firstLineChars="147"/>
        <w:jc w:val="both"/>
        <w:rPr>
          <w:rFonts w:cs="Times New Roman" w:hAnsiTheme="minorEastAsia"/>
          <w:b/>
          <w:color w:val="000000" w:themeColor="text1"/>
          <w:kern w:val="0"/>
          <w:sz w:val="24"/>
          <w:szCs w:val="24"/>
          <w:lang w:val="zh-CN"/>
          <w14:textFill>
            <w14:solidFill>
              <w14:schemeClr w14:val="tx1"/>
            </w14:solidFill>
          </w14:textFill>
        </w:rPr>
        <w:sectPr>
          <w:footerReference r:id="rId8" w:type="default"/>
          <w:pgSz w:w="11906" w:h="16838"/>
          <w:pgMar w:top="1440" w:right="1080" w:bottom="1440" w:left="1080" w:header="851" w:footer="992" w:gutter="0"/>
          <w:pgNumType w:fmt="decimal" w:start="1"/>
          <w:cols w:space="425" w:num="1"/>
          <w:docGrid w:linePitch="312" w:charSpace="0"/>
        </w:sectPr>
      </w:pPr>
      <w:r>
        <w:rPr>
          <w:rFonts w:hint="eastAsia" w:cs="Times New Roman" w:hAnsiTheme="minorEastAsia"/>
          <w:b/>
          <w:color w:val="000000" w:themeColor="text1"/>
          <w:kern w:val="0"/>
          <w:sz w:val="24"/>
          <w:szCs w:val="24"/>
          <w:lang w:val="zh-CN"/>
          <w14:textFill>
            <w14:solidFill>
              <w14:schemeClr w14:val="tx1"/>
            </w14:solidFill>
          </w14:textFill>
        </w:rPr>
        <w:t>6.投诉人为法人或者其他组织的，投诉书应由法定代表人、主要负责人，或者其授权代表签字或者盖章，并加盖公章。</w:t>
      </w:r>
    </w:p>
    <w:p>
      <w:pPr>
        <w:pStyle w:val="44"/>
        <w:bidi w:val="0"/>
        <w:rPr>
          <w:rFonts w:hint="eastAsia" w:ascii="仿宋" w:hAnsi="仿宋" w:eastAsia="仿宋" w:cs="仿宋"/>
          <w:color w:val="000000" w:themeColor="text1"/>
          <w14:textFill>
            <w14:solidFill>
              <w14:schemeClr w14:val="tx1"/>
            </w14:solidFill>
          </w14:textFill>
        </w:rPr>
      </w:pPr>
      <w:bookmarkStart w:id="189" w:name="_Toc10745"/>
      <w:bookmarkStart w:id="190" w:name="_Toc76480570"/>
      <w:r>
        <w:rPr>
          <w:rFonts w:hint="eastAsia"/>
        </w:rPr>
        <w:t>第六章 合同文本</w:t>
      </w:r>
      <w:bookmarkEnd w:id="189"/>
      <w:bookmarkEnd w:id="190"/>
    </w:p>
    <w:p>
      <w:pPr>
        <w:pStyle w:val="44"/>
        <w:rPr>
          <w:rFonts w:ascii="宋体" w:hAnsi="宋体" w:cs="宋体"/>
          <w:b/>
          <w:bCs/>
          <w:kern w:val="0"/>
          <w:sz w:val="24"/>
        </w:rPr>
      </w:pPr>
      <w:r>
        <w:rPr>
          <w:rFonts w:hint="eastAsia" w:ascii="宋体" w:hAnsi="宋体" w:cs="宋体"/>
          <w:b/>
          <w:bCs/>
          <w:kern w:val="0"/>
          <w:sz w:val="24"/>
        </w:rPr>
        <w:t>广西壮族自治区政府采购合同</w:t>
      </w:r>
    </w:p>
    <w:p>
      <w:pPr>
        <w:snapToGrid w:val="0"/>
        <w:spacing w:line="360" w:lineRule="exact"/>
        <w:ind w:right="480" w:firstLine="6840" w:firstLineChars="2850"/>
        <w:rPr>
          <w:rFonts w:ascii="宋体" w:hAnsi="宋体" w:cs="宋体"/>
          <w:bCs/>
          <w:sz w:val="24"/>
        </w:rPr>
      </w:pPr>
    </w:p>
    <w:p>
      <w:pPr>
        <w:spacing w:line="360" w:lineRule="auto"/>
        <w:ind w:right="800"/>
        <w:rPr>
          <w:rFonts w:ascii="宋体" w:hAnsi="宋体" w:cs="宋体"/>
          <w:bCs/>
          <w:color w:val="000000"/>
          <w:szCs w:val="21"/>
          <w:u w:val="single"/>
        </w:rPr>
      </w:pPr>
      <w:r>
        <w:rPr>
          <w:rFonts w:hint="eastAsia" w:ascii="宋体" w:hAnsi="宋体" w:cs="宋体"/>
          <w:color w:val="000000"/>
          <w:szCs w:val="21"/>
        </w:rPr>
        <w:t>采购计划号：</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bCs/>
          <w:color w:val="000000"/>
          <w:szCs w:val="21"/>
        </w:rPr>
        <w:t>合同编号：</w:t>
      </w:r>
      <w:r>
        <w:rPr>
          <w:rFonts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pPr>
        <w:spacing w:line="360" w:lineRule="auto"/>
        <w:rPr>
          <w:rFonts w:ascii="宋体" w:hAnsi="宋体" w:cs="宋体"/>
          <w:color w:val="000000"/>
          <w:szCs w:val="21"/>
          <w:u w:val="single"/>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供应商（乙方）：</w:t>
      </w:r>
      <w:r>
        <w:rPr>
          <w:rFonts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rPr>
          <w:rFonts w:hint="eastAsia" w:ascii="宋体" w:hAnsi="宋体" w:cs="宋体"/>
          <w:color w:val="000000"/>
          <w:szCs w:val="21"/>
          <w:u w:val="single"/>
        </w:rPr>
      </w:pPr>
      <w:r>
        <w:rPr>
          <w:rFonts w:hint="eastAsia" w:ascii="宋体" w:hAnsi="宋体" w:cs="宋体"/>
          <w:color w:val="000000"/>
          <w:szCs w:val="21"/>
        </w:rPr>
        <w:t>项目名称：</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项目编号：</w:t>
      </w:r>
      <w:r>
        <w:rPr>
          <w:rFonts w:ascii="宋体" w:hAnsi="宋体" w:cs="宋体"/>
          <w:color w:val="000000"/>
          <w:szCs w:val="21"/>
          <w:u w:val="single"/>
        </w:rPr>
        <w:t xml:space="preserve">                          </w:t>
      </w:r>
    </w:p>
    <w:p>
      <w:pPr>
        <w:spacing w:line="360" w:lineRule="auto"/>
        <w:rPr>
          <w:rFonts w:hint="eastAsia" w:ascii="宋体" w:hAnsi="宋体" w:cs="宋体"/>
          <w:color w:val="000000"/>
          <w:szCs w:val="21"/>
          <w:u w:val="single"/>
        </w:rPr>
      </w:pPr>
      <w:r>
        <w:rPr>
          <w:rFonts w:hint="eastAsia" w:ascii="宋体" w:hAnsi="宋体" w:cs="宋体"/>
          <w:color w:val="000000"/>
          <w:szCs w:val="21"/>
        </w:rPr>
        <w:t>签订地点：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签订时间：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360" w:lineRule="auto"/>
        <w:ind w:firstLine="420" w:firstLineChars="200"/>
        <w:rPr>
          <w:rFonts w:hint="eastAsia" w:ascii="宋体" w:hAnsi="宋体" w:cs="宋体"/>
          <w:color w:val="000000"/>
          <w:szCs w:val="21"/>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w:t>
      </w:r>
      <w:r>
        <w:rPr>
          <w:rFonts w:hint="eastAsia" w:ascii="宋体" w:hAnsi="宋体"/>
          <w:szCs w:val="21"/>
        </w:rPr>
        <w:t>《中华人民共和国民法典》</w:t>
      </w:r>
      <w:r>
        <w:rPr>
          <w:rFonts w:hint="eastAsia" w:ascii="宋体" w:hAnsi="宋体" w:cs="宋体"/>
          <w:color w:val="000000"/>
          <w:szCs w:val="21"/>
        </w:rPr>
        <w:t>等法律、法规规定，按照</w:t>
      </w:r>
      <w:r>
        <w:rPr>
          <w:rFonts w:hint="eastAsia" w:ascii="宋体" w:hAnsi="宋体"/>
          <w:color w:val="000000"/>
          <w:szCs w:val="21"/>
        </w:rPr>
        <w:t>磋商文件规定条款和乙方响应文件及其承诺，甲乙双方签订本合同。</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第一条　合同标的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1、项目一览表</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66"/>
        <w:gridCol w:w="899"/>
        <w:gridCol w:w="989"/>
        <w:gridCol w:w="257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r>
              <w:rPr>
                <w:rFonts w:hint="eastAsia" w:ascii="宋体" w:hAnsi="宋体"/>
                <w:sz w:val="21"/>
                <w:szCs w:val="21"/>
              </w:rPr>
              <w:t>序号</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Theme="minorEastAsia"/>
                <w:sz w:val="21"/>
                <w:szCs w:val="21"/>
                <w:lang w:eastAsia="zh-CN"/>
              </w:rPr>
            </w:pPr>
            <w:r>
              <w:rPr>
                <w:rFonts w:hint="eastAsia" w:ascii="宋体" w:hAnsi="宋体"/>
                <w:sz w:val="21"/>
                <w:szCs w:val="21"/>
              </w:rPr>
              <w:t>服务</w:t>
            </w:r>
            <w:r>
              <w:rPr>
                <w:rFonts w:hint="eastAsia" w:ascii="宋体" w:hAnsi="宋体"/>
                <w:sz w:val="21"/>
                <w:szCs w:val="21"/>
                <w:lang w:val="en-US" w:eastAsia="zh-CN"/>
              </w:rPr>
              <w:t>名称</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r>
              <w:rPr>
                <w:rFonts w:hint="eastAsia" w:ascii="宋体" w:hAnsi="宋体"/>
                <w:sz w:val="21"/>
                <w:szCs w:val="21"/>
              </w:rPr>
              <w:t>数量</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r>
              <w:rPr>
                <w:rFonts w:hint="eastAsia" w:ascii="宋体" w:hAnsi="宋体"/>
                <w:sz w:val="21"/>
                <w:szCs w:val="21"/>
              </w:rPr>
              <w:t>单位</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r>
              <w:rPr>
                <w:rFonts w:hint="eastAsia" w:ascii="宋体" w:hAnsi="宋体"/>
                <w:sz w:val="21"/>
                <w:szCs w:val="21"/>
              </w:rPr>
              <w:t>金  额（元）</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Theme="minorEastAsia"/>
                <w:sz w:val="21"/>
                <w:szCs w:val="21"/>
                <w:lang w:eastAsia="zh-CN"/>
              </w:rPr>
            </w:pPr>
            <w:r>
              <w:rPr>
                <w:rFonts w:hint="eastAsia" w:ascii="宋体" w:hAnsi="宋体"/>
                <w:bCs/>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r>
              <w:rPr>
                <w:rFonts w:hint="eastAsia" w:ascii="宋体" w:hAnsi="宋体"/>
                <w:sz w:val="21"/>
                <w:szCs w:val="21"/>
              </w:rPr>
              <w:t>1</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p>
        </w:tc>
        <w:tc>
          <w:tcPr>
            <w:tcW w:w="10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65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Theme="minorEastAsia"/>
                <w:sz w:val="21"/>
                <w:szCs w:val="21"/>
                <w:lang w:val="en-US" w:eastAsia="zh-CN"/>
              </w:rPr>
            </w:pPr>
            <w:r>
              <w:rPr>
                <w:rFonts w:hint="eastAsia" w:ascii="宋体" w:hAnsi="宋体" w:cs="宋体"/>
                <w:color w:val="000000"/>
                <w:sz w:val="21"/>
                <w:szCs w:val="21"/>
              </w:rPr>
              <w:t>人民币合计金额（大写）：</w:t>
            </w:r>
            <w:r>
              <w:rPr>
                <w:rFonts w:ascii="宋体" w:hAnsi="宋体" w:cs="宋体"/>
                <w:color w:val="000000"/>
                <w:sz w:val="21"/>
                <w:szCs w:val="21"/>
                <w:u w:val="single"/>
              </w:rPr>
              <w:t xml:space="preserve">      </w:t>
            </w:r>
            <w:r>
              <w:rPr>
                <w:rFonts w:hint="eastAsia" w:ascii="宋体" w:hAnsi="宋体" w:cs="宋体"/>
                <w:color w:val="000000"/>
                <w:sz w:val="21"/>
                <w:szCs w:val="21"/>
                <w:u w:val="single"/>
              </w:rPr>
              <w:t xml:space="preserve">                      </w:t>
            </w:r>
            <w:r>
              <w:rPr>
                <w:rFonts w:ascii="宋体" w:hAnsi="宋体" w:cs="宋体"/>
                <w:color w:val="000000"/>
                <w:sz w:val="21"/>
                <w:szCs w:val="21"/>
                <w:u w:val="single"/>
              </w:rPr>
              <w:t xml:space="preserve">  </w:t>
            </w:r>
            <w:r>
              <w:rPr>
                <w:rFonts w:hint="eastAsia" w:ascii="宋体" w:hAnsi="宋体" w:cs="宋体"/>
                <w:color w:val="000000"/>
                <w:sz w:val="21"/>
                <w:szCs w:val="21"/>
              </w:rPr>
              <w:t>元整（¥</w:t>
            </w:r>
            <w:r>
              <w:rPr>
                <w:rFonts w:ascii="宋体" w:hAnsi="宋体" w:cs="宋体"/>
                <w:color w:val="000000"/>
                <w:sz w:val="21"/>
                <w:szCs w:val="21"/>
                <w:u w:val="single"/>
              </w:rPr>
              <w:t xml:space="preserve">           </w:t>
            </w:r>
            <w:r>
              <w:rPr>
                <w:rFonts w:hint="eastAsia" w:ascii="宋体" w:hAnsi="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65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宋体" w:hAnsi="宋体" w:cs="仿宋_GB2312" w:eastAsiaTheme="minorEastAsia"/>
                <w:color w:val="000000" w:themeColor="text1"/>
                <w:sz w:val="21"/>
                <w:szCs w:val="21"/>
                <w:lang w:val="en-US" w:eastAsia="zh-CN"/>
                <w14:textFill>
                  <w14:solidFill>
                    <w14:schemeClr w14:val="tx1"/>
                  </w14:solidFill>
                </w14:textFill>
              </w:rPr>
            </w:pPr>
            <w:r>
              <w:rPr>
                <w:rFonts w:hint="eastAsia" w:ascii="宋体" w:hAnsi="宋体" w:cs="仿宋_GB2312" w:eastAsiaTheme="minorEastAsia"/>
                <w:color w:val="000000" w:themeColor="text1"/>
                <w:sz w:val="21"/>
                <w:szCs w:val="21"/>
                <w:lang w:val="en-US" w:eastAsia="zh-CN"/>
                <w14:textFill>
                  <w14:solidFill>
                    <w14:schemeClr w14:val="tx1"/>
                  </w14:solidFill>
                </w14:textFill>
              </w:rPr>
              <w:t>交付使用期</w:t>
            </w:r>
            <w:r>
              <w:rPr>
                <w:rFonts w:hint="eastAsia" w:ascii="宋体" w:hAnsi="宋体" w:cs="仿宋_GB2312"/>
                <w:color w:val="000000" w:themeColor="text1"/>
                <w:sz w:val="21"/>
                <w:szCs w:val="21"/>
                <w:lang w:val="en-US" w:eastAsia="zh-CN"/>
                <w14:textFill>
                  <w14:solidFill>
                    <w14:schemeClr w14:val="tx1"/>
                  </w14:solidFill>
                </w14:textFill>
              </w:rPr>
              <w:t>：</w:t>
            </w:r>
          </w:p>
        </w:tc>
      </w:tr>
    </w:tbl>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第二条　质量保证</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第三条　权利保证</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第四条　交付和验收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1、服务期限：</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起至</w:t>
      </w:r>
      <w:r>
        <w:rPr>
          <w:rFonts w:ascii="宋体" w:hAnsi="宋体" w:cs="宋体"/>
          <w:color w:val="000000"/>
          <w:szCs w:val="21"/>
          <w:u w:val="single"/>
        </w:rPr>
        <w:t xml:space="preserve">              </w:t>
      </w:r>
      <w:r>
        <w:rPr>
          <w:rFonts w:hint="eastAsia" w:ascii="宋体" w:hAnsi="宋体" w:cs="宋体"/>
          <w:color w:val="000000"/>
          <w:szCs w:val="21"/>
        </w:rPr>
        <w:t>，服务地点：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2、乙方应按响应文件的承诺向甲方提供相应的服务，并提供所服务内容的相关技术资料。</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3、乙方提供不符合响应文件和本合同规定的服务成果，甲方有权拒绝接受。</w:t>
      </w:r>
    </w:p>
    <w:p>
      <w:pPr>
        <w:spacing w:line="360" w:lineRule="auto"/>
        <w:ind w:firstLine="420" w:firstLineChars="200"/>
        <w:rPr>
          <w:rFonts w:hint="eastAsia" w:ascii="宋体" w:hAnsi="宋体"/>
          <w:color w:val="000000"/>
          <w:szCs w:val="21"/>
        </w:rPr>
      </w:pPr>
      <w:r>
        <w:rPr>
          <w:rFonts w:hint="eastAsia" w:ascii="宋体" w:hAnsi="宋体"/>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000000"/>
          <w:szCs w:val="21"/>
        </w:rPr>
      </w:pPr>
      <w:r>
        <w:rPr>
          <w:rFonts w:hint="eastAsia" w:ascii="宋体" w:hAnsi="宋体" w:cs="宋体"/>
          <w:color w:val="000000"/>
          <w:szCs w:val="21"/>
        </w:rPr>
        <w:t>5、甲乙双方应按照《</w:t>
      </w:r>
      <w:r>
        <w:rPr>
          <w:rFonts w:ascii="宋体" w:hAnsi="宋体" w:cs="宋体"/>
          <w:color w:val="000000"/>
          <w:szCs w:val="21"/>
        </w:rPr>
        <w:t>广西壮族自治区政府采购项目履约验收管理办法</w:t>
      </w:r>
      <w:r>
        <w:rPr>
          <w:rFonts w:hint="eastAsia" w:ascii="宋体" w:hAnsi="宋体" w:cs="宋体"/>
          <w:color w:val="000000"/>
          <w:szCs w:val="21"/>
        </w:rPr>
        <w:t>》、双方合同、响应文件验收。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第五条  售后服务及培训</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2、甲方应提供必要测试条件（如场地、电源、水源等）。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3、乙方负责甲方有关人员的培训。培训时间、地点：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2" w:firstLineChars="200"/>
        <w:rPr>
          <w:rFonts w:hint="eastAsia" w:ascii="宋体" w:hAnsi="宋体" w:cs="宋体"/>
          <w:color w:val="auto"/>
          <w:szCs w:val="21"/>
          <w:u w:val="single"/>
        </w:rPr>
      </w:pPr>
      <w:r>
        <w:rPr>
          <w:rFonts w:hint="eastAsia" w:ascii="宋体" w:hAnsi="宋体" w:cs="宋体"/>
          <w:b/>
          <w:color w:val="auto"/>
          <w:szCs w:val="21"/>
        </w:rPr>
        <w:t>第六条　付款方式</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合同签订后10个工作日内，甲方向乙方支付合同总价40%的启动经费；乙方提交初步成果，甲方向乙方支付合同总价50%的进度经费；成果提交并经甲方验收合格后，甲方在十五个工作日内一次性支付合同总价的剩余10%服务款给乙方。乙方在每次收到货款之日起5个工作日内开具全额发票给甲方。 </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000000"/>
          <w:szCs w:val="21"/>
        </w:rPr>
      </w:pPr>
      <w:r>
        <w:rPr>
          <w:rFonts w:hint="eastAsia" w:ascii="宋体" w:hAnsi="宋体" w:cs="宋体"/>
          <w:b/>
          <w:color w:val="000000"/>
          <w:szCs w:val="21"/>
        </w:rPr>
        <w:t>第七条　履约保证金</w:t>
      </w:r>
    </w:p>
    <w:p>
      <w:pPr>
        <w:spacing w:line="360" w:lineRule="auto"/>
        <w:ind w:firstLine="420" w:firstLineChars="200"/>
        <w:rPr>
          <w:rFonts w:hint="eastAsia" w:ascii="宋体" w:hAnsi="宋体"/>
          <w:color w:val="auto"/>
          <w:szCs w:val="21"/>
        </w:rPr>
      </w:pPr>
      <w:r>
        <w:rPr>
          <w:rFonts w:hint="eastAsia" w:ascii="宋体" w:hAnsi="宋体"/>
          <w:color w:val="auto"/>
          <w:szCs w:val="21"/>
        </w:rPr>
        <w:t>本项目不收取履约保证金。</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第八条  税费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本合同执行中相关的一切税费均由乙方负担，合同另有约定的除外。</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第九条　违约责任</w:t>
      </w:r>
    </w:p>
    <w:p>
      <w:pPr>
        <w:snapToGrid w:val="0"/>
        <w:spacing w:line="360" w:lineRule="auto"/>
        <w:ind w:firstLine="420" w:firstLineChars="200"/>
        <w:rPr>
          <w:rFonts w:hint="eastAsia" w:ascii="宋体" w:hAnsi="宋体" w:cs="宋体"/>
          <w:color w:val="000000"/>
          <w:szCs w:val="21"/>
        </w:rPr>
      </w:pPr>
      <w:r>
        <w:rPr>
          <w:rFonts w:hint="eastAsia" w:ascii="宋体" w:hAnsi="宋体"/>
          <w:color w:val="000000"/>
          <w:szCs w:val="21"/>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000000"/>
          <w:szCs w:val="21"/>
        </w:rPr>
        <w:t xml:space="preserve">                                  </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cs="宋体"/>
          <w:color w:val="000000"/>
          <w:szCs w:val="21"/>
        </w:rPr>
      </w:pPr>
      <w:r>
        <w:rPr>
          <w:rFonts w:ascii="宋体" w:hAnsi="宋体"/>
          <w:color w:val="000000"/>
          <w:szCs w:val="21"/>
        </w:rPr>
        <w:t>3</w:t>
      </w:r>
      <w:r>
        <w:rPr>
          <w:rFonts w:hint="eastAsia" w:ascii="宋体" w:hAnsi="宋体"/>
          <w:color w:val="000000"/>
          <w:szCs w:val="21"/>
        </w:rPr>
        <w:t>、甲方延期付款的，每天向乙方偿付延期款额3‰滞纳金，但滞纳金累计不得超过延期款额5%。</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第十条  不可抗力事件处理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第十一条  合同争议解决</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3、诉讼期间，本合同继续履行。</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第十二条  合同生效及其它</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3、本合同未尽事宜，遵照《</w:t>
      </w:r>
      <w:r>
        <w:rPr>
          <w:rFonts w:hint="eastAsia" w:ascii="宋体" w:hAnsi="宋体" w:cs="宋体"/>
          <w:color w:val="000000"/>
          <w:szCs w:val="21"/>
          <w:lang w:val="en-US" w:eastAsia="zh-CN"/>
        </w:rPr>
        <w:t>民法典</w:t>
      </w:r>
      <w:r>
        <w:rPr>
          <w:rFonts w:hint="eastAsia" w:ascii="宋体" w:hAnsi="宋体" w:cs="宋体"/>
          <w:color w:val="000000"/>
          <w:szCs w:val="21"/>
        </w:rPr>
        <w:t>》有关条文执行。</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第十三条　合同的变更、终止与转让</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2、乙方不得擅自转让其应履行的合同义务。</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第十四条　签订本合同依据</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olor w:val="000000"/>
          <w:szCs w:val="21"/>
        </w:rPr>
        <w:t>成交通知书</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2、竞标报价表；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3、商务条款偏离表和技术需求偏离表；</w:t>
      </w:r>
    </w:p>
    <w:p>
      <w:pPr>
        <w:spacing w:line="360" w:lineRule="auto"/>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、服务方案；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5、响应文件中的其他相关文件。</w:t>
      </w:r>
    </w:p>
    <w:p>
      <w:pPr>
        <w:spacing w:line="360" w:lineRule="auto"/>
        <w:ind w:firstLine="420" w:firstLineChars="200"/>
        <w:rPr>
          <w:rFonts w:hint="eastAsia" w:ascii="宋体" w:hAnsi="宋体" w:cs="宋体"/>
          <w:color w:val="000000"/>
          <w:szCs w:val="21"/>
        </w:rPr>
      </w:pPr>
      <w:r>
        <w:rPr>
          <w:rFonts w:ascii="宋体" w:hAnsi="宋体" w:cs="宋体"/>
          <w:color w:val="000000"/>
          <w:szCs w:val="21"/>
        </w:rPr>
        <w:t>6</w:t>
      </w:r>
      <w:r>
        <w:rPr>
          <w:rFonts w:hint="eastAsia" w:ascii="宋体" w:hAnsi="宋体" w:cs="宋体"/>
          <w:color w:val="000000"/>
          <w:szCs w:val="21"/>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第十五条　</w:t>
      </w:r>
      <w:r>
        <w:rPr>
          <w:rFonts w:hint="eastAsia" w:ascii="宋体" w:hAnsi="宋体" w:cs="宋体"/>
          <w:color w:val="000000"/>
          <w:szCs w:val="21"/>
        </w:rPr>
        <w:t>本合同一式四份，具有同等法律效力，财政部门（政府采购监管部门）、采购代理机构各一份，甲乙双方各一份（可根据需要另增加）。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tbl>
      <w:tblPr>
        <w:tblStyle w:val="2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甲方：（章）</w:t>
            </w:r>
          </w:p>
          <w:p>
            <w:pPr>
              <w:snapToGrid w:val="0"/>
              <w:spacing w:line="360" w:lineRule="auto"/>
              <w:rPr>
                <w:rFonts w:hint="eastAsia" w:ascii="宋体" w:hAnsi="宋体" w:cs="宋体"/>
                <w:color w:val="000000"/>
                <w:szCs w:val="21"/>
              </w:rPr>
            </w:pPr>
          </w:p>
          <w:p>
            <w:pPr>
              <w:snapToGrid w:val="0"/>
              <w:spacing w:line="360" w:lineRule="auto"/>
              <w:rPr>
                <w:rFonts w:hint="eastAsia" w:ascii="宋体" w:hAnsi="宋体" w:cs="宋体"/>
                <w:color w:val="000000"/>
                <w:szCs w:val="21"/>
              </w:rPr>
            </w:pPr>
          </w:p>
          <w:p>
            <w:pPr>
              <w:snapToGrid w:val="0"/>
              <w:spacing w:line="360" w:lineRule="auto"/>
              <w:ind w:firstLine="945" w:firstLineChars="450"/>
              <w:jc w:val="right"/>
              <w:rPr>
                <w:rFonts w:hint="eastAsia" w:ascii="宋体" w:hAnsi="宋体" w:cs="宋体"/>
                <w:color w:val="000000"/>
                <w:szCs w:val="21"/>
              </w:rPr>
            </w:pPr>
          </w:p>
          <w:p>
            <w:pPr>
              <w:snapToGrid w:val="0"/>
              <w:spacing w:line="360" w:lineRule="auto"/>
              <w:ind w:firstLine="945" w:firstLineChars="450"/>
              <w:jc w:val="right"/>
              <w:rPr>
                <w:rFonts w:ascii="宋体" w:hAnsi="宋体" w:cs="宋体"/>
                <w:color w:val="000000"/>
                <w:szCs w:val="21"/>
              </w:rPr>
            </w:pPr>
            <w:r>
              <w:rPr>
                <w:rFonts w:hint="eastAsia" w:ascii="宋体" w:hAnsi="宋体" w:cs="宋体"/>
                <w:color w:val="000000"/>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 xml:space="preserve">乙方：（章）       </w:t>
            </w:r>
          </w:p>
          <w:p>
            <w:pPr>
              <w:snapToGrid w:val="0"/>
              <w:spacing w:line="360" w:lineRule="auto"/>
              <w:rPr>
                <w:rFonts w:hint="eastAsia" w:ascii="宋体" w:hAnsi="宋体" w:cs="宋体"/>
                <w:color w:val="000000"/>
                <w:szCs w:val="21"/>
              </w:rPr>
            </w:pPr>
          </w:p>
          <w:p>
            <w:pPr>
              <w:snapToGrid w:val="0"/>
              <w:spacing w:line="360" w:lineRule="auto"/>
              <w:rPr>
                <w:rFonts w:hint="eastAsia" w:ascii="宋体" w:hAnsi="宋体" w:cs="宋体"/>
                <w:color w:val="000000"/>
                <w:szCs w:val="21"/>
              </w:rPr>
            </w:pPr>
            <w:r>
              <w:rPr>
                <w:rFonts w:hint="eastAsia" w:ascii="宋体" w:hAnsi="宋体" w:cs="宋体"/>
                <w:color w:val="000000"/>
                <w:szCs w:val="21"/>
              </w:rPr>
              <w:t xml:space="preserve">       </w:t>
            </w:r>
          </w:p>
          <w:p>
            <w:pPr>
              <w:snapToGrid w:val="0"/>
              <w:spacing w:line="360" w:lineRule="auto"/>
              <w:jc w:val="right"/>
              <w:rPr>
                <w:rFonts w:hint="eastAsia" w:ascii="宋体" w:hAnsi="宋体" w:cs="宋体"/>
                <w:color w:val="000000"/>
                <w:szCs w:val="21"/>
              </w:rPr>
            </w:pPr>
          </w:p>
          <w:p>
            <w:pPr>
              <w:snapToGrid w:val="0"/>
              <w:spacing w:line="360" w:lineRule="auto"/>
              <w:jc w:val="right"/>
              <w:rPr>
                <w:rFonts w:ascii="宋体" w:hAnsi="宋体" w:cs="宋体"/>
                <w:color w:val="000000"/>
                <w:szCs w:val="21"/>
              </w:rPr>
            </w:pPr>
            <w:r>
              <w:rPr>
                <w:rFonts w:hint="eastAsia" w:ascii="宋体" w:hAnsi="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单位地址：</w:t>
            </w:r>
            <w:r>
              <w:rPr>
                <w:rFonts w:ascii="宋体" w:hAnsi="宋体" w:cs="宋体"/>
                <w:color w:val="000000"/>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szCs w:val="21"/>
              </w:rPr>
            </w:pPr>
            <w:r>
              <w:rPr>
                <w:rFonts w:hint="eastAsia" w:ascii="宋体" w:hAnsi="宋体" w:cs="宋体"/>
                <w:color w:val="000000"/>
                <w:szCs w:val="21"/>
              </w:rPr>
              <w:t>邮政编码：</w:t>
            </w:r>
          </w:p>
        </w:tc>
      </w:tr>
    </w:tbl>
    <w:p>
      <w:pPr>
        <w:pStyle w:val="2"/>
        <w:rPr>
          <w:rFonts w:ascii="宋体" w:hAnsi="宋体" w:cs="宋体"/>
          <w:b/>
          <w:bCs/>
          <w:kern w:val="0"/>
          <w:sz w:val="24"/>
        </w:rPr>
      </w:pPr>
    </w:p>
    <w:p>
      <w:pPr>
        <w:pStyle w:val="2"/>
      </w:pPr>
    </w:p>
    <w:p>
      <w:pPr>
        <w:ind w:firstLine="0" w:firstLineChars="0"/>
        <w:jc w:val="both"/>
        <w:rPr>
          <w:color w:val="000000" w:themeColor="text1"/>
          <w14:textFill>
            <w14:solidFill>
              <w14:schemeClr w14:val="tx1"/>
            </w14:solidFill>
          </w14:textFill>
        </w:rPr>
      </w:pPr>
    </w:p>
    <w:sectPr>
      <w:pgSz w:w="11906" w:h="16838"/>
      <w:pgMar w:top="1418" w:right="1418" w:bottom="1418"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9279"/>
    </w:sdtPr>
    <w:sdtContent>
      <w:p>
        <w:pPr>
          <w:pStyle w:val="19"/>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3443D"/>
    <w:multiLevelType w:val="multilevel"/>
    <w:tmpl w:val="1813443D"/>
    <w:lvl w:ilvl="0" w:tentative="0">
      <w:start w:val="1"/>
      <w:numFmt w:val="decimal"/>
      <w:lvlText w:val="%1."/>
      <w:lvlJc w:val="left"/>
      <w:pPr>
        <w:ind w:left="1407" w:hanging="420"/>
      </w:pPr>
      <w:rPr>
        <w:b/>
        <w:bCs/>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
    <w:nsid w:val="2D51AC75"/>
    <w:multiLevelType w:val="singleLevel"/>
    <w:tmpl w:val="2D51AC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dit="readOnly" w:formatting="1"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NGIyMjQ1NmI3ZGQzYjE0OTM4NjlmZTRhZTI3N2MifQ=="/>
  </w:docVars>
  <w:rsids>
    <w:rsidRoot w:val="00864FE5"/>
    <w:rsid w:val="0000153C"/>
    <w:rsid w:val="00003F7A"/>
    <w:rsid w:val="00006B33"/>
    <w:rsid w:val="0001018F"/>
    <w:rsid w:val="00010922"/>
    <w:rsid w:val="00012C35"/>
    <w:rsid w:val="0002126E"/>
    <w:rsid w:val="000310FB"/>
    <w:rsid w:val="00031308"/>
    <w:rsid w:val="00031634"/>
    <w:rsid w:val="000336C0"/>
    <w:rsid w:val="00034A37"/>
    <w:rsid w:val="00037543"/>
    <w:rsid w:val="00055338"/>
    <w:rsid w:val="0005702D"/>
    <w:rsid w:val="000602DB"/>
    <w:rsid w:val="00060D51"/>
    <w:rsid w:val="0006323E"/>
    <w:rsid w:val="00065248"/>
    <w:rsid w:val="0007045D"/>
    <w:rsid w:val="00073726"/>
    <w:rsid w:val="00075EF0"/>
    <w:rsid w:val="0007749C"/>
    <w:rsid w:val="00077A4B"/>
    <w:rsid w:val="00080119"/>
    <w:rsid w:val="00085121"/>
    <w:rsid w:val="000851F9"/>
    <w:rsid w:val="00085323"/>
    <w:rsid w:val="000861E4"/>
    <w:rsid w:val="000A0EB9"/>
    <w:rsid w:val="000A2B10"/>
    <w:rsid w:val="000A3943"/>
    <w:rsid w:val="000A68BC"/>
    <w:rsid w:val="000B2CBD"/>
    <w:rsid w:val="000B3B8D"/>
    <w:rsid w:val="000B6959"/>
    <w:rsid w:val="000B7D1F"/>
    <w:rsid w:val="000C03B3"/>
    <w:rsid w:val="000C5E98"/>
    <w:rsid w:val="000C797D"/>
    <w:rsid w:val="000D3F8C"/>
    <w:rsid w:val="000D56E4"/>
    <w:rsid w:val="000D5E6C"/>
    <w:rsid w:val="000E10BC"/>
    <w:rsid w:val="000E1628"/>
    <w:rsid w:val="000F0122"/>
    <w:rsid w:val="000F5413"/>
    <w:rsid w:val="00103476"/>
    <w:rsid w:val="00104730"/>
    <w:rsid w:val="00105010"/>
    <w:rsid w:val="001101AF"/>
    <w:rsid w:val="00111331"/>
    <w:rsid w:val="001126F2"/>
    <w:rsid w:val="00112AB4"/>
    <w:rsid w:val="00113123"/>
    <w:rsid w:val="00116016"/>
    <w:rsid w:val="00116C57"/>
    <w:rsid w:val="00122FDD"/>
    <w:rsid w:val="00123143"/>
    <w:rsid w:val="001231EF"/>
    <w:rsid w:val="00123D21"/>
    <w:rsid w:val="00124A6C"/>
    <w:rsid w:val="00127D61"/>
    <w:rsid w:val="00130B86"/>
    <w:rsid w:val="001337EC"/>
    <w:rsid w:val="001339B1"/>
    <w:rsid w:val="001411B3"/>
    <w:rsid w:val="00143F6F"/>
    <w:rsid w:val="001516C3"/>
    <w:rsid w:val="00154D31"/>
    <w:rsid w:val="001567AA"/>
    <w:rsid w:val="001567E2"/>
    <w:rsid w:val="00156B58"/>
    <w:rsid w:val="00157BCA"/>
    <w:rsid w:val="00160885"/>
    <w:rsid w:val="00162AF4"/>
    <w:rsid w:val="001734F6"/>
    <w:rsid w:val="001739D3"/>
    <w:rsid w:val="001754D1"/>
    <w:rsid w:val="00177BE4"/>
    <w:rsid w:val="00180804"/>
    <w:rsid w:val="0018623A"/>
    <w:rsid w:val="00191851"/>
    <w:rsid w:val="00194DE6"/>
    <w:rsid w:val="0019786C"/>
    <w:rsid w:val="001A10A1"/>
    <w:rsid w:val="001A1284"/>
    <w:rsid w:val="001A40FB"/>
    <w:rsid w:val="001B1B52"/>
    <w:rsid w:val="001B57A6"/>
    <w:rsid w:val="001C402A"/>
    <w:rsid w:val="001D2093"/>
    <w:rsid w:val="001D3A9C"/>
    <w:rsid w:val="001D746B"/>
    <w:rsid w:val="001E01FD"/>
    <w:rsid w:val="001E23E9"/>
    <w:rsid w:val="001E34F5"/>
    <w:rsid w:val="001F105F"/>
    <w:rsid w:val="001F29AC"/>
    <w:rsid w:val="002041FC"/>
    <w:rsid w:val="00207E48"/>
    <w:rsid w:val="00223CA2"/>
    <w:rsid w:val="0023120B"/>
    <w:rsid w:val="00232C03"/>
    <w:rsid w:val="002345DE"/>
    <w:rsid w:val="0023505B"/>
    <w:rsid w:val="002351A3"/>
    <w:rsid w:val="00241520"/>
    <w:rsid w:val="00244073"/>
    <w:rsid w:val="00245108"/>
    <w:rsid w:val="0024570E"/>
    <w:rsid w:val="00245719"/>
    <w:rsid w:val="002520C3"/>
    <w:rsid w:val="002530A4"/>
    <w:rsid w:val="00256137"/>
    <w:rsid w:val="00261615"/>
    <w:rsid w:val="00270CF7"/>
    <w:rsid w:val="00272DDD"/>
    <w:rsid w:val="00284762"/>
    <w:rsid w:val="00287AD7"/>
    <w:rsid w:val="002902FA"/>
    <w:rsid w:val="00292A28"/>
    <w:rsid w:val="002A1FAA"/>
    <w:rsid w:val="002A3D99"/>
    <w:rsid w:val="002A6083"/>
    <w:rsid w:val="002B532F"/>
    <w:rsid w:val="002B67AC"/>
    <w:rsid w:val="002B75AF"/>
    <w:rsid w:val="002C1931"/>
    <w:rsid w:val="002C3D6A"/>
    <w:rsid w:val="002C6A4A"/>
    <w:rsid w:val="002C7780"/>
    <w:rsid w:val="002D00D8"/>
    <w:rsid w:val="002D3D64"/>
    <w:rsid w:val="002D51C6"/>
    <w:rsid w:val="002E1472"/>
    <w:rsid w:val="002E1A1F"/>
    <w:rsid w:val="002E29EB"/>
    <w:rsid w:val="002E39ED"/>
    <w:rsid w:val="002E7A52"/>
    <w:rsid w:val="002E7BF2"/>
    <w:rsid w:val="002F1618"/>
    <w:rsid w:val="002F1BE6"/>
    <w:rsid w:val="002F4D6C"/>
    <w:rsid w:val="002F57DE"/>
    <w:rsid w:val="002F5CB7"/>
    <w:rsid w:val="00307146"/>
    <w:rsid w:val="003105EA"/>
    <w:rsid w:val="00312FF9"/>
    <w:rsid w:val="0032632F"/>
    <w:rsid w:val="003266BD"/>
    <w:rsid w:val="00341823"/>
    <w:rsid w:val="00344952"/>
    <w:rsid w:val="003471AB"/>
    <w:rsid w:val="00347B67"/>
    <w:rsid w:val="003538F7"/>
    <w:rsid w:val="003663CF"/>
    <w:rsid w:val="00367A65"/>
    <w:rsid w:val="003709BE"/>
    <w:rsid w:val="00376C3F"/>
    <w:rsid w:val="0037701B"/>
    <w:rsid w:val="003837EE"/>
    <w:rsid w:val="003916D1"/>
    <w:rsid w:val="003A1920"/>
    <w:rsid w:val="003A1B37"/>
    <w:rsid w:val="003A4DB1"/>
    <w:rsid w:val="003B004F"/>
    <w:rsid w:val="003B2820"/>
    <w:rsid w:val="003B59F2"/>
    <w:rsid w:val="003C3906"/>
    <w:rsid w:val="003C4E1B"/>
    <w:rsid w:val="003C52EA"/>
    <w:rsid w:val="003C78A5"/>
    <w:rsid w:val="003C7A5C"/>
    <w:rsid w:val="003D293E"/>
    <w:rsid w:val="003D7FA7"/>
    <w:rsid w:val="003E0E15"/>
    <w:rsid w:val="003E1200"/>
    <w:rsid w:val="003E4D3B"/>
    <w:rsid w:val="003E6C09"/>
    <w:rsid w:val="003E6F12"/>
    <w:rsid w:val="003E76B2"/>
    <w:rsid w:val="003F0C19"/>
    <w:rsid w:val="003F2C4F"/>
    <w:rsid w:val="003F2CAB"/>
    <w:rsid w:val="003F3CC9"/>
    <w:rsid w:val="003F40BF"/>
    <w:rsid w:val="003F49C5"/>
    <w:rsid w:val="003F7081"/>
    <w:rsid w:val="004026CB"/>
    <w:rsid w:val="00403A61"/>
    <w:rsid w:val="0041233F"/>
    <w:rsid w:val="00414AD0"/>
    <w:rsid w:val="00421BC6"/>
    <w:rsid w:val="00421DEA"/>
    <w:rsid w:val="00431761"/>
    <w:rsid w:val="00445EC8"/>
    <w:rsid w:val="00447D72"/>
    <w:rsid w:val="00452753"/>
    <w:rsid w:val="00455654"/>
    <w:rsid w:val="00463295"/>
    <w:rsid w:val="00463E89"/>
    <w:rsid w:val="00465475"/>
    <w:rsid w:val="004702D4"/>
    <w:rsid w:val="00470EA2"/>
    <w:rsid w:val="0047116D"/>
    <w:rsid w:val="0047431D"/>
    <w:rsid w:val="004755CD"/>
    <w:rsid w:val="004757AA"/>
    <w:rsid w:val="004800D0"/>
    <w:rsid w:val="00483C03"/>
    <w:rsid w:val="004844C3"/>
    <w:rsid w:val="004872DE"/>
    <w:rsid w:val="0049006D"/>
    <w:rsid w:val="00497BB4"/>
    <w:rsid w:val="004A4310"/>
    <w:rsid w:val="004A52BE"/>
    <w:rsid w:val="004B4572"/>
    <w:rsid w:val="004B47AA"/>
    <w:rsid w:val="004B542C"/>
    <w:rsid w:val="004B5ECE"/>
    <w:rsid w:val="004C32B8"/>
    <w:rsid w:val="004D3A33"/>
    <w:rsid w:val="004D4BE4"/>
    <w:rsid w:val="004D4C2C"/>
    <w:rsid w:val="004D4E0E"/>
    <w:rsid w:val="004D637B"/>
    <w:rsid w:val="004D6E09"/>
    <w:rsid w:val="004E14E3"/>
    <w:rsid w:val="004E2E4C"/>
    <w:rsid w:val="004E425C"/>
    <w:rsid w:val="004F1FED"/>
    <w:rsid w:val="004F2378"/>
    <w:rsid w:val="004F4E33"/>
    <w:rsid w:val="00500183"/>
    <w:rsid w:val="00500DA5"/>
    <w:rsid w:val="00502802"/>
    <w:rsid w:val="0050307E"/>
    <w:rsid w:val="0050669A"/>
    <w:rsid w:val="00511763"/>
    <w:rsid w:val="005154B6"/>
    <w:rsid w:val="00517956"/>
    <w:rsid w:val="0052073E"/>
    <w:rsid w:val="00521F87"/>
    <w:rsid w:val="00522288"/>
    <w:rsid w:val="005226F9"/>
    <w:rsid w:val="0052306B"/>
    <w:rsid w:val="005243B5"/>
    <w:rsid w:val="0052496E"/>
    <w:rsid w:val="005347B7"/>
    <w:rsid w:val="00536B5E"/>
    <w:rsid w:val="005412A1"/>
    <w:rsid w:val="0054606F"/>
    <w:rsid w:val="00550D29"/>
    <w:rsid w:val="00556938"/>
    <w:rsid w:val="00556AA5"/>
    <w:rsid w:val="00557A8C"/>
    <w:rsid w:val="00560613"/>
    <w:rsid w:val="00561BAE"/>
    <w:rsid w:val="0056520E"/>
    <w:rsid w:val="00573FF5"/>
    <w:rsid w:val="00577AE9"/>
    <w:rsid w:val="00577BF3"/>
    <w:rsid w:val="00577C94"/>
    <w:rsid w:val="00581776"/>
    <w:rsid w:val="00583939"/>
    <w:rsid w:val="00586FCF"/>
    <w:rsid w:val="0059221E"/>
    <w:rsid w:val="005944F2"/>
    <w:rsid w:val="005A0D5E"/>
    <w:rsid w:val="005A44D9"/>
    <w:rsid w:val="005A788C"/>
    <w:rsid w:val="005B16EE"/>
    <w:rsid w:val="005B43F7"/>
    <w:rsid w:val="005B478B"/>
    <w:rsid w:val="005B665B"/>
    <w:rsid w:val="005C22B1"/>
    <w:rsid w:val="005C6BB4"/>
    <w:rsid w:val="005D0654"/>
    <w:rsid w:val="005D1592"/>
    <w:rsid w:val="005D2F60"/>
    <w:rsid w:val="005D7621"/>
    <w:rsid w:val="005D7BBB"/>
    <w:rsid w:val="005E13E0"/>
    <w:rsid w:val="005E3A0A"/>
    <w:rsid w:val="005E5F38"/>
    <w:rsid w:val="005E60CB"/>
    <w:rsid w:val="005E73F1"/>
    <w:rsid w:val="005F2730"/>
    <w:rsid w:val="005F46C0"/>
    <w:rsid w:val="005F4AD3"/>
    <w:rsid w:val="00600D18"/>
    <w:rsid w:val="00605619"/>
    <w:rsid w:val="00612220"/>
    <w:rsid w:val="00613CBA"/>
    <w:rsid w:val="006223F2"/>
    <w:rsid w:val="00623282"/>
    <w:rsid w:val="0063119D"/>
    <w:rsid w:val="00645886"/>
    <w:rsid w:val="006469BD"/>
    <w:rsid w:val="0065224F"/>
    <w:rsid w:val="00652CFE"/>
    <w:rsid w:val="00656A88"/>
    <w:rsid w:val="00665E42"/>
    <w:rsid w:val="00685FCB"/>
    <w:rsid w:val="00687BE8"/>
    <w:rsid w:val="00690ECB"/>
    <w:rsid w:val="00695677"/>
    <w:rsid w:val="00695FBE"/>
    <w:rsid w:val="00696D30"/>
    <w:rsid w:val="006A38A0"/>
    <w:rsid w:val="006B1D7A"/>
    <w:rsid w:val="006C5942"/>
    <w:rsid w:val="006C7BFF"/>
    <w:rsid w:val="006C7EA3"/>
    <w:rsid w:val="006D6087"/>
    <w:rsid w:val="006E647F"/>
    <w:rsid w:val="006E6A3E"/>
    <w:rsid w:val="006F1723"/>
    <w:rsid w:val="006F2211"/>
    <w:rsid w:val="00703CFE"/>
    <w:rsid w:val="00704DC5"/>
    <w:rsid w:val="0070619F"/>
    <w:rsid w:val="007139E7"/>
    <w:rsid w:val="00715588"/>
    <w:rsid w:val="007155BC"/>
    <w:rsid w:val="00715E08"/>
    <w:rsid w:val="00716E32"/>
    <w:rsid w:val="0072361B"/>
    <w:rsid w:val="00724C3C"/>
    <w:rsid w:val="00726786"/>
    <w:rsid w:val="00732904"/>
    <w:rsid w:val="00737F44"/>
    <w:rsid w:val="00740CBB"/>
    <w:rsid w:val="007411FD"/>
    <w:rsid w:val="00741A53"/>
    <w:rsid w:val="00742019"/>
    <w:rsid w:val="007462A2"/>
    <w:rsid w:val="00747DEF"/>
    <w:rsid w:val="00750958"/>
    <w:rsid w:val="00753A21"/>
    <w:rsid w:val="00754415"/>
    <w:rsid w:val="00756692"/>
    <w:rsid w:val="00756C52"/>
    <w:rsid w:val="007642BA"/>
    <w:rsid w:val="00771EDA"/>
    <w:rsid w:val="00782F6A"/>
    <w:rsid w:val="0078533D"/>
    <w:rsid w:val="00785F41"/>
    <w:rsid w:val="00786384"/>
    <w:rsid w:val="00787266"/>
    <w:rsid w:val="00787A8E"/>
    <w:rsid w:val="007919C8"/>
    <w:rsid w:val="00792385"/>
    <w:rsid w:val="00793532"/>
    <w:rsid w:val="00794899"/>
    <w:rsid w:val="007A0B7F"/>
    <w:rsid w:val="007A0E2F"/>
    <w:rsid w:val="007A3DE4"/>
    <w:rsid w:val="007B108C"/>
    <w:rsid w:val="007B6174"/>
    <w:rsid w:val="007B6EFC"/>
    <w:rsid w:val="007C12D8"/>
    <w:rsid w:val="007C1D1F"/>
    <w:rsid w:val="007C3EE3"/>
    <w:rsid w:val="007C4478"/>
    <w:rsid w:val="007C44C8"/>
    <w:rsid w:val="007C7FE3"/>
    <w:rsid w:val="007E582E"/>
    <w:rsid w:val="007E5963"/>
    <w:rsid w:val="007E73E2"/>
    <w:rsid w:val="007E7CFD"/>
    <w:rsid w:val="007F1EF6"/>
    <w:rsid w:val="007F4772"/>
    <w:rsid w:val="007F67BF"/>
    <w:rsid w:val="007F7237"/>
    <w:rsid w:val="007F7359"/>
    <w:rsid w:val="00802393"/>
    <w:rsid w:val="00803DB9"/>
    <w:rsid w:val="008045B4"/>
    <w:rsid w:val="0081006E"/>
    <w:rsid w:val="00810E55"/>
    <w:rsid w:val="0082249C"/>
    <w:rsid w:val="00823835"/>
    <w:rsid w:val="00835730"/>
    <w:rsid w:val="008360DB"/>
    <w:rsid w:val="0083774E"/>
    <w:rsid w:val="008411B7"/>
    <w:rsid w:val="00842F92"/>
    <w:rsid w:val="0084619A"/>
    <w:rsid w:val="008463D6"/>
    <w:rsid w:val="00846588"/>
    <w:rsid w:val="00846E34"/>
    <w:rsid w:val="0084718B"/>
    <w:rsid w:val="0085442C"/>
    <w:rsid w:val="0085752A"/>
    <w:rsid w:val="00857BCE"/>
    <w:rsid w:val="0086156B"/>
    <w:rsid w:val="00863956"/>
    <w:rsid w:val="00864FE5"/>
    <w:rsid w:val="00871837"/>
    <w:rsid w:val="00871F24"/>
    <w:rsid w:val="008754AE"/>
    <w:rsid w:val="00876356"/>
    <w:rsid w:val="00880C39"/>
    <w:rsid w:val="00881579"/>
    <w:rsid w:val="008871A9"/>
    <w:rsid w:val="00895894"/>
    <w:rsid w:val="008A1FF0"/>
    <w:rsid w:val="008A2777"/>
    <w:rsid w:val="008B095B"/>
    <w:rsid w:val="008B6E80"/>
    <w:rsid w:val="008C3F62"/>
    <w:rsid w:val="008C3F7E"/>
    <w:rsid w:val="008C402C"/>
    <w:rsid w:val="008C4E83"/>
    <w:rsid w:val="008D1F10"/>
    <w:rsid w:val="008E071F"/>
    <w:rsid w:val="008E0A4F"/>
    <w:rsid w:val="008E1D0F"/>
    <w:rsid w:val="008F0A23"/>
    <w:rsid w:val="008F16F8"/>
    <w:rsid w:val="008F20B3"/>
    <w:rsid w:val="008F2B2C"/>
    <w:rsid w:val="008F300D"/>
    <w:rsid w:val="008F5E79"/>
    <w:rsid w:val="00902031"/>
    <w:rsid w:val="00905B29"/>
    <w:rsid w:val="00912345"/>
    <w:rsid w:val="009169B8"/>
    <w:rsid w:val="009174B3"/>
    <w:rsid w:val="009245F9"/>
    <w:rsid w:val="00925EF1"/>
    <w:rsid w:val="009273F5"/>
    <w:rsid w:val="00927C0A"/>
    <w:rsid w:val="0093388D"/>
    <w:rsid w:val="00933E30"/>
    <w:rsid w:val="0093598E"/>
    <w:rsid w:val="00936D84"/>
    <w:rsid w:val="009374CD"/>
    <w:rsid w:val="009401B4"/>
    <w:rsid w:val="00943CEC"/>
    <w:rsid w:val="00943EBB"/>
    <w:rsid w:val="00947F73"/>
    <w:rsid w:val="009507BF"/>
    <w:rsid w:val="00950FB2"/>
    <w:rsid w:val="00952025"/>
    <w:rsid w:val="00957496"/>
    <w:rsid w:val="00961BEE"/>
    <w:rsid w:val="009625D6"/>
    <w:rsid w:val="00963297"/>
    <w:rsid w:val="0096542C"/>
    <w:rsid w:val="00971175"/>
    <w:rsid w:val="0097140F"/>
    <w:rsid w:val="009719BE"/>
    <w:rsid w:val="00976A60"/>
    <w:rsid w:val="00977BD5"/>
    <w:rsid w:val="009812B3"/>
    <w:rsid w:val="00983F1F"/>
    <w:rsid w:val="00993085"/>
    <w:rsid w:val="00995648"/>
    <w:rsid w:val="009A002E"/>
    <w:rsid w:val="009C40D4"/>
    <w:rsid w:val="009C6CB6"/>
    <w:rsid w:val="009D00CF"/>
    <w:rsid w:val="009D18C7"/>
    <w:rsid w:val="009D354F"/>
    <w:rsid w:val="009D3E67"/>
    <w:rsid w:val="009D41DF"/>
    <w:rsid w:val="009D4768"/>
    <w:rsid w:val="009D58E7"/>
    <w:rsid w:val="009D6723"/>
    <w:rsid w:val="009D7422"/>
    <w:rsid w:val="009E06B2"/>
    <w:rsid w:val="009F4D75"/>
    <w:rsid w:val="00A00DBE"/>
    <w:rsid w:val="00A02325"/>
    <w:rsid w:val="00A03CF0"/>
    <w:rsid w:val="00A03D69"/>
    <w:rsid w:val="00A061E4"/>
    <w:rsid w:val="00A07D21"/>
    <w:rsid w:val="00A158FC"/>
    <w:rsid w:val="00A17778"/>
    <w:rsid w:val="00A27A00"/>
    <w:rsid w:val="00A31794"/>
    <w:rsid w:val="00A4078C"/>
    <w:rsid w:val="00A41B56"/>
    <w:rsid w:val="00A42D05"/>
    <w:rsid w:val="00A4430B"/>
    <w:rsid w:val="00A51A92"/>
    <w:rsid w:val="00A542BF"/>
    <w:rsid w:val="00A54422"/>
    <w:rsid w:val="00A54769"/>
    <w:rsid w:val="00A60AA5"/>
    <w:rsid w:val="00A63A09"/>
    <w:rsid w:val="00A66D36"/>
    <w:rsid w:val="00A71586"/>
    <w:rsid w:val="00A77169"/>
    <w:rsid w:val="00A8177A"/>
    <w:rsid w:val="00A833E5"/>
    <w:rsid w:val="00A9101F"/>
    <w:rsid w:val="00A921F5"/>
    <w:rsid w:val="00A9593C"/>
    <w:rsid w:val="00A96E15"/>
    <w:rsid w:val="00AA1FE4"/>
    <w:rsid w:val="00AB6A4D"/>
    <w:rsid w:val="00AC1CA6"/>
    <w:rsid w:val="00AC433A"/>
    <w:rsid w:val="00AC4871"/>
    <w:rsid w:val="00AD025F"/>
    <w:rsid w:val="00AD0CAD"/>
    <w:rsid w:val="00AD1BBF"/>
    <w:rsid w:val="00AD2926"/>
    <w:rsid w:val="00AD507F"/>
    <w:rsid w:val="00AD6E4D"/>
    <w:rsid w:val="00AF18A4"/>
    <w:rsid w:val="00AF3124"/>
    <w:rsid w:val="00AF52CD"/>
    <w:rsid w:val="00B01C61"/>
    <w:rsid w:val="00B02BBD"/>
    <w:rsid w:val="00B03C14"/>
    <w:rsid w:val="00B07DE5"/>
    <w:rsid w:val="00B13D4C"/>
    <w:rsid w:val="00B16134"/>
    <w:rsid w:val="00B163BB"/>
    <w:rsid w:val="00B207BF"/>
    <w:rsid w:val="00B21193"/>
    <w:rsid w:val="00B21B93"/>
    <w:rsid w:val="00B22BBC"/>
    <w:rsid w:val="00B27947"/>
    <w:rsid w:val="00B35209"/>
    <w:rsid w:val="00B352B6"/>
    <w:rsid w:val="00B368DD"/>
    <w:rsid w:val="00B41A7B"/>
    <w:rsid w:val="00B43608"/>
    <w:rsid w:val="00B44131"/>
    <w:rsid w:val="00B4436B"/>
    <w:rsid w:val="00B50CA0"/>
    <w:rsid w:val="00B51AAC"/>
    <w:rsid w:val="00B5420F"/>
    <w:rsid w:val="00B54949"/>
    <w:rsid w:val="00B55739"/>
    <w:rsid w:val="00B55B4A"/>
    <w:rsid w:val="00B5689C"/>
    <w:rsid w:val="00B573AD"/>
    <w:rsid w:val="00B648BF"/>
    <w:rsid w:val="00B71280"/>
    <w:rsid w:val="00B71588"/>
    <w:rsid w:val="00B722D9"/>
    <w:rsid w:val="00B74538"/>
    <w:rsid w:val="00B74CEF"/>
    <w:rsid w:val="00B774AA"/>
    <w:rsid w:val="00B81D18"/>
    <w:rsid w:val="00B82DAC"/>
    <w:rsid w:val="00B83DD6"/>
    <w:rsid w:val="00B90E74"/>
    <w:rsid w:val="00B936AF"/>
    <w:rsid w:val="00B95058"/>
    <w:rsid w:val="00BA150F"/>
    <w:rsid w:val="00BA59F8"/>
    <w:rsid w:val="00BA779E"/>
    <w:rsid w:val="00BA7DE4"/>
    <w:rsid w:val="00BB0414"/>
    <w:rsid w:val="00BB0851"/>
    <w:rsid w:val="00BB35CD"/>
    <w:rsid w:val="00BB54E1"/>
    <w:rsid w:val="00BB56CA"/>
    <w:rsid w:val="00BB735C"/>
    <w:rsid w:val="00BC33C0"/>
    <w:rsid w:val="00BD09BA"/>
    <w:rsid w:val="00BD416C"/>
    <w:rsid w:val="00BD6E94"/>
    <w:rsid w:val="00BE26FC"/>
    <w:rsid w:val="00BE28D8"/>
    <w:rsid w:val="00BE2EF4"/>
    <w:rsid w:val="00BE33C1"/>
    <w:rsid w:val="00BE56B6"/>
    <w:rsid w:val="00BF1D7C"/>
    <w:rsid w:val="00BF4A18"/>
    <w:rsid w:val="00BF7523"/>
    <w:rsid w:val="00BF7733"/>
    <w:rsid w:val="00BF7CA9"/>
    <w:rsid w:val="00C00C5B"/>
    <w:rsid w:val="00C028E4"/>
    <w:rsid w:val="00C03198"/>
    <w:rsid w:val="00C042A2"/>
    <w:rsid w:val="00C04E76"/>
    <w:rsid w:val="00C05D8E"/>
    <w:rsid w:val="00C07553"/>
    <w:rsid w:val="00C16967"/>
    <w:rsid w:val="00C21903"/>
    <w:rsid w:val="00C3528E"/>
    <w:rsid w:val="00C35942"/>
    <w:rsid w:val="00C368D8"/>
    <w:rsid w:val="00C449C0"/>
    <w:rsid w:val="00C4538E"/>
    <w:rsid w:val="00C45B52"/>
    <w:rsid w:val="00C557F2"/>
    <w:rsid w:val="00C5727F"/>
    <w:rsid w:val="00C6085C"/>
    <w:rsid w:val="00C61604"/>
    <w:rsid w:val="00C62083"/>
    <w:rsid w:val="00C645C5"/>
    <w:rsid w:val="00C675E9"/>
    <w:rsid w:val="00C733FA"/>
    <w:rsid w:val="00C80094"/>
    <w:rsid w:val="00C80841"/>
    <w:rsid w:val="00C86A5A"/>
    <w:rsid w:val="00C90A65"/>
    <w:rsid w:val="00C95A7A"/>
    <w:rsid w:val="00C95D3E"/>
    <w:rsid w:val="00CA0DCC"/>
    <w:rsid w:val="00CA0F28"/>
    <w:rsid w:val="00CA2429"/>
    <w:rsid w:val="00CA3111"/>
    <w:rsid w:val="00CA3F65"/>
    <w:rsid w:val="00CA41EE"/>
    <w:rsid w:val="00CA5344"/>
    <w:rsid w:val="00CB070D"/>
    <w:rsid w:val="00CC1B0A"/>
    <w:rsid w:val="00CC3591"/>
    <w:rsid w:val="00CD1D7F"/>
    <w:rsid w:val="00CD452F"/>
    <w:rsid w:val="00CD4CF4"/>
    <w:rsid w:val="00CD6892"/>
    <w:rsid w:val="00CD7CE0"/>
    <w:rsid w:val="00CE1761"/>
    <w:rsid w:val="00CE2BBE"/>
    <w:rsid w:val="00CE370E"/>
    <w:rsid w:val="00CE3870"/>
    <w:rsid w:val="00CE47B6"/>
    <w:rsid w:val="00CE57B2"/>
    <w:rsid w:val="00CF1880"/>
    <w:rsid w:val="00CF4711"/>
    <w:rsid w:val="00CF4806"/>
    <w:rsid w:val="00CF4F1E"/>
    <w:rsid w:val="00D03CFA"/>
    <w:rsid w:val="00D05BE1"/>
    <w:rsid w:val="00D132D5"/>
    <w:rsid w:val="00D14D88"/>
    <w:rsid w:val="00D214A6"/>
    <w:rsid w:val="00D21B2C"/>
    <w:rsid w:val="00D25E0C"/>
    <w:rsid w:val="00D3503D"/>
    <w:rsid w:val="00D37A89"/>
    <w:rsid w:val="00D45860"/>
    <w:rsid w:val="00D50A66"/>
    <w:rsid w:val="00D529EA"/>
    <w:rsid w:val="00D529FB"/>
    <w:rsid w:val="00D553B2"/>
    <w:rsid w:val="00D56321"/>
    <w:rsid w:val="00D60A6D"/>
    <w:rsid w:val="00D62BF0"/>
    <w:rsid w:val="00D66C0A"/>
    <w:rsid w:val="00D70BA4"/>
    <w:rsid w:val="00D71383"/>
    <w:rsid w:val="00D729B0"/>
    <w:rsid w:val="00D74BAE"/>
    <w:rsid w:val="00D75EF1"/>
    <w:rsid w:val="00D82040"/>
    <w:rsid w:val="00D86224"/>
    <w:rsid w:val="00D87017"/>
    <w:rsid w:val="00D945A1"/>
    <w:rsid w:val="00D958E1"/>
    <w:rsid w:val="00DA27A8"/>
    <w:rsid w:val="00DB255E"/>
    <w:rsid w:val="00DB7267"/>
    <w:rsid w:val="00DC5FE2"/>
    <w:rsid w:val="00DC64F4"/>
    <w:rsid w:val="00DD15A6"/>
    <w:rsid w:val="00DD2E72"/>
    <w:rsid w:val="00DD5C89"/>
    <w:rsid w:val="00DD7EBE"/>
    <w:rsid w:val="00DE17C7"/>
    <w:rsid w:val="00DE34E6"/>
    <w:rsid w:val="00DE53FE"/>
    <w:rsid w:val="00DF0938"/>
    <w:rsid w:val="00DF2B9B"/>
    <w:rsid w:val="00DF5758"/>
    <w:rsid w:val="00E00073"/>
    <w:rsid w:val="00E11659"/>
    <w:rsid w:val="00E21332"/>
    <w:rsid w:val="00E27E49"/>
    <w:rsid w:val="00E329DC"/>
    <w:rsid w:val="00E3551D"/>
    <w:rsid w:val="00E37E75"/>
    <w:rsid w:val="00E4403F"/>
    <w:rsid w:val="00E51AC1"/>
    <w:rsid w:val="00E51E09"/>
    <w:rsid w:val="00E539E7"/>
    <w:rsid w:val="00E56F8E"/>
    <w:rsid w:val="00E64FD4"/>
    <w:rsid w:val="00E74581"/>
    <w:rsid w:val="00E74882"/>
    <w:rsid w:val="00E76343"/>
    <w:rsid w:val="00E77296"/>
    <w:rsid w:val="00E8174F"/>
    <w:rsid w:val="00E86B62"/>
    <w:rsid w:val="00E90783"/>
    <w:rsid w:val="00E95330"/>
    <w:rsid w:val="00E96CE5"/>
    <w:rsid w:val="00EA4E73"/>
    <w:rsid w:val="00EB3CC8"/>
    <w:rsid w:val="00EB6523"/>
    <w:rsid w:val="00EB7EE4"/>
    <w:rsid w:val="00ED2177"/>
    <w:rsid w:val="00ED2876"/>
    <w:rsid w:val="00ED3178"/>
    <w:rsid w:val="00ED45D2"/>
    <w:rsid w:val="00EE0DEA"/>
    <w:rsid w:val="00EE1A79"/>
    <w:rsid w:val="00EE3E7B"/>
    <w:rsid w:val="00EF19FE"/>
    <w:rsid w:val="00EF3B84"/>
    <w:rsid w:val="00EF70C4"/>
    <w:rsid w:val="00EF741C"/>
    <w:rsid w:val="00EF7F70"/>
    <w:rsid w:val="00F02252"/>
    <w:rsid w:val="00F0409B"/>
    <w:rsid w:val="00F23F8E"/>
    <w:rsid w:val="00F26970"/>
    <w:rsid w:val="00F30E16"/>
    <w:rsid w:val="00F315A4"/>
    <w:rsid w:val="00F31AE3"/>
    <w:rsid w:val="00F3223F"/>
    <w:rsid w:val="00F41CD1"/>
    <w:rsid w:val="00F43200"/>
    <w:rsid w:val="00F53279"/>
    <w:rsid w:val="00F540D0"/>
    <w:rsid w:val="00F54A9E"/>
    <w:rsid w:val="00F54E1C"/>
    <w:rsid w:val="00F5593E"/>
    <w:rsid w:val="00F571C9"/>
    <w:rsid w:val="00F611B6"/>
    <w:rsid w:val="00F652D7"/>
    <w:rsid w:val="00F65347"/>
    <w:rsid w:val="00F6577D"/>
    <w:rsid w:val="00F657A2"/>
    <w:rsid w:val="00F65992"/>
    <w:rsid w:val="00F70320"/>
    <w:rsid w:val="00F7265E"/>
    <w:rsid w:val="00F72989"/>
    <w:rsid w:val="00F73C9F"/>
    <w:rsid w:val="00F81CA3"/>
    <w:rsid w:val="00F82FD2"/>
    <w:rsid w:val="00F86866"/>
    <w:rsid w:val="00F92525"/>
    <w:rsid w:val="00F95B23"/>
    <w:rsid w:val="00FA1048"/>
    <w:rsid w:val="00FA1433"/>
    <w:rsid w:val="00FA5DB8"/>
    <w:rsid w:val="00FA6989"/>
    <w:rsid w:val="00FA7468"/>
    <w:rsid w:val="00FA7B86"/>
    <w:rsid w:val="00FB178F"/>
    <w:rsid w:val="00FB5488"/>
    <w:rsid w:val="00FC0A42"/>
    <w:rsid w:val="00FC4B93"/>
    <w:rsid w:val="00FC4FB8"/>
    <w:rsid w:val="00FC7428"/>
    <w:rsid w:val="00FD3A6F"/>
    <w:rsid w:val="00FD4F71"/>
    <w:rsid w:val="00FD72B8"/>
    <w:rsid w:val="00FE0D5B"/>
    <w:rsid w:val="00FE2886"/>
    <w:rsid w:val="00FE5C60"/>
    <w:rsid w:val="00FE7291"/>
    <w:rsid w:val="00FF026C"/>
    <w:rsid w:val="00FF2A43"/>
    <w:rsid w:val="00FF3C64"/>
    <w:rsid w:val="00FF5C01"/>
    <w:rsid w:val="00FF79A5"/>
    <w:rsid w:val="01120349"/>
    <w:rsid w:val="017D6F6D"/>
    <w:rsid w:val="01CC1BA5"/>
    <w:rsid w:val="02045691"/>
    <w:rsid w:val="021A27BD"/>
    <w:rsid w:val="02346E00"/>
    <w:rsid w:val="02867DB1"/>
    <w:rsid w:val="028E02E8"/>
    <w:rsid w:val="028F06C1"/>
    <w:rsid w:val="02955495"/>
    <w:rsid w:val="02C55317"/>
    <w:rsid w:val="02CD2724"/>
    <w:rsid w:val="02EE1D5F"/>
    <w:rsid w:val="03185C01"/>
    <w:rsid w:val="032C3DC2"/>
    <w:rsid w:val="035E3ECC"/>
    <w:rsid w:val="03760A0E"/>
    <w:rsid w:val="038866DA"/>
    <w:rsid w:val="03BB34CB"/>
    <w:rsid w:val="03BD55AE"/>
    <w:rsid w:val="03C50C6F"/>
    <w:rsid w:val="04384A3C"/>
    <w:rsid w:val="043C2908"/>
    <w:rsid w:val="04413579"/>
    <w:rsid w:val="045E5439"/>
    <w:rsid w:val="04AB542C"/>
    <w:rsid w:val="04BF0955"/>
    <w:rsid w:val="04C837E3"/>
    <w:rsid w:val="05BE62FA"/>
    <w:rsid w:val="05C91BA5"/>
    <w:rsid w:val="05D84CA5"/>
    <w:rsid w:val="063D009B"/>
    <w:rsid w:val="06653BFA"/>
    <w:rsid w:val="066F086A"/>
    <w:rsid w:val="06C960DC"/>
    <w:rsid w:val="06DD7BC7"/>
    <w:rsid w:val="06E35092"/>
    <w:rsid w:val="06EE69EC"/>
    <w:rsid w:val="0702568C"/>
    <w:rsid w:val="070C181F"/>
    <w:rsid w:val="078C3715"/>
    <w:rsid w:val="07975B80"/>
    <w:rsid w:val="07C81A4E"/>
    <w:rsid w:val="07CB2B57"/>
    <w:rsid w:val="089E6819"/>
    <w:rsid w:val="08A01C35"/>
    <w:rsid w:val="08BE2387"/>
    <w:rsid w:val="08FA57C7"/>
    <w:rsid w:val="093430D4"/>
    <w:rsid w:val="094C017D"/>
    <w:rsid w:val="09763B97"/>
    <w:rsid w:val="0A025FF9"/>
    <w:rsid w:val="0A652E27"/>
    <w:rsid w:val="0A6E0DE3"/>
    <w:rsid w:val="0A8B214D"/>
    <w:rsid w:val="0A9358E8"/>
    <w:rsid w:val="0AA12680"/>
    <w:rsid w:val="0AAD71B0"/>
    <w:rsid w:val="0AE61AEF"/>
    <w:rsid w:val="0B0F1D47"/>
    <w:rsid w:val="0B252EB3"/>
    <w:rsid w:val="0B647B9F"/>
    <w:rsid w:val="0B79474A"/>
    <w:rsid w:val="0BA431A7"/>
    <w:rsid w:val="0BC53824"/>
    <w:rsid w:val="0BCC0AE8"/>
    <w:rsid w:val="0BEB5700"/>
    <w:rsid w:val="0BF120C4"/>
    <w:rsid w:val="0BF6473A"/>
    <w:rsid w:val="0BFE4B3A"/>
    <w:rsid w:val="0C3D3B65"/>
    <w:rsid w:val="0C665099"/>
    <w:rsid w:val="0CDA001F"/>
    <w:rsid w:val="0D0170F2"/>
    <w:rsid w:val="0D174FAE"/>
    <w:rsid w:val="0D3847BA"/>
    <w:rsid w:val="0D561D9D"/>
    <w:rsid w:val="0E4A2181"/>
    <w:rsid w:val="0E8854CF"/>
    <w:rsid w:val="0E9A1AAF"/>
    <w:rsid w:val="0EDE3A9C"/>
    <w:rsid w:val="0EF87704"/>
    <w:rsid w:val="0F021791"/>
    <w:rsid w:val="0F3826C4"/>
    <w:rsid w:val="0F615A5B"/>
    <w:rsid w:val="0F6251CC"/>
    <w:rsid w:val="0F7D07CC"/>
    <w:rsid w:val="0FAF4EF1"/>
    <w:rsid w:val="0FBD4E9D"/>
    <w:rsid w:val="0FDD6F27"/>
    <w:rsid w:val="0FE7439C"/>
    <w:rsid w:val="0FF15409"/>
    <w:rsid w:val="0FFB53ED"/>
    <w:rsid w:val="102F109D"/>
    <w:rsid w:val="10A03166"/>
    <w:rsid w:val="11A6202C"/>
    <w:rsid w:val="11AA18B2"/>
    <w:rsid w:val="11B5691A"/>
    <w:rsid w:val="11E43BE6"/>
    <w:rsid w:val="11F1099F"/>
    <w:rsid w:val="122F34BB"/>
    <w:rsid w:val="12494C0F"/>
    <w:rsid w:val="12550A22"/>
    <w:rsid w:val="12B23596"/>
    <w:rsid w:val="13183FE3"/>
    <w:rsid w:val="131B2440"/>
    <w:rsid w:val="134C3538"/>
    <w:rsid w:val="137F4D4A"/>
    <w:rsid w:val="13A45C16"/>
    <w:rsid w:val="13BA15EE"/>
    <w:rsid w:val="13C24080"/>
    <w:rsid w:val="13DE0153"/>
    <w:rsid w:val="1417413C"/>
    <w:rsid w:val="141C4E05"/>
    <w:rsid w:val="142A18A2"/>
    <w:rsid w:val="142D3D3C"/>
    <w:rsid w:val="142E3B2B"/>
    <w:rsid w:val="14840CB7"/>
    <w:rsid w:val="14C72DCA"/>
    <w:rsid w:val="14D342B9"/>
    <w:rsid w:val="14D62842"/>
    <w:rsid w:val="14E755E2"/>
    <w:rsid w:val="150A510C"/>
    <w:rsid w:val="150A6991"/>
    <w:rsid w:val="151C7F30"/>
    <w:rsid w:val="15312BA5"/>
    <w:rsid w:val="15AA482A"/>
    <w:rsid w:val="15AD0B11"/>
    <w:rsid w:val="15B83632"/>
    <w:rsid w:val="15D7187C"/>
    <w:rsid w:val="160418A7"/>
    <w:rsid w:val="161205AF"/>
    <w:rsid w:val="16156669"/>
    <w:rsid w:val="1624491B"/>
    <w:rsid w:val="16252961"/>
    <w:rsid w:val="163C47E9"/>
    <w:rsid w:val="16680D0B"/>
    <w:rsid w:val="169A03A1"/>
    <w:rsid w:val="16E047A5"/>
    <w:rsid w:val="17525954"/>
    <w:rsid w:val="17AD57DE"/>
    <w:rsid w:val="17C43C1A"/>
    <w:rsid w:val="181E6C06"/>
    <w:rsid w:val="1842103A"/>
    <w:rsid w:val="1843075D"/>
    <w:rsid w:val="185A5D7F"/>
    <w:rsid w:val="19E06540"/>
    <w:rsid w:val="1A9E130B"/>
    <w:rsid w:val="1ADC7CC9"/>
    <w:rsid w:val="1B3573F5"/>
    <w:rsid w:val="1B4B38A9"/>
    <w:rsid w:val="1B616581"/>
    <w:rsid w:val="1B8B042B"/>
    <w:rsid w:val="1BBD7A42"/>
    <w:rsid w:val="1BC00694"/>
    <w:rsid w:val="1BC40331"/>
    <w:rsid w:val="1BCB7FB4"/>
    <w:rsid w:val="1BE972DA"/>
    <w:rsid w:val="1BED090B"/>
    <w:rsid w:val="1C327D12"/>
    <w:rsid w:val="1C656C23"/>
    <w:rsid w:val="1C74143C"/>
    <w:rsid w:val="1CA51C0B"/>
    <w:rsid w:val="1DA30754"/>
    <w:rsid w:val="1DC63AF4"/>
    <w:rsid w:val="1E4579EF"/>
    <w:rsid w:val="1ED374DD"/>
    <w:rsid w:val="1F1E7B09"/>
    <w:rsid w:val="1F46255F"/>
    <w:rsid w:val="1F523DF3"/>
    <w:rsid w:val="1F962CF2"/>
    <w:rsid w:val="1FBA6C9A"/>
    <w:rsid w:val="1FBE7661"/>
    <w:rsid w:val="201D1E51"/>
    <w:rsid w:val="20247B33"/>
    <w:rsid w:val="202A27D1"/>
    <w:rsid w:val="202F346E"/>
    <w:rsid w:val="20D0120F"/>
    <w:rsid w:val="20D87472"/>
    <w:rsid w:val="211D5A17"/>
    <w:rsid w:val="21613B53"/>
    <w:rsid w:val="21656CD6"/>
    <w:rsid w:val="219A14E2"/>
    <w:rsid w:val="21AA77CB"/>
    <w:rsid w:val="21B6105F"/>
    <w:rsid w:val="21C0196E"/>
    <w:rsid w:val="21C96E2B"/>
    <w:rsid w:val="224A024D"/>
    <w:rsid w:val="2277682A"/>
    <w:rsid w:val="228C7DBD"/>
    <w:rsid w:val="22AA156C"/>
    <w:rsid w:val="22AD24F0"/>
    <w:rsid w:val="2311561D"/>
    <w:rsid w:val="233D435E"/>
    <w:rsid w:val="23551A04"/>
    <w:rsid w:val="2361109A"/>
    <w:rsid w:val="23837B88"/>
    <w:rsid w:val="23BA2C25"/>
    <w:rsid w:val="23BA5135"/>
    <w:rsid w:val="23C04937"/>
    <w:rsid w:val="23D858BE"/>
    <w:rsid w:val="24096008"/>
    <w:rsid w:val="241A250F"/>
    <w:rsid w:val="241D0BB0"/>
    <w:rsid w:val="244C6719"/>
    <w:rsid w:val="247975E6"/>
    <w:rsid w:val="24851C15"/>
    <w:rsid w:val="24A2015F"/>
    <w:rsid w:val="24ED0BF7"/>
    <w:rsid w:val="25012E51"/>
    <w:rsid w:val="250A5BD3"/>
    <w:rsid w:val="250C32D4"/>
    <w:rsid w:val="255C215A"/>
    <w:rsid w:val="25642145"/>
    <w:rsid w:val="25737468"/>
    <w:rsid w:val="2585551C"/>
    <w:rsid w:val="25861C6F"/>
    <w:rsid w:val="25A779D5"/>
    <w:rsid w:val="25AD4022"/>
    <w:rsid w:val="25EA5D3C"/>
    <w:rsid w:val="260E3F3E"/>
    <w:rsid w:val="262335E6"/>
    <w:rsid w:val="267B7069"/>
    <w:rsid w:val="26886044"/>
    <w:rsid w:val="269C2F9C"/>
    <w:rsid w:val="26CA7DB2"/>
    <w:rsid w:val="26EF65C8"/>
    <w:rsid w:val="273F0DDB"/>
    <w:rsid w:val="27637E7B"/>
    <w:rsid w:val="27696C00"/>
    <w:rsid w:val="27C869D0"/>
    <w:rsid w:val="27ED5517"/>
    <w:rsid w:val="281954D5"/>
    <w:rsid w:val="2826784C"/>
    <w:rsid w:val="28733D67"/>
    <w:rsid w:val="28821682"/>
    <w:rsid w:val="288B76AF"/>
    <w:rsid w:val="288E6E34"/>
    <w:rsid w:val="28A33F07"/>
    <w:rsid w:val="28CF44F0"/>
    <w:rsid w:val="28DB30B2"/>
    <w:rsid w:val="28F81950"/>
    <w:rsid w:val="29051C5B"/>
    <w:rsid w:val="29323A24"/>
    <w:rsid w:val="293933AF"/>
    <w:rsid w:val="29454C43"/>
    <w:rsid w:val="299A41DA"/>
    <w:rsid w:val="29E83B6B"/>
    <w:rsid w:val="29F959EB"/>
    <w:rsid w:val="2A4D5059"/>
    <w:rsid w:val="2A8F7730"/>
    <w:rsid w:val="2A900437"/>
    <w:rsid w:val="2AA537DA"/>
    <w:rsid w:val="2ACE4ACA"/>
    <w:rsid w:val="2AF5474C"/>
    <w:rsid w:val="2B097016"/>
    <w:rsid w:val="2B1A38C4"/>
    <w:rsid w:val="2B352D1E"/>
    <w:rsid w:val="2B5449A3"/>
    <w:rsid w:val="2B8A4E7D"/>
    <w:rsid w:val="2BA56D2B"/>
    <w:rsid w:val="2BC94961"/>
    <w:rsid w:val="2C005F68"/>
    <w:rsid w:val="2C5B7754"/>
    <w:rsid w:val="2CBC5F07"/>
    <w:rsid w:val="2CFF42C4"/>
    <w:rsid w:val="2D0855E2"/>
    <w:rsid w:val="2D17643B"/>
    <w:rsid w:val="2D26241B"/>
    <w:rsid w:val="2DDC0B49"/>
    <w:rsid w:val="2E0C3D90"/>
    <w:rsid w:val="2E200339"/>
    <w:rsid w:val="2E2374C4"/>
    <w:rsid w:val="2E3E78E9"/>
    <w:rsid w:val="2E5074D1"/>
    <w:rsid w:val="2E9C43C4"/>
    <w:rsid w:val="2EEC2701"/>
    <w:rsid w:val="2F37656A"/>
    <w:rsid w:val="2F562962"/>
    <w:rsid w:val="2F590474"/>
    <w:rsid w:val="2F636F39"/>
    <w:rsid w:val="2F803555"/>
    <w:rsid w:val="2F9619EE"/>
    <w:rsid w:val="2FC260AC"/>
    <w:rsid w:val="2FD11D79"/>
    <w:rsid w:val="30486B09"/>
    <w:rsid w:val="30734635"/>
    <w:rsid w:val="30801616"/>
    <w:rsid w:val="30C1718D"/>
    <w:rsid w:val="30D034A6"/>
    <w:rsid w:val="31013C75"/>
    <w:rsid w:val="31346233"/>
    <w:rsid w:val="31592105"/>
    <w:rsid w:val="315F620C"/>
    <w:rsid w:val="316E2FA4"/>
    <w:rsid w:val="31A0061C"/>
    <w:rsid w:val="31D332EC"/>
    <w:rsid w:val="323A41FF"/>
    <w:rsid w:val="323E1E11"/>
    <w:rsid w:val="326462E1"/>
    <w:rsid w:val="327E4466"/>
    <w:rsid w:val="32A94788"/>
    <w:rsid w:val="32CF25D6"/>
    <w:rsid w:val="32D72576"/>
    <w:rsid w:val="33110906"/>
    <w:rsid w:val="33AF587E"/>
    <w:rsid w:val="33EB3FC8"/>
    <w:rsid w:val="33F93B2F"/>
    <w:rsid w:val="340032DD"/>
    <w:rsid w:val="34006B03"/>
    <w:rsid w:val="341B1812"/>
    <w:rsid w:val="341E6110"/>
    <w:rsid w:val="342235BE"/>
    <w:rsid w:val="343C59E2"/>
    <w:rsid w:val="346D5E8F"/>
    <w:rsid w:val="347C3F2B"/>
    <w:rsid w:val="34B1227A"/>
    <w:rsid w:val="34D60F4F"/>
    <w:rsid w:val="35247BBC"/>
    <w:rsid w:val="354400F1"/>
    <w:rsid w:val="354D7D32"/>
    <w:rsid w:val="355F698B"/>
    <w:rsid w:val="35DB3331"/>
    <w:rsid w:val="35E2428A"/>
    <w:rsid w:val="36032AAE"/>
    <w:rsid w:val="361C5988"/>
    <w:rsid w:val="3650732A"/>
    <w:rsid w:val="36600167"/>
    <w:rsid w:val="369C346B"/>
    <w:rsid w:val="371D0A3B"/>
    <w:rsid w:val="372323B5"/>
    <w:rsid w:val="37235104"/>
    <w:rsid w:val="37514C47"/>
    <w:rsid w:val="379618B8"/>
    <w:rsid w:val="37D20543"/>
    <w:rsid w:val="37DD0A31"/>
    <w:rsid w:val="37FE02EA"/>
    <w:rsid w:val="38110308"/>
    <w:rsid w:val="381C159F"/>
    <w:rsid w:val="38284284"/>
    <w:rsid w:val="38304AEA"/>
    <w:rsid w:val="3857125F"/>
    <w:rsid w:val="38897ECE"/>
    <w:rsid w:val="388E59D6"/>
    <w:rsid w:val="389A0168"/>
    <w:rsid w:val="38BB1DD0"/>
    <w:rsid w:val="392B1310"/>
    <w:rsid w:val="392B54D9"/>
    <w:rsid w:val="39920235"/>
    <w:rsid w:val="39DD52FC"/>
    <w:rsid w:val="3A3C5316"/>
    <w:rsid w:val="3A6B5E65"/>
    <w:rsid w:val="3A9F75B9"/>
    <w:rsid w:val="3AC72CFB"/>
    <w:rsid w:val="3B382E49"/>
    <w:rsid w:val="3B4F4141"/>
    <w:rsid w:val="3B5F330A"/>
    <w:rsid w:val="3B624BF3"/>
    <w:rsid w:val="3BBE0E43"/>
    <w:rsid w:val="3BE47C50"/>
    <w:rsid w:val="3BF7789C"/>
    <w:rsid w:val="3C042675"/>
    <w:rsid w:val="3C37572C"/>
    <w:rsid w:val="3C526ABC"/>
    <w:rsid w:val="3C841D58"/>
    <w:rsid w:val="3CA30E53"/>
    <w:rsid w:val="3CF935EF"/>
    <w:rsid w:val="3D0B7D64"/>
    <w:rsid w:val="3D35037E"/>
    <w:rsid w:val="3D666AC7"/>
    <w:rsid w:val="3D8D4D05"/>
    <w:rsid w:val="3D95349A"/>
    <w:rsid w:val="3D977DAE"/>
    <w:rsid w:val="3DA91F1D"/>
    <w:rsid w:val="3DB25628"/>
    <w:rsid w:val="3DCD055F"/>
    <w:rsid w:val="3E0569D1"/>
    <w:rsid w:val="3E2D6890"/>
    <w:rsid w:val="3E8304A5"/>
    <w:rsid w:val="3E947539"/>
    <w:rsid w:val="3EE6371D"/>
    <w:rsid w:val="3EFC5C64"/>
    <w:rsid w:val="3F2B59DD"/>
    <w:rsid w:val="3F3073B8"/>
    <w:rsid w:val="3F314E39"/>
    <w:rsid w:val="3F5E2485"/>
    <w:rsid w:val="3F5F57DB"/>
    <w:rsid w:val="3F71682D"/>
    <w:rsid w:val="3FAD2204"/>
    <w:rsid w:val="3FBE7F20"/>
    <w:rsid w:val="3FC448D8"/>
    <w:rsid w:val="3FCD053B"/>
    <w:rsid w:val="3FCE0156"/>
    <w:rsid w:val="3FEC1B61"/>
    <w:rsid w:val="3FF242EF"/>
    <w:rsid w:val="405A349A"/>
    <w:rsid w:val="40DF387B"/>
    <w:rsid w:val="40EA7D89"/>
    <w:rsid w:val="411A124F"/>
    <w:rsid w:val="414F2A6C"/>
    <w:rsid w:val="41692144"/>
    <w:rsid w:val="41B13BD3"/>
    <w:rsid w:val="41C041EE"/>
    <w:rsid w:val="41F30C29"/>
    <w:rsid w:val="420739AB"/>
    <w:rsid w:val="421C6B06"/>
    <w:rsid w:val="426B30F2"/>
    <w:rsid w:val="42B20202"/>
    <w:rsid w:val="42B47F7E"/>
    <w:rsid w:val="42C22B17"/>
    <w:rsid w:val="42CC5625"/>
    <w:rsid w:val="42F567E9"/>
    <w:rsid w:val="42F83EEA"/>
    <w:rsid w:val="4396090B"/>
    <w:rsid w:val="43D138DE"/>
    <w:rsid w:val="43E75FD6"/>
    <w:rsid w:val="43EA7528"/>
    <w:rsid w:val="43F04123"/>
    <w:rsid w:val="445422B7"/>
    <w:rsid w:val="446E39FF"/>
    <w:rsid w:val="44756634"/>
    <w:rsid w:val="447F66C7"/>
    <w:rsid w:val="44993616"/>
    <w:rsid w:val="44E31722"/>
    <w:rsid w:val="44F07657"/>
    <w:rsid w:val="45B6056B"/>
    <w:rsid w:val="45C1740E"/>
    <w:rsid w:val="45C37CA8"/>
    <w:rsid w:val="45C46C94"/>
    <w:rsid w:val="45E226B4"/>
    <w:rsid w:val="46244F73"/>
    <w:rsid w:val="462F317F"/>
    <w:rsid w:val="46551636"/>
    <w:rsid w:val="466C4816"/>
    <w:rsid w:val="46913751"/>
    <w:rsid w:val="46A9467B"/>
    <w:rsid w:val="46B53D11"/>
    <w:rsid w:val="46E631CA"/>
    <w:rsid w:val="46EC63E9"/>
    <w:rsid w:val="46F420A2"/>
    <w:rsid w:val="47485715"/>
    <w:rsid w:val="475B747E"/>
    <w:rsid w:val="476A74B7"/>
    <w:rsid w:val="47740C54"/>
    <w:rsid w:val="47881AEB"/>
    <w:rsid w:val="47D7186A"/>
    <w:rsid w:val="47F753A6"/>
    <w:rsid w:val="47FA2D23"/>
    <w:rsid w:val="48075845"/>
    <w:rsid w:val="480D1D44"/>
    <w:rsid w:val="48231039"/>
    <w:rsid w:val="486D77DF"/>
    <w:rsid w:val="491B690E"/>
    <w:rsid w:val="49261598"/>
    <w:rsid w:val="493E5946"/>
    <w:rsid w:val="49F13499"/>
    <w:rsid w:val="4A115B30"/>
    <w:rsid w:val="4AA94464"/>
    <w:rsid w:val="4AEA55F5"/>
    <w:rsid w:val="4B6E5BCE"/>
    <w:rsid w:val="4B7754A1"/>
    <w:rsid w:val="4B9E4B24"/>
    <w:rsid w:val="4BA97FB1"/>
    <w:rsid w:val="4BAF7384"/>
    <w:rsid w:val="4BC5405E"/>
    <w:rsid w:val="4BDF7B8B"/>
    <w:rsid w:val="4BF041B9"/>
    <w:rsid w:val="4BFD4670"/>
    <w:rsid w:val="4C176887"/>
    <w:rsid w:val="4C7B3F8D"/>
    <w:rsid w:val="4C950EB3"/>
    <w:rsid w:val="4CB257A4"/>
    <w:rsid w:val="4D015FE4"/>
    <w:rsid w:val="4D1A7279"/>
    <w:rsid w:val="4D1B3CBC"/>
    <w:rsid w:val="4DEB7267"/>
    <w:rsid w:val="4E1623FC"/>
    <w:rsid w:val="4E2263F8"/>
    <w:rsid w:val="4E287FC5"/>
    <w:rsid w:val="4E2D7CD0"/>
    <w:rsid w:val="4E34767F"/>
    <w:rsid w:val="4E537F10"/>
    <w:rsid w:val="4E5F5F21"/>
    <w:rsid w:val="4EA9509B"/>
    <w:rsid w:val="4ED62947"/>
    <w:rsid w:val="4EDD67EF"/>
    <w:rsid w:val="4EFF2E91"/>
    <w:rsid w:val="4F005AAA"/>
    <w:rsid w:val="4F104E72"/>
    <w:rsid w:val="4F1E2D2B"/>
    <w:rsid w:val="4F424648"/>
    <w:rsid w:val="4F550292"/>
    <w:rsid w:val="4F94445B"/>
    <w:rsid w:val="4F9D33AA"/>
    <w:rsid w:val="4FAE10C6"/>
    <w:rsid w:val="4FBE1E75"/>
    <w:rsid w:val="4FDF320C"/>
    <w:rsid w:val="50480D5F"/>
    <w:rsid w:val="504812C4"/>
    <w:rsid w:val="50A22C57"/>
    <w:rsid w:val="50FC0CAF"/>
    <w:rsid w:val="51387B0A"/>
    <w:rsid w:val="514711E7"/>
    <w:rsid w:val="516C6EF1"/>
    <w:rsid w:val="516D3625"/>
    <w:rsid w:val="51846E73"/>
    <w:rsid w:val="519257C2"/>
    <w:rsid w:val="519C672D"/>
    <w:rsid w:val="51E82F6F"/>
    <w:rsid w:val="51F51EC0"/>
    <w:rsid w:val="51FB380B"/>
    <w:rsid w:val="51FD7691"/>
    <w:rsid w:val="525278D0"/>
    <w:rsid w:val="52543E38"/>
    <w:rsid w:val="52577DCA"/>
    <w:rsid w:val="53233881"/>
    <w:rsid w:val="53275AA6"/>
    <w:rsid w:val="532A395D"/>
    <w:rsid w:val="53683B32"/>
    <w:rsid w:val="538D5919"/>
    <w:rsid w:val="53A33245"/>
    <w:rsid w:val="5408391A"/>
    <w:rsid w:val="540E72EB"/>
    <w:rsid w:val="54425D54"/>
    <w:rsid w:val="54A85071"/>
    <w:rsid w:val="54F731E4"/>
    <w:rsid w:val="55452810"/>
    <w:rsid w:val="559C4684"/>
    <w:rsid w:val="55C17BB2"/>
    <w:rsid w:val="55FC3817"/>
    <w:rsid w:val="561429E7"/>
    <w:rsid w:val="569B40E0"/>
    <w:rsid w:val="56AD1D7D"/>
    <w:rsid w:val="56AE57C6"/>
    <w:rsid w:val="56B20949"/>
    <w:rsid w:val="56CF192E"/>
    <w:rsid w:val="570D57DF"/>
    <w:rsid w:val="576E5C93"/>
    <w:rsid w:val="5804416D"/>
    <w:rsid w:val="582166BE"/>
    <w:rsid w:val="58305FCE"/>
    <w:rsid w:val="58473C55"/>
    <w:rsid w:val="58607E50"/>
    <w:rsid w:val="58811568"/>
    <w:rsid w:val="58944BE2"/>
    <w:rsid w:val="58A00076"/>
    <w:rsid w:val="58E80569"/>
    <w:rsid w:val="590A1BB3"/>
    <w:rsid w:val="5912139D"/>
    <w:rsid w:val="593132EC"/>
    <w:rsid w:val="593A0B20"/>
    <w:rsid w:val="598C58B2"/>
    <w:rsid w:val="59F96711"/>
    <w:rsid w:val="5A65343B"/>
    <w:rsid w:val="5A7125EE"/>
    <w:rsid w:val="5A795F58"/>
    <w:rsid w:val="5A833DE2"/>
    <w:rsid w:val="5A95732A"/>
    <w:rsid w:val="5A9E381C"/>
    <w:rsid w:val="5B0608E3"/>
    <w:rsid w:val="5B3C0E81"/>
    <w:rsid w:val="5B540662"/>
    <w:rsid w:val="5BF52484"/>
    <w:rsid w:val="5C140AA0"/>
    <w:rsid w:val="5C702869"/>
    <w:rsid w:val="5CF22865"/>
    <w:rsid w:val="5CF3343A"/>
    <w:rsid w:val="5D0638AC"/>
    <w:rsid w:val="5D690D96"/>
    <w:rsid w:val="5D8934D9"/>
    <w:rsid w:val="5D926960"/>
    <w:rsid w:val="5D95432E"/>
    <w:rsid w:val="5DC03D2D"/>
    <w:rsid w:val="5DE916D5"/>
    <w:rsid w:val="5E12798F"/>
    <w:rsid w:val="5E315135"/>
    <w:rsid w:val="5E3D71AC"/>
    <w:rsid w:val="5E5644D2"/>
    <w:rsid w:val="5E7720B5"/>
    <w:rsid w:val="5EA66E00"/>
    <w:rsid w:val="5EAC7460"/>
    <w:rsid w:val="5EC7125A"/>
    <w:rsid w:val="5F1A371D"/>
    <w:rsid w:val="5F375153"/>
    <w:rsid w:val="5F396D54"/>
    <w:rsid w:val="5F3D6D4F"/>
    <w:rsid w:val="5F5E4D05"/>
    <w:rsid w:val="5F621691"/>
    <w:rsid w:val="5F63118D"/>
    <w:rsid w:val="5FA650F9"/>
    <w:rsid w:val="5FED11EB"/>
    <w:rsid w:val="5FF506FB"/>
    <w:rsid w:val="60454C18"/>
    <w:rsid w:val="60482704"/>
    <w:rsid w:val="604F3526"/>
    <w:rsid w:val="605B3E27"/>
    <w:rsid w:val="609A0A7A"/>
    <w:rsid w:val="60F94AA6"/>
    <w:rsid w:val="6139765C"/>
    <w:rsid w:val="61890B12"/>
    <w:rsid w:val="619C7B32"/>
    <w:rsid w:val="61B52C5B"/>
    <w:rsid w:val="62112BCB"/>
    <w:rsid w:val="621E0127"/>
    <w:rsid w:val="624870F5"/>
    <w:rsid w:val="625B22AF"/>
    <w:rsid w:val="627C0333"/>
    <w:rsid w:val="62D34C90"/>
    <w:rsid w:val="6319505B"/>
    <w:rsid w:val="634B0772"/>
    <w:rsid w:val="63572077"/>
    <w:rsid w:val="638D02E2"/>
    <w:rsid w:val="63A24F9B"/>
    <w:rsid w:val="63F10007"/>
    <w:rsid w:val="647908AB"/>
    <w:rsid w:val="648F3AA8"/>
    <w:rsid w:val="656E29F6"/>
    <w:rsid w:val="657B65F2"/>
    <w:rsid w:val="65CD2498"/>
    <w:rsid w:val="66035893"/>
    <w:rsid w:val="660B4F24"/>
    <w:rsid w:val="660E497A"/>
    <w:rsid w:val="663835B3"/>
    <w:rsid w:val="6646252D"/>
    <w:rsid w:val="66680690"/>
    <w:rsid w:val="66766171"/>
    <w:rsid w:val="66E2246D"/>
    <w:rsid w:val="66EC1573"/>
    <w:rsid w:val="673C27B8"/>
    <w:rsid w:val="673E29E9"/>
    <w:rsid w:val="67976B83"/>
    <w:rsid w:val="67A110FC"/>
    <w:rsid w:val="680F739E"/>
    <w:rsid w:val="68185304"/>
    <w:rsid w:val="68334803"/>
    <w:rsid w:val="683E4D93"/>
    <w:rsid w:val="68A747C2"/>
    <w:rsid w:val="68BC0EE4"/>
    <w:rsid w:val="68BD514E"/>
    <w:rsid w:val="68D5400D"/>
    <w:rsid w:val="68DC0E16"/>
    <w:rsid w:val="69326925"/>
    <w:rsid w:val="694A10AD"/>
    <w:rsid w:val="695E4102"/>
    <w:rsid w:val="69B73729"/>
    <w:rsid w:val="69B97B02"/>
    <w:rsid w:val="69C636E0"/>
    <w:rsid w:val="6A0118ED"/>
    <w:rsid w:val="6A2C7123"/>
    <w:rsid w:val="6A5B510D"/>
    <w:rsid w:val="6A7610D1"/>
    <w:rsid w:val="6A7E6432"/>
    <w:rsid w:val="6ABE3B2D"/>
    <w:rsid w:val="6B01111E"/>
    <w:rsid w:val="6B061D23"/>
    <w:rsid w:val="6B1B4E9A"/>
    <w:rsid w:val="6B721351"/>
    <w:rsid w:val="6B854622"/>
    <w:rsid w:val="6BA01F21"/>
    <w:rsid w:val="6BB258C3"/>
    <w:rsid w:val="6BFE7169"/>
    <w:rsid w:val="6C375918"/>
    <w:rsid w:val="6CF321B5"/>
    <w:rsid w:val="6D172A07"/>
    <w:rsid w:val="6D180489"/>
    <w:rsid w:val="6D415DCA"/>
    <w:rsid w:val="6D422EB1"/>
    <w:rsid w:val="6D49417B"/>
    <w:rsid w:val="6D5B21F7"/>
    <w:rsid w:val="6D607135"/>
    <w:rsid w:val="6D740BC0"/>
    <w:rsid w:val="6DAE4200"/>
    <w:rsid w:val="6DCC7033"/>
    <w:rsid w:val="6DCD1231"/>
    <w:rsid w:val="6DD60E11"/>
    <w:rsid w:val="6DE333D5"/>
    <w:rsid w:val="6E140D5D"/>
    <w:rsid w:val="6E262BB5"/>
    <w:rsid w:val="6E53278F"/>
    <w:rsid w:val="6E68031F"/>
    <w:rsid w:val="6E730BF6"/>
    <w:rsid w:val="6EB92134"/>
    <w:rsid w:val="6EE143FD"/>
    <w:rsid w:val="6EE74CAB"/>
    <w:rsid w:val="6F065AD5"/>
    <w:rsid w:val="6F090FC3"/>
    <w:rsid w:val="6F0A40EE"/>
    <w:rsid w:val="6F416D8D"/>
    <w:rsid w:val="700E4C63"/>
    <w:rsid w:val="7062690C"/>
    <w:rsid w:val="7097006C"/>
    <w:rsid w:val="70A94143"/>
    <w:rsid w:val="70EA187C"/>
    <w:rsid w:val="70EF3C0D"/>
    <w:rsid w:val="71036471"/>
    <w:rsid w:val="71124033"/>
    <w:rsid w:val="71D83356"/>
    <w:rsid w:val="71F60387"/>
    <w:rsid w:val="720201F4"/>
    <w:rsid w:val="723B77F7"/>
    <w:rsid w:val="724F0A16"/>
    <w:rsid w:val="725543CA"/>
    <w:rsid w:val="7298777A"/>
    <w:rsid w:val="729A0121"/>
    <w:rsid w:val="729F55EE"/>
    <w:rsid w:val="72C62899"/>
    <w:rsid w:val="72CD4B67"/>
    <w:rsid w:val="730C20CE"/>
    <w:rsid w:val="73173CE2"/>
    <w:rsid w:val="73730B78"/>
    <w:rsid w:val="738E7F49"/>
    <w:rsid w:val="73CC28A1"/>
    <w:rsid w:val="73F5204B"/>
    <w:rsid w:val="7431330A"/>
    <w:rsid w:val="74955D2B"/>
    <w:rsid w:val="74B97FC9"/>
    <w:rsid w:val="74C723A3"/>
    <w:rsid w:val="74ED25E3"/>
    <w:rsid w:val="754D4704"/>
    <w:rsid w:val="75536F69"/>
    <w:rsid w:val="755B1649"/>
    <w:rsid w:val="756479DC"/>
    <w:rsid w:val="75752F8D"/>
    <w:rsid w:val="759430ED"/>
    <w:rsid w:val="75AC52E7"/>
    <w:rsid w:val="75AD719E"/>
    <w:rsid w:val="75C54845"/>
    <w:rsid w:val="75DC37F7"/>
    <w:rsid w:val="75E066F3"/>
    <w:rsid w:val="75F74C80"/>
    <w:rsid w:val="75FB5961"/>
    <w:rsid w:val="761B21F3"/>
    <w:rsid w:val="7673080C"/>
    <w:rsid w:val="767D7FFF"/>
    <w:rsid w:val="76926EB1"/>
    <w:rsid w:val="76936197"/>
    <w:rsid w:val="76E71AC3"/>
    <w:rsid w:val="76FA1495"/>
    <w:rsid w:val="772A4D78"/>
    <w:rsid w:val="775912C9"/>
    <w:rsid w:val="77723F35"/>
    <w:rsid w:val="77B204A9"/>
    <w:rsid w:val="77FC7CE8"/>
    <w:rsid w:val="782908C8"/>
    <w:rsid w:val="784D09EB"/>
    <w:rsid w:val="78A648FD"/>
    <w:rsid w:val="78CD25BE"/>
    <w:rsid w:val="78CE53CD"/>
    <w:rsid w:val="78D479CB"/>
    <w:rsid w:val="78DE02DA"/>
    <w:rsid w:val="79103173"/>
    <w:rsid w:val="79142376"/>
    <w:rsid w:val="79427FFF"/>
    <w:rsid w:val="79753063"/>
    <w:rsid w:val="797C4606"/>
    <w:rsid w:val="79810C05"/>
    <w:rsid w:val="79C04147"/>
    <w:rsid w:val="79D556BA"/>
    <w:rsid w:val="79F1491F"/>
    <w:rsid w:val="7A256073"/>
    <w:rsid w:val="7A385D2E"/>
    <w:rsid w:val="7A6211B7"/>
    <w:rsid w:val="7A633959"/>
    <w:rsid w:val="7B0D7202"/>
    <w:rsid w:val="7B262906"/>
    <w:rsid w:val="7B3D2041"/>
    <w:rsid w:val="7B7B0E64"/>
    <w:rsid w:val="7B8E1EF9"/>
    <w:rsid w:val="7BBB6741"/>
    <w:rsid w:val="7BCE5E9A"/>
    <w:rsid w:val="7BD52290"/>
    <w:rsid w:val="7C1A23E6"/>
    <w:rsid w:val="7C6C074E"/>
    <w:rsid w:val="7CC8489E"/>
    <w:rsid w:val="7D055D55"/>
    <w:rsid w:val="7D4443F5"/>
    <w:rsid w:val="7D541AAE"/>
    <w:rsid w:val="7D55752F"/>
    <w:rsid w:val="7D5D6B3A"/>
    <w:rsid w:val="7D915001"/>
    <w:rsid w:val="7DA72945"/>
    <w:rsid w:val="7DBE7545"/>
    <w:rsid w:val="7DE203C5"/>
    <w:rsid w:val="7DFD2BAD"/>
    <w:rsid w:val="7E6418EB"/>
    <w:rsid w:val="7E842A22"/>
    <w:rsid w:val="7EA96B5C"/>
    <w:rsid w:val="7EC14203"/>
    <w:rsid w:val="7EF55A9D"/>
    <w:rsid w:val="7F392BC8"/>
    <w:rsid w:val="7F647907"/>
    <w:rsid w:val="7F6F7622"/>
    <w:rsid w:val="7FF52D28"/>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nhideWhenUsed="0"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4">
    <w:name w:val="heading 1"/>
    <w:basedOn w:val="1"/>
    <w:next w:val="1"/>
    <w:link w:val="45"/>
    <w:qFormat/>
    <w:uiPriority w:val="9"/>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5">
    <w:name w:val="heading 2"/>
    <w:basedOn w:val="1"/>
    <w:next w:val="1"/>
    <w:link w:val="38"/>
    <w:qFormat/>
    <w:uiPriority w:val="9"/>
    <w:pPr>
      <w:keepNext/>
      <w:keepLines/>
      <w:outlineLvl w:val="1"/>
    </w:pPr>
    <w:rPr>
      <w:rFonts w:ascii="Cambria" w:hAnsi="Cambria"/>
      <w:b/>
      <w:bCs/>
      <w:sz w:val="44"/>
      <w:szCs w:val="32"/>
    </w:rPr>
  </w:style>
  <w:style w:type="paragraph" w:styleId="6">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8">
    <w:name w:val="heading 5"/>
    <w:basedOn w:val="1"/>
    <w:next w:val="1"/>
    <w:link w:val="64"/>
    <w:unhideWhenUsed/>
    <w:qFormat/>
    <w:uiPriority w:val="9"/>
    <w:pPr>
      <w:keepNext/>
      <w:keepLines/>
      <w:spacing w:before="280" w:after="290" w:line="376" w:lineRule="auto"/>
      <w:outlineLvl w:val="4"/>
    </w:pPr>
    <w:rPr>
      <w:b/>
      <w:bCs/>
      <w:sz w:val="28"/>
      <w:szCs w:val="28"/>
    </w:rPr>
  </w:style>
  <w:style w:type="paragraph" w:styleId="9">
    <w:name w:val="heading 8"/>
    <w:basedOn w:val="1"/>
    <w:next w:val="1"/>
    <w:link w:val="41"/>
    <w:qFormat/>
    <w:uiPriority w:val="9"/>
    <w:pPr>
      <w:keepNext/>
      <w:keepLines/>
      <w:outlineLvl w:val="7"/>
    </w:pPr>
    <w:rPr>
      <w:rFonts w:ascii="等线 Light" w:hAnsi="等线 Light"/>
      <w:b/>
      <w:sz w:val="32"/>
    </w:rPr>
  </w:style>
  <w:style w:type="paragraph" w:styleId="10">
    <w:name w:val="heading 9"/>
    <w:basedOn w:val="1"/>
    <w:next w:val="1"/>
    <w:link w:val="37"/>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widowControl w:val="0"/>
      <w:spacing w:line="380" w:lineRule="exact"/>
      <w:jc w:val="both"/>
    </w:pPr>
    <w:rPr>
      <w:rFonts w:ascii="Times New Roman" w:hAnsi="Times New Roman" w:eastAsia="宋体" w:cs="Times New Roman"/>
      <w:kern w:val="0"/>
      <w:sz w:val="24"/>
      <w:szCs w:val="24"/>
      <w:lang w:val="zh-CN"/>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table of authorities"/>
    <w:basedOn w:val="1"/>
    <w:next w:val="1"/>
    <w:unhideWhenUsed/>
    <w:qFormat/>
    <w:uiPriority w:val="99"/>
    <w:pPr>
      <w:ind w:left="420" w:leftChars="200"/>
    </w:pPr>
  </w:style>
  <w:style w:type="paragraph" w:styleId="12">
    <w:name w:val="annotation text"/>
    <w:basedOn w:val="1"/>
    <w:link w:val="53"/>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3">
    <w:name w:val="Body Text 3"/>
    <w:basedOn w:val="1"/>
    <w:link w:val="71"/>
    <w:unhideWhenUsed/>
    <w:qFormat/>
    <w:uiPriority w:val="99"/>
    <w:pPr>
      <w:spacing w:after="120"/>
    </w:pPr>
    <w:rPr>
      <w:sz w:val="16"/>
      <w:szCs w:val="16"/>
    </w:rPr>
  </w:style>
  <w:style w:type="paragraph" w:styleId="14">
    <w:name w:val="Body Text Indent"/>
    <w:basedOn w:val="1"/>
    <w:link w:val="67"/>
    <w:unhideWhenUsed/>
    <w:qFormat/>
    <w:uiPriority w:val="99"/>
    <w:pPr>
      <w:spacing w:after="120"/>
      <w:ind w:left="420" w:leftChars="200"/>
    </w:pPr>
  </w:style>
  <w:style w:type="paragraph" w:styleId="15">
    <w:name w:val="List 2"/>
    <w:basedOn w:val="1"/>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6">
    <w:name w:val="toc 3"/>
    <w:basedOn w:val="1"/>
    <w:next w:val="1"/>
    <w:unhideWhenUsed/>
    <w:qFormat/>
    <w:uiPriority w:val="39"/>
    <w:pPr>
      <w:ind w:left="840" w:leftChars="400"/>
    </w:pPr>
  </w:style>
  <w:style w:type="paragraph" w:styleId="17">
    <w:name w:val="Plain Text"/>
    <w:basedOn w:val="1"/>
    <w:next w:val="7"/>
    <w:link w:val="43"/>
    <w:qFormat/>
    <w:uiPriority w:val="99"/>
    <w:pPr>
      <w:widowControl w:val="0"/>
      <w:spacing w:line="240" w:lineRule="auto"/>
      <w:jc w:val="both"/>
    </w:pPr>
    <w:rPr>
      <w:rFonts w:ascii="宋体" w:hAnsi="Courier New" w:eastAsia="宋体" w:cs="Times New Roman"/>
      <w:kern w:val="0"/>
      <w:sz w:val="20"/>
      <w:lang w:val="zh-CN"/>
    </w:rPr>
  </w:style>
  <w:style w:type="paragraph" w:styleId="18">
    <w:name w:val="Balloon Text"/>
    <w:basedOn w:val="1"/>
    <w:link w:val="75"/>
    <w:semiHidden/>
    <w:unhideWhenUsed/>
    <w:qFormat/>
    <w:uiPriority w:val="99"/>
    <w:pPr>
      <w:spacing w:line="240" w:lineRule="auto"/>
    </w:pPr>
    <w:rPr>
      <w:sz w:val="18"/>
      <w:szCs w:val="18"/>
    </w:rPr>
  </w:style>
  <w:style w:type="paragraph" w:styleId="19">
    <w:name w:val="footer"/>
    <w:basedOn w:val="1"/>
    <w:link w:val="48"/>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21">
    <w:name w:val="toc 1"/>
    <w:basedOn w:val="1"/>
    <w:next w:val="1"/>
    <w:unhideWhenUsed/>
    <w:qFormat/>
    <w:uiPriority w:val="39"/>
    <w:pPr>
      <w:tabs>
        <w:tab w:val="right" w:leader="dot" w:pos="8494"/>
      </w:tabs>
      <w:ind w:firstLine="424" w:firstLineChars="176"/>
    </w:pPr>
  </w:style>
  <w:style w:type="paragraph" w:styleId="22">
    <w:name w:val="toc 2"/>
    <w:basedOn w:val="1"/>
    <w:next w:val="1"/>
    <w:unhideWhenUsed/>
    <w:qFormat/>
    <w:uiPriority w:val="39"/>
    <w:pPr>
      <w:ind w:left="420" w:leftChars="200"/>
    </w:pPr>
  </w:style>
  <w:style w:type="paragraph" w:styleId="23">
    <w:name w:val="annotation subject"/>
    <w:basedOn w:val="12"/>
    <w:next w:val="12"/>
    <w:link w:val="61"/>
    <w:unhideWhenUsed/>
    <w:qFormat/>
    <w:uiPriority w:val="99"/>
    <w:pPr>
      <w:widowControl/>
      <w:spacing w:line="360" w:lineRule="auto"/>
      <w:ind w:firstLine="200" w:firstLineChars="200"/>
    </w:pPr>
    <w:rPr>
      <w:rFonts w:asciiTheme="minorEastAsia" w:hAnsiTheme="minorHAnsi" w:eastAsiaTheme="minorEastAsia" w:cstheme="minorBidi"/>
      <w:b/>
      <w:bCs/>
      <w:szCs w:val="21"/>
    </w:rPr>
  </w:style>
  <w:style w:type="paragraph" w:styleId="24">
    <w:name w:val="Body Text First Indent"/>
    <w:basedOn w:val="2"/>
    <w:qFormat/>
    <w:uiPriority w:val="0"/>
    <w:pPr>
      <w:ind w:firstLine="420" w:firstLineChars="100"/>
    </w:pPr>
  </w:style>
  <w:style w:type="paragraph" w:styleId="25">
    <w:name w:val="Body Text First Indent 2"/>
    <w:basedOn w:val="1"/>
    <w:qFormat/>
    <w:uiPriority w:val="0"/>
    <w:pPr>
      <w:spacing w:before="100" w:beforeAutospacing="1" w:after="120"/>
      <w:ind w:left="420" w:leftChars="200" w:firstLine="420" w:firstLineChars="200"/>
    </w:pPr>
    <w:rPr>
      <w:rFonts w:ascii="Times New Roman" w:hAnsi="Times New Roman"/>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99"/>
    <w:rPr>
      <w:color w:val="3177FD"/>
      <w:u w:val="none"/>
    </w:rPr>
  </w:style>
  <w:style w:type="character" w:styleId="31">
    <w:name w:val="HTML Definition"/>
    <w:basedOn w:val="28"/>
    <w:semiHidden/>
    <w:unhideWhenUsed/>
    <w:qFormat/>
    <w:uiPriority w:val="99"/>
    <w:rPr>
      <w:i/>
      <w:iCs/>
    </w:rPr>
  </w:style>
  <w:style w:type="character" w:styleId="32">
    <w:name w:val="Hyperlink"/>
    <w:basedOn w:val="28"/>
    <w:unhideWhenUsed/>
    <w:qFormat/>
    <w:uiPriority w:val="99"/>
    <w:rPr>
      <w:color w:val="0563C1" w:themeColor="hyperlink"/>
      <w:u w:val="single"/>
      <w14:textFill>
        <w14:solidFill>
          <w14:schemeClr w14:val="hlink"/>
        </w14:solidFill>
      </w14:textFill>
    </w:rPr>
  </w:style>
  <w:style w:type="character" w:styleId="33">
    <w:name w:val="HTML Code"/>
    <w:basedOn w:val="28"/>
    <w:semiHidden/>
    <w:unhideWhenUsed/>
    <w:qFormat/>
    <w:uiPriority w:val="99"/>
    <w:rPr>
      <w:rFonts w:hint="default" w:ascii="Consolas" w:hAnsi="Consolas" w:eastAsia="Consolas" w:cs="Consolas"/>
      <w:sz w:val="21"/>
      <w:szCs w:val="21"/>
    </w:rPr>
  </w:style>
  <w:style w:type="character" w:styleId="34">
    <w:name w:val="annotation reference"/>
    <w:basedOn w:val="28"/>
    <w:unhideWhenUsed/>
    <w:qFormat/>
    <w:uiPriority w:val="99"/>
    <w:rPr>
      <w:sz w:val="21"/>
      <w:szCs w:val="21"/>
    </w:rPr>
  </w:style>
  <w:style w:type="character" w:styleId="35">
    <w:name w:val="HTML Keyboard"/>
    <w:basedOn w:val="28"/>
    <w:semiHidden/>
    <w:unhideWhenUsed/>
    <w:qFormat/>
    <w:uiPriority w:val="99"/>
    <w:rPr>
      <w:rFonts w:ascii="Consolas" w:hAnsi="Consolas" w:eastAsia="Consolas" w:cs="Consolas"/>
      <w:sz w:val="21"/>
      <w:szCs w:val="21"/>
    </w:rPr>
  </w:style>
  <w:style w:type="character" w:styleId="36">
    <w:name w:val="HTML Sample"/>
    <w:basedOn w:val="28"/>
    <w:semiHidden/>
    <w:unhideWhenUsed/>
    <w:qFormat/>
    <w:uiPriority w:val="99"/>
    <w:rPr>
      <w:rFonts w:hint="default" w:ascii="Consolas" w:hAnsi="Consolas" w:eastAsia="Consolas" w:cs="Consolas"/>
      <w:sz w:val="21"/>
      <w:szCs w:val="21"/>
    </w:rPr>
  </w:style>
  <w:style w:type="character" w:customStyle="1" w:styleId="37">
    <w:name w:val="标题 9 Char"/>
    <w:basedOn w:val="28"/>
    <w:link w:val="10"/>
    <w:qFormat/>
    <w:uiPriority w:val="9"/>
    <w:rPr>
      <w:rFonts w:asciiTheme="majorHAnsi" w:hAnsiTheme="majorHAnsi" w:eastAsiaTheme="majorEastAsia" w:cstheme="majorBidi"/>
    </w:rPr>
  </w:style>
  <w:style w:type="character" w:customStyle="1" w:styleId="38">
    <w:name w:val="标题 2 Char"/>
    <w:link w:val="5"/>
    <w:qFormat/>
    <w:uiPriority w:val="9"/>
    <w:rPr>
      <w:rFonts w:ascii="Cambria" w:hAnsi="Cambria" w:eastAsia="仿宋"/>
      <w:b/>
      <w:bCs/>
      <w:sz w:val="44"/>
      <w:szCs w:val="32"/>
    </w:rPr>
  </w:style>
  <w:style w:type="character" w:customStyle="1" w:styleId="39">
    <w:name w:val="正文文本 字符"/>
    <w:basedOn w:val="28"/>
    <w:semiHidden/>
    <w:qFormat/>
    <w:uiPriority w:val="99"/>
  </w:style>
  <w:style w:type="character" w:customStyle="1" w:styleId="40">
    <w:name w:val="正文文本 Char"/>
    <w:link w:val="2"/>
    <w:qFormat/>
    <w:uiPriority w:val="99"/>
    <w:rPr>
      <w:rFonts w:ascii="Times New Roman" w:hAnsi="Times New Roman" w:eastAsia="宋体" w:cs="Times New Roman"/>
      <w:kern w:val="0"/>
      <w:sz w:val="24"/>
      <w:szCs w:val="24"/>
      <w:lang w:val="zh-CN" w:eastAsia="zh-CN"/>
    </w:rPr>
  </w:style>
  <w:style w:type="character" w:customStyle="1" w:styleId="41">
    <w:name w:val="标题 8 Char"/>
    <w:link w:val="9"/>
    <w:qFormat/>
    <w:uiPriority w:val="9"/>
    <w:rPr>
      <w:rFonts w:ascii="等线 Light" w:hAnsi="等线 Light" w:eastAsia="仿宋"/>
      <w:b/>
      <w:sz w:val="32"/>
      <w:szCs w:val="24"/>
    </w:rPr>
  </w:style>
  <w:style w:type="character" w:customStyle="1" w:styleId="42">
    <w:name w:val="纯文本 字符"/>
    <w:basedOn w:val="28"/>
    <w:semiHidden/>
    <w:qFormat/>
    <w:uiPriority w:val="99"/>
    <w:rPr>
      <w:rFonts w:hAnsi="Courier New" w:cs="Courier New" w:asciiTheme="minorEastAsia"/>
    </w:rPr>
  </w:style>
  <w:style w:type="character" w:customStyle="1" w:styleId="43">
    <w:name w:val="纯文本 Char"/>
    <w:link w:val="17"/>
    <w:qFormat/>
    <w:uiPriority w:val="0"/>
    <w:rPr>
      <w:rFonts w:ascii="宋体" w:hAnsi="Courier New" w:eastAsia="宋体" w:cs="Times New Roman"/>
      <w:kern w:val="0"/>
      <w:sz w:val="20"/>
      <w:lang w:val="zh-CN" w:eastAsia="zh-CN"/>
    </w:rPr>
  </w:style>
  <w:style w:type="paragraph" w:customStyle="1" w:styleId="44">
    <w:name w:val="标题1"/>
    <w:basedOn w:val="4"/>
    <w:next w:val="1"/>
    <w:link w:val="46"/>
    <w:qFormat/>
    <w:uiPriority w:val="0"/>
    <w:pPr>
      <w:spacing w:before="340" w:after="340"/>
      <w:jc w:val="center"/>
    </w:pPr>
  </w:style>
  <w:style w:type="character" w:customStyle="1" w:styleId="45">
    <w:name w:val="标题 1 Char"/>
    <w:basedOn w:val="28"/>
    <w:link w:val="4"/>
    <w:qFormat/>
    <w:uiPriority w:val="9"/>
    <w:rPr>
      <w:b/>
      <w:bCs/>
      <w:kern w:val="44"/>
      <w:sz w:val="44"/>
      <w:szCs w:val="44"/>
    </w:rPr>
  </w:style>
  <w:style w:type="character" w:customStyle="1" w:styleId="46">
    <w:name w:val="标题1 字符"/>
    <w:basedOn w:val="28"/>
    <w:link w:val="44"/>
    <w:qFormat/>
    <w:uiPriority w:val="0"/>
    <w:rPr>
      <w:rFonts w:asciiTheme="minorEastAsia"/>
      <w:b/>
      <w:bCs/>
      <w:kern w:val="44"/>
      <w:sz w:val="44"/>
      <w:szCs w:val="44"/>
    </w:rPr>
  </w:style>
  <w:style w:type="character" w:customStyle="1" w:styleId="47">
    <w:name w:val="页眉 Char"/>
    <w:basedOn w:val="28"/>
    <w:link w:val="20"/>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标题 3 Char"/>
    <w:basedOn w:val="28"/>
    <w:link w:val="6"/>
    <w:semiHidden/>
    <w:qFormat/>
    <w:uiPriority w:val="9"/>
    <w:rPr>
      <w:b/>
      <w:bCs/>
      <w:sz w:val="32"/>
      <w:szCs w:val="32"/>
    </w:rPr>
  </w:style>
  <w:style w:type="paragraph" w:customStyle="1" w:styleId="50">
    <w:name w:val="标题3"/>
    <w:basedOn w:val="6"/>
    <w:next w:val="1"/>
    <w:link w:val="51"/>
    <w:qFormat/>
    <w:uiPriority w:val="0"/>
    <w:pPr>
      <w:spacing w:before="200" w:after="200" w:line="360" w:lineRule="auto"/>
      <w:ind w:firstLine="0" w:firstLineChars="0"/>
    </w:pPr>
    <w:rPr>
      <w:rFonts w:ascii="黑体" w:hAnsi="黑体" w:eastAsia="黑体"/>
      <w:bCs w:val="0"/>
      <w:sz w:val="24"/>
      <w:szCs w:val="24"/>
    </w:rPr>
  </w:style>
  <w:style w:type="character" w:customStyle="1" w:styleId="51">
    <w:name w:val="标题3 字符"/>
    <w:basedOn w:val="28"/>
    <w:link w:val="50"/>
    <w:qFormat/>
    <w:uiPriority w:val="0"/>
    <w:rPr>
      <w:rFonts w:ascii="黑体" w:hAnsi="黑体" w:eastAsia="黑体"/>
      <w:b/>
      <w:sz w:val="24"/>
      <w:szCs w:val="24"/>
    </w:rPr>
  </w:style>
  <w:style w:type="character" w:customStyle="1" w:styleId="52">
    <w:name w:val="批注文字 字符"/>
    <w:basedOn w:val="28"/>
    <w:semiHidden/>
    <w:qFormat/>
    <w:uiPriority w:val="99"/>
    <w:rPr>
      <w:rFonts w:asciiTheme="minorEastAsia"/>
    </w:rPr>
  </w:style>
  <w:style w:type="character" w:customStyle="1" w:styleId="53">
    <w:name w:val="批注文字 Char"/>
    <w:link w:val="12"/>
    <w:qFormat/>
    <w:uiPriority w:val="0"/>
    <w:rPr>
      <w:rFonts w:ascii="Times New Roman" w:hAnsi="Times New Roman" w:eastAsia="宋体" w:cs="Times New Roman"/>
      <w:szCs w:val="24"/>
    </w:rPr>
  </w:style>
  <w:style w:type="paragraph" w:customStyle="1" w:styleId="54">
    <w:name w:val="TOC 标题1"/>
    <w:basedOn w:val="4"/>
    <w:next w:val="1"/>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5">
    <w:name w:val="标题3（采购需求）"/>
    <w:basedOn w:val="50"/>
    <w:next w:val="1"/>
    <w:link w:val="57"/>
    <w:qFormat/>
    <w:uiPriority w:val="0"/>
    <w:pPr>
      <w:spacing w:before="0" w:after="0"/>
    </w:pPr>
    <w:rPr>
      <w:rFonts w:ascii="宋体" w:hAnsi="宋体" w:eastAsia="宋体"/>
    </w:rPr>
  </w:style>
  <w:style w:type="paragraph" w:customStyle="1" w:styleId="56">
    <w:name w:val="列表段落1"/>
    <w:basedOn w:val="1"/>
    <w:qFormat/>
    <w:uiPriority w:val="34"/>
    <w:pPr>
      <w:ind w:firstLine="420"/>
    </w:pPr>
  </w:style>
  <w:style w:type="character" w:customStyle="1" w:styleId="57">
    <w:name w:val="标题3（采购需求） 字符"/>
    <w:basedOn w:val="28"/>
    <w:link w:val="55"/>
    <w:qFormat/>
    <w:uiPriority w:val="0"/>
    <w:rPr>
      <w:rFonts w:ascii="宋体" w:hAnsi="宋体" w:eastAsia="宋体"/>
      <w:b/>
      <w:sz w:val="24"/>
      <w:szCs w:val="24"/>
    </w:rPr>
  </w:style>
  <w:style w:type="paragraph" w:customStyle="1" w:styleId="58">
    <w:name w:val="标题2"/>
    <w:basedOn w:val="5"/>
    <w:next w:val="1"/>
    <w:link w:val="59"/>
    <w:qFormat/>
    <w:uiPriority w:val="0"/>
    <w:pPr>
      <w:ind w:firstLine="0" w:firstLineChars="0"/>
      <w:jc w:val="center"/>
    </w:pPr>
    <w:rPr>
      <w:rFonts w:ascii="宋体" w:eastAsia="宋体" w:hAnsiTheme="minorEastAsia"/>
      <w:sz w:val="36"/>
      <w:szCs w:val="44"/>
    </w:rPr>
  </w:style>
  <w:style w:type="character" w:customStyle="1" w:styleId="59">
    <w:name w:val="标题2 字符"/>
    <w:basedOn w:val="51"/>
    <w:link w:val="58"/>
    <w:qFormat/>
    <w:uiPriority w:val="0"/>
    <w:rPr>
      <w:rFonts w:ascii="宋体" w:eastAsia="宋体" w:hAnsiTheme="minorEastAsia"/>
      <w:bCs/>
      <w:sz w:val="36"/>
      <w:szCs w:val="4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批注主题 Char"/>
    <w:basedOn w:val="53"/>
    <w:link w:val="23"/>
    <w:semiHidden/>
    <w:qFormat/>
    <w:uiPriority w:val="99"/>
    <w:rPr>
      <w:rFonts w:hAnsi="Times New Roman" w:eastAsia="宋体" w:cs="Times New Roman" w:asciiTheme="minorEastAsia"/>
      <w:b/>
      <w:bCs/>
      <w:szCs w:val="24"/>
    </w:rPr>
  </w:style>
  <w:style w:type="paragraph" w:customStyle="1" w:styleId="62">
    <w:name w:val="标题3（投标须知）"/>
    <w:basedOn w:val="50"/>
    <w:next w:val="63"/>
    <w:link w:val="65"/>
    <w:qFormat/>
    <w:uiPriority w:val="0"/>
    <w:pPr>
      <w:spacing w:line="240" w:lineRule="auto"/>
      <w:jc w:val="center"/>
    </w:pPr>
    <w:rPr>
      <w:bCs/>
      <w:sz w:val="30"/>
    </w:rPr>
  </w:style>
  <w:style w:type="paragraph" w:customStyle="1" w:styleId="63">
    <w:name w:val="标题4"/>
    <w:basedOn w:val="1"/>
    <w:next w:val="1"/>
    <w:link w:val="66"/>
    <w:qFormat/>
    <w:uiPriority w:val="0"/>
    <w:pPr>
      <w:ind w:firstLine="176" w:firstLineChars="176"/>
      <w:outlineLvl w:val="3"/>
    </w:pPr>
    <w:rPr>
      <w:rFonts w:ascii="黑体" w:hAnsi="黑体" w:eastAsia="黑体"/>
      <w:b/>
      <w:bCs/>
      <w:sz w:val="24"/>
      <w:szCs w:val="24"/>
    </w:rPr>
  </w:style>
  <w:style w:type="character" w:customStyle="1" w:styleId="64">
    <w:name w:val="标题 5 Char"/>
    <w:basedOn w:val="28"/>
    <w:link w:val="8"/>
    <w:semiHidden/>
    <w:qFormat/>
    <w:uiPriority w:val="9"/>
    <w:rPr>
      <w:rFonts w:asciiTheme="minorEastAsia"/>
      <w:b/>
      <w:bCs/>
      <w:sz w:val="28"/>
      <w:szCs w:val="28"/>
    </w:rPr>
  </w:style>
  <w:style w:type="character" w:customStyle="1" w:styleId="65">
    <w:name w:val="标题3（投标须知） 字符"/>
    <w:basedOn w:val="28"/>
    <w:link w:val="62"/>
    <w:qFormat/>
    <w:uiPriority w:val="0"/>
    <w:rPr>
      <w:rFonts w:ascii="黑体" w:hAnsi="黑体" w:eastAsia="黑体"/>
      <w:b/>
      <w:bCs/>
      <w:sz w:val="30"/>
      <w:szCs w:val="24"/>
    </w:rPr>
  </w:style>
  <w:style w:type="character" w:customStyle="1" w:styleId="66">
    <w:name w:val="标题4 字符"/>
    <w:basedOn w:val="28"/>
    <w:link w:val="63"/>
    <w:qFormat/>
    <w:uiPriority w:val="0"/>
    <w:rPr>
      <w:rFonts w:ascii="黑体" w:hAnsi="黑体" w:eastAsia="黑体"/>
      <w:b/>
      <w:bCs/>
      <w:sz w:val="24"/>
      <w:szCs w:val="24"/>
    </w:rPr>
  </w:style>
  <w:style w:type="character" w:customStyle="1" w:styleId="67">
    <w:name w:val="正文文本缩进 Char"/>
    <w:basedOn w:val="28"/>
    <w:link w:val="14"/>
    <w:semiHidden/>
    <w:qFormat/>
    <w:uiPriority w:val="99"/>
    <w:rPr>
      <w:rFonts w:asciiTheme="minorEastAsia"/>
    </w:rPr>
  </w:style>
  <w:style w:type="paragraph" w:customStyle="1" w:styleId="68">
    <w:name w:val="标题2（文件格式）"/>
    <w:basedOn w:val="58"/>
    <w:next w:val="1"/>
    <w:link w:val="70"/>
    <w:qFormat/>
    <w:uiPriority w:val="0"/>
    <w:pPr>
      <w:spacing w:line="480" w:lineRule="auto"/>
      <w:jc w:val="left"/>
    </w:pPr>
    <w:rPr>
      <w:sz w:val="28"/>
    </w:rPr>
  </w:style>
  <w:style w:type="character" w:customStyle="1" w:styleId="69">
    <w:name w:val="纯文本 Char1"/>
    <w:qFormat/>
    <w:uiPriority w:val="0"/>
    <w:rPr>
      <w:rFonts w:ascii="宋体" w:hAnsi="Courier New" w:eastAsia="宋体" w:cs="Courier New"/>
      <w:szCs w:val="21"/>
    </w:rPr>
  </w:style>
  <w:style w:type="character" w:customStyle="1" w:styleId="70">
    <w:name w:val="标题2（文件格式） 字符"/>
    <w:basedOn w:val="28"/>
    <w:link w:val="68"/>
    <w:qFormat/>
    <w:uiPriority w:val="0"/>
    <w:rPr>
      <w:rFonts w:ascii="宋体" w:eastAsia="宋体" w:hAnsiTheme="minorEastAsia"/>
      <w:b/>
      <w:bCs/>
      <w:sz w:val="28"/>
      <w:szCs w:val="44"/>
    </w:rPr>
  </w:style>
  <w:style w:type="character" w:customStyle="1" w:styleId="71">
    <w:name w:val="正文文本 3 Char"/>
    <w:basedOn w:val="28"/>
    <w:link w:val="13"/>
    <w:semiHidden/>
    <w:qFormat/>
    <w:uiPriority w:val="99"/>
    <w:rPr>
      <w:rFonts w:asciiTheme="minorEastAsia"/>
      <w:sz w:val="16"/>
      <w:szCs w:val="16"/>
    </w:rPr>
  </w:style>
  <w:style w:type="character" w:customStyle="1" w:styleId="72">
    <w:name w:val="纯文本 Char4"/>
    <w:qFormat/>
    <w:uiPriority w:val="99"/>
    <w:rPr>
      <w:rFonts w:ascii="宋体" w:eastAsia="宋体"/>
      <w:szCs w:val="21"/>
    </w:rPr>
  </w:style>
  <w:style w:type="paragraph" w:customStyle="1" w:styleId="73">
    <w:name w:val="1"/>
    <w:basedOn w:val="1"/>
    <w:next w:val="17"/>
    <w:qFormat/>
    <w:uiPriority w:val="0"/>
    <w:rPr>
      <w:rFonts w:ascii="宋体" w:hAnsi="Courier New"/>
      <w:szCs w:val="20"/>
    </w:rPr>
  </w:style>
  <w:style w:type="paragraph" w:customStyle="1" w:styleId="74">
    <w:name w:val="List Paragraph1"/>
    <w:basedOn w:val="1"/>
    <w:qFormat/>
    <w:uiPriority w:val="0"/>
    <w:pPr>
      <w:ind w:left="720"/>
      <w:contextualSpacing/>
    </w:pPr>
    <w:rPr>
      <w:rFonts w:ascii="Times New Roman" w:hAnsi="Times New Roman"/>
      <w:szCs w:val="20"/>
    </w:rPr>
  </w:style>
  <w:style w:type="character" w:customStyle="1" w:styleId="75">
    <w:name w:val="批注框文本 Char"/>
    <w:basedOn w:val="28"/>
    <w:link w:val="18"/>
    <w:semiHidden/>
    <w:qFormat/>
    <w:uiPriority w:val="99"/>
    <w:rPr>
      <w:rFonts w:asciiTheme="minorEastAsia"/>
      <w:kern w:val="2"/>
      <w:sz w:val="18"/>
      <w:szCs w:val="18"/>
    </w:rPr>
  </w:style>
  <w:style w:type="character" w:customStyle="1" w:styleId="76">
    <w:name w:val="info-content"/>
    <w:basedOn w:val="28"/>
    <w:qFormat/>
    <w:uiPriority w:val="0"/>
    <w:rPr>
      <w:color w:val="808080"/>
    </w:rPr>
  </w:style>
  <w:style w:type="character" w:customStyle="1" w:styleId="77">
    <w:name w:val="nc-lang-cnt"/>
    <w:basedOn w:val="28"/>
    <w:qFormat/>
    <w:uiPriority w:val="0"/>
  </w:style>
  <w:style w:type="character" w:customStyle="1" w:styleId="78">
    <w:name w:val="nc-lang-cnt1"/>
    <w:basedOn w:val="28"/>
    <w:qFormat/>
    <w:uiPriority w:val="0"/>
    <w:rPr>
      <w:rFonts w:hint="cs"/>
      <w:rtl/>
    </w:rPr>
  </w:style>
  <w:style w:type="character" w:customStyle="1" w:styleId="79">
    <w:name w:val="nc-lang-cnt2"/>
    <w:basedOn w:val="28"/>
    <w:qFormat/>
    <w:uiPriority w:val="0"/>
    <w:rPr>
      <w:rFonts w:hint="cs"/>
      <w:rtl/>
    </w:rPr>
  </w:style>
  <w:style w:type="character" w:customStyle="1" w:styleId="80">
    <w:name w:val="nc-lang-cnt3"/>
    <w:basedOn w:val="28"/>
    <w:qFormat/>
    <w:uiPriority w:val="0"/>
    <w:rPr>
      <w:rFonts w:hint="cs"/>
      <w:rtl/>
    </w:rPr>
  </w:style>
  <w:style w:type="character" w:customStyle="1" w:styleId="81">
    <w:name w:val="nc-lang-cnt4"/>
    <w:basedOn w:val="28"/>
    <w:qFormat/>
    <w:uiPriority w:val="0"/>
    <w:rPr>
      <w:rFonts w:hint="cs"/>
      <w:rtl/>
    </w:rPr>
  </w:style>
  <w:style w:type="character" w:customStyle="1" w:styleId="82">
    <w:name w:val="nc-lang-cnt5"/>
    <w:basedOn w:val="28"/>
    <w:qFormat/>
    <w:uiPriority w:val="0"/>
  </w:style>
  <w:style w:type="character" w:customStyle="1" w:styleId="83">
    <w:name w:val="current"/>
    <w:basedOn w:val="28"/>
    <w:qFormat/>
    <w:uiPriority w:val="0"/>
    <w:rPr>
      <w:color w:val="00C1DE"/>
    </w:rPr>
  </w:style>
  <w:style w:type="character" w:customStyle="1" w:styleId="84">
    <w:name w:val="current1"/>
    <w:basedOn w:val="28"/>
    <w:qFormat/>
    <w:uiPriority w:val="0"/>
    <w:rPr>
      <w:color w:val="00C1DE"/>
    </w:rPr>
  </w:style>
  <w:style w:type="character" w:customStyle="1" w:styleId="85">
    <w:name w:val="ant-input30"/>
    <w:basedOn w:val="28"/>
    <w:qFormat/>
    <w:uiPriority w:val="0"/>
  </w:style>
  <w:style w:type="character" w:customStyle="1" w:styleId="86">
    <w:name w:val="info-label"/>
    <w:basedOn w:val="28"/>
    <w:qFormat/>
    <w:uiPriority w:val="0"/>
    <w:rPr>
      <w:b/>
      <w:bCs/>
    </w:rPr>
  </w:style>
  <w:style w:type="character" w:customStyle="1" w:styleId="87">
    <w:name w:val="tag-type"/>
    <w:basedOn w:val="28"/>
    <w:qFormat/>
    <w:uiPriority w:val="0"/>
    <w:rPr>
      <w:color w:val="FFFFFF"/>
      <w:sz w:val="18"/>
      <w:szCs w:val="18"/>
      <w:shd w:val="clear" w:color="auto" w:fill="317FFD"/>
    </w:rPr>
  </w:style>
  <w:style w:type="character" w:customStyle="1" w:styleId="88">
    <w:name w:val="tag-type1"/>
    <w:basedOn w:val="28"/>
    <w:qFormat/>
    <w:uiPriority w:val="0"/>
    <w:rPr>
      <w:color w:val="FFFFFF"/>
      <w:sz w:val="18"/>
      <w:szCs w:val="18"/>
      <w:shd w:val="clear" w:color="auto" w:fill="317FFD"/>
    </w:rPr>
  </w:style>
  <w:style w:type="character" w:customStyle="1" w:styleId="89">
    <w:name w:val="tag-type2"/>
    <w:basedOn w:val="28"/>
    <w:qFormat/>
    <w:uiPriority w:val="0"/>
    <w:rPr>
      <w:color w:val="FFFFFF"/>
      <w:sz w:val="18"/>
      <w:szCs w:val="18"/>
      <w:shd w:val="clear" w:color="auto" w:fill="317FFD"/>
    </w:rPr>
  </w:style>
  <w:style w:type="character" w:customStyle="1" w:styleId="90">
    <w:name w:val="ant-radio+*"/>
    <w:basedOn w:val="28"/>
    <w:qFormat/>
    <w:uiPriority w:val="0"/>
  </w:style>
  <w:style w:type="character" w:customStyle="1" w:styleId="91">
    <w:name w:val="ant-radio+*1"/>
    <w:basedOn w:val="28"/>
    <w:qFormat/>
    <w:uiPriority w:val="0"/>
  </w:style>
  <w:style w:type="character" w:customStyle="1" w:styleId="92">
    <w:name w:val="last-span"/>
    <w:basedOn w:val="28"/>
    <w:qFormat/>
    <w:uiPriority w:val="0"/>
  </w:style>
  <w:style w:type="character" w:customStyle="1" w:styleId="93">
    <w:name w:val="first-child1"/>
    <w:basedOn w:val="28"/>
    <w:qFormat/>
    <w:uiPriority w:val="0"/>
  </w:style>
  <w:style w:type="character" w:customStyle="1" w:styleId="94">
    <w:name w:val="ant-select-tree-iconele"/>
    <w:basedOn w:val="28"/>
    <w:qFormat/>
    <w:uiPriority w:val="0"/>
  </w:style>
  <w:style w:type="character" w:customStyle="1" w:styleId="95">
    <w:name w:val="ant-select-tree-switcher"/>
    <w:basedOn w:val="28"/>
    <w:qFormat/>
    <w:uiPriority w:val="0"/>
  </w:style>
  <w:style w:type="character" w:customStyle="1" w:styleId="96">
    <w:name w:val="ant-select-tree-checkbox2"/>
    <w:basedOn w:val="28"/>
    <w:qFormat/>
    <w:uiPriority w:val="0"/>
  </w:style>
  <w:style w:type="character" w:customStyle="1" w:styleId="97">
    <w:name w:val="last-child"/>
    <w:basedOn w:val="28"/>
    <w:qFormat/>
    <w:uiPriority w:val="0"/>
  </w:style>
  <w:style w:type="character" w:customStyle="1" w:styleId="98">
    <w:name w:val="NormalCharacter"/>
    <w:qFormat/>
    <w:uiPriority w:val="0"/>
    <w:rPr>
      <w:kern w:val="2"/>
      <w:sz w:val="21"/>
      <w:szCs w:val="24"/>
      <w:lang w:val="en-US" w:eastAsia="zh-CN" w:bidi="ar-SA"/>
    </w:rPr>
  </w:style>
  <w:style w:type="paragraph" w:styleId="99">
    <w:name w:val="List Paragraph"/>
    <w:basedOn w:val="1"/>
    <w:qFormat/>
    <w:uiPriority w:val="34"/>
    <w:pPr>
      <w:ind w:firstLine="420" w:firstLineChars="200"/>
    </w:pPr>
  </w:style>
  <w:style w:type="paragraph" w:customStyle="1" w:styleId="100">
    <w:name w:val="样式 标题 2 + 宋体"/>
    <w:basedOn w:val="5"/>
    <w:qFormat/>
    <w:uiPriority w:val="99"/>
    <w:pPr>
      <w:tabs>
        <w:tab w:val="left" w:pos="360"/>
      </w:tabs>
    </w:pPr>
    <w:rPr>
      <w:rFonts w:ascii="宋体" w:hAnsi="宋体"/>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C75F9-603D-4211-8638-8A3C9ECA9163}">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69</Pages>
  <Words>41044</Words>
  <Characters>43041</Characters>
  <Lines>369</Lines>
  <Paragraphs>104</Paragraphs>
  <TotalTime>24</TotalTime>
  <ScaleCrop>false</ScaleCrop>
  <LinksUpToDate>false</LinksUpToDate>
  <CharactersWithSpaces>47973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2021-06-25T07:09:00Z</dcterms:created>
  <dc:creator>云之龙咨询集团有限公司-杨启帆</dc:creator>
  <cp:keywords>2021年1.03版</cp:keywords>
  <cp:lastModifiedBy>唐小乐</cp:lastModifiedBy>
  <cp:lastPrinted>2022-01-07T00:34:00Z</cp:lastPrinted>
  <dcterms:modified xsi:type="dcterms:W3CDTF">2022-09-01T02:36:13Z</dcterms:modified>
  <dc:title>磋商服务采购文件范本</dc:title>
  <cp:revision>704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FA249590724F46098778A621C604A145</vt:lpwstr>
  </property>
</Properties>
</file>