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kinsoku w:val="0"/>
        <w:overflowPunct w:val="0"/>
        <w:rPr>
          <w:rFonts w:hint="default" w:ascii="Arial" w:hAnsi="Arial" w:eastAsia="宋体" w:cs="Arial"/>
          <w:color w:val="auto"/>
          <w:highlight w:val="none"/>
        </w:rPr>
      </w:pPr>
      <w:bookmarkStart w:id="0" w:name="_Toc183682338"/>
      <w:bookmarkStart w:id="1" w:name="_Toc217446030"/>
    </w:p>
    <w:p>
      <w:pPr>
        <w:tabs>
          <w:tab w:val="left" w:pos="1710"/>
        </w:tabs>
        <w:rPr>
          <w:rFonts w:hint="default" w:ascii="Arial" w:hAnsi="Arial" w:eastAsia="宋体" w:cs="Arial"/>
          <w:color w:val="auto"/>
          <w:highlight w:val="none"/>
        </w:rPr>
      </w:pPr>
    </w:p>
    <w:p>
      <w:pPr>
        <w:tabs>
          <w:tab w:val="left" w:pos="1710"/>
        </w:tabs>
        <w:rPr>
          <w:rFonts w:hint="default" w:ascii="Arial" w:hAnsi="Arial" w:eastAsia="宋体" w:cs="Arial"/>
          <w:color w:val="auto"/>
          <w:highlight w:val="none"/>
        </w:rPr>
      </w:pPr>
    </w:p>
    <w:p>
      <w:pPr>
        <w:tabs>
          <w:tab w:val="left" w:pos="1710"/>
        </w:tabs>
        <w:rPr>
          <w:rFonts w:hint="default" w:ascii="Arial" w:hAnsi="Arial" w:eastAsia="宋体" w:cs="Arial"/>
          <w:color w:val="auto"/>
          <w:highlight w:val="none"/>
        </w:rPr>
      </w:pPr>
    </w:p>
    <w:p>
      <w:pPr>
        <w:tabs>
          <w:tab w:val="left" w:pos="1710"/>
        </w:tabs>
        <w:rPr>
          <w:rFonts w:hint="default" w:ascii="Arial" w:hAnsi="Arial" w:eastAsia="宋体" w:cs="Arial"/>
          <w:color w:val="auto"/>
          <w:highlight w:val="none"/>
        </w:rPr>
      </w:pPr>
    </w:p>
    <w:p>
      <w:pPr>
        <w:tabs>
          <w:tab w:val="left" w:pos="1710"/>
        </w:tabs>
        <w:rPr>
          <w:rFonts w:hint="default" w:ascii="Arial" w:hAnsi="Arial" w:eastAsia="宋体" w:cs="Arial"/>
          <w:color w:val="auto"/>
          <w:highlight w:val="none"/>
        </w:rPr>
      </w:pPr>
    </w:p>
    <w:tbl>
      <w:tblPr>
        <w:tblStyle w:val="53"/>
        <w:tblW w:w="6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9"/>
        <w:gridCol w:w="4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6537" w:type="dxa"/>
            <w:gridSpan w:val="2"/>
            <w:tcBorders>
              <w:top w:val="nil"/>
              <w:left w:val="nil"/>
              <w:right w:val="nil"/>
            </w:tcBorders>
          </w:tcPr>
          <w:p>
            <w:pPr>
              <w:snapToGrid w:val="0"/>
              <w:spacing w:line="240" w:lineRule="atLeast"/>
              <w:jc w:val="center"/>
              <w:rPr>
                <w:rFonts w:hint="default" w:ascii="Arial" w:hAnsi="Arial" w:eastAsia="宋体" w:cs="Arial"/>
                <w:b/>
                <w:color w:val="auto"/>
                <w:sz w:val="60"/>
                <w:szCs w:val="60"/>
                <w:highlight w:val="none"/>
              </w:rPr>
            </w:pPr>
            <w:r>
              <w:rPr>
                <w:rFonts w:hint="default" w:ascii="Arial" w:hAnsi="Arial" w:eastAsia="宋体" w:cs="Arial"/>
                <w:b/>
                <w:color w:val="auto"/>
                <w:sz w:val="60"/>
                <w:szCs w:val="60"/>
                <w:highlight w:val="none"/>
              </w:rPr>
              <w:t>招  标  文  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69" w:type="dxa"/>
            <w:vAlign w:val="center"/>
          </w:tcPr>
          <w:p>
            <w:pPr>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项目名称：</w:t>
            </w:r>
          </w:p>
        </w:tc>
        <w:tc>
          <w:tcPr>
            <w:tcW w:w="4768" w:type="dxa"/>
            <w:vAlign w:val="center"/>
          </w:tcPr>
          <w:p>
            <w:pPr>
              <w:rPr>
                <w:rFonts w:hint="default" w:ascii="Arial" w:hAnsi="Arial" w:eastAsia="宋体" w:cs="Arial"/>
                <w:b/>
                <w:color w:val="auto"/>
                <w:sz w:val="32"/>
                <w:szCs w:val="32"/>
                <w:highlight w:val="none"/>
                <w:lang w:eastAsia="zh-CN"/>
              </w:rPr>
            </w:pPr>
            <w:r>
              <w:rPr>
                <w:rFonts w:hint="default" w:ascii="Arial" w:hAnsi="Arial" w:eastAsia="宋体" w:cs="Arial"/>
                <w:b/>
                <w:color w:val="auto"/>
                <w:sz w:val="32"/>
                <w:szCs w:val="32"/>
                <w:highlight w:val="none"/>
                <w:lang w:eastAsia="zh-CN"/>
              </w:rPr>
              <w:t>安防专用设备采购（一期）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69" w:type="dxa"/>
            <w:vAlign w:val="center"/>
          </w:tcPr>
          <w:p>
            <w:pPr>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项目编号：</w:t>
            </w:r>
          </w:p>
        </w:tc>
        <w:tc>
          <w:tcPr>
            <w:tcW w:w="4768" w:type="dxa"/>
            <w:vAlign w:val="center"/>
          </w:tcPr>
          <w:p>
            <w:pPr>
              <w:rPr>
                <w:rFonts w:hint="default" w:ascii="Arial" w:hAnsi="Arial" w:eastAsia="宋体" w:cs="Arial"/>
                <w:b/>
                <w:color w:val="auto"/>
                <w:sz w:val="32"/>
                <w:szCs w:val="32"/>
                <w:highlight w:val="none"/>
                <w:lang w:eastAsia="zh-CN"/>
              </w:rPr>
            </w:pPr>
            <w:r>
              <w:rPr>
                <w:rFonts w:hint="eastAsia" w:ascii="Arial" w:hAnsi="Arial" w:cs="Arial"/>
                <w:b/>
                <w:color w:val="auto"/>
                <w:sz w:val="32"/>
                <w:szCs w:val="32"/>
                <w:highlight w:val="none"/>
                <w:lang w:eastAsia="zh-CN"/>
              </w:rPr>
              <w:t>GXZC2022-G3-001657-JDZB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69" w:type="dxa"/>
            <w:vAlign w:val="center"/>
          </w:tcPr>
          <w:p>
            <w:pPr>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联系电话：</w:t>
            </w:r>
          </w:p>
        </w:tc>
        <w:tc>
          <w:tcPr>
            <w:tcW w:w="4768" w:type="dxa"/>
            <w:vAlign w:val="center"/>
          </w:tcPr>
          <w:p>
            <w:pPr>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0773-3696789</w:t>
            </w:r>
          </w:p>
        </w:tc>
      </w:tr>
    </w:tbl>
    <w:p>
      <w:pPr>
        <w:tabs>
          <w:tab w:val="left" w:pos="1710"/>
        </w:tabs>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widowControl/>
        <w:jc w:val="left"/>
        <w:rPr>
          <w:rFonts w:hint="default" w:ascii="Arial" w:hAnsi="Arial" w:eastAsia="宋体" w:cs="Arial"/>
          <w:color w:val="auto"/>
          <w:kern w:val="0"/>
          <w:sz w:val="24"/>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p>
      <w:pPr>
        <w:rPr>
          <w:rFonts w:hint="default" w:ascii="Arial" w:hAnsi="Arial" w:eastAsia="宋体" w:cs="Arial"/>
          <w:color w:val="auto"/>
          <w:highlight w:val="none"/>
        </w:rPr>
      </w:pPr>
    </w:p>
    <w:tbl>
      <w:tblPr>
        <w:tblStyle w:val="53"/>
        <w:tblW w:w="8284" w:type="dxa"/>
        <w:jc w:val="center"/>
        <w:tblLayout w:type="fixed"/>
        <w:tblCellMar>
          <w:top w:w="0" w:type="dxa"/>
          <w:left w:w="108" w:type="dxa"/>
          <w:bottom w:w="0" w:type="dxa"/>
          <w:right w:w="108" w:type="dxa"/>
        </w:tblCellMar>
      </w:tblPr>
      <w:tblGrid>
        <w:gridCol w:w="2707"/>
        <w:gridCol w:w="6"/>
        <w:gridCol w:w="5571"/>
      </w:tblGrid>
      <w:tr>
        <w:tblPrEx>
          <w:tblCellMar>
            <w:top w:w="0" w:type="dxa"/>
            <w:left w:w="108" w:type="dxa"/>
            <w:bottom w:w="0" w:type="dxa"/>
            <w:right w:w="108" w:type="dxa"/>
          </w:tblCellMar>
        </w:tblPrEx>
        <w:trPr>
          <w:trHeight w:val="703" w:hRule="atLeast"/>
          <w:jc w:val="center"/>
        </w:trPr>
        <w:tc>
          <w:tcPr>
            <w:tcW w:w="2707" w:type="dxa"/>
            <w:vAlign w:val="center"/>
          </w:tcPr>
          <w:p>
            <w:pPr>
              <w:autoSpaceDE w:val="0"/>
              <w:autoSpaceDN w:val="0"/>
              <w:adjustRightInd w:val="0"/>
              <w:jc w:val="right"/>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 xml:space="preserve">  采购人：</w:t>
            </w:r>
          </w:p>
        </w:tc>
        <w:tc>
          <w:tcPr>
            <w:tcW w:w="5577" w:type="dxa"/>
            <w:gridSpan w:val="2"/>
            <w:vAlign w:val="center"/>
          </w:tcPr>
          <w:p>
            <w:pPr>
              <w:autoSpaceDE w:val="0"/>
              <w:autoSpaceDN w:val="0"/>
              <w:adjustRightInd w:val="0"/>
              <w:jc w:val="left"/>
              <w:rPr>
                <w:rFonts w:hint="default" w:ascii="Arial" w:hAnsi="Arial" w:eastAsia="宋体" w:cs="Arial"/>
                <w:b/>
                <w:color w:val="auto"/>
                <w:sz w:val="32"/>
                <w:szCs w:val="32"/>
                <w:highlight w:val="none"/>
                <w:lang w:eastAsia="zh-CN"/>
              </w:rPr>
            </w:pPr>
            <w:r>
              <w:rPr>
                <w:rFonts w:hint="default" w:ascii="Arial" w:hAnsi="Arial" w:eastAsia="宋体" w:cs="Arial"/>
                <w:b/>
                <w:color w:val="auto"/>
                <w:sz w:val="32"/>
                <w:szCs w:val="32"/>
                <w:highlight w:val="none"/>
                <w:lang w:eastAsia="zh-CN"/>
              </w:rPr>
              <w:t>广西壮族自治区第四强制隔离戒毒所</w:t>
            </w:r>
          </w:p>
        </w:tc>
      </w:tr>
      <w:tr>
        <w:tblPrEx>
          <w:tblCellMar>
            <w:top w:w="0" w:type="dxa"/>
            <w:left w:w="108" w:type="dxa"/>
            <w:bottom w:w="0" w:type="dxa"/>
            <w:right w:w="108" w:type="dxa"/>
          </w:tblCellMar>
        </w:tblPrEx>
        <w:trPr>
          <w:trHeight w:val="703" w:hRule="atLeast"/>
          <w:jc w:val="center"/>
        </w:trPr>
        <w:tc>
          <w:tcPr>
            <w:tcW w:w="2713" w:type="dxa"/>
            <w:gridSpan w:val="2"/>
          </w:tcPr>
          <w:p>
            <w:pPr>
              <w:autoSpaceDE w:val="0"/>
              <w:autoSpaceDN w:val="0"/>
              <w:adjustRightInd w:val="0"/>
              <w:jc w:val="right"/>
              <w:rPr>
                <w:rFonts w:hint="default" w:ascii="Arial" w:hAnsi="Arial" w:eastAsia="宋体" w:cs="Arial"/>
                <w:b/>
                <w:color w:val="auto"/>
                <w:sz w:val="32"/>
                <w:szCs w:val="32"/>
                <w:highlight w:val="none"/>
              </w:rPr>
            </w:pPr>
            <w:r>
              <w:rPr>
                <w:rFonts w:hint="default" w:ascii="Arial" w:hAnsi="Arial" w:eastAsia="宋体" w:cs="Arial"/>
                <w:b/>
                <w:color w:val="auto"/>
                <w:sz w:val="32"/>
                <w:szCs w:val="32"/>
                <w:highlight w:val="none"/>
              </w:rPr>
              <w:t>采购代理机构：</w:t>
            </w:r>
          </w:p>
        </w:tc>
        <w:tc>
          <w:tcPr>
            <w:tcW w:w="5571" w:type="dxa"/>
          </w:tcPr>
          <w:p>
            <w:pPr>
              <w:autoSpaceDE w:val="0"/>
              <w:autoSpaceDN w:val="0"/>
              <w:adjustRightInd w:val="0"/>
              <w:rPr>
                <w:rFonts w:hint="default" w:ascii="Arial" w:hAnsi="Arial" w:eastAsia="宋体" w:cs="Arial"/>
                <w:b/>
                <w:color w:val="auto"/>
                <w:sz w:val="32"/>
                <w:szCs w:val="32"/>
                <w:highlight w:val="none"/>
                <w:u w:val="single"/>
              </w:rPr>
            </w:pPr>
            <w:r>
              <w:rPr>
                <w:rFonts w:hint="default" w:ascii="Arial" w:hAnsi="Arial" w:eastAsia="宋体" w:cs="Arial"/>
                <w:b/>
                <w:color w:val="auto"/>
                <w:sz w:val="32"/>
                <w:szCs w:val="32"/>
                <w:highlight w:val="none"/>
              </w:rPr>
              <w:t>广西机电设备招标有限公司</w:t>
            </w:r>
          </w:p>
        </w:tc>
      </w:tr>
    </w:tbl>
    <w:p>
      <w:pPr>
        <w:rPr>
          <w:rFonts w:hint="default" w:ascii="Arial" w:hAnsi="Arial" w:eastAsia="宋体" w:cs="Arial"/>
          <w:color w:val="auto"/>
          <w:highlight w:val="none"/>
        </w:rPr>
      </w:pPr>
    </w:p>
    <w:p>
      <w:pPr>
        <w:ind w:firstLine="321" w:firstLineChars="100"/>
        <w:jc w:val="center"/>
        <w:rPr>
          <w:rFonts w:hint="default" w:ascii="Arial" w:hAnsi="Arial" w:eastAsia="宋体" w:cs="Arial"/>
          <w:b/>
          <w:color w:val="auto"/>
          <w:sz w:val="32"/>
          <w:szCs w:val="32"/>
          <w:highlight w:val="none"/>
        </w:rPr>
        <w:sectPr>
          <w:headerReference r:id="rId3" w:type="first"/>
          <w:footerReference r:id="rId5" w:type="first"/>
          <w:footerReference r:id="rId4" w:type="even"/>
          <w:type w:val="nextColumn"/>
          <w:pgSz w:w="11906" w:h="16838"/>
          <w:pgMar w:top="1418" w:right="1418" w:bottom="1246" w:left="1418" w:header="851" w:footer="992" w:gutter="0"/>
          <w:pgNumType w:start="0"/>
          <w:cols w:space="720" w:num="1"/>
          <w:titlePg/>
          <w:docGrid w:linePitch="312" w:charSpace="0"/>
        </w:sectPr>
      </w:pPr>
      <w:r>
        <w:rPr>
          <w:rFonts w:hint="default" w:ascii="Arial" w:hAnsi="Arial" w:eastAsia="宋体" w:cs="Arial"/>
          <w:b/>
          <w:color w:val="auto"/>
          <w:sz w:val="32"/>
          <w:szCs w:val="32"/>
          <w:highlight w:val="none"/>
          <w:lang w:eastAsia="zh-CN"/>
        </w:rPr>
        <w:t>2022年</w:t>
      </w:r>
      <w:r>
        <w:rPr>
          <w:rFonts w:hint="eastAsia" w:ascii="Arial" w:hAnsi="Arial" w:cs="Arial"/>
          <w:b/>
          <w:color w:val="auto"/>
          <w:sz w:val="32"/>
          <w:szCs w:val="32"/>
          <w:highlight w:val="none"/>
          <w:lang w:val="en-US" w:eastAsia="zh-CN"/>
        </w:rPr>
        <w:t>6</w:t>
      </w:r>
      <w:r>
        <w:rPr>
          <w:rFonts w:hint="default" w:ascii="Arial" w:hAnsi="Arial" w:eastAsia="宋体" w:cs="Arial"/>
          <w:b/>
          <w:color w:val="auto"/>
          <w:sz w:val="32"/>
          <w:szCs w:val="32"/>
          <w:highlight w:val="none"/>
        </w:rPr>
        <w:t>月</w:t>
      </w:r>
    </w:p>
    <w:p>
      <w:pPr>
        <w:spacing w:line="360" w:lineRule="auto"/>
        <w:rPr>
          <w:rFonts w:hint="default" w:ascii="Arial" w:hAnsi="Arial" w:eastAsia="宋体" w:cs="Arial"/>
          <w:b/>
          <w:color w:val="auto"/>
          <w:sz w:val="24"/>
          <w:highlight w:val="none"/>
        </w:rPr>
      </w:pPr>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2" w:name="_Toc5130"/>
      <w:bookmarkStart w:id="3" w:name="_Toc6931"/>
      <w:r>
        <w:rPr>
          <w:rFonts w:hint="default" w:ascii="Arial" w:hAnsi="Arial" w:eastAsia="宋体" w:cs="Arial"/>
          <w:color w:val="auto"/>
          <w:sz w:val="32"/>
          <w:szCs w:val="32"/>
          <w:highlight w:val="none"/>
        </w:rPr>
        <w:t>目录</w:t>
      </w:r>
      <w:bookmarkEnd w:id="2"/>
      <w:bookmarkEnd w:id="3"/>
    </w:p>
    <w:p>
      <w:pPr>
        <w:pStyle w:val="36"/>
        <w:tabs>
          <w:tab w:val="right" w:leader="dot" w:pos="9354"/>
          <w:tab w:val="clear" w:pos="8398"/>
        </w:tabs>
        <w:ind w:firstLine="31680"/>
        <w:rPr>
          <w:rFonts w:hint="default" w:ascii="Arial" w:hAnsi="Arial" w:eastAsia="宋体" w:cs="Arial"/>
          <w:color w:val="auto"/>
          <w:highlight w:val="none"/>
        </w:rPr>
      </w:pPr>
      <w:r>
        <w:rPr>
          <w:rStyle w:val="61"/>
          <w:rFonts w:hint="default" w:ascii="Arial" w:hAnsi="Arial" w:eastAsia="宋体" w:cs="Arial"/>
          <w:color w:val="auto"/>
          <w:highlight w:val="none"/>
        </w:rPr>
        <w:fldChar w:fldCharType="begin"/>
      </w:r>
      <w:r>
        <w:rPr>
          <w:rStyle w:val="61"/>
          <w:rFonts w:hint="default" w:ascii="Arial" w:hAnsi="Arial" w:eastAsia="宋体" w:cs="Arial"/>
          <w:color w:val="auto"/>
          <w:highlight w:val="none"/>
        </w:rPr>
        <w:instrText xml:space="preserve"> TOC \o "1-1" \h \z \u </w:instrText>
      </w:r>
      <w:r>
        <w:rPr>
          <w:rStyle w:val="61"/>
          <w:rFonts w:hint="default" w:ascii="Arial" w:hAnsi="Arial" w:eastAsia="宋体" w:cs="Arial"/>
          <w:color w:val="auto"/>
          <w:highlight w:val="none"/>
        </w:rPr>
        <w:fldChar w:fldCharType="separate"/>
      </w: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"_Toc7051"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第一章  招标公告</w:t>
      </w:r>
      <w:r>
        <w:rPr>
          <w:rFonts w:hint="default" w:ascii="Arial" w:hAnsi="Arial" w:eastAsia="宋体" w:cs="Arial"/>
          <w:color w:val="auto"/>
          <w:highlight w:val="none"/>
        </w:rPr>
        <w:tab/>
      </w: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_Toc7051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1</w:t>
      </w:r>
      <w:r>
        <w:rPr>
          <w:rFonts w:hint="default" w:ascii="Arial" w:hAnsi="Arial" w:eastAsia="宋体" w:cs="Arial"/>
          <w:color w:val="auto"/>
          <w:highlight w:val="none"/>
        </w:rPr>
        <w:fldChar w:fldCharType="end"/>
      </w:r>
      <w:r>
        <w:rPr>
          <w:rFonts w:hint="default" w:ascii="Arial" w:hAnsi="Arial" w:eastAsia="宋体" w:cs="Arial"/>
          <w:color w:val="auto"/>
          <w:highlight w:val="none"/>
        </w:rPr>
        <w:fldChar w:fldCharType="end"/>
      </w:r>
    </w:p>
    <w:p>
      <w:pPr>
        <w:pStyle w:val="36"/>
        <w:tabs>
          <w:tab w:val="right" w:leader="dot" w:pos="9354"/>
          <w:tab w:val="clear" w:pos="8398"/>
        </w:tabs>
        <w:ind w:firstLine="31680"/>
        <w:rPr>
          <w:rFonts w:hint="default" w:ascii="Arial" w:hAnsi="Arial" w:eastAsia="宋体" w:cs="Arial"/>
          <w:color w:val="auto"/>
          <w:highlight w:val="none"/>
        </w:rPr>
      </w:pP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"_Toc30557"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第二章  项目采购需求</w:t>
      </w:r>
      <w:r>
        <w:rPr>
          <w:rFonts w:hint="default" w:ascii="Arial" w:hAnsi="Arial" w:eastAsia="宋体" w:cs="Arial"/>
          <w:color w:val="auto"/>
          <w:highlight w:val="none"/>
        </w:rPr>
        <w:tab/>
      </w:r>
      <w:bookmarkStart w:id="4" w:name="_Hlt36561127"/>
      <w:bookmarkStart w:id="5" w:name="_Hlt36561128"/>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_Toc30557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4</w:t>
      </w:r>
      <w:r>
        <w:rPr>
          <w:rFonts w:hint="default" w:ascii="Arial" w:hAnsi="Arial" w:eastAsia="宋体" w:cs="Arial"/>
          <w:color w:val="auto"/>
          <w:highlight w:val="none"/>
        </w:rPr>
        <w:fldChar w:fldCharType="end"/>
      </w:r>
      <w:bookmarkEnd w:id="4"/>
      <w:bookmarkEnd w:id="5"/>
      <w:r>
        <w:rPr>
          <w:rFonts w:hint="default" w:ascii="Arial" w:hAnsi="Arial" w:eastAsia="宋体" w:cs="Arial"/>
          <w:color w:val="auto"/>
          <w:highlight w:val="none"/>
        </w:rPr>
        <w:fldChar w:fldCharType="end"/>
      </w:r>
    </w:p>
    <w:p>
      <w:pPr>
        <w:pStyle w:val="36"/>
        <w:tabs>
          <w:tab w:val="right" w:leader="dot" w:pos="9354"/>
          <w:tab w:val="clear" w:pos="8398"/>
        </w:tabs>
        <w:ind w:firstLine="31680"/>
        <w:rPr>
          <w:rFonts w:hint="default" w:ascii="Arial" w:hAnsi="Arial" w:eastAsia="宋体" w:cs="Arial"/>
          <w:color w:val="auto"/>
          <w:highlight w:val="none"/>
        </w:rPr>
      </w:pP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"_Toc28503"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第三章  供应商须知</w:t>
      </w:r>
      <w:r>
        <w:rPr>
          <w:rFonts w:hint="default" w:ascii="Arial" w:hAnsi="Arial" w:eastAsia="宋体" w:cs="Arial"/>
          <w:color w:val="auto"/>
          <w:highlight w:val="none"/>
        </w:rPr>
        <w:tab/>
      </w:r>
      <w:bookmarkStart w:id="6" w:name="_Hlt36561130"/>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_Toc28503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67</w:t>
      </w:r>
      <w:r>
        <w:rPr>
          <w:rFonts w:hint="default" w:ascii="Arial" w:hAnsi="Arial" w:eastAsia="宋体" w:cs="Arial"/>
          <w:color w:val="auto"/>
          <w:highlight w:val="none"/>
        </w:rPr>
        <w:fldChar w:fldCharType="end"/>
      </w:r>
      <w:bookmarkEnd w:id="6"/>
      <w:r>
        <w:rPr>
          <w:rFonts w:hint="default" w:ascii="Arial" w:hAnsi="Arial" w:eastAsia="宋体" w:cs="Arial"/>
          <w:color w:val="auto"/>
          <w:highlight w:val="none"/>
        </w:rPr>
        <w:fldChar w:fldCharType="end"/>
      </w:r>
    </w:p>
    <w:p>
      <w:pPr>
        <w:pStyle w:val="36"/>
        <w:tabs>
          <w:tab w:val="right" w:leader="dot" w:pos="9354"/>
          <w:tab w:val="clear" w:pos="8398"/>
        </w:tabs>
        <w:ind w:firstLine="31680"/>
        <w:rPr>
          <w:rFonts w:hint="default" w:ascii="Arial" w:hAnsi="Arial" w:eastAsia="宋体" w:cs="Arial"/>
          <w:color w:val="auto"/>
          <w:highlight w:val="none"/>
        </w:rPr>
      </w:pP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"_Toc32204"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第四章  评标方法及评标标准</w:t>
      </w:r>
      <w:r>
        <w:rPr>
          <w:rFonts w:hint="default" w:ascii="Arial" w:hAnsi="Arial" w:eastAsia="宋体" w:cs="Arial"/>
          <w:color w:val="auto"/>
          <w:highlight w:val="none"/>
        </w:rPr>
        <w:tab/>
      </w:r>
      <w:bookmarkStart w:id="7" w:name="_Hlt36561136"/>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_Toc32204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71</w:t>
      </w:r>
      <w:r>
        <w:rPr>
          <w:rFonts w:hint="default" w:ascii="Arial" w:hAnsi="Arial" w:eastAsia="宋体" w:cs="Arial"/>
          <w:color w:val="auto"/>
          <w:highlight w:val="none"/>
        </w:rPr>
        <w:fldChar w:fldCharType="end"/>
      </w:r>
      <w:bookmarkEnd w:id="7"/>
      <w:r>
        <w:rPr>
          <w:rFonts w:hint="default" w:ascii="Arial" w:hAnsi="Arial" w:eastAsia="宋体" w:cs="Arial"/>
          <w:color w:val="auto"/>
          <w:highlight w:val="none"/>
        </w:rPr>
        <w:fldChar w:fldCharType="end"/>
      </w:r>
    </w:p>
    <w:p>
      <w:pPr>
        <w:pStyle w:val="36"/>
        <w:tabs>
          <w:tab w:val="right" w:leader="dot" w:pos="9354"/>
          <w:tab w:val="clear" w:pos="8398"/>
        </w:tabs>
        <w:ind w:firstLine="31680"/>
        <w:rPr>
          <w:rFonts w:hint="default" w:ascii="Arial" w:hAnsi="Arial" w:eastAsia="宋体" w:cs="Arial"/>
          <w:color w:val="auto"/>
          <w:highlight w:val="none"/>
        </w:rPr>
      </w:pP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"_Toc25902"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第五章  合同主要条款格式</w:t>
      </w:r>
      <w:r>
        <w:rPr>
          <w:rFonts w:hint="default" w:ascii="Arial" w:hAnsi="Arial" w:eastAsia="宋体" w:cs="Arial"/>
          <w:color w:val="auto"/>
          <w:highlight w:val="none"/>
        </w:rPr>
        <w:tab/>
      </w:r>
      <w:bookmarkStart w:id="8" w:name="_Hlt34060445"/>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_Toc25902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83</w:t>
      </w:r>
      <w:r>
        <w:rPr>
          <w:rFonts w:hint="default" w:ascii="Arial" w:hAnsi="Arial" w:eastAsia="宋体" w:cs="Arial"/>
          <w:color w:val="auto"/>
          <w:highlight w:val="none"/>
        </w:rPr>
        <w:fldChar w:fldCharType="end"/>
      </w:r>
      <w:bookmarkEnd w:id="8"/>
      <w:r>
        <w:rPr>
          <w:rFonts w:hint="default" w:ascii="Arial" w:hAnsi="Arial" w:eastAsia="宋体" w:cs="Arial"/>
          <w:color w:val="auto"/>
          <w:highlight w:val="none"/>
        </w:rPr>
        <w:fldChar w:fldCharType="end"/>
      </w:r>
    </w:p>
    <w:p>
      <w:pPr>
        <w:pStyle w:val="36"/>
        <w:tabs>
          <w:tab w:val="right" w:leader="dot" w:pos="9354"/>
          <w:tab w:val="clear" w:pos="8398"/>
        </w:tabs>
        <w:ind w:firstLine="31680"/>
        <w:rPr>
          <w:rFonts w:hint="default" w:ascii="Arial" w:hAnsi="Arial" w:eastAsia="宋体" w:cs="Arial"/>
          <w:color w:val="auto"/>
          <w:highlight w:val="none"/>
        </w:rPr>
      </w:pP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\l "_Toc21747" </w:instrText>
      </w:r>
      <w:r>
        <w:rPr>
          <w:rFonts w:hint="default" w:ascii="Arial" w:hAnsi="Arial" w:eastAsia="宋体" w:cs="Arial"/>
          <w:color w:val="auto"/>
          <w:highlight w:val="none"/>
        </w:rPr>
        <w:fldChar w:fldCharType="separate"/>
      </w:r>
      <w:r>
        <w:rPr>
          <w:rFonts w:hint="default" w:ascii="Arial" w:hAnsi="Arial" w:eastAsia="宋体" w:cs="Arial"/>
          <w:color w:val="auto"/>
          <w:szCs w:val="32"/>
          <w:highlight w:val="none"/>
        </w:rPr>
        <w:t>第六章  投标文件格式</w:t>
      </w:r>
      <w:bookmarkStart w:id="9" w:name="_Hlt34060451"/>
      <w:r>
        <w:rPr>
          <w:rFonts w:hint="default" w:ascii="Arial" w:hAnsi="Arial" w:eastAsia="宋体" w:cs="Arial"/>
          <w:color w:val="auto"/>
          <w:highlight w:val="none"/>
        </w:rPr>
        <w:tab/>
      </w:r>
      <w:bookmarkEnd w:id="9"/>
      <w:bookmarkStart w:id="10" w:name="_Hlt36561143"/>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PAGEREF _Toc21747 </w:instrText>
      </w:r>
      <w:r>
        <w:rPr>
          <w:rFonts w:hint="default" w:ascii="Arial" w:hAnsi="Arial" w:eastAsia="宋体" w:cs="Arial"/>
          <w:color w:val="auto"/>
          <w:highlight w:val="none"/>
        </w:rPr>
        <w:fldChar w:fldCharType="separate"/>
      </w:r>
      <w:r>
        <w:rPr>
          <w:rFonts w:hint="default" w:ascii="Arial" w:hAnsi="Arial" w:eastAsia="宋体" w:cs="Arial"/>
          <w:color w:val="auto"/>
          <w:highlight w:val="none"/>
        </w:rPr>
        <w:t>90</w:t>
      </w:r>
      <w:r>
        <w:rPr>
          <w:rFonts w:hint="default" w:ascii="Arial" w:hAnsi="Arial" w:eastAsia="宋体" w:cs="Arial"/>
          <w:color w:val="auto"/>
          <w:highlight w:val="none"/>
        </w:rPr>
        <w:fldChar w:fldCharType="end"/>
      </w:r>
      <w:bookmarkEnd w:id="10"/>
      <w:r>
        <w:rPr>
          <w:rFonts w:hint="default" w:ascii="Arial" w:hAnsi="Arial" w:eastAsia="宋体" w:cs="Arial"/>
          <w:color w:val="auto"/>
          <w:highlight w:val="none"/>
        </w:rPr>
        <w:fldChar w:fldCharType="end"/>
      </w:r>
    </w:p>
    <w:p>
      <w:pPr>
        <w:pStyle w:val="36"/>
        <w:ind w:firstLine="31680"/>
        <w:rPr>
          <w:rFonts w:hint="default" w:ascii="Arial" w:hAnsi="Arial" w:eastAsia="宋体" w:cs="Arial"/>
          <w:color w:val="auto"/>
          <w:highlight w:val="none"/>
        </w:rPr>
      </w:pPr>
      <w:r>
        <w:rPr>
          <w:rStyle w:val="61"/>
          <w:rFonts w:hint="default" w:ascii="Arial" w:hAnsi="Arial" w:eastAsia="宋体" w:cs="Arial"/>
          <w:color w:val="auto"/>
          <w:highlight w:val="none"/>
        </w:rPr>
        <w:fldChar w:fldCharType="end"/>
      </w:r>
    </w:p>
    <w:p>
      <w:pPr>
        <w:spacing w:beforeLines="50" w:line="480" w:lineRule="exact"/>
        <w:rPr>
          <w:rFonts w:hint="default" w:ascii="Arial" w:hAnsi="Arial" w:eastAsia="宋体" w:cs="Arial"/>
          <w:color w:val="auto"/>
          <w:sz w:val="28"/>
          <w:szCs w:val="28"/>
          <w:highlight w:val="none"/>
        </w:rPr>
      </w:pPr>
    </w:p>
    <w:p>
      <w:pPr>
        <w:spacing w:beforeLines="50" w:line="480" w:lineRule="exact"/>
        <w:rPr>
          <w:rFonts w:hint="default" w:ascii="Arial" w:hAnsi="Arial" w:eastAsia="宋体" w:cs="Arial"/>
          <w:color w:val="auto"/>
          <w:sz w:val="30"/>
          <w:highlight w:val="none"/>
        </w:rPr>
        <w:sectPr>
          <w:headerReference r:id="rId6" w:type="first"/>
          <w:footerReference r:id="rId7" w:type="first"/>
          <w:pgSz w:w="11906" w:h="16838"/>
          <w:pgMar w:top="1418" w:right="1134" w:bottom="1247" w:left="1418" w:header="851" w:footer="992" w:gutter="0"/>
          <w:pgNumType w:start="0"/>
          <w:cols w:space="720" w:num="1"/>
          <w:titlePg/>
          <w:docGrid w:linePitch="312" w:charSpace="0"/>
        </w:sectPr>
      </w:pPr>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11" w:name="_Toc254970489"/>
      <w:bookmarkStart w:id="12" w:name="_Toc254970630"/>
      <w:r>
        <w:rPr>
          <w:rFonts w:hint="default" w:ascii="Arial" w:hAnsi="Arial" w:eastAsia="宋体" w:cs="Arial"/>
          <w:color w:val="auto"/>
          <w:sz w:val="32"/>
          <w:szCs w:val="32"/>
          <w:highlight w:val="none"/>
        </w:rPr>
        <w:tab/>
      </w:r>
      <w:bookmarkStart w:id="13" w:name="_Toc7051"/>
      <w:r>
        <w:rPr>
          <w:rFonts w:hint="default" w:ascii="Arial" w:hAnsi="Arial" w:eastAsia="宋体" w:cs="Arial"/>
          <w:color w:val="auto"/>
          <w:sz w:val="32"/>
          <w:szCs w:val="32"/>
          <w:highlight w:val="none"/>
        </w:rPr>
        <w:t>第一章  招标公告</w:t>
      </w:r>
      <w:bookmarkEnd w:id="13"/>
    </w:p>
    <w:p>
      <w:pPr>
        <w:spacing w:line="400" w:lineRule="exact"/>
        <w:jc w:val="center"/>
        <w:rPr>
          <w:rFonts w:hint="default" w:ascii="Arial" w:hAnsi="Arial" w:eastAsia="宋体" w:cs="Arial"/>
          <w:color w:val="auto"/>
          <w:kern w:val="0"/>
          <w:sz w:val="24"/>
          <w:highlight w:val="none"/>
          <w:lang w:eastAsia="zh-CN"/>
        </w:rPr>
      </w:pPr>
      <w:r>
        <w:rPr>
          <w:rFonts w:hint="default" w:ascii="Arial" w:hAnsi="Arial" w:eastAsia="宋体" w:cs="Arial"/>
          <w:color w:val="auto"/>
          <w:kern w:val="0"/>
          <w:sz w:val="24"/>
          <w:highlight w:val="none"/>
        </w:rPr>
        <w:t>广西机电设备招标有限公司关于</w:t>
      </w:r>
      <w:r>
        <w:rPr>
          <w:rFonts w:hint="default" w:ascii="Arial" w:hAnsi="Arial" w:eastAsia="宋体" w:cs="Arial"/>
          <w:color w:val="auto"/>
          <w:kern w:val="0"/>
          <w:sz w:val="24"/>
          <w:highlight w:val="none"/>
          <w:lang w:eastAsia="zh-CN"/>
        </w:rPr>
        <w:t>安防专用设备采购（一期）</w:t>
      </w:r>
    </w:p>
    <w:p>
      <w:pPr>
        <w:spacing w:line="400" w:lineRule="exact"/>
        <w:jc w:val="center"/>
        <w:rPr>
          <w:rFonts w:hint="default" w:ascii="Arial" w:hAnsi="Arial" w:eastAsia="宋体" w:cs="Arial"/>
          <w:color w:val="auto"/>
          <w:kern w:val="0"/>
          <w:szCs w:val="21"/>
          <w:highlight w:val="none"/>
        </w:rPr>
      </w:pPr>
      <w:r>
        <w:rPr>
          <w:rFonts w:hint="default" w:ascii="Arial" w:hAnsi="Arial" w:eastAsia="宋体" w:cs="Arial"/>
          <w:color w:val="auto"/>
          <w:sz w:val="24"/>
          <w:highlight w:val="none"/>
        </w:rPr>
        <w:t>(</w:t>
      </w:r>
      <w:r>
        <w:rPr>
          <w:rFonts w:hint="eastAsia" w:ascii="Arial" w:hAnsi="Arial" w:cs="Arial"/>
          <w:color w:val="auto"/>
          <w:sz w:val="24"/>
          <w:highlight w:val="none"/>
          <w:lang w:eastAsia="zh-CN"/>
        </w:rPr>
        <w:t>GXZC2022-G3-001657-JDZB</w:t>
      </w:r>
      <w:r>
        <w:rPr>
          <w:rFonts w:hint="default" w:ascii="Arial" w:hAnsi="Arial" w:eastAsia="宋体" w:cs="Arial"/>
          <w:color w:val="auto"/>
          <w:sz w:val="24"/>
          <w:highlight w:val="none"/>
        </w:rPr>
        <w:t>)</w:t>
      </w:r>
      <w:r>
        <w:rPr>
          <w:rFonts w:hint="default" w:ascii="Arial" w:hAnsi="Arial" w:eastAsia="宋体" w:cs="Arial"/>
          <w:color w:val="auto"/>
          <w:kern w:val="0"/>
          <w:sz w:val="24"/>
          <w:highlight w:val="none"/>
        </w:rPr>
        <w:t>公开招标公告</w:t>
      </w:r>
    </w:p>
    <w:tbl>
      <w:tblPr>
        <w:tblStyle w:val="53"/>
        <w:tblpPr w:leftFromText="180" w:rightFromText="180" w:vertAnchor="text" w:horzAnchor="margin" w:tblpXSpec="center" w:tblpY="138"/>
        <w:tblW w:w="83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trPr>
        <w:tc>
          <w:tcPr>
            <w:tcW w:w="8335" w:type="dxa"/>
          </w:tcPr>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项目概况</w:t>
            </w:r>
          </w:p>
          <w:p>
            <w:pPr>
              <w:spacing w:line="312" w:lineRule="auto"/>
              <w:ind w:firstLine="420" w:firstLineChars="200"/>
              <w:jc w:val="left"/>
              <w:rPr>
                <w:rFonts w:hint="default" w:ascii="Arial" w:hAnsi="Arial" w:eastAsia="宋体" w:cs="Arial"/>
                <w:b/>
                <w:bCs/>
                <w:color w:val="auto"/>
                <w:kern w:val="0"/>
                <w:sz w:val="22"/>
                <w:szCs w:val="22"/>
                <w:highlight w:val="none"/>
              </w:rPr>
            </w:pPr>
            <w:r>
              <w:rPr>
                <w:rFonts w:hint="default" w:ascii="Arial" w:hAnsi="Arial" w:eastAsia="宋体" w:cs="Arial"/>
                <w:color w:val="auto"/>
                <w:szCs w:val="21"/>
                <w:highlight w:val="none"/>
                <w:lang w:eastAsia="zh-CN"/>
              </w:rPr>
              <w:t>安防专用设备采购（一期）</w:t>
            </w:r>
            <w:r>
              <w:rPr>
                <w:rFonts w:hint="default" w:ascii="Arial" w:hAnsi="Arial" w:eastAsia="宋体" w:cs="Arial"/>
                <w:color w:val="auto"/>
                <w:szCs w:val="21"/>
                <w:highlight w:val="none"/>
              </w:rPr>
              <w:t>招标项目的潜在供应商应在桂林市公共资源交易中心网（www.glggzy.org.cn）、广西壮族自治区政府采购网（zfcg.gxzf.gov.cn/）获取招标文件，并于202</w:t>
            </w:r>
            <w:r>
              <w:rPr>
                <w:rFonts w:hint="default" w:ascii="Arial" w:hAnsi="Arial" w:eastAsia="宋体" w:cs="Arial"/>
                <w:color w:val="auto"/>
                <w:szCs w:val="21"/>
                <w:highlight w:val="none"/>
                <w:lang w:val="en-US" w:eastAsia="zh-CN"/>
              </w:rPr>
              <w:t>2</w:t>
            </w:r>
            <w:r>
              <w:rPr>
                <w:rFonts w:hint="default" w:ascii="Arial" w:hAnsi="Arial" w:eastAsia="宋体" w:cs="Arial"/>
                <w:color w:val="auto"/>
                <w:szCs w:val="21"/>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rPr>
              <w:t>日9点30分（北京时间）前递交投标文件。</w:t>
            </w:r>
          </w:p>
        </w:tc>
      </w:tr>
    </w:tbl>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一、项目基本情况</w:t>
      </w:r>
    </w:p>
    <w:p>
      <w:pPr>
        <w:spacing w:line="312" w:lineRule="auto"/>
        <w:ind w:firstLine="420" w:firstLineChars="200"/>
        <w:jc w:val="left"/>
        <w:rPr>
          <w:rFonts w:hint="default" w:ascii="Arial" w:hAnsi="Arial" w:eastAsia="宋体" w:cs="Arial"/>
          <w:color w:val="auto"/>
          <w:kern w:val="0"/>
          <w:szCs w:val="21"/>
          <w:highlight w:val="none"/>
          <w:lang w:eastAsia="zh-CN"/>
        </w:rPr>
      </w:pPr>
      <w:r>
        <w:rPr>
          <w:rFonts w:hint="default" w:ascii="Arial" w:hAnsi="Arial" w:eastAsia="宋体" w:cs="Arial"/>
          <w:color w:val="auto"/>
          <w:kern w:val="0"/>
          <w:szCs w:val="21"/>
          <w:highlight w:val="none"/>
        </w:rPr>
        <w:t>项目编号：</w:t>
      </w:r>
      <w:r>
        <w:rPr>
          <w:rFonts w:hint="eastAsia" w:ascii="Arial" w:hAnsi="Arial" w:cs="Arial"/>
          <w:color w:val="auto"/>
          <w:szCs w:val="21"/>
          <w:highlight w:val="none"/>
          <w:lang w:eastAsia="zh-CN"/>
        </w:rPr>
        <w:t>GXZC2022-G3-001657-JDZB</w:t>
      </w:r>
    </w:p>
    <w:p>
      <w:pPr>
        <w:spacing w:line="312" w:lineRule="auto"/>
        <w:ind w:firstLine="420" w:firstLineChars="200"/>
        <w:jc w:val="left"/>
        <w:rPr>
          <w:rFonts w:hint="default" w:ascii="Arial" w:hAnsi="Arial" w:eastAsia="宋体" w:cs="Arial"/>
          <w:color w:val="auto"/>
          <w:kern w:val="0"/>
          <w:szCs w:val="21"/>
          <w:highlight w:val="none"/>
          <w:lang w:eastAsia="zh-CN"/>
        </w:rPr>
      </w:pPr>
      <w:r>
        <w:rPr>
          <w:rFonts w:hint="default" w:ascii="Arial" w:hAnsi="Arial" w:eastAsia="宋体" w:cs="Arial"/>
          <w:color w:val="auto"/>
          <w:kern w:val="0"/>
          <w:szCs w:val="21"/>
          <w:highlight w:val="none"/>
        </w:rPr>
        <w:t>项目名称：</w:t>
      </w:r>
      <w:r>
        <w:rPr>
          <w:rFonts w:hint="default" w:ascii="Arial" w:hAnsi="Arial" w:eastAsia="宋体" w:cs="Arial"/>
          <w:color w:val="auto"/>
          <w:kern w:val="0"/>
          <w:szCs w:val="21"/>
          <w:highlight w:val="none"/>
          <w:lang w:eastAsia="zh-CN"/>
        </w:rPr>
        <w:t>安防专用设备采购（一期）</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预算总金额（元）：</w:t>
      </w:r>
      <w:r>
        <w:rPr>
          <w:rFonts w:hint="eastAsia" w:ascii="Arial" w:hAnsi="Arial" w:cs="Arial"/>
          <w:color w:val="auto"/>
          <w:kern w:val="0"/>
          <w:szCs w:val="21"/>
          <w:highlight w:val="none"/>
          <w:lang w:eastAsia="zh-CN"/>
        </w:rPr>
        <w:t>11285890.8</w:t>
      </w:r>
    </w:p>
    <w:p>
      <w:pPr>
        <w:tabs>
          <w:tab w:val="left" w:pos="3150"/>
        </w:tabs>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采购需求：</w:t>
      </w:r>
    </w:p>
    <w:p>
      <w:pPr>
        <w:tabs>
          <w:tab w:val="left" w:pos="3150"/>
        </w:tabs>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标项名称：安防专用设备采购（一期）</w:t>
      </w:r>
    </w:p>
    <w:p>
      <w:pPr>
        <w:tabs>
          <w:tab w:val="left" w:pos="3150"/>
        </w:tabs>
        <w:spacing w:line="312" w:lineRule="auto"/>
        <w:ind w:firstLine="420" w:firstLineChars="200"/>
        <w:jc w:val="left"/>
        <w:rPr>
          <w:rFonts w:hint="default" w:ascii="Arial" w:hAnsi="Arial" w:eastAsia="宋体" w:cs="Arial"/>
          <w:color w:val="auto"/>
          <w:kern w:val="0"/>
          <w:szCs w:val="21"/>
          <w:highlight w:val="none"/>
          <w:lang w:val="en-US" w:eastAsia="zh-CN"/>
        </w:rPr>
      </w:pPr>
      <w:r>
        <w:rPr>
          <w:rFonts w:hint="default" w:ascii="Arial" w:hAnsi="Arial" w:eastAsia="宋体" w:cs="Arial"/>
          <w:color w:val="auto"/>
          <w:kern w:val="0"/>
          <w:szCs w:val="21"/>
          <w:highlight w:val="none"/>
        </w:rPr>
        <w:t>数量</w:t>
      </w:r>
      <w:r>
        <w:rPr>
          <w:rFonts w:hint="eastAsia" w:ascii="Arial" w:hAnsi="Arial" w:cs="Arial"/>
          <w:color w:val="auto"/>
          <w:kern w:val="0"/>
          <w:szCs w:val="21"/>
          <w:highlight w:val="none"/>
          <w:lang w:eastAsia="zh-CN"/>
        </w:rPr>
        <w:t>：</w:t>
      </w:r>
      <w:r>
        <w:rPr>
          <w:rFonts w:hint="eastAsia" w:ascii="Arial" w:hAnsi="Arial" w:cs="Arial"/>
          <w:color w:val="auto"/>
          <w:kern w:val="0"/>
          <w:szCs w:val="21"/>
          <w:highlight w:val="none"/>
          <w:lang w:val="en-US" w:eastAsia="zh-CN"/>
        </w:rPr>
        <w:t>1</w:t>
      </w:r>
    </w:p>
    <w:p>
      <w:pPr>
        <w:tabs>
          <w:tab w:val="left" w:pos="3150"/>
        </w:tabs>
        <w:spacing w:line="312" w:lineRule="auto"/>
        <w:ind w:firstLine="420" w:firstLineChars="200"/>
        <w:jc w:val="left"/>
        <w:rPr>
          <w:rFonts w:hint="default" w:ascii="Arial" w:hAnsi="Arial" w:eastAsia="宋体" w:cs="Arial"/>
          <w:color w:val="auto"/>
          <w:kern w:val="0"/>
          <w:szCs w:val="21"/>
          <w:highlight w:val="none"/>
          <w:lang w:eastAsia="zh-CN"/>
        </w:rPr>
      </w:pPr>
      <w:r>
        <w:rPr>
          <w:rFonts w:hint="default" w:ascii="Arial" w:hAnsi="Arial" w:eastAsia="宋体" w:cs="Arial"/>
          <w:color w:val="auto"/>
          <w:kern w:val="0"/>
          <w:szCs w:val="21"/>
          <w:highlight w:val="none"/>
        </w:rPr>
        <w:t>预算金额（元）：</w:t>
      </w:r>
      <w:r>
        <w:rPr>
          <w:rFonts w:hint="eastAsia" w:ascii="Arial" w:hAnsi="Arial" w:cs="Arial"/>
          <w:color w:val="auto"/>
          <w:kern w:val="0"/>
          <w:szCs w:val="21"/>
          <w:highlight w:val="none"/>
          <w:lang w:eastAsia="zh-CN"/>
        </w:rPr>
        <w:t>11285890.8</w:t>
      </w:r>
    </w:p>
    <w:p>
      <w:pPr>
        <w:tabs>
          <w:tab w:val="left" w:pos="3150"/>
        </w:tabs>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简要规格描述或项目基本概况介绍、用途：安防专用设备</w:t>
      </w:r>
      <w:r>
        <w:rPr>
          <w:rFonts w:hint="default" w:ascii="Arial" w:hAnsi="Arial" w:eastAsia="宋体" w:cs="Arial"/>
          <w:color w:val="auto"/>
          <w:kern w:val="0"/>
          <w:szCs w:val="21"/>
          <w:highlight w:val="none"/>
          <w:lang w:val="en-US" w:eastAsia="zh-CN"/>
        </w:rPr>
        <w:t>1批</w:t>
      </w:r>
      <w:r>
        <w:rPr>
          <w:rFonts w:hint="default" w:ascii="Arial" w:hAnsi="Arial" w:eastAsia="宋体" w:cs="Arial"/>
          <w:color w:val="auto"/>
          <w:kern w:val="0"/>
          <w:szCs w:val="21"/>
          <w:highlight w:val="none"/>
        </w:rPr>
        <w:t>，</w:t>
      </w:r>
      <w:r>
        <w:rPr>
          <w:rFonts w:hint="default" w:ascii="Arial" w:hAnsi="Arial" w:eastAsia="宋体" w:cs="Arial"/>
          <w:color w:val="auto"/>
          <w:kern w:val="0"/>
          <w:szCs w:val="21"/>
          <w:highlight w:val="none"/>
          <w:lang w:val="en-US" w:eastAsia="zh-CN"/>
        </w:rPr>
        <w:t>包含</w:t>
      </w:r>
      <w:r>
        <w:rPr>
          <w:rFonts w:hint="default" w:ascii="Arial" w:hAnsi="Arial" w:eastAsia="宋体" w:cs="Arial"/>
          <w:color w:val="auto"/>
          <w:kern w:val="0"/>
          <w:sz w:val="21"/>
          <w:szCs w:val="21"/>
          <w:highlight w:val="none"/>
          <w:lang w:bidi="ar"/>
        </w:rPr>
        <w:t>智能全彩半球</w:t>
      </w:r>
      <w:r>
        <w:rPr>
          <w:rFonts w:hint="default" w:ascii="Arial" w:hAnsi="Arial" w:eastAsia="宋体" w:cs="Arial"/>
          <w:color w:val="auto"/>
          <w:kern w:val="0"/>
          <w:sz w:val="21"/>
          <w:szCs w:val="21"/>
          <w:highlight w:val="none"/>
          <w:lang w:val="en-US" w:eastAsia="zh-CN" w:bidi="ar"/>
        </w:rPr>
        <w:t>125台、</w:t>
      </w:r>
      <w:r>
        <w:rPr>
          <w:rFonts w:hint="default" w:ascii="Arial" w:hAnsi="Arial" w:eastAsia="宋体" w:cs="Arial"/>
          <w:color w:val="auto"/>
          <w:kern w:val="0"/>
          <w:sz w:val="21"/>
          <w:szCs w:val="21"/>
          <w:highlight w:val="none"/>
          <w:lang w:bidi="ar"/>
        </w:rPr>
        <w:t>智能广角宿舍半球</w:t>
      </w:r>
      <w:r>
        <w:rPr>
          <w:rFonts w:hint="default" w:ascii="Arial" w:hAnsi="Arial" w:eastAsia="宋体" w:cs="Arial"/>
          <w:color w:val="auto"/>
          <w:kern w:val="0"/>
          <w:sz w:val="21"/>
          <w:szCs w:val="21"/>
          <w:highlight w:val="none"/>
          <w:lang w:val="en-US" w:eastAsia="zh-CN" w:bidi="ar"/>
        </w:rPr>
        <w:t>749台、</w:t>
      </w:r>
      <w:r>
        <w:rPr>
          <w:rFonts w:hint="default" w:ascii="Arial" w:hAnsi="Arial" w:eastAsia="宋体" w:cs="Arial"/>
          <w:color w:val="auto"/>
          <w:kern w:val="0"/>
          <w:sz w:val="21"/>
          <w:szCs w:val="21"/>
          <w:highlight w:val="none"/>
          <w:lang w:bidi="ar"/>
        </w:rPr>
        <w:t>智能全彩筒机</w:t>
      </w:r>
      <w:r>
        <w:rPr>
          <w:rFonts w:hint="default" w:ascii="Arial" w:hAnsi="Arial" w:eastAsia="宋体" w:cs="Arial"/>
          <w:color w:val="auto"/>
          <w:kern w:val="0"/>
          <w:sz w:val="21"/>
          <w:szCs w:val="21"/>
          <w:highlight w:val="none"/>
          <w:lang w:val="en-US" w:eastAsia="zh-CN" w:bidi="ar"/>
        </w:rPr>
        <w:t>113台、</w:t>
      </w:r>
      <w:r>
        <w:rPr>
          <w:rFonts w:hint="default" w:ascii="Arial" w:hAnsi="Arial" w:eastAsia="宋体" w:cs="Arial"/>
          <w:color w:val="auto"/>
          <w:kern w:val="0"/>
          <w:sz w:val="21"/>
          <w:szCs w:val="21"/>
          <w:highlight w:val="none"/>
          <w:lang w:bidi="ar"/>
        </w:rPr>
        <w:t>热成像筒形摄像机</w:t>
      </w:r>
      <w:r>
        <w:rPr>
          <w:rFonts w:hint="default" w:ascii="Arial" w:hAnsi="Arial" w:eastAsia="宋体" w:cs="Arial"/>
          <w:color w:val="auto"/>
          <w:kern w:val="0"/>
          <w:sz w:val="21"/>
          <w:szCs w:val="21"/>
          <w:highlight w:val="none"/>
          <w:lang w:val="en-US" w:eastAsia="zh-CN" w:bidi="ar"/>
        </w:rPr>
        <w:t>16台、</w:t>
      </w:r>
      <w:r>
        <w:rPr>
          <w:rFonts w:hint="default" w:ascii="Arial" w:hAnsi="Arial" w:eastAsia="宋体" w:cs="Arial"/>
          <w:color w:val="auto"/>
          <w:kern w:val="0"/>
          <w:sz w:val="21"/>
          <w:szCs w:val="21"/>
          <w:highlight w:val="none"/>
          <w:lang w:bidi="ar"/>
        </w:rPr>
        <w:t>全彩枪球一体机</w:t>
      </w:r>
      <w:r>
        <w:rPr>
          <w:rFonts w:hint="default" w:ascii="Arial" w:hAnsi="Arial" w:eastAsia="宋体" w:cs="Arial"/>
          <w:color w:val="auto"/>
          <w:kern w:val="0"/>
          <w:sz w:val="21"/>
          <w:szCs w:val="21"/>
          <w:highlight w:val="none"/>
          <w:lang w:val="en-US" w:eastAsia="zh-CN" w:bidi="ar"/>
        </w:rPr>
        <w:t>16台等，</w:t>
      </w:r>
      <w:r>
        <w:rPr>
          <w:rFonts w:hint="default" w:ascii="Arial" w:hAnsi="Arial" w:eastAsia="宋体" w:cs="Arial"/>
          <w:color w:val="auto"/>
          <w:kern w:val="0"/>
          <w:szCs w:val="21"/>
          <w:highlight w:val="none"/>
        </w:rPr>
        <w:t>如需进一步了解详细内容，详见招标文件。</w:t>
      </w:r>
    </w:p>
    <w:p>
      <w:pPr>
        <w:tabs>
          <w:tab w:val="left" w:pos="3150"/>
        </w:tabs>
        <w:spacing w:line="312" w:lineRule="auto"/>
        <w:ind w:firstLine="420" w:firstLineChars="200"/>
        <w:jc w:val="left"/>
        <w:rPr>
          <w:rFonts w:hint="default" w:ascii="Arial" w:hAnsi="Arial" w:eastAsia="宋体" w:cs="Arial"/>
          <w:color w:val="auto"/>
          <w:kern w:val="0"/>
          <w:szCs w:val="21"/>
          <w:highlight w:val="none"/>
          <w:lang w:eastAsia="zh-CN"/>
        </w:rPr>
      </w:pPr>
      <w:r>
        <w:rPr>
          <w:rFonts w:hint="default" w:ascii="Arial" w:hAnsi="Arial" w:eastAsia="宋体" w:cs="Arial"/>
          <w:color w:val="auto"/>
          <w:kern w:val="0"/>
          <w:szCs w:val="21"/>
          <w:highlight w:val="none"/>
        </w:rPr>
        <w:t>最高限价（如有）：</w:t>
      </w:r>
      <w:r>
        <w:rPr>
          <w:rFonts w:hint="eastAsia" w:ascii="Arial" w:hAnsi="Arial" w:cs="Arial"/>
          <w:color w:val="auto"/>
          <w:kern w:val="0"/>
          <w:szCs w:val="21"/>
          <w:highlight w:val="none"/>
          <w:lang w:eastAsia="zh-CN"/>
        </w:rPr>
        <w:t>11285890.8</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合同履行期限：自签订合同之日起60个</w:t>
      </w:r>
      <w:r>
        <w:rPr>
          <w:rFonts w:hint="eastAsia" w:ascii="Arial" w:hAnsi="Arial" w:cs="Arial"/>
          <w:color w:val="auto"/>
          <w:kern w:val="0"/>
          <w:szCs w:val="21"/>
          <w:highlight w:val="none"/>
          <w:lang w:val="en-US" w:eastAsia="zh-CN"/>
        </w:rPr>
        <w:t>日历日</w:t>
      </w:r>
      <w:r>
        <w:rPr>
          <w:rFonts w:hint="default" w:ascii="Arial" w:hAnsi="Arial" w:eastAsia="宋体" w:cs="Arial"/>
          <w:color w:val="auto"/>
          <w:kern w:val="0"/>
          <w:szCs w:val="21"/>
          <w:highlight w:val="none"/>
        </w:rPr>
        <w:t>内供货和安装调试完毕并交付验收和使用</w:t>
      </w:r>
      <w:r>
        <w:rPr>
          <w:rFonts w:hint="default" w:ascii="Arial" w:hAnsi="Arial" w:eastAsia="宋体" w:cs="Arial"/>
          <w:color w:val="auto"/>
          <w:szCs w:val="21"/>
          <w:highlight w:val="none"/>
        </w:rPr>
        <w:t>。</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本标项（否）接受联合体投标</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备注：</w:t>
      </w:r>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二、申请人的资格要求</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kern w:val="0"/>
          <w:szCs w:val="21"/>
          <w:highlight w:val="none"/>
        </w:rPr>
        <w:t>1、满足《中华人民共和国政府采购法》第二十二条规定；</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szCs w:val="21"/>
          <w:highlight w:val="none"/>
        </w:rPr>
        <w:t>2、落实政府采购政策需满足的资格要求：无</w:t>
      </w:r>
      <w:r>
        <w:rPr>
          <w:rFonts w:hint="default" w:ascii="Arial" w:hAnsi="Arial" w:eastAsia="宋体" w:cs="Arial"/>
          <w:color w:val="auto"/>
          <w:kern w:val="0"/>
          <w:szCs w:val="21"/>
          <w:highlight w:val="none"/>
        </w:rPr>
        <w:t>。</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3、特定资格条件：1.满足《中华人民共和国政府采购法》第二十二条规定；未被列入失信被执行人、重大税收违法案件当事人名单、政府采购严重违法失信行为记录名单。2.落实政府采购政策需满足的资格要求：本项目非专门面向中小企业采购。3.本项目的特定资格要求：（1）资格要求：无。（2）业绩要求：无。 （3）其他要求：无。4．单位负责人为同一人或者存在直接控股、管理关系的不同供应商，不得参加本项目同一合同项下的政府采购活动。为本项目提供整体设计、规范编制或者项目管理、监理、检测等服务的供应商，不得再参加本项目的采购活动。5．因违法经营受到刑事处罚或者责令停产停业、吊销许可证或者执照、较大数额罚款等行政处罚，或者存在财政部门认定的其他重大违法记录，以及在财政部门禁止参加政府采购活动期限以内的供应商不得参加本项目的投标。6．按照招标公告的规定获得招标文件。</w:t>
      </w:r>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三、获取招标文件</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时间：</w:t>
      </w:r>
      <w:r>
        <w:rPr>
          <w:rFonts w:hint="default" w:ascii="Arial" w:hAnsi="Arial" w:eastAsia="宋体" w:cs="Arial"/>
          <w:color w:val="auto"/>
          <w:szCs w:val="21"/>
          <w:highlight w:val="none"/>
          <w:lang w:eastAsia="zh-CN"/>
        </w:rPr>
        <w:t>2022年</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rPr>
        <w:t>月</w:t>
      </w:r>
      <w:r>
        <w:rPr>
          <w:rFonts w:hint="eastAsia" w:ascii="Arial" w:hAnsi="Arial" w:cs="Arial"/>
          <w:color w:val="auto"/>
          <w:szCs w:val="21"/>
          <w:highlight w:val="none"/>
          <w:lang w:val="en-US" w:eastAsia="zh-CN"/>
        </w:rPr>
        <w:t>15</w:t>
      </w:r>
      <w:r>
        <w:rPr>
          <w:rFonts w:hint="default" w:ascii="Arial" w:hAnsi="Arial" w:eastAsia="宋体" w:cs="Arial"/>
          <w:color w:val="auto"/>
          <w:szCs w:val="21"/>
          <w:highlight w:val="none"/>
        </w:rPr>
        <w:t>日至202</w:t>
      </w:r>
      <w:r>
        <w:rPr>
          <w:rFonts w:hint="default" w:ascii="Arial" w:hAnsi="Arial" w:eastAsia="宋体" w:cs="Arial"/>
          <w:color w:val="auto"/>
          <w:szCs w:val="21"/>
          <w:highlight w:val="none"/>
          <w:lang w:val="en-US" w:eastAsia="zh-CN"/>
        </w:rPr>
        <w:t>2</w:t>
      </w:r>
      <w:r>
        <w:rPr>
          <w:rFonts w:hint="default" w:ascii="Arial" w:hAnsi="Arial" w:eastAsia="宋体" w:cs="Arial"/>
          <w:color w:val="auto"/>
          <w:szCs w:val="21"/>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lang w:val="en-US" w:eastAsia="zh-CN"/>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lang w:val="en-US" w:eastAsia="zh-CN"/>
        </w:rPr>
        <w:t>日</w:t>
      </w:r>
      <w:r>
        <w:rPr>
          <w:rFonts w:hint="default" w:ascii="Arial" w:hAnsi="Arial" w:eastAsia="宋体" w:cs="Arial"/>
          <w:color w:val="auto"/>
          <w:szCs w:val="21"/>
          <w:highlight w:val="none"/>
        </w:rPr>
        <w:t xml:space="preserve"> ，每天上午00:00至12:00，下午12:00至23:59（北京时间，法定节假日除外）</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地点（网址）：桂林市公共资源交易中心网（www.glggzy.org.cn）、广西壮族自治区政府采购网（zfcg.gxzf.gov.cn/）。 </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方式：登陆桂林市公共资源交易中心网（www.glggzy.org.cn）、广西壮族自治区政府采购网（zfcg.gxzf.gov.cn/），从网上免费下载招标文件电子版；供应商登陆“政采云”平台，应进行“申请获取采购文件”操作，否则，有可能导致无法在线编制投标文件并参与投标，其不利后果由供应商自行承担。</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售价（元）：0 </w:t>
      </w:r>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四、提交投标文件截止时间、开标时间和地点</w:t>
      </w:r>
    </w:p>
    <w:p>
      <w:pPr>
        <w:spacing w:line="312" w:lineRule="auto"/>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提交投标文件截止时间：202</w:t>
      </w:r>
      <w:r>
        <w:rPr>
          <w:rFonts w:hint="default" w:ascii="Arial" w:hAnsi="Arial" w:eastAsia="宋体" w:cs="Arial"/>
          <w:color w:val="auto"/>
          <w:highlight w:val="none"/>
          <w:lang w:val="en-US" w:eastAsia="zh-CN"/>
        </w:rPr>
        <w:t>2</w:t>
      </w:r>
      <w:r>
        <w:rPr>
          <w:rFonts w:hint="default" w:ascii="Arial" w:hAnsi="Arial" w:eastAsia="宋体" w:cs="Arial"/>
          <w:color w:val="auto"/>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lang w:val="en-US" w:eastAsia="zh-CN"/>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lang w:val="en-US" w:eastAsia="zh-CN"/>
        </w:rPr>
        <w:t>日</w:t>
      </w:r>
      <w:r>
        <w:rPr>
          <w:rFonts w:hint="default" w:ascii="Arial" w:hAnsi="Arial" w:eastAsia="宋体" w:cs="Arial"/>
          <w:color w:val="auto"/>
          <w:highlight w:val="none"/>
        </w:rPr>
        <w:t xml:space="preserve"> 09:30（北京时间）</w:t>
      </w:r>
    </w:p>
    <w:p>
      <w:pPr>
        <w:spacing w:line="312" w:lineRule="auto"/>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地点（网址）：通过政采云平台实行在线投标。</w:t>
      </w:r>
    </w:p>
    <w:p>
      <w:pPr>
        <w:spacing w:line="312" w:lineRule="auto"/>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开标时间：202</w:t>
      </w:r>
      <w:r>
        <w:rPr>
          <w:rFonts w:hint="default" w:ascii="Arial" w:hAnsi="Arial" w:eastAsia="宋体" w:cs="Arial"/>
          <w:color w:val="auto"/>
          <w:highlight w:val="none"/>
          <w:lang w:val="en-US" w:eastAsia="zh-CN"/>
        </w:rPr>
        <w:t>2</w:t>
      </w:r>
      <w:r>
        <w:rPr>
          <w:rFonts w:hint="default" w:ascii="Arial" w:hAnsi="Arial" w:eastAsia="宋体" w:cs="Arial"/>
          <w:color w:val="auto"/>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lang w:val="en-US" w:eastAsia="zh-CN"/>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lang w:val="en-US" w:eastAsia="zh-CN"/>
        </w:rPr>
        <w:t>日</w:t>
      </w:r>
      <w:r>
        <w:rPr>
          <w:rFonts w:hint="default" w:ascii="Arial" w:hAnsi="Arial" w:eastAsia="宋体" w:cs="Arial"/>
          <w:color w:val="auto"/>
          <w:highlight w:val="none"/>
        </w:rPr>
        <w:t xml:space="preserve"> 09:30 </w:t>
      </w:r>
    </w:p>
    <w:p>
      <w:pPr>
        <w:spacing w:line="312" w:lineRule="auto"/>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开标地点：通过政采云平台实行在线解密开启。</w:t>
      </w:r>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五、公告期限</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自本公告发布之日起5个工作日。</w:t>
      </w:r>
      <w:bookmarkStart w:id="77" w:name="_GoBack"/>
      <w:bookmarkEnd w:id="77"/>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六、其他补充事宜</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1.公告发布媒体：广西壮族自治区政府采购网、中国政府采购网、桂林市公共资源交易中心网 </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2. 需落实的政府采购政策：本项目适用政府采购促进中小企业、监狱企业发展、促进残疾人就业、信息安全产品等有关政策，具体详见招标文件。</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3.为配合采购人进行政府采购项目执行和备案，未在政采云注册的供应商可在获取招标文件后登录政采云进行注册成为正式供应商，如在操作过程中遇到问题或者需要技术支持，请致电政采云客服热线：400-881-7190。</w:t>
      </w:r>
    </w:p>
    <w:p>
      <w:pPr>
        <w:spacing w:line="312" w:lineRule="auto"/>
        <w:ind w:firstLine="420" w:firstLineChars="2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4.投标文件解密时间：截标时间后30分钟内（202</w:t>
      </w:r>
      <w:r>
        <w:rPr>
          <w:rFonts w:hint="default" w:ascii="Arial" w:hAnsi="Arial" w:eastAsia="宋体" w:cs="Arial"/>
          <w:color w:val="auto"/>
          <w:szCs w:val="21"/>
          <w:highlight w:val="none"/>
          <w:lang w:val="en-US" w:eastAsia="zh-CN"/>
        </w:rPr>
        <w:t>2</w:t>
      </w:r>
      <w:r>
        <w:rPr>
          <w:rFonts w:hint="default" w:ascii="Arial" w:hAnsi="Arial" w:eastAsia="宋体" w:cs="Arial"/>
          <w:color w:val="auto"/>
          <w:szCs w:val="21"/>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lang w:val="en-US" w:eastAsia="zh-CN"/>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lang w:val="en-US" w:eastAsia="zh-CN"/>
        </w:rPr>
        <w:t>日</w:t>
      </w:r>
      <w:r>
        <w:rPr>
          <w:rFonts w:hint="default" w:ascii="Arial" w:hAnsi="Arial" w:eastAsia="宋体" w:cs="Arial"/>
          <w:color w:val="auto"/>
          <w:szCs w:val="21"/>
          <w:highlight w:val="none"/>
        </w:rPr>
        <w:t>上午9时30分至10时00分）供应商可以登录政采云平台，用“项目采购-开标评标”功能进行解密投标文件。若供应商在规定时间内无法解密或解密失败，可以以电子备份投标文件作为依据【在接到无法解密或解密失败的通知后，供应商可根据自身实际情况按通知时要求的时间到桂林市公共资源交易中心</w:t>
      </w:r>
      <w:r>
        <w:rPr>
          <w:rFonts w:hint="eastAsia" w:ascii="Arial" w:hAnsi="Arial" w:cs="Arial"/>
          <w:color w:val="auto"/>
          <w:szCs w:val="21"/>
          <w:highlight w:val="none"/>
          <w:lang w:val="en-US" w:eastAsia="zh-CN"/>
        </w:rPr>
        <w:t>3</w:t>
      </w:r>
      <w:r>
        <w:rPr>
          <w:rFonts w:hint="default" w:ascii="Arial" w:hAnsi="Arial" w:eastAsia="宋体" w:cs="Arial"/>
          <w:color w:val="auto"/>
          <w:szCs w:val="21"/>
          <w:highlight w:val="none"/>
        </w:rPr>
        <w:t>号开标室现场提交或以电子邮件的形式（以通知时所告知的电子邮箱地址为准）提交电子备份投标文件】，若供应商在规定时间内无法解密或解密失败且未提供电子备份投标文件的（包含提供的电子备份文件无效或无法解密的情况），视为投标无效。</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5.在线投标（电子投标）说明</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5.1.本项目通过政采云平台实行在线投标响应（电子投标），供应商需要先安装“政采云电子交易客户端”，并按照本招标文件和政采云平台的要求，通过“政采云电子交易客户端”编制并加密投标文件。供应商未按规定编制并加密的投标文件，政采云平台将予以拒收。</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政采云电子交易客户端”请自行前往广西壮族自治区政府采购网下载并安装（http://zfcg.gxzf.gov.cn/OfficeService/DownloadArea/2455918.html?utm=sites_group_front.b8b6c91.0.0.c51f9820a48111eabb9bcbdf01af125e）；电子投标具体操作流程参考《政府采购项目电子交易管理操作指南-供应商》；在使用政采云投标客户端时，建议使用WIN7及以上操作系统,通过政采云平台参与在线投标时如遇平台技术问题详询400-881-7190。</w:t>
      </w:r>
    </w:p>
    <w:p>
      <w:pPr>
        <w:spacing w:line="312" w:lineRule="auto"/>
        <w:ind w:firstLine="420" w:firstLineChars="200"/>
        <w:jc w:val="left"/>
        <w:rPr>
          <w:rFonts w:hint="default" w:ascii="Arial" w:hAnsi="Arial" w:eastAsia="宋体" w:cs="Arial"/>
          <w:b/>
          <w:bCs/>
          <w:color w:val="auto"/>
          <w:kern w:val="0"/>
          <w:szCs w:val="21"/>
          <w:highlight w:val="none"/>
        </w:rPr>
      </w:pPr>
      <w:r>
        <w:rPr>
          <w:rFonts w:hint="default" w:ascii="Arial" w:hAnsi="Arial" w:eastAsia="宋体" w:cs="Arial"/>
          <w:color w:val="auto"/>
          <w:kern w:val="0"/>
          <w:szCs w:val="21"/>
          <w:highlight w:val="none"/>
        </w:rPr>
        <w:t>5.2.为确保网上操作合法、有效和安全，供应商应当在投标截止时间前完成在“政府采购云平台”的身份认证，确保在电子投标过程中能够对相关数据电子文件进行加密和使用电子签章。使用“政采云电子交易客户端”需要提前申领CA数字证书，申领流程请自行前往政采云平台网站进行查阅；</w:t>
      </w:r>
      <w:r>
        <w:rPr>
          <w:rFonts w:hint="default" w:ascii="Arial" w:hAnsi="Arial" w:eastAsia="宋体" w:cs="Arial"/>
          <w:b/>
          <w:bCs/>
          <w:color w:val="auto"/>
          <w:kern w:val="0"/>
          <w:szCs w:val="21"/>
          <w:highlight w:val="none"/>
        </w:rPr>
        <w:t>（完成CA数字证书办理预计一周左右，建议供应商获取投标文件后立即办理。）</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5.3.供应商应当在投标截止时间前，将生成的“投标文件”上传递交至政采云平台。投标文件递交截止时间前可以撤回电子投标文件。补充或者修改电子投标文件的，应当先行撤回原文件，补充、修改后重新传输递交，投标文件递交截止时间前未完成传输的，视为撤回投标文件。</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5.4.本采购项目为政采云全流程电子化操作，参与投标的投标单位需自备计算机和网络设备（设备需可视频通话和读取政采云CA数字证书），确保投标过程顺利进行；因供应商自身设备或网络原因造成的一切后果，由供应商自行承担。</w:t>
      </w:r>
    </w:p>
    <w:p>
      <w:pPr>
        <w:spacing w:line="312" w:lineRule="auto"/>
        <w:ind w:firstLine="420" w:firstLineChars="200"/>
        <w:jc w:val="lef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6.按照招标公告的规定获得招标文件。</w:t>
      </w:r>
    </w:p>
    <w:p>
      <w:pPr>
        <w:spacing w:line="312" w:lineRule="auto"/>
        <w:ind w:firstLine="442" w:firstLineChars="200"/>
        <w:jc w:val="left"/>
        <w:rPr>
          <w:rFonts w:hint="default" w:ascii="Arial" w:hAnsi="Arial" w:eastAsia="宋体" w:cs="Arial"/>
          <w:b/>
          <w:bCs/>
          <w:color w:val="auto"/>
          <w:kern w:val="0"/>
          <w:sz w:val="22"/>
          <w:szCs w:val="22"/>
          <w:highlight w:val="none"/>
        </w:rPr>
      </w:pPr>
      <w:r>
        <w:rPr>
          <w:rFonts w:hint="default" w:ascii="Arial" w:hAnsi="Arial" w:eastAsia="宋体" w:cs="Arial"/>
          <w:b/>
          <w:bCs/>
          <w:color w:val="auto"/>
          <w:kern w:val="0"/>
          <w:sz w:val="22"/>
          <w:szCs w:val="22"/>
          <w:highlight w:val="none"/>
        </w:rPr>
        <w:t>七、对本次招标提出询问，请按以下方式联系</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1、采购人信息</w:t>
      </w:r>
    </w:p>
    <w:p>
      <w:pPr>
        <w:spacing w:line="312" w:lineRule="auto"/>
        <w:ind w:firstLine="420" w:firstLineChars="200"/>
        <w:jc w:val="left"/>
        <w:rPr>
          <w:rFonts w:hint="default" w:ascii="Arial" w:hAnsi="Arial" w:eastAsia="宋体" w:cs="Arial"/>
          <w:color w:val="auto"/>
          <w:kern w:val="0"/>
          <w:szCs w:val="21"/>
          <w:highlight w:val="none"/>
          <w:u w:val="none"/>
          <w:lang w:eastAsia="zh-CN"/>
        </w:rPr>
      </w:pPr>
      <w:bookmarkStart w:id="14" w:name="_Hlk19048373"/>
      <w:r>
        <w:rPr>
          <w:rFonts w:hint="default" w:ascii="Arial" w:hAnsi="Arial" w:eastAsia="宋体" w:cs="Arial"/>
          <w:color w:val="auto"/>
          <w:kern w:val="0"/>
          <w:szCs w:val="21"/>
          <w:highlight w:val="none"/>
          <w:u w:val="none"/>
        </w:rPr>
        <w:t>名称：</w:t>
      </w:r>
      <w:r>
        <w:rPr>
          <w:rFonts w:hint="default" w:ascii="Arial" w:hAnsi="Arial" w:eastAsia="宋体" w:cs="Arial"/>
          <w:color w:val="auto"/>
          <w:kern w:val="0"/>
          <w:szCs w:val="21"/>
          <w:highlight w:val="none"/>
          <w:u w:val="none"/>
          <w:lang w:eastAsia="zh-CN"/>
        </w:rPr>
        <w:t>广西壮族自治区第四强制隔离戒毒所</w:t>
      </w:r>
    </w:p>
    <w:p>
      <w:pPr>
        <w:spacing w:line="312" w:lineRule="auto"/>
        <w:ind w:firstLine="420" w:firstLineChars="200"/>
        <w:jc w:val="left"/>
        <w:rPr>
          <w:rFonts w:hint="default" w:ascii="Arial" w:hAnsi="Arial" w:eastAsia="宋体" w:cs="Arial"/>
          <w:bCs/>
          <w:color w:val="auto"/>
          <w:sz w:val="21"/>
          <w:szCs w:val="21"/>
          <w:highlight w:val="none"/>
          <w:u w:val="none"/>
          <w:lang w:eastAsia="zh-CN"/>
        </w:rPr>
      </w:pPr>
      <w:r>
        <w:rPr>
          <w:rFonts w:hint="default" w:ascii="Arial" w:hAnsi="Arial" w:eastAsia="宋体" w:cs="Arial"/>
          <w:color w:val="auto"/>
          <w:kern w:val="0"/>
          <w:szCs w:val="21"/>
          <w:highlight w:val="none"/>
          <w:u w:val="none"/>
        </w:rPr>
        <w:t>地址：</w:t>
      </w:r>
      <w:r>
        <w:rPr>
          <w:rFonts w:hint="default" w:ascii="Arial" w:hAnsi="Arial" w:eastAsia="宋体" w:cs="Arial"/>
          <w:bCs/>
          <w:color w:val="auto"/>
          <w:sz w:val="21"/>
          <w:szCs w:val="21"/>
          <w:highlight w:val="none"/>
          <w:u w:val="none"/>
          <w:lang w:eastAsia="zh-CN"/>
        </w:rPr>
        <w:t>桂林市叠彩区西清路9号</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项目联系人：</w:t>
      </w:r>
      <w:r>
        <w:rPr>
          <w:rFonts w:hint="default" w:ascii="Arial" w:hAnsi="Arial" w:eastAsia="宋体" w:cs="Arial"/>
          <w:bCs/>
          <w:color w:val="auto"/>
          <w:sz w:val="21"/>
          <w:szCs w:val="21"/>
          <w:highlight w:val="none"/>
          <w:u w:val="none"/>
          <w:lang w:eastAsia="zh-CN"/>
        </w:rPr>
        <w:t>唐工</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项目联系方式：</w:t>
      </w:r>
      <w:r>
        <w:rPr>
          <w:rFonts w:hint="default" w:ascii="Arial" w:hAnsi="Arial" w:eastAsia="宋体" w:cs="Arial"/>
          <w:bCs/>
          <w:color w:val="auto"/>
          <w:sz w:val="21"/>
          <w:szCs w:val="21"/>
          <w:highlight w:val="none"/>
          <w:u w:val="none"/>
          <w:lang w:eastAsia="zh-CN"/>
        </w:rPr>
        <w:t>13367632769</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2、采购代理机构信息</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名称：广西机电设备招标有限公司</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地址：桂林市骖鸾路31号湘商大厦6楼603（桂林分公司）</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项目联系人：曾昭卉、栗晓奇</w:t>
      </w:r>
    </w:p>
    <w:p>
      <w:pPr>
        <w:spacing w:line="312" w:lineRule="auto"/>
        <w:ind w:firstLine="420" w:firstLineChars="200"/>
        <w:jc w:val="left"/>
        <w:rPr>
          <w:rFonts w:hint="default" w:ascii="Arial" w:hAnsi="Arial" w:eastAsia="宋体" w:cs="Arial"/>
          <w:color w:val="auto"/>
          <w:kern w:val="0"/>
          <w:szCs w:val="21"/>
          <w:highlight w:val="none"/>
          <w:u w:val="none"/>
        </w:rPr>
      </w:pPr>
      <w:r>
        <w:rPr>
          <w:rFonts w:hint="default" w:ascii="Arial" w:hAnsi="Arial" w:eastAsia="宋体" w:cs="Arial"/>
          <w:color w:val="auto"/>
          <w:kern w:val="0"/>
          <w:szCs w:val="21"/>
          <w:highlight w:val="none"/>
          <w:u w:val="none"/>
        </w:rPr>
        <w:t xml:space="preserve">联系方式： 0773-3696789  </w:t>
      </w:r>
    </w:p>
    <w:bookmarkEnd w:id="14"/>
    <w:p>
      <w:pPr>
        <w:spacing w:line="312" w:lineRule="auto"/>
        <w:ind w:firstLine="360" w:firstLineChars="200"/>
        <w:jc w:val="right"/>
        <w:rPr>
          <w:rFonts w:hint="default" w:ascii="Arial" w:hAnsi="Arial" w:eastAsia="宋体" w:cs="Arial"/>
          <w:color w:val="auto"/>
          <w:kern w:val="0"/>
          <w:sz w:val="18"/>
          <w:szCs w:val="18"/>
          <w:highlight w:val="none"/>
        </w:rPr>
      </w:pPr>
    </w:p>
    <w:p>
      <w:pPr>
        <w:pStyle w:val="29"/>
        <w:snapToGrid w:val="0"/>
        <w:spacing w:before="120" w:after="120" w:line="320" w:lineRule="exact"/>
        <w:jc w:val="center"/>
        <w:outlineLvl w:val="0"/>
        <w:rPr>
          <w:rFonts w:hint="default" w:ascii="Arial" w:hAnsi="Arial" w:eastAsia="宋体" w:cs="Arial"/>
          <w:color w:val="auto"/>
          <w:highlight w:val="none"/>
        </w:rPr>
      </w:pPr>
      <w:r>
        <w:rPr>
          <w:rFonts w:hint="default" w:ascii="Arial" w:hAnsi="Arial" w:eastAsia="宋体" w:cs="Arial"/>
          <w:color w:val="auto"/>
          <w:highlight w:val="none"/>
        </w:rPr>
        <w:br w:type="page"/>
      </w:r>
      <w:bookmarkEnd w:id="11"/>
      <w:bookmarkEnd w:id="12"/>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15" w:name="_Toc30557"/>
      <w:r>
        <w:rPr>
          <w:rFonts w:hint="default" w:ascii="Arial" w:hAnsi="Arial" w:eastAsia="宋体" w:cs="Arial"/>
          <w:color w:val="auto"/>
          <w:sz w:val="32"/>
          <w:szCs w:val="32"/>
          <w:highlight w:val="none"/>
        </w:rPr>
        <w:t>第二章  项目采购需求</w:t>
      </w:r>
      <w:bookmarkEnd w:id="15"/>
    </w:p>
    <w:p>
      <w:pPr>
        <w:spacing w:line="360" w:lineRule="auto"/>
        <w:rPr>
          <w:rFonts w:hint="default" w:ascii="Arial" w:hAnsi="Arial" w:eastAsia="宋体" w:cs="Arial"/>
          <w:b/>
          <w:color w:val="auto"/>
          <w:kern w:val="0"/>
          <w:sz w:val="28"/>
          <w:szCs w:val="28"/>
          <w:highlight w:val="none"/>
        </w:rPr>
      </w:pPr>
      <w:bookmarkStart w:id="16" w:name="_Toc254970631"/>
      <w:bookmarkStart w:id="17" w:name="_Toc254970490"/>
      <w:r>
        <w:rPr>
          <w:rFonts w:hint="default" w:ascii="Arial" w:hAnsi="Arial" w:eastAsia="宋体" w:cs="Arial"/>
          <w:b/>
          <w:color w:val="auto"/>
          <w:kern w:val="0"/>
          <w:sz w:val="28"/>
          <w:szCs w:val="28"/>
          <w:highlight w:val="none"/>
        </w:rPr>
        <w:t>一、总体要求</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1.需实现的功能、目标及应用场景</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满足采购文件要求，验收达到合格标准。</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2.政府采购政策的应用</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详见采购文件“评标方法及评标标准/政府采购政策应用说明”。</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3</w:t>
      </w:r>
      <w:r>
        <w:rPr>
          <w:rFonts w:hint="default" w:ascii="Arial" w:hAnsi="Arial" w:eastAsia="宋体" w:cs="Arial"/>
          <w:color w:val="auto"/>
          <w:szCs w:val="21"/>
          <w:highlight w:val="none"/>
        </w:rPr>
        <w:t>.需执行的国家相关标准、行业标准、地方标准或者其他标准、规范</w:t>
      </w:r>
    </w:p>
    <w:p>
      <w:pPr>
        <w:spacing w:line="360" w:lineRule="auto"/>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（1）本项目应执行的国家相关标准、行业标准、地方标准或者其他标准、规范为：</w:t>
      </w:r>
      <w:r>
        <w:rPr>
          <w:rFonts w:hint="default" w:ascii="Arial" w:hAnsi="Arial" w:eastAsia="宋体" w:cs="Arial"/>
          <w:color w:val="auto"/>
          <w:szCs w:val="21"/>
          <w:highlight w:val="none"/>
          <w:u w:val="single"/>
        </w:rPr>
        <w:t xml:space="preserve">     /          </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（2）如技术要求/服务要求与上述标准、规范不一致的，高于标准、规范的按技术要求执行，低于标准、规范的按标准、规范执行。</w:t>
      </w:r>
    </w:p>
    <w:p>
      <w:pPr>
        <w:spacing w:line="360" w:lineRule="auto"/>
        <w:rPr>
          <w:rFonts w:hint="default" w:ascii="Arial" w:hAnsi="Arial" w:eastAsia="宋体" w:cs="Arial"/>
          <w:b/>
          <w:bCs/>
          <w:color w:val="auto"/>
          <w:szCs w:val="21"/>
          <w:highlight w:val="none"/>
        </w:rPr>
      </w:pPr>
      <w:r>
        <w:rPr>
          <w:rFonts w:hint="default" w:ascii="Arial" w:hAnsi="Arial" w:eastAsia="宋体" w:cs="Arial"/>
          <w:b/>
          <w:bCs/>
          <w:color w:val="auto"/>
          <w:szCs w:val="21"/>
          <w:highlight w:val="none"/>
          <w:lang w:val="en-US" w:eastAsia="zh-CN"/>
        </w:rPr>
        <w:t>4</w:t>
      </w:r>
      <w:r>
        <w:rPr>
          <w:rFonts w:hint="default" w:ascii="Arial" w:hAnsi="Arial" w:eastAsia="宋体" w:cs="Arial"/>
          <w:b/>
          <w:bCs/>
          <w:color w:val="auto"/>
          <w:szCs w:val="21"/>
          <w:highlight w:val="none"/>
        </w:rPr>
        <w:t>.标注“</w:t>
      </w:r>
      <w:r>
        <w:rPr>
          <w:rFonts w:hint="eastAsia" w:ascii="仿宋_GB2312" w:hAnsi="仿宋_GB2312" w:eastAsia="仿宋_GB2312" w:cs="仿宋_GB2312"/>
          <w:b/>
          <w:bCs/>
          <w:color w:val="auto"/>
          <w:szCs w:val="21"/>
          <w:highlight w:val="none"/>
        </w:rPr>
        <w:t>★</w:t>
      </w:r>
      <w:r>
        <w:rPr>
          <w:rFonts w:hint="default" w:ascii="Arial" w:hAnsi="Arial" w:eastAsia="宋体" w:cs="Arial"/>
          <w:b/>
          <w:bCs/>
          <w:color w:val="auto"/>
          <w:szCs w:val="21"/>
          <w:highlight w:val="none"/>
        </w:rPr>
        <w:t>”的条款或要求系指实质性条款或实质性要求，必须满足，如存在负偏离将导致投标被否决。</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5</w:t>
      </w:r>
      <w:r>
        <w:rPr>
          <w:rFonts w:hint="default" w:ascii="Arial" w:hAnsi="Arial" w:eastAsia="宋体" w:cs="Arial"/>
          <w:color w:val="auto"/>
          <w:szCs w:val="21"/>
          <w:highlight w:val="none"/>
        </w:rPr>
        <w:t>.采购需求要求未尽事宜由采购人与中标供应商在采购合同中约定。</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6</w:t>
      </w:r>
      <w:r>
        <w:rPr>
          <w:rFonts w:hint="default" w:ascii="Arial" w:hAnsi="Arial" w:eastAsia="宋体" w:cs="Arial"/>
          <w:color w:val="auto"/>
          <w:szCs w:val="21"/>
          <w:highlight w:val="none"/>
        </w:rPr>
        <w:t>.客观但不可量化的指标应当作为实质性要求。</w:t>
      </w:r>
    </w:p>
    <w:p>
      <w:pPr>
        <w:spacing w:line="360" w:lineRule="auto"/>
        <w:rPr>
          <w:rFonts w:hint="default" w:ascii="Arial" w:hAnsi="Arial" w:eastAsia="宋体" w:cs="Arial"/>
          <w:b/>
          <w:color w:val="auto"/>
          <w:kern w:val="0"/>
          <w:sz w:val="28"/>
          <w:szCs w:val="28"/>
          <w:highlight w:val="none"/>
        </w:rPr>
      </w:pPr>
      <w:r>
        <w:rPr>
          <w:rFonts w:hint="default" w:ascii="Arial" w:hAnsi="Arial" w:eastAsia="宋体" w:cs="Arial"/>
          <w:b/>
          <w:color w:val="auto"/>
          <w:kern w:val="0"/>
          <w:sz w:val="28"/>
          <w:szCs w:val="28"/>
          <w:highlight w:val="none"/>
        </w:rPr>
        <w:t>二、技术要求</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1.一般说明</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（1）本表中如提及品牌型号，仅起参考作用。供应商可选用其他品牌型号替代，但这些替代的品牌型号要实质上参照或相当于或优于参考品牌型号及其技术参数性能（配置）要求。</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2）如要求提供检测报告的，检测报告或认证报告内容中若涉及外文说明，必须同时提供对应中文翻译说明，评标依据以中文翻译内容为准，外文说明仅供参考；产品检测报告应为报告正面、背面和附件标注的全部具体内容；产品检验报告的尺寸和清晰度应该能够在电脑上被阅读、识别和判断。</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2.核心产品</w:t>
      </w:r>
    </w:p>
    <w:p>
      <w:pPr>
        <w:spacing w:line="360" w:lineRule="auto"/>
        <w:rPr>
          <w:rFonts w:hint="default" w:ascii="Arial" w:hAnsi="Arial" w:eastAsia="宋体" w:cs="Arial"/>
          <w:b/>
          <w:bCs/>
          <w:color w:val="auto"/>
          <w:kern w:val="0"/>
          <w:sz w:val="24"/>
          <w:highlight w:val="none"/>
        </w:rPr>
      </w:pPr>
      <w:r>
        <w:rPr>
          <w:rFonts w:hint="default" w:ascii="Arial" w:hAnsi="Arial" w:eastAsia="宋体" w:cs="Arial"/>
          <w:color w:val="auto"/>
          <w:szCs w:val="21"/>
          <w:highlight w:val="none"/>
        </w:rPr>
        <w:t>本项目为货物采购项目，核心产品为</w:t>
      </w:r>
      <w:r>
        <w:rPr>
          <w:rFonts w:hint="default" w:ascii="Arial" w:hAnsi="Arial" w:eastAsia="宋体" w:cs="Arial"/>
          <w:b/>
          <w:bCs/>
          <w:color w:val="auto"/>
          <w:szCs w:val="21"/>
          <w:highlight w:val="none"/>
        </w:rPr>
        <w:t>：智能双备份集中供电电源（第</w:t>
      </w:r>
      <w:r>
        <w:rPr>
          <w:rFonts w:hint="default" w:ascii="Arial" w:hAnsi="Arial" w:eastAsia="宋体" w:cs="Arial"/>
          <w:b/>
          <w:bCs/>
          <w:color w:val="auto"/>
          <w:szCs w:val="21"/>
          <w:highlight w:val="none"/>
          <w:lang w:val="en-US" w:eastAsia="zh-CN"/>
        </w:rPr>
        <w:t>17</w:t>
      </w:r>
      <w:r>
        <w:rPr>
          <w:rFonts w:hint="eastAsia" w:ascii="Arial" w:hAnsi="Arial" w:cs="Arial"/>
          <w:b/>
          <w:bCs/>
          <w:color w:val="auto"/>
          <w:szCs w:val="21"/>
          <w:highlight w:val="none"/>
          <w:lang w:val="en-US" w:eastAsia="zh-CN"/>
        </w:rPr>
        <w:t>8</w:t>
      </w:r>
      <w:r>
        <w:rPr>
          <w:rFonts w:hint="default" w:ascii="Arial" w:hAnsi="Arial" w:eastAsia="宋体" w:cs="Arial"/>
          <w:b/>
          <w:bCs/>
          <w:color w:val="auto"/>
          <w:szCs w:val="21"/>
          <w:highlight w:val="none"/>
        </w:rPr>
        <w:t>项货物）</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3.标的名称、数量、需满足的质量、技术规格、物理特性、性能、材料、结构、外观、安全，或者服务内容和标准</w:t>
      </w:r>
    </w:p>
    <w:tbl>
      <w:tblPr>
        <w:tblStyle w:val="53"/>
        <w:tblW w:w="9314" w:type="dxa"/>
        <w:jc w:val="center"/>
        <w:tblLayout w:type="fixed"/>
        <w:tblCellMar>
          <w:top w:w="15" w:type="dxa"/>
          <w:left w:w="15" w:type="dxa"/>
          <w:bottom w:w="15" w:type="dxa"/>
          <w:right w:w="15" w:type="dxa"/>
        </w:tblCellMar>
      </w:tblPr>
      <w:tblGrid>
        <w:gridCol w:w="888"/>
        <w:gridCol w:w="1240"/>
        <w:gridCol w:w="5910"/>
        <w:gridCol w:w="631"/>
        <w:gridCol w:w="645"/>
      </w:tblGrid>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default" w:ascii="Arial" w:hAnsi="Arial" w:eastAsia="宋体" w:cs="Arial"/>
                <w:color w:val="auto"/>
                <w:sz w:val="21"/>
                <w:szCs w:val="21"/>
                <w:highlight w:val="none"/>
              </w:rPr>
            </w:pPr>
            <w:r>
              <w:rPr>
                <w:rFonts w:hint="default" w:ascii="Arial" w:hAnsi="Arial" w:eastAsia="宋体" w:cs="Arial"/>
                <w:b/>
                <w:color w:val="auto"/>
                <w:sz w:val="21"/>
                <w:szCs w:val="21"/>
                <w:highlight w:val="none"/>
              </w:rPr>
              <w:t>序号</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default" w:ascii="Arial" w:hAnsi="Arial" w:eastAsia="宋体" w:cs="Arial"/>
                <w:color w:val="auto"/>
                <w:sz w:val="21"/>
                <w:szCs w:val="21"/>
                <w:highlight w:val="none"/>
              </w:rPr>
            </w:pPr>
            <w:r>
              <w:rPr>
                <w:rFonts w:hint="default" w:ascii="Arial" w:hAnsi="Arial" w:eastAsia="宋体" w:cs="Arial"/>
                <w:b/>
                <w:color w:val="auto"/>
                <w:sz w:val="21"/>
                <w:szCs w:val="21"/>
                <w:highlight w:val="none"/>
              </w:rPr>
              <w:t>货物名称</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default" w:ascii="Arial" w:hAnsi="Arial" w:eastAsia="宋体" w:cs="Arial"/>
                <w:color w:val="auto"/>
                <w:sz w:val="21"/>
                <w:szCs w:val="21"/>
                <w:highlight w:val="none"/>
              </w:rPr>
            </w:pPr>
            <w:r>
              <w:rPr>
                <w:rFonts w:hint="default" w:ascii="Arial" w:hAnsi="Arial" w:eastAsia="宋体" w:cs="Arial"/>
                <w:b/>
                <w:color w:val="auto"/>
                <w:sz w:val="21"/>
                <w:szCs w:val="21"/>
                <w:highlight w:val="none"/>
              </w:rPr>
              <w:t>技术参数及配置</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default" w:ascii="Arial" w:hAnsi="Arial" w:eastAsia="宋体" w:cs="Arial"/>
                <w:color w:val="auto"/>
                <w:sz w:val="21"/>
                <w:szCs w:val="21"/>
                <w:highlight w:val="none"/>
              </w:rPr>
            </w:pPr>
            <w:r>
              <w:rPr>
                <w:rFonts w:hint="default" w:ascii="Arial" w:hAnsi="Arial" w:eastAsia="宋体" w:cs="Arial"/>
                <w:b/>
                <w:color w:val="auto"/>
                <w:sz w:val="21"/>
                <w:szCs w:val="21"/>
                <w:highlight w:val="none"/>
              </w:rPr>
              <w:t>采购数量</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default" w:ascii="Arial" w:hAnsi="Arial" w:eastAsia="宋体" w:cs="Arial"/>
                <w:color w:val="auto"/>
                <w:sz w:val="21"/>
                <w:szCs w:val="21"/>
                <w:highlight w:val="none"/>
              </w:rPr>
            </w:pPr>
            <w:r>
              <w:rPr>
                <w:rFonts w:hint="default" w:ascii="Arial" w:hAnsi="Arial" w:eastAsia="宋体" w:cs="Arial"/>
                <w:b/>
                <w:color w:val="auto"/>
                <w:sz w:val="21"/>
                <w:szCs w:val="21"/>
                <w:highlight w:val="none"/>
              </w:rPr>
              <w:t>计量单位</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一、视频监控系统</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（一）视频监控前端设备</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智能全彩半球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1、不小于400万像素，在2688x1520@25fps下，清晰度不小于1500TVL。</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2、感光器件</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1/1.8英寸CMOS，像元尺寸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2.9μm（H）×2.9μm（V），宽动态能力不小于120dB。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0.0002 lx，黑白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0.0001 lx。</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4、支持H.264、H.265、MJPEG视频编码格式。</w:t>
            </w:r>
          </w:p>
          <w:p>
            <w:pPr>
              <w:widowControl/>
              <w:jc w:val="left"/>
              <w:textAlignment w:val="center"/>
              <w:rPr>
                <w:rFonts w:hint="eastAsia" w:ascii="Arial" w:hAnsi="Arial" w:eastAsia="宋体" w:cs="Arial"/>
                <w:b w:val="0"/>
                <w:bCs w:val="0"/>
                <w:color w:val="auto"/>
                <w:kern w:val="0"/>
                <w:sz w:val="21"/>
                <w:szCs w:val="21"/>
                <w:highlight w:val="none"/>
                <w:lang w:eastAsia="zh-CN" w:bidi="ar"/>
              </w:rPr>
            </w:pPr>
            <w:r>
              <w:rPr>
                <w:rFonts w:hint="default" w:ascii="Arial" w:hAnsi="Arial" w:eastAsia="宋体" w:cs="Arial"/>
                <w:b w:val="0"/>
                <w:bCs w:val="0"/>
                <w:color w:val="auto"/>
                <w:kern w:val="0"/>
                <w:sz w:val="21"/>
                <w:szCs w:val="21"/>
                <w:highlight w:val="none"/>
                <w:lang w:bidi="ar"/>
              </w:rPr>
              <w:t>▲5、可同时检测监控场景内出现的不少于30张人脸图片。（</w:t>
            </w:r>
            <w:r>
              <w:rPr>
                <w:rFonts w:hint="default" w:ascii="Arial" w:hAnsi="Arial" w:eastAsia="宋体" w:cs="Arial"/>
                <w:b w:val="0"/>
                <w:bCs w:val="0"/>
                <w:color w:val="auto"/>
                <w:kern w:val="0"/>
                <w:sz w:val="21"/>
                <w:szCs w:val="21"/>
                <w:highlight w:val="none"/>
                <w:lang w:eastAsia="zh-CN" w:bidi="ar"/>
              </w:rPr>
              <w:t>若有请提供具备满足此参数</w:t>
            </w:r>
            <w:r>
              <w:rPr>
                <w:rFonts w:hint="default" w:ascii="Arial" w:hAnsi="Arial" w:eastAsia="宋体" w:cs="Arial"/>
                <w:b w:val="0"/>
                <w:bCs w:val="0"/>
                <w:color w:val="auto"/>
                <w:kern w:val="0"/>
                <w:sz w:val="21"/>
                <w:szCs w:val="21"/>
                <w:highlight w:val="none"/>
                <w:lang w:bidi="ar"/>
              </w:rPr>
              <w:t>具备CMA</w:t>
            </w:r>
            <w:r>
              <w:rPr>
                <w:rFonts w:hint="eastAsia" w:ascii="Arial" w:hAnsi="Arial" w:cs="Arial"/>
                <w:b w:val="0"/>
                <w:bCs w:val="0"/>
                <w:color w:val="auto"/>
                <w:kern w:val="0"/>
                <w:sz w:val="21"/>
                <w:szCs w:val="21"/>
                <w:highlight w:val="none"/>
                <w:lang w:eastAsia="zh-CN" w:bidi="ar"/>
              </w:rPr>
              <w:t>或</w:t>
            </w:r>
            <w:r>
              <w:rPr>
                <w:rFonts w:hint="default" w:ascii="Arial" w:hAnsi="Arial" w:eastAsia="宋体" w:cs="Arial"/>
                <w:b w:val="0"/>
                <w:bCs w:val="0"/>
                <w:color w:val="auto"/>
                <w:kern w:val="0"/>
                <w:sz w:val="21"/>
                <w:szCs w:val="21"/>
                <w:highlight w:val="none"/>
                <w:lang w:bidi="ar"/>
              </w:rPr>
              <w:t>CNAS认证资质检测机构出具的检测报告复印件）</w:t>
            </w:r>
          </w:p>
          <w:p>
            <w:pPr>
              <w:widowControl/>
              <w:jc w:val="left"/>
              <w:textAlignment w:val="center"/>
              <w:rPr>
                <w:rFonts w:hint="eastAsia" w:ascii="Arial" w:hAnsi="Arial" w:eastAsia="宋体" w:cs="Arial"/>
                <w:b w:val="0"/>
                <w:bCs w:val="0"/>
                <w:color w:val="auto"/>
                <w:kern w:val="0"/>
                <w:sz w:val="21"/>
                <w:szCs w:val="21"/>
                <w:highlight w:val="none"/>
                <w:lang w:eastAsia="zh-CN" w:bidi="ar"/>
              </w:rPr>
            </w:pPr>
            <w:r>
              <w:rPr>
                <w:rFonts w:hint="default" w:ascii="Arial" w:hAnsi="Arial" w:eastAsia="宋体" w:cs="Arial"/>
                <w:b w:val="0"/>
                <w:bCs w:val="0"/>
                <w:color w:val="auto"/>
                <w:kern w:val="0"/>
                <w:sz w:val="21"/>
                <w:szCs w:val="21"/>
                <w:highlight w:val="none"/>
                <w:lang w:bidi="ar"/>
              </w:rPr>
              <w:t>6、支持人脸区域自动曝光功能，可根据外部不同场景和光照变化自动调节人脸区域曝光参数。</w:t>
            </w:r>
          </w:p>
          <w:p>
            <w:pPr>
              <w:widowControl/>
              <w:jc w:val="left"/>
              <w:textAlignment w:val="center"/>
              <w:rPr>
                <w:rFonts w:hint="eastAsia" w:ascii="Arial" w:hAnsi="Arial" w:eastAsia="宋体" w:cs="Arial"/>
                <w:b w:val="0"/>
                <w:bCs w:val="0"/>
                <w:color w:val="auto"/>
                <w:kern w:val="0"/>
                <w:sz w:val="21"/>
                <w:szCs w:val="21"/>
                <w:highlight w:val="none"/>
                <w:lang w:eastAsia="zh-CN" w:bidi="ar"/>
              </w:rPr>
            </w:pPr>
            <w:r>
              <w:rPr>
                <w:rFonts w:hint="default" w:ascii="Arial" w:hAnsi="Arial" w:eastAsia="宋体" w:cs="Arial"/>
                <w:b w:val="0"/>
                <w:bCs w:val="0"/>
                <w:color w:val="auto"/>
                <w:kern w:val="0"/>
                <w:sz w:val="21"/>
                <w:szCs w:val="21"/>
                <w:highlight w:val="none"/>
                <w:lang w:bidi="ar"/>
              </w:rPr>
              <w:t>▲7、可分别对</w:t>
            </w:r>
            <w:r>
              <w:rPr>
                <w:rFonts w:hint="default" w:ascii="Arial" w:hAnsi="Arial" w:eastAsia="宋体" w:cs="Arial"/>
                <w:b w:val="0"/>
                <w:bCs w:val="0"/>
                <w:color w:val="auto"/>
                <w:kern w:val="0"/>
                <w:sz w:val="21"/>
                <w:szCs w:val="21"/>
                <w:highlight w:val="none"/>
                <w:lang w:eastAsia="zh-CN" w:bidi="ar"/>
              </w:rPr>
              <w:t>≥</w:t>
            </w:r>
            <w:r>
              <w:rPr>
                <w:rFonts w:hint="default" w:ascii="Arial" w:hAnsi="Arial" w:eastAsia="宋体" w:cs="Arial"/>
                <w:b w:val="0"/>
                <w:bCs w:val="0"/>
                <w:color w:val="auto"/>
                <w:kern w:val="0"/>
                <w:sz w:val="21"/>
                <w:szCs w:val="21"/>
                <w:highlight w:val="none"/>
                <w:lang w:bidi="ar"/>
              </w:rPr>
              <w:t>30个人脸库进行布防，联动报警方式、布防及撤防时间可分别设置，当设备检测到布防的人脸后，可将报警信息上传FTP/SD卡/NAS、联动录像、联动报警输出，可在监视画面上设置</w:t>
            </w:r>
            <w:r>
              <w:rPr>
                <w:rFonts w:hint="default" w:ascii="Arial" w:hAnsi="Arial" w:eastAsia="宋体" w:cs="Arial"/>
                <w:b w:val="0"/>
                <w:bCs w:val="0"/>
                <w:color w:val="auto"/>
                <w:kern w:val="0"/>
                <w:sz w:val="21"/>
                <w:szCs w:val="21"/>
                <w:highlight w:val="none"/>
                <w:lang w:eastAsia="zh-CN" w:bidi="ar"/>
              </w:rPr>
              <w:t>≥</w:t>
            </w:r>
            <w:r>
              <w:rPr>
                <w:rFonts w:hint="default" w:ascii="Arial" w:hAnsi="Arial" w:eastAsia="宋体" w:cs="Arial"/>
                <w:b w:val="0"/>
                <w:bCs w:val="0"/>
                <w:color w:val="auto"/>
                <w:kern w:val="0"/>
                <w:sz w:val="21"/>
                <w:szCs w:val="21"/>
                <w:highlight w:val="none"/>
                <w:lang w:bidi="ar"/>
              </w:rPr>
              <w:t>4个多边形人脸屏蔽区域，设备不对预设区域内的人脸进行检测（</w:t>
            </w:r>
            <w:r>
              <w:rPr>
                <w:rFonts w:hint="default" w:ascii="Arial" w:hAnsi="Arial" w:eastAsia="宋体" w:cs="Arial"/>
                <w:b w:val="0"/>
                <w:bCs w:val="0"/>
                <w:color w:val="auto"/>
                <w:kern w:val="0"/>
                <w:sz w:val="21"/>
                <w:szCs w:val="21"/>
                <w:highlight w:val="none"/>
                <w:lang w:eastAsia="zh-CN" w:bidi="ar"/>
              </w:rPr>
              <w:t>若有请提供具备满足此参数的检测报告复印件</w:t>
            </w:r>
            <w:r>
              <w:rPr>
                <w:rFonts w:hint="default" w:ascii="Arial" w:hAnsi="Arial" w:eastAsia="宋体" w:cs="Arial"/>
                <w:b w:val="0"/>
                <w:bCs w:val="0"/>
                <w:color w:val="auto"/>
                <w:kern w:val="0"/>
                <w:sz w:val="21"/>
                <w:szCs w:val="21"/>
                <w:highlight w:val="none"/>
                <w:lang w:bidi="ar"/>
              </w:rPr>
              <w:t>）</w:t>
            </w:r>
            <w:r>
              <w:rPr>
                <w:rFonts w:hint="default" w:ascii="Arial" w:hAnsi="Arial" w:eastAsia="宋体" w:cs="Arial"/>
                <w:b w:val="0"/>
                <w:bCs w:val="0"/>
                <w:color w:val="auto"/>
                <w:kern w:val="0"/>
                <w:sz w:val="21"/>
                <w:szCs w:val="21"/>
                <w:highlight w:val="none"/>
                <w:lang w:eastAsia="zh-CN"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8、支持人脸属性识别功能，可在IE浏览器预览界面显示包括年龄、性别、表情等人脸属性。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9、信噪比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58dB，支持自动变焦、自动调节光圈。</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10、支持亮度异常、清晰度异常、视频遮挡等故障报警功能。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11、在分辨率1920x1080@25fps，图像延时不大于70ms。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12、支持本地SD卡存储，支持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13、支持透雾、强光抑制、背光补偿、数字降噪、走廊模式、电子防抖、ROI感兴趣区域、视频水印等功能。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14、支持多码流技术，主码流分辨率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2560x1440@25fps，子码流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704x576@25fps。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15、可手动开启或关闭宽动态功能，并可根据环境亮度变化自动切换开启或关闭宽动态功能。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16、电源供应：DC12V±25% / PoE(802.3af)，支持POE供电。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★17、投标产品必须能按GB/T28181-2016标准协议与自治区戒毒局海康8700安防平台对接，实现监控图像的实时预览、监控录像查询下载功能。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★18、提供原厂保修3年服务。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智能广角宿舍半球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1、不小于500万像素CMOS传感器，支持宽动态范围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120dB，适合逆光环境监控。</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★2、水平视场角不小于175°，垂直视场角不小于175°。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0.001 lx，黑白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0.0001 lx。</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4、支持H.265、H.264、MJPEG等视频编码格式，且具有High Profile编码能力，支持G.722.1、G.711a、G711u、G.726、MP2L2、AAC等音频编码格式。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5、支持多码流技术，主码流分辨率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2560x1920@25fps，子码流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704x576@25fps。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6、具有1个RJ45网络接口，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2个内置麦克风,</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1个扬声器，支持双声道立体声音频，支持2对3.5mm音频输入(Line in)/输出外部接口，1对报警输入/输出。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7、红外补光不小于30米。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▲8、支持检出两眼瞳距40像素点以上的人脸图片，支持单场景同时检出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30张人脸图片，并支持面部跟踪。（</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9、支持人脸比对，比对准确率不低于98%。</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10、支持攀高、起身、如厕、人数异常、剧烈运动、重点人员起身等行为分析。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11、支持行为分析策略配置，当检测到人员行为异常后，可联动抓拍图片、报警上传、联动报警输出。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3级畸变校正等级设置，支持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3级远端放大等级设置。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13、设备外壳防护等级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外壳防暴等级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IK10。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14、具有抗丢包处理能力，设备与客户端之间进行传输，数据包丢包数不大于0.1%。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15、摄像机能够在-25~60摄氏度，湿度小于93%环境下稳定工作。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16、支持智能编码功能，同一静止场景相同图像质量下，设备在H.265编码方式时，开启智能编码功能和不开启智能编码相比，码率节约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17、电源供应：DC12V±25% / PoE(802.3af)，支持POE供电。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★18、投标产品必须能按GB/T28181-2016标准协议与自治区戒毒局海康8700安防平台对接，实现监控图像的实时预览、监控录像查询下载功能。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★19、提供原厂保修3年服务。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749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智能全彩筒机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1、不小于400万像素CMOS传感器，支持宽动态范围达</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120dB，具有不小于1/1.7"靶面尺寸。</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★2、最低照度：彩色</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0.0002 lx，黑白</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0.0001 lx。</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3、支持H.264、H.265、MJPEG视频编码格式，且具有High Profile编码能力，支持G.722.1、G.711a、G711u、G.726、MP2L2、AAC等音频编码格式。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4、支持多码流技术，主码流分辨率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2560x1440@25fps，子码流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704x576@25fps。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5、具有1个RJ45网络接口、内置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w:t>
            </w:r>
            <w:r>
              <w:rPr>
                <w:rFonts w:hint="eastAsia" w:ascii="Arial" w:hAnsi="Arial" w:cs="Arial"/>
                <w:color w:val="auto"/>
                <w:kern w:val="0"/>
                <w:sz w:val="21"/>
                <w:szCs w:val="21"/>
                <w:highlight w:val="none"/>
                <w:lang w:val="en-US" w:eastAsia="zh-CN" w:bidi="ar"/>
              </w:rPr>
              <w:t>个</w:t>
            </w:r>
            <w:r>
              <w:rPr>
                <w:rFonts w:hint="default" w:ascii="Arial" w:hAnsi="Arial" w:eastAsia="宋体" w:cs="Arial"/>
                <w:color w:val="auto"/>
                <w:kern w:val="0"/>
                <w:sz w:val="21"/>
                <w:szCs w:val="21"/>
                <w:highlight w:val="none"/>
                <w:lang w:bidi="ar"/>
              </w:rPr>
              <w:t>GPU芯片、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2个内置麦克风、</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1个扬声器、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2颗白光灯（</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1颗远光灯、</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1颗近光灯），设备镜头变焦方式为电动变焦，并可对拍摄物体进行自动聚焦，光圈大小为F（1.0±0.1）。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6、麦克风拾音距离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7米，扬声器覆盖范围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100㎡，信噪比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58dB。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7、从麦克风接收声音并显示状态至扬声器产生音频输出并显示状态的时间应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200ms，可采集距离设备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0.5m处声级为30dB（A）～150dB（A）的声音。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8、支持本地SD卡存储，支持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256G，并支持存储卡可使用时长显示。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9、可通过IE浏览器或客户端启用、禁用白光补光灯，可手动/自动开启白光补光灯，设备支持的白光距离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当智能分析行为类型为区域入侵、越界入侵、进入区域、离开区域时，报警检测目标设置为人体或车辆时，在设定的检测区域内出现光线明暗变化、篮球滚动、狗行走、树摇晃等情况时，不触发报警，支持声光报警功能，当移动侦测、进入区域、离开区域、越界侦测或区域入侵报警产生时，可在报警布防时间内联动声音报警和/或白光灯闪烁。（</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▲11、支持检出两眼瞳距20像素点以上的人脸图片，支持单场景同时检出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30张人脸图片，支持对运动人脸进行检测、跟踪、抓拍、评分、筛选，输出最优的人脸抓图。（</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12、支持人脸比对，比对准确率不低于98%。</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13、支持智能编码功能，同一静止场景相同图像质量下，设备在H.265编码方式时，开启智能编码功能和不开启智能编码相比，码率节约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14、设备可对检测区域内不低于30个目标（机动车、非机动车及行人）进行检测、框选跟踪、筛选、抓拍，并可分别显示数量，可将人脸与人体关联显示。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15、含安装支架，防护等级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IP67，工作温度范围：-30℃～60℃。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16、电源供应：DC12V±25% / PoE(802.3af)，支持POE供电。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★17、投标产品必须能按GB/T28181-2016标准协议与自治区戒毒局海康8700安防平台对接，实现监控图像的实时预览、监控录像查询下载功能。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★18、提供原厂保修3年服务。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热成像筒形摄像机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1、支持双通道单IP输出，可见光分辨率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2688×1520，热成像分辨率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256×192。</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★2、人员周界报警有效距离不小于70m。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3、具有</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2路报警输入/输出接口，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1路音频输入/输出接口。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4、支持SD卡热拔插，可支持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512GBSD卡。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5、支持移动侦测，信号量报警输入、输出及报警触发，支持温度显示单位设置为摄氏度、开尔文或华氏度。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6、支持声音联动报警功能，可对智能行为、测温超过阈值、出现高温点、出现吸烟动作、出现接打电话动作等进行检测并报警，报警声音可设置，同时支持自定义，支持灯光联动报警功能。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7、可通过浏览器在热成像视频图像中设置点、线段、区域测温规则，可设置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10个点，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10个区域及</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1条线段。</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8、支持多码流技术，支持同时输出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两路码流，并可独立设置视频码流。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9、噪声等效温差(NETD)在17mk及以下，最小可分辨温差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150mk。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10、支持3D数字降噪,支持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120dB宽动态。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11、具有支持图像细节增强功能、强光抑制，可对热成像视频图像监视画面上最高探测温度和最低探测温度的目标进行跟踪和标注。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12、支持低码率、低延时、ROI感兴趣区域增强编码。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13、外壳防护等级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IP67，外壳防暴等级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IK10。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14、热成像视频图像具有白热、黑热、融合、彩虹、铁红、深褐色等不少于12种显示模式。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15、可通过IE浏览器开启或关闭畸变校正功能，开启畸变校正功能后，几何失真率应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16、含安装支架，支持在-40℃-70℃范围内正常工作。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17、电源供应：DC12V±25% / PoE(802.3af)，支持POE供电。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★18、投标产品必须能按GB/T28181-2016标准协议与自治区戒毒局海康8700安防平台对接，实现监控图像的实时预览、监控录像查询下载功能。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★19、提供原厂保修3年服务。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全彩枪球一体机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1、全景路视频图像像素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400万，细节路视频图像像素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800万，支持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25倍光学变焦。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0.0002 lx，黑白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0.0001 lx，补光灯距离：全景通道</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30米，细节通道</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2颗GPU芯片，全景视频图像内置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2个镜头，细节视频图像内置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1个镜头，全景通道可输出两个镜头无缝拼接的全景图像，纵向拼接偏差像素不大于4个像素，全景水平视场角不小于190°。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4、全景通道内置镜头光圈不小于F1.0，具有</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1/1.8"靶面尺寸，内置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4颗补光灯；细节通道内置镜头，具备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1/1.8"靶面尺寸，内置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10颗红外补光灯及</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1颗白光灯。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5、全景画面水平视场角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90°，垂直视场角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50°，全景通道可进行垂直旋转，旋转范围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10°可调，可通过客户端软件或IE浏览器在预览界面上用鼠标控制云台转动、镜头变倍、调焦，并用虚拟摇杆控制云台转动。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6、设备可上传水平角度、垂直角度、变倍倍数、预置点名称、巡航名称、模式路径名称、方位等信息。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7、当监视画面中无移动物体时，设备视频帧率将自动调整到最低设定值，当检测到有移动物体时，设备视频录像帧率将自动调整至设定值，设定范围1～60帧/秒。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▲8、支持人脸抓拍功能，可对经过设定区域的行人进行人脸检测和人脸跟踪，当检测到人脸后，可抓拍人脸图片，可对经过设定区域的行人进行连续人脸抓拍。（</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9、开启混合目标检测模式后，设备可同时对行人、非机动车、机动车进行检测、跟踪、抓拍，可支持人脸与人体，车牌与车辆的关联显示。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10、设备可在预览画面及抓拍图片中叠加人员和车辆的移动轨迹，轨迹颜色支持红色、黄色、蓝色、绿色、及紫色，轨迹末尾具有一个方向箭头，指向目标离开的方向，细节通道抓拍图片。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▲11、可通过区域入侵侦测、越界侦测、进入区域侦测、离开区域侦测等报警事件，联动闪光报警、声音报警，当篮球、小狗、树叶等非人或车辆目标经过检测区域时不会触发报警。（</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12、具备AR标签管理功能，可对监控区域的常规点位、卡口点位、人脸点位、重点道路等进行标签标注，可添加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50个标签。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、具备AR标签联动查看功能，选中标签并将标签置于屏幕中心位置进行显示，可通过点击视频画面中的标签查看标签内容并对标签关联的摄像机视频进行预览，并可通过点击摄像机预览窗口进行放大窗口操作。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可通过IE浏览器添加物体标签，可开启或关闭标签显示功能，显示透明度可配置，具备AR标签抖动漂移功能，当设备云台明显抖动、转动、或进行镜头变倍时，标签应跟随标定的目标物移动，并在画面中与目标物保持相对静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、设备正常工作时，断开网络，设备可将抓拍图片和录像文件存储在内置存储卡中，当网络恢复后，再将这些图片和录像文件上传至指定的FTP服务器。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、含安装支架。支持雨刷，支持AC24V，防护等级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IP67，支持在-40 ℃～70 ℃温度变化范围内正常稳定的工作。</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7</w:t>
            </w:r>
            <w:r>
              <w:rPr>
                <w:rFonts w:hint="default" w:ascii="Arial" w:hAnsi="Arial" w:eastAsia="宋体" w:cs="Arial"/>
                <w:b/>
                <w:bCs/>
                <w:color w:val="auto"/>
                <w:kern w:val="0"/>
                <w:sz w:val="21"/>
                <w:szCs w:val="21"/>
                <w:highlight w:val="none"/>
                <w:lang w:bidi="ar"/>
              </w:rPr>
              <w:t>、投标产品必须能按GB/T28181-2016标准协议与自治区戒毒局海康8700安防平台对接，实现监控图像的实时预览、监控录像查询下载功能。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8</w:t>
            </w:r>
            <w:r>
              <w:rPr>
                <w:rFonts w:hint="default" w:ascii="Arial" w:hAnsi="Arial" w:eastAsia="宋体" w:cs="Arial"/>
                <w:b/>
                <w:bCs/>
                <w:color w:val="auto"/>
                <w:kern w:val="0"/>
                <w:sz w:val="21"/>
                <w:szCs w:val="21"/>
                <w:highlight w:val="none"/>
                <w:lang w:bidi="ar"/>
              </w:rPr>
              <w:t>、提供原厂保修3年服务。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全景一体机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3200万，采用一体化设计，兼顾全景与细节画面，全景画面由</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8个传感器拼接而成，实现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360°的全景监控。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2、支持光学变倍</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40倍，全景镜头光圈均不小于F1.0，</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3个GPU芯片。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3、设备可对镜头前盖玻璃进行加热，内置除湿器，可对设备内部进行除湿，除去玻璃罩上的水状附着物。</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★4、最低照度：彩色</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0.0003lux，黑白</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0.0001lux。</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5、支持远距离跟踪功能，在全景通道中，可对距离设备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700m处的移动目标进行检测并联动细节通道进行跟踪，当设备外壳受到外力撞击时，可给出语音报警提示。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6、具备定位联动、自动跟踪、手动跟踪、混合跟踪功能，在辅视频图像中跟踪目标的灵敏度及时间可设；并且自动跟踪模式下，对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50个目标进行检测并抓拍。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7、支持红外灯开启时，可根据被摄物的距离自动调节红外灯功率密度，可识别距离设备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500m外人体轮廓。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▲8、支持目标过滤功能，在区域入侵、越界入侵、进入区域、离开区域、徘徊、快速移动、停车、物品遗留及物品移除的智能行为分析事件中，可以分别设置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4个检测区域，每个区域可设置目标尺寸范围，设备应仅对预设尺寸阈值范围内的目标的智能行为进行检测。（</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9、当通过IE浏览器手动点击或框选预览画面中的人脸时，设备能转动将人脸置于画面中心，并对人脸进行抓拍。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10、支持偏色矫正功能，可通过手动或自动的方式对设备视频采集模块进行偏色矫正。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11、支持倍率自动调整功能，设备可检测当前镜头指向方向与地平面夹角，并可根据夹角变化自动调整倍率，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12、支持全景通道中第2通道和第3通道可在监控画面和客户端软件上进行并排拼接显示，拼接的画面之间应无明显错位。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13、支持参数配置调用功能，全景通道、细节通道可分别配置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套前端设备参数，并且可通过调用预置点对前端设备进行切换，支持多通道参数同步功能，在IE浏览器下，具有全景曝光同步设置选项，开启后可对全景两个通道的全部图像参数进行同步，包括亮度、对比度、饱和度、锐度、曝光、日夜转换、白平衡、宽动态、降噪、视频制式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14、支持水平范围为360°，垂直范围为-15°～90°，动态范围不小于120dB。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50个预置位，支持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32条巡航扫描，每条巡航路径可设置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16个预置点。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16、含安装支架，支持防护等级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IP67，供电方式支持DC36V。</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17</w:t>
            </w:r>
            <w:r>
              <w:rPr>
                <w:rFonts w:hint="default" w:ascii="Arial" w:hAnsi="Arial" w:eastAsia="宋体" w:cs="Arial"/>
                <w:b/>
                <w:bCs/>
                <w:color w:val="auto"/>
                <w:kern w:val="0"/>
                <w:sz w:val="21"/>
                <w:szCs w:val="21"/>
                <w:highlight w:val="none"/>
                <w:lang w:bidi="ar"/>
              </w:rPr>
              <w:t>、投标产品必须能按GB/T28181-2016标准协议与自治区戒毒局海康8700安防平台对接，实现监控图像的实时预览、监控录像查询下载功能。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18</w:t>
            </w:r>
            <w:r>
              <w:rPr>
                <w:rFonts w:hint="default" w:ascii="Arial" w:hAnsi="Arial" w:eastAsia="宋体" w:cs="Arial"/>
                <w:b/>
                <w:bCs/>
                <w:color w:val="auto"/>
                <w:kern w:val="0"/>
                <w:sz w:val="21"/>
                <w:szCs w:val="21"/>
                <w:highlight w:val="none"/>
                <w:lang w:bidi="ar"/>
              </w:rPr>
              <w:t>、提供原厂免费保修3年服务。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室内智能全景球机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1、分辨率支持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400万像素，支持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23变倍，红外距离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0.001Lux，黑白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0.0001Lux，动态范围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106dB，照度适应范围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3、支持采用H.265、H.264视频编码标准，H.264编码，音频编码支持G.711ulaw/G.711alaw/G.726/G.722.1。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4、支持三码流同时输出，主码流、第三码流同时支持2560×1440@30fps，2048×1536@30fps。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5、具备本机存储功能，支持SD卡热插拔，支持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128GB。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6、支持水平手控速度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300°/S，垂直速度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100°/S，云台定位精度为±0.1°。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7、水平旋转范围为360°连续旋转，垂直旋转范围为-5°～90°。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30个预置位，可按照所设置的预置位完成不小于8条巡航路径，支持不小于4条模式路径设置，支持预置位冻结功能。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9、可对设定区域内的运动目标在设定时间内持续跟踪，使该目标处于主视频图像中，并对该目标抓拍图片并可手动切换跟踪目标。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10、支持智能红外、透雾、强光抑制、电子防抖、数字降噪、防红外过曝功能。</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★11、支持区域入侵、越界入侵、徘徊、物品移除、物品遗留、人员聚集，并联动报警。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▲12、支持区域遮盖功能，支持设置不少于24个不规则四边形区域，可设置不同颜色；支持自动定位、断电记忆功能；支持IP地址访问控制功能,支持定时抓图或报警联动抓图上传ftp功能。（</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13、具备较强的网络适应能力，在丢包率为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30%的网络环境下，仍可正常显示监视画面。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14、具备较好的防护性能环境适应性，支持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IP67，</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6kV防浪涌，工作温度范围可达-40℃～70℃。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15、具备较好的电源适应性，电压在DC12V±30%范围内变化时，设备可正常工作。</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★16、投标产品必须能按GB/T28181-2016标准协议与自治区戒毒局海康8700安防平台对接，实现监控图像的实时预览、监控录像查询下载功能。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★17、提供原厂保修3年服务。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电梯专用摄像机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1、具有</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400万像素CMOS传感器，在2560x1440@25fps下，清晰度不小于1400TVL，红外照射距离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2、支持三码流技术，主码流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2560x1440@30fps，第三码流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1920x1080@30fps，子码流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704x576@30fps。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0.01lx，黑白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0.001lx，灰度等级不小于11级。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4、具有自动增益、背光补偿、视频水印、噪声过滤、SVC可伸缩编码、电子防抖、走廊模式、ROI感兴趣区域、防红外过曝等功能。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5、支持H.264、H.265、MJPEG视频编码格式，且具有HighProfile编码能力。</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、在丢包率设置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5%的网络环境下，可正常显示监视画面。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、信噪比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55dB。</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8</w:t>
            </w:r>
            <w:r>
              <w:rPr>
                <w:rFonts w:hint="default" w:ascii="Arial" w:hAnsi="Arial" w:eastAsia="宋体" w:cs="Arial"/>
                <w:b/>
                <w:bCs/>
                <w:color w:val="auto"/>
                <w:kern w:val="0"/>
                <w:sz w:val="21"/>
                <w:szCs w:val="21"/>
                <w:highlight w:val="none"/>
                <w:lang w:bidi="ar"/>
              </w:rPr>
              <w:t>、具备人脸检测、区域入侵检测、越界检测、虚焦检测、进入区域、离开区域、徘徊、人员聚集、逆行、场景变更、虚焦侦测、音频异常侦测等功能。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、设备工作状态时，支持空气放电约8kV，接触放电约6kV，并支持约6kV峰值电压。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、电源供应：DC12V±25% / PoE(802.3af)，支持POE供电。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1</w:t>
            </w:r>
            <w:r>
              <w:rPr>
                <w:rFonts w:hint="default" w:ascii="Arial" w:hAnsi="Arial" w:eastAsia="宋体" w:cs="Arial"/>
                <w:b/>
                <w:bCs/>
                <w:color w:val="auto"/>
                <w:kern w:val="0"/>
                <w:sz w:val="21"/>
                <w:szCs w:val="21"/>
                <w:highlight w:val="none"/>
                <w:lang w:bidi="ar"/>
              </w:rPr>
              <w:t>、投标产品必须能按GB/T28181-2016标准协议与自治区戒毒局海康8700安防平台对接，实现监控图像的实时预览、监控录像查询下载功能。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2</w:t>
            </w:r>
            <w:r>
              <w:rPr>
                <w:rFonts w:hint="default" w:ascii="Arial" w:hAnsi="Arial" w:eastAsia="宋体" w:cs="Arial"/>
                <w:b/>
                <w:bCs/>
                <w:color w:val="auto"/>
                <w:kern w:val="0"/>
                <w:sz w:val="21"/>
                <w:szCs w:val="21"/>
                <w:highlight w:val="none"/>
                <w:lang w:bidi="ar"/>
              </w:rPr>
              <w:t>、提供原厂保修3年服务。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电梯监控专用无线传输器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1、2.4G，802.11n制式。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2、传输距离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200米，最大空口传输速率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300Mbps。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3、采用成对的配对方式，点对点组网方式。</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4、采用桥接网络模式，工作频段：2400～2483.5MHz。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对</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（二）视频监控后端设备</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监所综合管控平台</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bidi="ar"/>
              </w:rPr>
              <w:t>一、视频预览</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1、授权监控通道数不少于2000路监控视频。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2、支持系统内的组织、人员、用户、角色等的配置和管理；web最大并发登录数≧50，系统最大同时在线用户数量≧200。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3、支持云台控制，可实现云台锁定，云台抢占、支持预置点、巡航、轨迹设置，支持预置点、巡航，轨迹切换。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4、支持对监控点画面亮度、色度、对比度、饱和度设置。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5、支持预览窗口布局切换，包括1、2、4、9、16、24、布局模式，可实现预览画面自适应和全屏切换设置。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6、支持监控画面中紧急录像、即时回放、主子码流切换、声音开启/关闭。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7、支持视频轮巡分组增加，删除，修改及搜索。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8、支持轮巡分组设置。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9、支持录像流控操作。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10、支持多画面播放时同步回放和异步回放切换。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11、支持录像下载、录像剪辑、录像标签、录像锁定设置。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12、支持录像播放时声音开关闭，录像抓图，录像画面关闭，全屏播放操作。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13、支持监控点上墙、下墙操作，监控点的预览和回放、主子码流切换、声音控制、强制子码流设置、监控点在线状态显示。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14、支持一键上墙关联配置。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15、支持指定电视墙的场景一键上墙。</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16、支持报警联动实时视频上墙到指定窗口。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17、支持切换电视墙，切换场景。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18、支持对地图的添加、修改和删除操作。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19、支持输入框输入关键字，查询组织树展示搜索内容。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20、支持按资源类型进行过滤，地图显示过滤后的资源。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21、支持地图上的资源切换显示名称和隐藏名称。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22、支持查看多张地图，可以点击地图树，打开地图。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23、支持框选快速打开视频；支持双击视频点位打开视频；支持查看视频名称、所属组织、设备状态等信息。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24、支持右键查看视频预览、录像回放、查看当日报警信息、报警状态确认，支持报警时闪烁提示。</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★二、视频运维模块</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1、支持针对所管理的服务器、组件和服务的运行状态进行监控。</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2、支持可视化展示所选区域下监控点总数、监控点在线率、图像正常率、录像完整率等数据概况。</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3、支持可视化展示近24小时、近一周、近一月内所选区域下监控点在线率及图像正常率数据。</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4、支持查看有未处理告警的资源，支持模糊搜索。</w:t>
            </w:r>
          </w:p>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bidi="ar"/>
              </w:rPr>
              <w:t>三、报警模块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1、支持接收报警主机的报警信息，联动视频预览画面、抓图、录像、报警名称、报警时间、报警点位所在地图位置等信息。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2、支持客户端语音提示。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3、支持当前实时报警列表展示，并且可按照不同报警类型、报警等级进行过滤。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4、支持某种报警设备的报警类型进行快速临时布撤防。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5、支持对报警进行确认或者误报操作。</w:t>
            </w:r>
          </w:p>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bidi="ar"/>
              </w:rPr>
              <w:t>四、接处警应用模块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1、提供告警展示、查询、处理、策略配置功能，实现了对告警的管理。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2、支持在“告警处理”模块，进行异常告警的查看和处理、导出告警以及配置告警策略。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3、支持展示每条告警的告警等级、最新告警时间、告警来源、告警策略、告警次数及处理状态。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4、支持导出全部或部分告警记录。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5、支持监所地图配置，支持报警联动配置。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6、支持报警实时弹窗提醒，支持查看报警联动抓拍图、联动实时视频和历史视频。</w:t>
            </w:r>
          </w:p>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bidi="ar"/>
              </w:rPr>
              <w:t>五、智能行为分析模块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1、支持在系统中添加监所行为分析服务。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2、支持配置监控点关联到行为分析通道。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3、支持删除、修改、查询行为分析设备。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4、支持删除、查询关联监控点。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智能行为分析，室内分析可支持：剧烈运动检测、重点人员起身检测、攀高检测、离岗检测、如厕超时检测、人员站立检测、静坐检测、人员滞留检测、人数异常检测；室外分析可支持：穿越警戒线检测、区域入侵检测、进入区域检测、离开区域检测、徘徊检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6、可实现报警联动、包括联动视频、抓拍图片、联动录像。</w:t>
            </w:r>
          </w:p>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val="en-US" w:eastAsia="zh-CN" w:bidi="ar"/>
              </w:rPr>
              <w:t>六</w:t>
            </w:r>
            <w:r>
              <w:rPr>
                <w:rFonts w:hint="default" w:ascii="Arial" w:hAnsi="Arial" w:eastAsia="宋体" w:cs="Arial"/>
                <w:b/>
                <w:color w:val="auto"/>
                <w:kern w:val="0"/>
                <w:sz w:val="21"/>
                <w:szCs w:val="21"/>
                <w:highlight w:val="none"/>
                <w:lang w:bidi="ar"/>
              </w:rPr>
              <w:t>、监所AB门车行通道应用模块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1、驾驶员登记：登记室民警会对驾驶员身份信息通过人证设备进行登记，并与带领民警关联，填写事由等信息。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2、车辆审核：应用于监所AB门管控中，车行通道查验车辆的场景。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3、车牌识别、车底盘扫描设备接入管理。</w:t>
            </w:r>
          </w:p>
          <w:p>
            <w:pPr>
              <w:widowControl/>
              <w:jc w:val="left"/>
              <w:textAlignment w:val="center"/>
              <w:rPr>
                <w:rFonts w:hint="eastAsia" w:ascii="Arial" w:hAnsi="Arial" w:eastAsia="宋体" w:cs="Arial"/>
                <w:b/>
                <w:color w:val="auto"/>
                <w:kern w:val="0"/>
                <w:sz w:val="21"/>
                <w:szCs w:val="21"/>
                <w:highlight w:val="none"/>
                <w:lang w:eastAsia="zh-CN" w:bidi="ar"/>
              </w:rPr>
            </w:pPr>
            <w:r>
              <w:rPr>
                <w:rFonts w:hint="default" w:ascii="Arial" w:hAnsi="Arial" w:eastAsia="宋体" w:cs="Arial"/>
                <w:b/>
                <w:color w:val="auto"/>
                <w:kern w:val="0"/>
                <w:sz w:val="21"/>
                <w:szCs w:val="21"/>
                <w:highlight w:val="none"/>
                <w:lang w:val="en-US" w:eastAsia="zh-CN" w:bidi="ar"/>
              </w:rPr>
              <w:t>七</w:t>
            </w:r>
            <w:r>
              <w:rPr>
                <w:rFonts w:hint="default" w:ascii="Arial" w:hAnsi="Arial" w:eastAsia="宋体" w:cs="Arial"/>
                <w:b/>
                <w:color w:val="auto"/>
                <w:kern w:val="0"/>
                <w:sz w:val="21"/>
                <w:szCs w:val="21"/>
                <w:highlight w:val="none"/>
                <w:lang w:bidi="ar"/>
              </w:rPr>
              <w:t>、平台级联模块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1、支持通用视频联网标准协（GB/T28181）,提供支持其他联网标准的扩展能力。</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val="en-US" w:eastAsia="zh-CN" w:bidi="ar"/>
              </w:rPr>
              <w:t>八</w:t>
            </w:r>
            <w:r>
              <w:rPr>
                <w:rFonts w:hint="default" w:ascii="Arial" w:hAnsi="Arial" w:eastAsia="宋体" w:cs="Arial"/>
                <w:b/>
                <w:bCs/>
                <w:color w:val="auto"/>
                <w:kern w:val="0"/>
                <w:sz w:val="21"/>
                <w:szCs w:val="21"/>
                <w:highlight w:val="none"/>
                <w:lang w:bidi="ar"/>
              </w:rPr>
              <w:t>、其他要求</w:t>
            </w:r>
          </w:p>
          <w:p>
            <w:pPr>
              <w:widowControl/>
              <w:jc w:val="left"/>
              <w:textAlignment w:val="center"/>
              <w:rPr>
                <w:rFonts w:hint="eastAsia" w:ascii="Arial" w:hAnsi="Arial" w:eastAsia="宋体" w:cs="Arial"/>
                <w:b/>
                <w:bCs/>
                <w:strike w:val="0"/>
                <w:dstrike w:val="0"/>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★1、能够按GB/T28181-2016标准协议与自治区戒毒局海康8700安防平台对接，实现监控图像的实时预览、监控录像查询下载功能</w:t>
            </w:r>
            <w:r>
              <w:rPr>
                <w:rFonts w:hint="default" w:ascii="Arial" w:hAnsi="Arial" w:cs="Arial"/>
                <w:b/>
                <w:bCs/>
                <w:strike w:val="0"/>
                <w:dstrike w:val="0"/>
                <w:color w:val="auto"/>
                <w:kern w:val="0"/>
                <w:sz w:val="21"/>
                <w:szCs w:val="21"/>
                <w:highlight w:val="none"/>
                <w:lang w:eastAsia="zh-CN" w:bidi="ar"/>
              </w:rPr>
              <w:t>。</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★2、提供原厂升级和运维3年服务。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云存储管理节点</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1、处理器：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2颗64位多核处理器（核数≧16核），主频</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2.1GHz。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2、内存：DDR4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32GB内存，可扩展至256GB。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3、内置SSD硬盘：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3块热插拔960GB SSD硬盘。</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4、网口：2个千兆网口，可扩展20个千兆网口或10个万兆网口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5、其它接口：1个RJ-45网络接口、2个USB 3.0接口、4个USB 2.0接口、1个VGA接口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6、电源：高效能550W铂金1+1冗余电源</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★7、提供原厂升级和运维3年服务。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云存储管理平台</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1、具备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2000路前端点位管理授权，支持云存储系统一键部署，支持前端设备和存储设备之间直接存储。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2、支持多存储设备容量整合，形成录像池，可根据用户业务分配通用、文件、视频、图片等类型存储空间。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3、可实现视音频流直接在云系统上进行存储，支持采用流媒体直存转发方式，无需配置存储转发/流媒体服务器。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4、支持存储节点及硬盘即插即用，原数据无需迁移，无需任何配置，一分钟内完成扩容。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5、支持录像完整率检测、监控点在线状态检测、硬盘状态检测，支持报警联动短信和邮件实现无人值守。</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★6、支持智能流直接在云系统上进行存储，无需配置存储转发服务器。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云存储系统中内嵌智能和大数据分析功能，支持视频流实时结构化，海量摘要分析及查询等功能，无需单独智能服务器，智能模块支持集群部署，具有负载均衡、集群容灾、性能线性提升、横向扩展等集群特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8、支持云存储系统可视化，视频按天统计写入量、图片和文件按天统计写入个数与容量、云存储系统容量（总容量、已用容量、剩余容量）、设备数量等信息。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9、支持按照设备可用容量实现负载均衡，各存储节点上存储的数据量在稳定状态下保持均衡。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10、支持单个客户端从多台存储设备并行高速下载指定时间段的录像。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11、云存储系统支持分域管理，当单个域中设备接入到同一个交换机时，可实现数据流分域控制管理，域内业务不受其他域影响。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12、支持SAN/NAS文件以Restfull协议方式访问，支持每个文件写入后索引在多节点间异步同步，提取文件的URL可回调到应用平台服务器，支持单个SAMBA共享文件夹，支持单个ftp共享文件夹，可对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128个用户同时进行管理。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13、支持回收站功能，防止数据误删，支持回收时间配置，支持录像完整率检测、监控点在线状态检测、硬盘状态检测，支持报警联动短信和邮件实现无人值守，支持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50条/秒报警，支持配置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30个用户接收报警信息，支持录像巡检功能，可显示秒级录像缺失结果。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14、支持云存储容量自动检测功能，支持当前云存储容量不足时视频录像可根据策略自动切换到其它云存储中进行存储。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15、支持对多套云同时进行管理，支持对添加多套云、修改、查看多套云的信息。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、系统根据当前节点状态使用相应的容错算法以提高节点容错能力。</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视频片段的对象化，支持指定视频片段的唯一对象名称并下发开启录像指令，云存储从监控点取流之后进行对象化存储，后期用户可以根据该对象名称提取该对象数据，支持在管理节点全部故障、存储节点出现批量故障时，只要存在一台有效的存储，业务就不会中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、支持在运维监测功能页面显示存储硬盘的健康状态，便于存储硬盘的生命周期管理。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19</w:t>
            </w:r>
            <w:r>
              <w:rPr>
                <w:rFonts w:hint="default" w:ascii="Arial" w:hAnsi="Arial" w:eastAsia="宋体" w:cs="Arial"/>
                <w:color w:val="auto"/>
                <w:kern w:val="0"/>
                <w:sz w:val="21"/>
                <w:szCs w:val="21"/>
                <w:highlight w:val="none"/>
                <w:lang w:bidi="ar"/>
              </w:rPr>
              <w:t>、支持通过统一运维一键式部署整个云存储系统，一键升级、格式化系统。</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w:t>
            </w:r>
            <w:r>
              <w:rPr>
                <w:rFonts w:hint="default" w:ascii="Arial" w:hAnsi="Arial" w:eastAsia="宋体" w:cs="Arial"/>
                <w:b/>
                <w:bCs/>
                <w:color w:val="auto"/>
                <w:kern w:val="0"/>
                <w:sz w:val="21"/>
                <w:szCs w:val="21"/>
                <w:highlight w:val="none"/>
                <w:lang w:val="en-US" w:eastAsia="zh-CN" w:bidi="ar"/>
              </w:rPr>
              <w:t>0</w:t>
            </w:r>
            <w:r>
              <w:rPr>
                <w:rFonts w:hint="default" w:ascii="Arial" w:hAnsi="Arial" w:eastAsia="宋体" w:cs="Arial"/>
                <w:b/>
                <w:bCs/>
                <w:color w:val="auto"/>
                <w:kern w:val="0"/>
                <w:sz w:val="21"/>
                <w:szCs w:val="21"/>
                <w:highlight w:val="none"/>
                <w:lang w:bidi="ar"/>
              </w:rPr>
              <w:t>、投标产品必须能按GB/T28181-2016标准协议与自治区戒毒局海康8700安防平台对接，实现监控图像的实时预览、监控录像查询下载功能。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w:t>
            </w:r>
            <w:r>
              <w:rPr>
                <w:rFonts w:hint="default" w:ascii="Arial" w:hAnsi="Arial" w:eastAsia="宋体" w:cs="Arial"/>
                <w:b/>
                <w:bCs/>
                <w:color w:val="auto"/>
                <w:kern w:val="0"/>
                <w:sz w:val="21"/>
                <w:szCs w:val="21"/>
                <w:highlight w:val="none"/>
                <w:lang w:val="en-US" w:eastAsia="zh-CN" w:bidi="ar"/>
              </w:rPr>
              <w:t>1</w:t>
            </w:r>
            <w:r>
              <w:rPr>
                <w:rFonts w:hint="default" w:ascii="Arial" w:hAnsi="Arial" w:eastAsia="宋体" w:cs="Arial"/>
                <w:b/>
                <w:bCs/>
                <w:color w:val="auto"/>
                <w:kern w:val="0"/>
                <w:sz w:val="21"/>
                <w:szCs w:val="21"/>
                <w:highlight w:val="none"/>
                <w:lang w:bidi="ar"/>
              </w:rPr>
              <w:t>、提供原厂升级和运维3年服务。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存储阵列主机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1、采用64位多核处理器，内存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8GB，可扩展至</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32GB，实现海量数据检索、分析及存储，信息深化应用。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48个硬盘插槽，含48块8TB企业级硬盘，支持接入2T/3T/4T/6T/8T/10TSATA磁盘，支持磁盘交错启动和漫游，并支持在线热插拔。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3、支持双系统，支持FCSAN、IPSAN、NAS存储功能。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4、支持每组RAID中任意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12块硬盘发生故障，业务不中断，支持块级重构，全盘参与重构速度不小于4TB/10min，高利用率模式下磁盘利用率为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98%，可对损坏RAID按照RAID损坏等级进行重构，支持在最大画面分屏显示模式下播放录像时，可拖动改变各通道视频播放的时间位置。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5、支持接入并存储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1880Mbps视频图像，同时转发</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1880Mbps的视频图像，同时回放</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512Mbps的视频图像。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6、可接入MPEG4、H.264、H.265、SVAC的前端设备并存储录像文件。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7、支持人脸、人体和车辆识别算法的融合应用，并可以手动方式进行切换，支持从录像文件的一个时间点提取一张压缩图片，支持并发</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8路文件上传中心存储，单路带宽可设，支持不同大小的硬盘混合使用，可显示硬盘总容量。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采用文件打包的方式将若干小文件打包成一个较大的文件，可对文件、目录设置存储周期，当文件、目录的存储时长超过存储周期，则删除该文件、目录，可将数据随机分散存储至各个硬盘，可参与全盘某种业务。</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★9、当开启智能录像时，设备可根据前端接入路数、存储周期、码率等参数，自动选择N+M冗余级别较高的数据保护方式，前面板具有锁止功能，加锁后硬盘无法取出，具有可拆卸式防尘滤网。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10、支持视频、图片、智能流和文件直写存储，支持多路文件采用非NAS方式直接上传存储，且速度可设置。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11、可对指定的录像段或指定事件的1个或多个前端的不同时间段的录像段添加标签，并自动备份到存档卷中，使之不会被覆盖删除。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12、可根据事件名称查询所有相关联的不同前端或时间的录像段并进行回放和下载。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13、支持通过车牌号、时间进行布控，支持按照模板批量导入导出布控信息，支持历史布控记录检索。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14、设备在不增加任何外围服务器硬件的情况下可由存储设备直接进行虚拟化系统部署。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15、在视频画面上绘制区域或界线，检索指定范围内的报警录像，可输入车牌号码可查证出相关图片和视频。</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★16、提供原厂升级、运维3年服务。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流媒体节点</w:t>
            </w:r>
          </w:p>
        </w:tc>
        <w:tc>
          <w:tcPr>
            <w:tcW w:w="5910"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1、支持300路2Mbps的视频流的并发接入和转发。</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2、支持流媒体负载均衡和集群保护。</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3、支持对流媒体转发服务和集群服务的自动监测、自我修复。</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4、支持从IPC/DVS/DVR/NVR直接取流，亦支持从流媒体服务器取流。</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5、支持WEB、CLI方式访问、配置和管理系统。</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6、可实时更新查看接入设备和视频通道的状态，并对网关的状态、网络连接状态、流转发状态、设备资源总数、设备在线数量进行统计分析及展示。</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7、配置硬件性能等同于或高于：1颗CPU处理器，核数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16核，主频</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2.2GHz；</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16G*2 DDR4，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16根内存插槽，支持扩展至</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2TB内存；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2块1.2T 10K 2.5寸 SAS硬盘，配置SAS_HBA卡, 支持RAID 0/1/10；可支持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6个PCIE扩展插槽；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2个千兆电口，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1个RJ45管理接口，后置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2个USB 3.0接口，前置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2个USB2.0接口，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1个VGA接口；配置550W（1+1）冗余电源。</w:t>
            </w:r>
          </w:p>
          <w:p>
            <w:pPr>
              <w:widowControl/>
              <w:jc w:val="left"/>
              <w:textAlignment w:val="top"/>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★8、提供原厂升级和运维3年服务。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硬盘录像机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1、可接入总码率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160Mbps的16路H.265编码、1080p格式的视频图像。</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1路HDMI、</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1路VGA接口输出，接口之间可异源输出视频图像，并可分别控制进行预览、回放、配置等操作，支持4K（3840X2160）输出显示。</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3、支持浓缩播放（智能回放）功能，录像回放中，有移动侦测、信号量报警、智能侦测等事件发生的录像，视频按正常速度播放，其他视频按设定速度播放。</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4、可同时正放或倒放</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16路H.265编码、1080p格式的视频图像。</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5、支持秒级回放功能，可回放断电、断网前一秒的录像文件。</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6、可自适应接入H.265、H.264编码格式的网络视频。</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7、支持用户锁定功能，通过本地、远程登录设备时，如密码输入错误次数超过设定值，可锁定该用户。</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8、可接入支持ONVIF协议、RTSP协议、GB28181协议的设备，支持对前端IPC批量远程升级；支持对IPC的编码配置修改。</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9、支持接入具有断网续传功能的网络摄像机,当设备与摄像机之间网络中断并恢复后,可自动接收摄像机内存储的视频图像。</w:t>
            </w:r>
          </w:p>
          <w:p>
            <w:pPr>
              <w:widowControl/>
              <w:jc w:val="left"/>
              <w:textAlignment w:val="top"/>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10、含2块8T监控级硬盘，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1个USB2.0，</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1个USB3.0接口，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1个RJ45网络接口，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4路报警输入，</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1路报警输出接口。</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124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视频智能行为分析平台</w:t>
            </w:r>
          </w:p>
        </w:tc>
        <w:tc>
          <w:tcPr>
            <w:tcW w:w="5910" w:type="dxa"/>
            <w:tcBorders>
              <w:top w:val="single" w:color="000000" w:sz="4" w:space="0"/>
              <w:left w:val="single" w:color="000000" w:sz="4" w:space="0"/>
              <w:bottom w:val="single" w:color="auto" w:sz="4" w:space="0"/>
              <w:right w:val="single" w:color="000000" w:sz="4" w:space="0"/>
            </w:tcBorders>
            <w:shd w:val="clear" w:color="auto" w:fill="auto"/>
          </w:tcPr>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1、支持同时对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64路视频流（分辨率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4096*2160、帧率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25fps、标准H.264/标准H.265）进行智能分析，支持720P-800W分辨率，集成专业级GPU芯片。</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2、支持对设定区域范围内人员起身的行为进行自动侦测并支持触发报警、上传报警抓拍图片等功能。</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3、支持通过客户端对围墙周界、学员宿舍的智能规则进行配置，实现实时监测并在触发异常行为时产生报警。</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4、不少于1颗高性能CPU，支持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8G DDR3 内存，内置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1个240GB SSD 硬盘，支持数据接口：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4个千兆自适应网口、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4个USB3.0接口、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2个USB2.0接口、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1个VGA接口，支持热拔插1+1冗余电源模块。</w:t>
            </w:r>
          </w:p>
          <w:p>
            <w:pPr>
              <w:widowControl/>
              <w:jc w:val="left"/>
              <w:textAlignment w:val="top"/>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5、支持通过界面展示查看算法仓库支持的算法列表，包括算法名称、分析类型、分析目标、算法厂商、芯片平台、算法版本和详情信息，并支持对算法进行查询，支持设置异常事件侦测区域，可设置为封闭正方形、长方形、三角形和多边形等区域，封闭多边形边数不少于15个，也可设置为一条具有方向的布控线。</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6、支持对室内警戒区域内多人发生疑似打架斗殴等事件运动幅度达到设定值后，触发报警并上传报警抓拍图片。</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7、支持对离开设定警戒区域内的运动目标进行自动侦测并支持触发报警、上传报警抓拍图片等功能。</w:t>
            </w:r>
          </w:p>
          <w:p>
            <w:pPr>
              <w:widowControl/>
              <w:jc w:val="left"/>
              <w:textAlignment w:val="top"/>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★8、支持对检测区域内有人员突然倒地的行为进行检测并触发报警上传抓拍图片，支持NPT校时服务器配置校时，并支持手动校时配置，检测出事件后到事件上报展示不高于200ms。</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9、支持对触碰设定高度警戒线的人员进行自动侦测并支持触发报警，单视频画面可同时支持绘制</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9个连续的攀高面，支持尺寸过滤及攀高方向设置，分别进行检测上传报警抓拍图片等功能。</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10、在值班检测区域内，当值班人员离开值班区域超过设定时间，系统自动报警并抓拍图片，支持单人、双人离岗事件检测检测。</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11、支持对进入设定警戒区域内，且在区域内滞留时间超过设定值的运动目标进行自动侦测并支持触发报警、上传报警抓拍图片等功能。</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8个检测区域绘制，支持设定警戒区域内的静止物品被移动超过一段时间后触发报警，并支持上传报警抓拍图片等功能。</w:t>
            </w:r>
          </w:p>
          <w:p>
            <w:pPr>
              <w:widowControl/>
              <w:jc w:val="left"/>
              <w:textAlignment w:val="top"/>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13、设备支持集群部署，支持主备节点运行，支持多个GPU芯片，多个GPU芯片集群调度，故障保护（设备断电、硬盘故障），负载均衡，支持对单台设备或者集群内GPU芯片的使用及运行状态进行检查，出现异常时进行提醒。</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14、支持对实时采集的音频进行监测，当声音强度超过预设值或者突然产生高分贝的异常声音时触发报警并上传报警抓拍图片。</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15、支持对检测区域人数大于、等于、小于、不等于某一设定人数且持续时间超过设定值时产生告警事件并抓拍图片。</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16、支持对操作日志、报警日志进行存储及展示并支持导出功能。</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17、支持对触发智能规则的报警事件进行录像存储，并可以设置报警预录和延录时间。</w:t>
            </w:r>
          </w:p>
          <w:p>
            <w:pPr>
              <w:widowControl/>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18、支持对检测区域被未着警服的人员进行检测并触发报警上传抓拍图片。</w:t>
            </w:r>
          </w:p>
          <w:p>
            <w:pPr>
              <w:widowControl/>
              <w:jc w:val="left"/>
              <w:textAlignment w:val="top"/>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★19、提供原厂升级和运维3年服务。</w:t>
            </w:r>
          </w:p>
        </w:tc>
        <w:tc>
          <w:tcPr>
            <w:tcW w:w="63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（三）视频监控配套设备</w:t>
            </w:r>
          </w:p>
        </w:tc>
      </w:tr>
      <w:tr>
        <w:tblPrEx>
          <w:tblCellMar>
            <w:top w:w="15" w:type="dxa"/>
            <w:left w:w="15" w:type="dxa"/>
            <w:bottom w:w="15" w:type="dxa"/>
            <w:right w:w="15" w:type="dxa"/>
          </w:tblCellMar>
        </w:tblPrEx>
        <w:trPr>
          <w:trHeight w:val="286" w:hRule="atLeast"/>
          <w:jc w:val="center"/>
        </w:trPr>
        <w:tc>
          <w:tcPr>
            <w:tcW w:w="888"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17</w:t>
            </w:r>
          </w:p>
        </w:tc>
        <w:tc>
          <w:tcPr>
            <w:tcW w:w="124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户外一体化设备机柜</w:t>
            </w:r>
          </w:p>
        </w:tc>
        <w:tc>
          <w:tcPr>
            <w:tcW w:w="591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一、一体化机柜 1台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1、尺寸：（HxWxD）外参考尺寸：1300mm*650mm*800mm，内参考尺寸：1200mm×600mm×750mm。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2、机柜材质单层冷轧钢板（外板厚度约1.5mm，内板厚度约1.0mm）。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3、保温层厚度15mm厚PEF保温棉。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4、维护方式前、后开门。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5、安装方式落地。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6、机架尺寸：19英寸设备架+2对L型托条；≧21U。</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7、防护等级IP55。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8、工作温度-40℃～+55℃。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9、散热方式：750W交流空调+1个散热风扇。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10、要求可安装于户外高温、高湿环境，产品具备高集成度、占地少、高可靠性、免维护、快速拼装、能适应户外恶劣环境。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11、产品具有完善的散热设计、节能减排。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12、支持动环监控，全方位告警信号检测，实时告警信息上报。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13、按户外一体化柜柜尺寸（1300mm*650mm*800mm）现场制作</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包含现场地面开挖、钢筋地笼、防雷扁钢、混凝土浇筑、配套进线管等。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14、预埋管口预先封口，防止混凝土浇捣时混凝土漏入预埋管中，造成预埋管堵塞。</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15、基础浇捣后，基础面要高于地平面200mm，表面瓷砖装饰。</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二、配电模块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1、冷轧钢板+金属烤漆，支持19英寸标准机柜安装，高度3U。</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2、支持6个双联空开位数，配置满足一体化设备机柜的输入、输出断路器、防雷器、数显电流表。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3、输入电源：48VDC或200VAC，输出分路：48VDC或200VAC。</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4、零地线排：加宽加厚20mm*200mm铜排，通过100A电流升温小于1度。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5、支持5个双联空开位数支持上/走线，左/右侧方走线。</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6、标配液晶LCD显示屏实时显示电压等数据。</w:t>
            </w:r>
          </w:p>
        </w:tc>
        <w:tc>
          <w:tcPr>
            <w:tcW w:w="63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12U壁挂机柜</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12U加厚机柜，尺寸：</w:t>
            </w:r>
            <w:r>
              <w:rPr>
                <w:rFonts w:hint="default" w:ascii="Arial" w:hAnsi="Arial" w:cs="Arial"/>
                <w:color w:val="auto"/>
                <w:kern w:val="0"/>
                <w:sz w:val="21"/>
                <w:szCs w:val="21"/>
                <w:highlight w:val="none"/>
                <w:lang w:eastAsia="zh-CN" w:bidi="ar"/>
              </w:rPr>
              <w:t>约</w:t>
            </w:r>
            <w:r>
              <w:rPr>
                <w:rFonts w:hint="default" w:ascii="Arial" w:hAnsi="Arial" w:eastAsia="宋体" w:cs="Arial"/>
                <w:color w:val="auto"/>
                <w:kern w:val="0"/>
                <w:sz w:val="21"/>
                <w:szCs w:val="21"/>
                <w:highlight w:val="none"/>
                <w:lang w:bidi="ar"/>
              </w:rPr>
              <w:t>635mm*450mm*600mm，固定板1块，风扇部件2组。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网络机柜</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1、尺寸：约800mm*900mm*2055mm</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容量：42U。</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2、主要材料:方孔条与安装梁：耐指纹敷铝锌板；其余：SPCC冷轧板。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3、厚度：方孔条2.0mm；安装梁1.5mm；其余1.2mm。</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4、前后门为网孔门。</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PDU</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十六孔位10A/16APDU，最大功率4000W，标配空气开关连接和控制。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条</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理线架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1、理线器整体材质：采用冷轧钢板，静电喷塑。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2、上下24孔理线出口，后方进线口，方便线缆管理。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3、充足的线槽空间，支持大容量跳线管理，配有卡接式盖板。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4、安装性：19英寸标准机架式设备。</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5、安装高度：1U。</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六类非屏蔽配线架</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（24口，含六类模块）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1、含24口RJ45模块。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2、满足并超过六类传输性能标准，适用于设备间或集中点的互配端接。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3、RJ45模块插座为PBT,IDC打线柱夹子为磷青铜材料，可满足200次插拔。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4、使用单对110型打线工具。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5、所有端口线架前后均有标号。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6、较大的正面标识空间，并配有标号及标签。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7、兼容T568A和T568B线序。</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8、适用于23AWG线规。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24口POE交换机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★1、千兆以太网口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24个（24个POE口），万兆SFP+光口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2、整机POE输出功率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144Mpps（若存在双参数，以较小参数为准）。</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4</w:t>
            </w:r>
            <w:r>
              <w:rPr>
                <w:rFonts w:hint="default" w:ascii="Arial" w:hAnsi="Arial" w:eastAsia="宋体" w:cs="Arial"/>
                <w:b/>
                <w:bCs/>
                <w:color w:val="auto"/>
                <w:kern w:val="0"/>
                <w:sz w:val="21"/>
                <w:szCs w:val="21"/>
                <w:highlight w:val="none"/>
                <w:lang w:bidi="ar"/>
              </w:rPr>
              <w:t>、支持IEEE 802.3af/at POE+功能，单端口最大输入功率30W。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、支持MAC地址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、支持4K个VLAN，支持Voice VLAN，基于端口的VLAN，基于MAC的VLAN，基于协议的VLAN。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、支持VLAN内端口隔离。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、支持Smart link。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、支持端口聚合，每个聚合组至少8个端口。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10</w:t>
            </w:r>
            <w:r>
              <w:rPr>
                <w:rFonts w:hint="default" w:ascii="Arial" w:hAnsi="Arial" w:eastAsia="宋体" w:cs="Arial"/>
                <w:color w:val="auto"/>
                <w:kern w:val="0"/>
                <w:sz w:val="21"/>
                <w:szCs w:val="21"/>
                <w:highlight w:val="none"/>
                <w:lang w:bidi="ar"/>
              </w:rPr>
              <w:t>、支持RIP、RIPng、OSPF、OSPFv3路由协议。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、支持防止DOS、ARP攻击功能、ICMP防攻击。</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2</w:t>
            </w:r>
            <w:r>
              <w:rPr>
                <w:rFonts w:hint="default" w:ascii="Arial" w:hAnsi="Arial" w:eastAsia="宋体" w:cs="Arial"/>
                <w:b/>
                <w:bCs/>
                <w:color w:val="auto"/>
                <w:kern w:val="0"/>
                <w:sz w:val="21"/>
                <w:szCs w:val="21"/>
                <w:highlight w:val="none"/>
                <w:lang w:bidi="ar"/>
              </w:rPr>
              <w:t>、支持纵向虚拟化，作为纵向子节点零配置即插即用。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、支持对端口接收报文速率和发送报文速率进行限制。</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、支持通过命令行、Web、中文图形化配置软件等方式进行配置和管理。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汇聚交换机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★1、交换容量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758Gbps,转发性能</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216Mpps。</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★2、提供千兆电口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24个，万兆SFP+光口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4个，支持业务扩展插槽数</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1个,支持模块化可插拔电源槽位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2个,支持模块化可拔插风扇槽位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2个，满配电源风扇模块。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512K，支持ARP表项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128K,支持Ipv4路由FIB表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512K，Ipv6路由FIB表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64K，端口缓存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4、IP路由：支持RIP v1/v2、OSPF、BGP、ISIS、RIPng、OSPFv3、ISISv6、BGP4+等路由协议，支持策略路由、路由策略、VRRP、BFD for OSPF、BGP、IS-IS、Static Route支持IPv6、支持IPv4/IPv6双栈、IPv6 over IPv4隧道、IPv4 over IPv6隧道。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5、纵向虚拟化：支持纵向虚拟化功能，作为父节点将下联的交换机和无线AP虚拟为一台设备管理。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▲6、支持VxLAN功能，支持BGP EVPN，支持分布式 Anycast 网关，支持VxLAN的自动化部署。（</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7、MPLS：支持MPLS L3VPN、MPLS L2VPN(VPLS/VLL)、MPLS-TE、MPLS QoS。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8、支持防ARP攻击、DOS攻击、ICMP防攻击、CPU防攻击，支持DHCPv6 Snooping，IP Source Guard，SAVI等安全特性。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9、支持真实业务流实时检测技术，实时检测网络故障。</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10、支持SNMP v1/v2/v3、Telnet、RMON、SSHv2，支持通过命令行、Web、中文图形化配置软件等方式进行配置和管理。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万兆光模块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万兆单模光模块，LC接口，1310nm,10km。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千兆光模块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千兆单模光模块，LC接口，1310nm,10km。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光纤配线架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1、可安装96芯LC光纤，包含配线架及光纤导管。</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2、包含96芯光纤耦合器：LC接口，三环A级插芯，损耗小于0.3dB。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LC-LC光纤跳线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1、连接器插针类型：陶瓷。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2、插针端面：UPC端面。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3、连接器插入损耗：</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0.2dB/每接口。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4、连接器回波损耗：</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5、重复性：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0.1dB互换性：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0.1dB。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6、拔插次数：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1000次。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7、线缆外径：3.0mm（单芯）、2*3.0mm（双芯）。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8、护套材质：PVC。</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9、长度：3米。</w:t>
            </w:r>
          </w:p>
          <w:p>
            <w:pPr>
              <w:widowControl/>
              <w:jc w:val="left"/>
              <w:textAlignment w:val="center"/>
              <w:rPr>
                <w:rFonts w:hint="eastAsia" w:ascii="Arial" w:hAnsi="Arial" w:eastAsia="宋体" w:cs="Arial"/>
                <w:color w:val="auto"/>
                <w:sz w:val="21"/>
                <w:szCs w:val="21"/>
                <w:highlight w:val="none"/>
                <w:lang w:eastAsia="zh-CN"/>
              </w:rPr>
            </w:pPr>
            <w:r>
              <w:rPr>
                <w:rFonts w:hint="default" w:ascii="Arial" w:hAnsi="Arial" w:eastAsia="宋体" w:cs="Arial"/>
                <w:color w:val="auto"/>
                <w:kern w:val="0"/>
                <w:sz w:val="21"/>
                <w:szCs w:val="21"/>
                <w:highlight w:val="none"/>
                <w:lang w:bidi="ar"/>
              </w:rPr>
              <w:t>10、使用弯曲半径：建议使用弯曲半径&gt;10倍跳线外径。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光纤配线架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1、1U高度，可安装12芯LC光纤，包含配线架及光纤导管。</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2、包含12芯光纤耦合器：LC接口，三环A级插芯，损耗小于0.3dB。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室外铠装光缆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1、产品类型：单模中心束管式铠装光缆。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、全截面阻水结构，松套管填充特种油膏，确保良好阻水防潮性能。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、衰减＠20℃（DB/Km）：＠1310</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0.36，＠1550</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0.22。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、光纤规格：B1.3（9/125μm）。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、包层不圆度：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、铠装料:钢带；钢带、皱纹钢带。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、加强件:磷化圆钢丝。</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、动态/静态弯曲半径:20D/10D；25D/12.5D。</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、允许压扁力（N/100mm）:300/1000；1000/3000。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、允许拉伸力（N）:600/1500；1000/3000。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、芯数：12芯。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、外护套颜色：黑色。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、存储/工作温度：-40℃～+60℃。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、敷设方式：管道、架空、隧道等敷设（轻铠）；管道、隧道、直埋（重铠）。</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3800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光纤熔接</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1、包含光纤熔接所需要的相关光纤配件和耗材。</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2、熔好的纤芯损耗率要低于0.03dB。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204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芯</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监控立杆（2.2米）</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1、2.2米高，在2.2米和1.8米位置各配一个安装横臂，内部走线。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2、杆体材质采用Q235号钢，经大型数控折弯机模压成形，自动缩口埋弧焊合缝焊接。</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3、蓝白双色，表面喷塑或烤漆。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1363"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监控立杆基础制作</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1、按八棱锥形监控立杆尺寸现场制作，包含现场地面开挖、钢筋地笼、防雷扁钢、混凝土浇筑、配套进线管等。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2、预埋管口预先用封口，以防止混凝土浇捣时混凝土漏入预埋管中，造成预埋管堵塞。</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3、基础浇捣后，基础面必须要高于地平面50mm。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六类非屏蔽网线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4、额定传输速率(NVP)：67%。</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11、电缆外径：5.1±0.3mm。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12、交货长度（米/盘）：305米/箱。</w:t>
            </w:r>
          </w:p>
          <w:p>
            <w:pPr>
              <w:widowControl/>
              <w:jc w:val="left"/>
              <w:textAlignment w:val="center"/>
              <w:rPr>
                <w:rFonts w:hint="eastAsia" w:ascii="Arial" w:hAnsi="Arial" w:eastAsia="宋体" w:cs="Arial"/>
                <w:color w:val="auto"/>
                <w:sz w:val="21"/>
                <w:szCs w:val="21"/>
                <w:highlight w:val="none"/>
                <w:lang w:eastAsia="zh-CN"/>
              </w:rPr>
            </w:pPr>
            <w:r>
              <w:rPr>
                <w:rFonts w:hint="default" w:ascii="Arial" w:hAnsi="Arial" w:eastAsia="宋体" w:cs="Arial"/>
                <w:color w:val="auto"/>
                <w:kern w:val="0"/>
                <w:sz w:val="21"/>
                <w:szCs w:val="21"/>
                <w:highlight w:val="none"/>
                <w:lang w:bidi="ar"/>
              </w:rPr>
              <w:t>13、最小弯曲半径：10倍电缆外径。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箱</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室外六类非屏蔽网线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1、阻水UTP六类4对非屏蔽电缆（单股）。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4、额定传输速率(NVP)：67%。</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11、电缆外径：5.1±0.3mm。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12、交货长度（米/盘）：305米/箱。</w:t>
            </w:r>
          </w:p>
          <w:p>
            <w:pPr>
              <w:widowControl/>
              <w:jc w:val="left"/>
              <w:textAlignment w:val="center"/>
              <w:rPr>
                <w:rFonts w:hint="eastAsia" w:ascii="Arial" w:hAnsi="Arial" w:eastAsia="宋体" w:cs="Arial"/>
                <w:color w:val="auto"/>
                <w:sz w:val="21"/>
                <w:szCs w:val="21"/>
                <w:highlight w:val="none"/>
                <w:lang w:eastAsia="zh-CN"/>
              </w:rPr>
            </w:pPr>
            <w:r>
              <w:rPr>
                <w:rFonts w:hint="default" w:ascii="Arial" w:hAnsi="Arial" w:eastAsia="宋体" w:cs="Arial"/>
                <w:color w:val="auto"/>
                <w:kern w:val="0"/>
                <w:sz w:val="21"/>
                <w:szCs w:val="21"/>
                <w:highlight w:val="none"/>
                <w:lang w:bidi="ar"/>
              </w:rPr>
              <w:t>13、最小弯曲半径：10倍电缆外径。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箱</w:t>
            </w:r>
          </w:p>
        </w:tc>
      </w:tr>
      <w:tr>
        <w:tblPrEx>
          <w:tblCellMar>
            <w:top w:w="15" w:type="dxa"/>
            <w:left w:w="15" w:type="dxa"/>
            <w:bottom w:w="15" w:type="dxa"/>
            <w:right w:w="15" w:type="dxa"/>
          </w:tblCellMar>
        </w:tblPrEx>
        <w:trPr>
          <w:trHeight w:val="19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电源线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tcPr>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1、产品类型：ZR-RVV电缆。</w:t>
            </w:r>
          </w:p>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2、规格：2*2.0mm²。</w:t>
            </w:r>
          </w:p>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keepNext w:val="0"/>
              <w:keepLines w:val="0"/>
              <w:pageBreakBefore w:val="0"/>
              <w:widowControl/>
              <w:kinsoku/>
              <w:wordWrap/>
              <w:overflowPunct/>
              <w:topLinePunct w:val="0"/>
              <w:autoSpaceDE/>
              <w:autoSpaceDN/>
              <w:bidi w:val="0"/>
              <w:adjustRightInd/>
              <w:snapToGrid w:val="0"/>
              <w:jc w:val="left"/>
              <w:textAlignment w:val="top"/>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keepNext w:val="0"/>
              <w:keepLines w:val="0"/>
              <w:pageBreakBefore w:val="0"/>
              <w:widowControl/>
              <w:kinsoku/>
              <w:wordWrap/>
              <w:overflowPunct/>
              <w:topLinePunct w:val="0"/>
              <w:autoSpaceDE/>
              <w:autoSpaceDN/>
              <w:bidi w:val="0"/>
              <w:adjustRightInd/>
              <w:snapToGrid w:val="0"/>
              <w:jc w:val="left"/>
              <w:textAlignment w:val="top"/>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POE防雷保护器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1、标称工作电压Un：5V。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2、冲击耐受能力：5kV&amp;2.5kA（1.2/50μs,&amp;8/20μs）。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3、最大放电电流：10kA。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4、保护水平x-x:20V。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5、接口：RJ45。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6、传输速率：100Mbps。</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7、插入损耗：</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0.5dB。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color w:val="auto"/>
                <w:sz w:val="21"/>
                <w:szCs w:val="21"/>
                <w:highlight w:val="none"/>
              </w:rPr>
            </w:pPr>
            <w:r>
              <w:rPr>
                <w:rFonts w:hint="default" w:ascii="Arial" w:hAnsi="Arial" w:eastAsia="宋体" w:cs="Arial"/>
                <w:b/>
                <w:color w:val="auto"/>
                <w:kern w:val="0"/>
                <w:sz w:val="21"/>
                <w:szCs w:val="21"/>
                <w:highlight w:val="none"/>
                <w:lang w:bidi="ar"/>
              </w:rPr>
              <w:t>二、中心机房及UPS配电间</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（一）装修</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窗户石膏板封堵</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机房窗户封堵及防水，厚度12mm，粘贴10mm厚橡塑保温棉。</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艾特板封墙</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艾特板厚度10mm。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墙面轻钢龙骨基层</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C75轻钢龙骨12mm厚度。</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170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墙面彩钢板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铝箔贴面、阻燃、难燃、30MM厚及以上。</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170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顶面装修</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二底磨平三遍防霉防潮漆，粘贴10mm厚橡塑保温棉，铝合金微孔板吊顶，顶板规格：600mm*600mm*0.8mm。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地面防尘防潮处理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二底磨平三遍防霉防潮漆。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全钢抗静电架高地板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eastAsia="zh-CN" w:bidi="ar"/>
              </w:rPr>
              <w:t>长</w:t>
            </w:r>
            <w:r>
              <w:rPr>
                <w:rFonts w:hint="default" w:ascii="Arial" w:hAnsi="Arial" w:eastAsia="宋体" w:cs="Arial"/>
                <w:color w:val="auto"/>
                <w:kern w:val="0"/>
                <w:sz w:val="21"/>
                <w:szCs w:val="21"/>
                <w:highlight w:val="none"/>
                <w:lang w:eastAsia="zh-CN" w:bidi="ar"/>
              </w:rPr>
              <w:t>×</w:t>
            </w:r>
            <w:r>
              <w:rPr>
                <w:rFonts w:hint="default" w:ascii="Arial" w:hAnsi="Arial" w:cs="Arial"/>
                <w:color w:val="auto"/>
                <w:kern w:val="0"/>
                <w:sz w:val="21"/>
                <w:szCs w:val="21"/>
                <w:highlight w:val="none"/>
                <w:lang w:eastAsia="zh-CN" w:bidi="ar"/>
              </w:rPr>
              <w:t>宽</w:t>
            </w:r>
            <w:r>
              <w:rPr>
                <w:rFonts w:hint="default" w:ascii="Arial" w:hAnsi="Arial" w:eastAsia="宋体" w:cs="Arial"/>
                <w:color w:val="auto"/>
                <w:kern w:val="0"/>
                <w:sz w:val="21"/>
                <w:szCs w:val="21"/>
                <w:highlight w:val="none"/>
                <w:lang w:eastAsia="zh-CN" w:bidi="ar"/>
              </w:rPr>
              <w:t>×</w:t>
            </w:r>
            <w:r>
              <w:rPr>
                <w:rFonts w:hint="default" w:ascii="Arial" w:hAnsi="Arial" w:cs="Arial"/>
                <w:color w:val="auto"/>
                <w:kern w:val="0"/>
                <w:sz w:val="21"/>
                <w:szCs w:val="21"/>
                <w:highlight w:val="none"/>
                <w:lang w:eastAsia="zh-CN" w:bidi="ar"/>
              </w:rPr>
              <w:t>高</w:t>
            </w:r>
            <w:r>
              <w:rPr>
                <w:rFonts w:hint="default" w:ascii="Arial" w:hAnsi="Arial" w:eastAsia="宋体" w:cs="Arial"/>
                <w:color w:val="auto"/>
                <w:kern w:val="0"/>
                <w:sz w:val="21"/>
                <w:szCs w:val="21"/>
                <w:highlight w:val="none"/>
                <w:lang w:bidi="ar"/>
              </w:rPr>
              <w:t>600mm×600mm×35mm。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2、灰白，无边，钢制内六角杯。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3、HPL贴面，厚度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4、平面度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0.5mm。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5、集中载荷</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3500N。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6、均布载荷</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17000N。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7、地板重量12.5±0.5kg/pc。</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8、极限尺寸偏差600±0.1</w:t>
            </w:r>
            <w:r>
              <w:rPr>
                <w:rFonts w:hint="default" w:ascii="Arial" w:hAnsi="Arial" w:cs="Arial"/>
                <w:color w:val="auto"/>
                <w:kern w:val="0"/>
                <w:sz w:val="21"/>
                <w:szCs w:val="21"/>
                <w:highlight w:val="none"/>
                <w:lang w:val="en-US" w:eastAsia="zh-CN" w:bidi="ar"/>
              </w:rPr>
              <w:t>mm</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9、地板系统电阻1×106—1×1010Ω。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10、耐磨值</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3000转，磨损量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0.012g/cm2。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11、防火指标：基材A级，不燃；贴面FV-</w:t>
            </w:r>
            <w:r>
              <w:rPr>
                <w:rFonts w:hint="default" w:ascii="Arial" w:hAnsi="Arial"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12、支架镀锌，高度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300mm，可调节高度±20mm，承重</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2200kg。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13、配置安装所需的全部镀锌支架、镀锌横梁等，全部为防静电地板原厂配置。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14、配置4个防静电地板专用吸盘。</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▲15.提供由</w:t>
            </w:r>
            <w:r>
              <w:rPr>
                <w:rFonts w:hint="default" w:ascii="Arial" w:hAnsi="Arial" w:cs="Arial"/>
                <w:color w:val="auto"/>
                <w:kern w:val="0"/>
                <w:sz w:val="21"/>
                <w:szCs w:val="21"/>
                <w:highlight w:val="none"/>
                <w:lang w:eastAsia="zh-CN" w:bidi="ar"/>
              </w:rPr>
              <w:t>国家认可的第三方</w:t>
            </w:r>
            <w:r>
              <w:rPr>
                <w:rFonts w:hint="default" w:ascii="Arial" w:hAnsi="Arial" w:eastAsia="宋体" w:cs="Arial"/>
                <w:color w:val="auto"/>
                <w:kern w:val="0"/>
                <w:sz w:val="21"/>
                <w:szCs w:val="21"/>
                <w:highlight w:val="none"/>
                <w:lang w:bidi="ar"/>
              </w:rPr>
              <w:t>检验</w:t>
            </w:r>
            <w:r>
              <w:rPr>
                <w:rFonts w:hint="default" w:ascii="Arial" w:hAnsi="Arial" w:cs="Arial"/>
                <w:color w:val="auto"/>
                <w:kern w:val="0"/>
                <w:sz w:val="21"/>
                <w:szCs w:val="21"/>
                <w:highlight w:val="none"/>
                <w:lang w:val="en-US" w:eastAsia="zh-CN" w:bidi="ar"/>
              </w:rPr>
              <w:t>机构</w:t>
            </w:r>
            <w:r>
              <w:rPr>
                <w:rFonts w:hint="default" w:ascii="Arial" w:hAnsi="Arial" w:eastAsia="宋体" w:cs="Arial"/>
                <w:color w:val="auto"/>
                <w:kern w:val="0"/>
                <w:sz w:val="21"/>
                <w:szCs w:val="21"/>
                <w:highlight w:val="none"/>
                <w:lang w:bidi="ar"/>
              </w:rPr>
              <w:t>出具的检测报告复印件；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机柜及电池承重架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H100工字钢，现场焊接。</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9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活动地板四周角钢</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4x40mm镀锌角钢，防锈处理。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不锈钢踢脚线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304#不锈钢，0.8mm厚，120mm高。</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上走线桥架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400mm*150mm网型，镀锌，含支撑架。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下走线桥架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1、400mm*100mm，厚度1.2mm镀锌钢板。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2、根据本项目现场设备、布线安装所需，配置400mm*100mm金属桥架及弯通或符合安装所需的其它规格金属桥架及弯通。</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3、地面铺设，强电线缆使用。</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Arial" w:hAnsi="Arial" w:eastAsia="宋体" w:cs="Arial"/>
                <w:color w:val="auto"/>
                <w:sz w:val="21"/>
                <w:szCs w:val="21"/>
                <w:highlight w:val="none"/>
              </w:rPr>
            </w:pPr>
            <w:r>
              <w:rPr>
                <w:rFonts w:hint="default" w:ascii="Arial" w:hAnsi="Arial" w:eastAsia="宋体" w:cs="Arial"/>
                <w:b/>
                <w:color w:val="auto"/>
                <w:kern w:val="0"/>
                <w:sz w:val="21"/>
                <w:szCs w:val="21"/>
                <w:highlight w:val="none"/>
                <w:lang w:bidi="ar"/>
              </w:rPr>
              <w:t>（二）防雷系统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等电位接地铜排</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镀锡紫铜带，30*3mm，含接地端子绝缘子。</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等电位端子箱</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定制。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局等电位接地线缆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1、产品类型：ZR-BVR电缆。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2、规格：1*16.0mm²。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静电泄放接地线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1、产品类型：ZR</w:t>
            </w:r>
            <w:r>
              <w:rPr>
                <w:rFonts w:hint="default" w:ascii="Arial" w:hAnsi="Arial" w:eastAsia="宋体" w:cs="Arial"/>
                <w:color w:val="auto"/>
                <w:kern w:val="0"/>
                <w:sz w:val="21"/>
                <w:szCs w:val="21"/>
                <w:highlight w:val="none"/>
                <w:lang w:val="en-US" w:eastAsia="zh-CN" w:bidi="ar"/>
              </w:rPr>
              <w:t>-</w:t>
            </w:r>
            <w:r>
              <w:rPr>
                <w:rFonts w:hint="default" w:ascii="Arial" w:hAnsi="Arial" w:eastAsia="宋体" w:cs="Arial"/>
                <w:color w:val="auto"/>
                <w:kern w:val="0"/>
                <w:sz w:val="21"/>
                <w:szCs w:val="21"/>
                <w:highlight w:val="none"/>
                <w:lang w:bidi="ar"/>
              </w:rPr>
              <w:t>BVR电缆。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2、规格：1*6.0mm²。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接地端子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4mm*40mm*400mm+2000mm扁钢。</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铜铁转换接头</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160mm×30mm×3mm。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（三）消防系统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柜式七氟丙烷灭火装置</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1、含箱体、信号反馈装置、高压软管、喷嘴、电磁型驱动装置、检测压力表。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2、充装压力（20℃时）：2.5Mpa。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3、电磁阀工作电压：DC24V。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4、启动电流：1～1.5A。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5、喷射时间：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10S。</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6、使用环境：温度：0℃～50℃。</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七氟丙烷灭火药剂</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1、纯度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99.6﹪。</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2、水份/（mg/kg）</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3、酸度（以HF计）/（mg/kg）</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4、蒸发残留物/﹪</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0.01。</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219</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kg</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气体灭火控制器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1、总线电压：DC30V。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2、环境温度：0℃~50℃；湿度：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95%（40℃±2）。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3、电源输入与机壳间绝缘电阻：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50MΩ。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4、报警总线最大传输距离：1000m。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5、通讯最远传输距离：1000m；串联接法。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6、交流电源输入电压：AC220V（+10％-15％），50Hz。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7、交流电源工作电流：AC</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8、备用电源电池：DC12V7Ah1节。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9、2个气体灭火分区，单机最大容量：128点*1回路，63点*2回路。</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10、≧4.3寸全彩中文液晶显示，可扩展RS232接口，接CRT图形显示系统。</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感温探测器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1、工作电压:DC18V-30V。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2、监视电流:&lt;0.3mA。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3、环境温度:-10℃-55℃。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4、相对湿度: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93%(40±2℃)。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5、采用无极性二总线及自主总线协议报警响应时间快速。</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6、安装螺钉防脱设计，避免现场脱落。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感烟探测器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1、工作电压:DC18V-30V。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2、监视电流:&lt;0.3mA。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3、环境温度:-10℃-55℃。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4、相对温度: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93%(40±2℃)。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5、双光路迷宫結构，对四种标准试验火快速均衡响应。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6、可靠软件设计，具有环境自动跟踪补偿功能及污染报警功能。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7、采用无极性二总线及自主总线协议，报警响应时间快速。</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8、安装螺钉防脱设计，避免现场脱落。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声光报警器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1、工作电压:DC18V-30V。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2、监视电流:&lt;0.3mA。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3、动作电流:&lt;5mA。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4、声压级:75-115db。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5、变频周期:2.5-3.5s闪光频率:1.0Hz-1.5Hz。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6、环境温度:-10℃-55℃。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7、相对湿度: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93％(40±2℃)。</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8、超低功耗，超任静态电流及报警电流。</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9、采用无极性二总线及自主总线协议，无需外接24V。</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紧急启停按钮</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1、工作电压:DC18V-30V。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2、监视电流:&lt;0.3mA。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3、环境温度:-10℃-55℃。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4、相对湿度: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93％(40±20℃)。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5、二线制与控制器无极性二线制连接，占一个编码点。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6、动作触点全密封，抗氧化处理。</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7、播拔式结构。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放气指示灯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1、工作电压：DC24V；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2、环境温度：-10～+50℃；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3、环境湿度：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95%RH(40±2℃)。</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安全出口指示灯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1、工作电压：交流220V、50Hz。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2、使用环境温度：0℃～50℃。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3、输入电压:AC220V/50HZ。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4、功率:3W LED。</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5、应急时间:90min。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6、工作模式:持续式。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7、充电时间: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24。</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8、面板：玻璃；框架铝合金。</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9、安装方式:挂壁式。</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盏</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应急灯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1、工作电压：交流220V、50Hz，直流：36V。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2、使用环境温度：0℃～50℃。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3、输入电压:AC220V/50HZ。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4、光源类型:LED。</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5、应急时间:90min。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6、工作模式:持续式。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7、充电时间: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24。</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8、面板：玻璃；框架铝合金。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9、安装方式:挂壁式。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10、开关类型：停电自动亮。</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11、插头规格：三眼插头。</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盏</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呼吸器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1、防护时间：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30min。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2、滤烟率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3、吸气阻力</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800pa,呼所阻力</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300pa。</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4、环境温度：0℃-40℃。</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泄压口</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1、有效泄压面积：0.12平方米。</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2、平时呈密闭状态，当防护区压力大于设定压力时，叶片可开启，满足防护区泄压的要求。</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（四）微模块系统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一体化综合柜</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一、采用模块化架构设计，冷热通道全密闭，单个模块内须一体化集成机柜系统、供配电系统、制冷系统、管理系统、综合布线系统。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1、模块单柜支持最大额定功率不低于7KW，整体IT功率不低于17KW。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2、防雷等级：CLASSII/C级，In 20kA， Imax 40kA，8/20us。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、支持UPS的输入电压、频率、电流等检测。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、配置要求：密闭通道，机架式变频空调。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、UPS采用机架式UPS。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、电池部署方式要求：支持模块内电池柜部署或模块外电池柜及电池架部署。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、制冷形式方式：支持采用风冷机架式空调，单台制冷量不小于12.5kw。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val="en-US" w:eastAsia="zh-CN" w:bidi="ar"/>
              </w:rPr>
              <w:t>、</w:t>
            </w:r>
            <w:r>
              <w:rPr>
                <w:rFonts w:hint="default" w:ascii="Arial" w:hAnsi="Arial" w:eastAsia="宋体" w:cs="Arial"/>
                <w:color w:val="auto"/>
                <w:kern w:val="0"/>
                <w:sz w:val="21"/>
                <w:szCs w:val="21"/>
                <w:highlight w:val="none"/>
                <w:lang w:bidi="ar"/>
              </w:rPr>
              <w:t>监控功能：单个模块远程WEB界面监控，具备短信告警功能，手机APP移动运维功能。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val="en-US" w:eastAsia="zh-CN" w:bidi="ar"/>
              </w:rPr>
              <w:t>、</w:t>
            </w:r>
            <w:r>
              <w:rPr>
                <w:rFonts w:hint="default" w:ascii="Arial" w:hAnsi="Arial" w:eastAsia="宋体" w:cs="Arial"/>
                <w:color w:val="auto"/>
                <w:kern w:val="0"/>
                <w:sz w:val="21"/>
                <w:szCs w:val="21"/>
                <w:highlight w:val="none"/>
                <w:lang w:bidi="ar"/>
              </w:rPr>
              <w:t>出线方式：总输入电源支持上下进线，其他线缆上出线。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w:t>
            </w:r>
            <w:r>
              <w:rPr>
                <w:rFonts w:hint="default" w:ascii="Arial" w:hAnsi="Arial"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val="en-US" w:eastAsia="zh-CN" w:bidi="ar"/>
              </w:rPr>
              <w:t>、</w:t>
            </w:r>
            <w:r>
              <w:rPr>
                <w:rFonts w:hint="default" w:ascii="Arial" w:hAnsi="Arial" w:eastAsia="宋体" w:cs="Arial"/>
                <w:color w:val="auto"/>
                <w:kern w:val="0"/>
                <w:sz w:val="21"/>
                <w:szCs w:val="21"/>
                <w:highlight w:val="none"/>
                <w:lang w:bidi="ar"/>
              </w:rPr>
              <w:t>考虑节能降噪：冷热通道需全密闭。</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val="en-US" w:eastAsia="zh-CN" w:bidi="ar"/>
              </w:rPr>
              <w:t>1</w:t>
            </w:r>
            <w:r>
              <w:rPr>
                <w:rFonts w:hint="default"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val="en-US" w:eastAsia="zh-CN" w:bidi="ar"/>
              </w:rPr>
              <w:t>、</w:t>
            </w:r>
            <w:r>
              <w:rPr>
                <w:rFonts w:hint="default" w:ascii="Arial" w:hAnsi="Arial" w:eastAsia="宋体" w:cs="Arial"/>
                <w:color w:val="auto"/>
                <w:kern w:val="0"/>
                <w:sz w:val="21"/>
                <w:szCs w:val="21"/>
                <w:highlight w:val="none"/>
                <w:lang w:bidi="ar"/>
              </w:rPr>
              <w:t>模块化设计：配电、UPS、监控、空调内机要求均为模块化设计，便于维护。</w:t>
            </w:r>
          </w:p>
          <w:p>
            <w:pPr>
              <w:widowControl/>
              <w:jc w:val="left"/>
              <w:textAlignment w:val="center"/>
              <w:rPr>
                <w:rFonts w:hint="default" w:ascii="Arial" w:hAnsi="Arial" w:eastAsia="宋体" w:cs="Arial"/>
                <w:b/>
                <w:bCs/>
                <w:color w:val="auto"/>
                <w:kern w:val="0"/>
                <w:sz w:val="21"/>
                <w:szCs w:val="21"/>
                <w:highlight w:val="none"/>
                <w:lang w:bidi="ar"/>
              </w:rPr>
            </w:pPr>
            <w:r>
              <w:rPr>
                <w:rFonts w:hint="default" w:ascii="Arial" w:hAnsi="Arial" w:eastAsia="宋体" w:cs="Arial"/>
                <w:b/>
                <w:bCs/>
                <w:color w:val="auto"/>
                <w:kern w:val="0"/>
                <w:sz w:val="21"/>
                <w:szCs w:val="21"/>
                <w:highlight w:val="none"/>
                <w:lang w:bidi="ar"/>
              </w:rPr>
              <w:t>二、供配电系统支持380/400/415Vac,50Hz,3Ph+N+PE制式的配电方案。</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三、UPS提供不间断供电保障，当外部主用电源紧急断电时，UPS通过蓄电池组为IT负载提供电力供应。UPS应满足如下要求：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1、UPS额定容量≧20KVA，19英寸机架式安装，在机柜中占用3U空间。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2、UPS额定输入输出为单相380/400/415V，50/60Hz，3Ph+N+PE。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3、输入电压范围138~485VAC。</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4、高效率，在线模式下，效率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94.5%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5、过载能力，在125%的额定负载时，可持续60s。</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6、UPS通信接口为RS485，监控UPS运行参数和状态。</w:t>
            </w:r>
          </w:p>
          <w:p>
            <w:pPr>
              <w:widowControl/>
              <w:jc w:val="left"/>
              <w:textAlignment w:val="center"/>
              <w:rPr>
                <w:rFonts w:hint="default" w:ascii="Arial" w:hAnsi="Arial" w:eastAsia="宋体" w:cs="Arial"/>
                <w:b/>
                <w:bCs/>
                <w:color w:val="auto"/>
                <w:kern w:val="0"/>
                <w:sz w:val="21"/>
                <w:szCs w:val="21"/>
                <w:highlight w:val="none"/>
                <w:lang w:bidi="ar"/>
              </w:rPr>
            </w:pPr>
            <w:r>
              <w:rPr>
                <w:rFonts w:hint="default" w:ascii="Arial" w:hAnsi="Arial" w:eastAsia="宋体" w:cs="Arial"/>
                <w:b/>
                <w:bCs/>
                <w:color w:val="auto"/>
                <w:kern w:val="0"/>
                <w:sz w:val="21"/>
                <w:szCs w:val="21"/>
                <w:highlight w:val="none"/>
                <w:lang w:bidi="ar"/>
              </w:rPr>
              <w:t>四、UPS输入参数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1、输入电压范围：三相138V AC～485V AC（138V AC～305V AC间），负载在40%～100%间线性降额。</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2、额定输入电压：380V AC/ 400V AC /415V AC（三相）。</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3、输入频率范围：40Hz～70Hz。</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五、UPS输出参数</w:t>
            </w:r>
          </w:p>
          <w:p>
            <w:pPr>
              <w:widowControl/>
              <w:jc w:val="left"/>
              <w:textAlignment w:val="center"/>
              <w:rPr>
                <w:rFonts w:hint="default" w:ascii="Arial" w:hAnsi="Arial" w:eastAsia="宋体" w:cs="Arial"/>
                <w:b/>
                <w:bCs/>
                <w:color w:val="auto"/>
                <w:kern w:val="0"/>
                <w:sz w:val="21"/>
                <w:szCs w:val="21"/>
                <w:highlight w:val="none"/>
                <w:lang w:bidi="ar"/>
              </w:rPr>
            </w:pPr>
            <w:r>
              <w:rPr>
                <w:rFonts w:hint="default" w:ascii="Arial" w:hAnsi="Arial" w:eastAsia="宋体" w:cs="Arial"/>
                <w:b/>
                <w:bCs/>
                <w:color w:val="auto"/>
                <w:kern w:val="0"/>
                <w:sz w:val="21"/>
                <w:szCs w:val="21"/>
                <w:highlight w:val="none"/>
                <w:lang w:bidi="ar"/>
              </w:rPr>
              <w:t>★1、额定容量≧20KVA</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 xml:space="preserve">2、额定电压：380V AC/ 400V AC/ 415V AC（三相输出，通过LCD 设置电压等级来选择不同的电压制式）。 </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3、功率因数：0.9 ； 最大效率：95%</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4、过载能力：市电模式，105%～125%负载下：5min，旁路正常转旁路，旁路异常直接切断输出；市电模式，125%～150%负载下：1min，旁路正常转旁路，旁路异常直接切断输出；市电模式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150%负载下：0.1s，旁路正常转旁路，旁路异常直接切断输出。</w:t>
            </w:r>
          </w:p>
          <w:p>
            <w:pPr>
              <w:widowControl/>
              <w:jc w:val="left"/>
              <w:textAlignment w:val="center"/>
              <w:rPr>
                <w:rFonts w:hint="default" w:ascii="Arial" w:hAnsi="Arial" w:eastAsia="宋体" w:cs="Arial"/>
                <w:b/>
                <w:bCs/>
                <w:color w:val="auto"/>
                <w:kern w:val="0"/>
                <w:sz w:val="21"/>
                <w:szCs w:val="21"/>
                <w:highlight w:val="none"/>
                <w:lang w:bidi="ar"/>
              </w:rPr>
            </w:pPr>
            <w:r>
              <w:rPr>
                <w:rFonts w:hint="default" w:ascii="Arial" w:hAnsi="Arial" w:eastAsia="宋体" w:cs="Arial"/>
                <w:b/>
                <w:bCs/>
                <w:color w:val="auto"/>
                <w:kern w:val="0"/>
                <w:sz w:val="21"/>
                <w:szCs w:val="21"/>
                <w:highlight w:val="none"/>
                <w:lang w:bidi="ar"/>
              </w:rPr>
              <w:t>六、配电箱</w:t>
            </w:r>
          </w:p>
          <w:p>
            <w:pPr>
              <w:widowControl/>
              <w:jc w:val="left"/>
              <w:textAlignment w:val="center"/>
              <w:rPr>
                <w:rFonts w:hint="default" w:ascii="Arial" w:hAnsi="Arial" w:eastAsia="宋体" w:cs="Arial"/>
                <w:color w:val="auto"/>
                <w:kern w:val="0"/>
                <w:sz w:val="21"/>
                <w:szCs w:val="21"/>
                <w:highlight w:val="none"/>
                <w:lang w:bidi="ar"/>
              </w:rPr>
            </w:pPr>
            <w:r>
              <w:rPr>
                <w:rFonts w:hint="eastAsia"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配电类型： UPS输入输出配电模块、指示灯配电模块。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2、安装方式：机架安装。</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3、配电箱高度：6U；指示灯模块高度：1U。</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4、电气性能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（1）配电箱：包含UPS输入、UPS输出、UPS维修旁路开关、防雷保护开关；配电模块至少配备12路IT输出。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（2）防雷：标配C级防雷器，防雷器前端需具有防雷保护开关，同时具有防雷开关或防雷器故障指示的微动开关，以便远程监控防雷状态。</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七、微模块监控系统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1、温湿度监控：能对微模块内环境的温湿度进行检测和数据统计。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2、漏水监控：能对微模块底部进行漏水检测，提供实时告警信号。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3、烟雾监控：能对微模块内的烟雾状态监测，提供实时告警信号。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4、配电监控：可检测UPS的输入电压、频率、电流等。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5、智能温控产品监控：送风和回风温湿度实时监测，统一配置送风温度设定点，无需每台智能温控产品单独设置。风机转速监测显示及运行百分比显示。显示制冷负载率百分比。显示并监测压缩机运行状态。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6、视频监控：摄像机接入，并提供PoE供电；可通过Web访问摄像机实时画面，并支持调用历史监控数据。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7、视图功能:支持生成与微模块实际布置匹配的2.5D布局图，包括配电模块、智能温控产品、IT机柜、温湿度等。支持在平面图上直观显示通道温湿度的实时状态监测和告警。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8、支持PADApp端登录成功后在相应操作界面开启机柜门。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告警功能：监测智能温控产品、配电、环境等状态，如有故障或参数异常，系统会实时告警，可在告警详细描述里获取告警产生原因和解决方法。按紧急、重要、一般、提示四种级别进行告警，告警级别用户可自定义。活动告警支持按设备和告警级别筛选。告警与灯光进行联动，通过灯光展示告警等级对应的颜色。通过邮件、短信进行告警通知。最多同时支持500条活动告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10、历史查询功能：用户可以查看系统中曾经产生过的告警信息。查看的历史告警信息包括设备名称、告警名称、告警级别、告警产生时间及告警消失时间。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11、联动控制功能：通道内烟感告警或高温告警联动，联动时自动弹开IT机柜门。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、pad显示屏控制器显示屏9.6英寸以上，支持无线接入数据机房管理系统，通过APP可对数据机房设备和环境参数进行实时监测。</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、为保证机房系统的统一规划、管理、调试及可靠性，UPS、精密空调、动环监控系统平板电脑等需采用相互兼容的产品。</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动环监控模块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1、含2个非定位式水浸传感器-12VDC-支持常开或常闭触点-标配5m水浸绳,最大延长到50m。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2、含32个NTC温度传感器--20-70degC-+/-1degC(25degC)。</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3、含2套视频单元-FE/DC12V/POE/SD卡-存储时间≧7天。</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IT机柜</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1"/>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密闭冷通道深度不大于250mm，冷热通道需全密闭。</w:t>
            </w:r>
          </w:p>
          <w:p>
            <w:pPr>
              <w:widowControl/>
              <w:numPr>
                <w:ilvl w:val="0"/>
                <w:numId w:val="1"/>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2、机柜内后部可安装两条竖装PDU。</w:t>
            </w:r>
          </w:p>
          <w:p>
            <w:pPr>
              <w:widowControl/>
              <w:numPr>
                <w:ilvl w:val="0"/>
                <w:numId w:val="1"/>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3、机柜的垂直安装上标示有每“U”的位置。</w:t>
            </w:r>
          </w:p>
          <w:p>
            <w:pPr>
              <w:widowControl/>
              <w:numPr>
                <w:ilvl w:val="0"/>
                <w:numId w:val="1"/>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b/>
                <w:bCs/>
                <w:color w:val="auto"/>
                <w:kern w:val="0"/>
                <w:sz w:val="21"/>
                <w:szCs w:val="21"/>
                <w:highlight w:val="none"/>
                <w:lang w:bidi="ar"/>
              </w:rPr>
              <w:t>★4、机柜的前门和后门带智能门锁，可用钥匙打开；出现机柜内温度超限或消防告警时可自动弹开，用于应急散热和消防联动。</w:t>
            </w:r>
          </w:p>
          <w:p>
            <w:pPr>
              <w:widowControl/>
              <w:numPr>
                <w:ilvl w:val="0"/>
                <w:numId w:val="1"/>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5、机柜加通道整体深度不大于1350mm。</w:t>
            </w:r>
          </w:p>
          <w:p>
            <w:pPr>
              <w:widowControl/>
              <w:numPr>
                <w:ilvl w:val="0"/>
                <w:numId w:val="0"/>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6、外形尺寸：（高×宽×深）IT机柜：2000mm×600mm×1350mm</w:t>
            </w:r>
          </w:p>
          <w:p>
            <w:pPr>
              <w:widowControl/>
              <w:numPr>
                <w:ilvl w:val="0"/>
                <w:numId w:val="0"/>
              </w:numPr>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7、颜色：黑色；材质：高强度A级优质碳素冷轧钢板和镀锌板；风道：前后风道。</w:t>
            </w:r>
          </w:p>
          <w:p>
            <w:pPr>
              <w:widowControl/>
              <w:numPr>
                <w:ilvl w:val="0"/>
                <w:numId w:val="0"/>
              </w:numPr>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8、安装空间：机柜提供42U可用空间。</w:t>
            </w:r>
          </w:p>
          <w:p>
            <w:pPr>
              <w:widowControl/>
              <w:numPr>
                <w:ilvl w:val="0"/>
                <w:numId w:val="0"/>
              </w:numPr>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9、前后方孔条之间距离可按照25mm步距调节。</w:t>
            </w:r>
          </w:p>
          <w:p>
            <w:pPr>
              <w:widowControl/>
              <w:numPr>
                <w:ilvl w:val="0"/>
                <w:numId w:val="0"/>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10、安装方式：支持水泥地面及架空地板安装；静载：1500kg；动载：1000kg。</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PDU</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1、输出接口20*GB10A+4*GB 16A-国标插座-7.3KVA-竖装全高。</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2、交流PUD采用黑色涂层，外壳选用优质型材或钢板，应具备强度高，坚固耐用，抗压性能和耐蚀性能等特点。</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3、PDU须安装在机柜后侧，PDU与机柜的固定方式应灵活、方便，利于安装和拆卸。</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条</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机架式精密空调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1、精密空调，集成于基础设施一体柜，机架式安装。</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2、高能效全直流变频压缩机，冷量可实现30%～100%无级调节，输出冷量可调节。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3、电机变频启动，降低启动电流，消除对电网和其他用电单位的冲击。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4、空调设备具有FE接口，以MAC协议总线组网，实现群控功能。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5、采用电子膨胀阀，可快速准确的根据温湿度需求调节制冷剂流量。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6、低载除湿：低载无凝露设计，可以使低负载（最低10%）、湿度维持在80%以下。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7、制冷剂管路和水管管路均可实现上、下走管场景，空调内外机管路免焊接设计。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8、可通过监控单元对系统进行监控和参数设定。温湿度传感器通过RJ12端口级联，接至智能温控产品控制单元，以Modbus协议，实现温湿度实时检测功能。</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★9、技术参数：总冷量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12.5kW，显冷量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12.5kW，显热比＝1；能效比</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3；空调风量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2600m^3/h；整机供电电压208V AC～240V AC 50Hz/60Hz 1Ph+N+PE满足6kV防雷设计。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10、自带制冷剂，满足30m连管使用；预充冷冻油满足80m连管使用。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11、不少于10米（5/8"和3/8"铜管）、弯头、保温管等。</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12、不少于1个降噪模块。</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精密空调下走管组件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综合柜双空调下走管管路组件，5/8"(气管)&amp;3/8"(液管)x2M(含工程辅料)。</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机柜线槽</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适用600</w:t>
            </w:r>
            <w:r>
              <w:rPr>
                <w:rFonts w:hint="default" w:ascii="Arial" w:hAnsi="Arial" w:cs="Arial"/>
                <w:color w:val="auto"/>
                <w:kern w:val="0"/>
                <w:sz w:val="21"/>
                <w:szCs w:val="21"/>
                <w:highlight w:val="none"/>
                <w:lang w:val="en-US" w:eastAsia="zh-CN" w:bidi="ar"/>
              </w:rPr>
              <w:t>mm</w:t>
            </w:r>
            <w:r>
              <w:rPr>
                <w:rFonts w:hint="default" w:ascii="Arial" w:hAnsi="Arial" w:eastAsia="宋体" w:cs="Arial"/>
                <w:color w:val="auto"/>
                <w:kern w:val="0"/>
                <w:sz w:val="21"/>
                <w:szCs w:val="21"/>
                <w:highlight w:val="none"/>
                <w:lang w:bidi="ar"/>
              </w:rPr>
              <w:t>宽机柜，单通道走线槽，强弱电分离。</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线缆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模块内线缆、信号电缆、rPDU电源电缆。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电池</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蓄电池, 阀控式密封铅酸蓄电池,12V,100Ah,UPS专用电池。</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节</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电池架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尺寸：820mm*920mm*1600mm，含16mm²电池内部接连线，电池空开。</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市电输入线缆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1、产品类型：YJV电缆。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2、规格：4*25mm²+1*16mm²。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电池线缆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1、产品类型：ZR-BVR电缆。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2、规格：1*16.0mm²。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（五）UPS间设备</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配电箱及配电模块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包含总输入3P250A（ATS）开关1个,UPS输入:250A/3P*1，UPS总输出:250A/3P*1，维修旁路开关3P250A1个，UPS输出开关1P63A*16，市电输出开（3P125A*23P63*1,1P20*10），UPS分配单体开关：1P63A*24。</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配电箱及配电模块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总输入320A/3P*1，精密空调:32A/3P*4(三用一备)，UPS输入:250A/3P*1，UPS总输出:250A/3P*1，智能电表;维修旁路:200A/4P*1，UPS分配机房开关:32A*1P*34(PDU共32路，备用2路)，16A/1P*3(应急通风和监控等)，UPS分配单体开关：32A*1P*15，UPS分配宿舍开关：63A*2P*8。</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市电输入电缆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1、产品类型：ZA-YJV电缆。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2、规格：4x95mm²+1x50mm²。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UPS输入输出线缆，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1、产品类型：YJV电缆。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2、规格：4*70mm²+1*35mm²。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电池汇流盒至UPS电缆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1、产品类型：BVR电缆。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2、规格：95mm²。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单体输入电缆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2、规格：3x6mm²。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2500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宿舍输入电缆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2、规格：3x10mm²。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精密空调防水堤内部防水</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防水涂料三遍。</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精密空调防水堤内部防水</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防水涂料三遍。</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r>
              <w:rPr>
                <w:rFonts w:hint="default" w:ascii="Arial" w:hAnsi="Arial" w:eastAsia="宋体" w:cs="Arial"/>
                <w:color w:val="auto"/>
                <w:kern w:val="0"/>
                <w:sz w:val="21"/>
                <w:szCs w:val="21"/>
                <w:highlight w:val="none"/>
                <w:vertAlign w:val="superscript"/>
                <w:lang w:bidi="ar"/>
              </w:rPr>
              <w:t>2</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（六）机房设备</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89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核心交换机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1、设备性能：交换容量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256Tbps,转发性能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14400Mpps。</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★2、硬件规格：整机全宽业务板槽位数</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4个，全宽槽位独立主控引擎</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2个，独立的交换网槽位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2个，独立监控板槽位数</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2个，独立的风扇框数量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2个，可拔插电源模块槽位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4个，所有可插拔板卡（主控、交换、业务板卡）前插板，所有走线全部在前面板走线。</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★3、设备配置：提供主控引擎</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2块，提供交换网板</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2块，提供独立监控板</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1块，提供交流电源模块</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2块，提供万兆以太网SFP+接口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48个；提供5米万兆集群电缆</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▲4、风道设计：支持模块化可热插拔的独立风扇框，且数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2个，机箱采用后出风风道设计。（若有请提供设备彩页复印件）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5、设备监控：支持独立槽位的监控板卡。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6、规格表项：MAC地址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512K，ARP表项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256K，ACL表项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128K，Ipv4FIB</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512，Ipv6 FIB</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7、IP路由：支持OSPF、OSPFv3、IS-IS、IS-ISv6、BGP、BGP4+、策略路由、路由策略，支持IPv4和IPv6双协议栈。</w:t>
            </w:r>
          </w:p>
          <w:p>
            <w:pPr>
              <w:widowControl/>
              <w:jc w:val="left"/>
              <w:textAlignment w:val="center"/>
              <w:rPr>
                <w:rFonts w:hint="eastAsia" w:ascii="Arial" w:hAnsi="Arial" w:cs="Arial"/>
                <w:color w:val="auto"/>
                <w:kern w:val="0"/>
                <w:sz w:val="21"/>
                <w:szCs w:val="21"/>
                <w:highlight w:val="none"/>
                <w:lang w:val="en-US" w:eastAsia="zh-CN" w:bidi="ar"/>
              </w:rPr>
            </w:pPr>
            <w:r>
              <w:rPr>
                <w:rFonts w:hint="default" w:ascii="Arial" w:hAnsi="Arial" w:eastAsia="宋体" w:cs="Arial"/>
                <w:color w:val="auto"/>
                <w:kern w:val="0"/>
                <w:sz w:val="21"/>
                <w:szCs w:val="21"/>
                <w:highlight w:val="none"/>
                <w:lang w:bidi="ar"/>
              </w:rPr>
              <w:t>▲8、虚拟化：支持横向虚拟化技术，将多台设备虚拟为一台，支持纵向虚拟化技术，支持把交换机和AP虚拟为一台设备。（</w:t>
            </w:r>
            <w:r>
              <w:rPr>
                <w:rFonts w:hint="default" w:ascii="Arial" w:hAnsi="Arial" w:eastAsia="宋体" w:cs="Arial"/>
                <w:color w:val="auto"/>
                <w:kern w:val="0"/>
                <w:sz w:val="21"/>
                <w:szCs w:val="21"/>
                <w:highlight w:val="none"/>
                <w:lang w:eastAsia="zh-CN" w:bidi="ar"/>
              </w:rPr>
              <w:t>若有请提供具备满足此参数的检测报告复印件</w:t>
            </w:r>
            <w:r>
              <w:rPr>
                <w:rFonts w:hint="eastAsia" w:ascii="Arial" w:hAnsi="Arial" w:cs="Arial"/>
                <w:color w:val="auto"/>
                <w:kern w:val="0"/>
                <w:sz w:val="21"/>
                <w:szCs w:val="21"/>
                <w:highlight w:val="none"/>
                <w:lang w:val="en-US" w:eastAsia="zh-CN"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9、无线管理：支持业务板集成AC功能，业务单板+AC只占用1个业务槽位，实现对AP的接入控制、AP域管理、有线无线用户的统一认证管理。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▲10、VxLAN：支持VxLAN功能，支持VxLAN二层网关、三层网关，支持BGP EVPN，实现自动建立隧道。（</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▲11、可靠性：支持真实业务流的实时检测技术，秒级快速故障定位；支持硬件BFD，≦3.3ms稳定均匀发包检测。（</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12、MPLS：支持MPLS L3VPN、MPLS L2VPN(VPLS，VLL)、MPLS-TE、MPLS QoS。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13、安全认证：支持MACSec，支持MAC地址认证、Portal认证、802.1x认证，支持防范DoS攻击、TCP的SYN Flood攻击、UDP Flood攻击、广播风暴攻击、大流量攻击。</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14、管理维护：支持WEB网管，支持通过命令行、中文图形化配置软件等方式进行配置和管理，支持用户操作日志，支持WEB网管，支持802.3az能效以太网。</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汇聚交换机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★1、交换容量</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758Gbps, 转发性能</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216Mpps。</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★2、提供千兆电口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24个，万兆SFP+光口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4个，支持业务扩展插槽数</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1个,支持模块化可插拔电源槽位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2个,支持模块化可拔插风扇槽位</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2个，满配电源风扇模块。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512K，支持ARP表项</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128K,支持Ipv4路由FIB表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512K，Ipv6路由FIB表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64K，端口缓存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4、IP路由：支持RIP v1/v2、OSPF、BGP、ISIS、RIPng、OSPFv3、ISISv6、BGP4+等路由协议，支持策略路由、路由策略、VRRP、BFD for OSPF、BGP、IS-IS、Static Route支持IPv6、支持IPv4/IPv6双栈、IPv6 over IPv4隧道、IPv4 over IPv6隧道。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5、纵向虚拟化：支持纵向虚拟化功能，作为父节点将下联的交换机和无线AP虚拟为一台设备管理。 </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▲6、支持VxLAN功能，支持BGP EVPN，支持分布式 Anycast 网关，支持VxLAN的自动化部署。（</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7、MPLS：支持MPLS L3VPN、MPLS L2VPN(VPLS/VLL)、MPLS-TE、MPLS QoS。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8、支持防ARP攻击、DOS攻击、ICMP防攻击、CPU防攻击，支持DHCPv6 Snooping，IP Source Guard，SAVI等安全特性。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9、支持真实业务流实时检测技术，实时检测网络故障。</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10、支持SNMP v1/v2/v3、Telnet、RMON、SSHv2，支持通过命令行、Web、中文图形化配置软件等方式进行配置和管理。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24口POE交换机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★1、千兆以太网口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24个（24个POE口），万兆SFP+光口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2、整机POE输出功率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144Mpps（若存在双参数，以较小参数为准）。</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4</w:t>
            </w:r>
            <w:r>
              <w:rPr>
                <w:rFonts w:hint="default" w:ascii="Arial" w:hAnsi="Arial" w:eastAsia="宋体" w:cs="Arial"/>
                <w:b/>
                <w:bCs/>
                <w:color w:val="auto"/>
                <w:kern w:val="0"/>
                <w:sz w:val="21"/>
                <w:szCs w:val="21"/>
                <w:highlight w:val="none"/>
                <w:lang w:bidi="ar"/>
              </w:rPr>
              <w:t>、支持IEEE 802.3af/at POE+功能，单端口最大输入功率30W。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、支持MAC地址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、支持4K个VLAN，支持Voice VLAN，基于端口的VLAN，基于MAC的VLAN，基于协议的VLAN。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、支持VLAN内端口隔离。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支持Smart link。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支持端口聚合，每个聚合组至少8个端口。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10、</w:t>
            </w:r>
            <w:r>
              <w:rPr>
                <w:rFonts w:hint="default" w:ascii="Arial" w:hAnsi="Arial" w:eastAsia="宋体" w:cs="Arial"/>
                <w:color w:val="auto"/>
                <w:kern w:val="0"/>
                <w:sz w:val="21"/>
                <w:szCs w:val="21"/>
                <w:highlight w:val="none"/>
                <w:lang w:bidi="ar"/>
              </w:rPr>
              <w:t>支持RIP、RIPng、OSPF、OSPFv3路由协议。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11、</w:t>
            </w:r>
            <w:r>
              <w:rPr>
                <w:rFonts w:hint="default" w:ascii="Arial" w:hAnsi="Arial" w:eastAsia="宋体" w:cs="Arial"/>
                <w:color w:val="auto"/>
                <w:kern w:val="0"/>
                <w:sz w:val="21"/>
                <w:szCs w:val="21"/>
                <w:highlight w:val="none"/>
                <w:lang w:bidi="ar"/>
              </w:rPr>
              <w:t>支持防止DOS、ARP攻击功能、ICMP防攻击。</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val="en-US" w:eastAsia="zh-CN" w:bidi="ar"/>
              </w:rPr>
              <w:t>★12、</w:t>
            </w:r>
            <w:r>
              <w:rPr>
                <w:rFonts w:hint="default" w:ascii="Arial" w:hAnsi="Arial" w:eastAsia="宋体" w:cs="Arial"/>
                <w:b/>
                <w:bCs/>
                <w:color w:val="auto"/>
                <w:kern w:val="0"/>
                <w:sz w:val="21"/>
                <w:szCs w:val="21"/>
                <w:highlight w:val="none"/>
                <w:lang w:bidi="ar"/>
              </w:rPr>
              <w:t>支持纵向虚拟化，作为纵向子节点零配置即插即用。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13、</w:t>
            </w:r>
            <w:r>
              <w:rPr>
                <w:rFonts w:hint="default" w:ascii="Arial" w:hAnsi="Arial" w:eastAsia="宋体" w:cs="Arial"/>
                <w:color w:val="auto"/>
                <w:kern w:val="0"/>
                <w:sz w:val="21"/>
                <w:szCs w:val="21"/>
                <w:highlight w:val="none"/>
                <w:lang w:bidi="ar"/>
              </w:rPr>
              <w:t>支持对端口接收报文速率和发送报文速率进行限制。</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14、</w:t>
            </w:r>
            <w:r>
              <w:rPr>
                <w:rFonts w:hint="default" w:ascii="Arial" w:hAnsi="Arial" w:eastAsia="宋体" w:cs="Arial"/>
                <w:color w:val="auto"/>
                <w:kern w:val="0"/>
                <w:sz w:val="21"/>
                <w:szCs w:val="21"/>
                <w:highlight w:val="none"/>
                <w:lang w:bidi="ar"/>
              </w:rPr>
              <w:t>支持通过命令行、Web、中文图形化配置软件等方式进行配置和管理。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千兆POE防雷保护器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千兆POE防雷保护器，RJ45接口，响应时间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1ns。</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万兆光模块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万兆单模光模块，LC接口，1310nm,10km。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24个，千兆SFP光口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4个,1个console口。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96Mpps。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3、支持IEEE 802、3az 标准的 EEE节能技术。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4、支持portal以及802.1x认证，实现有线终端的安全准入。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5、支持三层功能，ARP表项数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512、MAC地址数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16K，Vlan数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4K。</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6、支持防止ARP欺骗、防止DOS攻击，支持STP、RSTP、MSTP协议功能。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六类非屏蔽跳线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1、（305M）UTP六类4对非屏蔽电缆（单股）。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4、跳线长度：3米。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11、电缆外径：5.1±0.3mm。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条</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PDU</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十六孔位10A/16APDU，最大功率4000W，标配空气开关连接和控制。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条</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理线架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1、理线器整体材质：采用冷轧钢板，静电喷塑。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2、上下24孔理线出口，后方进线口，方便线缆管理。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3、支持大容量跳线管理，配有卡接式盖板。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4、安装性：19英寸标准机架式设备。</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5、安装高度：1U。</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六类非屏蔽配线架</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（24口，含六类模块）</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1、含24口RJ45模块。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2、满足并超过六类传输性能标准，适用于设备间或集中点的互配端接。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3、RJ45模块插座为PBT,IDC打线柱夹子为磷青铜材料，可满足200次插拔。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4、使用单对110型打线工具。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5、所有端口线架前后均有标号。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6、较大的正面标识空间，并配有标号及标签。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7、兼容T568A和T568B线序。</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8、适用于23AWG线规。</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99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超融合一体机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1、标准2U的机架式服务器，配置冗余风扇、电源。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2、处理器配置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2颗CPU，每CPU</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16物理核，主频</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2.9 GHz。</w:t>
            </w:r>
          </w:p>
          <w:p>
            <w:pPr>
              <w:widowControl/>
              <w:jc w:val="left"/>
              <w:textAlignment w:val="center"/>
              <w:rPr>
                <w:rFonts w:hint="eastAsia" w:ascii="Arial" w:hAnsi="Arial" w:eastAsia="宋体" w:cs="Arial"/>
                <w:color w:val="auto"/>
                <w:kern w:val="0"/>
                <w:sz w:val="21"/>
                <w:szCs w:val="21"/>
                <w:highlight w:val="none"/>
                <w:lang w:val="en-US" w:eastAsia="zh-CN" w:bidi="ar"/>
              </w:rPr>
            </w:pPr>
            <w:r>
              <w:rPr>
                <w:rFonts w:hint="default" w:ascii="Arial" w:hAnsi="Arial" w:eastAsia="宋体" w:cs="Arial"/>
                <w:color w:val="auto"/>
                <w:kern w:val="0"/>
                <w:sz w:val="21"/>
                <w:szCs w:val="21"/>
                <w:highlight w:val="none"/>
                <w:lang w:bidi="ar"/>
              </w:rPr>
              <w:t>3、内存配置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16*32GB DDR4 2666内存；内存插槽数量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24个，最大支持内存可扩展至1.5TB；具备内存回收机制，实现内存资源的动态复用，保障服务器的性</w:t>
            </w:r>
            <w:r>
              <w:rPr>
                <w:rFonts w:hint="eastAsia" w:ascii="Arial" w:hAnsi="Arial" w:cs="Arial"/>
                <w:color w:val="auto"/>
                <w:kern w:val="0"/>
                <w:sz w:val="21"/>
                <w:szCs w:val="21"/>
                <w:highlight w:val="none"/>
                <w:lang w:val="en-US" w:eastAsia="zh-CN" w:bidi="ar"/>
              </w:rPr>
              <w:t>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eastAsia"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、硬盘：配置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8块3.5寸8T SATA数据盘、</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2*256GB SSD系统盘（不占用前置硬盘槽）、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4块960G SAS SSD缓存盘，支持热插拔SAS/SATA硬盘，兼容2.5英寸和3.5英寸硬盘，配备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12个2.5/3.5寸硬盘槽。 </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5、设备最多支持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6个PCIe插槽，配备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6个千兆电口和2个万兆光口。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6、RAID功能：提供raid 0/1/10并支持直通。</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7、含8条3M多模光纤线LC-LC跳线。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、含2对万兆多模光模块（LC接口，850nm,0.3km）。</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、包含3年硬件保修服务。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计算服务器虚拟化软件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1、虚拟机可以实现物理机的全部功能，具有自己的资源（内存、CPU、网卡、存储），可以指定单独的MAC地址等。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2、虚拟化内核基于KVM底层开发，支持并配置动态资源扩展功能，系统将自动评估虚拟机的性能情况，当虚拟机性能不足时自动为虚拟机添加CPU和内存资源。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3、支持配置内存回收机制，实现虚拟化平台内存资源的动态复用，保障虚拟机的性能。</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★4、支持虚拟机卡死及蓝屏的检测功能并实现自动重启，无需人工干预减少运维工作量。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5、支持IO重试，当存储出现故障，导致虚拟机无法读取存储数据时，自动挂起虚拟机。</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★6、每个虚拟机都可以安装独立的操作系统，为获得良好的兼容性操作系统支持需要包括Windows、Linux，并且支持国产操作系统包括：红旗linux、中标麒麟、中标普华等。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7、虚拟化管理平台具备监控功能，对资源池中CPU、网络、磁盘使用率等指标进行实时的数据统计。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8、支持在线的带存储的虚拟机迁移功能，可以在不停机状态下和非共享存储的环境中，实现虚拟机在集群内的不同物理机和上迁移，保障业务连续性。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9、支持虚拟机的HA功能。当物理服务器发生故障时，该物理服务器上的所有虚拟机，可以在集群之内的其它物理服务器上重新启动，保障业务连续性。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10、支持无代理跨物理主机的虚拟机USB映射，需要使用USB KEY时，无需在虚拟机上安装客户端插件，且虚拟机迁移到其它物理主机后，仍能正常使用迁移前所在物理主机上的USB资源。</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★11、支持纳管第三方主流虚拟化平台，提供对Vmware平台上的虚拟机进行管理。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12、支持双向迁移，可将VMware虚拟机在运行状态下迁移到超融合平台上，也可将超融合平台上的虚拟机在运行状态下迁移到VMware vCenter的集群中。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13、采用分布式管理架构，去中心化，管理平台不依赖于某一个虚拟机或物理机部署，采用分布式架构。</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14、支持平台中的集群资源环境一键检测，对硬件健康、平台底层的虚拟化的运行状态和配置，进行多个维度进行检查，提供快速定位问题功能。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15、要求供应商所提供的产品与“云计算管理软件”、“虚拟化存储软件”、“超融合一体机”相互兼容。</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虚拟存储软件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存储虚拟化功能，无需安装额外的软件，在一个统一的管理平台上使用License激活的方式即可开通使用，本次授权虚拟存储容量5PB或者按照服务器CPU颗数授权，存储虚拟化与计算虚拟化通过统一平台进行管理，减少底层开销，提升性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2、采用分布式架构设计，由多台物理服务器组成分布式存储集群，通过新增物理服务器可以实现存储容量和性能的横向扩展，扩容过程保证业务零中断。</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★3、支持存储分卷功能，以物理主机为单位划分为不同的存储卷，如高性能卷，大容量卷，全闪存卷等，可使对存储性能和容量要求不同的业务运行在不同的存储卷上。</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4、虚拟存储集群支持iSCSI接口的访问，允许外部物理主机通过标准的iSCSI接口访问虚拟存储，实现Server SAN和IP SAN的融合。</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5、支持多副本冗余功能，支持2个或以上副本，副本互斥地保存在集群的不同节点。</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★6、支持数据自动重建机制，当主机或者磁盘故障后，自动利用集群内空闲磁盘空间，将故障数据重新恢复，重建速度最高可达30min/TB。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7、在可视化的WEB管理平台上，可以查看虚拟分布式存储对应的容量大小、容量使用率、实时的IOPS读写次数、IOPS读写数据量等信息。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8、支持数据写入优化机制，将高速SSD作为写缓存，数据先写到SSD，再回写到机械硬盘，提升写IO性能。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9、支持条带化功能，实现分布式raid0的性能提升效果，并且支持以虚拟磁盘为单位设置不同的条带数。</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★10、支持数据重建智能保护业务性能，可以对数据重建速度进行智能限速，避免数据重建过程中IO性能占用导致对业务的性能造成影响。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11、虚拟存储可支持Oracle RAC，支持共享盘，及共享块设备，支持向导式安装。</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12、要求与“超融合一体机”、 “计算服务器虚拟化软件”、“云计算管理软件” 相互兼容。</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云计算管理软件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1、支持定义可用区、跨地域的多集群管理，支持不低于20000台云主机的管理规模云主机支持指定IP、主机密码、hostname。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2、采用纯软件定义架构，不绑定特定的硬件设备，云平台采用冗余设计。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3、云平台应提供VPC网络服务，每个租户可构建一个隔离的VPC网络，并在VPC内自定义私网IP地址、网关、静态路由、端口映射、ACL等，不同VPC之间逻辑隔离、无法进行通信。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4、支持租户以所见即所得的拓扑图形式展示VPC网络，在拓扑图中可呈现出口网关、路由器、子网、云主机、安全防护等组件，支持在网络拓扑中直接拖拽编辑。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5、支持在VPC网络内创建子网，支持配置子网间的访问策略。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6、支持租户在各自的VPC网络内创建自有的防火墙、负载均衡及SSLVPN，与其他VPC相互隔离。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7、支持弹性IP及弹性IP池的管理，包括创建弹性IP池、配置线路类型、关联资源池、带宽设置、带宽趋势监控、弹性IP分配。支持云主机、路由器、负载均衡、SSLVPN绑定和解绑弹性 IP。</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8、租户可以支持自定义虚拟网络拓扑，并可以在租户网络环境中，配置虚拟分布式防火墙策略。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9、提供BGP线路接入，包括电信、移动、联通、教育网、铁通、国际线路等，支持自定义线路类型。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10、提供用户自助服务界面，用户能够通过自助服务门户完成虚拟机的查看、申请、使用、修改、删除等操作。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11、提供统一的镜像管理功能。支持镜像的统一创建、管理、分配，可实现一键快速创建云主机，并提供网络设备镜像。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12、云平台具备租户及租户子账户管理功能，包含创建、删除、启用、禁用，支持以租户的邮箱作为登录名，并开启短信登录验证。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13、支持多租户划分，平台管理员能够支持在创建租户同时为租户分配aCloud和VMware资源池及配额。且支持配置基础资源配额（CPU、内存、存储）和安全服务配额（SSLVPN、AD、AF）。</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14、支持配置COC（Cloud Operator Center）运营中心，支持用户跨区域（数据中心）切换。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15、云平台具有对资源池中CPU、网络、磁盘使用率等指标进行实时的数据统计功能，并提供报表功能。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16、云平台支持工单审批和审批流程自定义。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17、云平台提供操作审计功能，支持平台所有用户各项操作记录的检索。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18、云平台可以针对云主机的CPU、内存，物理主机、存储，虚拟网络设备、弹性IP设置告警的阈值条件，支持通过邮件的方式进行告警。</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 xml:space="preserve">★19、支持业务整体可靠性指标的集中展示，包括业务可靠性、平台可靠性和硬件可靠性。）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20、提供用户自助服务界面，用户能够通过自助服务门户完成虚拟机的查看、申请、使用、修改、销毁等操作。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21、云平台内置CDP功能，管理员可以创建、管理CDP策略，指定策略覆盖的云主机，并支持按需开启、禁用策略，支持秒级RPO。</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22、支持双向迁移，可将VMware虚拟机在运行状态下迁移到超融合平台上，也可将超融合平台上的虚拟机在运行状态下迁移到VMware vCenter的集群中，迁移结束后可选择自动或手动重启虚拟机。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23、提供标准的OpenStack API，满足集成或者二次开发的需求。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24、虚拟存储可支持Oracle RAC(多台虚拟机集群)，支持向导式方式，快速搭建Oracle RAC环境，部署时可选择将数据部署在虚拟共享盘、外置ISCSI磁盘以及FC磁盘。</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25、 要求与“超融合一体机”、 “计算服务器虚拟化软件”、“虚拟存储软件” 相互兼容。</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存储交换机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★1、配置</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24个10G 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2个40GE QSFP+光口。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2、配置交换容量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2.56Tbps/23.04Tbps，包转发率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720Mpps。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3、支持全端口线速转发；支持aNAC统一管理、统一查看状态、VLAN等配置管理；支持终端识别、终端准入及安全防护；支持双电源模块，默认1个150W可插拔AC交流电源，并预留一个扩展可插拔电源槽位。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4、可通过配置静态IP地址，DHCP Option43方式，DNS域名等方式发现控制器平台。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5、支持STP、RSTP、MSTP协议，支持IGMP v1/v2/v3 Snooping。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6、支持IEEE 802.3az 标准的 EEE节能技术：当EEE使能时，从而大幅度的减小端口在该阶段的功耗，达到了节能的目的。</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7、支持32K MAC地址，支持MAC地址自动学习。</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8、支持M-LAG技术，跨设备链路聚合，配对的设备有独立的控制平面。</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★9、支持通过控制器平台查看交换机端口负载情况，交换机端口状态的开启与关闭。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10、支持防网关ARP欺骗，管理员分级管理，支持防止DOS、ARP攻击功能。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11、支持通过APP进行远程管理，并且可以修改交换机网络配置。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12、支持通过在控制器平台的Web页面对交换机进行可视化管理查看，包括交换机的端口状态及配置、vlan信息。</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★13、支持终端的MAC与交换机端口变更检测。</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14、支持通过控制器平台查看交换机面板端口工作状态，通过端口颜色显示状态即可判断端口是否在线工作。</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管理交换机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★1、配置</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24个10/100/1000Base-T自适应电口，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4个万兆SFP+光口。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2、配置交换容量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336Gbps/3.36Tbps，包转发率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108Mpps/126Mpps。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3、支持全端口线速转发；支持aNAC统一管理、统一查看状态、VLAN等配置管理；支持终端识别、终端准入及安全防护。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、可通过配置静态IP地址，DHCP Option43方式，DNS域名等方式发现控制器平台。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支持STP、RSTP、MSTP协议，支持IGMP v1/v2/v3 Snooping。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支持IEEE 802.3az 标准的 EEE节能技术。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、支持32K MAC地址，支持MAC地址自动学习。</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、支持M-LAG技术，跨设备链路聚合，配对的设备有独立的控制平面。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、支持M-LAG技术，跨设备链路聚合，配对的设备有独立的控制平面。</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0</w:t>
            </w:r>
            <w:r>
              <w:rPr>
                <w:rFonts w:hint="default" w:ascii="Arial" w:hAnsi="Arial" w:eastAsia="宋体" w:cs="Arial"/>
                <w:b/>
                <w:bCs/>
                <w:color w:val="auto"/>
                <w:kern w:val="0"/>
                <w:sz w:val="21"/>
                <w:szCs w:val="21"/>
                <w:highlight w:val="none"/>
                <w:lang w:bidi="ar"/>
              </w:rPr>
              <w:t>、支持通过控制器平台查看交换机端口负载情况，交换机端口状态的开启与关闭。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、支持防网关ARP欺骗，管理员分级管理，支持防止DOS、ARP攻击功能。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、支持通过APP进行远程管理，并且可以修改交换机网络配置。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13、</w:t>
            </w:r>
            <w:r>
              <w:rPr>
                <w:rFonts w:hint="default" w:ascii="Arial" w:hAnsi="Arial" w:eastAsia="宋体" w:cs="Arial"/>
                <w:color w:val="auto"/>
                <w:kern w:val="0"/>
                <w:sz w:val="21"/>
                <w:szCs w:val="21"/>
                <w:highlight w:val="none"/>
                <w:lang w:bidi="ar"/>
              </w:rPr>
              <w:t>支持通过在控制器平台的Web页面对交换机进行可视化管理查看，包括交换机的端口状态及配置、vlan信息。</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val="en-US" w:eastAsia="zh-CN" w:bidi="ar"/>
              </w:rPr>
              <w:t>★14、</w:t>
            </w:r>
            <w:r>
              <w:rPr>
                <w:rFonts w:hint="default" w:ascii="Arial" w:hAnsi="Arial" w:eastAsia="宋体" w:cs="Arial"/>
                <w:b/>
                <w:bCs/>
                <w:color w:val="auto"/>
                <w:kern w:val="0"/>
                <w:sz w:val="21"/>
                <w:szCs w:val="21"/>
                <w:highlight w:val="none"/>
                <w:lang w:bidi="ar"/>
              </w:rPr>
              <w:t>支持终端的MAC与交换机端口变更检测。</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15、</w:t>
            </w:r>
            <w:r>
              <w:rPr>
                <w:rFonts w:hint="default" w:ascii="Arial" w:hAnsi="Arial" w:eastAsia="宋体" w:cs="Arial"/>
                <w:color w:val="auto"/>
                <w:kern w:val="0"/>
                <w:sz w:val="21"/>
                <w:szCs w:val="21"/>
                <w:highlight w:val="none"/>
                <w:lang w:bidi="ar"/>
              </w:rPr>
              <w:t>支持通过控制器平台查看交换机面板端口工作状态，通过端口颜色显示状态即可判断端口是否在线工作。</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三、指挥中心</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w:t>
            </w:r>
            <w:r>
              <w:rPr>
                <w:rFonts w:hint="default" w:ascii="Arial" w:hAnsi="Arial" w:cs="Arial"/>
                <w:b/>
                <w:color w:val="auto"/>
                <w:kern w:val="0"/>
                <w:sz w:val="21"/>
                <w:szCs w:val="21"/>
                <w:highlight w:val="none"/>
                <w:lang w:val="en-US" w:eastAsia="zh-CN" w:bidi="ar"/>
              </w:rPr>
              <w:t>一</w:t>
            </w:r>
            <w:r>
              <w:rPr>
                <w:rFonts w:hint="default" w:ascii="Arial" w:hAnsi="Arial" w:eastAsia="宋体" w:cs="Arial"/>
                <w:b/>
                <w:color w:val="auto"/>
                <w:kern w:val="0"/>
                <w:sz w:val="21"/>
                <w:szCs w:val="21"/>
                <w:highlight w:val="none"/>
                <w:lang w:bidi="ar"/>
              </w:rPr>
              <w:t>）拾扩音系统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数字调音台</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★1、紧凑型40输入通道，25总线数字调音台，具有16个可编程的MIDAS前置放大器，17个电动推杆，通道液晶显示屏，USB音频接口和IPAD/IPHONE远程控制，6路AUX输入，6路AUX输出。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2、16个MIDAS设计，完全可编程的话筒前置放大器，提供高保真的音质。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3、17个全自动电动100毫米电动推杆可以即时存储记忆。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4、8个XLR输出加6个线路输出，2个耳机监听插口，设备面板配有对讲麦克风。</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5、通道液晶显示屏可显示不同颜色，名称及图标，方便对输入和输出通道进行标记。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6、2×32通道USB2.0音频接口，支持HUI和Mackie控制DAW遥控。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7、高分辨率7寸彩色显示屏，可查看工作流程和参数。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8、主输出LCR，6个矩阵总线和16个混音母线均有6段参量均衡可调，外加8个DCA编组和6个静音编组。 虚拟FX机架，8个真正立体声FX插槽，包括如Lexicon 48OL和PCM70，EMT250，QUANTEC QRS等高端模拟效果。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9、40位浮点DSP提供"无限"的动态范围，没有内部过载和整体接近零延迟（0.8毫秒）。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10、48通道，2个AES50网络传输接口，具有超低抖动和延迟。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11、USB A类接口提供文件存储和立体声录音（WAV格式），外加系统更新。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12、用户自定义控制部分允许设立专属自己的快捷方式，操作更为简单快捷。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13、支持P-16个人监听系统，同时还有AES/EBU数字立体声输出口和MIDI控制接口。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14、MIDI输入/输出 用于远程场景回放和操控其他MIDI设备。</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15、具有1路以太网通讯接口。</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数字会议主机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1、2.8"LCD彩色显示屏、可脱离电脑完成系统设置。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2、采用铝合金面板内嵌莫氏硬度6级触控玻璃。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3、4路单元输出，支持连接120台单元，支持512台扩展主机级联。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4、系统容量为76800台，支持环形手拉手、一线式、T型各种连接方式。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5、系统采用8芯DIN带屏蔽线缆。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6、发言人数限制为1/2/3/4/5/6个，主席和VIP不受数量限制，自由讨论模式发言人数不受限制，可以全部打开。</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7、采用48KHz音频采样频率，频率响应为20Hz-20KHz。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8、内置DSP数字音频处理模块。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9、内置自适应反馈抑制（AFC）、环境噪音消除（AEC）、数字均衡器（EQ）、自动增益控制（AGC）功能。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10、具备智能自动保护技术，在会议主机出现非电源故障时可保证会议音频信号不被中断。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11、内置万年历，具备发言计时功能，系统可自动同步电脑日期、星期与时间。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12、内置多路内部通讯及会议服务功能，支持会议单元发送服务请求等需求通知。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13、支持会议服务请求显示，可显示会议服务请求状态。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14、采用ID寻址方式，可自定义单元编号，保证唯一ID编号，能有效避免ID重复冲突。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15、支持快速定位系统故障，并不影响其它设备的运行。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16、系统具备自动修复功能，支持线路带电“热插拔”功能。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17、系统支持双机热备份及会议室合并/拆分功能。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主席单元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1、双备份设计，支持手拉手会议与幻象供电双系统音频信号输出。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2、采用锌铝合金话筒杆，内置双振膜高保真拾音头，仰俯角度可调。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3、采用锌铝合金内嵌莫氏硬度6级触控玻璃面板，具备防尘功能。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4、具备防水功能。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5、采用FTC334C专业电容式触摸感应按键处理芯片。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6、咪杆装备16002个直径0.4mm高密度声干孔。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7、采用DSP/DDOV数字化处理与传输技术。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8、系统支持自动同步万年历日期与时间显示。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9、支持48KHz音频采样频率，频率响应可达30Hz-20KHz。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10、具有双色指示灯，发言与编号状态显示为红色、VIP单元发言为绿色。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11、具备智能音频检测功能，当相邻两台单元距离靠近时，音频自动反相衰减保证不出现啸叫。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12、系统支持“环形手拉手”连接技术。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13、自带8芯DIN屏蔽线缆或CAT5线缆，连接线缆可从底部及背面引出。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14、支持数量限制、先进先出、后进先出、主席允许(申请发言)、声控启动、限时发言、排队发言、自由讨论八种会议模式。</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代表单元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1、双备份设计，支持手拉手会议与幻象供电双系统音频信号输出。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2、采用锌铝合金话筒杆，内置双振膜高保真拾音头，仰俯角度可调。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3、采用锌铝合金内嵌莫氏硬度6级触控玻璃面板，具备防尘功能。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4、具备防水功能。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5、采用FTC334C专业电容式触摸感应按键处理芯片。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6、咪杆装备16002个直径0.4mm高密度声干孔。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7、采用DSP/DDOV数字化处理与传输技术。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8、系统支持自动同步万年历日期与时间显示。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9、支持48KHz音频采样频率，频率响应可达30Hz-20KHz。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10、具有双色指示灯，发言与编号状态显示为红色、VIP单元发言为绿色。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11、具备智能音频检测功能，当相邻两台单元距离靠近时，音频自动反相衰减保证不出现啸叫。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12、系统支持“环形手拉手”连接技术。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13、自带8芯DIN屏蔽线缆或CAT5线缆，连接线缆可从底部及背面引出。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14、支持数量限制、先进先出、后进先出、主席允许(申请发言)、声控启动、限时发言、排队发言、自由讨论八种会议模式。</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109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功放</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1、立体声模式(双通道)20Hz~20KHz：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2Ohms  480W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4Ohms 300W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8Ohms  205W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2、桥接单声道模式 20Hz~20kHz：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8Ohms  560W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4Ohms  800W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3、输入灵敏度  1.15V(+3.4dBU)。</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4、输入阻抗 10K欧 非平衡;20K欧 。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5、平衡 频率响应(在10dB 以下固定输出功率) 25Hz~25KHz ,+0/1dB ,3dB 点: 5Hz~50KHz。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6、电压增益 30dB。</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7、总谐波失真 &lt;0.03%/8、信噪比 100dB。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音箱</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2"/>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频率范围 50~20KHz</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额定功率 200W。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、峰值功率 350W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 xml:space="preserve">、阻抗 8Ohms。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 xml:space="preserve">、灵敏度 96dB (2.83v/m)。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、最大声压 115 dB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、覆盖角：辐射角度 H 90  X  V60（号筒可旋转）。</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 xml:space="preserve">、≧10英寸低音单元，配备丝膜高音头；单元为75MM短冲程设计，功率储备充足，能经受长达100小时的额定功率冲击，功率不下降0.5%。 </w:t>
            </w:r>
          </w:p>
          <w:p>
            <w:pPr>
              <w:widowControl/>
              <w:numPr>
                <w:ilvl w:val="0"/>
                <w:numId w:val="2"/>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、独立左右声道分频，双线圈滤波电感，配备1英寸音圈，原件部分采用AVX和KEMET钽电容。</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抗混响拾音器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1、拾音范围：5-200平方米。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2、灵敏度级：-34dB。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3、频率响应：100Hz～16KHz。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4、指向特性：全指向性。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5、动态范围：104dB(1KHz at Max dB SPL)。</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6、输出阻抗：最大600欧姆非平衡。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7、麦克风：震膜电容咪头。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8、信号处理电路：降噪处理电路、自动增益控制电路。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9、保护电路：8KV Air contact ESD、雷击保护、电源极性反接保护。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10、环境噪声消除：自动抑制房间内环境噪声；降噪能力：0~40dB可选。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11、自动增益功能：自动增益控制功能；AGC范围：-24dB~-5.5dB,防破音保护功能。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12、级联功能：配置一个级联拾音器（line in输入），将两个拾音器混音输出，在不影响保真度等功能下又可以扩大拾音范围；可接课件/无线麦克风，开启抗混响功能后，录音清晰自然。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13、级联接口：三芯凤凰端子（电源、地、信号）。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14、级联连接：3芯0.5mm² RVVP屏蔽电缆。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eastAsia" w:ascii="Arial" w:hAnsi="Arial"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、485配置接口：两芯凤凰端子（A、B信号线）。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eastAsia" w:ascii="Arial" w:hAnsi="Arial"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、485配置连接：普通两线制非屏蔽双绞线。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eastAsia" w:ascii="Arial" w:hAnsi="Arial"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、输出信号接口：两芯凤凰端子（地、信号）。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eastAsia" w:ascii="Arial" w:hAnsi="Arial"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、信号传输线缆：2芯0.5mm² RVVP屏蔽电缆。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eastAsia" w:ascii="Arial" w:hAnsi="Arial" w:cs="Arial"/>
                <w:color w:val="auto"/>
                <w:kern w:val="0"/>
                <w:sz w:val="21"/>
                <w:szCs w:val="21"/>
                <w:highlight w:val="none"/>
                <w:lang w:val="en-US" w:eastAsia="zh-CN" w:bidi="ar"/>
              </w:rPr>
              <w:t>19</w:t>
            </w:r>
            <w:r>
              <w:rPr>
                <w:rFonts w:hint="default" w:ascii="Arial" w:hAnsi="Arial" w:eastAsia="宋体" w:cs="Arial"/>
                <w:color w:val="auto"/>
                <w:kern w:val="0"/>
                <w:sz w:val="21"/>
                <w:szCs w:val="21"/>
                <w:highlight w:val="none"/>
                <w:lang w:bidi="ar"/>
              </w:rPr>
              <w:t>、电源电压：直流稳压电源DC 12V（电压波动范围9V～18V）。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eastAsia" w:ascii="Arial" w:hAnsi="Arial"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、电源电流：120mA。</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r>
              <w:rPr>
                <w:rFonts w:hint="eastAsia"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、工作环境温度：0℃～70℃。</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时序电源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1、接入电源 AC-220V，50Hz。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2、断路器 40A。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3、输出 1至8路：AC220V、10A，万用插座。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4、直接控制钥匙锁，手动按键电源净化滤波器。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5、降低传导噪声的RFI专用滤波器。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6、用于抑制电源开断噪声，泄漏电流低，抑制连续或间隙性干扰，尤其是低阻抗负载场合。</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7、工作电流；40A，泄漏电流；&lt;0.5mA。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8、开/关延时设定 ON/OFF Delay Time 0.5s～600s 12 Select。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9、多层滤波电容保证瞬间冲击造成的浪涌不会对设备造成强烈冲击，保证设备安全运行。</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10、带RS232控制接口。</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会议专用延长线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1、用于数字会议主机与会议单元或会议单元与会议单元之间的连接。</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2、具备8P-DIN母座×2；母座一端具备锁扣功能，避免松动。</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电源线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1、产品类型：YJV电缆。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2、规格：3*1.5mm²软线。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音响线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2、规格：2*1.5mm²软线。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6、电缆导体的允许长期最高工作温度为70℃。</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话筒线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1、产品类型：RVVP电缆。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2、规格：2*1.5mm²。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11"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下走线桥架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1"/>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eastAsia="zh-CN" w:bidi="ar"/>
              </w:rPr>
              <w:t>宽</w:t>
            </w:r>
            <w:r>
              <w:rPr>
                <w:rFonts w:hint="default" w:ascii="Arial" w:hAnsi="Arial" w:eastAsia="宋体" w:cs="Arial"/>
                <w:color w:val="auto"/>
                <w:kern w:val="0"/>
                <w:sz w:val="21"/>
                <w:szCs w:val="21"/>
                <w:highlight w:val="none"/>
                <w:lang w:eastAsia="zh-CN" w:bidi="ar"/>
              </w:rPr>
              <w:t>×</w:t>
            </w:r>
            <w:r>
              <w:rPr>
                <w:rFonts w:hint="default" w:ascii="Arial" w:hAnsi="Arial" w:cs="Arial"/>
                <w:color w:val="auto"/>
                <w:kern w:val="0"/>
                <w:sz w:val="21"/>
                <w:szCs w:val="21"/>
                <w:highlight w:val="none"/>
                <w:lang w:eastAsia="zh-CN" w:bidi="ar"/>
              </w:rPr>
              <w:t>高：</w:t>
            </w:r>
            <w:r>
              <w:rPr>
                <w:rFonts w:hint="default" w:ascii="Arial" w:hAnsi="Arial" w:eastAsia="宋体" w:cs="Arial"/>
                <w:color w:val="auto"/>
                <w:kern w:val="0"/>
                <w:sz w:val="21"/>
                <w:szCs w:val="21"/>
                <w:highlight w:val="none"/>
                <w:lang w:bidi="ar"/>
              </w:rPr>
              <w:t>200</w:t>
            </w:r>
            <w:r>
              <w:rPr>
                <w:rFonts w:hint="default" w:ascii="Arial" w:hAnsi="Arial" w:cs="Arial"/>
                <w:color w:val="auto"/>
                <w:kern w:val="0"/>
                <w:sz w:val="21"/>
                <w:szCs w:val="21"/>
                <w:highlight w:val="none"/>
                <w:lang w:val="en-US" w:eastAsia="zh-CN" w:bidi="ar"/>
              </w:rPr>
              <w:t>mmX</w:t>
            </w:r>
            <w:r>
              <w:rPr>
                <w:rFonts w:hint="default" w:ascii="Arial" w:hAnsi="Arial" w:eastAsia="宋体" w:cs="Arial"/>
                <w:color w:val="auto"/>
                <w:kern w:val="0"/>
                <w:sz w:val="21"/>
                <w:szCs w:val="21"/>
                <w:highlight w:val="none"/>
                <w:lang w:bidi="ar"/>
              </w:rPr>
              <w:t>100mm，厚度1.2mm镀锌钢板。</w:t>
            </w:r>
          </w:p>
          <w:p>
            <w:pPr>
              <w:pStyle w:val="21"/>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2、根据本项目现场设备、布线安装所需，配置</w:t>
            </w:r>
            <w:r>
              <w:rPr>
                <w:rFonts w:hint="default" w:ascii="Arial" w:hAnsi="Arial" w:cs="Arial"/>
                <w:color w:val="auto"/>
                <w:kern w:val="0"/>
                <w:sz w:val="21"/>
                <w:szCs w:val="21"/>
                <w:highlight w:val="none"/>
                <w:lang w:val="en-US" w:eastAsia="zh-CN" w:bidi="ar"/>
              </w:rPr>
              <w:t>200mmX</w:t>
            </w:r>
            <w:r>
              <w:rPr>
                <w:rFonts w:hint="default" w:ascii="Arial" w:hAnsi="Arial" w:eastAsia="宋体" w:cs="Arial"/>
                <w:color w:val="auto"/>
                <w:kern w:val="0"/>
                <w:sz w:val="21"/>
                <w:szCs w:val="21"/>
                <w:highlight w:val="none"/>
                <w:lang w:bidi="ar"/>
              </w:rPr>
              <w:t>100</w:t>
            </w:r>
            <w:r>
              <w:rPr>
                <w:rFonts w:hint="default" w:ascii="Arial" w:hAnsi="Arial" w:cs="Arial"/>
                <w:color w:val="auto"/>
                <w:kern w:val="0"/>
                <w:sz w:val="21"/>
                <w:szCs w:val="21"/>
                <w:highlight w:val="none"/>
                <w:lang w:val="en-US" w:eastAsia="zh-CN" w:bidi="ar"/>
              </w:rPr>
              <w:t>mm</w:t>
            </w:r>
            <w:r>
              <w:rPr>
                <w:rFonts w:hint="default" w:ascii="Arial" w:hAnsi="Arial" w:eastAsia="宋体" w:cs="Arial"/>
                <w:color w:val="auto"/>
                <w:kern w:val="0"/>
                <w:sz w:val="21"/>
                <w:szCs w:val="21"/>
                <w:highlight w:val="none"/>
                <w:lang w:bidi="ar"/>
              </w:rPr>
              <w:t>金属桥架及弯通或符合安装所需的其它规格金属桥架及弯通。</w:t>
            </w:r>
          </w:p>
          <w:p>
            <w:pPr>
              <w:pStyle w:val="21"/>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3、地面铺设，强弱电线缆分开。</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m</w:t>
            </w:r>
          </w:p>
        </w:tc>
      </w:tr>
      <w:tr>
        <w:tblPrEx>
          <w:tblCellMar>
            <w:top w:w="15" w:type="dxa"/>
            <w:left w:w="15" w:type="dxa"/>
            <w:bottom w:w="15" w:type="dxa"/>
            <w:right w:w="15" w:type="dxa"/>
          </w:tblCellMar>
        </w:tblPrEx>
        <w:trPr>
          <w:trHeight w:val="358"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w:t>
            </w:r>
            <w:r>
              <w:rPr>
                <w:rFonts w:hint="default" w:ascii="Arial" w:hAnsi="Arial" w:cs="Arial"/>
                <w:b/>
                <w:color w:val="auto"/>
                <w:kern w:val="0"/>
                <w:sz w:val="21"/>
                <w:szCs w:val="21"/>
                <w:highlight w:val="none"/>
                <w:lang w:val="en-US" w:eastAsia="zh-CN" w:bidi="ar"/>
              </w:rPr>
              <w:t>二</w:t>
            </w:r>
            <w:r>
              <w:rPr>
                <w:rFonts w:hint="default" w:ascii="Arial" w:hAnsi="Arial" w:eastAsia="宋体" w:cs="Arial"/>
                <w:b/>
                <w:color w:val="auto"/>
                <w:kern w:val="0"/>
                <w:sz w:val="21"/>
                <w:szCs w:val="21"/>
                <w:highlight w:val="none"/>
                <w:lang w:bidi="ar"/>
              </w:rPr>
              <w:t>）智能控制系统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智能网络型控制器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1、≧1颗32位CPU，频率≧300MHz。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2、≧384M的Flash存储器。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3、≧64M数据存储器。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4、≧8路COM，串口速率600~115200bps，支持RS-232/485和以太网之间的数据双向透明传输，可以让串行设备立即联接网络。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5、每个COM口均同步支持多波特率并发RS-232/485协议内容。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6、≧8路IR，支持IR设备和以太网之间的数据通讯。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7、≧1路以太网通讯接口，支持多达10个TCP/UDP连接。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8、≧1路HS-NET-GX接口，支持NET总线设备扩展（如8路电源控制接口、音量及调光模块等总线设备）。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9、支持串口数据分帧设置。</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10、包含专用HS控制软件1套：中文界面，可随意修改，根据用户需求定制界面。</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119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可编程控制软件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网络型控制器用户程序设计软件，含HS设备库、语法、关键字模块库，常见的各种红外设备代码库文件，红外学习软件；触摸屏界面设计软件，自定义控制界面编辑。</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平板终端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1、屏幕尺寸：9.7英寸或以上电容式多点触摸屏；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2、处理器核心：64位处理器；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3、存储容量：≧64GB；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4、屏幕分辨率：2048×1536；</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5、网络模式：支持802.11a/b/g/n无线协议，双频（2.4GHz和5GHz）。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8路电源时序器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1、额定输出电压：交流90V-220V 、50Hz。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2、可控制电源：8+2路。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3、每路动作延时时间：≦17毫秒。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4、供电电源：VAC 50/60Hz  35A。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5、每路输出带指示灯，每路带直接切断电源开关控制电源。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6、单路额定输出电源：30A。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7、带液晶市电电压显示屏。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8、后板带大功率接线柱。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9、可以连接电脑编程，可以连接中控，每一路可以现在先后顺序启动和关闭，可以设定时间长短启动和关闭。</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Arial" w:hAnsi="Arial" w:eastAsia="宋体" w:cs="Arial"/>
                <w:color w:val="auto"/>
                <w:sz w:val="21"/>
                <w:szCs w:val="21"/>
                <w:highlight w:val="none"/>
              </w:rPr>
            </w:pPr>
            <w:r>
              <w:rPr>
                <w:rFonts w:hint="default" w:ascii="Arial" w:hAnsi="Arial" w:eastAsia="宋体" w:cs="Arial"/>
                <w:b/>
                <w:color w:val="auto"/>
                <w:kern w:val="0"/>
                <w:sz w:val="21"/>
                <w:szCs w:val="21"/>
                <w:highlight w:val="none"/>
                <w:lang w:bidi="ar"/>
              </w:rPr>
              <w:t>（</w:t>
            </w:r>
            <w:r>
              <w:rPr>
                <w:rFonts w:hint="default" w:ascii="Arial" w:hAnsi="Arial" w:cs="Arial"/>
                <w:b/>
                <w:color w:val="auto"/>
                <w:kern w:val="0"/>
                <w:sz w:val="21"/>
                <w:szCs w:val="21"/>
                <w:highlight w:val="none"/>
                <w:lang w:val="en-US" w:eastAsia="zh-CN" w:bidi="ar"/>
              </w:rPr>
              <w:t>三</w:t>
            </w:r>
            <w:r>
              <w:rPr>
                <w:rFonts w:hint="default" w:ascii="Arial" w:hAnsi="Arial" w:eastAsia="宋体" w:cs="Arial"/>
                <w:b/>
                <w:color w:val="auto"/>
                <w:kern w:val="0"/>
                <w:sz w:val="21"/>
                <w:szCs w:val="21"/>
                <w:highlight w:val="none"/>
                <w:lang w:bidi="ar"/>
              </w:rPr>
              <w:t>）视频会议系统</w:t>
            </w:r>
          </w:p>
        </w:tc>
      </w:tr>
      <w:tr>
        <w:tblPrEx>
          <w:tblCellMar>
            <w:top w:w="15" w:type="dxa"/>
            <w:left w:w="15" w:type="dxa"/>
            <w:bottom w:w="15" w:type="dxa"/>
            <w:right w:w="15" w:type="dxa"/>
          </w:tblCellMar>
        </w:tblPrEx>
        <w:trPr>
          <w:trHeight w:val="90"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视频会议终端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1、采用分体式结构，嵌入式操作系统，非PC架构、非工控机架构。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、支持ITU-T H.323、IETF SIP协议。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支持64Kbps-8Mbps呼叫带宽。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支持多种分辨率、速率和帧率的视频码流（同时发送不少于4路视频码流，接收不少于16路视频码流）。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支持H.265、H.264 HP、H.264 BP、H.264 SVC、H.263等图像编码协议。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支持4K30fps、1080P60fps、1080P30fps、720P60 fps、720P30fps等分辨率。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支持G.711、G.722、G.722.1C、G.729A、AAC-LD等音频协议，支持双声道立体声功能。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支持H.239和BFCP双流协议。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支持无线双流功能，可通过Wi-Fi或有线网络将桌面内容作为双流发送给远端会场，视频清晰度不少于1080P，支持音频共享。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10、</w:t>
            </w:r>
            <w:r>
              <w:rPr>
                <w:rFonts w:hint="default" w:ascii="Arial" w:hAnsi="Arial" w:eastAsia="宋体" w:cs="Arial"/>
                <w:color w:val="auto"/>
                <w:kern w:val="0"/>
                <w:sz w:val="21"/>
                <w:szCs w:val="21"/>
                <w:highlight w:val="none"/>
                <w:lang w:bidi="ar"/>
              </w:rPr>
              <w:t>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3路高清视频输入接口、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2路高清视频输出接口。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11、</w:t>
            </w:r>
            <w:r>
              <w:rPr>
                <w:rFonts w:hint="default" w:ascii="Arial" w:hAnsi="Arial" w:eastAsia="宋体" w:cs="Arial"/>
                <w:color w:val="auto"/>
                <w:kern w:val="0"/>
                <w:sz w:val="21"/>
                <w:szCs w:val="21"/>
                <w:highlight w:val="none"/>
                <w:lang w:bidi="ar"/>
              </w:rPr>
              <w:t>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5路音频输入接口、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6路音频输出接口，至少具备卡侬头、RCA等音频接口。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12、</w:t>
            </w:r>
            <w:r>
              <w:rPr>
                <w:rFonts w:hint="default" w:ascii="Arial" w:hAnsi="Arial" w:eastAsia="宋体" w:cs="Arial"/>
                <w:color w:val="auto"/>
                <w:kern w:val="0"/>
                <w:sz w:val="21"/>
                <w:szCs w:val="21"/>
                <w:highlight w:val="none"/>
                <w:lang w:bidi="ar"/>
              </w:rPr>
              <w:t>支持2.4GHz、5GHz双频接入，同时支持Wi-Fi热点及客户端模式。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▲13、</w:t>
            </w:r>
            <w:r>
              <w:rPr>
                <w:rFonts w:hint="default" w:ascii="Arial" w:hAnsi="Arial" w:eastAsia="宋体" w:cs="Arial"/>
                <w:color w:val="auto"/>
                <w:kern w:val="0"/>
                <w:sz w:val="21"/>
                <w:szCs w:val="21"/>
                <w:highlight w:val="none"/>
                <w:lang w:bidi="ar"/>
              </w:rPr>
              <w:t>支持30%网络丢包时，语音清晰连续，视频清晰流畅，无卡顿。（</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▲14、</w:t>
            </w:r>
            <w:r>
              <w:rPr>
                <w:rFonts w:hint="default" w:ascii="Arial" w:hAnsi="Arial" w:eastAsia="宋体" w:cs="Arial"/>
                <w:color w:val="auto"/>
                <w:kern w:val="0"/>
                <w:sz w:val="21"/>
                <w:szCs w:val="21"/>
                <w:highlight w:val="none"/>
                <w:lang w:bidi="ar"/>
              </w:rPr>
              <w:t>支持1Mbps会议带宽下，实现4K30fps帧图像格式编解码；支持512Kbps会议带宽下，实现1080P60帧图像格式编解码；384Kbps会议带宽下，实现1080P30帧图像格式编解码；256Kbps会议带宽下，实现720P30帧图像格式编解码。（</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15、</w:t>
            </w:r>
            <w:r>
              <w:rPr>
                <w:rFonts w:hint="default" w:ascii="Arial" w:hAnsi="Arial" w:eastAsia="宋体" w:cs="Arial"/>
                <w:color w:val="auto"/>
                <w:kern w:val="0"/>
                <w:sz w:val="21"/>
                <w:szCs w:val="21"/>
                <w:highlight w:val="none"/>
                <w:lang w:bidi="ar"/>
              </w:rPr>
              <w:t>支持IP网络升降速，可根据IP网络带宽的变化，自动调整会议中视音频带宽。</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16、</w:t>
            </w:r>
            <w:r>
              <w:rPr>
                <w:rFonts w:hint="default" w:ascii="Arial" w:hAnsi="Arial" w:eastAsia="宋体" w:cs="Arial"/>
                <w:b/>
                <w:bCs/>
                <w:color w:val="auto"/>
                <w:kern w:val="0"/>
                <w:sz w:val="21"/>
                <w:szCs w:val="21"/>
                <w:highlight w:val="none"/>
                <w:lang w:bidi="ar"/>
              </w:rPr>
              <w:t>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视频会议摄像机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850万像素1/2.5英寸CMOS成像芯片，支持WDR图像数字宽动态功能。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2、支持4K30fps、1080P60fps、1080P30fps等视频输出格式。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12倍光学变焦。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4、支持水平视角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5、水平转动范围：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+/-110°，垂直转动范围：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+/- 30°。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125个预置位。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1路高清视频输出接口。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2个RS-232控制接口，支持标准VISCA控制协议。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9、支持红外透传功能，实现终端遥控器通过摄像机控制机房内会议终端。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10、支持自动白平衡（AWB）、自动曝光（AE）、自动聚焦（AF）功能。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11、支持图像倒转功能。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12、支持本地USB接口软件升级功能。</w:t>
            </w:r>
          </w:p>
          <w:p>
            <w:pPr>
              <w:widowControl/>
              <w:jc w:val="left"/>
              <w:textAlignment w:val="center"/>
              <w:rPr>
                <w:rFonts w:hint="default" w:ascii="Arial" w:hAnsi="Arial" w:eastAsia="宋体" w:cs="Arial"/>
                <w:color w:val="auto"/>
                <w:sz w:val="21"/>
                <w:szCs w:val="21"/>
                <w:highlight w:val="none"/>
              </w:rPr>
            </w:pPr>
            <w:r>
              <w:rPr>
                <w:rFonts w:hint="default" w:ascii="Arial" w:hAnsi="Arial" w:eastAsia="仿宋_GB2312"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bidi="ar"/>
              </w:rPr>
              <w:t>13、提供原厂保修3年服务。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15米HDIM 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15米HDIM线。</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3米HDIM 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3米HDIM线。</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点名主机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一、点名主机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1、设备性能：≧1颗四核CPU，频率≧1.8Ghz，支持TE，ASTC，AFBC内存压缩技术。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2、设备内存：≧2G DDR3，支持TE，ASTC，AFBC内存压缩技术。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3、内置存储：≧8G。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、触摸屏：≧21.5寸多点电容触摸屏。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、音频输入：定向高保真拾音器。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、网络接口：支持10/100/1000M，1个RJ45接口。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、音频接口：≧1路3.5音频输出接口，≧1路3.5音频输入接口。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、麦克风：内置≧4路麦克风阵列。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、USB接口：≧3路USB2.0接口。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、HDMI接口：≧1个，支持1080P。</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、通话模式：全双工，内置消回音算法，具备未接通提醒功能。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、安装方式：点名终端台式、摄像头与麦克风分离式。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、输入电压：DC12V。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二、高清摄像头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1、支持1080P高清图像采集及控制功能。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2、支持光学变焦。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3、水平旋转：360度。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4、垂直旋转：90度（向上）35度（向下）。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5、接口类型：USB接口。</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6、配备三角支架分离式安装。</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四、电子围栏</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双防区网络电子围栏主机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1、供电电源：DC12V 2A。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2、温度：-25℃～+55℃ 湿度：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3、掉电记忆：主机断电后，记忆原有的工作状态。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4、显示屏幕：3 吋点阵式全信息 LCD 液晶显示屏幕，实时显示脉冲电压值（电压波动的显示精度：0.1KV）、实时显示布防模式、工作数值、通讯状态等。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5、通讯模式：TCP/IP。</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6、支持短路、断线、防拆、防剪（防旁路）、故障、触网（单线触摸）等报警功能。</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★7、支持单线触网报警功能，最远支持 150 米周界触网（单线触摸）报警。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8、自带学习能力，能够适应环境变化而不产生误报。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9、可在本机设置运行模式为高压模式、低压模式或撤防模式，可设置分区号、防区号、报警延时、触网灵敏度、防剪灵敏度、警号时间、输出电压值（0.1KV连接可调）。</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★10、主机采用非金属外壳，选用 ASA 材质，可裸露安装于室外，并可承受 7×24 小时连续雨水冲刷并正常工作。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11、两种布防模式可选：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a、高压模式 4.0kV～7.0kV（持续可调）； b、低压模式 0.6kV-1.5kV（持续可调）。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12、设备接口：DC12V 警号输出、开关量输出（常开/常闭）。</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13、主机支持与防区分离安装，间隔距离≧100米，实现墙上无主机。</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智能控制键盘</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1、供电电源：DC 12V。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2、内置备用电池（选配），断电后仍可正常运行。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3、≧4.3 英寸TFT16位彩色全信息 LCD 液晶屏：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实时显示脉冲电压值（电压波动的显示精度：0.1KV）、显 示每一个防区通讯状态、运行模式（高压、低压）、布撤防等状态信息。</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★4、RS485 或 TCP/IP 通讯模式下可连接 ≧96 个防区。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5、RS485 模式下同一个总线内，或 TCP/IP 模式下同一个分区内，可同时连接控制键盘数量≧ 32 个。</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6、集中管理系统运行状态，可远程对系统进行布撤防操作、开启/关闭高压等。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7、可以设置：添加/删除防区、定时布撤防、时钟设置、 开机密码、防区状态等。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8、报警记录存储功能，存储≧255 条记录。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9、报警记录实时打印功能（需连接打印机）。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10、设备接口：TCP/IP 以太网、RS485、RS232、开关量输出（常开/常闭）、DC12V 警号输出。</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129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周界安全管理软件平台</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1、集中管理系统运行状态，可远程对系统进行布撤防操作、开启/关闭高压等。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2、可以设置：添加/删除防区、添加摄像头、添加电子地图、定时布撤防、时钟设置、登录权限及账号密码、防 区状态等。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3、可通过平台软件调用对应防区实时监控画面，报警时自 动弹出。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4、电子地图分级显示，总地图、分区地图报警时自动切换，并高亮闪烁报警防区位置。</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★5、管理容量：可设置≧255 个分区，每个分区内可添加≧96个防区。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6、可以查看：各防区张力数值，电压值、通讯状态等；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7、报警记录存储数量无上限。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8、报警记录实时打印功能（需连接打印机）。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9、通过添加短信猫，可发送实时报警短信到对应联系人手机。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10、通过外置音箱，安装有周界安全管理平台软件的计算机可以在报警时，实时真人语音播报报警类型、报警防区等信息。</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蓄电池（DC12V 4AH）</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0"/>
              </w:numPr>
              <w:jc w:val="left"/>
              <w:textAlignment w:val="center"/>
              <w:rPr>
                <w:rFonts w:hint="default" w:ascii="Arial" w:hAnsi="Arial" w:eastAsia="宋体" w:cs="Arial"/>
                <w:color w:val="auto"/>
                <w:kern w:val="0"/>
                <w:sz w:val="21"/>
                <w:szCs w:val="21"/>
                <w:highlight w:val="none"/>
                <w:lang w:bidi="ar"/>
              </w:rPr>
            </w:pPr>
            <w:r>
              <w:rPr>
                <w:rFonts w:hint="eastAsia"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输入/输出电压：12V</w:t>
            </w:r>
          </w:p>
          <w:p>
            <w:pPr>
              <w:widowControl/>
              <w:numPr>
                <w:ilvl w:val="0"/>
                <w:numId w:val="0"/>
              </w:numPr>
              <w:jc w:val="left"/>
              <w:textAlignment w:val="center"/>
              <w:rPr>
                <w:rFonts w:hint="eastAsia" w:ascii="Arial" w:hAnsi="Arial" w:eastAsia="宋体" w:cs="Arial"/>
                <w:color w:val="auto"/>
                <w:kern w:val="0"/>
                <w:sz w:val="21"/>
                <w:szCs w:val="21"/>
                <w:highlight w:val="none"/>
                <w:lang w:eastAsia="zh-CN" w:bidi="ar"/>
              </w:rPr>
            </w:pPr>
            <w:r>
              <w:rPr>
                <w:rFonts w:hint="eastAsia"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容量：4AH。</w:t>
            </w:r>
          </w:p>
          <w:p>
            <w:pPr>
              <w:widowControl/>
              <w:numPr>
                <w:ilvl w:val="0"/>
                <w:numId w:val="0"/>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3、规格：约90mm*67mm*100mm。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直型铝合金终端杆套件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1、规格：Φ32mm*2.0mm*850mm。</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2、材质：铝合金管(表面硬化、喷砂阳极氧化)</w:t>
            </w:r>
          </w:p>
          <w:p>
            <w:pPr>
              <w:widowControl/>
              <w:jc w:val="left"/>
              <w:textAlignment w:val="center"/>
              <w:rPr>
                <w:rFonts w:hint="eastAsia" w:ascii="Arial" w:hAnsi="Arial" w:eastAsia="宋体" w:cs="Arial"/>
                <w:color w:val="auto"/>
                <w:sz w:val="21"/>
                <w:szCs w:val="21"/>
                <w:highlight w:val="none"/>
                <w:lang w:eastAsia="zh-CN"/>
              </w:rPr>
            </w:pPr>
            <w:r>
              <w:rPr>
                <w:rFonts w:hint="eastAsia"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耐压：脉冲高压＞15KV</w:t>
            </w:r>
            <w:r>
              <w:rPr>
                <w:rFonts w:hint="eastAsia" w:ascii="Arial" w:hAnsi="Arial" w:cs="Arial"/>
                <w:color w:val="auto"/>
                <w:kern w:val="0"/>
                <w:sz w:val="21"/>
                <w:szCs w:val="21"/>
                <w:highlight w:val="none"/>
                <w:lang w:eastAsia="zh-CN" w:bidi="ar"/>
              </w:rPr>
              <w:t>。</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复合型终端绝缘子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1、材质：POM工程材料。</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2、耐压：脉冲高压＞15KV。</w:t>
            </w:r>
          </w:p>
          <w:p>
            <w:pPr>
              <w:widowControl/>
              <w:jc w:val="left"/>
              <w:textAlignment w:val="center"/>
              <w:rPr>
                <w:rFonts w:hint="default" w:ascii="Arial" w:hAnsi="Arial" w:eastAsia="宋体" w:cs="Arial"/>
                <w:color w:val="auto"/>
                <w:kern w:val="0"/>
                <w:sz w:val="21"/>
                <w:szCs w:val="21"/>
                <w:highlight w:val="none"/>
                <w:lang w:bidi="ar"/>
              </w:rPr>
            </w:pPr>
            <w:r>
              <w:rPr>
                <w:rFonts w:hint="eastAsia"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特性：自带收紧器功能</w:t>
            </w:r>
          </w:p>
          <w:p>
            <w:pPr>
              <w:widowControl/>
              <w:jc w:val="left"/>
              <w:textAlignment w:val="center"/>
              <w:rPr>
                <w:rFonts w:hint="default" w:ascii="Arial" w:hAnsi="Arial" w:eastAsia="宋体" w:cs="Arial"/>
                <w:color w:val="auto"/>
                <w:sz w:val="21"/>
                <w:szCs w:val="21"/>
                <w:highlight w:val="none"/>
              </w:rPr>
            </w:pPr>
            <w:r>
              <w:rPr>
                <w:rFonts w:hint="eastAsia"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固定方式：螺丝。</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直型铝合金中间杆套件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3"/>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规格：Φ21mm*1.5mm*（635+250）mm(顶端135°角)</w:t>
            </w:r>
          </w:p>
          <w:p>
            <w:pPr>
              <w:widowControl/>
              <w:numPr>
                <w:ilvl w:val="0"/>
                <w:numId w:val="3"/>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颜色：灰白色。</w:t>
            </w:r>
          </w:p>
          <w:p>
            <w:pPr>
              <w:widowControl/>
              <w:numPr>
                <w:ilvl w:val="0"/>
                <w:numId w:val="3"/>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3、材质：铝合金管(表面硬化、喷砂阳极氧化)。 </w:t>
            </w:r>
          </w:p>
          <w:p>
            <w:pPr>
              <w:widowControl/>
              <w:numPr>
                <w:ilvl w:val="0"/>
                <w:numId w:val="0"/>
              </w:numPr>
              <w:jc w:val="left"/>
              <w:textAlignment w:val="center"/>
              <w:rPr>
                <w:rFonts w:hint="default" w:ascii="Arial" w:hAnsi="Arial" w:eastAsia="宋体" w:cs="Arial"/>
                <w:color w:val="auto"/>
                <w:sz w:val="21"/>
                <w:szCs w:val="21"/>
                <w:highlight w:val="none"/>
              </w:rPr>
            </w:pPr>
            <w:r>
              <w:rPr>
                <w:rFonts w:hint="eastAsia"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含4个绝缘子、1个防雨帽。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中间杆绝缘子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1、材质：聚丙烯。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2、耐压：脉冲高压＞15KV。</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3、固定方式：螺丝。</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870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铝型材万向底座</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1、材质：铝合金型材。</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2、配套安装用不锈钢膨胀螺栓。</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193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高压避雷器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0"/>
              </w:numPr>
              <w:jc w:val="left"/>
              <w:textAlignment w:val="center"/>
              <w:rPr>
                <w:rFonts w:hint="default" w:ascii="Arial" w:hAnsi="Arial" w:eastAsia="宋体" w:cs="Arial"/>
                <w:color w:val="auto"/>
                <w:kern w:val="0"/>
                <w:sz w:val="21"/>
                <w:szCs w:val="21"/>
                <w:highlight w:val="none"/>
                <w:lang w:bidi="ar"/>
              </w:rPr>
            </w:pPr>
            <w:r>
              <w:rPr>
                <w:rFonts w:hint="eastAsia"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放电电压：7.5KV</w:t>
            </w:r>
          </w:p>
          <w:p>
            <w:pPr>
              <w:widowControl/>
              <w:numPr>
                <w:ilvl w:val="0"/>
                <w:numId w:val="0"/>
              </w:numPr>
              <w:jc w:val="left"/>
              <w:textAlignment w:val="center"/>
              <w:rPr>
                <w:rFonts w:hint="default" w:ascii="Arial" w:hAnsi="Arial" w:eastAsia="宋体" w:cs="Arial"/>
                <w:color w:val="auto"/>
                <w:sz w:val="21"/>
                <w:szCs w:val="21"/>
                <w:highlight w:val="none"/>
              </w:rPr>
            </w:pPr>
            <w:r>
              <w:rPr>
                <w:rFonts w:hint="eastAsia"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用作围栏系统遭受直击雷时，起到一定的保护作用。</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线－线连接器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1、规格：直径16mm</w:t>
            </w:r>
            <w:r>
              <w:rPr>
                <w:rFonts w:hint="default" w:ascii="Arial" w:hAnsi="Arial" w:cs="Arial"/>
                <w:color w:val="auto"/>
                <w:kern w:val="0"/>
                <w:sz w:val="21"/>
                <w:szCs w:val="21"/>
                <w:highlight w:val="none"/>
                <w:lang w:val="en-US" w:eastAsia="zh-CN" w:bidi="ar"/>
              </w:rPr>
              <w:t>±0.5mm</w:t>
            </w:r>
            <w:r>
              <w:rPr>
                <w:rFonts w:hint="default" w:ascii="Arial" w:hAnsi="Arial" w:eastAsia="宋体" w:cs="Arial"/>
                <w:color w:val="auto"/>
                <w:kern w:val="0"/>
                <w:sz w:val="21"/>
                <w:szCs w:val="21"/>
                <w:highlight w:val="none"/>
                <w:lang w:bidi="ar"/>
              </w:rPr>
              <w:t>，总长21mm</w:t>
            </w:r>
            <w:r>
              <w:rPr>
                <w:rFonts w:hint="default" w:ascii="Arial" w:hAnsi="Arial" w:cs="Arial"/>
                <w:color w:val="auto"/>
                <w:kern w:val="0"/>
                <w:sz w:val="21"/>
                <w:szCs w:val="21"/>
                <w:highlight w:val="none"/>
                <w:lang w:val="en-US" w:eastAsia="zh-CN" w:bidi="ar"/>
              </w:rPr>
              <w:t>±1mm</w:t>
            </w:r>
            <w:r>
              <w:rPr>
                <w:rFonts w:hint="default" w:ascii="Arial" w:hAnsi="Arial" w:eastAsia="宋体" w:cs="Arial"/>
                <w:color w:val="auto"/>
                <w:kern w:val="0"/>
                <w:sz w:val="21"/>
                <w:szCs w:val="21"/>
                <w:highlight w:val="none"/>
                <w:lang w:bidi="ar"/>
              </w:rPr>
              <w:t>，螺纹M10，厚度5mm双螺母</w:t>
            </w:r>
          </w:p>
          <w:p>
            <w:pPr>
              <w:widowControl/>
              <w:jc w:val="left"/>
              <w:textAlignment w:val="center"/>
              <w:rPr>
                <w:rFonts w:hint="default" w:ascii="Arial" w:hAnsi="Arial" w:eastAsia="宋体" w:cs="Arial"/>
                <w:color w:val="auto"/>
                <w:sz w:val="21"/>
                <w:szCs w:val="21"/>
                <w:highlight w:val="none"/>
              </w:rPr>
            </w:pPr>
            <w:r>
              <w:rPr>
                <w:rFonts w:hint="eastAsia"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材质：铝镁合金；</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288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多股铝镁合金线（400m-2.0mm）</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4"/>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规格：多股外径Φ2.0mm（Φ0.66mm×7)</w:t>
            </w:r>
          </w:p>
          <w:p>
            <w:pPr>
              <w:widowControl/>
              <w:numPr>
                <w:ilvl w:val="0"/>
                <w:numId w:val="4"/>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单线长度：400米/盘</w:t>
            </w:r>
          </w:p>
          <w:p>
            <w:pPr>
              <w:widowControl/>
              <w:numPr>
                <w:ilvl w:val="0"/>
                <w:numId w:val="4"/>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特性：镁铝合金，抗氧化，导电性好。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盘</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139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高压线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5"/>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规格：Φ4.0mm铝合金导电内芯；直径1cm</w:t>
            </w:r>
          </w:p>
          <w:p>
            <w:pPr>
              <w:widowControl/>
              <w:numPr>
                <w:ilvl w:val="0"/>
                <w:numId w:val="5"/>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单线长度：50米/盘；</w:t>
            </w:r>
          </w:p>
          <w:p>
            <w:pPr>
              <w:widowControl/>
              <w:numPr>
                <w:ilvl w:val="0"/>
                <w:numId w:val="5"/>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w:t>
            </w:r>
            <w:r>
              <w:rPr>
                <w:rFonts w:hint="default" w:ascii="Arial" w:hAnsi="Arial"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特性：双层加厚高压绝缘，脉冲耐压</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40KV；</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电子围栏报警器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6"/>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供电电压：DC12V</w:t>
            </w:r>
          </w:p>
          <w:p>
            <w:pPr>
              <w:widowControl/>
              <w:numPr>
                <w:ilvl w:val="0"/>
                <w:numId w:val="6"/>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声级：90dB。</w:t>
            </w:r>
          </w:p>
          <w:p>
            <w:pPr>
              <w:widowControl/>
              <w:numPr>
                <w:ilvl w:val="0"/>
                <w:numId w:val="6"/>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3、特性：声光一体报警。</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异形警示牌（夜光）</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7"/>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材质：PP 单面丝印</w:t>
            </w:r>
          </w:p>
          <w:p>
            <w:pPr>
              <w:widowControl/>
              <w:numPr>
                <w:ilvl w:val="0"/>
                <w:numId w:val="7"/>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尺寸：≧280mm×175mm。</w:t>
            </w:r>
          </w:p>
          <w:p>
            <w:pPr>
              <w:widowControl/>
              <w:numPr>
                <w:ilvl w:val="0"/>
                <w:numId w:val="7"/>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3、特性：具有吸光蓄光功能，夜晚发光清晰明亮、持续发光时间8小时以上、无需电源。</w:t>
            </w:r>
          </w:p>
          <w:p>
            <w:pPr>
              <w:widowControl/>
              <w:numPr>
                <w:ilvl w:val="0"/>
                <w:numId w:val="7"/>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4、制作工艺：注塑。</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66</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防雷接地桩</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8"/>
              </w:numPr>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材质：热镀锌角铁</w:t>
            </w:r>
          </w:p>
          <w:p>
            <w:pPr>
              <w:widowControl/>
              <w:numPr>
                <w:ilvl w:val="0"/>
                <w:numId w:val="8"/>
              </w:numPr>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规格：约40mm*40mm*4mm*1500mm。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电源线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2、规格：2*1.0mm²软线。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接地线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1、产品类型：BVR电缆。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2、规格：6.0mm²软线。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6、电缆导体的允许长期最高工作温度为70℃。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7、自身特性：具有抗酸碱、耐油性、防潮、防霉等特性。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五、探访会见系统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会见登记排队软件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1、采用嵌入式B/S软件架构，使用灵活方便。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2、支持通过采购人提供的戒毒执法平台免费接口获取戒毒人员及其家属的基本信息，以及处遇等级等在所表现信息，进行会见前的信息核验与登记。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3、支持外接身份证读卡器、高拍仪、指纹仪采集录入会见家属身份信息资料。</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4、支持对接人证合一查验软件进行人脸信息录入及人证合一查验。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5、支持生成叫号语音，实现对侯见区语音播报终端播报语音叫号信息。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6、支持通过话筒对侯见区进行人工喊话。</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7、支持打印会见排队凭证小票，内容包括会见人员的姓名、人数、关系、窗口号等信息。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8、支持提交会见申请。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9、支持向大队的会见排队客户端发出会见通知消息，提醒干警带人会见。</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★10、支持查询会见的历史记录，包含会见时间、会见次数、会见人员姓名等信息，并可以EXCEL表格形式导出。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11、支持自动分配空闲会见窗口并自动叫号。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身份证序列号读卡器套件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1、可读取二/三代居民身份证、港澳台居民居住证、外国人永久居留身份证的信息。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2、可识别Mifare卡和CPU卡序列号，具备USB2.0接口。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3、支持指示灯提示，可提示设备运行状态。</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4、内置蜂鸣器，可提示读卡状态。</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语音播报软件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1、支持生成叫号语音，通过侯见区语音播报终端播报语音叫号信息。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2、配合家属排队登记软件和排队客户端软件使用，实现排队叫号过程中对侯见区进行广播喊话。 </w:t>
            </w:r>
          </w:p>
          <w:p>
            <w:pPr>
              <w:widowControl/>
              <w:jc w:val="left"/>
              <w:textAlignment w:val="center"/>
              <w:rPr>
                <w:rFonts w:hint="default" w:ascii="Arial" w:hAnsi="Arial" w:eastAsia="宋体" w:cs="Arial"/>
                <w:color w:val="auto"/>
                <w:sz w:val="21"/>
                <w:szCs w:val="21"/>
                <w:highlight w:val="none"/>
                <w:lang w:eastAsia="zh-CN"/>
              </w:rPr>
            </w:pPr>
            <w:r>
              <w:rPr>
                <w:rFonts w:hint="default" w:ascii="Arial" w:hAnsi="Arial" w:eastAsia="宋体" w:cs="Arial"/>
                <w:b/>
                <w:bCs/>
                <w:color w:val="auto"/>
                <w:kern w:val="0"/>
                <w:sz w:val="21"/>
                <w:szCs w:val="21"/>
                <w:highlight w:val="none"/>
                <w:lang w:bidi="ar"/>
              </w:rPr>
              <w:t>★3、支持远程调节播报语速、音量大小</w:t>
            </w:r>
            <w:r>
              <w:rPr>
                <w:rFonts w:hint="default" w:ascii="Arial" w:hAnsi="Arial" w:cs="Arial"/>
                <w:b/>
                <w:bCs/>
                <w:color w:val="auto"/>
                <w:kern w:val="0"/>
                <w:sz w:val="21"/>
                <w:szCs w:val="21"/>
                <w:highlight w:val="none"/>
                <w:lang w:eastAsia="zh-CN" w:bidi="ar"/>
              </w:rPr>
              <w:t>。</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液晶一体机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1、基于IP网络技术，一体式设计，终端设备通过 TCP/IP 协议通讯传输。</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★2、显示屏：屏幕尺寸≧55 英寸、屏幕分辨率≧1920*1080P。</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3、处理器≧1颗CPU(四核)，频率≧1.5GHZ，内存≧2GB，存储≧8GB。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4、支持调整每页显示的叫号信息数量,可显示会见编号、姓名、窗口号码，以及年、月、日、星期，并可翻页显示。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5、本地可下载、缓存、播放多媒体1080p高清视频文件。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6、可通过信息发布服务器发布需要播放的图片、视频、文字等信息。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7、可滚动显示多个会见人员叫号信息。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8、可自定义显示模板标题名称。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9、支持对发布内容下载存储，与服务器断链后仍可正常播放。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★10、支持注册失败、网络断开、IP冲突提示。</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11、设备软件升级过程中断电，重新上电后支持恢复到升级前的软件版本。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12、外设接口：音频输出、USB、HDMI等。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13、工作温度：-20℃～60℃。</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14、操作系统：Android7.0 及以上版本。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149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功放</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立体声模式(双通道)20Hz~20KHz ，70W。</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吸顶式喇叭</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功率：3W/6W。</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会见管理软件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1、支持设置会见窗口的通话时长和语音提示内容，并支持单个和批量设置。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★2、支持对会见通话预设多条提示语音内容，呼叫过程中可一键插播预设语音。</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3、插播的时间点可以设置，插播的语音内容支持自定义文字和预录音文件两种方式。</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4、支持对会见过程的管控，可接通、暂停、插话、切断窗口的会见。</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★5、支持选择多个会见窗口进行自动循环监听监视。</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6、支持显示会见窗口的数量和会见状态，会见状态包括通话状态、会见开始结束时间及会见人员信息。</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7、支持显示会见窗口终端设备的在线状态，并可对会见窗口名称编辑修改。</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8、支持显示会见窗口终端设备的故障提示信息。</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★9、支持会见记录查询，可根据时间、姓名、编号等条件搜索查询会见记录。</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10、支持查询播放会见的录音录像文件，可同屏同步播放会见双方的通话内容及双方的面部表情画面。</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11、支持录音录像文件回放时，可同屏显示会见双方所有人员信息及复听复视评价记录。</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12、支持对系统内的窗口会见终端或监听主机进行单个或批量升级软件。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监听主机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1、嵌入式操作系统、一体化结构设计，基于 IP 网络通讯。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★2、内置麦克风、扬声器、手柄、话筒、高清广角摄像头。</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3、内置摄像头的像素不低于 200W，视角不小于 120°。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★4、采用多点触控电容式触摸屏，显示屏分辨率≧1280×800</w:t>
            </w:r>
            <w:r>
              <w:rPr>
                <w:rFonts w:hint="default" w:ascii="Arial" w:hAnsi="Arial" w:cs="Arial"/>
                <w:b/>
                <w:bCs/>
                <w:color w:val="auto"/>
                <w:kern w:val="0"/>
                <w:sz w:val="21"/>
                <w:szCs w:val="21"/>
                <w:highlight w:val="none"/>
                <w:lang w:val="en-US" w:eastAsia="zh-CN" w:bidi="ar"/>
              </w:rPr>
              <w:t>P</w:t>
            </w:r>
            <w:r>
              <w:rPr>
                <w:rFonts w:hint="default" w:ascii="Arial" w:hAnsi="Arial" w:eastAsia="宋体" w:cs="Arial"/>
                <w:b/>
                <w:bCs/>
                <w:color w:val="auto"/>
                <w:kern w:val="0"/>
                <w:sz w:val="21"/>
                <w:szCs w:val="21"/>
                <w:highlight w:val="none"/>
                <w:lang w:bidi="ar"/>
              </w:rPr>
              <w:t>，尺寸≧10 英寸。</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5、操作系统：Android7.0 及以上版本。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6、处理器≧1颗CPU(四核)，主频≧1.9GHz，内存≧2G，存储器≧8G，内置TF卡槽，支持扩展32GB存储。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7、支持注册失败、网络断开、IP 冲突提示。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8、设备软件升级过程中断电，重新上电后支持恢复到升级前的软件版本。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9、支持显示窗口的会见状态、终端设备的在线状态。 </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 xml:space="preserve">★10、支持监听监视，可选择任意会见窗口进行实时监听监视，可同屏同步播放会见双方的通话内容及面部表情视频画面，可选择多个会见窗口进行自动循环监听监视。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11、支持对会见进行插话提醒、强制切断。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12、支持手柄和免提两种方式进行监听、插话。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13、支持远程访问监听主机的网页，可进行信息查看、配置、软件升级和重启等功能。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14、通讯接口采用标准 RJ45 接口，支持 TCP/IP 通讯协议。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15、电源供应：DC12V±20% / PoE(802.3af)，支持POE供电。  </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16、支持 USB、RS485、耳麦、音频输出、音频输入、开关量输出、开关量输入、报警输出等接口。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会见终端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★1、采用嵌入式系统，基于 IP 网络通讯，支持 TCP/IP 通讯协议。</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 xml:space="preserve">、处理器≧1颗CPU(四核)，主频≧1.9GHz，内存：≧2G，存储器：≧8G，内置TF卡槽，支持扩展32GB存储。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 xml:space="preserve">、会见终端具备音视频数据采集处理、本地音视频与信息存储、内置人脸识别模块实现人脸识别等功能。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 xml:space="preserve">、支持每个窗口同时≧4 路通话分机进行全双工通话。 </w:t>
            </w:r>
          </w:p>
          <w:p>
            <w:pPr>
              <w:widowControl/>
              <w:jc w:val="left"/>
              <w:textAlignment w:val="center"/>
              <w:rPr>
                <w:rFonts w:hint="eastAsia" w:ascii="Arial" w:hAnsi="Arial" w:eastAsia="宋体" w:cs="Arial"/>
                <w:color w:val="auto"/>
                <w:kern w:val="0"/>
                <w:sz w:val="21"/>
                <w:szCs w:val="21"/>
                <w:highlight w:val="none"/>
                <w:lang w:val="en-US"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 xml:space="preserve">、支持接收会见管理软件、监听主机的插话提醒或切断通话控制。 </w:t>
            </w:r>
            <w:r>
              <w:rPr>
                <w:rFonts w:hint="default" w:ascii="Arial" w:hAnsi="Arial" w:cs="Arial"/>
                <w:color w:val="auto"/>
                <w:kern w:val="0"/>
                <w:sz w:val="21"/>
                <w:szCs w:val="21"/>
                <w:highlight w:val="none"/>
                <w:lang w:val="en-US" w:eastAsia="zh-CN"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6</w:t>
            </w:r>
            <w:r>
              <w:rPr>
                <w:rFonts w:hint="default" w:ascii="Arial" w:hAnsi="Arial" w:eastAsia="宋体" w:cs="Arial"/>
                <w:b/>
                <w:bCs/>
                <w:color w:val="auto"/>
                <w:kern w:val="0"/>
                <w:sz w:val="21"/>
                <w:szCs w:val="21"/>
                <w:highlight w:val="none"/>
                <w:lang w:bidi="ar"/>
              </w:rPr>
              <w:t>、支持对会见过程录音录像，可保存到本地，并可自动上传至录音录像管理服务器存储。</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 xml:space="preserve">、支持两个话机接口（可并接不少于4个话机）、两路 USB 摄像头接口、音频输入接口、开关量输出接口、RJ45 接口等。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、支持标准 ONVIF 协议，可将采集到的音视频信息，实时传输到网络硬盘录像机（NVR）存储。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、支持远程访问会见终端的网页，可进行信息查看、配置、软件升级和重启等功能。</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w:t>
            </w:r>
            <w:r>
              <w:rPr>
                <w:rFonts w:hint="default" w:ascii="Arial" w:hAnsi="Arial" w:eastAsia="宋体" w:cs="Arial"/>
                <w:b/>
                <w:bCs/>
                <w:color w:val="auto"/>
                <w:kern w:val="0"/>
                <w:sz w:val="21"/>
                <w:szCs w:val="21"/>
                <w:highlight w:val="none"/>
                <w:lang w:val="en-US" w:eastAsia="zh-CN" w:bidi="ar"/>
              </w:rPr>
              <w:t>0</w:t>
            </w:r>
            <w:r>
              <w:rPr>
                <w:rFonts w:hint="default" w:ascii="Arial" w:hAnsi="Arial" w:eastAsia="宋体" w:cs="Arial"/>
                <w:b/>
                <w:bCs/>
                <w:color w:val="auto"/>
                <w:kern w:val="0"/>
                <w:sz w:val="21"/>
                <w:szCs w:val="21"/>
                <w:highlight w:val="none"/>
                <w:lang w:bidi="ar"/>
              </w:rPr>
              <w:t xml:space="preserve">、支持 POE 供电，符合 IEEE 802.3af 标准；也支持电源适配器供电。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、会见终端支持宽电压输入，在 12～24 VDC 电压范围内均能正常工作。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、含24V/2.5A电源适配器。</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 xml:space="preserve">、操作系统：Android7.0 及以上版本。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通话分机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1、采用两芯线与会见终端相连，手柄通话方式，简单方便。</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 xml:space="preserve">★2、支持全双工对讲，对讲音频采样率≧16KHz。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3、支持≧4路通话分机同时通话。</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4、支持自动播报各种提示语音，引导会见流程。</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终端摄像头</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1、内置高清广角摄像头，像素≧200W，视角≧120°。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2、支持拍摄会见双方人员面部表情画面。</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3、支持粘贴式安装。</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录音录像管理服务器软件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1、采用 B/S 架构设计，可对会见记录、会见过程音视频进行存储及管理。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2、支持按会见时间、人员信息、会见窗口号等多种条件搜索查询会见通话记录。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3、支持复听复视，通过客户端可在一个页面上同时同步播放录音录像文件、显示会见双方人员信息、显示会见语音转文字的内容，并可备注复听复视的评价内容。 </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 xml:space="preserve">★4、支持同屏同步播放会见双方的通话内容及双方面部表情视频画面，播放时可快进、暂停，并可标注状态异常。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5、支持导出通话记录和录音录像文件。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6、支持根据监区、月、年及自定义时间统计会见数量占比，并以图标形式展示。</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7、支持角色管理，用户管理，可为用户分配不同角色，使用户拥有不同权限。</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六类非屏蔽网线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 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4、额定传输速率(NVP)：67%。</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11、电缆外径：5.1±0.3mm。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12、交货长度（米/盘）：305米/箱。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13、最小弯曲半径：10倍电缆外径。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箱</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两芯音频线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1、产品类型：RVV电缆。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2、规格：2*1.0mm²软线。</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3、绝缘材料：聚氯乙烯。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4、导体材料：无氧铜。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5、工频额定电压Uo/U为450/750V或0.6/1kV。</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6、电缆导体的允许长期最高工作温度为70℃。</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米</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159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24个，千兆 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4个,1个console口。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96Mpps。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3、支持IEEE 802、3az 标准的 EEE节能技术。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4、支持portal以及802.1x认证，实现有线终端的安全准入。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5、支持三层功能，ARP表项数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512、MAC地址数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16K，Vlan数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4K。</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6、支持防止ARP欺骗、防止DOS攻击，支持STP、RSTP、MSTP协议功能。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六、亲情电话</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软交互亲情电话系统软件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1、实时监控模块：实时监听、插话、强拆、增加通话时长功能。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2、基础信息模块：学员、家属、干警资料管理，支持系统数据与所政系统的数据库保持同步。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3、账/卡管理、学员卡、干警卡管理。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4、查询统计模块：金额对账、话单查询、充值信息、转账信息、退钱信息、用卡信息、换卡信息、退卡信息、监听信息、开启话机记录、话务统计、话务时长统计、充值统计、拨打信息统计等多维度查询功能。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5、系统设置：包含添加大队、学员级别、录音设置、服务时间设置、通话次数时长设置、费率设置、卡费设置、奖惩设置、日志管理、信息回收站、监听电脑分机设置等功能。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6、用户管理：用户信息、角色管理、角色设置(要求功能、对象、操作三种权限分别管理)、密码修改等。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学员向单位申请亲情电话号码，干警在执法平台进行号码审核审批。学员只能拨打审批合法亲情号码，必须与现有的戒毒执法平台数据互联互通，融合使用，移动审批，对接所需的戒毒执法平台接口由采购人免费提供。</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8、系统实现针对不同级别学员设置通话时长限定功能，通话时长截止前语音通知学员到期提醒功能。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9、系统实现针对不同级别学员设置通话次数功能，超过设定次数不允许通话，并进行语音播报提醒。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10、亲情电话拨打过程自动录音、干警可监听、设置通话限时等。同时通话信息回传至执法平台，包括：通话基本信息和通话录音信息等。</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11、系统具备数据分析看板功能，按照月度、季度、年度等时间维度统计分析学员通话过程，包括不限限于：戒毒学员通话时长分析、通话次数分析、通话排名分析、通话限制分布等。</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数字中继网关</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E1转IP语音网关，级联LAN：1个10/100M BASE-T级联接口，上行WAN:1个10/100M BASE-T,支持1个E1接入。</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亲情电话SIP话机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1、2.3寸 132x64分辨率带背光黑白屏；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2、高清音质；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3、2个SIP账号；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4、支持Opus编解码；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5、支持耳机；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6、可挂墙；</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7、2个支架角度；</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8、带电源适配器。</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监听SIP话机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1、2.3寸 132x64分辨率带背光黑白屏；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2、高清音质；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3、2个SIP账号；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4、支持Opus编解码；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5、支持耳机；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6、可挂墙；</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7、2个支架角度；</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8、带电源适配器。</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★1、千兆电口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24个，千兆 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4个,1个console口。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96Mpps。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3、支持IEEE 802、3az 标准的 EEE节能技术。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4、支持portal以及802.1x认证，实现有线终端的安全准入。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5、支持三层功能，ARP表项数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512、MAC地址数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16K，Vlan数</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4K。</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6、支持防止ARP欺骗、防止DOS攻击，支持STP、RSTP、MSTP协议功能。</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六类非屏蔽网线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 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4、额定传输速率(NVP)：67%。</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11、电缆外径：5.1±0.3mm。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12、交货长度（米/盘）：305米/箱。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13、最小弯曲半径：10倍电缆外径。 </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箱</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数字中继E1信号线调测费</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数字中继E1信号线接入一次性调测费</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七、AB门管控系统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车底扫描系统</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1、支持单项扫描模式和双向扫描模式，支持车辆双向通行扫描功能，正向或逆向行驶均能扫描出车底图像。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2、具备车牌识别功能，能再采集车底、车牌及车辆外观图像上迭加日期、时间、进去方向等信息。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▲3、支持自动扫描功能，车辆以1～25km/h的速度通过时，系统的车底图像采集组件应能自动扫描并显示清晰完整的车辆底盘图像，底盘图像应在专用窗口显示，系统车底图像采集组件采集车底图像的视场角度应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155°。（</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4、系统扫描装置的整体高度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25cm，宽度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92cm，重量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90kg。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5、支持扫描行频设置功能，对扫描装置的摄像机进行扫描行频设置，且扫描行频应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▲6、车辆以不低于25km/h的速度通过系统扫描装置后，系统的图像显示时间应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3s，车辆以不低于25km/h的速度通过系统扫描装置时，系统的图像采集率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98%。（</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7、具备完整成像功能，系统应能对扫描装置的摄像机、车牌识别摄像机的连接状态和硬盘容量状态进行显示。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当车辆通过时，感应照明控制组件应能自动感应并启动光源照明，车辆离开系统时，感应照明控制组件应能自动感应并关闭光源照明，系统软件应能对已采集的车底图像进行局部或全部缩放处理，放大倍数应不小于28级。（</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9、系统软件应能对已采集的车底图像进行锐化、白平衡或调整对比度、饱和度等处理以取得最佳图像质量。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10、系统具有黑白名单管理功能，并根据用户需求导入车辆黑白名单，当检测到黑白名单中的车辆时，系统应能实时显示。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11、支持按日期、时间、车牌号等信息自动统计车辆数量，支持通过Web客户端实现远程访问查询功能。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12、系统应能自动以JPG格式存储生成的车底或车牌图像，存储容量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10万张，系统应能根据时间或容量设置回删模式，当存储图像超过设置值时，系统应能自动删除过期图像。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13、系统支持自动存储所采集的车底、车牌及车辆外观图像，具备打印功能，能够实时打印车底、车牌或车辆外观图像。</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★14、外壳防护等级不低于IP68，系统显示面板上的字符、图形清晰无缺损。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15、系统感应照明控制组件应由</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4组LED补光灯组成，整个感应照明控制组件功率110W。</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16、具备历史车牌比对功能，当设置历史图像比对后，系统显示部分应自动弹出已存储的相同车牌号码的历史图像。</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车牌识别筒机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1、设备采用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200万像素彩色逐行扫描CMOS高清智能摄像机，内置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1/1.8”CMOS传感器。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2、具有</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1个RJ45网络接口，</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1路音频输入/输出，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3路报警输入，</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2路继电器输出，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1个TF卡槽。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3、最低照度：彩色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0.002Lux，黑白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0.0002Lux。</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▲4、具有</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2颗LED补光灯，支持识别大小为80*25至1200*380像素，倾斜角度0至45度的机动车车牌号码。（</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5、支持内存语音文件，通过外接播放设备播放，动态范围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▲6、支持对机动车辆进行过滤抓拍，可设置仅对正向、背向、全部车辆进行抓拍，支持识别通过监视画面中的机动车品牌标志，不少于200种。（</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7、在天气晴朗无雾的条件下进行测试，车型识别准确率：日间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95%，夜间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8、支持通过IE浏览器或客户端软件抓拍图片,图片格式为JPEG，图片质量可设。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9、支持在抓拍图片上叠加抓拍时间、地点、车长、车身颜色、车牌号码、车型、车标等信息。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▲10、可显示通过监视画面中的机动车车身颜色</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13种（包括：红、黄、蓝、绿、紫、粉、棕、白、黑、灰、金、青、橙等）。（</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11、支持背光补偿和强光抑制，抑制图像中强光照射区域过度曝光、光晕偏大。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12、支持H.264、M-JPEG视频编码格式，压缩输出码率：32Kbps～16Mbps。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13、在网络连接失效的情况下，支持自动识别自动格式化，并支持图片检索、自动覆盖、自动上传功能。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14、支持将数据直接存储在通过网络连接的存储设备中。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15、在天气晴朗无雾，号码无遮挡无污损的条件下进行测试，白天/夜间车辆捕获率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16、在天气晴朗无雾，号码无遮挡无污损的条件下进行测试，白天/夜间车牌识别准确率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99%。</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17、布防状态下可根据存储的黑白名单自动控制外接道闸的开/关，撤防即放行。</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169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地感线圈</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1卷线圈50米。</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卷</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1.3米立杆</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立柱高度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1.3米，立柱直径约60mm。</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访客一体机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1、支持双屏显示，主屏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15.6寸，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1920×1080分辨率，支持电容触摸操作，副屏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11.6寸，分辨率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1366*768。</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200W像素高清摄像头，摄像头角度可调，内置居民身份证阅读器安全模块，可读取并显示代居民身份证芯片内的数据。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3、支持访客黑名单管理功能，内置热敏式打印机，支持将来访者信息直接打印输出。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4、设备具有人证比对功能，对来访者进行现场人脸抓拍，与来访者的身份证芯片内的照片进行实时比对，确保实名实证；人证合一后，设备才能进行访客登记操作；认证比对时间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5、支持读取并发放IC卡作为访问卡，设备内置激光扫码器，可识别访客单上的条形码或二维码完成签离。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6、系统及各主要组成部分应有表明其工作正常的自检功能，设备在正常工作条件下能安全工作。</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7、输入电压支持AC220V，适用温度范围：-10℃~55℃。</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安检门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1、探测精准：能检测回形针，不会漏报和串报。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、灵敏度可调：有0-500级灵敏度可调。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、高探测防区：33个探测防区，准确显示可疑物所在区域。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、专业探测程序：内置30种常见场景，自定义设置场景。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、抗干扰强：开机自动设置频率避开干扰，多台门靠扰工作，对探测性能无明显影响。</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、无线联网：WIFI联网，可远程监控。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、检测能力：1分钟60-150人检测通过能力。</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、防水功能：外表采用PVC材质，防水防潮。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、远程操作：遥控器远程设置参数。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、报警方式声光同步。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、电源AC220V/50Hz，功率20W。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、外形尺寸约2220mm（高）*930mm（宽）*760mm（深）。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r>
              <w:rPr>
                <w:rFonts w:hint="default" w:ascii="Arial" w:hAnsi="Arial"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、通道尺寸约2010mm（高）*760mm（宽）*760mm（深）。</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手持金属探测仪</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1、尺寸：约410(长)mm×85(宽)mm×45(高)mm；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2、功耗最大 270mW；工作频率13KHz；待机电流&lt;5mA；工作电压直流 7~12V；工作温度-15~℃ +65℃。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3、自带可充电电池、电池降至7V左右，探测距离不变。</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4、有充电、开机、关机提示功能。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5、有高、低两种灵敏度可选。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6、有外接充电插孔和电源适配器。</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7、有声光、振动切换开关。</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NFC读头</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支持MF卡和身份证物理卡号。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支持ISO15693卡片UID( ICODE 2 )。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支持HID iClass物理卡号。</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支持IC扇区加密。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支持CPU卡内容。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支持FELICA卡物理卡号。</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 WG34 WG26 WG66 通讯。</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AB门互锁控制系统</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1、支持指纹、人脸、指静脉、掌纹、身份证等生物模板录入；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2、能管理</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10000 个人员的数据；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3、可建立在多级管理角色上的权限管理；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4、人员管理包括:部门、人员、离职人员、临时人员、自定义；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5、卡管理包含模块:卡、韦根格式和发卡记录；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6、可通过系统管理设备、上传用户门禁数据、下载配置信息、输出各类报表。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可添加门禁设备，设置连接设备的通信参数，包括系统中的设置和门禁设备中的设置，通信成功后能查看已连接设备的信息并对机器进行远程监控、同步数据等操作，系统支持手动新增门禁设备；系统支持搜索门禁控制器新增设备，通过 TCP/IP 或 RS485 通讯搜索以太网中的门禁控制器；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8、用户可编辑当前系统中存在的所有权限范围内的门禁设备；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9、系统能对前端设备进行更详细的设置，具备对门禁设备控制（启用、禁用、同步所有数据、重启设备、同步时间）、设置（设置后台验证参数、设置设备时区、设置登记机、 设置夏令时、修改指纹比对阈值）；</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10、支持查看和获取信息（获取设备参数、获取人员信息、获取事件记录、查看设备中的门禁规则、查询设备容量）、通讯（修改 IP地址、修改通信密码、切换网络连接等）；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11、支持系统中的数据同步到设备中。可获取设备常用参数；可获取人员的指纹、指静脉、面部数据或对应的数量；可获取事 件记录，将设备中的事件记录获取到系统中；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12、当网络状况良好且系统与设备通信状态正常时，系统支持实时地获取设备中的事件记录并保存到数据库中；</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13、系统支持每天的定时自动获取设备中的事件记录；事件记录</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万条，记录超过默认储存量，设备将自动删除最早保存的记录；可设置夏令时，根据不同地区的要求，设置设备所需要采用的夏令时规则；可修改设备中的指纹比对阈值，用户可通过设备列表查看当前指纹比对阈值大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14、系统可根据设备的门数量自动编号，与设备上的门编号保持一致；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15、可设置门的有效时间段、门常开时间段；门常开状态下，具有该门门禁权限的人员连续 5 次验证通过（验证间隔不超过 5 秒），解除当前的常开状态，门关闭并变成正常验证；验证方式：支持人脸、指纹、密码、工号、卡等方式相互交叉的多种验证方式；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、可设置锁驱动时长：刷卡后开锁的延时时间，单位秒（控制器范围：0~254 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、可设置出门按钮延时：出门按钮被锁定后延迟检查门报警的时间，强制开门之后过一段时间开始检测门的状态；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 xml:space="preserve">、出门按钮时间段：出门按钮在设置的时间段内才可以使用，操作间隔：两次操作之间的时间间隔，单位秒（范围：0~254 秒）；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、门磁类型：无（不检测门磁）、常开、常闭，默认无，设置常开或常闭，需先选择门磁延时和是否需要闭门回锁；门磁类型为“常开”或“常闭”时，默认门磁延时为 15 秒，并启动闭门回锁；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20</w:t>
            </w:r>
            <w:r>
              <w:rPr>
                <w:rFonts w:hint="default" w:ascii="Arial" w:hAnsi="Arial" w:eastAsia="宋体" w:cs="Arial"/>
                <w:color w:val="auto"/>
                <w:kern w:val="0"/>
                <w:sz w:val="21"/>
                <w:szCs w:val="21"/>
                <w:highlight w:val="none"/>
                <w:lang w:bidi="ar"/>
              </w:rPr>
              <w:t>、入反潜时长：限制单位时间内只能进入一次（只限于入读头），单位分钟（范围：0~120 分钟）；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、门磁延时：门被打开后延迟检查门磁的时间，门在非“常开”时段，如果是打开的，则开始计时，过了门磁延时时间开始报警，门关闭时报警取消，门磁延时需大于锁驱动时长 （范围：1~254 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、闭门回锁：设置闭门之后是否回锁，延长通行时间：在原有锁驱动时长及门开超时、出门按钮延时基础上，额外增加的限制时间（范围 0~60 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、开门延时：验证通过后，需要等待该延时后门才会打开，范围 0~60 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、多人开门操作间隔：设置多人开门时，不同人刷卡或按指纹的时间间隔，范围 0~60 秒；</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、胁迫密码、紧急状态密码：在受胁迫时用胁迫密码（与合法卡配合使用）可以开门，胁迫密码开门时会报警； 在紧急状态下，用户可以使用紧急状态密码（也可称为超级密码）开门，且在任何时间段、任何验证方式下都有效，可供管理员使用；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 xml:space="preserve">、读头通讯类型：可选择韦根、RS485、TCP/IP 方式通讯； 支持绑定/解绑摄像头，可进行视频联动（弹出视频、录像、抓拍）；支持辅助输入输出如红外感应器，烟雾感应器报警器等设备；支持夏令时功能设置；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、设备监控可查询设备名称、序列号、区域、操作状态、当前状态、 支持实时监控系统内的门禁控制器所包含的门的状态及实时事件，包括正常事件及异常 事件（含报警事件）等。 可远程开/关门：对单个门的控制和对所有门的控制；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 系统需支持自动获取监控到的设备的事件记录（</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显示200条记录），包括正常门禁事件和异常门禁事件（含报警事件）； </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、系统支持电子地图，添加门，放大、缩小地图，用户可以看到地图上包含门的实时事件；支持设置门的使用时间，指定门禁在有效时间段可用；也可设置门的常开时间段；设置 门禁权限，指定人员只能在指定时间段访问指定门（含门禁权限组和首人常开设置），系统支持对节假日单独设置门禁时间。</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人脸识别门禁一体机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1、采用7英寸LCD触摸显示屏，屏幕流明度350cd/㎡，分辨率不小于1024×600。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2、支持视频对讲功能，支持与平台或客户端中心、室内机、管理机、手机APP进行对讲。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3、采用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200万像素双目摄像头，适应强光、逆光、弱光等条件下的人脸识别，支持通过人脸及人体测光，快速调节图像亮度。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4、设备刷卡时，设备有蜂鸣器提示，支持比对结果语音提示，支持语音音量调节，支持指纹容量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5000枚。</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▲5、设备本地支持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5000个用户，本地人脸库存储容量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5000张，本地卡存储容量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5000张，本地记录（刷脸刷卡）存储容量</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5000条，支持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5000个密码，支持红外及白光灯补光，支持在</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0.001lux低照度无补光环境下正常实现人脸识别。（</w:t>
            </w:r>
            <w:r>
              <w:rPr>
                <w:rFonts w:hint="default" w:ascii="Arial" w:hAnsi="Arial" w:eastAsia="宋体" w:cs="Arial"/>
                <w:color w:val="auto"/>
                <w:kern w:val="0"/>
                <w:sz w:val="21"/>
                <w:szCs w:val="21"/>
                <w:highlight w:val="none"/>
                <w:lang w:eastAsia="zh-CN" w:bidi="ar"/>
              </w:rPr>
              <w:t>若有请提供具备满足此参数的检测报告复印件</w:t>
            </w:r>
            <w:r>
              <w:rPr>
                <w:rFonts w:hint="default" w:ascii="Arial" w:hAnsi="Arial" w:eastAsia="宋体" w:cs="Arial"/>
                <w:color w:val="auto"/>
                <w:kern w:val="0"/>
                <w:sz w:val="21"/>
                <w:szCs w:val="21"/>
                <w:highlight w:val="none"/>
                <w:lang w:bidi="ar"/>
              </w:rPr>
              <w:t xml:space="preserve">）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6、设备支持IC卡及身份证卡号读取，CPU卡内容读取及开启/关闭NFC刷卡功能。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7、支持Web配置功能，支持通过Web进行设备信息查询、用户信息管理、设备时间管理、系统维护、安全操作管理、图像参数配置等，根据设定事件的联动关系，当检测到该事件发生时，可触发对应的动作。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8、设备支持人脸注册功能，支持设备本地人脸注册，支持远程中心下发人脸，支持本地U盘导入人员信息。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9、支持防假体攻击功能，对视频、电子照片、打印照片中的人脸应不能进行人脸识别。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10、支持人脸识别功能，现场抓拍人脸照片与本地人脸库照片进行比对，进行人员身份核验，支持人脸在上下、左右角度偏转±45度范围内识别。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11、支持节能功能，支持在没有用户使用时自动切换到屏保或息屏待机状态，支持物体靠近自动唤醒待机设备，支持不开启白光补光灯实现人脸识别。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12、人脸识别距离：0.2m～3m，人脸比对误识率和准确率：误识率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0.01%的条件下，准确率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99%，人脸比对平均时间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300ms。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13、支持在没有用户使用时自动切换到屏保或息屏待机状态，支持物体靠近自动唤醒待机设备。</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14、设备支持中心下发黑名单信息，支持本地黑名单信息比对，支持本地黑名单报警功能，报警信息可上传平台。</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门禁控制器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1、≧2颗32位CPU。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2、门禁可存储人员卡片≧ 6000 张，并且支持扩容到10000张，支持指纹≧2000枚，脱机事件≧10000条。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3、指纹信息全部存储在门禁控制器，指纹读头采用485的方式和门禁控制器连接，指纹数据比对都在控制器后端进行。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4、具备看门狗功能，杜绝死机，各接口均具有过压，过流及反压保护。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5、采用标准 TCP/IP 网络通讯及 RS485 通讯方式。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6、支持连接 weigand、RS485读卡器。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7、具有双重数据备份功能，可外接SD卡存储设备备份数据功能，如遇系统故障，可通过外接存储设备如 SD 卡等方式恢复持卡人卡号及事件记录等。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8、在线实时监控，数据实时传输，并以颜色显示各类报警事件。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9、节假日设置，并提供多种开门认证模式：刷卡、密码、指纹；刷卡+密码；刷卡+ 指纹、刷卡+密码；多人组合、不同组组合等多种方式。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10、可以实现刷卡实时联动摄像头拍照功能，拍照可事后调阅查看。</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11、支持IE浏览器访问门禁控制器，可同时支持 100 个以上访问端。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12、支持门禁数据主动上传到服务器，平台支持分布式部署，可实现管理设备 1000 台以上。</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13、支持跨控制器反潜，即全局反潜。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14、系统主要操作响应时间</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0.8s； 可控制单门双向、双门双向、四门单向。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15、控制器电源输入具有过流、过压、反压保护；通信端口具有瞬间过压保护。</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16、工作电源：额定电压 12V(±20%)DC，额定电流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0.5A。</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智能双备份集中供电电源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一、智能双备份电源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1、19英寸机架式，可安装于标准机柜内，设备带有RJ45网络接口，支持通过管理软件进行集中管控。</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★2、提供24路DC12V，8路AC24V，总输出电流29A、总输出功率350W，单路通道额定输出电流5A。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3、设备DC12V输出电压应能在10.05V-13.5V之间调整。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4、设备具备双路电源模块，当发生主备电源模块故障时，会自动切换到备电源进行供电。</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5、当发生主备电源切换或报警时，能将报警信息传送到管理软件。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6、出现短路、过流故障均能及时切断输出通道，并在故障消除后会自动恢复输出。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7、设备内置防雷模块，具有防雷接地保护。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8、具备远程/定时开关机功能；具备主电源工作异常报警及数据异常报警，报警历史信息统一存储，支持信息查询及下载。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二、智能末端用电管理系统平台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平台可集成接入智能双备份集中供电电源（机架式、壁挂式、室外型），智能末端配电箱、智能末端供电控制器、远程载波智能控制模块等多种类型设备。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平台软件能实时监测设备的工作参数，包括电压、电流、温度等，具有记录、查询、管理前端设备报警信息的功能。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模块化管理，支持区域划分、用户分组管理，用户权限管理，支持报警管理，历史运行记录曲线查询、操作记录、报警记录查询。</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可实现对用电设备远程管控；实现参数及历史记录查询。</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179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开关按钮</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适用空心门框及埋入式电器盒使用, PC防火材料,50万次机械使用寿命，NC、COM。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180</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发卡器</w:t>
            </w:r>
          </w:p>
        </w:tc>
        <w:tc>
          <w:tcPr>
            <w:tcW w:w="59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1、类型 非接触式读卡。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2、工作频率 13.56（MHz）。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3、读卡时间 ≧1（s）。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4、感应距离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5（cm）。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5、电源功率 1（W）。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6、适用卡类 IC卡。</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7、通讯方式 USB-Client。</w:t>
            </w:r>
          </w:p>
        </w:tc>
        <w:tc>
          <w:tcPr>
            <w:tcW w:w="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AB门专用锁</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1、工作电压：12-24VDC。</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2、启动电流：12VDC1A/24VDC660mA。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3、维持电流：12VDC210mA/24VDC120mA。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4、门状态信号输出 电压</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36VDC/AC，电流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300mA。</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5、工作温度：（-25～55）℃。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6、工作湿度：10%～90%RH。</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7、上锁方式：磁感应。</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8、安全类型：断电上锁（常闭锁）。</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9、延时调节：0S、2.5S、5S、8S。</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把</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八、可视对讲系统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IP网络拨号式可视对讲主机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1、采用安卓嵌入式操作系统，稳定可靠，满足7×24小时不间断工作。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2、一体化结构设计，多点电容式触摸屏操作。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3、显示屏尺寸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10.1英寸，分辨率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1280×800。 </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4、内置高清广角摄像头，视角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120度，摄像头像素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200W，上下角度可手动调节。</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5、自带手柄话筒、长杆话筒，支持免提、手柄2种对讲方式，支持手柄话筒摘机接听，对讲音频采样率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16KHz。</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6、至少具有两个物理按键（“一键求助报警”和“广播喊话”按钮）。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★7、支持双向1080P（1920×1080）高清可视全双工对讲，本地摄像头视频可手动开关。</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8、支持音频插播功能，管理主机可对通话中的分机、终端插播预先录制的音频文件。</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9、支持监听监视功能，可对管理的分机、终端进行单路监听监视或循环自动监听监视，监听监视时长可自由设置。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★10、支持文件广播、喊话广播、外接音源广播，可不少于12路音源文件同时广播不同分区。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11、支持视频联动，本机可同屏显示通话设备的视频画面和绑定的IPC(监控摄像机)画面，任一画面可一键放大全屏画中画显示。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12、支持多方通话功能，不少于32方，多方通话可设置“指挥模式”（主席端控制发言）和“会议模式”（可自由发言）。</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13、支持呼叫自动转移功能，具有遇忙转移、关机转移、手动转移及无响应上传转移等。</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14、支持多级管理架构，不少于5级，各级设备可互联互通，可设置上下级管理关系。</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15、可对所管理的低级管理主机与其直属分机、终端等设备的通话进行监听监视、插话、切断。</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16、支持服务器离线工作，对讲主机在服务器离线状态下可正常接收呼叫、可视对讲、多方通话、文件广播、录音录像存储。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17、支持语音播报分机的描述信息，描述信息可自定义，包括文字、数字及字母。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18、支持标准的SIP协议，可与VOIP网络电话互联互通，实现双向可视通话。</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19、支持HDMI高清输出，可将本机显示屏的画面投至电视墙上进行显示。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20、支持通过浏览器远程管理，可查看设备信息、参数配置、软件升级和重启设备；</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21、支持远程故障检测，可实时检测设备在线、离线状态，支持IP冲突自动提示。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22、支持音频输入、录音输出、RS485通讯、报警输入、耳麦、USB接口。</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23、支持宽电压输入在DC 11V～DC24V电压范围内均能正常工作。</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★24、可管理≧10000路分分机。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25、支持视频会议功能。</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★26、提供原厂3年软件升级与保修服务。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IP网络可视对讲主机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1、采用安卓嵌入式操作系统，稳定可靠，满足7×24小时不间断工作。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2、一体化结构设计，多点电容式触摸屏操作。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3、显示屏尺寸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15英寸，分辨率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1920×1080。 </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4、内置高清广角摄像头，视角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120度，摄像头像素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200W，上下角度可手动调节。</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5、自带手柄话筒、长杆话筒，支持免提、手柄2种对讲方式，支持手柄话筒摘机接听，对讲音频采样率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16KHz。</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6、至少具有两个物理按键（“一键求助报警”和“广播喊话”按钮）。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★7、具有信息交互功能，可查看宿舍概况信息，可查看各种动态信息，可查看并处理日常待办事项，可发起在所人员点名，查看点名统计数据。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★8、支持双向1080P（1920×1080）高清可视全双工对讲，本地摄像头视频可手动开关。</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9、支持音频插播功能，管理主机可对通话中的分机、终端插播预先录制的音频文件。</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10、支持监听监视功能，可对管理的分机、终端进行单路监听监视或循环自动监听监视，监听监视时长可自由设置。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★11、支持文件广播、喊话广播、外接音源广播，可不少于12路音源文件同时广播不同分区。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12、支持视频联动，本机可同屏显示通话设备的视频画面和路绑定的IPC(监控摄像机)视频画面，任一画面可一键放大全屏画中画显示，便于全面掌握现场情况。</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13、支持多方通话功能，不少于32方，多方通话可设置“指挥模式”（主席端控制发言）和“会议模式”（可自由发言）。</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14、支持呼叫自动转移功能，具有遇忙转移、关机转移、手动转移及无响应上传转移等。</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15、支持多级管理架构，不少于5级，各级设备可互联互通，可设置上下级管理关系。</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16、支持服务器离线工作，对讲主机在服务器离线状态下可正常接收呼叫、可视对讲、多方通话、文件广播、录音录像存储。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17、支持交班留影留言，可通过本机进行录制、存储、回放，具有留影留言提示及已阅读提示。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18、支持语音播报分机的描述信息，描述信息可自定义，包括文字、数字及字母。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19、支持标准的SIP协议，可与VOIP网络电话互联互通，实现双向可视通话。</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20、具有HDMI高清输出接口，支持双屏异显，可将本机扩展的视频画面（不同于主机显示屏画面）投至电视墙上显示。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21、支持远程故障检测，可实时检测设备在线、离线状态，支持IP冲突自动提示。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22、支持音频输入、录音输出、RS485通讯、报警输入、耳麦、USB、HDMI接口。</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23、支持通过浏览器远程管理，可查看设备信息、参数配置、软件升级和重启设备。</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24、支持宽电压输入在DC 11V～DC24V电压范围内均能正常工作。</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★25、可管理≧90路分分机；支持通过人脸识别自动点名功能。</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26、支持视频会议功能。</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★27、提供原厂3年软件升级与保修服务。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IP网络可视对讲主机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1、采用安卓嵌入式操作系统，稳定可靠，满足7×24小时不间断工作。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2、一体化结构设计，多点电容式触摸屏操作。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3、显示屏尺寸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10.1英寸，分辨率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1280×800。 </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4、内置高清广角摄像头，视角</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120度，摄像头像素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200W，上下角度可手动调节。</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5、自带手柄话筒、长杆话筒，支持免提、手柄2种对讲方式，支持手柄话筒摘机接听，对讲音频采样率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16KHz。</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6、至少具有两个物理按键（“一键求助报警”和“广播喊话”按钮）。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★7、支持双向1080P（1920×1080）高清可视全双工对讲，本地摄像头视频可手动开关。</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8、支持音频插播功能，管理主机可对通话中的分机、终端插播预先录制的音频文件。</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9、支持监听监视功能，可对管理的分机、终端进行单路监听监视或循环自动监听监视，监听监视时长可自由设置。</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★10、支持文件广播、喊话广播、外接音源广播，可不少于12路音源文件同时广播不同分区。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11、支持视频联动，本机可同屏显示通话设备的视频画面和绑定的IPC(监控摄像机)画面，任一画面可一键放大全屏画中画显示。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12、支持多方通话功能，不少于32方，多方通话可设置“指挥模式”（主席端控制发言）和“会议模式”（可自由发言）。</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13、支持呼叫自动转移功能，具有遇忙转移、关机转移、手动转移及无响应上传转移等。</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14、支持多级管理架构，不少于5级，各级设备可互联互通，可设置上下级管理关系。</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15、支持服务器离线工作，对讲主机在服务器离线状态下可正常接收呼叫、可视对讲、多方通话、文件广播、录音录像存储。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16、支持交班留影留言，可通过本机进行录制、存储、回放，具有留影留言提示及已阅读提示。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17、支持语音播报分机的描述信息，描述信息可自定义，包括文字、数字及字母。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18、支持标准的SIP协议，可与VOIP网络电话互联互通，实现双向可视通话。</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19、支持HDMI高清输出，可将本机显示屏的画面投至电视墙上进行显示。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20、支持通过浏览器远程管理，可查看设备信息、参数配置、软件升级和重启设备。</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21、支持远程故障检测，可实时检测设备在线、离线状态，支持IP冲突自动提示。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22、支持音频输入、录音输出、RS485通讯、报警输入、耳麦、USB接口。</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23、支持宽电压输入在DC 11V～DC24V电压范围内均能正常工作。</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★24、可管理</w:t>
            </w:r>
            <w:r>
              <w:rPr>
                <w:rFonts w:hint="default" w:ascii="Arial" w:hAnsi="Arial" w:eastAsia="宋体" w:cs="Arial"/>
                <w:b/>
                <w:bCs/>
                <w:color w:val="auto"/>
                <w:kern w:val="0"/>
                <w:sz w:val="21"/>
                <w:szCs w:val="21"/>
                <w:highlight w:val="none"/>
                <w:lang w:val="en-US" w:eastAsia="zh-CN" w:bidi="ar"/>
              </w:rPr>
              <w:t>≥</w:t>
            </w:r>
            <w:r>
              <w:rPr>
                <w:rFonts w:hint="default" w:ascii="Arial" w:hAnsi="Arial" w:eastAsia="宋体" w:cs="Arial"/>
                <w:b/>
                <w:bCs/>
                <w:color w:val="auto"/>
                <w:kern w:val="0"/>
                <w:sz w:val="21"/>
                <w:szCs w:val="21"/>
                <w:highlight w:val="none"/>
                <w:lang w:bidi="ar"/>
              </w:rPr>
              <w:t>60路分分机。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25、支持视频会议功能。</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★26、提供原厂3年软件升级与保修服务。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可视分机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1、采用Linux嵌入式操作系统，稳定可靠，满足7×24小时不间断工作。</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2、全铝合金防暴外壳，壁挂式安装，可户外使用。</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★3、抗破坏防暴等级</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IK10，防护等级</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IP55。</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4、自带呼叫/报警金属按钮，可对指定的设备进行一键呼叫和一键报警。</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5、支持一键呼叫多台主机，多台主机可同时收到呼叫信息，任意主机均可接听并进行对讲。</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6、金属按钮内置环形背光灯，可通过背光灯的颜色状态判断分机的待机、呼叫、通话以及网络连接等状态。</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7、支持1080P（1920×1080）可视全双工对讲，对讲音频采样率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16KHz。</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★8、内置高清广角摄像头，像素不低于200W，支持ICR红外滤片式自动切换，夜晚和光线较弱时也能清晰拍摄。</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9、可根据网络环境设置分机输出的视频分辨率及码率（支持480P、720P、1080P）;</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10、支持接收并播放主机的各种广播任务。</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11、支持标准的SIP协议，可与VOIP网络电话互联互通，呼叫通话。</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12、支持播放指定的音频文件。</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13、支持标准ONVIF协议和GB/T28181协议，可将本机采集的音视频实时传输到网络硬盘录像机和第三方平台。</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14、支持移动侦测报警，对视频画面指定的区域进行实时监测，检测到指定区域有人员或物体移动时自动向主机报警，可设置指定时间段启用。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15、支持喧哗报警，当环境噪声超过设定阈值时，可自动向对讲主机发出报警。</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16、支持防拆报警，当设备被拆除时，可自动向对讲主机发出报警。</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17、支持语音自动播报本机IP地址和MAC地址，具有IP地址冲突提示功能，调试维护方便。</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18、支持系统自动校时功能。</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19、支持通过IE等浏览器远程管理，可查看设备信息、参数配置、软件升级和重启设备。 </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★20、支持远程升级软件，升级过程中如出现断电等异常情况，重启后可恢复至升级前软件版本正常使用。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21、具备音频输出、音频输入、报警按钮、门灯、复位按钮、有源音箱等接口。</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22、工作温度 ：-20℃～60℃。</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w:t>
            </w:r>
            <w:r>
              <w:rPr>
                <w:rFonts w:hint="default" w:ascii="Arial" w:hAnsi="Arial" w:eastAsia="宋体" w:cs="Arial"/>
                <w:b/>
                <w:bCs/>
                <w:color w:val="auto"/>
                <w:kern w:val="0"/>
                <w:sz w:val="21"/>
                <w:szCs w:val="21"/>
                <w:highlight w:val="none"/>
                <w:lang w:val="en-US" w:eastAsia="zh-CN" w:bidi="ar"/>
              </w:rPr>
              <w:t>3</w:t>
            </w:r>
            <w:r>
              <w:rPr>
                <w:rFonts w:hint="default" w:ascii="Arial" w:hAnsi="Arial" w:eastAsia="宋体" w:cs="Arial"/>
                <w:b/>
                <w:bCs/>
                <w:color w:val="auto"/>
                <w:kern w:val="0"/>
                <w:sz w:val="21"/>
                <w:szCs w:val="21"/>
                <w:highlight w:val="none"/>
                <w:lang w:bidi="ar"/>
              </w:rPr>
              <w:t>、提供原厂3年软件升级与保修服务。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292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监仓门口机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1、采用嵌入式操作系统，铝合金外壳，一体化结构设计；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2、显示屏尺寸</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21.5英寸，分辨率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1920×1080</w:t>
            </w:r>
            <w:r>
              <w:rPr>
                <w:rFonts w:hint="default" w:ascii="Arial" w:hAnsi="Arial" w:cs="Arial"/>
                <w:color w:val="auto"/>
                <w:kern w:val="0"/>
                <w:sz w:val="21"/>
                <w:szCs w:val="21"/>
                <w:highlight w:val="none"/>
                <w:lang w:val="en-US" w:eastAsia="zh-CN" w:bidi="ar"/>
              </w:rPr>
              <w:t>P</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3、采用多点触控电容式钢化防暴触摸屏，触摸屏厚度</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3mm；</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★4、触摸屏防暴等级</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IK08；</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5、内置高清宽动态摄像头，像素</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200W，强光、弱光、逆光下均可清晰拍摄视频；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6、具有呼叫报警功能，支持对指定的设备进行一键呼叫和报警，支持一键呼叫至多台主机，主机可同时接收到呼叫信息，任意主机均可接听；</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7、支持与对讲主机间双向1080P（1920×1080）高清可视全双工对讲，对讲音频采样率不低于16KHz；</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★8、支持查看宿舍内IPC(网络监控摄像机)的视频画面；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9、支持接收并播放主机的各种广播任务，包括喊话广播、文件广播、定时广播等；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10、支持标准ONVIF协议和GB/T28181协议，可将本机采集的音视频实时传输到网络硬盘录像机和第三方平台；</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★11、内置人脸识别模块，支持离线模式下(本机网络断开)进行人脸识别验证，并支持活体检测功能；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12、支持通过人脸识别、账号密码方式进行身份认证；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13、支持通过人脸识别进行值班/巡更签到，可添加备注文字信息；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14、首页支持显示主协管干警、通知公告、今日值日信息、今日值班信息、风险/处遇等级、戒毒人员信息（姓名、照片、是否新入所、是否为病号）、戒毒人员状态（在所、会见中、提审中、待会见、待提审）；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15、支持公开信息查看，可查看监规监纪、权利义务；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16、支持违规录入，干警可在线录入戒毒人员违规事项并查询违规记录；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17、支持查看监室值班表、值日表、床位表，可自动更新；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18、支持干警录入宿舍检查结果；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19、支持干警对戒毒人员进行提入提出登记，提出登记时需选择出大队事由、验证干警身份；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20、支持查询戒毒人员当前用药信息并进行药品发放确认；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21、支持对戒毒人员进行调监换床；</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22、支持在线录入人脸信息；</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★23、支持异常自动恢复，当设备意外发生故障时可自动重新启动，无需现场手动重启；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24、支持HDMI高清输出，可将本机显示屏的画面投至外接电视机（显示屏）显示；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25、支持IP地址重复检测，当检测到设置的IP地址冲突时可立即提示；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26、支持通过IE等浏览器远程管理，可查看设备信息、参数配置、软件升级和重启设备等；</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b/>
                <w:bCs/>
                <w:color w:val="auto"/>
                <w:kern w:val="0"/>
                <w:sz w:val="21"/>
                <w:szCs w:val="21"/>
                <w:highlight w:val="none"/>
                <w:lang w:bidi="ar"/>
              </w:rPr>
              <w:t>★27、提供原厂3年软件升级与保修服务。</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智能分析盒</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1、支持多种算法可并行加载和运算，可用于安防场景。</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2、支持多路多算法并行，可按通道配置人脸/结构化算法，灵活切换。</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3、标配人脸/结构化的30多种优秀算法，开机即可使用。</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4、支持接入16路@2MP视频流接入和解析。</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5、支持H.265/H.264视频标准，最高可支持800万像素IPC的接入。</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6、支持人脸解析，人脸抓拍、属性识别。</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7、采用嵌入式芯片。</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8、具有2×千兆网口，1× USB3.0接口。</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188</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信息交互服务器软件 </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1、采用B/S架构设计，支持浏览器远程访问操作。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2、支持设备管理，可管理系统内网络对讲设备、第三方对讲终端、SIP电话，可设置设备所属组织。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3、含音视频服务软件模块，支持音视频代理服务，实现设备在跨网段跨路由网络环境下的音视频通讯。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4、支持数据统计，可实现呼叫报警及录音录像数据统计查询。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5、支持与第三方平台对接，支持WebService、HTTP等多种方式进行协议对接。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6、支持数据库管理，可备份和还原系统数据库。</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★7、支持权限管理，可为不同用户分配不同角色、权限和组织关系，可记录用户的操作日志。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8、支持设备运维管理，可管理接入系统的设备，可对网络设备注册和管理，可查询重复IP地址、主机级别关系等。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9、支持数据库管理，可备份和还原系统数据库。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10、支持配置管理，可导入导出系统配置信息。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11、支持管理终端数量不少于5000个，支持批量升级系统内设备软件。</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★12、支持设置NTP服务器进行时间同步，可为系统内设备提供时间同步服务。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13、支持与主流视频监控平台对接，可与NVR、IPC对接，可获取监控摄像头信息和视频图像，可设置所有设备的关联的监控摄像头。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14、支持与第三方网络对讲系统对接，实现获取第三方对讲设备列表。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15、电子地图应用，支持平面地图模式和GIS地图模式，支持设备分组织管理、设备位置坐标管理。</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16、支持在线远程升级软件。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189</w:t>
            </w:r>
          </w:p>
        </w:tc>
        <w:tc>
          <w:tcPr>
            <w:tcW w:w="12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人像点名模块软件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1、支持以大队为单位发起点名，可对全部大队、部分大队、单个大队发起点名。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2、支持以宿舍为单位发起点名，可对全部宿舍、部分宿舍、单个宿舍发起点名。</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★3、支持定时点名，可设置多个定时点名任务，到时自动发起点名。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4、支持临时点名，可随时一键发起点名。</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5、支持手动备注未点到人员的去向。</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6、支持对点名结果进行数据统计，并可查看未点到人员名单。</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7、支持点名记录查询，可通过条件筛选查询历史点名记录。</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8、支持权限管理，可对用户进行权限管理，可设置登录及操作的权限。</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9、支持修改软件标题名称。</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190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视频会议软件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1、支持标准的SIP终端注册，可管理注册的会议终端设备，并可查看设备的在线状态。</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2、支持控制会议音视频、邀请、删除、会议命名、会议视频轮巡、成员水印叠加显示等会议控制功能。</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3、支持管理当前正在进行的会议，查看各会议成员RTP通道、丢包量、码率、帧率。</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4、支持G.711A、G.711U、G.722、iLBC、G.723、G.729、Speex、OPUS等不同音频编码接入、多路混音。</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5、支持MPEG-4、H.263、H.264等编码标准。</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6、支持多方视频画面合成、分发，支持1/2/4/6/8/9视频画面显示，支持视频画面轮巡显示。</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7、支持通过服务器将会议音视频广播发送到其他成员，可用于大型会议。</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8、支持主席模式和自由发言模式选择。</w:t>
            </w:r>
          </w:p>
          <w:p>
            <w:pPr>
              <w:widowControl/>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★9、支持存储会议记录及录音录像文件，并可在线播放。</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10、支持系统信息显示、系统资源统计。</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11、支持对系统的用户账户管理，记录、导出系统操作日志。</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200路终端同时参加会议。</w:t>
            </w:r>
          </w:p>
          <w:p>
            <w:pPr>
              <w:widowControl/>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13、支持设置</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30个会议分组，各会议分组可同时进行会议。</w:t>
            </w:r>
          </w:p>
          <w:p>
            <w:pPr>
              <w:widowControl/>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14、支持远程升级系统软件。</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191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六类非屏蔽网线</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1、UTP六类4对非屏蔽电缆（单股）。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2、通过标准100MHz带宽测试要求 可扩展到350MHz带宽。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3、单根导体直流电阻：</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9.5Ω/100m。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4、额定传输速率(NVP)：67%。</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5、电缆对数：4对。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6、导体材料：无氧圆铜（纯度99.99%）。</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7、导体线规：24AWG。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8、绝缘材料：HDPE。</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9、外护套材料：PVC或LSZH低烟无卤阻燃或PE阻水。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10、工作温度：-20℃～+60℃。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11、电缆外径：5.1±0.3mm。</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12、交货长度（米/盘）：305米/箱。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 xml:space="preserve">13、最小弯曲半径：10倍电缆外径。 </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50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箱</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192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24口POE交换机</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★1、千兆以太网口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24个（24个POE口），万兆SFP+光口</w:t>
            </w:r>
            <w:r>
              <w:rPr>
                <w:rFonts w:hint="default" w:ascii="Arial" w:hAnsi="Arial" w:eastAsia="宋体" w:cs="Arial"/>
                <w:b/>
                <w:bCs/>
                <w:color w:val="auto"/>
                <w:kern w:val="0"/>
                <w:sz w:val="21"/>
                <w:szCs w:val="21"/>
                <w:highlight w:val="none"/>
                <w:lang w:eastAsia="zh-CN" w:bidi="ar"/>
              </w:rPr>
              <w:t>≥</w:t>
            </w:r>
            <w:r>
              <w:rPr>
                <w:rFonts w:hint="default" w:ascii="Arial" w:hAnsi="Arial" w:eastAsia="宋体" w:cs="Arial"/>
                <w:b/>
                <w:bCs/>
                <w:color w:val="auto"/>
                <w:kern w:val="0"/>
                <w:sz w:val="21"/>
                <w:szCs w:val="21"/>
                <w:highlight w:val="none"/>
                <w:lang w:bidi="ar"/>
              </w:rPr>
              <w:t>4个。</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2、整机POE输出功率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3、交换性能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336Gbps，包转发率</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144Mpps（若存在双参数，以较小参数为准）。</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4</w:t>
            </w:r>
            <w:r>
              <w:rPr>
                <w:rFonts w:hint="default" w:ascii="Arial" w:hAnsi="Arial" w:eastAsia="宋体" w:cs="Arial"/>
                <w:b/>
                <w:bCs/>
                <w:color w:val="auto"/>
                <w:kern w:val="0"/>
                <w:sz w:val="21"/>
                <w:szCs w:val="21"/>
                <w:highlight w:val="none"/>
                <w:lang w:bidi="ar"/>
              </w:rPr>
              <w:t>、支持IEEE 802.3af/at POE+功能，单端口最大输入功率30W。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支持MAC地址</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16K。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支持4K个VLAN，支持Voice VLAN，基于端口的VLAN，基于MAC的VLAN，基于协议的VLAN。</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支持VLAN内端口隔离。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支持Smart link。</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支持端口聚合，每个聚合组至少8个端口。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10、</w:t>
            </w:r>
            <w:r>
              <w:rPr>
                <w:rFonts w:hint="default" w:ascii="Arial" w:hAnsi="Arial" w:eastAsia="宋体" w:cs="Arial"/>
                <w:color w:val="auto"/>
                <w:kern w:val="0"/>
                <w:sz w:val="21"/>
                <w:szCs w:val="21"/>
                <w:highlight w:val="none"/>
                <w:lang w:bidi="ar"/>
              </w:rPr>
              <w:t>支持RIP、RIPng、OSPF、OSPFv3路由协议。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11、</w:t>
            </w:r>
            <w:r>
              <w:rPr>
                <w:rFonts w:hint="default" w:ascii="Arial" w:hAnsi="Arial" w:eastAsia="宋体" w:cs="Arial"/>
                <w:color w:val="auto"/>
                <w:kern w:val="0"/>
                <w:sz w:val="21"/>
                <w:szCs w:val="21"/>
                <w:highlight w:val="none"/>
                <w:lang w:bidi="ar"/>
              </w:rPr>
              <w:t>支持防止DOS、ARP攻击功能、ICMP防攻击。</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w:t>
            </w:r>
            <w:r>
              <w:rPr>
                <w:rFonts w:hint="default" w:ascii="Arial" w:hAnsi="Arial" w:eastAsia="宋体" w:cs="Arial"/>
                <w:b/>
                <w:bCs/>
                <w:color w:val="auto"/>
                <w:kern w:val="0"/>
                <w:sz w:val="21"/>
                <w:szCs w:val="21"/>
                <w:highlight w:val="none"/>
                <w:lang w:val="en-US" w:eastAsia="zh-CN" w:bidi="ar"/>
              </w:rPr>
              <w:t>12、</w:t>
            </w:r>
            <w:r>
              <w:rPr>
                <w:rFonts w:hint="default" w:ascii="Arial" w:hAnsi="Arial" w:eastAsia="宋体" w:cs="Arial"/>
                <w:b/>
                <w:bCs/>
                <w:color w:val="auto"/>
                <w:kern w:val="0"/>
                <w:sz w:val="21"/>
                <w:szCs w:val="21"/>
                <w:highlight w:val="none"/>
                <w:lang w:bidi="ar"/>
              </w:rPr>
              <w:t>支持纵向虚拟化，作为纵向子节点零配置即插即用。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13、</w:t>
            </w:r>
            <w:r>
              <w:rPr>
                <w:rFonts w:hint="default" w:ascii="Arial" w:hAnsi="Arial" w:eastAsia="宋体" w:cs="Arial"/>
                <w:color w:val="auto"/>
                <w:kern w:val="0"/>
                <w:sz w:val="21"/>
                <w:szCs w:val="21"/>
                <w:highlight w:val="none"/>
                <w:lang w:bidi="ar"/>
              </w:rPr>
              <w:t>支持对端口接收报文速率和发送报文速率进行限制。</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bidi="ar"/>
              </w:rPr>
              <w:t>14、</w:t>
            </w:r>
            <w:r>
              <w:rPr>
                <w:rFonts w:hint="default" w:ascii="Arial" w:hAnsi="Arial" w:eastAsia="宋体" w:cs="Arial"/>
                <w:color w:val="auto"/>
                <w:kern w:val="0"/>
                <w:sz w:val="21"/>
                <w:szCs w:val="21"/>
                <w:highlight w:val="none"/>
                <w:lang w:bidi="ar"/>
              </w:rPr>
              <w:t>支持通过命令行、Web、中文图形化配置软件等方式进行配置和管理。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15</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Arial" w:hAnsi="Arial" w:eastAsia="宋体" w:cs="Arial"/>
                <w:color w:val="auto"/>
                <w:highlight w:val="none"/>
              </w:rPr>
            </w:pPr>
            <w:r>
              <w:rPr>
                <w:rFonts w:hint="default" w:ascii="Arial" w:hAnsi="Arial" w:eastAsia="宋体" w:cs="Arial"/>
                <w:b/>
                <w:color w:val="auto"/>
                <w:kern w:val="0"/>
                <w:sz w:val="21"/>
                <w:szCs w:val="21"/>
                <w:highlight w:val="none"/>
                <w:lang w:bidi="ar"/>
              </w:rPr>
              <w:t>九、周界巡更系统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193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巡查终端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1、采用嵌入式系统，硬质铝合金外壳，一体化结构设计。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2、显示屏尺寸不小于10英寸，分辨率不小于1280×800</w:t>
            </w:r>
            <w:r>
              <w:rPr>
                <w:rFonts w:hint="default" w:ascii="Arial" w:hAnsi="Arial" w:cs="Arial"/>
                <w:color w:val="auto"/>
                <w:highlight w:val="none"/>
                <w:lang w:val="en-US" w:eastAsia="zh-CN"/>
              </w:rPr>
              <w:t>P</w:t>
            </w:r>
            <w:r>
              <w:rPr>
                <w:rFonts w:hint="default" w:ascii="Arial" w:hAnsi="Arial" w:eastAsia="宋体" w:cs="Arial"/>
                <w:color w:val="auto"/>
                <w:kern w:val="0"/>
                <w:sz w:val="21"/>
                <w:szCs w:val="21"/>
                <w:highlight w:val="none"/>
                <w:lang w:bidi="ar"/>
              </w:rPr>
              <w:t>。</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★3、采用多点触控电容式钢化防暴触摸屏，触摸屏厚度不低于5mm。</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★4、整机抗破坏等级达到IK10，防护等级不低于IP54。</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5、内置宽动态高清广角摄像头，像素不低于200W，强光、弱光下可清晰拍摄到人脸并进行人脸识别。</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6、采用单网口、单IP、双系统设计，支持24小时无间断报警。</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★7、支持双向1080P高清可视全双工对讲，对讲音频采样率不低于16KHz。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8、自带物理呼叫和报警按钮，可对指定的设备进行一键呼叫和报警。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9、支持喧哗报警，交互终端检测到现场有持续喧哗时，可自动向对讲主机发出报警。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10、支持防拆报警，遇到拆除时，可自动向对讲主机发出报警。</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11、支持人脸识别、指纹识别多种身份验证方式。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12、支持通过人脸识别、指纹识别进行巡更签到。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13、支持心情记录，可在线进行心情表达并记录。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14、支持戒毒人员查询个人详细信息、计分考核、预约记录、违规记录。</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15、支持所务公开信息查询，可查看所规所纪。</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16、支持查看大队值班表、值日表、床位表。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17、支持戒毒人员通过人脸识别、指纹识别完成值班签到。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18、支持戒毒人员在线自助完成干警发布的谈话问卷，生成自助谈话记录并存档。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19、支持接收并播放主机的广播任务。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20、支持远程在线升级软件和重启设备。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21、支持标准ONVIF协议，可将本机采集到的音视频实时传输到网络硬盘录像机。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22、支持宽电压输入，供电电压在8VDC～24VDC范围内均应能够正常工作。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23、具有标准RJ45接口、开关量输入接口、开关量输出接口、录音输出接口、HDMI接口、USB接口、集中供电接口。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24、支持外接报警按钮、门灯、声光警号、有源音箱。</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25、DC12V±20% / PoE(802.3af)，支持POE供电。</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194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巡查终端2透明防水盒</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防水、透明、满足触控操作。</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个</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b/>
                <w:color w:val="auto"/>
                <w:kern w:val="0"/>
                <w:sz w:val="21"/>
                <w:szCs w:val="21"/>
                <w:highlight w:val="none"/>
                <w:lang w:val="en-US" w:eastAsia="zh-CN" w:bidi="ar"/>
              </w:rPr>
              <w:t>十</w:t>
            </w:r>
            <w:r>
              <w:rPr>
                <w:rFonts w:hint="default" w:ascii="Arial" w:hAnsi="Arial" w:eastAsia="宋体" w:cs="Arial"/>
                <w:b/>
                <w:color w:val="auto"/>
                <w:kern w:val="0"/>
                <w:sz w:val="21"/>
                <w:szCs w:val="21"/>
                <w:highlight w:val="none"/>
                <w:lang w:bidi="ar"/>
              </w:rPr>
              <w:t>、数字广播系统</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19</w:t>
            </w:r>
            <w:r>
              <w:rPr>
                <w:rFonts w:hint="default" w:ascii="Arial" w:hAnsi="Arial" w:cs="Arial"/>
                <w:i w:val="0"/>
                <w:iCs w:val="0"/>
                <w:color w:val="auto"/>
                <w:kern w:val="0"/>
                <w:sz w:val="22"/>
                <w:szCs w:val="22"/>
                <w:highlight w:val="none"/>
                <w:u w:val="none"/>
                <w:lang w:val="en-US" w:eastAsia="zh-CN" w:bidi="ar"/>
              </w:rPr>
              <w:t>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网络广播中心</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1、主机采用工控</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6U机箱设计，采用全模块化设计：至少含</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4路音频采集模块、监听模块（连接无源定阻音箱直接进行监听功能）、硬盘卡模块（硬盘大小可根据实际情况进行机动升级）、电源主/备扩展模块、双网口交换机数据交换卡模块。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17寸触摸高清液晶电容触摸显示屏。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2路网络冗余备份端口，具有网络线路故障检测与自动选择功能，支持100M/10M自适应TCP/IP传输网络。</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★4、一体化触摸屏、鼠标等操作方式。</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5、广播矩阵内置大容量节目源空间，可根据用户需要定制节目源。</w:t>
            </w:r>
          </w:p>
          <w:p>
            <w:pPr>
              <w:widowControl/>
              <w:jc w:val="left"/>
              <w:textAlignment w:val="center"/>
              <w:rPr>
                <w:rFonts w:hint="eastAsia" w:ascii="Arial" w:hAnsi="Arial" w:eastAsia="宋体" w:cs="Arial"/>
                <w:b/>
                <w:bCs/>
                <w:color w:val="auto"/>
                <w:kern w:val="0"/>
                <w:sz w:val="21"/>
                <w:szCs w:val="21"/>
                <w:highlight w:val="none"/>
                <w:lang w:eastAsia="zh-CN" w:bidi="ar"/>
              </w:rPr>
            </w:pPr>
            <w:r>
              <w:rPr>
                <w:rFonts w:hint="default" w:ascii="Arial" w:hAnsi="Arial" w:eastAsia="宋体" w:cs="Arial"/>
                <w:b/>
                <w:bCs/>
                <w:color w:val="auto"/>
                <w:kern w:val="0"/>
                <w:sz w:val="21"/>
                <w:szCs w:val="21"/>
                <w:highlight w:val="none"/>
                <w:lang w:bidi="ar"/>
              </w:rPr>
              <w:t>★6、前面板设置机械式一键报警按钮，触发全区告警和手动告警功能。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7、主机</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4个独立的6.5MM音频输入通道和</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2个辅助混合6.5MM音频输入通道，可无限拓展外接音源采集，可任意分配，可利用网络终端来扩展音频输入通道，内置CD(INNER CD)和内置特种音源，外接音源输入音量可调。</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8、内置定压输出功放与辅助音源输出，可输出内容包括监听、节目播放，可灵活使用。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9、用户可以自己制作节目源，可以通过本机录制，亦可从远程控制电脑上复制。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10、支持终端定时点备份功能，定时点的内容能自动备份到网络播放终端上。</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11、具有日志查看功能，可查看设备的操作与运行情况。</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12、主机可以对各个定时点音量大小进行独立控制。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13、终端断线后自动恢复断线前的播放节目。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14、主机设备提供</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4路电源输出，并可对每路电源进行管理。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15、支持中、英文多种语言切换功能。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16、具有手持式紧急话筒，并具有业务、紧急告警自动切换功能，当紧急报警时，话筒具有智能电平EMC优先级。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17、含内置CD播放器，具有CD播放器控制界面。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18、具有多级音源优先管理功能，</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7级优先等级。</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19、可设定播放终端的EMC 24V或短路强播输出信号与多级优先节目源的相互联系，并可设定延时时间关闭功能。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20、</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2个外接USB接口，可连接其它扩展音源设备。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21、可设定自动屏保并锁定功能。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22、可设定用户密码。</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23、支持跨网段网络传输。</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196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远程控制软件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1、可以通过电脑操作主控系统设备，实现配置、控制、编程、检测等功能。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2、显示全部分区及其状态。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3、支持100/10Mbps自适应TCP/IP网络传输协议。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4、具有网络化主机现场操作的相同权限。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5、可远程传输节目文件。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6、可远程操作网络化主机软件的内容。</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7、具有登录密码保护功能。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197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广播寻呼话筒</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1、支持终端即插即用。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2、具有延时自动关闭功能。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3、可弯曲式话筒，话筒输出电压600mV±10mV或20mV±10%（非平衡）。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5、钟声额定输出电压600mV±10mV或20mV±10%。</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6、输出钟声种类CHIMEUP：上音符1-3-5-і-CHIMEDOWN：下音符i-5-3-1-。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7、频率范围100Hz-15kHz。</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8、失真度MIC：</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198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网络化无线遥控终端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1、支持100/1000Mbps自适应TCP/IP网络传输协议。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2、双RJ45网络接口冗余设计，可跨网段工作。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3、可接入网络化广播系统的局域网内的任意一点。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4、内置无线遥控接收模块。</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5、无线遥控器无线传输距离远，开阔地&gt;1.5公里。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6、无线遥控器集成12个按键，可定制相应的功能键。</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7、能够控制全区播放特定的音源、全区停止播放、选定分区播放特定音源、选定分区停止等操作。</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val="en-US" w:bidi="ar"/>
              </w:rPr>
            </w:pPr>
            <w:r>
              <w:rPr>
                <w:rFonts w:hint="default" w:ascii="Arial" w:hAnsi="Arial" w:eastAsia="宋体" w:cs="Arial"/>
                <w:i w:val="0"/>
                <w:iCs w:val="0"/>
                <w:color w:val="auto"/>
                <w:kern w:val="0"/>
                <w:sz w:val="22"/>
                <w:szCs w:val="22"/>
                <w:highlight w:val="none"/>
                <w:u w:val="none"/>
                <w:lang w:val="en-US" w:eastAsia="zh-CN" w:bidi="ar"/>
              </w:rPr>
              <w:t>199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液晶显示可调频真分集无线话筒（一拖二）</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1、≧100组UHF频率通道可选用，一拖二真分集接收机，空旷接收距离可达100米，包含2支发射机。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2、具有两通道音量监听接口。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3、具有8级射频电平显示，8级音频电平显示，频道菜单显示，静音显示。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4、具有平衡和非平衡两种选择输出端口。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5、LCD液晶显示屏能同时显示工作组，信道号与工作频率。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6、支持超强的抗干扰能力，能有效抑制由外部带来的噪音干扰及同频干扰。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7、具有自动搜索功能，接收机能快速搜索到未被用户使用，并且不受干扰的信道。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8、具有红外对频功能，能使发射机与接收机频率同步。</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9、最大偏移 ±45KHz。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10、音频频率响应 80Hz～18KHz(±3dB)，频率稳定度 ±0.005%以内。</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11、综合信躁比 &gt;105dB；综合失真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0.5%。</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12、工作环境温度 -10℃～+50℃。</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13、工作电压 2节5号1.5V碱性电池。</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网络化智能寻呼站</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1、支持100/10Mbps自适应TCP/IP网络传输协议。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2、≧7寸真彩触摸彩屏、铝合工业面板设计。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3、内置3W监听扬声器，具有一路线路输入（可扩展外置节目源、无线话筒等接入），一路本地线路输出(可脱机输出本地功放寻呼)，一路辅助线路输出(扩展监听功率)。</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4、采用高保真与手持式动圈话筒设计；具有多段电平指示功能；带有手动快捷按键。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5、内置高保真大动态范围的AGC处理电路和DSP声音处理电路。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6、支持对网络播放终端分组编辑。</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7、可对网络播放终端选定寻呼、对讲功能。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8、智能寻呼之间能相互寻呼、对讲。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9、可播放网络主机节目库歌曲。</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10、具有音频日志记录功能，可对寻呼的内容实时寻音记录，并可播放查阅。</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11、具有用户密码与权限管理。</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12、具有自动关闭话筒功能，可设定发话者延时关闭寻呼时间。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13、可手动打开、关闭寻呼话筒供电。</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14、具有智能屏保功能，可设置彩色显示屏屏保延时时间。</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网络化分控寻呼软件</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1、可查看网络播放终端的工作状态信息（包括在线、离线、播放、停止等信息）。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2、可对网络播放终端分组编辑功能。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3、可下载查看程控定时点的内容，并可导入、导出定时点内容。</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4、可上传本地音频节目到网络化主机，以供播放使用。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5、可远程调节网络播放终端音量，播放\停止网络播放终端等操作功能.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6、可实时远程寻呼网络播放终端。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7、可触发紧急告警功能。</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8、设置多级权限控制功能，具有网络权限授权管理功能。</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套</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一路音频输出终端</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1、内置网络解码模块可实时播放网络音乐，可单向接收广播呼叫等。</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2、两路线输出，外接功率放大器或有源音箱。</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3、支持协议 TCP/IP协议，≧2个10M/100M自适应RJ45网络接口；支持手拉手级连；支持跨网段和跨路由；音频格式 MP3。</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4、1U铝合金面板设计。</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5、内置高效率监听功放，带有监听音量电位器与开关。</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6、外置EMC 24V与短路干触点两种强播输出接口。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7、外置一路EMC强插线路输入,一路EMC线路输出，输入音量可调节。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8、具有8级优先级管理功能，本地话筒带有默音电平调节功能。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9、内置看门狗功能，有效保障设备的正常运行。</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10、网络节目源具有7级优先等级管理功能，大致分为背景广播、业务广播、紧急广播三大类。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11、平均无故障时间(MTBF)&gt;10万小时。</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12、电源 AC 180V-242V/50Hz，功耗：12W。</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前置放大器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1、输入/输出口：≧5个话筒口；≧3个辅助口；≧2个优先口；≧4个输出口。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2、各通道独立音量控制。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3、高音和低音音调控制。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4、自动默音（有强插功能）。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5、最小源电动势 Mic：</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3.2mV， 不平衡/Aux：</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300mV 不平衡/EMC：</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450mV。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6、输出电平 0dBV。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7、频率响应 Line：30Hz-20KHz （±3dB）。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8、总谐波失真 Aux：</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0.1%（1KHz，额定正常工作条件）。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9、信噪比 Aux input：</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66dB。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10、音调调节范围 Bass：±10dB（100Hz）/Treble：±10dB（10kHz）。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11、具有AC保险丝。</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12、电源 AC 220V/50Hz。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纯后级数字广播功放一</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1、CLASS D功放。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3、100V、70V定压输出（共用输出端），支持100V/70V输出实时切换。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4、具有可靠的直流输出保护、短路保护、过热保护。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5、5单位LED指示灯。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6、具有6.35mm插口和 XLR 插口。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7、额定输出功率 750W。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8、最小源电动势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1000mV。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9、信噪比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10、频率响应 80Hz~16kHz (±3dB)。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 xml:space="preserve">11、总谐波失真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 （1kHz，正常工作条件）。 </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12、电源 AC220V/50Hz。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205</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纯后级数字广播功放二</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1、CLASS D功放。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、100V、70V定压输出（共用输出端），支持100V/70V输出实时切换。</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、具有可靠的直流输出保护、短路保护、过热保护。</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5单位LED指示灯。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具有6.35mm插口和 XLR 插口。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额定输出功率 1000W。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 xml:space="preserve">最小源电动势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1000mV。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 xml:space="preserve">信噪比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 xml:space="preserve">频率响应 80Hz~16kHz (±3dB)。   </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10、</w:t>
            </w:r>
            <w:r>
              <w:rPr>
                <w:rFonts w:hint="default" w:ascii="Arial" w:hAnsi="Arial" w:eastAsia="宋体" w:cs="Arial"/>
                <w:color w:val="auto"/>
                <w:kern w:val="0"/>
                <w:sz w:val="21"/>
                <w:szCs w:val="21"/>
                <w:highlight w:val="none"/>
                <w:lang w:bidi="ar"/>
              </w:rPr>
              <w:t xml:space="preserve">总谐波失真 </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 xml:space="preserve">1% （1kHz，正常工作条件）。 </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val="en-US" w:eastAsia="zh-CN" w:bidi="ar"/>
              </w:rPr>
              <w:t>11、</w:t>
            </w:r>
            <w:r>
              <w:rPr>
                <w:rFonts w:hint="default" w:ascii="Arial" w:hAnsi="Arial" w:eastAsia="宋体" w:cs="Arial"/>
                <w:color w:val="auto"/>
                <w:kern w:val="0"/>
                <w:sz w:val="21"/>
                <w:szCs w:val="21"/>
                <w:highlight w:val="none"/>
                <w:lang w:bidi="ar"/>
              </w:rPr>
              <w:t>电源 AC220V/50Hz。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206</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网络化播放功放一</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1、≧2个10M/100M自适应RJ45网络接口，可跨网段工作。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、内置高效率数字功放，100V定压输出。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、自带MP3播放器，设有USB插口、SD插口。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、功放额定输出功率：650W。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、醒目的数码显示屏设计，既可显示时钟时间，也可显示播放进度时间。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、增益限制的有效频率范围：80-10K(±3dB)。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、内置红外接收模块，可通过红外线遥控器控制。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、面板集成5个状态指示灯。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、总谐波失真</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1%；信噪比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80dB；线路输入最小源电动势</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1100mV；话筒输入域最小源电动势：</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12mV。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、内置脱机本地定时点播放功能，定时节目备份存储到SD卡里，并全自动备份定时点节目。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、外置≧1路AUX线路输入、≧1路话筒输入、≧1路AUX线路输出。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、具有8级以上优先级管理功能，本地话筒带有默音调节电位器，默音电平量可调节。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、外置EMC24V与短路干触点两种强播输出接口，可连接扬声器音控器使用，或连接智能电源。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、带有周边设备扩展接口，可外接86盒点播彩屏，可外接双86盒的求助对讲面板、两用对讲面板，也可以连接蓝牙音频接收器。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、点播功能：连接86盒点播彩屏后，可实现本地点播主机的节目库。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、寻呼功能：连接86盒点播彩屏后，可对选定的分区实时寻呼。</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、对讲功能：连接求助对讲面板后，可实现求助对讲功能。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、蓝牙音频接收功能：连接蓝牙扩展器后可接收蓝牙音频，利用蓝牙无线话筒实现本地无线话筒扩声。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19</w:t>
            </w:r>
            <w:r>
              <w:rPr>
                <w:rFonts w:hint="default" w:ascii="Arial" w:hAnsi="Arial" w:eastAsia="宋体" w:cs="Arial"/>
                <w:color w:val="auto"/>
                <w:kern w:val="0"/>
                <w:sz w:val="21"/>
                <w:szCs w:val="21"/>
                <w:highlight w:val="none"/>
                <w:lang w:bidi="ar"/>
              </w:rPr>
              <w:t>、外接线路输入与网络播放节目源是混合的关系，本地话筒与AUX输入通过检测输入信号的大小而打开功放。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、可定制联动触发功能，可定制100V本地紧急线路输入，接入消防本地广播系统。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、具有网络播放功能，可播放网络化主机下发的节目源或网络化音频采集器的音频流。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、可播放来自系统主机的背景音乐、紧急寻呼、告警信号等，网络节目源具有7级以上优先等级管理功能，分为背景广播、业务广播、紧急广播三大类。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、采用高保真CD音质的解码芯片，最大支持48KHZ采样率16bit的MP3/WMA/WAV/PCM音频流数据解码。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、内置看门狗功能。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、内置DSP音效处理芯片，具有高、低音调调节功能。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、采用高性能的网络处理芯片，开机启动时间≦0.1S，与网络化主机连线时间≦2S，播放实时节目延时≦0.2S。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、多台网络播放器广播节目播放声音实时同步。</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、话筒寻呼、外置线路广播，保持寻呼状态大于24小时后延时≦0.5S。</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207</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网络化播放功放二</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1、≧2个10M/100M自适应RJ45网络接口，可跨网段工作。</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、内置高效率数字功放，100V定压输出。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、自带MP3播放器，设有USB插口、SD插口。</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、功放额定输出功率：250W。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、醒目的数码显示屏设计，既可显示时钟时间，也可显示播放进度时间。</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、增益限制的有效频率范围：80-10K(±3dB)。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、内置红外接收模块，可通过红外线遥控器控制。</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、面板集成5个状态指示灯。</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9</w:t>
            </w:r>
            <w:r>
              <w:rPr>
                <w:rFonts w:hint="default" w:ascii="Arial" w:hAnsi="Arial" w:eastAsia="宋体" w:cs="Arial"/>
                <w:color w:val="auto"/>
                <w:kern w:val="0"/>
                <w:sz w:val="21"/>
                <w:szCs w:val="21"/>
                <w:highlight w:val="none"/>
                <w:lang w:bidi="ar"/>
              </w:rPr>
              <w:t>、总谐波失真</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1%；信噪比</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80dB；线路输入最小源电动势</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1100mV；话筒输入域最小源电动势：</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12mV。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、内置脱机本地定时点播放功能，定时节目备份存储到SD卡里，并全自动备份定时点节目。</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、外置≧1路AUX线路输入、≧1路话筒输入、≧1路AUX线路输出。</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、具有8级以上优先级管理功能，本地话筒带有默音调节电位器，默音电平量可调节。</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、外置EMC24V与短路干触点两种强播输出接口，可连接扬声器音控器使用，或连接智能电源。</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、带有周边设备扩展接口，可外接86盒点播彩屏，可外接双86盒的求助对讲面板、两用对讲面板，也可以连接蓝牙音频接收器。</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、点播功能：连接86盒点播彩屏后，可实现本地点播主机的节目库。</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、寻呼功能：连接86盒点播彩屏后，可对选定的分区实时寻呼。</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、对讲功能：连接求助对讲面板后，可实现求助对讲功能。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、蓝牙音频接收功能：连接蓝牙扩展器后可接收蓝牙音频，利用蓝牙无线话筒实现本地无线话筒扩声。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val="en-US" w:eastAsia="zh-CN" w:bidi="ar"/>
              </w:rPr>
              <w:t>19</w:t>
            </w:r>
            <w:r>
              <w:rPr>
                <w:rFonts w:hint="default" w:ascii="Arial" w:hAnsi="Arial" w:eastAsia="宋体" w:cs="Arial"/>
                <w:color w:val="auto"/>
                <w:kern w:val="0"/>
                <w:sz w:val="21"/>
                <w:szCs w:val="21"/>
                <w:highlight w:val="none"/>
                <w:lang w:bidi="ar"/>
              </w:rPr>
              <w:t>、外接线路输入与网络播放节目源是混合的关系，本地话筒与AUX输入通过检测输入信号的大小而打开功放。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0</w:t>
            </w:r>
            <w:r>
              <w:rPr>
                <w:rFonts w:hint="default" w:ascii="Arial" w:hAnsi="Arial" w:eastAsia="宋体" w:cs="Arial"/>
                <w:color w:val="auto"/>
                <w:kern w:val="0"/>
                <w:sz w:val="21"/>
                <w:szCs w:val="21"/>
                <w:highlight w:val="none"/>
                <w:lang w:bidi="ar"/>
              </w:rPr>
              <w:t>、可定制联动触发功能，可定制100V本地紧急线路输入，接入消防本地广播系统。</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1</w:t>
            </w:r>
            <w:r>
              <w:rPr>
                <w:rFonts w:hint="default" w:ascii="Arial" w:hAnsi="Arial" w:eastAsia="宋体" w:cs="Arial"/>
                <w:color w:val="auto"/>
                <w:kern w:val="0"/>
                <w:sz w:val="21"/>
                <w:szCs w:val="21"/>
                <w:highlight w:val="none"/>
                <w:lang w:bidi="ar"/>
              </w:rPr>
              <w:t>、具有网络播放功能，可播放网络化主机下发的节目源或网络化音频采集器的音频流。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2</w:t>
            </w:r>
            <w:r>
              <w:rPr>
                <w:rFonts w:hint="default" w:ascii="Arial" w:hAnsi="Arial" w:eastAsia="宋体" w:cs="Arial"/>
                <w:color w:val="auto"/>
                <w:kern w:val="0"/>
                <w:sz w:val="21"/>
                <w:szCs w:val="21"/>
                <w:highlight w:val="none"/>
                <w:lang w:bidi="ar"/>
              </w:rPr>
              <w:t>、可播放来自系统主机的背景音乐、紧急寻呼、告警信号等，网络节目源具有7级以上优先等级管理功能，分为背景广播、业务广播、紧急广播三大类。</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3</w:t>
            </w:r>
            <w:r>
              <w:rPr>
                <w:rFonts w:hint="default" w:ascii="Arial" w:hAnsi="Arial" w:eastAsia="宋体" w:cs="Arial"/>
                <w:color w:val="auto"/>
                <w:kern w:val="0"/>
                <w:sz w:val="21"/>
                <w:szCs w:val="21"/>
                <w:highlight w:val="none"/>
                <w:lang w:bidi="ar"/>
              </w:rPr>
              <w:t>、采用高保真CD音质的解码芯片，最大支持48KHZ采样率16bit的MP3/WMA/WAV/PCM音频流数据解码。</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4</w:t>
            </w:r>
            <w:r>
              <w:rPr>
                <w:rFonts w:hint="default" w:ascii="Arial" w:hAnsi="Arial" w:eastAsia="宋体" w:cs="Arial"/>
                <w:color w:val="auto"/>
                <w:kern w:val="0"/>
                <w:sz w:val="21"/>
                <w:szCs w:val="21"/>
                <w:highlight w:val="none"/>
                <w:lang w:bidi="ar"/>
              </w:rPr>
              <w:t>、内置看门狗功能。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5</w:t>
            </w:r>
            <w:r>
              <w:rPr>
                <w:rFonts w:hint="default" w:ascii="Arial" w:hAnsi="Arial" w:eastAsia="宋体" w:cs="Arial"/>
                <w:color w:val="auto"/>
                <w:kern w:val="0"/>
                <w:sz w:val="21"/>
                <w:szCs w:val="21"/>
                <w:highlight w:val="none"/>
                <w:lang w:bidi="ar"/>
              </w:rPr>
              <w:t>、内置DSP音效处理芯片，具有高、低音调调节功能。</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6</w:t>
            </w:r>
            <w:r>
              <w:rPr>
                <w:rFonts w:hint="default" w:ascii="Arial" w:hAnsi="Arial" w:eastAsia="宋体" w:cs="Arial"/>
                <w:color w:val="auto"/>
                <w:kern w:val="0"/>
                <w:sz w:val="21"/>
                <w:szCs w:val="21"/>
                <w:highlight w:val="none"/>
                <w:lang w:bidi="ar"/>
              </w:rPr>
              <w:t>、采用高性能的网络处理芯片，开机启动时间≦0.1S，与网络化主机连线时间≦2S，播放实时节目延时≦0.2S.</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7</w:t>
            </w:r>
            <w:r>
              <w:rPr>
                <w:rFonts w:hint="default" w:ascii="Arial" w:hAnsi="Arial" w:eastAsia="宋体" w:cs="Arial"/>
                <w:color w:val="auto"/>
                <w:kern w:val="0"/>
                <w:sz w:val="21"/>
                <w:szCs w:val="21"/>
                <w:highlight w:val="none"/>
                <w:lang w:bidi="ar"/>
              </w:rPr>
              <w:t>、多台网络播放器广播节目播放声音实时同步。</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val="en-US" w:eastAsia="zh-CN" w:bidi="ar"/>
              </w:rPr>
              <w:t>8</w:t>
            </w:r>
            <w:r>
              <w:rPr>
                <w:rFonts w:hint="default" w:ascii="Arial" w:hAnsi="Arial" w:eastAsia="宋体" w:cs="Arial"/>
                <w:color w:val="auto"/>
                <w:kern w:val="0"/>
                <w:sz w:val="21"/>
                <w:szCs w:val="21"/>
                <w:highlight w:val="none"/>
                <w:lang w:bidi="ar"/>
              </w:rPr>
              <w:t>、话筒寻呼、外置线路广播，保持寻呼状态大于24小时后延时≦0.5S。</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i w:val="0"/>
                <w:iCs w:val="0"/>
                <w:color w:val="auto"/>
                <w:kern w:val="0"/>
                <w:sz w:val="22"/>
                <w:szCs w:val="22"/>
                <w:highlight w:val="none"/>
                <w:u w:val="none"/>
                <w:lang w:val="en-US" w:eastAsia="zh-CN" w:bidi="ar"/>
              </w:rPr>
              <w:t>208</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石头形草地音箱</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1、外壳由优质树脂制成，可置于室外草地。</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2、工作电压70/100V，额定功率15W。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3、最大声压级 98±2dB，有效频率范围 150Hz-20kHz。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4、重≧3.6 kg。</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5、灵敏度（86±2dB）。</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6、含防水单元，含水泥基座。</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val="en-US" w:bidi="ar"/>
              </w:rPr>
            </w:pPr>
            <w:r>
              <w:rPr>
                <w:rFonts w:hint="default" w:ascii="Arial" w:hAnsi="Arial" w:eastAsia="宋体" w:cs="Arial"/>
                <w:i w:val="0"/>
                <w:iCs w:val="0"/>
                <w:color w:val="auto"/>
                <w:kern w:val="0"/>
                <w:sz w:val="22"/>
                <w:szCs w:val="22"/>
                <w:highlight w:val="none"/>
                <w:u w:val="none"/>
                <w:lang w:val="en-US" w:eastAsia="zh-CN" w:bidi="ar"/>
              </w:rPr>
              <w:t>209</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天花扬声器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1、扬声器6.5＂×1。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2、有效频率范围(110~15k)Hz。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3、额定功率5W。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4、最大功率10W。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5、最大声压级101dB±2dB。</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6、灵敏度（1m/1W）90dB±2dB。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243</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val="en-US" w:eastAsia="zh-CN" w:bidi="ar"/>
              </w:rPr>
            </w:pPr>
            <w:r>
              <w:rPr>
                <w:rFonts w:hint="default" w:ascii="Arial" w:hAnsi="Arial" w:cs="Arial"/>
                <w:color w:val="auto"/>
                <w:kern w:val="0"/>
                <w:sz w:val="21"/>
                <w:szCs w:val="21"/>
                <w:highlight w:val="none"/>
                <w:lang w:val="en-US" w:eastAsia="zh-CN" w:bidi="ar"/>
              </w:rPr>
              <w:t>210</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壁挂扬声器（白）</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1、可配合定压功放，实现远距离传输；可直接接入音源播放。</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2、喇叭单元：4＂×1，1＂×1。</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3、工作电压：100V。</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4、额定功率：20W。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5、频响范围：95Hz-20kHz。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6、灵敏度（1m/1W）：90±2dB。</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7、最大声压级（1m）：103±2dB。</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val="en-US" w:bidi="ar"/>
              </w:rPr>
            </w:pPr>
            <w:r>
              <w:rPr>
                <w:rFonts w:hint="default" w:ascii="Arial" w:hAnsi="Arial" w:cs="Arial"/>
                <w:i w:val="0"/>
                <w:iCs w:val="0"/>
                <w:color w:val="auto"/>
                <w:kern w:val="0"/>
                <w:sz w:val="22"/>
                <w:szCs w:val="22"/>
                <w:highlight w:val="none"/>
                <w:u w:val="none"/>
                <w:lang w:val="en-US" w:eastAsia="zh-CN" w:bidi="ar"/>
              </w:rPr>
              <w:t>211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号筒扬声器</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1、工作电压70/100V，额定功率150W。</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2、最大声压级124dB±2dB，灵敏度104±2dB。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3、指向特性尖锐50度×70度，距离扬声器100米处声压≧106dB。</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4、有效频率范围120Hz~18kHz。</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只</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kern w:val="0"/>
                <w:sz w:val="21"/>
                <w:szCs w:val="21"/>
                <w:highlight w:val="none"/>
                <w:lang w:val="en-US" w:bidi="ar"/>
              </w:rPr>
            </w:pPr>
            <w:r>
              <w:rPr>
                <w:rFonts w:hint="default" w:ascii="Arial" w:hAnsi="Arial" w:cs="Arial"/>
                <w:i w:val="0"/>
                <w:iCs w:val="0"/>
                <w:color w:val="auto"/>
                <w:kern w:val="0"/>
                <w:sz w:val="22"/>
                <w:szCs w:val="22"/>
                <w:highlight w:val="none"/>
                <w:u w:val="none"/>
                <w:lang w:val="en-US" w:eastAsia="zh-CN" w:bidi="ar"/>
              </w:rPr>
              <w:t>212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室外音柱</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1</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铝质面网，二分频结构。</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2</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频响范围：80Hz-16kHz。</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3</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灵敏度：93dB±2dB。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最大声压级：114dB±2dB。</w:t>
            </w:r>
          </w:p>
          <w:p>
            <w:pPr>
              <w:widowControl/>
              <w:jc w:val="left"/>
              <w:textAlignment w:val="center"/>
              <w:rPr>
                <w:rFonts w:hint="eastAsia" w:ascii="Arial" w:hAnsi="Arial" w:eastAsia="宋体" w:cs="Arial"/>
                <w:color w:val="auto"/>
                <w:kern w:val="0"/>
                <w:sz w:val="21"/>
                <w:szCs w:val="21"/>
                <w:highlight w:val="none"/>
                <w:lang w:eastAsia="zh-CN" w:bidi="ar"/>
              </w:rPr>
            </w:pPr>
            <w:r>
              <w:rPr>
                <w:rFonts w:hint="default" w:ascii="Arial" w:hAnsi="Arial" w:eastAsia="宋体" w:cs="Arial"/>
                <w:color w:val="auto"/>
                <w:kern w:val="0"/>
                <w:sz w:val="21"/>
                <w:szCs w:val="21"/>
                <w:highlight w:val="none"/>
                <w:lang w:bidi="ar"/>
              </w:rPr>
              <w:t>5</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额定功率：120W。</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6</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尺寸约（长×宽×高）230mm×250mm×900mm。</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8</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台</w:t>
            </w:r>
          </w:p>
        </w:tc>
      </w:tr>
      <w:tr>
        <w:tblPrEx>
          <w:tblCellMar>
            <w:top w:w="15" w:type="dxa"/>
            <w:left w:w="15" w:type="dxa"/>
            <w:bottom w:w="15" w:type="dxa"/>
            <w:right w:w="15" w:type="dxa"/>
          </w:tblCellMar>
        </w:tblPrEx>
        <w:trPr>
          <w:trHeight w:val="286" w:hRule="atLeast"/>
          <w:jc w:val="center"/>
        </w:trPr>
        <w:tc>
          <w:tcPr>
            <w:tcW w:w="9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b/>
                <w:color w:val="auto"/>
                <w:sz w:val="21"/>
                <w:szCs w:val="21"/>
                <w:highlight w:val="none"/>
              </w:rPr>
            </w:pPr>
            <w:r>
              <w:rPr>
                <w:rFonts w:hint="default" w:ascii="Arial" w:hAnsi="Arial" w:eastAsia="宋体" w:cs="Arial"/>
                <w:b/>
                <w:color w:val="auto"/>
                <w:kern w:val="0"/>
                <w:sz w:val="21"/>
                <w:szCs w:val="21"/>
                <w:highlight w:val="none"/>
                <w:lang w:bidi="ar"/>
              </w:rPr>
              <w:t>十</w:t>
            </w:r>
            <w:r>
              <w:rPr>
                <w:rFonts w:hint="default" w:ascii="Arial" w:hAnsi="Arial" w:eastAsia="宋体" w:cs="Arial"/>
                <w:b/>
                <w:color w:val="auto"/>
                <w:kern w:val="0"/>
                <w:sz w:val="21"/>
                <w:szCs w:val="21"/>
                <w:highlight w:val="none"/>
                <w:lang w:val="en-US" w:eastAsia="zh-CN" w:bidi="ar"/>
              </w:rPr>
              <w:t>一</w:t>
            </w:r>
            <w:r>
              <w:rPr>
                <w:rFonts w:hint="default" w:ascii="Arial" w:hAnsi="Arial" w:eastAsia="宋体" w:cs="Arial"/>
                <w:b/>
                <w:color w:val="auto"/>
                <w:kern w:val="0"/>
                <w:sz w:val="21"/>
                <w:szCs w:val="21"/>
                <w:highlight w:val="none"/>
                <w:lang w:bidi="ar"/>
              </w:rPr>
              <w:t>、辅材及系统集成</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21</w:t>
            </w:r>
            <w:r>
              <w:rPr>
                <w:rFonts w:hint="default" w:ascii="Arial" w:hAnsi="Arial" w:cs="Arial"/>
                <w:i w:val="0"/>
                <w:iCs w:val="0"/>
                <w:color w:val="auto"/>
                <w:kern w:val="0"/>
                <w:sz w:val="22"/>
                <w:szCs w:val="22"/>
                <w:highlight w:val="none"/>
                <w:u w:val="none"/>
                <w:lang w:val="en-US" w:eastAsia="zh-CN" w:bidi="ar"/>
              </w:rPr>
              <w:t>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辅材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包含完成本项目全部设备安装调试所需要的辅材，包含但不限于吸顶灯、插座面板、底盒、开关面板，六类非屏蔽水晶头、PVC线管、PVC线槽、跳线、标签、胶水，卡扣，胶布，钻头，砂轮，标签色带、扎带、分色纸、电工胶布、PE塑料波纹管、防水密封胶、阻燃金属软管、瓦斯枪连排水泥钉、尼龙膨胀胶塞、自攻钉、角钢等及其它配件，具体类别和数量以满足本项目安装所需为准，由</w:t>
            </w:r>
            <w:r>
              <w:rPr>
                <w:rFonts w:hint="default" w:ascii="Arial" w:hAnsi="Arial" w:eastAsia="宋体" w:cs="Arial"/>
                <w:color w:val="auto"/>
                <w:kern w:val="0"/>
                <w:sz w:val="21"/>
                <w:szCs w:val="21"/>
                <w:highlight w:val="none"/>
                <w:lang w:eastAsia="zh-CN" w:bidi="ar"/>
              </w:rPr>
              <w:t>中标供应商</w:t>
            </w:r>
            <w:r>
              <w:rPr>
                <w:rFonts w:hint="default" w:ascii="Arial" w:hAnsi="Arial" w:eastAsia="宋体" w:cs="Arial"/>
                <w:color w:val="auto"/>
                <w:kern w:val="0"/>
                <w:sz w:val="21"/>
                <w:szCs w:val="21"/>
                <w:highlight w:val="none"/>
                <w:lang w:bidi="ar"/>
              </w:rPr>
              <w:t>包干负责；上述所有材料必须是符合国家有关规定的合格产品，使用前须向采购人提供材料清单，标上产地、数量、金额等明细进行审核，审核通过后方可使用。</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2、包含现场穿孔、部管布线后的墙面修复。</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3、所有设备、线缆必须用打印标签色带按标准明确标识。</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r>
        <w:tblPrEx>
          <w:tblCellMar>
            <w:top w:w="15" w:type="dxa"/>
            <w:left w:w="15" w:type="dxa"/>
            <w:bottom w:w="15" w:type="dxa"/>
            <w:right w:w="15" w:type="dxa"/>
          </w:tblCellMar>
        </w:tblPrEx>
        <w:trPr>
          <w:trHeight w:val="286" w:hRule="atLeast"/>
          <w:jc w:val="center"/>
        </w:trPr>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Arial" w:hAnsi="Arial" w:eastAsia="宋体" w:cs="Arial"/>
                <w:color w:val="auto"/>
                <w:sz w:val="21"/>
                <w:szCs w:val="21"/>
                <w:highlight w:val="none"/>
              </w:rPr>
            </w:pPr>
            <w:r>
              <w:rPr>
                <w:rFonts w:hint="default" w:ascii="Arial" w:hAnsi="Arial" w:eastAsia="宋体" w:cs="Arial"/>
                <w:i w:val="0"/>
                <w:iCs w:val="0"/>
                <w:color w:val="auto"/>
                <w:kern w:val="0"/>
                <w:sz w:val="22"/>
                <w:szCs w:val="22"/>
                <w:highlight w:val="none"/>
                <w:u w:val="none"/>
                <w:lang w:val="en-US" w:eastAsia="zh-CN" w:bidi="ar"/>
              </w:rPr>
              <w:t>21</w:t>
            </w:r>
            <w:r>
              <w:rPr>
                <w:rFonts w:hint="default" w:ascii="Arial" w:hAnsi="Arial" w:cs="Arial"/>
                <w:i w:val="0"/>
                <w:iCs w:val="0"/>
                <w:color w:val="auto"/>
                <w:kern w:val="0"/>
                <w:sz w:val="22"/>
                <w:szCs w:val="22"/>
                <w:highlight w:val="none"/>
                <w:u w:val="none"/>
                <w:lang w:val="en-US" w:eastAsia="zh-CN" w:bidi="ar"/>
              </w:rPr>
              <w:t>4</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系统集成</w:t>
            </w:r>
          </w:p>
        </w:tc>
        <w:tc>
          <w:tcPr>
            <w:tcW w:w="59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1、包含本项目所有硬件设备的安装、调试、测试、试运行、上线、验收等工作，每个信息点安装完成后，须经过网络测试仪对链路性能逐一进行测试，提供完整测试报告，否则不予验收。</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2、负责视频监控系统、电子围栏系统、探访会见系统系统、亲情电话系统、AB门管控系统、可视对讲系统、周界巡更系统、数字广播系统、中心机房、指挥中心的统一网络规划、综合调试、整合配置及优化，并通过系统完整性运行测试，提供测试报告，否则不予验收。</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3、按照最新的司法部IP地址规划要求，为采购方提供IP地址规划服务，IP地址规划同时需满足上级主管部门和使用部门的技术要求，具有前瞻性和便利性，不同类型的设备或不同区域的设备有固定的细分IP段，方便维护人员快速定位设备所在位置和识别设备种类，必须提交IP地址规划表、各类设备IP地址分配表。</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4</w:t>
            </w:r>
            <w:r>
              <w:rPr>
                <w:rFonts w:hint="default" w:ascii="Arial" w:hAnsi="Arial" w:eastAsia="宋体" w:cs="Arial"/>
                <w:color w:val="auto"/>
                <w:kern w:val="0"/>
                <w:sz w:val="21"/>
                <w:szCs w:val="21"/>
                <w:highlight w:val="none"/>
                <w:lang w:eastAsia="zh-CN" w:bidi="ar"/>
              </w:rPr>
              <w:t>、</w:t>
            </w:r>
            <w:r>
              <w:rPr>
                <w:rFonts w:hint="default" w:ascii="Arial" w:hAnsi="Arial" w:eastAsia="宋体" w:cs="Arial"/>
                <w:color w:val="auto"/>
                <w:kern w:val="0"/>
                <w:sz w:val="21"/>
                <w:szCs w:val="21"/>
                <w:highlight w:val="none"/>
                <w:lang w:bidi="ar"/>
              </w:rPr>
              <w:t>结合最新的网络安全等级保护要求，提交网络交换机的配置方案、网络安全域规划方案和拓扑图供采购审核，并按采购方的意图结合网络管理的需要对网络交换机进行配置，确保网络安全域规划符合网络安全等级保护相关要求。</w:t>
            </w:r>
          </w:p>
          <w:p>
            <w:pPr>
              <w:widowControl/>
              <w:jc w:val="left"/>
              <w:textAlignment w:val="center"/>
              <w:rPr>
                <w:rFonts w:hint="default" w:ascii="Arial" w:hAnsi="Arial" w:eastAsia="宋体" w:cs="Arial"/>
                <w:color w:val="auto"/>
                <w:kern w:val="0"/>
                <w:sz w:val="21"/>
                <w:szCs w:val="21"/>
                <w:highlight w:val="none"/>
                <w:lang w:bidi="ar"/>
              </w:rPr>
            </w:pPr>
            <w:r>
              <w:rPr>
                <w:rFonts w:hint="default" w:ascii="Arial" w:hAnsi="Arial" w:eastAsia="宋体" w:cs="Arial"/>
                <w:color w:val="auto"/>
                <w:kern w:val="0"/>
                <w:sz w:val="21"/>
                <w:szCs w:val="21"/>
                <w:highlight w:val="none"/>
                <w:lang w:bidi="ar"/>
              </w:rPr>
              <w:t>5、负责按上级管理部门要求对所有摄像头、云存储、IP对讲等设备进行规范化配置并接入上级部门管理平台；</w:t>
            </w:r>
          </w:p>
          <w:p>
            <w:pPr>
              <w:widowControl/>
              <w:jc w:val="left"/>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6、在入场实施前，需根据建设场所的现场情况，提交本项目设备点位分布方案、平面布置图、系统结构图、安装大样图、设备配置说明，网络规划方案，网络配置方案、网络安全域规划方案和网络拓扑图供采购方审核通过后，方可进行施工。</w:t>
            </w:r>
          </w:p>
        </w:tc>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bidi="ar"/>
              </w:rPr>
              <w:t>项</w:t>
            </w:r>
          </w:p>
        </w:tc>
      </w:tr>
    </w:tbl>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lang w:val="en-US" w:eastAsia="zh-CN"/>
        </w:rPr>
      </w:pPr>
      <w:bookmarkStart w:id="18" w:name="_Hlk74905748"/>
      <w:r>
        <w:rPr>
          <w:rFonts w:hint="default" w:ascii="Arial" w:hAnsi="Arial" w:eastAsia="宋体" w:cs="Arial"/>
          <w:color w:val="auto"/>
          <w:szCs w:val="21"/>
          <w:highlight w:val="none"/>
          <w:lang w:val="en-US" w:eastAsia="zh-CN"/>
        </w:rPr>
        <w:t>本项目所属行业：批发业。</w:t>
      </w:r>
    </w:p>
    <w:bookmarkEnd w:id="18"/>
    <w:p>
      <w:pPr>
        <w:rPr>
          <w:rFonts w:hint="default" w:ascii="Arial" w:hAnsi="Arial" w:eastAsia="宋体" w:cs="Arial"/>
          <w:b/>
          <w:color w:val="auto"/>
          <w:kern w:val="0"/>
          <w:sz w:val="28"/>
          <w:szCs w:val="28"/>
          <w:highlight w:val="none"/>
        </w:rPr>
      </w:pPr>
      <w:r>
        <w:rPr>
          <w:rFonts w:hint="default" w:ascii="Arial" w:hAnsi="Arial" w:eastAsia="宋体" w:cs="Arial"/>
          <w:b/>
          <w:color w:val="auto"/>
          <w:kern w:val="0"/>
          <w:sz w:val="28"/>
          <w:szCs w:val="28"/>
          <w:highlight w:val="none"/>
        </w:rPr>
        <w:br w:type="page"/>
      </w:r>
    </w:p>
    <w:p>
      <w:pPr>
        <w:spacing w:line="360" w:lineRule="auto"/>
        <w:rPr>
          <w:rFonts w:hint="default" w:ascii="Arial" w:hAnsi="Arial" w:eastAsia="宋体" w:cs="Arial"/>
          <w:b/>
          <w:color w:val="auto"/>
          <w:kern w:val="0"/>
          <w:sz w:val="28"/>
          <w:szCs w:val="28"/>
          <w:highlight w:val="none"/>
        </w:rPr>
      </w:pPr>
      <w:r>
        <w:rPr>
          <w:rFonts w:hint="default" w:ascii="Arial" w:hAnsi="Arial" w:eastAsia="宋体" w:cs="Arial"/>
          <w:b/>
          <w:color w:val="auto"/>
          <w:kern w:val="0"/>
          <w:sz w:val="28"/>
          <w:szCs w:val="28"/>
          <w:highlight w:val="none"/>
        </w:rPr>
        <w:t>三、本项目商务要求</w:t>
      </w:r>
    </w:p>
    <w:tbl>
      <w:tblPr>
        <w:tblStyle w:val="53"/>
        <w:tblW w:w="1004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73"/>
        <w:gridCol w:w="90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项目概况</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1.项目场地概况：广西第四强制隔离戒毒所项目建于桂林市西清路地段，南北靠山，东西为公路和居民区，为拆除重建的戒毒管理场所。</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2.项目建设目标：项目以落实司法部党委实施大数据战略、建设智慧司法、智慧戒毒的部署要求，以科技信息技术推进司法戒毒工作的创新发展，促进司法戒毒监管部门更好地履行确保“数字法治、智慧司法、智慧戒毒”工作部署，围绕戒毒人员的管理、教育、劳动生产等各类业务建设信息智能化系统和智慧监管等信息化应用系统，为戒毒所提供有效的管理手段，推动戒毒管理向信息化、智能化、智慧化的目标迈进。</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3.项目建设内容：</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（1）建立全所万兆光纤网络，采用全光网络布线模式，建设包含戒毒专网、互联网2套基础网络，戒毒专网依托电子政务外网组网。</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（2）建设一套约1000路视频监控安防系统，配套存储时间不少于30天的云存储系统及视频智能分析系统。</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（3）建设一套可视对讲系统，实现宿舍的对讲、应急报警、广播、一键点名等功能，并通过SIP协议实现与戒毒管理局对讲系统的互联互通，统一管理。</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（4）建设一个约45平方米的中心机房和约18平方米UPS配电间，实现全所弱电系统的集中供电。</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（5）建设一个约120平方米的应急指挥中心。</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（6）建设一套AB门系统、公共广播系统、探访系统、周界巡更系统和亲情电话系统等。</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（7）建设一套约660米周长的电子围栏周界防范系统。</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4.安防平台说明</w:t>
            </w:r>
          </w:p>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目前，广西戒毒管理局使用的海康8700安防平台。该平台依托电子政务外网，实现各戒毒所上传监控图像的实时预览、监控录像查询下载等功能，并实时转发监控图像到司法部戒毒管理局。因此，项目投标的监控视频安防产品必须能按照GB/T2818-2016标准协议与海康8700安防平台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合同签订时间</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Fonts w:hint="default" w:ascii="Arial" w:hAnsi="Arial" w:eastAsia="宋体" w:cs="Arial"/>
                <w:color w:val="auto"/>
                <w:highlight w:val="none"/>
              </w:rPr>
            </w:pPr>
            <w:r>
              <w:rPr>
                <w:rFonts w:hint="default" w:ascii="Arial" w:hAnsi="Arial" w:eastAsia="宋体" w:cs="Arial"/>
                <w:color w:val="auto"/>
                <w:highlight w:val="none"/>
              </w:rPr>
              <w:t>自中标通知书发出之日起</w:t>
            </w:r>
            <w:r>
              <w:rPr>
                <w:rFonts w:hint="eastAsia" w:ascii="Arial" w:hAnsi="Arial" w:cs="Arial"/>
                <w:color w:val="auto"/>
                <w:highlight w:val="none"/>
                <w:lang w:val="en-US" w:eastAsia="zh-CN"/>
              </w:rPr>
              <w:t>25</w:t>
            </w:r>
            <w:r>
              <w:rPr>
                <w:rFonts w:hint="default" w:ascii="Arial" w:hAnsi="Arial" w:eastAsia="宋体" w:cs="Arial"/>
                <w:color w:val="auto"/>
                <w:highlight w:val="none"/>
              </w:rPr>
              <w:t>日内。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质保期</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hint="default" w:ascii="Arial" w:hAnsi="Arial" w:eastAsia="宋体" w:cs="Arial"/>
                <w:color w:val="auto"/>
                <w:highlight w:val="none"/>
              </w:rPr>
            </w:pPr>
            <w:r>
              <w:rPr>
                <w:rFonts w:hint="default" w:ascii="Arial" w:hAnsi="Arial" w:eastAsia="宋体" w:cs="Arial"/>
                <w:color w:val="auto"/>
                <w:highlight w:val="none"/>
              </w:rPr>
              <w:t>1.质保期：自验收合格日起整机免费质保期（全保，包含人工费、零配件更换、软件升级、更换模块等各项费用）3年，质保期后免费提供软件升级、更换模块服务。（项目需求中有特殊规定的，以规定为准。）</w:t>
            </w:r>
          </w:p>
          <w:p>
            <w:pPr>
              <w:spacing w:line="360" w:lineRule="exact"/>
              <w:rPr>
                <w:rFonts w:hint="default" w:ascii="Arial" w:hAnsi="Arial" w:eastAsia="宋体" w:cs="Arial"/>
                <w:color w:val="auto"/>
                <w:highlight w:val="none"/>
              </w:rPr>
            </w:pPr>
            <w:r>
              <w:rPr>
                <w:rFonts w:hint="default" w:ascii="Arial" w:hAnsi="Arial" w:eastAsia="宋体" w:cs="Arial"/>
                <w:color w:val="auto"/>
                <w:highlight w:val="none"/>
              </w:rPr>
              <w:t>2.在质量保证期内，在正常的操作下，出现的任何故障及损失，</w:t>
            </w:r>
            <w:r>
              <w:rPr>
                <w:rFonts w:hint="default" w:ascii="Arial" w:hAnsi="Arial" w:eastAsia="宋体" w:cs="Arial"/>
                <w:color w:val="auto"/>
                <w:highlight w:val="none"/>
                <w:lang w:eastAsia="zh-CN"/>
              </w:rPr>
              <w:t>中标供应商</w:t>
            </w:r>
            <w:r>
              <w:rPr>
                <w:rFonts w:hint="default" w:ascii="Arial" w:hAnsi="Arial" w:eastAsia="宋体" w:cs="Arial"/>
                <w:color w:val="auto"/>
                <w:highlight w:val="none"/>
              </w:rPr>
              <w:t>无偿维修（提供包括原厂部件及制造厂家技术人员上门等费用在内的全程服务）。三个月内如有严重质量问题整机包换，如涉及失效零件更换，该零件应由</w:t>
            </w:r>
            <w:r>
              <w:rPr>
                <w:rFonts w:hint="default" w:ascii="Arial" w:hAnsi="Arial" w:eastAsia="宋体" w:cs="Arial"/>
                <w:color w:val="auto"/>
                <w:highlight w:val="none"/>
                <w:lang w:eastAsia="zh-CN"/>
              </w:rPr>
              <w:t>中标供应商</w:t>
            </w:r>
            <w:r>
              <w:rPr>
                <w:rFonts w:hint="default" w:ascii="Arial" w:hAnsi="Arial" w:eastAsia="宋体" w:cs="Arial"/>
                <w:color w:val="auto"/>
                <w:highlight w:val="none"/>
              </w:rPr>
              <w:t>无偿提供。</w:t>
            </w:r>
          </w:p>
          <w:p>
            <w:pPr>
              <w:spacing w:line="360" w:lineRule="exact"/>
              <w:rPr>
                <w:rFonts w:hint="default" w:ascii="Arial" w:hAnsi="Arial" w:eastAsia="宋体" w:cs="Arial"/>
                <w:color w:val="auto"/>
                <w:highlight w:val="none"/>
              </w:rPr>
            </w:pPr>
            <w:r>
              <w:rPr>
                <w:rFonts w:hint="default" w:ascii="Arial" w:hAnsi="Arial" w:eastAsia="宋体" w:cs="Arial"/>
                <w:color w:val="auto"/>
                <w:highlight w:val="none"/>
              </w:rPr>
              <w:t>3.质保期内，硬盘类存储介质故障采取故障硬盘由采购人保留，</w:t>
            </w:r>
            <w:r>
              <w:rPr>
                <w:rFonts w:hint="default" w:ascii="Arial" w:hAnsi="Arial" w:eastAsia="宋体" w:cs="Arial"/>
                <w:color w:val="auto"/>
                <w:highlight w:val="none"/>
                <w:lang w:eastAsia="zh-CN"/>
              </w:rPr>
              <w:t>中标供应商</w:t>
            </w:r>
            <w:r>
              <w:rPr>
                <w:rFonts w:hint="default" w:ascii="Arial" w:hAnsi="Arial" w:eastAsia="宋体" w:cs="Arial"/>
                <w:color w:val="auto"/>
                <w:highlight w:val="none"/>
              </w:rPr>
              <w:t>无偿提供新硬盘（不回收故障硬盘）的方式进行。</w:t>
            </w:r>
          </w:p>
          <w:p>
            <w:pPr>
              <w:spacing w:line="360" w:lineRule="exact"/>
              <w:rPr>
                <w:rFonts w:hint="default" w:ascii="Arial" w:hAnsi="Arial" w:eastAsia="宋体" w:cs="Arial"/>
                <w:color w:val="auto"/>
                <w:highlight w:val="none"/>
              </w:rPr>
            </w:pPr>
            <w:r>
              <w:rPr>
                <w:rFonts w:hint="default" w:ascii="Arial" w:hAnsi="Arial" w:eastAsia="宋体" w:cs="Arial"/>
                <w:b/>
                <w:bCs/>
                <w:color w:val="auto"/>
                <w:highlight w:val="none"/>
              </w:rPr>
              <w:t>★4.质保期内，</w:t>
            </w:r>
            <w:r>
              <w:rPr>
                <w:rFonts w:hint="default" w:ascii="Arial" w:hAnsi="Arial" w:eastAsia="宋体" w:cs="Arial"/>
                <w:b/>
                <w:bCs/>
                <w:color w:val="auto"/>
                <w:highlight w:val="none"/>
                <w:lang w:eastAsia="zh-CN"/>
              </w:rPr>
              <w:t>中标供应商</w:t>
            </w:r>
            <w:r>
              <w:rPr>
                <w:rFonts w:hint="default" w:ascii="Arial" w:hAnsi="Arial" w:eastAsia="宋体" w:cs="Arial"/>
                <w:b/>
                <w:bCs/>
                <w:color w:val="auto"/>
                <w:highlight w:val="none"/>
              </w:rPr>
              <w:t>至少安排1名售后技术员向采购人提供1年的驻场运维服务。（拟投入的售后技术员必须为</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本公司职员，服务期间售后技术员的所有费用由</w:t>
            </w:r>
            <w:r>
              <w:rPr>
                <w:rFonts w:hint="default" w:ascii="Arial" w:hAnsi="Arial" w:eastAsia="宋体" w:cs="Arial"/>
                <w:b/>
                <w:bCs/>
                <w:color w:val="auto"/>
                <w:highlight w:val="none"/>
                <w:lang w:eastAsia="zh-CN"/>
              </w:rPr>
              <w:t>中标供应商</w:t>
            </w:r>
            <w:r>
              <w:rPr>
                <w:rFonts w:hint="default" w:ascii="Arial" w:hAnsi="Arial" w:eastAsia="宋体" w:cs="Arial"/>
                <w:b/>
                <w:bCs/>
                <w:color w:val="auto"/>
                <w:highlight w:val="none"/>
              </w:rPr>
              <w:t>承担）</w:t>
            </w:r>
            <w:r>
              <w:rPr>
                <w:rFonts w:hint="default" w:ascii="Arial" w:hAnsi="Arial" w:eastAsia="宋体" w:cs="Arial"/>
                <w:color w:val="auto"/>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交付时间及地点</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1.交付期：自签订合同之日起60个</w:t>
            </w:r>
            <w:r>
              <w:rPr>
                <w:rStyle w:val="243"/>
                <w:rFonts w:hint="eastAsia" w:ascii="Arial" w:hAnsi="Arial" w:cs="Arial"/>
                <w:color w:val="auto"/>
                <w:szCs w:val="21"/>
                <w:highlight w:val="none"/>
                <w:lang w:val="en-US"/>
              </w:rPr>
              <w:t>日历</w:t>
            </w:r>
            <w:r>
              <w:rPr>
                <w:rStyle w:val="243"/>
                <w:rFonts w:hint="default" w:ascii="Arial" w:hAnsi="Arial" w:eastAsia="宋体" w:cs="Arial"/>
                <w:color w:val="auto"/>
                <w:szCs w:val="21"/>
                <w:highlight w:val="none"/>
              </w:rPr>
              <w:t>日内供货和安装调试完毕并交付验收和使用。</w:t>
            </w:r>
          </w:p>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2.本次项目涉及少量旧设备（如：防火墙、交换机、路由器等）迁移，中标供应商需按采购人要求拆除、运输，安装、调试原有旧设备，并结合本项目新采购设备按最新的网络规划方案完成旧设备的配置调试工作，并需通过采购人测试确认。</w:t>
            </w:r>
          </w:p>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3.由于本项目实施环境特殊且处于疫情期间，中标供应商必须严格遵守采购人的施工管理规定和疫情防控要求，并合理安排施工人员，确保项目按期交付使用，如不能按时提供设备并部署安装的，采购人有权上报政府采购监督部门进行处罚并终止合同。</w:t>
            </w:r>
          </w:p>
          <w:p>
            <w:pPr>
              <w:spacing w:line="360" w:lineRule="exact"/>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4.交货地点：广西壮族自治区第四强制隔离戒毒所（广西桂林市采购人单位内）。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售后服务要求</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质保期内负责维修、更换零部件，除另行特别注明外，服务内容如下：</w:t>
            </w:r>
          </w:p>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1.负责免费送货上门，负责免费安装调试合格。</w:t>
            </w:r>
          </w:p>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2.免费提供现场技术培训，保证使用人员正常操作设备的各种功能，质保期内提供免费技术支持。</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3.出现故障2小时内做出响应，6小时内到场维修，24小时内排除故障，设备需要返厂维修的，需在3日内提供备用件进行更换使用。</w:t>
            </w:r>
          </w:p>
          <w:p>
            <w:pPr>
              <w:spacing w:line="360" w:lineRule="exact"/>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4.定期回访。</w:t>
            </w:r>
          </w:p>
          <w:p>
            <w:pPr>
              <w:spacing w:line="360" w:lineRule="exact"/>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lang w:val="en-US"/>
              </w:rPr>
              <w:t>5</w:t>
            </w:r>
            <w:r>
              <w:rPr>
                <w:rStyle w:val="243"/>
                <w:rFonts w:hint="default" w:ascii="Arial" w:hAnsi="Arial" w:eastAsia="宋体" w:cs="Arial"/>
                <w:color w:val="auto"/>
                <w:szCs w:val="21"/>
                <w:highlight w:val="none"/>
              </w:rPr>
              <w:t>.设备自带软件的在免费保修期内免费升级；其余按供应商承诺进行。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付款条件</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1.签订合同之日起7</w:t>
            </w:r>
            <w:r>
              <w:rPr>
                <w:rStyle w:val="243"/>
                <w:rFonts w:hint="eastAsia" w:ascii="Arial" w:hAnsi="Arial" w:eastAsia="宋体" w:cs="Arial"/>
                <w:color w:val="auto"/>
                <w:szCs w:val="21"/>
                <w:highlight w:val="none"/>
                <w:lang w:val="en-US" w:eastAsia="zh-CN"/>
              </w:rPr>
              <w:t>日</w:t>
            </w:r>
            <w:r>
              <w:rPr>
                <w:rStyle w:val="243"/>
                <w:rFonts w:hint="default" w:ascii="Arial" w:hAnsi="Arial" w:eastAsia="宋体" w:cs="Arial"/>
                <w:color w:val="auto"/>
                <w:szCs w:val="21"/>
                <w:highlight w:val="none"/>
              </w:rPr>
              <w:t>内，</w:t>
            </w:r>
            <w:r>
              <w:rPr>
                <w:rStyle w:val="243"/>
                <w:rFonts w:hint="default" w:ascii="Arial" w:hAnsi="Arial" w:eastAsia="宋体" w:cs="Arial"/>
                <w:color w:val="auto"/>
                <w:szCs w:val="21"/>
                <w:highlight w:val="none"/>
                <w:lang w:eastAsia="zh-CN"/>
              </w:rPr>
              <w:t>中标供应商</w:t>
            </w:r>
            <w:r>
              <w:rPr>
                <w:rStyle w:val="243"/>
                <w:rFonts w:hint="default" w:ascii="Arial" w:hAnsi="Arial" w:eastAsia="宋体" w:cs="Arial"/>
                <w:color w:val="auto"/>
                <w:szCs w:val="21"/>
                <w:highlight w:val="none"/>
              </w:rPr>
              <w:t>向采购人提交中标金额3%作为履约保证金，采购人向</w:t>
            </w:r>
            <w:r>
              <w:rPr>
                <w:rStyle w:val="243"/>
                <w:rFonts w:hint="default" w:ascii="Arial" w:hAnsi="Arial" w:eastAsia="宋体" w:cs="Arial"/>
                <w:color w:val="auto"/>
                <w:szCs w:val="21"/>
                <w:highlight w:val="none"/>
                <w:lang w:eastAsia="zh-CN"/>
              </w:rPr>
              <w:t>中标供应商</w:t>
            </w:r>
            <w:r>
              <w:rPr>
                <w:rStyle w:val="243"/>
                <w:rFonts w:hint="default" w:ascii="Arial" w:hAnsi="Arial" w:eastAsia="宋体" w:cs="Arial"/>
                <w:color w:val="auto"/>
                <w:szCs w:val="21"/>
                <w:highlight w:val="none"/>
              </w:rPr>
              <w:t>支付合同总金额20%的合同款。</w:t>
            </w:r>
          </w:p>
          <w:p>
            <w:pPr>
              <w:spacing w:line="360" w:lineRule="exac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2.全部货物到达采购人指定地点签收确认后，采购人向</w:t>
            </w:r>
            <w:r>
              <w:rPr>
                <w:rStyle w:val="243"/>
                <w:rFonts w:hint="default" w:ascii="Arial" w:hAnsi="Arial" w:eastAsia="宋体" w:cs="Arial"/>
                <w:color w:val="auto"/>
                <w:szCs w:val="21"/>
                <w:highlight w:val="none"/>
                <w:lang w:eastAsia="zh-CN"/>
              </w:rPr>
              <w:t>中标供应商</w:t>
            </w:r>
            <w:r>
              <w:rPr>
                <w:rStyle w:val="243"/>
                <w:rFonts w:hint="default" w:ascii="Arial" w:hAnsi="Arial" w:eastAsia="宋体" w:cs="Arial"/>
                <w:color w:val="auto"/>
                <w:szCs w:val="21"/>
                <w:highlight w:val="none"/>
              </w:rPr>
              <w:t>支付合同总金额的60%的合同款。</w:t>
            </w:r>
          </w:p>
          <w:p>
            <w:pPr>
              <w:spacing w:line="360" w:lineRule="exac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3.货物安装调试完毕，验收合格并交付正常使用后，采购人向</w:t>
            </w:r>
            <w:r>
              <w:rPr>
                <w:rStyle w:val="243"/>
                <w:rFonts w:hint="default" w:ascii="Arial" w:hAnsi="Arial" w:eastAsia="宋体" w:cs="Arial"/>
                <w:color w:val="auto"/>
                <w:szCs w:val="21"/>
                <w:highlight w:val="none"/>
                <w:lang w:eastAsia="zh-CN"/>
              </w:rPr>
              <w:t>中标供应商</w:t>
            </w:r>
            <w:r>
              <w:rPr>
                <w:rStyle w:val="243"/>
                <w:rFonts w:hint="default" w:ascii="Arial" w:hAnsi="Arial" w:eastAsia="宋体" w:cs="Arial"/>
                <w:color w:val="auto"/>
                <w:szCs w:val="21"/>
                <w:highlight w:val="none"/>
              </w:rPr>
              <w:t>支付合同金额的20%的合同款。</w:t>
            </w:r>
          </w:p>
          <w:p>
            <w:pPr>
              <w:spacing w:line="360" w:lineRule="exac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4.自验收合格之日起，满3年后5个工作日内采购人退还</w:t>
            </w:r>
            <w:r>
              <w:rPr>
                <w:rStyle w:val="243"/>
                <w:rFonts w:hint="default" w:ascii="Arial" w:hAnsi="Arial" w:eastAsia="宋体" w:cs="Arial"/>
                <w:color w:val="auto"/>
                <w:szCs w:val="21"/>
                <w:highlight w:val="none"/>
                <w:lang w:eastAsia="zh-CN"/>
              </w:rPr>
              <w:t>中标供应商</w:t>
            </w:r>
            <w:r>
              <w:rPr>
                <w:rStyle w:val="243"/>
                <w:rFonts w:hint="eastAsia" w:ascii="Arial" w:hAnsi="Arial" w:cs="Arial"/>
                <w:color w:val="auto"/>
                <w:szCs w:val="21"/>
                <w:highlight w:val="none"/>
                <w:lang w:val="en-US"/>
              </w:rPr>
              <w:t>履约保证金</w:t>
            </w:r>
            <w:r>
              <w:rPr>
                <w:rStyle w:val="243"/>
                <w:rFonts w:hint="default" w:ascii="Arial" w:hAnsi="Arial" w:eastAsia="宋体" w:cs="Arial"/>
                <w:color w:val="auto"/>
                <w:szCs w:val="21"/>
                <w:highlight w:val="none"/>
              </w:rPr>
              <w:t>。</w:t>
            </w:r>
          </w:p>
          <w:p>
            <w:pPr>
              <w:spacing w:line="360" w:lineRule="exac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5.</w:t>
            </w:r>
            <w:r>
              <w:rPr>
                <w:rStyle w:val="243"/>
                <w:rFonts w:hint="default" w:ascii="Arial" w:hAnsi="Arial" w:eastAsia="宋体" w:cs="Arial"/>
                <w:color w:val="auto"/>
                <w:szCs w:val="21"/>
                <w:highlight w:val="none"/>
                <w:lang w:eastAsia="zh-CN"/>
              </w:rPr>
              <w:t>中标供应商</w:t>
            </w:r>
            <w:r>
              <w:rPr>
                <w:rStyle w:val="243"/>
                <w:rFonts w:hint="default" w:ascii="Arial" w:hAnsi="Arial" w:eastAsia="宋体" w:cs="Arial"/>
                <w:color w:val="auto"/>
                <w:szCs w:val="21"/>
                <w:highlight w:val="none"/>
              </w:rPr>
              <w:t>自收到合同款之日起5个工作日内开具全额合法发票给采购人。</w:t>
            </w:r>
          </w:p>
          <w:p>
            <w:pPr>
              <w:spacing w:line="360" w:lineRule="exact"/>
              <w:textAlignment w:val="baseline"/>
              <w:rPr>
                <w:rFonts w:hint="default"/>
                <w:color w:val="auto"/>
                <w:highlight w:val="none"/>
              </w:rPr>
            </w:pPr>
            <w:r>
              <w:rPr>
                <w:rStyle w:val="243"/>
                <w:rFonts w:hint="eastAsia" w:ascii="Arial" w:hAnsi="Arial" w:cs="Arial"/>
                <w:color w:val="auto"/>
                <w:szCs w:val="21"/>
                <w:highlight w:val="none"/>
                <w:lang w:val="en-US"/>
              </w:rPr>
              <w:t>注：</w:t>
            </w:r>
            <w:r>
              <w:rPr>
                <w:rStyle w:val="243"/>
                <w:rFonts w:hint="default" w:ascii="Arial" w:hAnsi="Arial" w:eastAsia="宋体" w:cs="Arial"/>
                <w:color w:val="auto"/>
                <w:szCs w:val="21"/>
                <w:highlight w:val="none"/>
              </w:rPr>
              <w:t>履约保证金金额（人民币）：按中标金额的3%，履约保证金递交方式：以转账或电汇等非现金形式从中标供应商基本账户交至以下账户：开户名称：广西壮族自治区第四强制隔离戒毒所。开户银行：中国农业银行股份有限公司桂林中北支行。账号：20209301040026503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投标报价</w:t>
            </w:r>
          </w:p>
        </w:tc>
        <w:tc>
          <w:tcPr>
            <w:tcW w:w="907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1.本项目为交钥匙工程，实行总承包报价，包括：</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（1）货物的价格以及货物的标准附件、备品备件、专用工具的价格；</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（2）项目实施前的深化设计及所需相关费用；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（3）运输、装卸、设计、培训、技术支持</w:t>
            </w:r>
            <w:r>
              <w:rPr>
                <w:rFonts w:hint="default" w:ascii="Arial" w:hAnsi="Arial" w:eastAsia="宋体" w:cs="Arial"/>
                <w:color w:val="auto"/>
                <w:szCs w:val="21"/>
                <w:highlight w:val="none"/>
              </w:rPr>
              <w:t>、售后服务</w:t>
            </w:r>
            <w:r>
              <w:rPr>
                <w:rStyle w:val="243"/>
                <w:rFonts w:hint="default" w:ascii="Arial" w:hAnsi="Arial" w:eastAsia="宋体" w:cs="Arial"/>
                <w:color w:val="auto"/>
                <w:kern w:val="0"/>
                <w:szCs w:val="21"/>
                <w:highlight w:val="none"/>
              </w:rPr>
              <w:t>、代理服务等费用；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（4）必要的保险费用和各项税费；</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（5）安装、调试、系统集成费用；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（6）包括项目整体验收各项费用；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（7）包括现有旧设备的拆除、打包和搬运到采购人指定地点等费用；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（8）包含建设期间旧移新的相关费用；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（9）本招标文件所列设备材料需进行补充完善才能完成本项目的或实际采购中产品材料有任何遗漏的费用（含本项目需要但本文件中未列出的设备材料）；</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（10）因项目实施场所特殊性所影响的施工成本；</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（11）因疫情防控需要所产生的检查检验、疫苗接种、清洁消杀、隔离期间的住宿伙食等相关费用。</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2.供应商应充分考虑施工安装期间各类材料的市场价格变化和可能的国家政策性调整，自行确定风险系数，对本项目的所有内容范围的设备进行总承包报价。</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3.供应商自行考虑完成项目所需的辅材、杂配件等数量，投标报价中应包含全部内容，中标后采购人不再另行支付额外费用；供应商根据项目所需自行配备的所有辅助材料必须符合国家有关规定的合格产品。</w:t>
            </w:r>
          </w:p>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4</w:t>
            </w:r>
            <w:r>
              <w:rPr>
                <w:rStyle w:val="243"/>
                <w:rFonts w:hint="default" w:ascii="Arial" w:hAnsi="Arial" w:eastAsia="宋体" w:cs="Arial"/>
                <w:color w:val="auto"/>
                <w:kern w:val="0"/>
                <w:szCs w:val="21"/>
                <w:highlight w:val="none"/>
                <w:lang w:val="en-US"/>
              </w:rPr>
              <w:t>.</w:t>
            </w:r>
            <w:r>
              <w:rPr>
                <w:rStyle w:val="243"/>
                <w:rFonts w:hint="default" w:ascii="Arial" w:hAnsi="Arial" w:eastAsia="宋体" w:cs="Arial"/>
                <w:color w:val="auto"/>
                <w:kern w:val="0"/>
                <w:szCs w:val="21"/>
                <w:highlight w:val="none"/>
              </w:rPr>
              <w:t>供应商的投标总报价</w:t>
            </w:r>
            <w:r>
              <w:rPr>
                <w:rStyle w:val="243"/>
                <w:rFonts w:hint="eastAsia" w:ascii="Arial" w:hAnsi="Arial" w:cs="Arial"/>
                <w:color w:val="auto"/>
                <w:kern w:val="0"/>
                <w:szCs w:val="21"/>
                <w:highlight w:val="none"/>
                <w:lang w:val="en-US"/>
              </w:rPr>
              <w:t>应≤</w:t>
            </w:r>
            <w:r>
              <w:rPr>
                <w:rStyle w:val="243"/>
                <w:rFonts w:hint="default" w:ascii="Arial" w:hAnsi="Arial" w:eastAsia="宋体" w:cs="Arial"/>
                <w:color w:val="auto"/>
                <w:kern w:val="0"/>
                <w:szCs w:val="21"/>
                <w:highlight w:val="none"/>
              </w:rPr>
              <w:t>采购预算</w:t>
            </w:r>
            <w:r>
              <w:rPr>
                <w:rStyle w:val="243"/>
                <w:rFonts w:hint="eastAsia" w:ascii="Arial" w:hAnsi="Arial" w:cs="Arial"/>
                <w:color w:val="auto"/>
                <w:kern w:val="0"/>
                <w:szCs w:val="21"/>
                <w:highlight w:val="none"/>
              </w:rPr>
              <w:t>，</w:t>
            </w:r>
            <w:r>
              <w:rPr>
                <w:rFonts w:hint="eastAsia"/>
                <w:color w:val="auto"/>
                <w:highlight w:val="none"/>
                <w:lang w:val="en-US" w:eastAsia="zh-CN"/>
              </w:rPr>
              <w:t>否则投标无效</w:t>
            </w:r>
            <w:r>
              <w:rPr>
                <w:rStyle w:val="243"/>
                <w:rFonts w:hint="default" w:ascii="Arial" w:hAnsi="Arial" w:eastAsia="宋体" w:cs="Arial"/>
                <w:color w:val="auto"/>
                <w:kern w:val="0"/>
                <w:szCs w:val="21"/>
                <w:highlight w:val="none"/>
              </w:rPr>
              <w:t>。</w:t>
            </w:r>
          </w:p>
          <w:p>
            <w:pPr>
              <w:spacing w:line="360" w:lineRule="exact"/>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5</w:t>
            </w:r>
            <w:r>
              <w:rPr>
                <w:rStyle w:val="243"/>
                <w:rFonts w:hint="default" w:ascii="Arial" w:hAnsi="Arial" w:eastAsia="宋体" w:cs="Arial"/>
                <w:color w:val="auto"/>
                <w:szCs w:val="21"/>
                <w:highlight w:val="none"/>
                <w:lang w:val="en-US"/>
              </w:rPr>
              <w:t>.</w:t>
            </w:r>
            <w:r>
              <w:rPr>
                <w:rStyle w:val="243"/>
                <w:rFonts w:hint="default" w:ascii="Arial" w:hAnsi="Arial" w:eastAsia="宋体" w:cs="Arial"/>
                <w:color w:val="auto"/>
                <w:szCs w:val="21"/>
                <w:highlight w:val="none"/>
              </w:rPr>
              <w:t>供应商负责工人人身、设备安全责任，验收前，设备丢失自行负责。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5" w:hRule="atLeast"/>
          <w:jc w:val="center"/>
        </w:trPr>
        <w:tc>
          <w:tcPr>
            <w:tcW w:w="10047" w:type="dxa"/>
            <w:gridSpan w:val="2"/>
            <w:tcBorders>
              <w:top w:val="single" w:color="000000" w:sz="4" w:space="0"/>
              <w:left w:val="single" w:color="000000" w:sz="4" w:space="0"/>
              <w:bottom w:val="single" w:color="000000" w:sz="4" w:space="0"/>
              <w:right w:val="single" w:color="000000" w:sz="4" w:space="0"/>
            </w:tcBorders>
            <w:vAlign w:val="center"/>
          </w:tcPr>
          <w:p>
            <w:pPr>
              <w:spacing w:line="360" w:lineRule="exact"/>
              <w:jc w:val="left"/>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b/>
                <w:color w:val="auto"/>
                <w:szCs w:val="21"/>
                <w:highlight w:val="none"/>
              </w:rPr>
              <w:t>采购人对项目的特殊要求及说明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进口产品</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kern w:val="0"/>
                <w:szCs w:val="21"/>
                <w:highlight w:val="none"/>
              </w:rPr>
              <w:t>是否接受进口产品：否，本项目所有采购货物均不接受进口产品。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样品要求</w:t>
            </w:r>
          </w:p>
        </w:tc>
        <w:tc>
          <w:tcPr>
            <w:tcW w:w="9074" w:type="dxa"/>
            <w:tcBorders>
              <w:top w:val="single" w:color="000000" w:sz="4" w:space="0"/>
              <w:left w:val="single" w:color="000000" w:sz="4" w:space="0"/>
              <w:bottom w:val="single" w:color="000000" w:sz="4" w:space="0"/>
              <w:right w:val="single" w:color="000000" w:sz="4" w:space="0"/>
            </w:tcBorders>
            <w:vAlign w:val="center"/>
          </w:tcPr>
          <w:p>
            <w:pPr>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szCs w:val="21"/>
                <w:highlight w:val="none"/>
              </w:rPr>
              <w:t>是否要求递交样品：</w:t>
            </w:r>
            <w:r>
              <w:rPr>
                <w:rStyle w:val="243"/>
                <w:rFonts w:hint="default" w:ascii="Arial" w:hAnsi="Arial" w:eastAsia="宋体" w:cs="Arial"/>
                <w:color w:val="auto"/>
                <w:kern w:val="0"/>
                <w:szCs w:val="21"/>
                <w:highlight w:val="none"/>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转包分包</w:t>
            </w:r>
          </w:p>
        </w:tc>
        <w:tc>
          <w:tcPr>
            <w:tcW w:w="907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exact"/>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本项目不接受任何形式的转包或分包，如发现中标供应商有转包或分包现象，采购人有权终止合同，同时向政府采购监督管理部门报告并查处，由此所造成的一切损失由中标供应商承担。</w:t>
            </w:r>
            <w:r>
              <w:rPr>
                <w:rStyle w:val="243"/>
                <w:rFonts w:hint="default" w:ascii="Arial" w:hAnsi="Arial" w:eastAsia="宋体" w:cs="Arial"/>
                <w:b/>
                <w:bCs/>
                <w:color w:val="auto"/>
                <w:kern w:val="0"/>
                <w:szCs w:val="21"/>
                <w:highlight w:val="none"/>
              </w:rPr>
              <w:t>供应商必须提供本项目不转包、不分包承诺函，否则投标无效。（格式自拟）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产品演示要求</w:t>
            </w:r>
          </w:p>
        </w:tc>
        <w:tc>
          <w:tcPr>
            <w:tcW w:w="9074" w:type="dxa"/>
            <w:tcBorders>
              <w:top w:val="single" w:color="000000" w:sz="4" w:space="0"/>
              <w:left w:val="single" w:color="000000" w:sz="4" w:space="0"/>
              <w:bottom w:val="single" w:color="000000" w:sz="4" w:space="0"/>
              <w:right w:val="single" w:color="000000" w:sz="4" w:space="0"/>
            </w:tcBorders>
            <w:vAlign w:val="center"/>
          </w:tcPr>
          <w:p>
            <w:pPr>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kern w:val="0"/>
                <w:szCs w:val="21"/>
                <w:highlight w:val="none"/>
              </w:rPr>
              <w:t>是否进行产品演示：</w:t>
            </w:r>
          </w:p>
          <w:p>
            <w:pPr>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kern w:val="0"/>
                <w:sz w:val="24"/>
                <w:highlight w:val="none"/>
              </w:rPr>
              <w:t></w:t>
            </w:r>
            <w:r>
              <w:rPr>
                <w:rStyle w:val="243"/>
                <w:rFonts w:hint="default" w:ascii="Arial" w:hAnsi="Arial" w:eastAsia="宋体" w:cs="Arial"/>
                <w:color w:val="auto"/>
                <w:kern w:val="0"/>
                <w:szCs w:val="21"/>
                <w:highlight w:val="none"/>
              </w:rPr>
              <w:t>否，本项目所有采购货物均不进行产品演示。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b/>
                <w:color w:val="auto"/>
                <w:szCs w:val="21"/>
                <w:highlight w:val="none"/>
              </w:rPr>
              <w:t>核心产品</w:t>
            </w:r>
          </w:p>
        </w:tc>
        <w:tc>
          <w:tcPr>
            <w:tcW w:w="907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1.核心产品：</w:t>
            </w:r>
            <w:r>
              <w:rPr>
                <w:rStyle w:val="243"/>
                <w:rFonts w:hint="default" w:ascii="Arial" w:hAnsi="Arial" w:eastAsia="宋体" w:cs="Arial"/>
                <w:b/>
                <w:bCs/>
                <w:color w:val="auto"/>
                <w:szCs w:val="21"/>
                <w:highlight w:val="none"/>
              </w:rPr>
              <w:t>智能双备份集中供电电源（第</w:t>
            </w:r>
            <w:r>
              <w:rPr>
                <w:rStyle w:val="243"/>
                <w:rFonts w:hint="default" w:ascii="Arial" w:hAnsi="Arial" w:eastAsia="宋体" w:cs="Arial"/>
                <w:b/>
                <w:bCs/>
                <w:color w:val="auto"/>
                <w:szCs w:val="21"/>
                <w:highlight w:val="none"/>
                <w:lang w:val="en-US"/>
              </w:rPr>
              <w:t>17</w:t>
            </w:r>
            <w:r>
              <w:rPr>
                <w:rStyle w:val="243"/>
                <w:rFonts w:hint="eastAsia" w:ascii="Arial" w:hAnsi="Arial" w:cs="Arial"/>
                <w:b/>
                <w:bCs/>
                <w:color w:val="auto"/>
                <w:szCs w:val="21"/>
                <w:highlight w:val="none"/>
                <w:lang w:val="en-US"/>
              </w:rPr>
              <w:t>8</w:t>
            </w:r>
            <w:r>
              <w:rPr>
                <w:rStyle w:val="243"/>
                <w:rFonts w:hint="default" w:ascii="Arial" w:hAnsi="Arial" w:eastAsia="宋体" w:cs="Arial"/>
                <w:b/>
                <w:bCs/>
                <w:color w:val="auto"/>
                <w:szCs w:val="21"/>
                <w:highlight w:val="none"/>
              </w:rPr>
              <w:t>项货物）。</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不同供应商提供的投标产品品牌相同时，评标委员会须根据以下规定评审相同品牌的投标有效性。</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1）如若提供相同品牌产品且通过资格审查、符合性审查的不同供应商参加同一合同项下投标的，按一家供应商计算，评审后得分最高的同品牌供应商获得中标供应商推荐资格；评审得分相同的，由（采购人）按照报价低者推荐中标供应商资格，如报价仍相同，则按技术部分得分高者推荐中标供应商资格，仍相同的，则按商务部分得分高者推荐中标供应商资格，若仍相同，则按业绩得分高者推荐中标供应商资格，其他同品牌供应商不作为中标候选人。</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（2）非单一产品采购项目，采购人应当确定核心产品，并在招标文件中载明。多家供应商提供的核心产品品牌相同的，按上述规定处理。核心产品的定义见“项目采购需求”规定。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kern w:val="0"/>
                <w:szCs w:val="21"/>
                <w:highlight w:val="none"/>
              </w:rPr>
              <w:t>备品备件及易损件</w:t>
            </w:r>
          </w:p>
        </w:tc>
        <w:tc>
          <w:tcPr>
            <w:tcW w:w="907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中标供应商售后服务中，维修使用的备品备件及易损件应为原厂配件，未经采购人同意不得使用非原厂配件，质保期内维修使用的备品备件及易损件的费用，由中标供应商承担。质量保证期过后，采购人需要继续由原中标供应商提供售后服务的，该中标供应商应以优惠价格提供售后服务，常用的、容易损坏的备品备件及易损件的优惠价格清单须在投标文件中列出。</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易损件包含但不限于：存储阵列主机（第13项货物）中的硬盘等。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10047" w:type="dxa"/>
            <w:gridSpan w:val="2"/>
            <w:tcBorders>
              <w:top w:val="single" w:color="000000" w:sz="4" w:space="0"/>
              <w:left w:val="single" w:color="000000" w:sz="4" w:space="0"/>
              <w:bottom w:val="single" w:color="000000" w:sz="4" w:space="0"/>
              <w:right w:val="single" w:color="000000" w:sz="4" w:space="0"/>
            </w:tcBorders>
            <w:vAlign w:val="center"/>
          </w:tcPr>
          <w:p>
            <w:pPr>
              <w:spacing w:line="360" w:lineRule="exact"/>
              <w:jc w:val="left"/>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b/>
                <w:color w:val="auto"/>
                <w:szCs w:val="21"/>
                <w:highlight w:val="none"/>
              </w:rPr>
              <w:t>涉及项目的其他要求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为落实政府采购政策需满足的要求</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szCs w:val="21"/>
                <w:highlight w:val="none"/>
              </w:rPr>
              <w:t>具体见第一章“招标公告”的规定以及第四章“评标方法及评标标准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规范标准</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360" w:lineRule="exact"/>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color w:val="auto"/>
                <w:szCs w:val="21"/>
                <w:highlight w:val="none"/>
              </w:rPr>
              <w:t>本项目如有国家相关标准、行业标准、地方标准或者其他标准、规范的，应执行相应的标准、规范。如具体采购需求与标准、规范不一致的，高于标准、规范的按具体采购需求执行，低于标准、规范的按标准、规范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采购标的需满足的质量、安全、技术规格、物理特性等</w:t>
            </w:r>
          </w:p>
        </w:tc>
        <w:tc>
          <w:tcPr>
            <w:tcW w:w="9074" w:type="dxa"/>
            <w:tcBorders>
              <w:top w:val="single" w:color="000000" w:sz="4" w:space="0"/>
              <w:left w:val="single" w:color="000000" w:sz="4" w:space="0"/>
              <w:bottom w:val="single" w:color="000000" w:sz="4" w:space="0"/>
              <w:right w:val="single" w:color="000000" w:sz="4" w:space="0"/>
            </w:tcBorders>
            <w:vAlign w:val="center"/>
          </w:tcPr>
          <w:p>
            <w:pPr>
              <w:spacing w:line="252" w:lineRule="auto"/>
              <w:textAlignment w:val="baseline"/>
              <w:rPr>
                <w:rStyle w:val="243"/>
                <w:rFonts w:hint="default" w:ascii="Arial" w:hAnsi="Arial" w:eastAsia="宋体" w:cs="Arial"/>
                <w:color w:val="auto"/>
                <w:sz w:val="20"/>
                <w:szCs w:val="21"/>
                <w:highlight w:val="none"/>
              </w:rPr>
            </w:pPr>
            <w:r>
              <w:rPr>
                <w:rStyle w:val="243"/>
                <w:rFonts w:hint="default" w:ascii="Arial" w:hAnsi="Arial" w:eastAsia="宋体" w:cs="Arial"/>
                <w:color w:val="auto"/>
                <w:szCs w:val="21"/>
                <w:highlight w:val="none"/>
              </w:rPr>
              <w:t>1.见本表“技术参数及性能（配置）要求”。</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2.投标产品必须为全新原装产品，中标供应商所提供的产品、资料等要满足中华人民共和国的相应标准。</w:t>
            </w:r>
          </w:p>
          <w:p>
            <w:pPr>
              <w:tabs>
                <w:tab w:val="center" w:pos="4153"/>
                <w:tab w:val="right" w:pos="8306"/>
              </w:tabs>
              <w:snapToGrid w:val="0"/>
              <w:spacing w:line="252" w:lineRule="auto"/>
              <w:jc w:val="left"/>
              <w:textAlignment w:val="baseline"/>
              <w:rPr>
                <w:rStyle w:val="243"/>
                <w:rFonts w:hint="default" w:ascii="Arial" w:hAnsi="Arial" w:eastAsia="宋体" w:cs="Arial"/>
                <w:color w:val="auto"/>
                <w:kern w:val="0"/>
                <w:szCs w:val="21"/>
                <w:highlight w:val="none"/>
              </w:rPr>
            </w:pPr>
            <w:r>
              <w:rPr>
                <w:rStyle w:val="243"/>
                <w:rFonts w:hint="default" w:ascii="Arial" w:hAnsi="Arial" w:eastAsia="宋体" w:cs="Arial"/>
                <w:color w:val="auto"/>
                <w:szCs w:val="21"/>
                <w:highlight w:val="none"/>
              </w:rPr>
              <w:t>3.项目采购的硬件设备系统及配套的软件，需免费开放数据接口并配合第三方平台的接入，投标文件中必须承诺：中标后，无条件应采购人要求提供数据接口，</w:t>
            </w:r>
            <w:r>
              <w:rPr>
                <w:rFonts w:hint="eastAsia"/>
                <w:color w:val="auto"/>
                <w:highlight w:val="none"/>
                <w:lang w:val="en-US" w:eastAsia="zh-CN"/>
              </w:rPr>
              <w:t>不收取费用，</w:t>
            </w:r>
            <w:r>
              <w:rPr>
                <w:rStyle w:val="243"/>
                <w:rFonts w:hint="default" w:ascii="Arial" w:hAnsi="Arial" w:eastAsia="宋体" w:cs="Arial"/>
                <w:color w:val="auto"/>
                <w:szCs w:val="21"/>
                <w:highlight w:val="none"/>
              </w:rPr>
              <w:t>包括接口代码和数据标准供后续开发使用，若涉及软件授权的，需承诺一次授权，终生免费使用。</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4.项目中采购的系统软件（含硬件系统配套的软件）不能具有排他性，中标供应商应无条件提供数据接口对接服务，不得设置阻碍阻止其他系统软件或相关软件数据交换业务。投标文件中必须承诺：中标后，无条件应采购人要求提供标准通用数据交换接口、交换协议和技术支持配合采购人业务系统的集成接入。</w:t>
            </w:r>
          </w:p>
          <w:p>
            <w:pPr>
              <w:tabs>
                <w:tab w:val="center" w:pos="4153"/>
                <w:tab w:val="right" w:pos="8306"/>
              </w:tabs>
              <w:snapToGrid w:val="0"/>
              <w:spacing w:line="252" w:lineRule="auto"/>
              <w:jc w:val="left"/>
              <w:textAlignment w:val="baseline"/>
              <w:rPr>
                <w:rStyle w:val="243"/>
                <w:rFonts w:hint="default" w:ascii="Arial" w:hAnsi="Arial" w:eastAsia="宋体" w:cs="Arial"/>
                <w:b/>
                <w:bCs/>
                <w:color w:val="auto"/>
                <w:kern w:val="0"/>
                <w:szCs w:val="21"/>
                <w:highlight w:val="none"/>
              </w:rPr>
            </w:pPr>
            <w:r>
              <w:rPr>
                <w:rStyle w:val="243"/>
                <w:rFonts w:hint="default" w:ascii="Arial" w:hAnsi="Arial" w:eastAsia="宋体" w:cs="Arial"/>
                <w:b/>
                <w:bCs/>
                <w:color w:val="auto"/>
                <w:kern w:val="0"/>
                <w:szCs w:val="21"/>
                <w:highlight w:val="none"/>
              </w:rPr>
              <w:t>★</w:t>
            </w:r>
            <w:r>
              <w:rPr>
                <w:rStyle w:val="243"/>
                <w:rFonts w:hint="default" w:ascii="Arial" w:hAnsi="Arial" w:eastAsia="宋体" w:cs="Arial"/>
                <w:b/>
                <w:bCs/>
                <w:color w:val="auto"/>
                <w:szCs w:val="21"/>
                <w:highlight w:val="none"/>
              </w:rPr>
              <w:t>5.项目中采购设备在安装调试前，中标供应商必须根据现场情况进行深化设计，制定详细的项目实施方案、项目进度表并附带综合布线图、摄像头安装点位图、可视对讲分机安装点位图、数字广播扬声器点位图、周界巡更终端点位图、网络拓扑图、网络规划方案、视频监控系统图、电子围栏系统图、探访会见系统图、亲情电话系统图、可视对讲系统图、周界巡更系统图、数字广播系统图、门禁系统图、中心机房设备平面布置图、UPS间设备平面布置图、中心机房机柜及楼栋机柜设备布置图、指挥中心平面布置图，门禁设备平面布置图、摄像头安装大样图、可视对讲安装大样图、探访会见终端安装大样、数字广播扬声器安装大样、监控操作台详细设计图纸、一体化机柜详细设计图纸等材料说明，由采购人审核通过后方可安装调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6" w:hRule="atLeast"/>
          <w:jc w:val="center"/>
        </w:trPr>
        <w:tc>
          <w:tcPr>
            <w:tcW w:w="973" w:type="dxa"/>
            <w:tcBorders>
              <w:top w:val="single" w:color="000000" w:sz="4" w:space="0"/>
              <w:left w:val="single" w:color="000000" w:sz="4" w:space="0"/>
              <w:bottom w:val="single" w:color="000000" w:sz="4" w:space="0"/>
              <w:right w:val="single" w:color="000000" w:sz="4" w:space="0"/>
            </w:tcBorders>
            <w:vAlign w:val="center"/>
          </w:tcPr>
          <w:p>
            <w:pPr>
              <w:jc w:val="center"/>
              <w:textAlignment w:val="baseline"/>
              <w:rPr>
                <w:rStyle w:val="243"/>
                <w:rFonts w:hint="default" w:ascii="Arial" w:hAnsi="Arial" w:eastAsia="宋体" w:cs="Arial"/>
                <w:b/>
                <w:bCs/>
                <w:color w:val="auto"/>
                <w:sz w:val="20"/>
                <w:szCs w:val="21"/>
                <w:highlight w:val="none"/>
              </w:rPr>
            </w:pPr>
            <w:r>
              <w:rPr>
                <w:rStyle w:val="243"/>
                <w:rFonts w:hint="default" w:ascii="Arial" w:hAnsi="Arial" w:eastAsia="宋体" w:cs="Arial"/>
                <w:color w:val="auto"/>
                <w:szCs w:val="21"/>
                <w:highlight w:val="none"/>
              </w:rPr>
              <w:t>采购标的验收标准</w:t>
            </w:r>
          </w:p>
        </w:tc>
        <w:tc>
          <w:tcPr>
            <w:tcW w:w="907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1.货物到达现场后，中标供应商应在采购人单位人员在场情况下当面开箱，共同清点、检查外观，作出开箱记录，双方签字确认，货物签收单一式2份，双方各执1份留存。中标供应商应保证货物到达采购人所在地完好无损，如有缺漏、损坏，由中标供应商负责调换、补齐或赔偿。验收过程中所产生的一切费用均由中标供应商承担，报价时应考虑相关费用。</w:t>
            </w:r>
          </w:p>
          <w:p>
            <w:pPr>
              <w:tabs>
                <w:tab w:val="center" w:pos="4153"/>
                <w:tab w:val="right" w:pos="8306"/>
              </w:tabs>
              <w:snapToGrid w:val="0"/>
              <w:spacing w:line="252" w:lineRule="auto"/>
              <w:jc w:val="left"/>
              <w:textAlignment w:val="baseline"/>
              <w:rPr>
                <w:rStyle w:val="243"/>
                <w:rFonts w:hint="default" w:ascii="Arial" w:hAnsi="Arial" w:eastAsia="宋体" w:cs="Arial"/>
                <w:b/>
                <w:bCs/>
                <w:color w:val="auto"/>
                <w:szCs w:val="21"/>
                <w:highlight w:val="none"/>
              </w:rPr>
            </w:pPr>
            <w:r>
              <w:rPr>
                <w:rStyle w:val="243"/>
                <w:rFonts w:hint="default" w:ascii="Arial" w:hAnsi="Arial" w:eastAsia="宋体" w:cs="Arial"/>
                <w:b/>
                <w:bCs/>
                <w:color w:val="auto"/>
                <w:kern w:val="0"/>
                <w:szCs w:val="21"/>
                <w:highlight w:val="none"/>
              </w:rPr>
              <w:t>★</w:t>
            </w:r>
            <w:r>
              <w:rPr>
                <w:rStyle w:val="243"/>
                <w:rFonts w:hint="default" w:ascii="Arial" w:hAnsi="Arial" w:eastAsia="宋体" w:cs="Arial"/>
                <w:b/>
                <w:bCs/>
                <w:color w:val="auto"/>
                <w:szCs w:val="21"/>
                <w:highlight w:val="none"/>
              </w:rPr>
              <w:t>2.项目验收过程中，</w:t>
            </w:r>
            <w:r>
              <w:rPr>
                <w:rStyle w:val="243"/>
                <w:rFonts w:hint="eastAsia" w:ascii="Arial" w:hAnsi="Arial" w:cs="Arial"/>
                <w:b/>
                <w:bCs/>
                <w:color w:val="auto"/>
                <w:szCs w:val="21"/>
                <w:highlight w:val="none"/>
                <w:lang w:val="en-US"/>
              </w:rPr>
              <w:t>采购人</w:t>
            </w:r>
            <w:r>
              <w:rPr>
                <w:rStyle w:val="243"/>
                <w:rFonts w:hint="default" w:ascii="Arial" w:hAnsi="Arial" w:eastAsia="宋体" w:cs="Arial"/>
                <w:b/>
                <w:bCs/>
                <w:color w:val="auto"/>
                <w:szCs w:val="21"/>
                <w:highlight w:val="none"/>
              </w:rPr>
              <w:t>可邀请第三方参与验收，验收过程中所产出的费用由中标供应商全额支付。验收的内容包含但不限于：（1）项目施工方案、设计图纸、设备签收单及其他项目施工过程中形成的相关材料；（2）随机抽选至少20样不同类型的设备核对品牌、型号、参数；（3）系统集成度、完整性现场演示，演示本项目中涉及到的视频监控系统、周界电子围栏系统、探访会见系统、亲情电话系统、AB门管控系统、可视对讲系统、周界巡更系统、数字广播系统建设情况及联动报警输出情况。</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3.中标供应商提供的货物需全新、完好、无破损，应提供完备的技术或服务资料、装箱单和合格证等。验收合格条件如下：</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（1）货物或服务技术参数与采购合同一致，性能或指标达到规定的标准。</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（2）技术或资料、装箱单、合格证等资料齐全。</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（3）在测试或试运行期间所出现的问题得到解决，并运行或工作正常。</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（4）在规定时间内完成交货及验收，并经采购人确认。</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4.项目验收应遵循国家及行业相关验收标准：中标供应商在安装调试完成后需提交全部图纸、配置资料、交验收报告、测试报告（如有）等。</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5.在安装调试并试运行符合要求后，才作最终验收。</w:t>
            </w:r>
          </w:p>
          <w:p>
            <w:pPr>
              <w:tabs>
                <w:tab w:val="center" w:pos="4153"/>
                <w:tab w:val="right" w:pos="8306"/>
              </w:tabs>
              <w:snapToGrid w:val="0"/>
              <w:spacing w:line="252" w:lineRule="auto"/>
              <w:jc w:val="left"/>
              <w:textAlignment w:val="baseline"/>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6.项目验收前，中标供应商要进行系统的操作培训，否则不于验收。</w:t>
            </w:r>
          </w:p>
          <w:p>
            <w:pPr>
              <w:tabs>
                <w:tab w:val="center" w:pos="4153"/>
                <w:tab w:val="right" w:pos="8306"/>
              </w:tabs>
              <w:snapToGrid w:val="0"/>
              <w:spacing w:line="252" w:lineRule="auto"/>
              <w:jc w:val="left"/>
              <w:textAlignment w:val="baseline"/>
              <w:rPr>
                <w:rStyle w:val="243"/>
                <w:rFonts w:hint="eastAsia" w:ascii="Arial" w:hAnsi="Arial" w:cs="Arial"/>
                <w:color w:val="auto"/>
                <w:szCs w:val="21"/>
                <w:highlight w:val="none"/>
              </w:rPr>
            </w:pPr>
            <w:r>
              <w:rPr>
                <w:rStyle w:val="243"/>
                <w:rFonts w:hint="default" w:ascii="Arial" w:hAnsi="Arial" w:eastAsia="宋体" w:cs="Arial"/>
                <w:color w:val="auto"/>
                <w:szCs w:val="21"/>
                <w:highlight w:val="none"/>
              </w:rPr>
              <w:t>7.为保证《项目采购需求》中的技术指标和性能达到采购文件要求及与合同、投标文件相符，如采购人对中标供应商所投标货物的技术指标有质疑，供货时须</w:t>
            </w:r>
            <w:r>
              <w:rPr>
                <w:rStyle w:val="243"/>
                <w:rFonts w:hint="eastAsia" w:ascii="Arial" w:hAnsi="Arial" w:cs="Arial"/>
                <w:color w:val="auto"/>
                <w:szCs w:val="21"/>
                <w:highlight w:val="none"/>
              </w:rPr>
              <w:t>提供投标产品的产品彩页或技术白皮书</w:t>
            </w:r>
            <w:r>
              <w:rPr>
                <w:rStyle w:val="243"/>
                <w:rFonts w:hint="default" w:ascii="Arial" w:hAnsi="Arial" w:eastAsia="宋体" w:cs="Arial"/>
                <w:color w:val="auto"/>
                <w:szCs w:val="21"/>
                <w:highlight w:val="none"/>
              </w:rPr>
              <w:t>，以确认是否达到合同、采购文件、投标文件中所规定的技术功能要求；中标供应商未提供的或</w:t>
            </w:r>
            <w:r>
              <w:rPr>
                <w:rStyle w:val="243"/>
                <w:rFonts w:hint="eastAsia" w:ascii="Arial" w:hAnsi="Arial" w:cs="Arial"/>
                <w:color w:val="auto"/>
                <w:szCs w:val="21"/>
                <w:highlight w:val="none"/>
              </w:rPr>
              <w:t>未</w:t>
            </w:r>
            <w:r>
              <w:rPr>
                <w:rStyle w:val="243"/>
                <w:rFonts w:hint="default" w:ascii="Arial" w:hAnsi="Arial" w:eastAsia="宋体" w:cs="Arial"/>
                <w:color w:val="auto"/>
                <w:szCs w:val="21"/>
                <w:highlight w:val="none"/>
              </w:rPr>
              <w:t>达到合同、采购文件、投标文件中所规定的技术功能要求，则视为合同违约，所有损失由中标供应商承担</w:t>
            </w:r>
            <w:r>
              <w:rPr>
                <w:rStyle w:val="243"/>
                <w:rFonts w:hint="eastAsia" w:ascii="Arial" w:hAnsi="Arial" w:cs="Arial"/>
                <w:color w:val="auto"/>
                <w:szCs w:val="21"/>
                <w:highlight w:val="none"/>
              </w:rPr>
              <w:t>。</w:t>
            </w:r>
          </w:p>
          <w:p>
            <w:pPr>
              <w:tabs>
                <w:tab w:val="center" w:pos="4153"/>
                <w:tab w:val="right" w:pos="8306"/>
              </w:tabs>
              <w:snapToGrid w:val="0"/>
              <w:spacing w:line="252" w:lineRule="auto"/>
              <w:jc w:val="left"/>
              <w:textAlignment w:val="baseline"/>
              <w:rPr>
                <w:rStyle w:val="243"/>
                <w:rFonts w:hint="default" w:ascii="Arial" w:hAnsi="Arial" w:eastAsia="宋体" w:cs="Arial"/>
                <w:b/>
                <w:bCs/>
                <w:color w:val="auto"/>
                <w:sz w:val="20"/>
                <w:szCs w:val="21"/>
                <w:highlight w:val="none"/>
              </w:rPr>
            </w:pPr>
            <w:r>
              <w:rPr>
                <w:rStyle w:val="243"/>
                <w:rFonts w:hint="eastAsia" w:ascii="Arial" w:hAnsi="Arial" w:cs="Arial"/>
                <w:color w:val="auto"/>
                <w:szCs w:val="21"/>
                <w:highlight w:val="none"/>
                <w:lang w:val="en-US"/>
              </w:rPr>
              <w:t>8、</w:t>
            </w:r>
            <w:r>
              <w:rPr>
                <w:rStyle w:val="243"/>
                <w:rFonts w:hint="default" w:ascii="Arial" w:hAnsi="Arial" w:eastAsia="宋体" w:cs="Arial"/>
                <w:color w:val="auto"/>
                <w:szCs w:val="21"/>
                <w:highlight w:val="none"/>
              </w:rPr>
              <w:t>如验收不通过的采购人有权要求中标供应商整改，整改后再次申请采购人验收，工期不予顺延，以最终验收合格之日做为验收合格时间及质保起始时间。</w:t>
            </w:r>
          </w:p>
        </w:tc>
      </w:tr>
    </w:tbl>
    <w:p>
      <w:pPr>
        <w:pStyle w:val="29"/>
        <w:snapToGrid w:val="0"/>
        <w:rPr>
          <w:rFonts w:hint="default" w:ascii="Arial" w:hAnsi="Arial" w:eastAsia="宋体" w:cs="Arial"/>
          <w:color w:val="auto"/>
          <w:highlight w:val="none"/>
        </w:rPr>
      </w:pPr>
    </w:p>
    <w:p>
      <w:pPr>
        <w:pStyle w:val="29"/>
        <w:snapToGrid w:val="0"/>
        <w:rPr>
          <w:rFonts w:hint="default" w:ascii="Arial" w:hAnsi="Arial" w:eastAsia="宋体" w:cs="Arial"/>
          <w:color w:val="auto"/>
          <w:highlight w:val="none"/>
        </w:rPr>
        <w:sectPr>
          <w:footerReference r:id="rId10" w:type="first"/>
          <w:headerReference r:id="rId8" w:type="default"/>
          <w:footerReference r:id="rId9" w:type="default"/>
          <w:pgSz w:w="11906" w:h="16838"/>
          <w:pgMar w:top="851" w:right="828" w:bottom="1020" w:left="1418" w:header="851" w:footer="797" w:gutter="0"/>
          <w:pgNumType w:start="1"/>
          <w:cols w:space="720" w:num="1"/>
          <w:docGrid w:linePitch="312" w:charSpace="0"/>
        </w:sectPr>
      </w:pPr>
    </w:p>
    <w:bookmarkEnd w:id="16"/>
    <w:bookmarkEnd w:id="17"/>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19" w:name="_Toc28503"/>
      <w:r>
        <w:rPr>
          <w:rFonts w:hint="default" w:ascii="Arial" w:hAnsi="Arial" w:eastAsia="宋体" w:cs="Arial"/>
          <w:color w:val="auto"/>
          <w:sz w:val="32"/>
          <w:szCs w:val="32"/>
          <w:highlight w:val="none"/>
        </w:rPr>
        <w:t>第三章  供应商须知</w:t>
      </w:r>
      <w:bookmarkEnd w:id="19"/>
      <w:bookmarkStart w:id="20" w:name="_Toc254970526"/>
      <w:bookmarkStart w:id="21" w:name="_Toc254970667"/>
    </w:p>
    <w:bookmarkEnd w:id="20"/>
    <w:bookmarkEnd w:id="21"/>
    <w:p>
      <w:pPr>
        <w:rPr>
          <w:rFonts w:hint="default" w:ascii="Arial" w:hAnsi="Arial" w:eastAsia="宋体" w:cs="Arial"/>
          <w:color w:val="auto"/>
          <w:highlight w:val="none"/>
        </w:rPr>
      </w:pPr>
      <w:bookmarkStart w:id="22" w:name="_投标人须知前附表"/>
      <w:bookmarkEnd w:id="22"/>
      <w:bookmarkStart w:id="23" w:name="_Hlk19048934"/>
    </w:p>
    <w:tbl>
      <w:tblPr>
        <w:tblStyle w:val="53"/>
        <w:tblW w:w="921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71"/>
        <w:gridCol w:w="1115"/>
        <w:gridCol w:w="72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71"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条款号</w:t>
            </w:r>
          </w:p>
        </w:tc>
        <w:tc>
          <w:tcPr>
            <w:tcW w:w="1115"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要点</w:t>
            </w:r>
          </w:p>
        </w:tc>
        <w:tc>
          <w:tcPr>
            <w:tcW w:w="7228"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项目基本信息</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highlight w:val="none"/>
                <w:lang w:eastAsia="zh-CN"/>
              </w:rPr>
            </w:pPr>
            <w:r>
              <w:rPr>
                <w:rFonts w:hint="default" w:ascii="Arial" w:hAnsi="Arial" w:eastAsia="宋体" w:cs="Arial"/>
                <w:color w:val="auto"/>
                <w:highlight w:val="none"/>
                <w:lang w:eastAsia="zh-CN"/>
              </w:rPr>
              <w:t>项目名称：安防专用设备采购（一期）</w:t>
            </w:r>
          </w:p>
          <w:p>
            <w:pPr>
              <w:spacing w:line="300" w:lineRule="exact"/>
              <w:jc w:val="left"/>
              <w:rPr>
                <w:rFonts w:hint="default" w:ascii="Arial" w:hAnsi="Arial" w:eastAsia="宋体" w:cs="Arial"/>
                <w:color w:val="auto"/>
                <w:highlight w:val="none"/>
                <w:lang w:eastAsia="zh-CN"/>
              </w:rPr>
            </w:pPr>
            <w:r>
              <w:rPr>
                <w:rFonts w:hint="default" w:ascii="Arial" w:hAnsi="Arial" w:eastAsia="宋体" w:cs="Arial"/>
                <w:color w:val="auto"/>
                <w:highlight w:val="none"/>
                <w:lang w:eastAsia="zh-CN"/>
              </w:rPr>
              <w:t>项目编号：</w:t>
            </w:r>
            <w:r>
              <w:rPr>
                <w:rFonts w:hint="eastAsia" w:ascii="Arial" w:hAnsi="Arial" w:cs="Arial"/>
                <w:color w:val="auto"/>
                <w:highlight w:val="none"/>
                <w:lang w:eastAsia="zh-CN"/>
              </w:rPr>
              <w:t>GXZC2022-G3-001657-JDZB</w:t>
            </w:r>
          </w:p>
          <w:p>
            <w:pPr>
              <w:spacing w:line="300" w:lineRule="exact"/>
              <w:jc w:val="left"/>
              <w:rPr>
                <w:rFonts w:hint="default" w:ascii="Arial" w:hAnsi="Arial" w:eastAsia="宋体" w:cs="Arial"/>
                <w:color w:val="auto"/>
                <w:highlight w:val="none"/>
                <w:lang w:eastAsia="zh-CN"/>
              </w:rPr>
            </w:pPr>
            <w:r>
              <w:rPr>
                <w:rFonts w:hint="default" w:ascii="Arial" w:hAnsi="Arial" w:eastAsia="宋体" w:cs="Arial"/>
                <w:color w:val="auto"/>
                <w:highlight w:val="none"/>
                <w:lang w:eastAsia="zh-CN"/>
              </w:rPr>
              <w:t>采购方式：公开招标</w:t>
            </w:r>
          </w:p>
          <w:p>
            <w:pPr>
              <w:spacing w:line="300" w:lineRule="exact"/>
              <w:jc w:val="left"/>
              <w:rPr>
                <w:rFonts w:hint="default" w:ascii="Arial" w:hAnsi="Arial" w:eastAsia="宋体" w:cs="Arial"/>
                <w:color w:val="auto"/>
                <w:highlight w:val="none"/>
                <w:lang w:val="en-US" w:eastAsia="zh-CN"/>
              </w:rPr>
            </w:pPr>
            <w:r>
              <w:rPr>
                <w:rFonts w:hint="default" w:ascii="Arial" w:hAnsi="Arial" w:eastAsia="宋体" w:cs="Arial"/>
                <w:color w:val="auto"/>
                <w:highlight w:val="none"/>
                <w:lang w:val="en-US" w:eastAsia="zh-CN"/>
              </w:rPr>
              <w:t>采购计划号：广西政采[2021]21850号-001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2</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lang w:val="zh-CN"/>
              </w:rPr>
              <w:t>供应商资格条件</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3</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现场踏勘</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4</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转包</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本项目不允许转包。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5</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分包</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本项目不允许分包。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6</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招标文件澄清、修改</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招标文件澄清、答复、修改、补充的内容为招标文件的组成部分。当招标文件与招标文件的答复、澄清、修改、补充通知就同一内容的表述不一致时，以最后发出的公告或书面文件为准。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7</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确认收到澄清、修改发布的方式</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澄清、修改文件在招标公告发布媒体发布之日起，视为供应商已收到该澄清、修改。供应商未及时关注发布媒体造成的损失，由供应商自行负责。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8</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投标有效期</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投标截止之日起90天。投标有效期不足的投标文件将被否决。在特殊情况下，采购人可与供应商协商延长投标文件的有效期，这种要求和答复均以书面形式进行。同意延长有效期的供应商不能修改投标文件。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9</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Arial" w:hAnsi="Arial" w:eastAsia="宋体" w:cs="Arial"/>
                <w:color w:val="auto"/>
                <w:szCs w:val="21"/>
                <w:highlight w:val="none"/>
              </w:rPr>
            </w:pPr>
            <w:r>
              <w:rPr>
                <w:rFonts w:hint="default" w:ascii="Arial" w:hAnsi="Arial" w:eastAsia="宋体" w:cs="Arial"/>
                <w:color w:val="auto"/>
                <w:highlight w:val="none"/>
              </w:rPr>
              <w:t>投标保证金</w:t>
            </w:r>
          </w:p>
        </w:tc>
        <w:tc>
          <w:tcPr>
            <w:tcW w:w="7228" w:type="dxa"/>
            <w:tcBorders>
              <w:top w:val="single" w:color="auto" w:sz="4" w:space="0"/>
              <w:left w:val="single" w:color="auto" w:sz="4" w:space="0"/>
              <w:bottom w:val="single" w:color="auto" w:sz="4" w:space="0"/>
            </w:tcBorders>
            <w:vAlign w:val="center"/>
          </w:tcPr>
          <w:p>
            <w:pPr>
              <w:spacing w:line="300" w:lineRule="exact"/>
              <w:rPr>
                <w:rFonts w:hint="default" w:ascii="Arial" w:hAnsi="Arial" w:eastAsia="宋体" w:cs="Arial"/>
                <w:color w:val="auto"/>
                <w:szCs w:val="21"/>
                <w:highlight w:val="none"/>
              </w:rPr>
            </w:pPr>
            <w:r>
              <w:rPr>
                <w:rFonts w:hint="default" w:ascii="Arial" w:hAnsi="Arial" w:eastAsia="宋体" w:cs="Arial"/>
                <w:color w:val="auto"/>
                <w:highlight w:val="none"/>
              </w:rPr>
              <w:t>本项目无需缴纳投标保证金。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10</w:t>
            </w:r>
          </w:p>
        </w:tc>
        <w:tc>
          <w:tcPr>
            <w:tcW w:w="111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投标文件的制作</w:t>
            </w:r>
          </w:p>
        </w:tc>
        <w:tc>
          <w:tcPr>
            <w:tcW w:w="7228" w:type="dxa"/>
            <w:tcBorders>
              <w:top w:val="single" w:color="auto" w:sz="4" w:space="0"/>
              <w:left w:val="single" w:color="auto" w:sz="4" w:space="0"/>
              <w:bottom w:val="single" w:color="auto" w:sz="4" w:space="0"/>
            </w:tcBorders>
            <w:vAlign w:val="center"/>
          </w:tcPr>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1、电子投标文件中须加盖供应商公章部分均采用 CA 签章，并根据“政府采购项目电子交易管理操作指南-供应商”及本招标文件规定的格式和顺序编制电子投标文件并进行关联定位，以便评审小组在评审时，点击评分项可直接定位到该评分项内容。如对招标文件的某项要求，供应商的电子投标文件未能关联定位提供相应的内容与其对应，则评审小组在评审时如做出对供应商不利的评审由供应商自行承担。电子投标文件如内容不完整、编排混乱导致投标文件被误读、漏读，或者在按招标文件规定的部位查找不到相关内容的，由供应商自行承担。</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2、供应商法人（负责人）或授权代表持有政采云个人CA签章的，应在投标文件中涉及到签字的位置使用个人CA签章，没有办理政采云个人CA签章的可在投标文件中涉及到签字的位置手写签字后扫描或者拍照做成 PDF 的格式上传即可。 </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3、投标文件不得涂改，若有修改错漏处，须法定代表人（负责人）或授权委托人签字（或个人CA签章）。投标文件因字迹潦草或表达不清所引起的后果由供应商负责。</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4、评审前准备 </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4.1本项目实行网上评审，采用电子投标文件；若供应商参与投标，自行承担投标一切费用。 </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4.2各供应商在截标前应确保成为政采云平台正式注册入库供应商，并完成 CA 数字证书申领。因未注册入库、未办理 CA 数字证书等原因造成无法投标或投标失败等后果由供应商自行承担。 </w:t>
            </w:r>
          </w:p>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4.3供应商将政采云电子交易客户端下载、安装完成后，可通过账号密码或 CA 登录客户端进行投标文件制作。客户端请至网站下载专区查看，如有问题可拨打政采云客户服务热线 400-881-7190 进行咨询。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11</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投标文件的补充、修改和撤回</w:t>
            </w:r>
          </w:p>
        </w:tc>
        <w:tc>
          <w:tcPr>
            <w:tcW w:w="7228" w:type="dxa"/>
            <w:tcBorders>
              <w:top w:val="single" w:color="auto" w:sz="4" w:space="0"/>
              <w:left w:val="single" w:color="auto" w:sz="4" w:space="0"/>
              <w:bottom w:val="single" w:color="auto" w:sz="4" w:space="0"/>
            </w:tcBorders>
            <w:vAlign w:val="center"/>
          </w:tcPr>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投标文件递交截止时间前可以撤回电子投标文件。补充或者修改电子投标文件的，应当先行撤回原文件，补充、修改后重新传输递交，投标文件递交截止时间前未完成传输的，视为撤回投标文件。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12</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投标文件递交</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202</w:t>
            </w:r>
            <w:r>
              <w:rPr>
                <w:rFonts w:hint="default" w:ascii="Arial" w:hAnsi="Arial" w:eastAsia="宋体" w:cs="Arial"/>
                <w:color w:val="auto"/>
                <w:highlight w:val="none"/>
                <w:lang w:val="en-US" w:eastAsia="zh-CN"/>
              </w:rPr>
              <w:t>2</w:t>
            </w:r>
            <w:r>
              <w:rPr>
                <w:rFonts w:hint="default" w:ascii="Arial" w:hAnsi="Arial" w:eastAsia="宋体" w:cs="Arial"/>
                <w:color w:val="auto"/>
                <w:highlight w:val="none"/>
              </w:rPr>
              <w:t>年</w:t>
            </w:r>
            <w:r>
              <w:rPr>
                <w:rFonts w:hint="eastAsia" w:ascii="Arial" w:hAnsi="Arial" w:cs="Arial"/>
                <w:color w:val="auto"/>
                <w:szCs w:val="21"/>
                <w:highlight w:val="none"/>
                <w:lang w:val="en-US" w:eastAsia="zh-CN"/>
              </w:rPr>
              <w:t>7</w:t>
            </w:r>
            <w:r>
              <w:rPr>
                <w:rFonts w:hint="default" w:ascii="Arial" w:hAnsi="Arial" w:eastAsia="宋体" w:cs="Arial"/>
                <w:color w:val="auto"/>
                <w:szCs w:val="21"/>
                <w:highlight w:val="none"/>
                <w:lang w:val="en-US" w:eastAsia="zh-CN"/>
              </w:rPr>
              <w:t>月</w:t>
            </w:r>
            <w:r>
              <w:rPr>
                <w:rFonts w:hint="eastAsia" w:ascii="Arial" w:hAnsi="Arial" w:cs="Arial"/>
                <w:color w:val="auto"/>
                <w:szCs w:val="21"/>
                <w:highlight w:val="none"/>
                <w:lang w:val="en-US" w:eastAsia="zh-CN"/>
              </w:rPr>
              <w:t>6</w:t>
            </w:r>
            <w:r>
              <w:rPr>
                <w:rFonts w:hint="default" w:ascii="Arial" w:hAnsi="Arial" w:eastAsia="宋体" w:cs="Arial"/>
                <w:color w:val="auto"/>
                <w:szCs w:val="21"/>
                <w:highlight w:val="none"/>
                <w:lang w:val="en-US" w:eastAsia="zh-CN"/>
              </w:rPr>
              <w:t>日</w:t>
            </w:r>
            <w:r>
              <w:rPr>
                <w:rFonts w:hint="default" w:ascii="Arial" w:hAnsi="Arial" w:eastAsia="宋体" w:cs="Arial"/>
                <w:color w:val="auto"/>
                <w:highlight w:val="none"/>
              </w:rPr>
              <w:t>上午9时30分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13</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投标文件解密</w:t>
            </w:r>
          </w:p>
        </w:tc>
        <w:tc>
          <w:tcPr>
            <w:tcW w:w="7228" w:type="dxa"/>
            <w:tcBorders>
              <w:top w:val="single" w:color="auto" w:sz="4" w:space="0"/>
              <w:left w:val="single" w:color="auto" w:sz="4" w:space="0"/>
              <w:bottom w:val="single" w:color="auto" w:sz="4" w:space="0"/>
            </w:tcBorders>
            <w:vAlign w:val="center"/>
          </w:tcPr>
          <w:p>
            <w:pPr>
              <w:spacing w:line="300" w:lineRule="exact"/>
              <w:rPr>
                <w:rFonts w:hint="default" w:ascii="Arial" w:hAnsi="Arial" w:eastAsia="宋体" w:cs="Arial"/>
                <w:color w:val="auto"/>
                <w:highlight w:val="none"/>
              </w:rPr>
            </w:pPr>
            <w:r>
              <w:rPr>
                <w:rFonts w:hint="default" w:ascii="Arial" w:hAnsi="Arial" w:eastAsia="宋体" w:cs="Arial"/>
                <w:color w:val="auto"/>
                <w:highlight w:val="none"/>
              </w:rPr>
              <w:t>投标文件解密时间：截标时间后</w:t>
            </w:r>
            <w:r>
              <w:rPr>
                <w:rFonts w:hint="default" w:ascii="Arial" w:hAnsi="Arial" w:eastAsia="宋体" w:cs="Arial"/>
                <w:color w:val="auto"/>
                <w:highlight w:val="none"/>
                <w:u w:val="single"/>
              </w:rPr>
              <w:t>30</w:t>
            </w:r>
            <w:r>
              <w:rPr>
                <w:rFonts w:hint="default" w:ascii="Arial" w:hAnsi="Arial" w:eastAsia="宋体" w:cs="Arial"/>
                <w:color w:val="auto"/>
                <w:highlight w:val="none"/>
              </w:rPr>
              <w:t>分钟内（</w:t>
            </w:r>
            <w:r>
              <w:rPr>
                <w:rFonts w:hint="default" w:ascii="Arial" w:hAnsi="Arial" w:eastAsia="宋体" w:cs="Arial"/>
                <w:color w:val="auto"/>
                <w:highlight w:val="none"/>
                <w:u w:val="single"/>
              </w:rPr>
              <w:t>202</w:t>
            </w:r>
            <w:r>
              <w:rPr>
                <w:rFonts w:hint="default" w:ascii="Arial" w:hAnsi="Arial" w:eastAsia="宋体" w:cs="Arial"/>
                <w:color w:val="auto"/>
                <w:highlight w:val="none"/>
                <w:u w:val="single"/>
                <w:lang w:val="en-US" w:eastAsia="zh-CN"/>
              </w:rPr>
              <w:t>2</w:t>
            </w:r>
            <w:r>
              <w:rPr>
                <w:rFonts w:hint="default" w:ascii="Arial" w:hAnsi="Arial" w:eastAsia="宋体" w:cs="Arial"/>
                <w:color w:val="auto"/>
                <w:highlight w:val="none"/>
                <w:u w:val="single"/>
              </w:rPr>
              <w:t>年7月6日上午9时30分至10时00分</w:t>
            </w:r>
            <w:r>
              <w:rPr>
                <w:rFonts w:hint="default" w:ascii="Arial" w:hAnsi="Arial" w:eastAsia="宋体" w:cs="Arial"/>
                <w:color w:val="auto"/>
                <w:highlight w:val="none"/>
              </w:rPr>
              <w:t>)</w:t>
            </w:r>
            <w:r>
              <w:rPr>
                <w:rFonts w:hint="default" w:ascii="Arial" w:hAnsi="Arial" w:eastAsia="宋体" w:cs="Arial"/>
                <w:color w:val="auto"/>
                <w:highlight w:val="none"/>
                <w:lang w:eastAsia="zh-CN"/>
              </w:rPr>
              <w:t>供应商</w:t>
            </w:r>
            <w:r>
              <w:rPr>
                <w:rFonts w:hint="default" w:ascii="Arial" w:hAnsi="Arial" w:eastAsia="宋体" w:cs="Arial"/>
                <w:color w:val="auto"/>
                <w:highlight w:val="none"/>
              </w:rPr>
              <w:t>可以登录政采云平台，用“项目采购-开标评标”功能进行解密投标文件。若</w:t>
            </w:r>
            <w:r>
              <w:rPr>
                <w:rFonts w:hint="default" w:ascii="Arial" w:hAnsi="Arial" w:eastAsia="宋体" w:cs="Arial"/>
                <w:color w:val="auto"/>
                <w:highlight w:val="none"/>
                <w:lang w:eastAsia="zh-CN"/>
              </w:rPr>
              <w:t>供应商</w:t>
            </w:r>
            <w:r>
              <w:rPr>
                <w:rFonts w:hint="default" w:ascii="Arial" w:hAnsi="Arial" w:eastAsia="宋体" w:cs="Arial"/>
                <w:color w:val="auto"/>
                <w:highlight w:val="none"/>
              </w:rPr>
              <w:t>在规定时间内无法解密或解密失败，可以以电子备份投标文件作为依据</w:t>
            </w:r>
            <w:r>
              <w:rPr>
                <w:rFonts w:hint="default" w:ascii="Arial" w:hAnsi="Arial" w:eastAsia="宋体" w:cs="Arial"/>
                <w:b/>
                <w:bCs/>
                <w:color w:val="auto"/>
                <w:highlight w:val="none"/>
              </w:rPr>
              <w:t>【在接到无法解密或解密失败的通知后，</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可根据自身实际情况按通知时要求的时间到桂林市公共资源交易中心</w:t>
            </w:r>
            <w:r>
              <w:rPr>
                <w:rFonts w:hint="default" w:ascii="Arial" w:hAnsi="Arial" w:eastAsia="宋体" w:cs="Arial"/>
                <w:b/>
                <w:bCs/>
                <w:color w:val="auto"/>
                <w:highlight w:val="none"/>
                <w:u w:val="single"/>
                <w:lang w:val="en-US" w:eastAsia="zh-CN"/>
              </w:rPr>
              <w:t xml:space="preserve"> </w:t>
            </w:r>
            <w:r>
              <w:rPr>
                <w:rFonts w:hint="eastAsia" w:ascii="Arial" w:hAnsi="Arial" w:cs="Arial"/>
                <w:b/>
                <w:bCs/>
                <w:color w:val="auto"/>
                <w:highlight w:val="none"/>
                <w:u w:val="single"/>
                <w:lang w:val="en-US" w:eastAsia="zh-CN"/>
              </w:rPr>
              <w:t>3</w:t>
            </w:r>
            <w:r>
              <w:rPr>
                <w:rFonts w:hint="default" w:ascii="Arial" w:hAnsi="Arial" w:eastAsia="宋体" w:cs="Arial"/>
                <w:b/>
                <w:bCs/>
                <w:color w:val="auto"/>
                <w:highlight w:val="none"/>
                <w:u w:val="single"/>
                <w:lang w:val="en-US" w:eastAsia="zh-CN"/>
              </w:rPr>
              <w:t xml:space="preserve"> </w:t>
            </w:r>
            <w:r>
              <w:rPr>
                <w:rFonts w:hint="default" w:ascii="Arial" w:hAnsi="Arial" w:eastAsia="宋体" w:cs="Arial"/>
                <w:b/>
                <w:bCs/>
                <w:color w:val="auto"/>
                <w:highlight w:val="none"/>
              </w:rPr>
              <w:t>号开标室现场提交或以电子邮件的形式（以通知时所告知的电子邮箱地址为准）提交电子备份投标文件】</w:t>
            </w:r>
            <w:r>
              <w:rPr>
                <w:rFonts w:hint="default" w:ascii="Arial" w:hAnsi="Arial" w:eastAsia="宋体" w:cs="Arial"/>
                <w:color w:val="auto"/>
                <w:highlight w:val="none"/>
              </w:rPr>
              <w:t>，若</w:t>
            </w:r>
            <w:r>
              <w:rPr>
                <w:rFonts w:hint="default" w:ascii="Arial" w:hAnsi="Arial" w:eastAsia="宋体" w:cs="Arial"/>
                <w:color w:val="auto"/>
                <w:highlight w:val="none"/>
                <w:lang w:eastAsia="zh-CN"/>
              </w:rPr>
              <w:t>供应商</w:t>
            </w:r>
            <w:r>
              <w:rPr>
                <w:rFonts w:hint="default" w:ascii="Arial" w:hAnsi="Arial" w:eastAsia="宋体" w:cs="Arial"/>
                <w:color w:val="auto"/>
                <w:highlight w:val="none"/>
              </w:rPr>
              <w:t>在规定时间内无法解密或解密失败且未提供电子备份投标文件的(包含提供的电子备份文件无效或无法解密的情况)，视为投标无效。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14</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开标时间及地点</w:t>
            </w:r>
          </w:p>
        </w:tc>
        <w:tc>
          <w:tcPr>
            <w:tcW w:w="7228" w:type="dxa"/>
            <w:tcBorders>
              <w:top w:val="single" w:color="auto" w:sz="4" w:space="0"/>
              <w:left w:val="single" w:color="auto" w:sz="4" w:space="0"/>
              <w:bottom w:val="single" w:color="auto" w:sz="4" w:space="0"/>
            </w:tcBorders>
          </w:tcPr>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开标时间：202</w:t>
            </w:r>
            <w:r>
              <w:rPr>
                <w:rFonts w:hint="default" w:ascii="Arial" w:hAnsi="Arial" w:eastAsia="宋体" w:cs="Arial"/>
                <w:color w:val="auto"/>
                <w:szCs w:val="21"/>
                <w:highlight w:val="none"/>
                <w:lang w:val="en-US" w:eastAsia="zh-CN"/>
              </w:rPr>
              <w:t>2</w:t>
            </w:r>
            <w:r>
              <w:rPr>
                <w:rFonts w:hint="default" w:ascii="Arial" w:hAnsi="Arial" w:eastAsia="宋体" w:cs="Arial"/>
                <w:color w:val="auto"/>
                <w:szCs w:val="21"/>
                <w:highlight w:val="none"/>
              </w:rPr>
              <w:t>年7月6</w:t>
            </w:r>
            <w:r>
              <w:rPr>
                <w:rFonts w:hint="default" w:ascii="Arial" w:hAnsi="Arial" w:eastAsia="宋体" w:cs="Arial"/>
                <w:color w:val="auto"/>
                <w:szCs w:val="21"/>
                <w:highlight w:val="none"/>
                <w:lang w:val="en-US" w:eastAsia="zh-CN"/>
              </w:rPr>
              <w:t>日</w:t>
            </w:r>
            <w:r>
              <w:rPr>
                <w:rFonts w:hint="default" w:ascii="Arial" w:hAnsi="Arial" w:eastAsia="宋体" w:cs="Arial"/>
                <w:color w:val="auto"/>
                <w:szCs w:val="21"/>
                <w:highlight w:val="none"/>
              </w:rPr>
              <w:t>9点30分（北京时间）截标后。地点：通过政采云平台实行在线解密开启。提交电子备份投标文件方式：</w:t>
            </w:r>
            <w:r>
              <w:rPr>
                <w:rFonts w:hint="default" w:ascii="Arial" w:hAnsi="Arial" w:eastAsia="宋体" w:cs="Arial"/>
                <w:b/>
                <w:bCs/>
                <w:color w:val="auto"/>
                <w:highlight w:val="none"/>
              </w:rPr>
              <w:t>在接到无法解密或解密失败的通知后，</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可根据自身实际情况按通知时要求的时间到桂林市公共资源交易中心</w:t>
            </w:r>
            <w:r>
              <w:rPr>
                <w:rFonts w:hint="default" w:ascii="Arial" w:hAnsi="Arial" w:eastAsia="宋体" w:cs="Arial"/>
                <w:b/>
                <w:bCs/>
                <w:color w:val="auto"/>
                <w:highlight w:val="none"/>
                <w:u w:val="single"/>
              </w:rPr>
              <w:t xml:space="preserve"> </w:t>
            </w:r>
            <w:r>
              <w:rPr>
                <w:rFonts w:hint="default" w:ascii="Arial" w:hAnsi="Arial" w:eastAsia="宋体" w:cs="Arial"/>
                <w:b/>
                <w:bCs/>
                <w:color w:val="auto"/>
                <w:highlight w:val="none"/>
                <w:u w:val="single"/>
                <w:lang w:val="en-US" w:eastAsia="zh-CN"/>
              </w:rPr>
              <w:t xml:space="preserve"> </w:t>
            </w:r>
            <w:r>
              <w:rPr>
                <w:rFonts w:hint="eastAsia" w:ascii="Arial" w:hAnsi="Arial" w:cs="Arial"/>
                <w:b/>
                <w:bCs/>
                <w:color w:val="auto"/>
                <w:highlight w:val="none"/>
                <w:u w:val="single"/>
                <w:lang w:val="en-US" w:eastAsia="zh-CN"/>
              </w:rPr>
              <w:t xml:space="preserve">3 </w:t>
            </w:r>
            <w:r>
              <w:rPr>
                <w:rFonts w:hint="default" w:ascii="Arial" w:hAnsi="Arial" w:eastAsia="宋体" w:cs="Arial"/>
                <w:b/>
                <w:bCs/>
                <w:color w:val="auto"/>
                <w:highlight w:val="none"/>
                <w:u w:val="single"/>
              </w:rPr>
              <w:t xml:space="preserve"> </w:t>
            </w:r>
            <w:r>
              <w:rPr>
                <w:rFonts w:hint="default" w:ascii="Arial" w:hAnsi="Arial" w:eastAsia="宋体" w:cs="Arial"/>
                <w:b/>
                <w:bCs/>
                <w:color w:val="auto"/>
                <w:highlight w:val="none"/>
              </w:rPr>
              <w:t>号开标室现场提交或以电子邮件的形式（以通知时所告知的电子邮箱地址为准）提交电子备份投标文件</w:t>
            </w:r>
            <w:r>
              <w:rPr>
                <w:rFonts w:hint="default" w:ascii="Arial" w:hAnsi="Arial" w:eastAsia="宋体" w:cs="Arial"/>
                <w:color w:val="auto"/>
                <w:szCs w:val="21"/>
                <w:highlight w:val="none"/>
              </w:rPr>
              <w:t>。</w:t>
            </w:r>
            <w:r>
              <w:rPr>
                <w:rFonts w:hint="default" w:ascii="Arial" w:hAnsi="Arial" w:eastAsia="宋体" w:cs="Arial"/>
                <w:color w:val="auto"/>
                <w:highlight w:val="none"/>
                <w:lang w:eastAsia="zh-CN"/>
              </w:rPr>
              <w:t>供应商</w:t>
            </w:r>
            <w:r>
              <w:rPr>
                <w:rFonts w:hint="default" w:ascii="Arial" w:hAnsi="Arial" w:eastAsia="宋体" w:cs="Arial"/>
                <w:color w:val="auto"/>
                <w:highlight w:val="none"/>
              </w:rPr>
              <w:t>可以由法定代表人、负责人、自然人或其委托代理人出席开标会议。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15</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评标委员会组成</w:t>
            </w:r>
          </w:p>
        </w:tc>
        <w:tc>
          <w:tcPr>
            <w:tcW w:w="7228" w:type="dxa"/>
            <w:tcBorders>
              <w:top w:val="single" w:color="auto" w:sz="4" w:space="0"/>
              <w:left w:val="single" w:color="auto" w:sz="4" w:space="0"/>
              <w:bottom w:val="single" w:color="auto" w:sz="4" w:space="0"/>
            </w:tcBorders>
            <w:vAlign w:val="center"/>
          </w:tcPr>
          <w:p>
            <w:pPr>
              <w:spacing w:line="30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评标委员会由采购人代表和有关技术、经济等方面的专家组成，成员人数共</w:t>
            </w:r>
            <w:r>
              <w:rPr>
                <w:rFonts w:hint="default" w:ascii="Arial" w:hAnsi="Arial" w:eastAsia="宋体" w:cs="Arial"/>
                <w:color w:val="auto"/>
                <w:szCs w:val="21"/>
                <w:highlight w:val="none"/>
                <w:lang w:val="en-US" w:eastAsia="zh-CN"/>
              </w:rPr>
              <w:t>7</w:t>
            </w:r>
            <w:r>
              <w:rPr>
                <w:rFonts w:hint="default" w:ascii="Arial" w:hAnsi="Arial" w:eastAsia="宋体" w:cs="Arial"/>
                <w:color w:val="auto"/>
                <w:szCs w:val="21"/>
                <w:highlight w:val="none"/>
              </w:rPr>
              <w:t>人，其中采购人代表</w:t>
            </w:r>
            <w:r>
              <w:rPr>
                <w:rFonts w:hint="default" w:ascii="Arial" w:hAnsi="Arial" w:eastAsia="宋体" w:cs="Arial"/>
                <w:color w:val="auto"/>
                <w:szCs w:val="21"/>
                <w:highlight w:val="none"/>
                <w:lang w:val="en-US" w:eastAsia="zh-CN"/>
              </w:rPr>
              <w:t>2</w:t>
            </w:r>
            <w:r>
              <w:rPr>
                <w:rFonts w:hint="default" w:ascii="Arial" w:hAnsi="Arial" w:eastAsia="宋体" w:cs="Arial"/>
                <w:color w:val="auto"/>
                <w:szCs w:val="21"/>
                <w:highlight w:val="none"/>
              </w:rPr>
              <w:t xml:space="preserve">人，技术、经济等专家 </w:t>
            </w:r>
            <w:r>
              <w:rPr>
                <w:rFonts w:hint="default" w:ascii="Arial" w:hAnsi="Arial" w:eastAsia="宋体" w:cs="Arial"/>
                <w:color w:val="auto"/>
                <w:szCs w:val="21"/>
                <w:highlight w:val="none"/>
                <w:lang w:val="en-US" w:eastAsia="zh-CN"/>
              </w:rPr>
              <w:t>5</w:t>
            </w:r>
            <w:r>
              <w:rPr>
                <w:rFonts w:hint="default" w:ascii="Arial" w:hAnsi="Arial" w:eastAsia="宋体" w:cs="Arial"/>
                <w:color w:val="auto"/>
                <w:szCs w:val="21"/>
                <w:highlight w:val="none"/>
              </w:rPr>
              <w:t>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16</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中标公告及中标通知书</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采购代理机构在采购人依法确认中标供应商后2个工作日内在招标公告发布的媒体上发布中标公告并发出中标通知书。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17</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合同签订及履行</w:t>
            </w:r>
          </w:p>
        </w:tc>
        <w:tc>
          <w:tcPr>
            <w:tcW w:w="7228" w:type="dxa"/>
            <w:tcBorders>
              <w:top w:val="single" w:color="auto" w:sz="4" w:space="0"/>
              <w:left w:val="single" w:color="auto" w:sz="4" w:space="0"/>
              <w:bottom w:val="single" w:color="auto" w:sz="4" w:space="0"/>
            </w:tcBorders>
            <w:vAlign w:val="center"/>
          </w:tcPr>
          <w:p>
            <w:pPr>
              <w:rPr>
                <w:rFonts w:hint="default" w:ascii="Arial" w:hAnsi="Arial" w:eastAsia="宋体" w:cs="Arial"/>
                <w:color w:val="auto"/>
                <w:szCs w:val="21"/>
                <w:highlight w:val="none"/>
              </w:rPr>
            </w:pPr>
            <w:r>
              <w:rPr>
                <w:rFonts w:hint="default" w:ascii="Arial" w:hAnsi="Arial" w:eastAsia="宋体" w:cs="Arial"/>
                <w:color w:val="auto"/>
                <w:szCs w:val="21"/>
                <w:highlight w:val="none"/>
              </w:rPr>
              <w:t>（1）中标供应商拒绝与采购人签订合同的，采购人可以按照评审报告推荐的中标候选人名单排序，确定下一候选人为中标供应商，也可以重新开展政府采购活动。</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（2）采购人应当自中标通知书发出之日起</w:t>
            </w:r>
            <w:r>
              <w:rPr>
                <w:rFonts w:hint="eastAsia" w:ascii="Arial" w:hAnsi="Arial" w:cs="Arial"/>
                <w:color w:val="auto"/>
                <w:szCs w:val="21"/>
                <w:highlight w:val="none"/>
                <w:lang w:val="en-US" w:eastAsia="zh-CN"/>
              </w:rPr>
              <w:t>25</w:t>
            </w:r>
            <w:r>
              <w:rPr>
                <w:rFonts w:hint="default" w:ascii="Arial" w:hAnsi="Arial" w:eastAsia="宋体" w:cs="Arial"/>
                <w:color w:val="auto"/>
                <w:szCs w:val="21"/>
                <w:highlight w:val="none"/>
              </w:rPr>
              <w:t>日内，按照招标文件和中标供应商投标文件的规定，与中标供应商签订书面合同。所签订的合同不得对招标文件确定的事项和中标供应商投标文件作实质性修改。采购人应当自政府采购合同签订之日起2个工作日内，将政府采购合同在省级以上人民政府财政部门指定的媒体上公告，但政府采购合同中涉及国家秘密、商业秘密的内容除外。政府采购合同应当包括采购人与中标供应商的名称和住所、标的、数量、质量、价款或者报酬、履行期限及地点和方式、验收要求、违约责任、解决争议的方法等内容。</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3）采购人与中标供应商签订合同后，政府采购合同的履行、违约责任和解决争议的方法等适用《中华人民共和国民法典》。合同双方应严格执行合同条款，履行合同规定的义务，保证合同的顺利完成。双方均不得擅自变更、中止或者终止政府采购合同。</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（4）对于中标供应商履约验收不合格、双方解除合同的情况，应当按照民法典有关规定或者合同约定执行，原则上不得顺延确定中标或中标供应商。需要重新选定供应商的，应当重新开展采购活动。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18</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质疑</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1）供应商认为招标文件、招标过程、中标结果使自己的权益受到损害的，可以在知道或者应知其权益受到损害之日起7个工作日内，通过以下方式向采购人、采购代理机构提出质疑。提出质疑的供应商必须是参与本项目采购活动的供应商，并须在法定质疑期内一次性提出针对同一采购程序环节的质疑。质疑函应使用财政部发布的政府采购供应商质疑函范本，并应按照“质疑函制作说明”进行制作。</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（2）本项目不接受传真、移动通信等方式送达的质疑材料，供应商可通过以下方式递交质疑材料，供应商可通过以下方式递交质疑材料。</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0"/>
                <w:highlight w:val="none"/>
              </w:rPr>
              <w:sym w:font="Wingdings 2" w:char="F052"/>
            </w:r>
            <w:r>
              <w:rPr>
                <w:rFonts w:hint="default" w:ascii="Arial" w:hAnsi="Arial" w:eastAsia="宋体" w:cs="Arial"/>
                <w:color w:val="auto"/>
                <w:szCs w:val="21"/>
                <w:highlight w:val="none"/>
              </w:rPr>
              <w:t>通过现场或邮寄方式递交</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通过邮寄形式的供应商应于质疑有效期内容将质疑函原件密封并快递至</w:t>
            </w:r>
            <w:r>
              <w:rPr>
                <w:rFonts w:hint="default" w:ascii="Arial" w:hAnsi="Arial" w:eastAsia="宋体" w:cs="Arial"/>
                <w:color w:val="auto"/>
                <w:kern w:val="0"/>
                <w:szCs w:val="21"/>
                <w:highlight w:val="none"/>
              </w:rPr>
              <w:t>桂林市骖鸾路31号湘商大厦6楼603（桂林分公司）</w:t>
            </w:r>
            <w:r>
              <w:rPr>
                <w:rFonts w:hint="default" w:ascii="Arial" w:hAnsi="Arial" w:eastAsia="宋体" w:cs="Arial"/>
                <w:color w:val="auto"/>
                <w:szCs w:val="21"/>
                <w:highlight w:val="none"/>
              </w:rPr>
              <w:t>项目负责人收，发送快递时请注明内容为“供应商名称+关于+项目名称+质疑函”。供应商应合理估计快递时间以确保按时寄达，逾期送达的质疑材料将予以拒收。项目负责人信息：</w:t>
            </w:r>
            <w:r>
              <w:rPr>
                <w:rFonts w:hint="default" w:ascii="Arial" w:hAnsi="Arial" w:eastAsia="宋体" w:cs="Arial"/>
                <w:color w:val="auto"/>
                <w:kern w:val="0"/>
                <w:szCs w:val="21"/>
                <w:highlight w:val="none"/>
              </w:rPr>
              <w:t>曾昭卉</w:t>
            </w:r>
            <w:r>
              <w:rPr>
                <w:rFonts w:hint="default" w:ascii="Arial" w:hAnsi="Arial" w:eastAsia="宋体" w:cs="Arial"/>
                <w:color w:val="auto"/>
                <w:szCs w:val="21"/>
                <w:highlight w:val="none"/>
              </w:rPr>
              <w:t>，</w:t>
            </w:r>
            <w:r>
              <w:rPr>
                <w:rFonts w:hint="default" w:ascii="Arial" w:hAnsi="Arial" w:eastAsia="宋体" w:cs="Arial"/>
                <w:color w:val="auto"/>
                <w:kern w:val="0"/>
                <w:szCs w:val="21"/>
                <w:highlight w:val="none"/>
              </w:rPr>
              <w:t>电话：0773-3696789</w:t>
            </w:r>
            <w:r>
              <w:rPr>
                <w:rFonts w:hint="default" w:ascii="Arial" w:hAnsi="Arial" w:eastAsia="宋体" w:cs="Arial"/>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19</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词语定义或说明</w:t>
            </w:r>
          </w:p>
        </w:tc>
        <w:tc>
          <w:tcPr>
            <w:tcW w:w="7228" w:type="dxa"/>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1）“供应商”系指响应招标、参加投标竞争的法人、其他组织或者自然人。法人包括企业法人、机关法人、事业单位法人和社会团体法人。其他组织包括合伙企业、非企业专业服务机构、个体工商户、农村承包经营户及国家有关法律法规规定的组织。自然人是指中国公民。</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2）本文件中的“法定代表人”若无特别说明，当供应商是企业的，是指企业法人营业执照上的法定代表人；当供应商是事业单位的，是指事业单位法人证书上的法定代表人；当供应商是社会团体、民办非企业的，是指法人登记证书中的法定代表人；当供应商是个体工商户的，是指个体工商户营业执照上的经营者；当供应商是自然人的，是指参与本项目响应的自然人本人。</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（3）“书面形式”如无特殊规定，“书面形式”是指信函和数据电文（包括传真和电子邮件）等可以有形地表现所载内容的形式。招标文件如有特殊规定，以招标文件规定为准。 </w:t>
            </w:r>
          </w:p>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（4）本项目的技术商务要求重要性分为</w:t>
            </w:r>
            <w:r>
              <w:rPr>
                <w:rFonts w:hint="eastAsia" w:ascii="Arial" w:hAnsi="Arial" w:cs="Arial"/>
                <w:color w:val="auto"/>
                <w:szCs w:val="21"/>
                <w:highlight w:val="none"/>
                <w:lang w:eastAsia="zh-CN"/>
              </w:rPr>
              <w:t>“</w:t>
            </w:r>
            <w:r>
              <w:rPr>
                <w:rFonts w:hint="default" w:ascii="Arial" w:hAnsi="Arial" w:eastAsia="宋体" w:cs="Arial"/>
                <w:color w:val="auto"/>
                <w:kern w:val="0"/>
                <w:sz w:val="21"/>
                <w:szCs w:val="21"/>
                <w:highlight w:val="none"/>
                <w:lang w:bidi="ar"/>
              </w:rPr>
              <w:t>▲</w:t>
            </w:r>
            <w:r>
              <w:rPr>
                <w:rFonts w:hint="eastAsia" w:ascii="Arial" w:hAnsi="Arial" w:cs="Arial"/>
                <w:color w:val="auto"/>
                <w:szCs w:val="21"/>
                <w:highlight w:val="none"/>
                <w:lang w:eastAsia="zh-CN"/>
              </w:rPr>
              <w:t>”</w:t>
            </w:r>
            <w:r>
              <w:rPr>
                <w:rFonts w:hint="default" w:ascii="Arial" w:hAnsi="Arial" w:eastAsia="宋体" w:cs="Arial"/>
                <w:color w:val="auto"/>
                <w:szCs w:val="21"/>
                <w:highlight w:val="none"/>
              </w:rPr>
              <w:t>、</w:t>
            </w:r>
            <w:r>
              <w:rPr>
                <w:rFonts w:hint="eastAsia" w:ascii="Arial" w:hAnsi="Arial" w:cs="Arial"/>
                <w:color w:val="auto"/>
                <w:szCs w:val="21"/>
                <w:highlight w:val="none"/>
                <w:lang w:eastAsia="zh-CN"/>
              </w:rPr>
              <w:t>“</w:t>
            </w:r>
            <w:r>
              <w:rPr>
                <w:rFonts w:hint="default" w:ascii="Arial" w:hAnsi="Arial" w:eastAsia="宋体" w:cs="Arial"/>
                <w:color w:val="auto"/>
                <w:szCs w:val="21"/>
                <w:highlight w:val="none"/>
              </w:rPr>
              <w:t>#</w:t>
            </w:r>
            <w:r>
              <w:rPr>
                <w:rFonts w:hint="eastAsia" w:ascii="Arial" w:hAnsi="Arial" w:cs="Arial"/>
                <w:color w:val="auto"/>
                <w:szCs w:val="21"/>
                <w:highlight w:val="none"/>
                <w:lang w:eastAsia="zh-CN"/>
              </w:rPr>
              <w:t>”</w:t>
            </w:r>
            <w:r>
              <w:rPr>
                <w:rFonts w:hint="default" w:ascii="Arial" w:hAnsi="Arial" w:eastAsia="宋体" w:cs="Arial"/>
                <w:color w:val="auto"/>
                <w:szCs w:val="21"/>
                <w:highlight w:val="none"/>
              </w:rPr>
              <w:t>（如有）和一般无标识指标。</w:t>
            </w:r>
            <w:r>
              <w:rPr>
                <w:rFonts w:hint="eastAsia" w:ascii="Arial" w:hAnsi="Arial" w:cs="Arial"/>
                <w:b/>
                <w:bCs/>
                <w:color w:val="auto"/>
                <w:szCs w:val="21"/>
                <w:highlight w:val="none"/>
                <w:lang w:eastAsia="zh-CN"/>
              </w:rPr>
              <w:t>“</w:t>
            </w:r>
            <w:r>
              <w:rPr>
                <w:rFonts w:hint="eastAsia" w:ascii="仿宋_GB2312" w:hAnsi="仿宋_GB2312" w:eastAsia="仿宋_GB2312" w:cs="仿宋_GB2312"/>
                <w:b/>
                <w:bCs/>
                <w:color w:val="auto"/>
                <w:highlight w:val="none"/>
              </w:rPr>
              <w:t>★</w:t>
            </w:r>
            <w:r>
              <w:rPr>
                <w:rFonts w:hint="eastAsia" w:ascii="仿宋_GB2312" w:hAnsi="仿宋_GB2312" w:eastAsia="仿宋_GB2312" w:cs="仿宋_GB2312"/>
                <w:b/>
                <w:bCs/>
                <w:color w:val="auto"/>
                <w:highlight w:val="none"/>
                <w:lang w:eastAsia="zh-CN"/>
              </w:rPr>
              <w:t>”</w:t>
            </w:r>
            <w:r>
              <w:rPr>
                <w:rFonts w:hint="default" w:ascii="Arial" w:hAnsi="Arial" w:eastAsia="宋体" w:cs="Arial"/>
                <w:b/>
                <w:bCs/>
                <w:color w:val="auto"/>
                <w:szCs w:val="21"/>
                <w:highlight w:val="none"/>
              </w:rPr>
              <w:t>代表实质性要求指标，不满足该指标项将导致投标被否决，</w:t>
            </w:r>
            <w:r>
              <w:rPr>
                <w:rFonts w:hint="eastAsia" w:ascii="Arial" w:hAnsi="Arial" w:cs="Arial"/>
                <w:color w:val="auto"/>
                <w:szCs w:val="21"/>
                <w:highlight w:val="none"/>
                <w:lang w:eastAsia="zh-CN"/>
              </w:rPr>
              <w:t>“</w:t>
            </w:r>
            <w:r>
              <w:rPr>
                <w:rFonts w:hint="default" w:ascii="Arial" w:hAnsi="Arial" w:eastAsia="宋体" w:cs="Arial"/>
                <w:color w:val="auto"/>
                <w:kern w:val="0"/>
                <w:sz w:val="21"/>
                <w:szCs w:val="21"/>
                <w:highlight w:val="none"/>
                <w:lang w:bidi="ar"/>
              </w:rPr>
              <w:t>▲</w:t>
            </w:r>
            <w:r>
              <w:rPr>
                <w:rFonts w:hint="eastAsia" w:ascii="Arial" w:hAnsi="Arial" w:cs="Arial"/>
                <w:color w:val="auto"/>
                <w:kern w:val="0"/>
                <w:sz w:val="21"/>
                <w:szCs w:val="21"/>
                <w:highlight w:val="none"/>
                <w:lang w:eastAsia="zh-CN" w:bidi="ar"/>
              </w:rPr>
              <w:t>”</w:t>
            </w:r>
            <w:r>
              <w:rPr>
                <w:rFonts w:hint="default" w:ascii="Arial" w:hAnsi="Arial" w:eastAsia="宋体" w:cs="Arial"/>
                <w:color w:val="auto"/>
                <w:szCs w:val="21"/>
                <w:highlight w:val="none"/>
              </w:rPr>
              <w:t>代表重要指标，无标识则表示一般指标项。</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（5）本招标文件出现多种选项的地方，以“</w:t>
            </w:r>
            <w:r>
              <w:rPr>
                <w:rFonts w:hint="default" w:ascii="Arial" w:hAnsi="Arial" w:eastAsia="宋体" w:cs="Arial"/>
                <w:color w:val="auto"/>
                <w:szCs w:val="20"/>
                <w:highlight w:val="none"/>
              </w:rPr>
              <w:sym w:font="Wingdings 2" w:char="F052"/>
            </w:r>
            <w:r>
              <w:rPr>
                <w:rFonts w:hint="default" w:ascii="Arial" w:hAnsi="Arial" w:eastAsia="宋体" w:cs="Arial"/>
                <w:color w:val="auto"/>
                <w:szCs w:val="21"/>
                <w:highlight w:val="none"/>
              </w:rPr>
              <w:t>”表示本项目所选择的方式。</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（6）供应商应保证其提供的联系方式（电话、传真、电子邮件）有效，以保证往来函件（澄清、修改等）能及时通知供应商，并能及时反馈，否则采购人及代理机构不承担由此引起的一切后果。</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（7）本项目所有投标文件均不予退还。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9" w:hRule="atLeast"/>
        </w:trPr>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20</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color w:val="auto"/>
                <w:szCs w:val="21"/>
                <w:highlight w:val="none"/>
              </w:rPr>
            </w:pPr>
            <w:r>
              <w:rPr>
                <w:rFonts w:hint="default" w:ascii="Arial" w:hAnsi="Arial" w:eastAsia="宋体" w:cs="Arial"/>
                <w:color w:val="auto"/>
                <w:szCs w:val="20"/>
                <w:highlight w:val="none"/>
              </w:rPr>
              <w:t>代理服务费</w:t>
            </w:r>
          </w:p>
        </w:tc>
        <w:tc>
          <w:tcPr>
            <w:tcW w:w="7228" w:type="dxa"/>
            <w:tcBorders>
              <w:top w:val="single" w:color="auto" w:sz="4" w:space="0"/>
              <w:left w:val="single" w:color="auto" w:sz="4" w:space="0"/>
              <w:bottom w:val="single" w:color="auto" w:sz="4" w:space="0"/>
            </w:tcBorders>
            <w:vAlign w:val="center"/>
          </w:tcPr>
          <w:p>
            <w:pPr>
              <w:rPr>
                <w:rFonts w:hint="default" w:ascii="Arial" w:hAnsi="Arial" w:eastAsia="宋体" w:cs="Arial"/>
                <w:color w:val="auto"/>
                <w:highlight w:val="none"/>
              </w:rPr>
            </w:pPr>
            <w:r>
              <w:rPr>
                <w:rFonts w:hint="default" w:ascii="Arial" w:hAnsi="Arial" w:eastAsia="宋体" w:cs="Arial"/>
                <w:color w:val="auto"/>
                <w:highlight w:val="none"/>
              </w:rPr>
              <w:t>（1）代理服务费</w:t>
            </w:r>
          </w:p>
          <w:p>
            <w:pPr>
              <w:spacing w:line="300" w:lineRule="exact"/>
              <w:jc w:val="left"/>
              <w:rPr>
                <w:rFonts w:hint="default" w:ascii="Arial" w:hAnsi="Arial" w:eastAsia="宋体" w:cs="Arial"/>
                <w:color w:val="auto"/>
                <w:highlight w:val="none"/>
              </w:rPr>
            </w:pPr>
            <w:r>
              <w:rPr>
                <w:rFonts w:hint="default" w:ascii="Arial" w:hAnsi="Arial" w:eastAsia="宋体" w:cs="Arial"/>
                <w:color w:val="auto"/>
                <w:szCs w:val="20"/>
                <w:highlight w:val="none"/>
              </w:rPr>
              <w:sym w:font="Wingdings 2" w:char="0052"/>
            </w:r>
            <w:r>
              <w:rPr>
                <w:rFonts w:hint="default" w:ascii="Arial" w:hAnsi="Arial" w:eastAsia="宋体" w:cs="Arial"/>
                <w:color w:val="auto"/>
                <w:highlight w:val="none"/>
              </w:rPr>
              <w:t>采购代理机构向中标供应商收取代理服务费。本项目代理服务费按照《招标代理服务费管理暂行办法》 (计价格﹝2002﹞1980号)、《国家发展改革委关于降低部分建设项目收费标准规范收费行为等有关问题的通知》(发改价格﹝2011﹞534号)规定</w:t>
            </w:r>
            <w:r>
              <w:rPr>
                <w:rFonts w:hint="default" w:ascii="Arial" w:hAnsi="Arial" w:eastAsia="宋体" w:cs="Arial"/>
                <w:color w:val="auto"/>
                <w:highlight w:val="none"/>
                <w:lang w:val="en-US" w:eastAsia="zh-CN"/>
              </w:rPr>
              <w:t>的</w:t>
            </w:r>
            <w:r>
              <w:rPr>
                <w:rFonts w:hint="default" w:ascii="Arial" w:hAnsi="Arial" w:eastAsia="宋体" w:cs="Arial"/>
                <w:color w:val="auto"/>
                <w:sz w:val="21"/>
                <w:szCs w:val="21"/>
                <w:highlight w:val="none"/>
                <w:lang w:val="en-US" w:eastAsia="zh-CN"/>
              </w:rPr>
              <w:t>90%，</w:t>
            </w:r>
            <w:r>
              <w:rPr>
                <w:rFonts w:hint="default" w:ascii="Arial" w:hAnsi="Arial" w:eastAsia="宋体" w:cs="Arial"/>
                <w:color w:val="auto"/>
                <w:highlight w:val="none"/>
              </w:rPr>
              <w:t>采用差额定率累进法计算。具体费率如下：</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①招标金额在100万元以下的：</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货物1.5％；服务招标1.5％；工程招标1.0％；</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②招标金额在100-500万元之间：</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货物1.1％；服务招标0.8％；工程招标0.7％；</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③招标金额在500-1000万元之间：</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货物0.8％；服务招标0.45％；工程招标0.55％；</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④招标金额在1000-5000万元之间：</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货物0.5％；服务招标0.25％；工程招标0.35％；</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差额定率累进法计算过程示例：</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例如：某货物招标代理业务</w:t>
            </w:r>
            <w:r>
              <w:rPr>
                <w:rFonts w:hint="default" w:ascii="Arial" w:hAnsi="Arial" w:eastAsia="宋体" w:cs="Arial"/>
                <w:color w:val="auto"/>
                <w:highlight w:val="none"/>
                <w:lang w:val="en-US" w:eastAsia="zh-CN"/>
              </w:rPr>
              <w:t>中标</w:t>
            </w:r>
            <w:r>
              <w:rPr>
                <w:rFonts w:hint="default" w:ascii="Arial" w:hAnsi="Arial" w:eastAsia="宋体" w:cs="Arial"/>
                <w:color w:val="auto"/>
                <w:highlight w:val="none"/>
              </w:rPr>
              <w:t>金额为300万元，招标代理服务费金额按如下计算：</w:t>
            </w:r>
          </w:p>
          <w:p>
            <w:pPr>
              <w:spacing w:line="288" w:lineRule="auto"/>
              <w:jc w:val="left"/>
              <w:rPr>
                <w:rFonts w:hint="default" w:ascii="Arial" w:hAnsi="Arial" w:eastAsia="宋体" w:cs="Arial"/>
                <w:color w:val="auto"/>
                <w:highlight w:val="none"/>
              </w:rPr>
            </w:pPr>
            <w:r>
              <w:rPr>
                <w:rFonts w:hint="default" w:ascii="Arial" w:hAnsi="Arial" w:eastAsia="宋体" w:cs="Arial"/>
                <w:color w:val="auto"/>
                <w:highlight w:val="none"/>
              </w:rPr>
              <w:t>100万元×1.5%＝1.5万元</w:t>
            </w:r>
          </w:p>
          <w:p>
            <w:pPr>
              <w:spacing w:line="288" w:lineRule="auto"/>
              <w:jc w:val="left"/>
              <w:rPr>
                <w:rFonts w:hint="default" w:ascii="Arial" w:hAnsi="Arial" w:eastAsia="宋体" w:cs="Arial"/>
                <w:color w:val="auto"/>
                <w:highlight w:val="none"/>
              </w:rPr>
            </w:pPr>
            <w:r>
              <w:rPr>
                <w:rFonts w:hint="default" w:ascii="Arial" w:hAnsi="Arial" w:eastAsia="宋体" w:cs="Arial"/>
                <w:color w:val="auto"/>
                <w:highlight w:val="none"/>
              </w:rPr>
              <w:t>（300－100）万元×1.1%＝2.2万元</w:t>
            </w:r>
          </w:p>
          <w:p>
            <w:pPr>
              <w:spacing w:line="288" w:lineRule="auto"/>
              <w:jc w:val="left"/>
              <w:rPr>
                <w:rFonts w:hint="default" w:ascii="Arial" w:hAnsi="Arial" w:eastAsia="宋体" w:cs="Arial"/>
                <w:color w:val="auto"/>
                <w:highlight w:val="none"/>
              </w:rPr>
            </w:pPr>
            <w:r>
              <w:rPr>
                <w:rFonts w:hint="default" w:ascii="Arial" w:hAnsi="Arial" w:eastAsia="宋体" w:cs="Arial"/>
                <w:color w:val="auto"/>
                <w:highlight w:val="none"/>
              </w:rPr>
              <w:t>合计收费＝1.5＋2.2=3.7万元</w:t>
            </w:r>
          </w:p>
          <w:p>
            <w:pPr>
              <w:spacing w:line="300" w:lineRule="exact"/>
              <w:jc w:val="left"/>
              <w:rPr>
                <w:rFonts w:hint="default" w:ascii="Arial" w:hAnsi="Arial" w:eastAsia="宋体" w:cs="Arial"/>
                <w:color w:val="auto"/>
                <w:highlight w:val="none"/>
              </w:rPr>
            </w:pPr>
            <w:r>
              <w:rPr>
                <w:rFonts w:hint="default" w:ascii="Arial" w:hAnsi="Arial" w:eastAsia="宋体" w:cs="Arial"/>
                <w:color w:val="auto"/>
                <w:szCs w:val="20"/>
                <w:highlight w:val="none"/>
              </w:rPr>
              <w:sym w:font="Wingdings 2" w:char="00A3"/>
            </w:r>
            <w:r>
              <w:rPr>
                <w:rFonts w:hint="default" w:ascii="Arial" w:hAnsi="Arial" w:eastAsia="宋体" w:cs="Arial"/>
                <w:color w:val="auto"/>
                <w:highlight w:val="none"/>
              </w:rPr>
              <w:t>采购代理机构向中标供应商收取代理服务费，</w:t>
            </w:r>
            <w:r>
              <w:rPr>
                <w:rFonts w:hint="default" w:ascii="Arial" w:hAnsi="Arial" w:eastAsia="宋体" w:cs="Arial"/>
                <w:b/>
                <w:bCs/>
                <w:color w:val="auto"/>
                <w:highlight w:val="none"/>
              </w:rPr>
              <w:t>具体金额为</w:t>
            </w:r>
            <w:r>
              <w:rPr>
                <w:rFonts w:hint="default" w:ascii="Arial" w:hAnsi="Arial" w:eastAsia="宋体" w:cs="Arial"/>
                <w:b w:val="0"/>
                <w:bCs w:val="0"/>
                <w:color w:val="auto"/>
                <w:highlight w:val="none"/>
                <w:u w:val="single"/>
              </w:rPr>
              <w:t xml:space="preserve">  </w:t>
            </w:r>
            <w:r>
              <w:rPr>
                <w:rFonts w:hint="default" w:ascii="Arial" w:hAnsi="Arial" w:eastAsia="宋体" w:cs="Arial"/>
                <w:b w:val="0"/>
                <w:bCs w:val="0"/>
                <w:color w:val="auto"/>
                <w:highlight w:val="none"/>
                <w:u w:val="single"/>
                <w:lang w:val="en-US" w:eastAsia="zh-CN"/>
              </w:rPr>
              <w:t xml:space="preserve">   </w:t>
            </w:r>
            <w:r>
              <w:rPr>
                <w:rFonts w:hint="default" w:ascii="Arial" w:hAnsi="Arial" w:eastAsia="宋体" w:cs="Arial"/>
                <w:b w:val="0"/>
                <w:bCs w:val="0"/>
                <w:color w:val="auto"/>
                <w:highlight w:val="none"/>
                <w:u w:val="single"/>
              </w:rPr>
              <w:t xml:space="preserve">   </w:t>
            </w:r>
            <w:r>
              <w:rPr>
                <w:rFonts w:hint="default" w:ascii="Arial" w:hAnsi="Arial" w:eastAsia="宋体" w:cs="Arial"/>
                <w:b/>
                <w:bCs/>
                <w:color w:val="auto"/>
                <w:highlight w:val="none"/>
              </w:rPr>
              <w:t>。</w:t>
            </w:r>
          </w:p>
          <w:p>
            <w:pPr>
              <w:spacing w:line="300" w:lineRule="exact"/>
              <w:jc w:val="left"/>
              <w:rPr>
                <w:rFonts w:hint="default" w:ascii="Arial" w:hAnsi="Arial" w:eastAsia="宋体" w:cs="Arial"/>
                <w:color w:val="auto"/>
                <w:highlight w:val="none"/>
              </w:rPr>
            </w:pPr>
            <w:r>
              <w:rPr>
                <w:rFonts w:hint="default" w:ascii="Arial" w:hAnsi="Arial" w:eastAsia="宋体" w:cs="Arial"/>
                <w:color w:val="auto"/>
                <w:highlight w:val="none"/>
              </w:rPr>
              <w:t>（2）中标供应商在中标通知书发出前以银行转账或现金形式支付代理服务费。</w:t>
            </w:r>
          </w:p>
          <w:p>
            <w:pPr>
              <w:spacing w:line="380" w:lineRule="atLeast"/>
              <w:rPr>
                <w:rFonts w:hint="default" w:ascii="Arial" w:hAnsi="Arial" w:eastAsia="宋体" w:cs="Arial"/>
                <w:b/>
                <w:color w:val="auto"/>
                <w:highlight w:val="none"/>
              </w:rPr>
            </w:pPr>
            <w:r>
              <w:rPr>
                <w:rFonts w:hint="default" w:ascii="Arial" w:hAnsi="Arial" w:eastAsia="宋体" w:cs="Arial"/>
                <w:b/>
                <w:color w:val="auto"/>
                <w:highlight w:val="none"/>
              </w:rPr>
              <w:t>交纳招标代理服务费的银行账户：</w:t>
            </w:r>
          </w:p>
          <w:p>
            <w:pPr>
              <w:spacing w:line="320" w:lineRule="exact"/>
              <w:rPr>
                <w:rFonts w:hint="default" w:ascii="Arial" w:hAnsi="Arial" w:eastAsia="宋体" w:cs="Arial"/>
                <w:b/>
                <w:color w:val="auto"/>
                <w:szCs w:val="21"/>
                <w:highlight w:val="none"/>
              </w:rPr>
            </w:pPr>
            <w:r>
              <w:rPr>
                <w:rFonts w:hint="default" w:ascii="Arial" w:hAnsi="Arial" w:eastAsia="宋体" w:cs="Arial"/>
                <w:b/>
                <w:color w:val="auto"/>
                <w:szCs w:val="21"/>
                <w:highlight w:val="none"/>
              </w:rPr>
              <w:t>公司名称：广西机电设备招标有限公司</w:t>
            </w:r>
          </w:p>
          <w:p>
            <w:pPr>
              <w:spacing w:line="320" w:lineRule="exact"/>
              <w:rPr>
                <w:rFonts w:hint="default" w:ascii="Arial" w:hAnsi="Arial" w:eastAsia="宋体" w:cs="Arial"/>
                <w:b/>
                <w:color w:val="auto"/>
                <w:szCs w:val="21"/>
                <w:highlight w:val="none"/>
              </w:rPr>
            </w:pPr>
            <w:r>
              <w:rPr>
                <w:rFonts w:hint="default" w:ascii="Arial" w:hAnsi="Arial" w:eastAsia="宋体" w:cs="Arial"/>
                <w:b/>
                <w:color w:val="auto"/>
                <w:szCs w:val="21"/>
                <w:highlight w:val="none"/>
              </w:rPr>
              <w:t>开户银行：广西北部湾银行金湖支行</w:t>
            </w:r>
          </w:p>
          <w:p>
            <w:pPr>
              <w:pStyle w:val="206"/>
              <w:rPr>
                <w:rFonts w:hint="default" w:ascii="Arial" w:hAnsi="Arial" w:eastAsia="宋体" w:cs="Arial"/>
                <w:color w:val="auto"/>
                <w:kern w:val="2"/>
                <w:highlight w:val="none"/>
              </w:rPr>
            </w:pPr>
            <w:r>
              <w:rPr>
                <w:rFonts w:hint="default" w:ascii="Arial" w:hAnsi="Arial" w:eastAsia="宋体" w:cs="Arial"/>
                <w:b/>
                <w:color w:val="auto"/>
                <w:kern w:val="2"/>
                <w:szCs w:val="21"/>
                <w:highlight w:val="none"/>
              </w:rPr>
              <w:t>银行账号：1705012090027723</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21</w:t>
            </w:r>
          </w:p>
        </w:tc>
        <w:tc>
          <w:tcPr>
            <w:tcW w:w="8343" w:type="dxa"/>
            <w:gridSpan w:val="2"/>
            <w:tcBorders>
              <w:top w:val="single" w:color="auto" w:sz="4" w:space="0"/>
              <w:left w:val="single" w:color="auto" w:sz="4" w:space="0"/>
              <w:bottom w:val="single" w:color="auto" w:sz="4" w:space="0"/>
            </w:tcBorders>
            <w:vAlign w:val="center"/>
          </w:tcPr>
          <w:p>
            <w:pPr>
              <w:rPr>
                <w:rFonts w:hint="default" w:ascii="Arial" w:hAnsi="Arial" w:eastAsia="宋体" w:cs="Arial"/>
                <w:color w:val="auto"/>
                <w:szCs w:val="21"/>
                <w:highlight w:val="none"/>
              </w:rPr>
            </w:pPr>
            <w:r>
              <w:rPr>
                <w:rFonts w:hint="default" w:ascii="Arial" w:hAnsi="Arial" w:eastAsia="宋体" w:cs="Arial"/>
                <w:color w:val="auto"/>
                <w:kern w:val="0"/>
                <w:szCs w:val="21"/>
                <w:highlight w:val="none"/>
              </w:rPr>
              <w:t>其余未尽事宜按《中华人民共和国政府采购法》、《中华人民共和国政府采购法实施条例》、《政府采购货物和服务招标投标管理办法》的相关规定执行。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71" w:type="dxa"/>
            <w:tcBorders>
              <w:top w:val="single" w:color="auto" w:sz="4" w:space="0"/>
              <w:bottom w:val="single" w:color="auto" w:sz="4" w:space="0"/>
              <w:right w:val="single" w:color="auto" w:sz="4" w:space="0"/>
            </w:tcBorders>
            <w:vAlign w:val="center"/>
          </w:tcPr>
          <w:p>
            <w:pPr>
              <w:spacing w:line="3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22</w:t>
            </w:r>
          </w:p>
        </w:tc>
        <w:tc>
          <w:tcPr>
            <w:tcW w:w="8343" w:type="dxa"/>
            <w:gridSpan w:val="2"/>
            <w:tcBorders>
              <w:top w:val="single" w:color="auto" w:sz="4" w:space="0"/>
              <w:left w:val="single" w:color="auto" w:sz="4" w:space="0"/>
              <w:bottom w:val="single" w:color="auto" w:sz="4" w:space="0"/>
            </w:tcBorders>
            <w:vAlign w:val="center"/>
          </w:tcPr>
          <w:p>
            <w:pPr>
              <w:spacing w:line="300" w:lineRule="exact"/>
              <w:jc w:val="left"/>
              <w:rPr>
                <w:rFonts w:hint="default" w:ascii="Arial" w:hAnsi="Arial" w:eastAsia="宋体" w:cs="Arial"/>
                <w:color w:val="auto"/>
                <w:szCs w:val="21"/>
                <w:highlight w:val="none"/>
              </w:rPr>
            </w:pPr>
            <w:r>
              <w:rPr>
                <w:rFonts w:hint="default" w:ascii="Arial" w:hAnsi="Arial" w:eastAsia="宋体" w:cs="Arial"/>
                <w:color w:val="auto"/>
                <w:highlight w:val="none"/>
              </w:rPr>
              <w:t>本招标文件是根据国家有关法律及有关政策、法规和参照国际惯例编制，解释权属采购代理机构。</w:t>
            </w:r>
          </w:p>
        </w:tc>
      </w:tr>
      <w:bookmarkEnd w:id="23"/>
    </w:tbl>
    <w:p>
      <w:pPr>
        <w:spacing w:before="120" w:line="320" w:lineRule="atLeast"/>
        <w:outlineLvl w:val="1"/>
        <w:rPr>
          <w:rFonts w:hint="default" w:ascii="Arial" w:hAnsi="Arial" w:eastAsia="宋体" w:cs="Arial"/>
          <w:bCs/>
          <w:color w:val="auto"/>
          <w:kern w:val="0"/>
          <w:sz w:val="28"/>
          <w:szCs w:val="28"/>
          <w:highlight w:val="none"/>
        </w:rPr>
        <w:sectPr>
          <w:headerReference r:id="rId12" w:type="first"/>
          <w:headerReference r:id="rId11" w:type="default"/>
          <w:pgSz w:w="11906" w:h="16838"/>
          <w:pgMar w:top="993" w:right="1133" w:bottom="1246" w:left="1418" w:header="851" w:footer="992" w:gutter="0"/>
          <w:cols w:space="720" w:num="1"/>
          <w:titlePg/>
          <w:docGrid w:linePitch="312" w:charSpace="0"/>
        </w:sectPr>
      </w:pPr>
    </w:p>
    <w:p>
      <w:pPr>
        <w:rPr>
          <w:rFonts w:hint="default" w:ascii="Arial" w:hAnsi="Arial" w:eastAsia="宋体" w:cs="Arial"/>
          <w:color w:val="auto"/>
          <w:szCs w:val="21"/>
          <w:highlight w:val="none"/>
        </w:rPr>
      </w:pPr>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24" w:name="_Toc32204"/>
      <w:bookmarkStart w:id="25" w:name="_Toc254970690"/>
      <w:bookmarkStart w:id="26" w:name="_Toc254970549"/>
      <w:r>
        <w:rPr>
          <w:rFonts w:hint="default" w:ascii="Arial" w:hAnsi="Arial" w:eastAsia="宋体" w:cs="Arial"/>
          <w:color w:val="auto"/>
          <w:sz w:val="32"/>
          <w:szCs w:val="32"/>
          <w:highlight w:val="none"/>
        </w:rPr>
        <w:t>第四章  评标方法及评标标准</w:t>
      </w:r>
      <w:bookmarkEnd w:id="24"/>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一、评标方法</w:t>
      </w:r>
    </w:p>
    <w:p>
      <w:pPr>
        <w:spacing w:before="120" w:line="320" w:lineRule="atLeast"/>
        <w:ind w:firstLine="411" w:firstLineChars="196"/>
        <w:outlineLvl w:val="1"/>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1、评标方法</w:t>
      </w:r>
    </w:p>
    <w:p>
      <w:pPr>
        <w:suppressAutoHyphens/>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本项目采用综合评分法进行评标。综合评分法，是指投标文件满足招标文件全部实质性要求且按照评标因素的量化指标评标得分最高的供应商为中标候选人的评标方法。</w:t>
      </w:r>
    </w:p>
    <w:p>
      <w:pPr>
        <w:spacing w:before="120" w:line="320" w:lineRule="atLeast"/>
        <w:ind w:firstLine="411" w:firstLineChars="196"/>
        <w:outlineLvl w:val="1"/>
        <w:rPr>
          <w:rFonts w:hint="default" w:ascii="Arial" w:hAnsi="Arial" w:eastAsia="宋体" w:cs="Arial"/>
          <w:color w:val="auto"/>
          <w:szCs w:val="21"/>
          <w:highlight w:val="none"/>
        </w:rPr>
      </w:pPr>
      <w:r>
        <w:rPr>
          <w:rFonts w:hint="default" w:ascii="Arial" w:hAnsi="Arial" w:eastAsia="宋体" w:cs="Arial"/>
          <w:color w:val="auto"/>
          <w:szCs w:val="21"/>
          <w:highlight w:val="none"/>
        </w:rPr>
        <w:t>2、评标依据</w:t>
      </w:r>
    </w:p>
    <w:p>
      <w:pPr>
        <w:suppressAutoHyphens/>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评标委员会以招标文件、补充文件、投标文件、澄清及答复为评标依据。</w:t>
      </w:r>
    </w:p>
    <w:p>
      <w:pPr>
        <w:spacing w:before="120" w:line="320" w:lineRule="atLeast"/>
        <w:ind w:firstLine="411" w:firstLineChars="196"/>
        <w:outlineLvl w:val="1"/>
        <w:rPr>
          <w:rFonts w:hint="default" w:ascii="Arial" w:hAnsi="Arial" w:eastAsia="宋体" w:cs="Arial"/>
          <w:color w:val="auto"/>
          <w:szCs w:val="21"/>
          <w:highlight w:val="none"/>
        </w:rPr>
      </w:pPr>
      <w:r>
        <w:rPr>
          <w:rFonts w:hint="default" w:ascii="Arial" w:hAnsi="Arial" w:eastAsia="宋体" w:cs="Arial"/>
          <w:color w:val="auto"/>
          <w:szCs w:val="21"/>
          <w:highlight w:val="none"/>
        </w:rPr>
        <w:t>3、评标委员会</w:t>
      </w:r>
      <w:bookmarkStart w:id="27" w:name="_Hlk19051932"/>
    </w:p>
    <w:p>
      <w:pPr>
        <w:suppressAutoHyphens/>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本项目评标委员会由政府采购评审专家和采购人代表组成。</w:t>
      </w:r>
      <w:bookmarkEnd w:id="27"/>
      <w:bookmarkStart w:id="28" w:name="_Hlk19051968"/>
      <w:r>
        <w:rPr>
          <w:rFonts w:hint="default" w:ascii="Arial" w:hAnsi="Arial" w:eastAsia="宋体" w:cs="Arial"/>
          <w:color w:val="auto"/>
          <w:highlight w:val="none"/>
        </w:rPr>
        <w:t>评标委员会必须公平、公正、客观，不带任何倾向性和启发性；不得向外界透露任何与评审有关的内容；任何单位和个人不得干扰、影响评审的正常进行；评标委员会及有关工作人员不得私下与供应商接触。评审专家发现本人与参加采购活动的供应商有利害关系的，应当主动提出回避。</w:t>
      </w:r>
      <w:bookmarkEnd w:id="28"/>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二、评标程序</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w:t>
      </w:r>
      <w:bookmarkStart w:id="29" w:name="_Hlk19175507"/>
      <w:r>
        <w:rPr>
          <w:rFonts w:hint="default" w:ascii="Arial" w:hAnsi="Arial" w:eastAsia="宋体" w:cs="Arial"/>
          <w:color w:val="auto"/>
          <w:szCs w:val="21"/>
          <w:highlight w:val="none"/>
        </w:rPr>
        <w:t>初步评审：初步评审包括资格检查及符合性检查。</w:t>
      </w:r>
      <w:bookmarkEnd w:id="29"/>
    </w:p>
    <w:p>
      <w:pPr>
        <w:suppressAutoHyphens/>
        <w:spacing w:before="120" w:line="320" w:lineRule="atLeast"/>
        <w:ind w:firstLine="420" w:firstLineChars="200"/>
        <w:rPr>
          <w:rFonts w:hint="default" w:ascii="Arial" w:hAnsi="Arial" w:eastAsia="宋体" w:cs="Arial"/>
          <w:bCs/>
          <w:color w:val="auto"/>
          <w:kern w:val="1"/>
          <w:szCs w:val="21"/>
          <w:highlight w:val="none"/>
        </w:rPr>
      </w:pPr>
      <w:r>
        <w:rPr>
          <w:rFonts w:hint="default" w:ascii="Arial" w:hAnsi="Arial" w:eastAsia="宋体" w:cs="Arial"/>
          <w:bCs/>
          <w:color w:val="auto"/>
          <w:kern w:val="1"/>
          <w:szCs w:val="21"/>
          <w:highlight w:val="none"/>
        </w:rPr>
        <w:t>2、澄清（如需要）。</w:t>
      </w:r>
    </w:p>
    <w:p>
      <w:pPr>
        <w:suppressAutoHyphens/>
        <w:spacing w:before="120" w:line="320" w:lineRule="atLeast"/>
        <w:ind w:firstLine="420" w:firstLineChars="200"/>
        <w:rPr>
          <w:rFonts w:hint="default" w:ascii="Arial" w:hAnsi="Arial" w:eastAsia="宋体" w:cs="Arial"/>
          <w:bCs/>
          <w:color w:val="auto"/>
          <w:kern w:val="1"/>
          <w:szCs w:val="21"/>
          <w:highlight w:val="none"/>
        </w:rPr>
      </w:pPr>
      <w:r>
        <w:rPr>
          <w:rFonts w:hint="default" w:ascii="Arial" w:hAnsi="Arial" w:eastAsia="宋体" w:cs="Arial"/>
          <w:bCs/>
          <w:color w:val="auto"/>
          <w:kern w:val="1"/>
          <w:szCs w:val="21"/>
          <w:highlight w:val="none"/>
        </w:rPr>
        <w:t>3、详细评审。</w:t>
      </w:r>
    </w:p>
    <w:p>
      <w:pPr>
        <w:suppressAutoHyphens/>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bCs/>
          <w:color w:val="auto"/>
          <w:kern w:val="1"/>
          <w:szCs w:val="21"/>
          <w:highlight w:val="none"/>
        </w:rPr>
        <w:t>4、推荐中标候选人。</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三、特别说明：</w:t>
      </w:r>
    </w:p>
    <w:p>
      <w:pPr>
        <w:tabs>
          <w:tab w:val="left" w:pos="2190"/>
        </w:tabs>
        <w:spacing w:line="370" w:lineRule="exact"/>
        <w:ind w:firstLine="435"/>
        <w:rPr>
          <w:rFonts w:hint="default" w:ascii="Arial" w:hAnsi="Arial" w:eastAsia="宋体" w:cs="Arial"/>
          <w:b/>
          <w:color w:val="auto"/>
          <w:szCs w:val="21"/>
          <w:highlight w:val="none"/>
        </w:rPr>
      </w:pPr>
      <w:r>
        <w:rPr>
          <w:rFonts w:hint="default" w:ascii="Arial" w:hAnsi="Arial" w:eastAsia="宋体" w:cs="Arial"/>
          <w:b/>
          <w:color w:val="auto"/>
          <w:szCs w:val="21"/>
          <w:highlight w:val="none"/>
        </w:rPr>
        <w:t>1、注意事项：本项目实行电子投标，供应商应准备电子投标文件。</w:t>
      </w:r>
    </w:p>
    <w:p>
      <w:pPr>
        <w:tabs>
          <w:tab w:val="left" w:pos="2190"/>
        </w:tabs>
        <w:spacing w:line="370" w:lineRule="exact"/>
        <w:ind w:firstLine="435"/>
        <w:rPr>
          <w:rFonts w:hint="default" w:ascii="Arial" w:hAnsi="Arial" w:eastAsia="宋体" w:cs="Arial"/>
          <w:b/>
          <w:bCs/>
          <w:color w:val="auto"/>
          <w:kern w:val="0"/>
          <w:szCs w:val="21"/>
          <w:highlight w:val="none"/>
        </w:rPr>
      </w:pPr>
      <w:r>
        <w:rPr>
          <w:rFonts w:hint="default" w:ascii="Arial" w:hAnsi="Arial" w:eastAsia="宋体" w:cs="Arial"/>
          <w:b/>
          <w:color w:val="auto"/>
          <w:szCs w:val="21"/>
          <w:highlight w:val="none"/>
        </w:rPr>
        <w:t>2、电子投标文件按政采云平台要求及本招标文件要求制作、加密并递交。具体操作流程可参考《政府采购项目电子交易管理操作指南-供应商》，指南可在 “http://www.ccgp-guangxi.gov.cn/PurchaseAdvisory/ImportantNotice/2866753.html”下载。</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3、供应商提供的以下相关证明材料属于“必须提供”的</w:t>
      </w:r>
      <w:r>
        <w:rPr>
          <w:rFonts w:hint="default" w:ascii="Arial" w:hAnsi="Arial" w:eastAsia="宋体" w:cs="Arial"/>
          <w:b/>
          <w:color w:val="auto"/>
          <w:sz w:val="24"/>
          <w:highlight w:val="none"/>
        </w:rPr>
        <w:t>文件</w:t>
      </w:r>
      <w:r>
        <w:rPr>
          <w:rFonts w:hint="default" w:ascii="Arial" w:hAnsi="Arial" w:eastAsia="宋体" w:cs="Arial"/>
          <w:b/>
          <w:bCs/>
          <w:color w:val="auto"/>
          <w:kern w:val="0"/>
          <w:szCs w:val="21"/>
          <w:highlight w:val="none"/>
        </w:rPr>
        <w:t>应加盖</w:t>
      </w:r>
      <w:r>
        <w:rPr>
          <w:rFonts w:hint="default" w:ascii="Arial" w:hAnsi="Arial" w:eastAsia="宋体" w:cs="Arial"/>
          <w:b/>
          <w:bCs/>
          <w:color w:val="auto"/>
          <w:kern w:val="0"/>
          <w:szCs w:val="21"/>
          <w:highlight w:val="none"/>
          <w:lang w:eastAsia="zh-CN"/>
        </w:rPr>
        <w:t>供应商</w:t>
      </w:r>
      <w:r>
        <w:rPr>
          <w:rFonts w:hint="default" w:ascii="Arial" w:hAnsi="Arial" w:eastAsia="宋体" w:cs="Arial"/>
          <w:b/>
          <w:bCs/>
          <w:color w:val="auto"/>
          <w:kern w:val="0"/>
          <w:szCs w:val="21"/>
          <w:highlight w:val="none"/>
        </w:rPr>
        <w:t>公章（CA签章）/自然人签字或加盖个人CA签章，否则投标无效。</w:t>
      </w:r>
    </w:p>
    <w:p>
      <w:pPr>
        <w:pStyle w:val="29"/>
        <w:spacing w:line="370" w:lineRule="exact"/>
        <w:ind w:firstLine="420"/>
        <w:rPr>
          <w:rFonts w:hint="default" w:ascii="Arial" w:hAnsi="Arial" w:eastAsia="宋体" w:cs="Arial"/>
          <w:b/>
          <w:bCs/>
          <w:color w:val="auto"/>
          <w:highlight w:val="none"/>
        </w:rPr>
      </w:pPr>
      <w:r>
        <w:rPr>
          <w:rFonts w:hint="default" w:ascii="Arial" w:hAnsi="Arial" w:eastAsia="宋体" w:cs="Arial"/>
          <w:b/>
          <w:bCs/>
          <w:color w:val="auto"/>
          <w:kern w:val="0"/>
          <w:highlight w:val="none"/>
        </w:rPr>
        <w:t>4、</w:t>
      </w:r>
      <w:r>
        <w:rPr>
          <w:rFonts w:hint="default" w:ascii="Arial" w:hAnsi="Arial" w:eastAsia="宋体" w:cs="Arial"/>
          <w:b/>
          <w:bCs/>
          <w:color w:val="auto"/>
          <w:highlight w:val="none"/>
        </w:rPr>
        <w:t>投标文件（电子响应文件），其中电子投标文件中所须加盖公章部分均采用CA签章。若招标文件中有专门标注的某关联点，并要求</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在电子投标系统中作出响应的，如</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未对关联点进行响应或者在投标文件其它内容进行描述，造成电子评审不能查询的责任由</w:t>
      </w:r>
      <w:r>
        <w:rPr>
          <w:rFonts w:hint="default" w:ascii="Arial" w:hAnsi="Arial" w:eastAsia="宋体" w:cs="Arial"/>
          <w:b/>
          <w:bCs/>
          <w:color w:val="auto"/>
          <w:highlight w:val="none"/>
          <w:lang w:eastAsia="zh-CN"/>
        </w:rPr>
        <w:t>供应商</w:t>
      </w:r>
      <w:r>
        <w:rPr>
          <w:rFonts w:hint="default" w:ascii="Arial" w:hAnsi="Arial" w:eastAsia="宋体" w:cs="Arial"/>
          <w:b/>
          <w:bCs/>
          <w:color w:val="auto"/>
          <w:highlight w:val="none"/>
        </w:rPr>
        <w:t>自行承担。</w:t>
      </w:r>
    </w:p>
    <w:p>
      <w:pPr>
        <w:pStyle w:val="29"/>
        <w:spacing w:line="370" w:lineRule="exact"/>
        <w:ind w:firstLine="420"/>
        <w:rPr>
          <w:rFonts w:hint="default" w:ascii="Arial" w:hAnsi="Arial" w:eastAsia="宋体" w:cs="Arial"/>
          <w:b/>
          <w:bCs/>
          <w:color w:val="auto"/>
          <w:highlight w:val="none"/>
        </w:rPr>
      </w:pPr>
      <w:r>
        <w:rPr>
          <w:rFonts w:hint="default" w:ascii="Arial" w:hAnsi="Arial" w:eastAsia="宋体" w:cs="Arial"/>
          <w:b/>
          <w:bCs/>
          <w:color w:val="auto"/>
          <w:highlight w:val="none"/>
        </w:rPr>
        <w:t>5、招标文件要求法定代表人（负责人）或委托代理人签字的部分必须签字然后扫描或者拍照做成 pdf 格式上传（或加盖个人CA签章），无签字的视为投标无效。</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6、电子投标文件中须加盖供应商公章部分均采用 CA 签章，并根据“政府采购项目电子交易管理操作指南-供应商” 及本招标文件规定的格式和顺序编制电子投标文件并进行关联定位，以便评审小组在评审时，点击评分项可直接定位到该评分项内容。如对招标文件的某项要求，供应商的电子投标文件未能关联定位提供相应的内容与其对应，则评审小组在评审时如做出对供应商不利的评审由供应商自行承担。电子投标文件如内容不完整、编排混乱导致投标文件被误读、 漏读，或者在按招标文件规定的部位查找不到相关内容的，由供应商自行承担。</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7、供应商法人（负责人）或授权代表持有政采云个人CA签章的，应在投标文件中涉及到签字的位置使用个人CA签章，没有办理政采云个人CA签章的可在投标文件中涉及到签字的位置手写签字后扫描或者拍照做成 PDF 的格式上传即可。</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8、投标文件不得涂改，若有修改错漏处，须法定代表人（负责人）或授权委托人签字（或个人CA签章）。投标文件因字迹潦草或表达不清所引起的后果由供应商负责。</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9、本项目实行网上评审，采用电子投标文件；若供应商参与投标，自行承担投标一切费用。各供应商在截标前应确保成为政采云平台正式注册入库供应商，并完成 CA 数字证书申领。因未注册入库、未办理 CA 数字证书等原因造成无法投标或投标失败等后果由供应商自行承担。供应商将政采云电子交易客户端下载、安装完成后，可通过账号密码或 CA 登录客户端进行投标文件制作。客户端请至网站下载专区查看，如有问题可拨打政采云客户服务热线 400-881-7190 进行咨询。</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10、供应商进行电子投标应安装客户端软件，并按照采购文件和电子交易平台的要求编制并加密投标文件。供应商未按规定加密的投标文件，电子交易平台将拒收。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如有特殊情况，采购代理机构延长截止时间和开标时间，采购代理机构和供应商的权利和义务将受到新的截止时间和开标时间的约束。</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四、评标内容</w:t>
      </w:r>
    </w:p>
    <w:p>
      <w:pPr>
        <w:spacing w:before="120" w:line="320" w:lineRule="atLeast"/>
        <w:ind w:firstLine="413" w:firstLineChars="196"/>
        <w:outlineLvl w:val="1"/>
        <w:rPr>
          <w:rFonts w:hint="default" w:ascii="Arial" w:hAnsi="Arial" w:eastAsia="宋体" w:cs="Arial"/>
          <w:b/>
          <w:bCs/>
          <w:color w:val="auto"/>
          <w:kern w:val="0"/>
          <w:szCs w:val="21"/>
          <w:highlight w:val="none"/>
        </w:rPr>
      </w:pPr>
      <w:bookmarkStart w:id="30" w:name="_Hlk19052412"/>
      <w:r>
        <w:rPr>
          <w:rFonts w:hint="default" w:ascii="Arial" w:hAnsi="Arial" w:eastAsia="宋体" w:cs="Arial"/>
          <w:b/>
          <w:bCs/>
          <w:color w:val="auto"/>
          <w:kern w:val="0"/>
          <w:szCs w:val="21"/>
          <w:highlight w:val="none"/>
        </w:rPr>
        <w:t>1、资格审查</w:t>
      </w:r>
    </w:p>
    <w:p>
      <w:pPr>
        <w:suppressAutoHyphens/>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highlight w:val="none"/>
        </w:rPr>
        <w:t>采购人代表对所有供应商的投标文件进行资格审查。</w:t>
      </w:r>
      <w:r>
        <w:rPr>
          <w:rFonts w:hint="default" w:ascii="Arial" w:hAnsi="Arial" w:eastAsia="宋体" w:cs="Arial"/>
          <w:color w:val="auto"/>
          <w:szCs w:val="21"/>
          <w:highlight w:val="none"/>
        </w:rPr>
        <w:t>以确定供应商是否具备投标资格。资格审查表如下，缺少任何一项或有任何一项不合格者，其资格审查视为不合格。</w:t>
      </w:r>
    </w:p>
    <w:tbl>
      <w:tblPr>
        <w:tblStyle w:val="5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851"/>
        <w:gridCol w:w="1843"/>
        <w:gridCol w:w="6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675" w:type="dxa"/>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序号</w:t>
            </w:r>
          </w:p>
        </w:tc>
        <w:tc>
          <w:tcPr>
            <w:tcW w:w="2694" w:type="dxa"/>
            <w:gridSpan w:val="2"/>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评标因素</w:t>
            </w:r>
          </w:p>
        </w:tc>
        <w:tc>
          <w:tcPr>
            <w:tcW w:w="6237" w:type="dxa"/>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评标内容及评标标准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2" w:hRule="atLeast"/>
        </w:trPr>
        <w:tc>
          <w:tcPr>
            <w:tcW w:w="675" w:type="dxa"/>
            <w:vMerge w:val="restart"/>
            <w:vAlign w:val="center"/>
          </w:tcPr>
          <w:p>
            <w:pPr>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1</w:t>
            </w:r>
          </w:p>
        </w:tc>
        <w:tc>
          <w:tcPr>
            <w:tcW w:w="851" w:type="dxa"/>
            <w:vMerge w:val="restart"/>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供应商应符合的基本资格条件</w:t>
            </w:r>
          </w:p>
        </w:tc>
        <w:tc>
          <w:tcPr>
            <w:tcW w:w="1843" w:type="dxa"/>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（1）具有独立承担民事责任的能力</w:t>
            </w:r>
          </w:p>
        </w:tc>
        <w:tc>
          <w:tcPr>
            <w:tcW w:w="6237" w:type="dxa"/>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审查法人或者其他组织的营业执照等证明文件、自然人的身份证明。须按以下要求提供，材料须有效。</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供应商是企业则审查营业执照（副本）复印件；供应商是事业单位，则审查事业单位法人证书（副本）复印件；供应商是非企业专业服务机构的，则审查执业许可证等证明文件复印件；供应商是个体工商户，则审查个体工商户营业执照复印件；供应商是自然人，则审查自然人身份证明复印件；如供应商不是以上所列的法人、组织、自然人的，则提供国家规定的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0"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lang w:val="zh-CN"/>
              </w:rPr>
              <w:t>（2）</w:t>
            </w:r>
            <w:r>
              <w:rPr>
                <w:rFonts w:hint="default" w:ascii="Arial" w:hAnsi="Arial" w:eastAsia="宋体" w:cs="Arial"/>
                <w:color w:val="auto"/>
                <w:szCs w:val="21"/>
                <w:highlight w:val="none"/>
              </w:rPr>
              <w:t>具有良好的商业信誉和健全的财务会计制度</w:t>
            </w:r>
          </w:p>
        </w:tc>
        <w:tc>
          <w:tcPr>
            <w:tcW w:w="6237" w:type="dxa"/>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①审查商业信誉声明。须提供，格式见第六章投标文件格式“投标声明书”。</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②审查202</w:t>
            </w:r>
            <w:r>
              <w:rPr>
                <w:rFonts w:hint="default" w:ascii="Arial" w:hAnsi="Arial" w:eastAsia="宋体" w:cs="Arial"/>
                <w:color w:val="auto"/>
                <w:szCs w:val="21"/>
                <w:highlight w:val="none"/>
                <w:lang w:val="en-US" w:eastAsia="zh-CN"/>
              </w:rPr>
              <w:t>1</w:t>
            </w:r>
            <w:r>
              <w:rPr>
                <w:rFonts w:hint="default" w:ascii="Arial" w:hAnsi="Arial" w:eastAsia="宋体" w:cs="Arial"/>
                <w:color w:val="auto"/>
                <w:szCs w:val="21"/>
                <w:highlight w:val="none"/>
              </w:rPr>
              <w:t>年度财务状况报告（表）复印件或银行出具的资信证明复印件，</w:t>
            </w:r>
            <w:r>
              <w:rPr>
                <w:rFonts w:hint="default" w:ascii="Arial" w:hAnsi="Arial" w:eastAsia="宋体" w:cs="Arial"/>
                <w:color w:val="auto"/>
                <w:highlight w:val="none"/>
              </w:rPr>
              <w:t>对于从取得营业执照时间起到投标文件递交截止时间为止不足1年的供应商，只需提交</w:t>
            </w:r>
            <w:r>
              <w:rPr>
                <w:rFonts w:hint="default" w:ascii="Arial" w:hAnsi="Arial" w:eastAsia="宋体" w:cs="Arial"/>
                <w:color w:val="auto"/>
                <w:szCs w:val="21"/>
                <w:highlight w:val="none"/>
              </w:rPr>
              <w:t>投标文件递交截止时间前一个月的财务状况报告（表）复印件。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（3）具有履行合同所必需的设备和专业技术能力</w:t>
            </w:r>
          </w:p>
        </w:tc>
        <w:tc>
          <w:tcPr>
            <w:tcW w:w="6237" w:type="dxa"/>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①审查供应商营业执照，须有效； </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②审查书面声明。须提供，格式见第六章投标文件格式“</w:t>
            </w:r>
            <w:r>
              <w:rPr>
                <w:rFonts w:hint="default" w:ascii="Arial" w:hAnsi="Arial" w:eastAsia="宋体" w:cs="Arial"/>
                <w:color w:val="auto"/>
                <w:highlight w:val="none"/>
              </w:rPr>
              <w:t>投标声明书</w:t>
            </w:r>
            <w:r>
              <w:rPr>
                <w:rFonts w:hint="default" w:ascii="Arial" w:hAnsi="Arial" w:eastAsia="宋体" w:cs="Arial"/>
                <w:color w:val="auto"/>
                <w:szCs w:val="21"/>
                <w:highlight w:val="none"/>
              </w:rPr>
              <w:t>”。</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审查①或②，满足其一，即为符合要求。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0"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（4）有依法缴纳税收和社会保障金的良好记录</w:t>
            </w:r>
          </w:p>
        </w:tc>
        <w:tc>
          <w:tcPr>
            <w:tcW w:w="6237" w:type="dxa"/>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①审查投标截止时间前6个月内，</w:t>
            </w:r>
            <w:r>
              <w:rPr>
                <w:rFonts w:hint="default" w:ascii="Arial" w:hAnsi="Arial" w:eastAsia="宋体" w:cs="Arial"/>
                <w:color w:val="auto"/>
                <w:highlight w:val="none"/>
              </w:rPr>
              <w:t>供应商任意1个月</w:t>
            </w:r>
            <w:r>
              <w:rPr>
                <w:rFonts w:hint="default" w:ascii="Arial" w:hAnsi="Arial" w:eastAsia="宋体" w:cs="Arial"/>
                <w:color w:val="auto"/>
                <w:szCs w:val="21"/>
                <w:highlight w:val="none"/>
              </w:rPr>
              <w:t>依法缴纳税费证明复印件加盖供应商公章。</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②审查投标截止时间前6个月内，</w:t>
            </w:r>
            <w:r>
              <w:rPr>
                <w:rFonts w:hint="default" w:ascii="Arial" w:hAnsi="Arial" w:eastAsia="宋体" w:cs="Arial"/>
                <w:color w:val="auto"/>
                <w:highlight w:val="none"/>
              </w:rPr>
              <w:t>供应商任意1个月</w:t>
            </w:r>
            <w:r>
              <w:rPr>
                <w:rFonts w:hint="default" w:ascii="Arial" w:hAnsi="Arial" w:eastAsia="宋体" w:cs="Arial"/>
                <w:color w:val="auto"/>
                <w:szCs w:val="21"/>
                <w:highlight w:val="none"/>
              </w:rPr>
              <w:t>的社保缴费证明记录复印件加盖供应商公章。</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供应商成立不足1个月的，无须提供缴纳税费证明及社保缴费证明加盖供应商公章。</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依法免税或不需要缴纳社会保障资金的供应商，须提供相应文件证明其依法免税或不需要缴纳社会保障资金。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3"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rPr>
              <w:t>（5）参加政府采购活动前三年内，在经营活动中没有重大违法记录及不良信用记录</w:t>
            </w: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审查无重大违法记录声明。须提供，格式见第六章投标文件格式“投标声明书”。 一旦发现供应商提供的投标声明书不实时，则按照《政府采购法》有关提供虚假材料的规定给予处罚。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7"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（6）诚信要求</w:t>
            </w:r>
          </w:p>
        </w:tc>
        <w:tc>
          <w:tcPr>
            <w:tcW w:w="6237" w:type="dxa"/>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①审核标准：供应商如被列入失信被执行人、重大税收违法案件当事人名单、政府采购严重违法失信行为记录名单，则资格审查不予通过，其投标被否决。</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②信用信息查询渠道：中国政府采购网 “政府采购严重违法失信行为记录名单” 信用中国网：“失信被执行人”、“</w:t>
            </w:r>
            <w:r>
              <w:rPr>
                <w:rFonts w:hint="default" w:ascii="Arial" w:hAnsi="Arial" w:eastAsia="宋体" w:cs="Arial"/>
                <w:color w:val="auto"/>
                <w:kern w:val="0"/>
                <w:szCs w:val="21"/>
                <w:highlight w:val="none"/>
              </w:rPr>
              <w:t>重大税收违法案件当事人名单</w:t>
            </w:r>
            <w:r>
              <w:rPr>
                <w:rFonts w:hint="default" w:ascii="Arial" w:hAnsi="Arial" w:eastAsia="宋体" w:cs="Arial"/>
                <w:color w:val="auto"/>
                <w:szCs w:val="21"/>
                <w:highlight w:val="none"/>
              </w:rPr>
              <w:t xml:space="preserve">”  </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③查询方式：资格审查时，采购人或采购代理机构通过上述渠道查询供应商的信用记录供评委审核。</w:t>
            </w:r>
          </w:p>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④信用信息查询记录和证据留存的具体方式：通过上述查询渠道查询的供应商信用记录查询结果，将作为政府采购活动档案留存。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7"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lang w:val="zh-CN"/>
              </w:rPr>
            </w:pPr>
          </w:p>
        </w:tc>
        <w:tc>
          <w:tcPr>
            <w:tcW w:w="1843"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（7）具备法律、行政法规规定的其他要求</w:t>
            </w:r>
          </w:p>
        </w:tc>
        <w:tc>
          <w:tcPr>
            <w:tcW w:w="6237" w:type="dxa"/>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675" w:type="dxa"/>
            <w:vMerge w:val="restart"/>
            <w:vAlign w:val="center"/>
          </w:tcPr>
          <w:p>
            <w:pPr>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2</w:t>
            </w:r>
          </w:p>
        </w:tc>
        <w:tc>
          <w:tcPr>
            <w:tcW w:w="851" w:type="dxa"/>
            <w:vMerge w:val="restart"/>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lang w:val="zh-CN"/>
              </w:rPr>
              <w:t>供应商应符合的</w:t>
            </w:r>
            <w:r>
              <w:rPr>
                <w:rFonts w:hint="default" w:ascii="Arial" w:hAnsi="Arial" w:eastAsia="宋体" w:cs="Arial"/>
                <w:color w:val="auto"/>
                <w:szCs w:val="21"/>
                <w:highlight w:val="none"/>
              </w:rPr>
              <w:t>特定资格条件</w:t>
            </w:r>
          </w:p>
        </w:tc>
        <w:tc>
          <w:tcPr>
            <w:tcW w:w="1843"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（1）资质条件</w:t>
            </w: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须符合“招标公告”的要求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rPr>
            </w:pPr>
          </w:p>
        </w:tc>
        <w:tc>
          <w:tcPr>
            <w:tcW w:w="1843"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（2）业绩要求</w:t>
            </w: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须符合“招标公告”的要求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851" w:type="dxa"/>
            <w:vMerge w:val="continue"/>
            <w:vAlign w:val="center"/>
          </w:tcPr>
          <w:p>
            <w:pPr>
              <w:spacing w:line="240" w:lineRule="exact"/>
              <w:rPr>
                <w:rFonts w:hint="default" w:ascii="Arial" w:hAnsi="Arial" w:eastAsia="宋体" w:cs="Arial"/>
                <w:color w:val="auto"/>
                <w:szCs w:val="21"/>
                <w:highlight w:val="none"/>
              </w:rPr>
            </w:pPr>
          </w:p>
        </w:tc>
        <w:tc>
          <w:tcPr>
            <w:tcW w:w="1843"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（3）其他要求</w:t>
            </w: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须符合“招标公告”的要求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4" w:hRule="atLeast"/>
        </w:trPr>
        <w:tc>
          <w:tcPr>
            <w:tcW w:w="675" w:type="dxa"/>
            <w:vMerge w:val="restart"/>
            <w:vAlign w:val="center"/>
          </w:tcPr>
          <w:p>
            <w:pPr>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3</w:t>
            </w:r>
          </w:p>
        </w:tc>
        <w:tc>
          <w:tcPr>
            <w:tcW w:w="2694" w:type="dxa"/>
            <w:gridSpan w:val="2"/>
            <w:vMerge w:val="restart"/>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kern w:val="0"/>
                <w:szCs w:val="21"/>
                <w:highlight w:val="none"/>
              </w:rPr>
              <w:t>供应商不得参加资格审查的情形</w:t>
            </w: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kern w:val="0"/>
                <w:szCs w:val="21"/>
                <w:highlight w:val="none"/>
              </w:rPr>
              <w:t>（1）单位负责人为同一人或者存在直接控股、管理关系的不同供应商，不得参加本项目同一合同项下的政府采购活动。为本项目提供整体设计、规范编制或者项目管理、监理、检测等服务的供应商，不得再参加本项目的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2"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2694" w:type="dxa"/>
            <w:gridSpan w:val="2"/>
            <w:vMerge w:val="continue"/>
            <w:vAlign w:val="center"/>
          </w:tcPr>
          <w:p>
            <w:pPr>
              <w:spacing w:line="240" w:lineRule="exact"/>
              <w:jc w:val="left"/>
              <w:rPr>
                <w:rFonts w:hint="default" w:ascii="Arial" w:hAnsi="Arial" w:eastAsia="宋体" w:cs="Arial"/>
                <w:color w:val="auto"/>
                <w:szCs w:val="21"/>
                <w:highlight w:val="none"/>
              </w:rPr>
            </w:pPr>
          </w:p>
        </w:tc>
        <w:tc>
          <w:tcPr>
            <w:tcW w:w="6237" w:type="dxa"/>
            <w:vAlign w:val="center"/>
          </w:tcPr>
          <w:p>
            <w:pPr>
              <w:spacing w:line="240" w:lineRule="exact"/>
              <w:jc w:val="left"/>
              <w:rPr>
                <w:rFonts w:hint="default" w:ascii="Arial" w:hAnsi="Arial" w:eastAsia="宋体" w:cs="Arial"/>
                <w:color w:val="auto"/>
                <w:szCs w:val="21"/>
                <w:highlight w:val="none"/>
              </w:rPr>
            </w:pPr>
            <w:r>
              <w:rPr>
                <w:rFonts w:hint="default" w:ascii="Arial" w:hAnsi="Arial" w:eastAsia="宋体" w:cs="Arial"/>
                <w:color w:val="auto"/>
                <w:kern w:val="0"/>
                <w:szCs w:val="21"/>
                <w:highlight w:val="none"/>
              </w:rPr>
              <w:t>（2）因违法经营受到刑事处罚或者责令停产停业、吊销许可证或者执照、较大数额罚款等行政处罚，或者存在财政部门认定的其他重大违法记录，以及在财政部门禁止参加政府采购活动期限以内的。</w:t>
            </w:r>
          </w:p>
        </w:tc>
      </w:tr>
    </w:tbl>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2、符合性检查</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bCs/>
          <w:color w:val="auto"/>
          <w:kern w:val="1"/>
          <w:szCs w:val="21"/>
          <w:highlight w:val="none"/>
        </w:rPr>
        <w:t>资格审查结束后，由评标委员会对</w:t>
      </w:r>
      <w:r>
        <w:rPr>
          <w:rFonts w:hint="default" w:ascii="Arial" w:hAnsi="Arial" w:eastAsia="宋体" w:cs="Arial"/>
          <w:color w:val="auto"/>
          <w:highlight w:val="none"/>
        </w:rPr>
        <w:t>通过资格审查的供应商的投标文件进行符合性审查，以确定其是否满足招标文件的实质性要求。</w:t>
      </w:r>
      <w:r>
        <w:rPr>
          <w:rFonts w:hint="default" w:ascii="Arial" w:hAnsi="Arial" w:eastAsia="宋体" w:cs="Arial"/>
          <w:color w:val="auto"/>
          <w:szCs w:val="21"/>
          <w:highlight w:val="none"/>
        </w:rPr>
        <w:t>符合性检查表如下，缺少任何一项或有任何一项不合格者，其符合性检查视为不合格。</w:t>
      </w:r>
    </w:p>
    <w:tbl>
      <w:tblPr>
        <w:tblStyle w:val="5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序号</w:t>
            </w:r>
          </w:p>
        </w:tc>
        <w:tc>
          <w:tcPr>
            <w:tcW w:w="3544" w:type="dxa"/>
            <w:gridSpan w:val="2"/>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评标因素</w:t>
            </w:r>
          </w:p>
        </w:tc>
        <w:tc>
          <w:tcPr>
            <w:tcW w:w="5409" w:type="dxa"/>
            <w:vAlign w:val="center"/>
          </w:tcPr>
          <w:p>
            <w:pPr>
              <w:spacing w:line="240" w:lineRule="exact"/>
              <w:jc w:val="center"/>
              <w:rPr>
                <w:rFonts w:hint="default" w:ascii="Arial" w:hAnsi="Arial" w:eastAsia="宋体" w:cs="Arial"/>
                <w:b/>
                <w:color w:val="auto"/>
                <w:kern w:val="0"/>
                <w:szCs w:val="21"/>
                <w:highlight w:val="none"/>
              </w:rPr>
            </w:pPr>
            <w:r>
              <w:rPr>
                <w:rFonts w:hint="default" w:ascii="Arial" w:hAnsi="Arial" w:eastAsia="宋体" w:cs="Arial"/>
                <w:b/>
                <w:color w:val="auto"/>
                <w:kern w:val="0"/>
                <w:szCs w:val="21"/>
                <w:highlight w:val="none"/>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75" w:type="dxa"/>
            <w:vMerge w:val="restart"/>
            <w:vAlign w:val="center"/>
          </w:tcPr>
          <w:p>
            <w:pPr>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（1）</w:t>
            </w:r>
          </w:p>
        </w:tc>
        <w:tc>
          <w:tcPr>
            <w:tcW w:w="1560" w:type="dxa"/>
            <w:vMerge w:val="restart"/>
            <w:vAlign w:val="center"/>
          </w:tcPr>
          <w:p>
            <w:pPr>
              <w:spacing w:line="240" w:lineRule="exact"/>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有效性审查</w:t>
            </w:r>
          </w:p>
        </w:tc>
        <w:tc>
          <w:tcPr>
            <w:tcW w:w="1984" w:type="dxa"/>
            <w:vAlign w:val="center"/>
          </w:tcPr>
          <w:p>
            <w:pPr>
              <w:spacing w:line="240" w:lineRule="exact"/>
              <w:rPr>
                <w:rFonts w:hint="default" w:ascii="Arial" w:hAnsi="Arial" w:eastAsia="宋体" w:cs="Arial"/>
                <w:color w:val="auto"/>
                <w:kern w:val="0"/>
                <w:szCs w:val="21"/>
                <w:highlight w:val="none"/>
              </w:rPr>
            </w:pPr>
            <w:r>
              <w:rPr>
                <w:rFonts w:hint="default" w:ascii="Arial" w:hAnsi="Arial" w:eastAsia="宋体" w:cs="Arial"/>
                <w:color w:val="auto"/>
                <w:szCs w:val="21"/>
                <w:highlight w:val="none"/>
              </w:rPr>
              <w:t>投标文件签署</w:t>
            </w:r>
          </w:p>
        </w:tc>
        <w:tc>
          <w:tcPr>
            <w:tcW w:w="5409" w:type="dxa"/>
            <w:vAlign w:val="center"/>
          </w:tcPr>
          <w:p>
            <w:pPr>
              <w:spacing w:line="240" w:lineRule="exact"/>
              <w:rPr>
                <w:rFonts w:hint="default" w:ascii="Arial" w:hAnsi="Arial" w:eastAsia="宋体" w:cs="Arial"/>
                <w:color w:val="auto"/>
                <w:kern w:val="0"/>
                <w:szCs w:val="21"/>
                <w:highlight w:val="none"/>
              </w:rPr>
            </w:pPr>
            <w:r>
              <w:rPr>
                <w:rFonts w:hint="default" w:ascii="Arial" w:hAnsi="Arial" w:eastAsia="宋体" w:cs="Arial"/>
                <w:color w:val="auto"/>
                <w:szCs w:val="21"/>
                <w:highlight w:val="none"/>
              </w:rPr>
              <w:t>投标文件上法定代表人或其授权代表人已按要求签字盖章。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75" w:type="dxa"/>
            <w:vMerge w:val="continue"/>
            <w:vAlign w:val="center"/>
          </w:tcPr>
          <w:p>
            <w:pPr>
              <w:spacing w:line="240" w:lineRule="exact"/>
              <w:jc w:val="center"/>
              <w:rPr>
                <w:rFonts w:hint="default" w:ascii="Arial" w:hAnsi="Arial" w:eastAsia="宋体" w:cs="Arial"/>
                <w:color w:val="auto"/>
                <w:szCs w:val="21"/>
                <w:highlight w:val="none"/>
              </w:rPr>
            </w:pPr>
          </w:p>
        </w:tc>
        <w:tc>
          <w:tcPr>
            <w:tcW w:w="1560" w:type="dxa"/>
            <w:vMerge w:val="continue"/>
            <w:vAlign w:val="center"/>
          </w:tcPr>
          <w:p>
            <w:pPr>
              <w:spacing w:line="240" w:lineRule="exact"/>
              <w:rPr>
                <w:rFonts w:hint="default" w:ascii="Arial" w:hAnsi="Arial" w:eastAsia="宋体" w:cs="Arial"/>
                <w:color w:val="auto"/>
                <w:kern w:val="0"/>
                <w:szCs w:val="21"/>
                <w:highlight w:val="none"/>
              </w:rPr>
            </w:pPr>
          </w:p>
        </w:tc>
        <w:tc>
          <w:tcPr>
            <w:tcW w:w="1984" w:type="dxa"/>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法定代表人身份证明及授权委托书</w:t>
            </w:r>
          </w:p>
        </w:tc>
        <w:tc>
          <w:tcPr>
            <w:tcW w:w="5409" w:type="dxa"/>
            <w:vAlign w:val="center"/>
          </w:tcPr>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授权代表参加投标时审查</w:t>
            </w:r>
            <w:r>
              <w:rPr>
                <w:rFonts w:hint="default" w:ascii="Arial" w:hAnsi="Arial" w:eastAsia="宋体" w:cs="Arial"/>
                <w:color w:val="auto"/>
                <w:highlight w:val="none"/>
              </w:rPr>
              <w:t>：</w:t>
            </w:r>
            <w:r>
              <w:rPr>
                <w:rFonts w:hint="default" w:ascii="Arial" w:hAnsi="Arial" w:eastAsia="宋体" w:cs="Arial"/>
                <w:color w:val="auto"/>
                <w:szCs w:val="21"/>
                <w:highlight w:val="none"/>
              </w:rPr>
              <w:t>法定代表人授权委托书及附件，格式及附件见第六章投标文件格式要求；</w:t>
            </w:r>
          </w:p>
          <w:p>
            <w:pPr>
              <w:spacing w:line="2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法定代表人直接参加投标时审查</w:t>
            </w:r>
            <w:r>
              <w:rPr>
                <w:rFonts w:hint="default" w:ascii="Arial" w:hAnsi="Arial" w:eastAsia="宋体" w:cs="Arial"/>
                <w:color w:val="auto"/>
                <w:highlight w:val="none"/>
              </w:rPr>
              <w:t>：</w:t>
            </w:r>
            <w:r>
              <w:rPr>
                <w:rFonts w:hint="default" w:ascii="Arial" w:hAnsi="Arial" w:eastAsia="宋体" w:cs="Arial"/>
                <w:color w:val="auto"/>
                <w:szCs w:val="21"/>
                <w:highlight w:val="none"/>
              </w:rPr>
              <w:t>法定代表人身份证明及附件，格式及附件见第六章投标文件格式要求。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675" w:type="dxa"/>
            <w:vMerge w:val="continue"/>
            <w:vAlign w:val="center"/>
          </w:tcPr>
          <w:p>
            <w:pPr>
              <w:spacing w:line="240" w:lineRule="exact"/>
              <w:jc w:val="center"/>
              <w:rPr>
                <w:rFonts w:hint="default" w:ascii="Arial" w:hAnsi="Arial" w:eastAsia="宋体" w:cs="Arial"/>
                <w:color w:val="auto"/>
                <w:kern w:val="0"/>
                <w:szCs w:val="21"/>
                <w:highlight w:val="none"/>
              </w:rPr>
            </w:pPr>
          </w:p>
        </w:tc>
        <w:tc>
          <w:tcPr>
            <w:tcW w:w="1560" w:type="dxa"/>
            <w:vMerge w:val="continue"/>
            <w:vAlign w:val="center"/>
          </w:tcPr>
          <w:p>
            <w:pPr>
              <w:spacing w:line="240" w:lineRule="exact"/>
              <w:rPr>
                <w:rFonts w:hint="default" w:ascii="Arial" w:hAnsi="Arial" w:eastAsia="宋体" w:cs="Arial"/>
                <w:color w:val="auto"/>
                <w:kern w:val="0"/>
                <w:szCs w:val="21"/>
                <w:highlight w:val="none"/>
              </w:rPr>
            </w:pPr>
          </w:p>
        </w:tc>
        <w:tc>
          <w:tcPr>
            <w:tcW w:w="1984"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highlight w:val="none"/>
              </w:rPr>
              <w:t>投标文件或者投标报价唯一性</w:t>
            </w:r>
          </w:p>
        </w:tc>
        <w:tc>
          <w:tcPr>
            <w:tcW w:w="5409" w:type="dxa"/>
            <w:vAlign w:val="center"/>
          </w:tcPr>
          <w:p>
            <w:pPr>
              <w:spacing w:line="240" w:lineRule="exact"/>
              <w:rPr>
                <w:rFonts w:hint="default" w:ascii="Arial" w:hAnsi="Arial" w:eastAsia="宋体" w:cs="Arial"/>
                <w:color w:val="auto"/>
                <w:kern w:val="0"/>
                <w:szCs w:val="21"/>
                <w:highlight w:val="none"/>
              </w:rPr>
            </w:pPr>
            <w:r>
              <w:rPr>
                <w:rFonts w:hint="default" w:ascii="Arial" w:hAnsi="Arial" w:eastAsia="宋体" w:cs="Arial"/>
                <w:color w:val="auto"/>
                <w:highlight w:val="none"/>
              </w:rPr>
              <w:t>同</w:t>
            </w:r>
            <w:r>
              <w:rPr>
                <w:rFonts w:hint="default" w:ascii="Arial" w:hAnsi="Arial" w:eastAsia="宋体" w:cs="Arial"/>
                <w:color w:val="auto"/>
                <w:szCs w:val="21"/>
                <w:highlight w:val="none"/>
              </w:rPr>
              <w:t>一供应商不得提交两个以上不同的投标文件或者投标报价，但招标文件要求提交备选投标的除外。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675" w:type="dxa"/>
            <w:vMerge w:val="continue"/>
            <w:vAlign w:val="center"/>
          </w:tcPr>
          <w:p>
            <w:pPr>
              <w:spacing w:line="240" w:lineRule="exact"/>
              <w:jc w:val="center"/>
              <w:rPr>
                <w:rFonts w:hint="default" w:ascii="Arial" w:hAnsi="Arial" w:eastAsia="宋体" w:cs="Arial"/>
                <w:color w:val="auto"/>
                <w:kern w:val="0"/>
                <w:szCs w:val="21"/>
                <w:highlight w:val="none"/>
              </w:rPr>
            </w:pPr>
          </w:p>
        </w:tc>
        <w:tc>
          <w:tcPr>
            <w:tcW w:w="1560" w:type="dxa"/>
            <w:vMerge w:val="continue"/>
            <w:vAlign w:val="center"/>
          </w:tcPr>
          <w:p>
            <w:pPr>
              <w:spacing w:line="240" w:lineRule="exact"/>
              <w:rPr>
                <w:rFonts w:hint="default" w:ascii="Arial" w:hAnsi="Arial" w:eastAsia="宋体" w:cs="Arial"/>
                <w:color w:val="auto"/>
                <w:kern w:val="0"/>
                <w:szCs w:val="21"/>
                <w:highlight w:val="none"/>
              </w:rPr>
            </w:pPr>
          </w:p>
        </w:tc>
        <w:tc>
          <w:tcPr>
            <w:tcW w:w="1984" w:type="dxa"/>
            <w:vAlign w:val="center"/>
          </w:tcPr>
          <w:p>
            <w:pPr>
              <w:rPr>
                <w:rFonts w:hint="default" w:ascii="Arial" w:hAnsi="Arial" w:eastAsia="宋体" w:cs="Arial"/>
                <w:color w:val="auto"/>
                <w:highlight w:val="none"/>
              </w:rPr>
            </w:pPr>
            <w:r>
              <w:rPr>
                <w:rFonts w:hint="default" w:ascii="Arial" w:hAnsi="Arial" w:eastAsia="宋体" w:cs="Arial"/>
                <w:color w:val="auto"/>
                <w:highlight w:val="none"/>
              </w:rPr>
              <w:t>投标报价</w:t>
            </w:r>
          </w:p>
        </w:tc>
        <w:tc>
          <w:tcPr>
            <w:tcW w:w="5409" w:type="dxa"/>
            <w:vAlign w:val="center"/>
          </w:tcPr>
          <w:p>
            <w:pPr>
              <w:rPr>
                <w:rFonts w:hint="default" w:ascii="Arial" w:hAnsi="Arial" w:eastAsia="宋体" w:cs="Arial"/>
                <w:color w:val="auto"/>
                <w:highlight w:val="none"/>
              </w:rPr>
            </w:pPr>
            <w:r>
              <w:rPr>
                <w:rFonts w:hint="default" w:ascii="Arial" w:hAnsi="Arial" w:eastAsia="宋体" w:cs="Arial"/>
                <w:color w:val="auto"/>
                <w:szCs w:val="21"/>
                <w:highlight w:val="none"/>
              </w:rPr>
              <w:t>报价超出采购预算金额或最高限价（如有）的，否决其投标</w:t>
            </w:r>
            <w:r>
              <w:rPr>
                <w:rFonts w:hint="default" w:ascii="Arial" w:hAnsi="Arial" w:eastAsia="宋体" w:cs="Arial"/>
                <w:color w:val="auto"/>
                <w:highlight w:val="none"/>
              </w:rPr>
              <w:t>。</w:t>
            </w:r>
            <w:r>
              <w:rPr>
                <w:rFonts w:hint="default" w:ascii="Arial" w:hAnsi="Arial" w:eastAsia="宋体" w:cs="Arial"/>
                <w:color w:val="auto"/>
                <w:szCs w:val="21"/>
                <w:highlight w:val="none"/>
              </w:rPr>
              <w:t>提交选择性报价的，否决其投标。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75" w:type="dxa"/>
            <w:vMerge w:val="continue"/>
            <w:vAlign w:val="center"/>
          </w:tcPr>
          <w:p>
            <w:pPr>
              <w:spacing w:line="240" w:lineRule="exact"/>
              <w:jc w:val="center"/>
              <w:rPr>
                <w:rFonts w:hint="default" w:ascii="Arial" w:hAnsi="Arial" w:eastAsia="宋体" w:cs="Arial"/>
                <w:color w:val="auto"/>
                <w:kern w:val="0"/>
                <w:szCs w:val="21"/>
                <w:highlight w:val="none"/>
              </w:rPr>
            </w:pPr>
          </w:p>
        </w:tc>
        <w:tc>
          <w:tcPr>
            <w:tcW w:w="1560" w:type="dxa"/>
            <w:vMerge w:val="continue"/>
            <w:vAlign w:val="center"/>
          </w:tcPr>
          <w:p>
            <w:pPr>
              <w:spacing w:line="240" w:lineRule="exact"/>
              <w:rPr>
                <w:rFonts w:hint="default" w:ascii="Arial" w:hAnsi="Arial" w:eastAsia="宋体" w:cs="Arial"/>
                <w:color w:val="auto"/>
                <w:kern w:val="0"/>
                <w:szCs w:val="21"/>
                <w:highlight w:val="none"/>
              </w:rPr>
            </w:pPr>
          </w:p>
        </w:tc>
        <w:tc>
          <w:tcPr>
            <w:tcW w:w="1984"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联合体供应商</w:t>
            </w:r>
          </w:p>
        </w:tc>
        <w:tc>
          <w:tcPr>
            <w:tcW w:w="5409" w:type="dxa"/>
            <w:vAlign w:val="center"/>
          </w:tcPr>
          <w:p>
            <w:pPr>
              <w:spacing w:line="240" w:lineRule="exact"/>
              <w:rPr>
                <w:rFonts w:hint="default" w:ascii="Arial" w:hAnsi="Arial" w:eastAsia="宋体" w:cs="Arial"/>
                <w:color w:val="auto"/>
                <w:kern w:val="0"/>
                <w:szCs w:val="21"/>
                <w:highlight w:val="none"/>
              </w:rPr>
            </w:pPr>
            <w:r>
              <w:rPr>
                <w:rFonts w:hint="default" w:ascii="Arial" w:hAnsi="Arial" w:eastAsia="宋体" w:cs="Arial"/>
                <w:color w:val="auto"/>
                <w:szCs w:val="21"/>
                <w:highlight w:val="none"/>
                <w:lang w:val="zh-CN"/>
              </w:rPr>
              <w:t>不接受联合体。联合体投标的，作无效投标处理。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75" w:type="dxa"/>
            <w:vAlign w:val="center"/>
          </w:tcPr>
          <w:p>
            <w:pPr>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（2）</w:t>
            </w:r>
          </w:p>
        </w:tc>
        <w:tc>
          <w:tcPr>
            <w:tcW w:w="1560"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kern w:val="0"/>
                <w:szCs w:val="21"/>
                <w:highlight w:val="none"/>
              </w:rPr>
              <w:t>对招标文件的响应程度审查</w:t>
            </w:r>
          </w:p>
        </w:tc>
        <w:tc>
          <w:tcPr>
            <w:tcW w:w="1984"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实质性条款响应</w:t>
            </w:r>
          </w:p>
        </w:tc>
        <w:tc>
          <w:tcPr>
            <w:tcW w:w="5409" w:type="dxa"/>
            <w:vAlign w:val="center"/>
          </w:tcPr>
          <w:p>
            <w:pPr>
              <w:spacing w:line="240" w:lineRule="exact"/>
              <w:rPr>
                <w:rFonts w:hint="default" w:ascii="Arial" w:hAnsi="Arial" w:eastAsia="宋体" w:cs="Arial"/>
                <w:color w:val="auto"/>
                <w:szCs w:val="21"/>
                <w:highlight w:val="none"/>
                <w:lang w:val="zh-CN"/>
              </w:rPr>
            </w:pPr>
            <w:r>
              <w:rPr>
                <w:rFonts w:hint="default" w:ascii="Arial" w:hAnsi="Arial" w:eastAsia="宋体" w:cs="Arial"/>
                <w:color w:val="auto"/>
                <w:szCs w:val="21"/>
                <w:highlight w:val="none"/>
                <w:lang w:val="zh-CN"/>
              </w:rPr>
              <w:t>对招标文件中所有标注</w:t>
            </w:r>
            <w:r>
              <w:rPr>
                <w:rFonts w:hint="eastAsia" w:ascii="Arial" w:hAnsi="Arial" w:eastAsia="宋体" w:cs="Arial"/>
                <w:color w:val="auto"/>
                <w:szCs w:val="21"/>
                <w:highlight w:val="none"/>
                <w:lang w:val="zh-CN"/>
              </w:rPr>
              <w:t>★</w:t>
            </w:r>
            <w:r>
              <w:rPr>
                <w:rFonts w:hint="eastAsia" w:ascii="Arial" w:hAnsi="Arial" w:eastAsia="宋体" w:cs="Arial"/>
                <w:color w:val="auto"/>
                <w:szCs w:val="21"/>
                <w:highlight w:val="none"/>
                <w:lang w:val="zh-CN" w:eastAsia="zh-CN"/>
              </w:rPr>
              <w:t>为实质性参数</w:t>
            </w:r>
            <w:r>
              <w:rPr>
                <w:rFonts w:hint="default" w:ascii="Arial" w:hAnsi="Arial" w:eastAsia="宋体" w:cs="Arial"/>
                <w:color w:val="auto"/>
                <w:szCs w:val="21"/>
                <w:highlight w:val="none"/>
                <w:lang w:val="zh-CN"/>
              </w:rPr>
              <w:t>号的实质性条款要求响应均无负偏离。</w:t>
            </w:r>
          </w:p>
        </w:tc>
      </w:tr>
    </w:tbl>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3、部分节能产品强制性采购要求</w:t>
      </w:r>
    </w:p>
    <w:p>
      <w:pPr>
        <w:suppressAutoHyphens/>
        <w:spacing w:before="120" w:line="320" w:lineRule="atLeast"/>
        <w:ind w:firstLine="422" w:firstLineChars="201"/>
        <w:rPr>
          <w:rFonts w:hint="default" w:ascii="Arial" w:hAnsi="Arial" w:eastAsia="宋体" w:cs="Arial"/>
          <w:color w:val="auto"/>
          <w:szCs w:val="21"/>
          <w:highlight w:val="none"/>
        </w:rPr>
      </w:pPr>
      <w:r>
        <w:rPr>
          <w:rFonts w:hint="default" w:ascii="Arial" w:hAnsi="Arial" w:eastAsia="宋体" w:cs="Arial"/>
          <w:color w:val="auto"/>
          <w:szCs w:val="21"/>
          <w:highlight w:val="none"/>
        </w:rPr>
        <w:t>本项目采购范围如果包括</w:t>
      </w:r>
      <w:r>
        <w:rPr>
          <w:rFonts w:hint="default" w:ascii="Arial" w:hAnsi="Arial" w:eastAsia="宋体" w:cs="Arial"/>
          <w:color w:val="auto"/>
          <w:kern w:val="1"/>
          <w:szCs w:val="21"/>
          <w:highlight w:val="none"/>
          <w:lang w:eastAsia="ar-SA"/>
        </w:rPr>
        <w:t>政府强制采购的节能产品时</w:t>
      </w:r>
      <w:r>
        <w:rPr>
          <w:rFonts w:hint="default" w:ascii="Arial" w:hAnsi="Arial" w:eastAsia="宋体" w:cs="Arial"/>
          <w:color w:val="auto"/>
          <w:kern w:val="1"/>
          <w:szCs w:val="21"/>
          <w:highlight w:val="none"/>
        </w:rPr>
        <w:t>，</w:t>
      </w:r>
      <w:r>
        <w:rPr>
          <w:rFonts w:hint="default" w:ascii="Arial" w:hAnsi="Arial" w:eastAsia="宋体" w:cs="Arial"/>
          <w:color w:val="auto"/>
          <w:highlight w:val="none"/>
        </w:rPr>
        <w:t>评标委员会须根据以下规定评审</w:t>
      </w:r>
      <w:r>
        <w:rPr>
          <w:rFonts w:hint="default" w:ascii="Arial" w:hAnsi="Arial" w:eastAsia="宋体" w:cs="Arial"/>
          <w:bCs/>
          <w:color w:val="auto"/>
          <w:kern w:val="0"/>
          <w:szCs w:val="21"/>
          <w:highlight w:val="none"/>
        </w:rPr>
        <w:t>投标有效性</w:t>
      </w:r>
      <w:r>
        <w:rPr>
          <w:rFonts w:hint="default" w:ascii="Arial" w:hAnsi="Arial" w:eastAsia="宋体" w:cs="Arial"/>
          <w:color w:val="auto"/>
          <w:highlight w:val="none"/>
        </w:rPr>
        <w:t>。</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本项目采购范围如果包括台式计算机、便携式计算机、平板式微型计算机、激光打印机、针式打印机、液晶显示器、制冷压缩机、空调机组、专用制冷、空调设备、镇流器、空调机、电热水器、普通照明用双端荧光灯、电视设备，视频设备、以及便器、水嘴等政府强制采购节能产品，相应产品必须使用节能产品政府采购品目清单内的产品，并处于有效期之内。否则，投标无效。</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4、信息安全产品强制性采购要求：</w:t>
      </w:r>
    </w:p>
    <w:p>
      <w:pPr>
        <w:spacing w:before="120" w:line="276"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本项目采购范围如果包括信息安全产品，供应商提供的信息安全产品应符合《关于信息安全产品实施政府采购的通知》（财库【2010】48号）要求。具体如下：</w:t>
      </w:r>
    </w:p>
    <w:p>
      <w:pPr>
        <w:spacing w:before="120" w:line="276"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（1）使用财政性资金采购信息安全产品的，应当采购经国家认证的信息安全产品。</w:t>
      </w:r>
    </w:p>
    <w:p>
      <w:pPr>
        <w:spacing w:before="120" w:line="276"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（2）中国网络安全审查技术与认证中心网站载明开展国家信息安全产品认证的产品范围共13种，包括：</w:t>
      </w: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"http://www.isccc.gov.cn/zxyw/cprz/gjxxaqcprz/rzfw/11/341644.shtml" \t "_blank" </w:instrText>
      </w:r>
      <w:r>
        <w:rPr>
          <w:rFonts w:hint="default" w:ascii="Arial" w:hAnsi="Arial" w:eastAsia="宋体" w:cs="Arial"/>
          <w:color w:val="auto"/>
          <w:highlight w:val="none"/>
        </w:rPr>
        <w:fldChar w:fldCharType="separate"/>
      </w:r>
      <w:r>
        <w:rPr>
          <w:rFonts w:hint="default" w:ascii="Arial" w:hAnsi="Arial" w:eastAsia="宋体" w:cs="Arial"/>
          <w:color w:val="auto"/>
          <w:szCs w:val="21"/>
          <w:highlight w:val="none"/>
        </w:rPr>
        <w:t>防火墙</w:t>
      </w:r>
      <w:r>
        <w:rPr>
          <w:rFonts w:hint="default" w:ascii="Arial" w:hAnsi="Arial" w:eastAsia="宋体" w:cs="Arial"/>
          <w:color w:val="auto"/>
          <w:szCs w:val="21"/>
          <w:highlight w:val="none"/>
        </w:rPr>
        <w:fldChar w:fldCharType="end"/>
      </w:r>
      <w:r>
        <w:rPr>
          <w:rFonts w:hint="default" w:ascii="Arial" w:hAnsi="Arial" w:eastAsia="宋体" w:cs="Arial"/>
          <w:color w:val="auto"/>
          <w:szCs w:val="21"/>
          <w:highlight w:val="none"/>
        </w:rPr>
        <w:t>、网络安全隔离卡与线路选择器、</w:t>
      </w:r>
      <w:r>
        <w:rPr>
          <w:rFonts w:hint="default" w:ascii="Arial" w:hAnsi="Arial" w:eastAsia="宋体" w:cs="Arial"/>
          <w:color w:val="auto"/>
          <w:highlight w:val="none"/>
        </w:rPr>
        <w:fldChar w:fldCharType="begin"/>
      </w:r>
      <w:r>
        <w:rPr>
          <w:rFonts w:hint="default" w:ascii="Arial" w:hAnsi="Arial" w:eastAsia="宋体" w:cs="Arial"/>
          <w:color w:val="auto"/>
          <w:highlight w:val="none"/>
        </w:rPr>
        <w:instrText xml:space="preserve"> HYPERLINK "http://www.isccc.gov.cn/zxyw/cprz/gjxxaqcprz/rzfw/11/341642.shtml" \t "_blank" </w:instrText>
      </w:r>
      <w:r>
        <w:rPr>
          <w:rFonts w:hint="default" w:ascii="Arial" w:hAnsi="Arial" w:eastAsia="宋体" w:cs="Arial"/>
          <w:color w:val="auto"/>
          <w:highlight w:val="none"/>
        </w:rPr>
        <w:fldChar w:fldCharType="separate"/>
      </w:r>
      <w:r>
        <w:rPr>
          <w:rFonts w:hint="default" w:ascii="Arial" w:hAnsi="Arial" w:eastAsia="宋体" w:cs="Arial"/>
          <w:color w:val="auto"/>
          <w:szCs w:val="21"/>
          <w:highlight w:val="none"/>
        </w:rPr>
        <w:t>安全隔离与信息交换产品</w:t>
      </w:r>
      <w:r>
        <w:rPr>
          <w:rFonts w:hint="default" w:ascii="Arial" w:hAnsi="Arial" w:eastAsia="宋体" w:cs="Arial"/>
          <w:color w:val="auto"/>
          <w:szCs w:val="21"/>
          <w:highlight w:val="none"/>
        </w:rPr>
        <w:fldChar w:fldCharType="end"/>
      </w:r>
      <w:r>
        <w:rPr>
          <w:rFonts w:hint="default" w:ascii="Arial" w:hAnsi="Arial" w:eastAsia="宋体" w:cs="Arial"/>
          <w:color w:val="auto"/>
          <w:szCs w:val="21"/>
          <w:highlight w:val="none"/>
        </w:rPr>
        <w:t>、安全路由器、智能卡COS、数据备份与恢复产品、安全操作系统、安全数据库系统、反垃圾邮件产品、入侵检测系统（IDS）、网络脆弱扫描产品、安全审计产品、网站恢复产品。</w:t>
      </w:r>
    </w:p>
    <w:p>
      <w:pPr>
        <w:spacing w:before="120" w:line="276" w:lineRule="auto"/>
        <w:ind w:firstLine="420" w:firstLineChars="200"/>
        <w:rPr>
          <w:rFonts w:hint="default" w:ascii="Arial" w:hAnsi="Arial" w:eastAsia="宋体" w:cs="Arial"/>
          <w:b/>
          <w:bCs/>
          <w:color w:val="auto"/>
          <w:highlight w:val="none"/>
        </w:rPr>
      </w:pPr>
      <w:r>
        <w:rPr>
          <w:rFonts w:hint="default" w:ascii="Arial" w:hAnsi="Arial" w:eastAsia="宋体" w:cs="Arial"/>
          <w:color w:val="auto"/>
          <w:szCs w:val="21"/>
          <w:highlight w:val="none"/>
        </w:rPr>
        <w:t>（3）供应商所提供产品属于以上13种信息安全产品的，供应商在投标文件中列明属于信息安全产品的投标产品。</w:t>
      </w:r>
      <w:r>
        <w:rPr>
          <w:rFonts w:hint="default" w:ascii="Arial" w:hAnsi="Arial" w:eastAsia="宋体" w:cs="Arial"/>
          <w:color w:val="auto"/>
          <w:highlight w:val="none"/>
        </w:rPr>
        <w:t>采购人或采购代理机构通过“中国网络安全审查技术与认证中心”进行查询其有效认证证书，无证书或证书无效的，投标无效。</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5、相同品牌投标有效性认定</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不同供应商提供的投标产品品牌相同时，评标委员会须根据以下规定评审</w:t>
      </w:r>
      <w:r>
        <w:rPr>
          <w:rFonts w:hint="default" w:ascii="Arial" w:hAnsi="Arial" w:eastAsia="宋体" w:cs="Arial"/>
          <w:bCs/>
          <w:color w:val="auto"/>
          <w:kern w:val="0"/>
          <w:szCs w:val="21"/>
          <w:highlight w:val="none"/>
        </w:rPr>
        <w:t>相同品牌的投标有效性</w:t>
      </w:r>
      <w:r>
        <w:rPr>
          <w:rFonts w:hint="default" w:ascii="Arial" w:hAnsi="Arial" w:eastAsia="宋体" w:cs="Arial"/>
          <w:color w:val="auto"/>
          <w:highlight w:val="none"/>
        </w:rPr>
        <w:t>。</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（1）如若提供相同品牌产品且通过资格审查、符合性审查的不同供应商参加同一合同项下投标的，按一家供应商计算，评审后得分最高的同品牌供应商获得中标供应商推荐资格；评审得分相同的，</w:t>
      </w:r>
      <w:r>
        <w:rPr>
          <w:rFonts w:hint="default" w:ascii="Arial" w:hAnsi="Arial" w:eastAsia="宋体" w:cs="Arial"/>
          <w:color w:val="auto"/>
          <w:highlight w:val="none"/>
        </w:rPr>
        <w:t>由（</w:t>
      </w:r>
      <w:r>
        <w:rPr>
          <w:rFonts w:hint="default" w:ascii="Arial" w:hAnsi="Arial" w:eastAsia="宋体" w:cs="Arial"/>
          <w:color w:val="auto"/>
          <w:szCs w:val="20"/>
          <w:highlight w:val="none"/>
        </w:rPr>
        <w:sym w:font="Wingdings 2" w:char="F052"/>
      </w:r>
      <w:r>
        <w:rPr>
          <w:rFonts w:hint="default" w:ascii="Arial" w:hAnsi="Arial" w:eastAsia="宋体" w:cs="Arial"/>
          <w:color w:val="auto"/>
          <w:highlight w:val="none"/>
        </w:rPr>
        <w:t>采购人</w:t>
      </w:r>
      <w:r>
        <w:rPr>
          <w:rFonts w:hint="default" w:ascii="Arial" w:hAnsi="Arial" w:eastAsia="宋体" w:cs="Arial"/>
          <w:color w:val="auto"/>
          <w:szCs w:val="21"/>
          <w:highlight w:val="none"/>
        </w:rPr>
        <w:t>；</w:t>
      </w:r>
      <w:r>
        <w:rPr>
          <w:rFonts w:hint="default" w:ascii="Arial" w:hAnsi="Arial" w:eastAsia="宋体" w:cs="Arial"/>
          <w:color w:val="auto"/>
          <w:szCs w:val="20"/>
          <w:highlight w:val="none"/>
        </w:rPr>
        <w:sym w:font="Wingdings 2" w:char="F0A3"/>
      </w:r>
      <w:r>
        <w:rPr>
          <w:rFonts w:hint="default" w:ascii="Arial" w:hAnsi="Arial" w:eastAsia="宋体" w:cs="Arial"/>
          <w:color w:val="auto"/>
          <w:highlight w:val="none"/>
        </w:rPr>
        <w:t>采购人委托评标委员会）按照报价低者推荐</w:t>
      </w:r>
      <w:r>
        <w:rPr>
          <w:rFonts w:hint="default" w:ascii="Arial" w:hAnsi="Arial" w:eastAsia="宋体" w:cs="Arial"/>
          <w:color w:val="auto"/>
          <w:szCs w:val="21"/>
          <w:highlight w:val="none"/>
        </w:rPr>
        <w:t>中标供应商资格</w:t>
      </w:r>
      <w:r>
        <w:rPr>
          <w:rFonts w:hint="default" w:ascii="Arial" w:hAnsi="Arial" w:eastAsia="宋体" w:cs="Arial"/>
          <w:color w:val="auto"/>
          <w:highlight w:val="none"/>
        </w:rPr>
        <w:t>，如报价仍相同，则按技术部分得分高者推荐</w:t>
      </w:r>
      <w:r>
        <w:rPr>
          <w:rFonts w:hint="default" w:ascii="Arial" w:hAnsi="Arial" w:eastAsia="宋体" w:cs="Arial"/>
          <w:color w:val="auto"/>
          <w:szCs w:val="21"/>
          <w:highlight w:val="none"/>
        </w:rPr>
        <w:t>中标供应商资格</w:t>
      </w:r>
      <w:r>
        <w:rPr>
          <w:rFonts w:hint="default" w:ascii="Arial" w:hAnsi="Arial" w:eastAsia="宋体" w:cs="Arial"/>
          <w:color w:val="auto"/>
          <w:highlight w:val="none"/>
        </w:rPr>
        <w:t>，仍相同的，则按商务部分得分高者推荐</w:t>
      </w:r>
      <w:r>
        <w:rPr>
          <w:rFonts w:hint="default" w:ascii="Arial" w:hAnsi="Arial" w:eastAsia="宋体" w:cs="Arial"/>
          <w:color w:val="auto"/>
          <w:szCs w:val="21"/>
          <w:highlight w:val="none"/>
        </w:rPr>
        <w:t>中标供应商资格</w:t>
      </w:r>
      <w:r>
        <w:rPr>
          <w:rFonts w:hint="default" w:ascii="Arial" w:hAnsi="Arial" w:eastAsia="宋体" w:cs="Arial"/>
          <w:color w:val="auto"/>
          <w:highlight w:val="none"/>
        </w:rPr>
        <w:t>，若仍相同，则按业绩得分高者推荐中标供应商资格，其他同品牌供应商不作为中标候选人。</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（2）非单一产品采购项目，采购人应当确定核心产品，并在招标文件中载明。多家供应商提供的核心产品品牌相同的，按上述规定处理。核心产品的定义见“项目采购需求”规定。</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6、串通投标的认定</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评标委员会须根据以下规定评审</w:t>
      </w:r>
      <w:r>
        <w:rPr>
          <w:rFonts w:hint="default" w:ascii="Arial" w:hAnsi="Arial" w:eastAsia="宋体" w:cs="Arial"/>
          <w:bCs/>
          <w:color w:val="auto"/>
          <w:kern w:val="0"/>
          <w:szCs w:val="21"/>
          <w:highlight w:val="none"/>
        </w:rPr>
        <w:t>供应商是否有串通投标的行为，并按规定判定投标是否有效</w:t>
      </w:r>
      <w:r>
        <w:rPr>
          <w:rFonts w:hint="default" w:ascii="Arial" w:hAnsi="Arial" w:eastAsia="宋体" w:cs="Arial"/>
          <w:color w:val="auto"/>
          <w:highlight w:val="none"/>
        </w:rPr>
        <w:t>。</w:t>
      </w:r>
    </w:p>
    <w:p>
      <w:pPr>
        <w:spacing w:before="120" w:line="320" w:lineRule="atLeast"/>
        <w:ind w:firstLine="420" w:firstLineChars="200"/>
        <w:rPr>
          <w:rFonts w:hint="default" w:ascii="Arial" w:hAnsi="Arial" w:eastAsia="宋体" w:cs="Arial"/>
          <w:color w:val="auto"/>
          <w:szCs w:val="21"/>
          <w:highlight w:val="none"/>
        </w:rPr>
      </w:pPr>
      <w:bookmarkStart w:id="31" w:name="_Hlk19122026"/>
      <w:r>
        <w:rPr>
          <w:rFonts w:hint="default" w:ascii="Arial" w:hAnsi="Arial" w:eastAsia="宋体" w:cs="Arial"/>
          <w:color w:val="auto"/>
          <w:szCs w:val="21"/>
          <w:highlight w:val="none"/>
        </w:rPr>
        <w:t>（1）</w:t>
      </w:r>
      <w:bookmarkEnd w:id="31"/>
      <w:r>
        <w:rPr>
          <w:rFonts w:hint="default" w:ascii="Arial" w:hAnsi="Arial" w:eastAsia="宋体" w:cs="Arial"/>
          <w:color w:val="auto"/>
          <w:szCs w:val="21"/>
          <w:highlight w:val="none"/>
        </w:rPr>
        <w:t>根据桂财采[2016]42号《关于防治政府采购招标中串通投标行为的通知》规定，出现下述情况的，相关供应商的投标作无效投标处理。</w:t>
      </w:r>
    </w:p>
    <w:p>
      <w:pPr>
        <w:spacing w:before="120" w:line="320" w:lineRule="atLeast"/>
        <w:ind w:firstLine="420" w:firstLineChars="200"/>
        <w:rPr>
          <w:rFonts w:hint="default" w:ascii="Arial" w:hAnsi="Arial" w:eastAsia="宋体" w:cs="Arial"/>
          <w:color w:val="auto"/>
          <w:szCs w:val="21"/>
          <w:highlight w:val="none"/>
        </w:rPr>
      </w:pPr>
      <w:bookmarkStart w:id="32" w:name="_Hlk19122039"/>
      <w:r>
        <w:rPr>
          <w:rFonts w:hint="default" w:ascii="Arial" w:hAnsi="Arial" w:eastAsia="宋体" w:cs="Arial"/>
          <w:color w:val="auto"/>
          <w:szCs w:val="21"/>
          <w:highlight w:val="none"/>
        </w:rPr>
        <w:t>①单位负责人为同一人或者存在直接控股、管理关系，参加同一合同项下政府采购活动的不同供应商。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②授权给供应商后参加同一合同项（分标、分包）投标的生产厂商。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③视为或被认定为串通投标的相关供应商。</w:t>
      </w:r>
    </w:p>
    <w:bookmarkEnd w:id="32"/>
    <w:p>
      <w:pPr>
        <w:spacing w:before="120" w:line="320" w:lineRule="atLeast"/>
        <w:ind w:firstLine="420" w:firstLineChars="200"/>
        <w:rPr>
          <w:rFonts w:hint="default" w:ascii="Arial" w:hAnsi="Arial" w:eastAsia="宋体" w:cs="Arial"/>
          <w:color w:val="auto"/>
          <w:szCs w:val="21"/>
          <w:highlight w:val="none"/>
        </w:rPr>
      </w:pPr>
      <w:bookmarkStart w:id="33" w:name="_Hlk19122058"/>
      <w:r>
        <w:rPr>
          <w:rFonts w:hint="default" w:ascii="Arial" w:hAnsi="Arial" w:eastAsia="宋体" w:cs="Arial"/>
          <w:color w:val="auto"/>
          <w:szCs w:val="21"/>
          <w:highlight w:val="none"/>
        </w:rPr>
        <w:t>（2）</w:t>
      </w:r>
      <w:bookmarkEnd w:id="33"/>
      <w:r>
        <w:rPr>
          <w:rFonts w:hint="default" w:ascii="Arial" w:hAnsi="Arial" w:eastAsia="宋体" w:cs="Arial"/>
          <w:color w:val="auto"/>
          <w:szCs w:val="21"/>
          <w:highlight w:val="none"/>
        </w:rPr>
        <w:t>根据桂财采[2016]42号《关于防治政府采购招标中串通投标行为的通知》规定，有下列情形之一的视为供应商相互串通投标，投标文件将被视为无效。</w:t>
      </w:r>
    </w:p>
    <w:p>
      <w:pPr>
        <w:spacing w:before="120" w:line="320" w:lineRule="atLeast"/>
        <w:ind w:firstLine="420" w:firstLineChars="200"/>
        <w:rPr>
          <w:rFonts w:hint="default" w:ascii="Arial" w:hAnsi="Arial" w:eastAsia="宋体" w:cs="Arial"/>
          <w:color w:val="auto"/>
          <w:szCs w:val="21"/>
          <w:highlight w:val="none"/>
        </w:rPr>
      </w:pPr>
      <w:bookmarkStart w:id="34" w:name="_Hlk19122048"/>
      <w:r>
        <w:rPr>
          <w:rFonts w:hint="default" w:ascii="Arial" w:hAnsi="Arial" w:eastAsia="宋体" w:cs="Arial"/>
          <w:color w:val="auto"/>
          <w:szCs w:val="21"/>
          <w:highlight w:val="none"/>
        </w:rPr>
        <w:t>①不同供应商的投标文件由同一单位或者个人编制；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②不同供应商委托同一单位或者个人办理投标事宜；</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③不同的供应商的投标文件载明的项目管理员为同一个人；</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④不同供应商的投标文件异常一致或投标报价呈规律性差异；</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⑤不同供应商的投标文件相互混装；</w:t>
      </w:r>
    </w:p>
    <w:bookmarkEnd w:id="34"/>
    <w:p>
      <w:pPr>
        <w:spacing w:before="120" w:line="320" w:lineRule="atLeast"/>
        <w:ind w:firstLine="420" w:firstLineChars="200"/>
        <w:rPr>
          <w:rFonts w:hint="default" w:ascii="Arial" w:hAnsi="Arial" w:eastAsia="宋体" w:cs="Arial"/>
          <w:color w:val="auto"/>
          <w:szCs w:val="21"/>
          <w:highlight w:val="none"/>
        </w:rPr>
      </w:pPr>
      <w:bookmarkStart w:id="35" w:name="_Hlk19122102"/>
      <w:r>
        <w:rPr>
          <w:rFonts w:hint="default" w:ascii="Arial" w:hAnsi="Arial" w:eastAsia="宋体" w:cs="Arial"/>
          <w:color w:val="auto"/>
          <w:szCs w:val="21"/>
          <w:highlight w:val="none"/>
        </w:rPr>
        <w:t>（3）</w:t>
      </w:r>
      <w:bookmarkEnd w:id="35"/>
      <w:r>
        <w:rPr>
          <w:rFonts w:hint="default" w:ascii="Arial" w:hAnsi="Arial" w:eastAsia="宋体" w:cs="Arial"/>
          <w:color w:val="auto"/>
          <w:szCs w:val="21"/>
          <w:highlight w:val="none"/>
        </w:rPr>
        <w:t>根据桂财采[2016]42号《关于防治政府采购招标中串通投标行为的通知》规定，供应商有下列情形之一的，属于恶意串通行为，投标文件将被视为无效。</w:t>
      </w:r>
    </w:p>
    <w:p>
      <w:pPr>
        <w:spacing w:before="120" w:line="320" w:lineRule="atLeast"/>
        <w:ind w:firstLine="420" w:firstLineChars="200"/>
        <w:rPr>
          <w:rFonts w:hint="default" w:ascii="Arial" w:hAnsi="Arial" w:eastAsia="宋体" w:cs="Arial"/>
          <w:color w:val="auto"/>
          <w:szCs w:val="21"/>
          <w:highlight w:val="none"/>
        </w:rPr>
      </w:pPr>
      <w:bookmarkStart w:id="36" w:name="_Hlk19122095"/>
      <w:r>
        <w:rPr>
          <w:rFonts w:hint="default" w:ascii="Arial" w:hAnsi="Arial" w:eastAsia="宋体" w:cs="Arial"/>
          <w:color w:val="auto"/>
          <w:szCs w:val="21"/>
          <w:highlight w:val="none"/>
        </w:rPr>
        <w:t>①供应商直接或者间接从采购人或者采购代理机构处获得其他供应商的相关信息并修改其投标文件或者响应文件；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②供应商按照采购人或者采购代理机构的授意撤换、修改投标文件或者响应文件;；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③供应商之间协商报价、技术方案等投标文件或者响应文件的实质性内容；</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④属于同一集团、协会、商会等组织成员的供应商按照该组织要求协同参加政府采购活动；</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⑤供应商之间事先约定一致抬高或者压低投标报价，或者在招标项目中事先约定轮流以高价位或者低价位中标，或者事先约定由某一特定供应商中标，然后再参加投标；</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⑥供应商之间商定部分供应商放弃参加政府采购活动或者放弃中标；</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⑦供应商与采购人或者采购代理机构之间、供应商相互之间，为谋求特定供应商中标或者排斥其他供应商的其他串通行为。</w:t>
      </w:r>
    </w:p>
    <w:bookmarkEnd w:id="36"/>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7、投标有效性的认定</w:t>
      </w:r>
    </w:p>
    <w:p>
      <w:pPr>
        <w:spacing w:before="120" w:line="320" w:lineRule="atLeast"/>
        <w:ind w:firstLine="420" w:firstLineChars="200"/>
        <w:rPr>
          <w:rFonts w:hint="default" w:ascii="Arial" w:hAnsi="Arial" w:eastAsia="宋体" w:cs="Arial"/>
          <w:color w:val="auto"/>
          <w:szCs w:val="21"/>
          <w:highlight w:val="none"/>
        </w:rPr>
      </w:pPr>
      <w:bookmarkStart w:id="37" w:name="_Hlk19113301"/>
      <w:r>
        <w:rPr>
          <w:rFonts w:hint="default" w:ascii="Arial" w:hAnsi="Arial" w:eastAsia="宋体" w:cs="Arial"/>
          <w:color w:val="auto"/>
          <w:szCs w:val="21"/>
          <w:highlight w:val="none"/>
        </w:rPr>
        <w:t>（1）资格审查时，如发现下列情形之一的，投标文件将被视为无效：</w:t>
      </w:r>
    </w:p>
    <w:p>
      <w:pPr>
        <w:spacing w:before="120" w:line="320" w:lineRule="atLeast"/>
        <w:ind w:firstLine="420" w:firstLineChars="200"/>
        <w:rPr>
          <w:rStyle w:val="181"/>
          <w:rFonts w:hint="default" w:ascii="Arial" w:hAnsi="Arial" w:eastAsia="宋体" w:cs="Arial"/>
          <w:color w:val="auto"/>
          <w:highlight w:val="none"/>
        </w:rPr>
      </w:pPr>
      <w:r>
        <w:rPr>
          <w:rFonts w:hint="default" w:ascii="Arial" w:hAnsi="Arial" w:eastAsia="宋体" w:cs="Arial"/>
          <w:color w:val="auto"/>
          <w:szCs w:val="21"/>
          <w:highlight w:val="none"/>
        </w:rPr>
        <w:t>①</w:t>
      </w:r>
      <w:r>
        <w:rPr>
          <w:rFonts w:hint="default" w:ascii="Arial" w:hAnsi="Arial" w:eastAsia="宋体" w:cs="Arial"/>
          <w:color w:val="auto"/>
          <w:highlight w:val="none"/>
        </w:rPr>
        <w:t>不具备招标文件中规定的资格要求的；</w:t>
      </w:r>
    </w:p>
    <w:p>
      <w:pPr>
        <w:spacing w:before="120" w:line="320" w:lineRule="atLeast"/>
        <w:ind w:firstLine="420" w:firstLineChars="200"/>
        <w:rPr>
          <w:rStyle w:val="181"/>
          <w:rFonts w:hint="default" w:ascii="Arial" w:hAnsi="Arial" w:eastAsia="宋体" w:cs="Arial"/>
          <w:color w:val="auto"/>
          <w:szCs w:val="21"/>
          <w:highlight w:val="none"/>
        </w:rPr>
      </w:pPr>
      <w:r>
        <w:rPr>
          <w:rFonts w:hint="default" w:ascii="Arial" w:hAnsi="Arial" w:eastAsia="宋体" w:cs="Arial"/>
          <w:color w:val="auto"/>
          <w:szCs w:val="21"/>
          <w:highlight w:val="none"/>
        </w:rPr>
        <w:t>②投标文件签署（签名）、盖章不符合招标文件要求的</w:t>
      </w:r>
      <w:r>
        <w:rPr>
          <w:rFonts w:hint="default" w:ascii="Arial" w:hAnsi="Arial" w:eastAsia="宋体" w:cs="Arial"/>
          <w:color w:val="auto"/>
          <w:highlight w:val="none"/>
        </w:rPr>
        <w:t>；</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（2）在符合性审查、商务和技术评估时，如发现下列情形之一的，投标文件将被视为无效：</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szCs w:val="21"/>
          <w:highlight w:val="none"/>
        </w:rPr>
        <w:t>①</w:t>
      </w:r>
      <w:r>
        <w:rPr>
          <w:rFonts w:hint="default" w:ascii="Arial" w:hAnsi="Arial" w:eastAsia="宋体" w:cs="Arial"/>
          <w:color w:val="auto"/>
          <w:highlight w:val="none"/>
        </w:rPr>
        <w:t>投标文件未按招标文件要求签署、盖章的；</w:t>
      </w:r>
    </w:p>
    <w:p>
      <w:pPr>
        <w:spacing w:before="120" w:line="320" w:lineRule="atLeast"/>
        <w:ind w:firstLine="420" w:firstLineChars="200"/>
        <w:rPr>
          <w:rStyle w:val="181"/>
          <w:rFonts w:hint="default" w:ascii="Arial" w:hAnsi="Arial" w:eastAsia="宋体" w:cs="Arial"/>
          <w:color w:val="auto"/>
          <w:highlight w:val="none"/>
        </w:rPr>
      </w:pPr>
      <w:r>
        <w:rPr>
          <w:rFonts w:hint="default" w:ascii="Arial" w:hAnsi="Arial" w:eastAsia="宋体" w:cs="Arial"/>
          <w:color w:val="auto"/>
          <w:szCs w:val="21"/>
          <w:highlight w:val="none"/>
        </w:rPr>
        <w:t>②</w:t>
      </w:r>
      <w:r>
        <w:rPr>
          <w:rFonts w:hint="default" w:ascii="Arial" w:hAnsi="Arial" w:eastAsia="宋体" w:cs="Arial"/>
          <w:color w:val="auto"/>
          <w:highlight w:val="none"/>
        </w:rPr>
        <w:t>投标文件未按招标文件要求提供第六章要求“必须提供”的内容的；</w:t>
      </w:r>
    </w:p>
    <w:p>
      <w:pPr>
        <w:spacing w:before="120" w:line="320" w:lineRule="atLeast"/>
        <w:ind w:firstLine="420" w:firstLineChars="200"/>
        <w:rPr>
          <w:rStyle w:val="181"/>
          <w:rFonts w:hint="default" w:ascii="Arial" w:hAnsi="Arial" w:eastAsia="宋体" w:cs="Arial"/>
          <w:color w:val="auto"/>
          <w:highlight w:val="none"/>
        </w:rPr>
      </w:pPr>
      <w:r>
        <w:rPr>
          <w:rFonts w:hint="default" w:ascii="Arial" w:hAnsi="Arial" w:eastAsia="宋体" w:cs="Arial"/>
          <w:color w:val="auto"/>
          <w:szCs w:val="21"/>
          <w:highlight w:val="none"/>
        </w:rPr>
        <w:t>③</w:t>
      </w:r>
      <w:r>
        <w:rPr>
          <w:rFonts w:hint="default" w:ascii="Arial" w:hAnsi="Arial" w:eastAsia="宋体" w:cs="Arial"/>
          <w:color w:val="auto"/>
          <w:highlight w:val="none"/>
        </w:rPr>
        <w:t>报价超过招标文件中规定的预算金额或者最高限价的；</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szCs w:val="21"/>
          <w:highlight w:val="none"/>
        </w:rPr>
        <w:t>④</w:t>
      </w:r>
      <w:r>
        <w:rPr>
          <w:rFonts w:hint="default" w:ascii="Arial" w:hAnsi="Arial" w:eastAsia="宋体" w:cs="Arial"/>
          <w:color w:val="auto"/>
          <w:highlight w:val="none"/>
        </w:rPr>
        <w:t>投标文件含有采购人不能接受的附加条件的；</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⑤评审过程中发现投标文件中提供虚假材料的；</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⑥法律、法规和招标文件规定的其他无效情形。</w:t>
      </w:r>
    </w:p>
    <w:bookmarkEnd w:id="37"/>
    <w:p>
      <w:pPr>
        <w:spacing w:before="120" w:line="320" w:lineRule="atLeast"/>
        <w:ind w:firstLine="422" w:firstLineChars="200"/>
        <w:rPr>
          <w:rFonts w:hint="default" w:ascii="Arial" w:hAnsi="Arial" w:eastAsia="宋体" w:cs="Arial"/>
          <w:b/>
          <w:bCs/>
          <w:color w:val="auto"/>
          <w:szCs w:val="21"/>
          <w:highlight w:val="none"/>
        </w:rPr>
      </w:pPr>
      <w:bookmarkStart w:id="38" w:name="_Hlk19113313"/>
      <w:r>
        <w:rPr>
          <w:rFonts w:hint="default" w:ascii="Arial" w:hAnsi="Arial" w:eastAsia="宋体" w:cs="Arial"/>
          <w:b/>
          <w:bCs/>
          <w:color w:val="auto"/>
          <w:szCs w:val="21"/>
          <w:highlight w:val="none"/>
        </w:rPr>
        <w:t>（3）根据财库〔2019〕38号《关于促进政府采购公平竞争优化营商环境的通知》以及桂财采〔2019〕41号 《广西壮族自治区财政厅转发财政部关于促进政府采购公平竞争优化营商环境的通知》规定，评标委员会认定投标有效性时不得因装订、纸张、文件排序等非实质性的格式、形式问题否决投标，从而限制和影响供应商投标（响应）。</w:t>
      </w:r>
    </w:p>
    <w:bookmarkEnd w:id="38"/>
    <w:p>
      <w:pPr>
        <w:spacing w:before="120" w:line="320" w:lineRule="atLeast"/>
        <w:ind w:firstLine="413" w:firstLineChars="196"/>
        <w:outlineLvl w:val="1"/>
        <w:rPr>
          <w:rFonts w:hint="default" w:ascii="Arial" w:hAnsi="Arial" w:eastAsia="宋体" w:cs="Arial"/>
          <w:b/>
          <w:bCs/>
          <w:color w:val="auto"/>
          <w:kern w:val="0"/>
          <w:szCs w:val="21"/>
          <w:highlight w:val="none"/>
        </w:rPr>
      </w:pPr>
      <w:bookmarkStart w:id="39" w:name="_Hlk19176155"/>
      <w:r>
        <w:rPr>
          <w:rFonts w:hint="default" w:ascii="Arial" w:hAnsi="Arial" w:eastAsia="宋体" w:cs="Arial"/>
          <w:b/>
          <w:bCs/>
          <w:color w:val="auto"/>
          <w:kern w:val="0"/>
          <w:szCs w:val="21"/>
          <w:highlight w:val="none"/>
        </w:rPr>
        <w:t>8、澄清、说明或补正</w:t>
      </w:r>
    </w:p>
    <w:p>
      <w:pPr>
        <w:spacing w:before="120" w:line="320" w:lineRule="atLeast"/>
        <w:ind w:firstLine="420" w:firstLineChars="200"/>
        <w:rPr>
          <w:rFonts w:hint="default" w:ascii="Arial" w:hAnsi="Arial" w:eastAsia="宋体" w:cs="Arial"/>
          <w:color w:val="auto"/>
          <w:szCs w:val="21"/>
          <w:highlight w:val="none"/>
        </w:rPr>
      </w:pPr>
      <w:bookmarkStart w:id="40" w:name="_Hlk19113333"/>
      <w:r>
        <w:rPr>
          <w:rFonts w:hint="default" w:ascii="Arial" w:hAnsi="Arial" w:eastAsia="宋体" w:cs="Arial"/>
          <w:color w:val="auto"/>
          <w:szCs w:val="21"/>
          <w:highlight w:val="none"/>
        </w:rPr>
        <w:t>对投标文件中含义不明确、同类问题表述不一致或者有明显文字和计算错误的内容，评标委员会可要求供应商在合理时间内通过电话、电子邮件或传真等不见面、不接触的方式作出必要的澄清、说明或者纠正。内容不得超出投标文件的范围或者改变投标文件的实质性内容。逾期未做澄清、说明或者纠正的，经电话催告仍不澄清的，视为放弃。</w:t>
      </w:r>
    </w:p>
    <w:bookmarkEnd w:id="40"/>
    <w:p>
      <w:pPr>
        <w:spacing w:before="120" w:line="320" w:lineRule="atLeast"/>
        <w:ind w:firstLine="413" w:firstLineChars="196"/>
        <w:outlineLvl w:val="1"/>
        <w:rPr>
          <w:rFonts w:hint="default" w:ascii="Arial" w:hAnsi="Arial" w:eastAsia="宋体" w:cs="Arial"/>
          <w:b/>
          <w:bCs/>
          <w:color w:val="auto"/>
          <w:kern w:val="0"/>
          <w:szCs w:val="21"/>
          <w:highlight w:val="none"/>
        </w:rPr>
      </w:pPr>
      <w:bookmarkStart w:id="41" w:name="_Hlk19113363"/>
      <w:r>
        <w:rPr>
          <w:rFonts w:hint="default" w:ascii="Arial" w:hAnsi="Arial" w:eastAsia="宋体" w:cs="Arial"/>
          <w:b/>
          <w:bCs/>
          <w:color w:val="auto"/>
          <w:kern w:val="0"/>
          <w:szCs w:val="21"/>
          <w:highlight w:val="none"/>
        </w:rPr>
        <w:t>9、报价修正</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投标文件报价如果出现计算或表达上的错误，修正错误的原则如下：</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（1）投标文件中开标一览表（报价表）内容与投标文件中相应内容不一致的，以开标一览表（报价表）为准；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（2）大写金额和小写金额不一致的，以大写金额为准；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（3）单价金额小数点或者百分比有明显错位的，以开标一览表的总价为准，并修改单价；</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（4）总价金额与按单价汇总金额不一致的，以单价金额计算结果为准。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同时出现两种以上不一致的，按照上述顺序修正。修正后的报价按照上述“8、澄清、说明或补正”的规定经供应商确认后产生约束力，供应商不确认的，其投标无效。</w:t>
      </w:r>
    </w:p>
    <w:bookmarkEnd w:id="39"/>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10、过低报价合理性的审查</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highlight w:val="none"/>
        </w:rPr>
        <w:t>评标委员会认为供应商的报价明显低于其他通过符合性审查供应商的报价，有可能影响产品质量或者不能诚信履约的，应当要求其在合理的时间内提供书面说明并提交相关证明材料；评标委员会可以要求供应商就提供货物的主要成本、销售费用、管理费用、财务费用、履约费用、计划利润、税金及附加等成本构成事项进行详细陈述。书面说明应当</w:t>
      </w:r>
      <w:r>
        <w:rPr>
          <w:rFonts w:hint="default" w:ascii="Arial" w:hAnsi="Arial" w:eastAsia="宋体" w:cs="Arial"/>
          <w:color w:val="auto"/>
          <w:szCs w:val="21"/>
          <w:highlight w:val="none"/>
        </w:rPr>
        <w:t>按照上述“8、澄清、说明或补正”的规定经供应商确认后提交给评标委员会。</w:t>
      </w:r>
      <w:r>
        <w:rPr>
          <w:rFonts w:hint="default" w:ascii="Arial" w:hAnsi="Arial" w:eastAsia="宋体" w:cs="Arial"/>
          <w:color w:val="auto"/>
          <w:highlight w:val="none"/>
        </w:rPr>
        <w:t>供应商未按规定提供说明或不能证明其报价合理性的，评标委员会应当将其作为无效投标处理。</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报价合理性书面说明应当有签字或盖章确认，供应商为法人的，由其法定代表人或者授权代表签名或盖章确认；供应商为其他组织的，由其主要负责人或者授权代表签名或盖章确认；供应商为自然人的，由其本人或者授权代表签名或盖章确认。</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11、商务和技术评估、综合比较与评价</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评标委员会按招标文件中规定的评标方法和标准，对资格审查和符合性审查合格的投标文件进行商务和技术评估，综合比较与评价。</w:t>
      </w:r>
      <w:r>
        <w:rPr>
          <w:rStyle w:val="181"/>
          <w:rFonts w:hint="default" w:ascii="Arial" w:hAnsi="Arial" w:eastAsia="宋体" w:cs="Arial"/>
          <w:color w:val="auto"/>
          <w:highlight w:val="none"/>
        </w:rPr>
        <w:t>具体评标标准见《</w:t>
      </w:r>
      <w:r>
        <w:rPr>
          <w:rFonts w:hint="default" w:ascii="Arial" w:hAnsi="Arial" w:eastAsia="宋体" w:cs="Arial"/>
          <w:bCs/>
          <w:color w:val="auto"/>
          <w:kern w:val="0"/>
          <w:szCs w:val="21"/>
          <w:highlight w:val="none"/>
        </w:rPr>
        <w:t>评分表</w:t>
      </w:r>
      <w:r>
        <w:rPr>
          <w:rStyle w:val="181"/>
          <w:rFonts w:hint="default" w:ascii="Arial" w:hAnsi="Arial" w:eastAsia="宋体" w:cs="Arial"/>
          <w:color w:val="auto"/>
          <w:highlight w:val="none"/>
        </w:rPr>
        <w:t>》。</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评标委员会各成员独立对每个有效供应商的投标文件进行评价、打分，然后由评标组长组织评标委员会对各成员打分情况进行核查及复核，评分有误的，应及时进行修正。评标标准如有主客观分定义，评标委员会所有成员的客观分打分分数应当一致。</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szCs w:val="21"/>
          <w:highlight w:val="none"/>
        </w:rPr>
        <w:t>复核后，评标委员会汇总每个供应商每项评分因素的得分。</w:t>
      </w:r>
      <w:r>
        <w:rPr>
          <w:rFonts w:hint="default" w:ascii="Arial" w:hAnsi="Arial" w:eastAsia="宋体" w:cs="Arial"/>
          <w:color w:val="auto"/>
          <w:highlight w:val="none"/>
        </w:rPr>
        <w:t>评标结果汇总完成后，除下列情形外，任何人不得修改评标结果：（1）分值汇总计算错误的；（2）分项评分超出评分标准范围的；（3）评标委员会成员对客观评审因素评分不一致的；（4）经评标委员会认定评分畸高、畸低的。评标报告签署前，经复核发现存在以上情形之一的，评标委员会应当当场修改评标结果，并在评标报告中记载；评标报告签署后，采购人或者采购代理机构发现存在以上情形之一的，应当组织原评标委员会进行重新评审。</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12、中标候选人推荐原则</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按评标后得分由高到低的排列顺序推荐综合得分排名第一的为第一中标候选人。若中标候选人综合得分相同的，按投标报价由低到高顺序排列；综合得分且投标报价相同的</w:t>
      </w:r>
      <w:r>
        <w:rPr>
          <w:rFonts w:hint="default" w:ascii="Arial" w:hAnsi="Arial" w:eastAsia="宋体" w:cs="Arial"/>
          <w:color w:val="auto"/>
          <w:highlight w:val="none"/>
        </w:rPr>
        <w:t>并列</w:t>
      </w:r>
      <w:r>
        <w:rPr>
          <w:rFonts w:hint="default" w:ascii="Arial" w:hAnsi="Arial" w:eastAsia="宋体" w:cs="Arial"/>
          <w:color w:val="auto"/>
          <w:szCs w:val="21"/>
          <w:highlight w:val="none"/>
        </w:rPr>
        <w:t>；中标候选人并列的，</w:t>
      </w:r>
      <w:r>
        <w:rPr>
          <w:rFonts w:hint="default" w:ascii="Arial" w:hAnsi="Arial" w:eastAsia="宋体" w:cs="Arial"/>
          <w:color w:val="auto"/>
          <w:highlight w:val="none"/>
        </w:rPr>
        <w:t>由采购人</w:t>
      </w:r>
      <w:r>
        <w:rPr>
          <w:rFonts w:hint="default" w:ascii="Arial" w:hAnsi="Arial" w:eastAsia="宋体" w:cs="Arial"/>
          <w:color w:val="auto"/>
          <w:szCs w:val="21"/>
          <w:highlight w:val="none"/>
        </w:rPr>
        <w:t>按技术部分得分由高到低顺序排列，若综合得分、投标报价、技术部分均相同的，按商务部分得分由高到低顺序排列。</w:t>
      </w:r>
    </w:p>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13、评标争议处理</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bookmarkEnd w:id="41"/>
    <w:p>
      <w:pPr>
        <w:spacing w:before="120" w:line="320" w:lineRule="atLeast"/>
        <w:ind w:firstLine="413" w:firstLineChars="196"/>
        <w:outlineLvl w:val="1"/>
        <w:rPr>
          <w:rFonts w:hint="default" w:ascii="Arial" w:hAnsi="Arial" w:eastAsia="宋体" w:cs="Arial"/>
          <w:b/>
          <w:bCs/>
          <w:color w:val="auto"/>
          <w:kern w:val="0"/>
          <w:szCs w:val="21"/>
          <w:highlight w:val="none"/>
        </w:rPr>
      </w:pPr>
      <w:r>
        <w:rPr>
          <w:rFonts w:hint="default" w:ascii="Arial" w:hAnsi="Arial" w:eastAsia="宋体" w:cs="Arial"/>
          <w:b/>
          <w:bCs/>
          <w:color w:val="auto"/>
          <w:kern w:val="0"/>
          <w:highlight w:val="none"/>
        </w:rPr>
        <w:br w:type="page"/>
      </w:r>
      <w:bookmarkStart w:id="42" w:name="_Hlk19113393"/>
      <w:r>
        <w:rPr>
          <w:rFonts w:hint="default" w:ascii="Arial" w:hAnsi="Arial" w:eastAsia="宋体" w:cs="Arial"/>
          <w:b/>
          <w:bCs/>
          <w:color w:val="auto"/>
          <w:kern w:val="0"/>
          <w:szCs w:val="21"/>
          <w:highlight w:val="none"/>
        </w:rPr>
        <w:t>五、评标标准</w:t>
      </w:r>
    </w:p>
    <w:p>
      <w:pPr>
        <w:spacing w:before="120" w:line="320" w:lineRule="atLeast"/>
        <w:outlineLvl w:val="1"/>
        <w:rPr>
          <w:rFonts w:hint="default" w:ascii="Arial" w:hAnsi="Arial" w:eastAsia="宋体" w:cs="Arial"/>
          <w:b/>
          <w:color w:val="auto"/>
          <w:szCs w:val="21"/>
          <w:highlight w:val="none"/>
        </w:rPr>
      </w:pPr>
      <w:r>
        <w:rPr>
          <w:rFonts w:hint="default" w:ascii="Arial" w:hAnsi="Arial" w:eastAsia="宋体" w:cs="Arial"/>
          <w:bCs/>
          <w:color w:val="auto"/>
          <w:kern w:val="0"/>
          <w:szCs w:val="21"/>
          <w:highlight w:val="none"/>
        </w:rPr>
        <w:t>（一）评分表</w:t>
      </w:r>
    </w:p>
    <w:tbl>
      <w:tblPr>
        <w:tblStyle w:val="53"/>
        <w:tblW w:w="85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3"/>
        <w:gridCol w:w="1320"/>
        <w:gridCol w:w="60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b/>
                <w:bCs/>
                <w:color w:val="auto"/>
                <w:sz w:val="21"/>
                <w:szCs w:val="21"/>
                <w:highlight w:val="none"/>
              </w:rPr>
            </w:pPr>
            <w:r>
              <w:rPr>
                <w:rFonts w:hint="default" w:ascii="Arial" w:hAnsi="Arial" w:eastAsia="宋体" w:cs="Arial"/>
                <w:b/>
                <w:bCs/>
                <w:color w:val="auto"/>
                <w:sz w:val="21"/>
                <w:szCs w:val="21"/>
                <w:highlight w:val="none"/>
              </w:rPr>
              <w:t>评标项目</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b/>
                <w:bCs/>
                <w:color w:val="auto"/>
                <w:sz w:val="21"/>
                <w:szCs w:val="21"/>
                <w:highlight w:val="none"/>
              </w:rPr>
            </w:pPr>
            <w:r>
              <w:rPr>
                <w:rFonts w:hint="default" w:ascii="Arial" w:hAnsi="Arial" w:eastAsia="宋体" w:cs="Arial"/>
                <w:b/>
                <w:bCs/>
                <w:color w:val="auto"/>
                <w:sz w:val="21"/>
                <w:szCs w:val="21"/>
                <w:highlight w:val="none"/>
              </w:rPr>
              <w:t>评标分值</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b/>
                <w:bCs/>
                <w:color w:val="auto"/>
                <w:sz w:val="21"/>
                <w:szCs w:val="21"/>
                <w:highlight w:val="none"/>
              </w:rPr>
            </w:pPr>
            <w:r>
              <w:rPr>
                <w:rFonts w:hint="default" w:ascii="Arial" w:hAnsi="Arial" w:eastAsia="宋体" w:cs="Arial"/>
                <w:b/>
                <w:bCs/>
                <w:color w:val="auto"/>
                <w:sz w:val="21"/>
                <w:szCs w:val="21"/>
                <w:highlight w:val="none"/>
              </w:rPr>
              <w:t>评标方法描述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color w:val="auto"/>
                <w:sz w:val="21"/>
                <w:szCs w:val="21"/>
                <w:highlight w:val="none"/>
              </w:rPr>
            </w:pPr>
            <w:r>
              <w:rPr>
                <w:rFonts w:hint="default" w:ascii="Arial" w:hAnsi="Arial" w:eastAsia="宋体" w:cs="Arial"/>
                <w:b/>
                <w:bCs/>
                <w:color w:val="auto"/>
                <w:sz w:val="21"/>
                <w:szCs w:val="21"/>
                <w:highlight w:val="none"/>
                <w:lang w:val="en-US" w:eastAsia="zh-CN"/>
              </w:rPr>
              <w:t>1.</w:t>
            </w:r>
            <w:r>
              <w:rPr>
                <w:rFonts w:hint="default" w:ascii="Arial" w:hAnsi="Arial" w:eastAsia="宋体" w:cs="Arial"/>
                <w:b/>
                <w:bCs/>
                <w:color w:val="auto"/>
                <w:sz w:val="21"/>
                <w:szCs w:val="21"/>
                <w:highlight w:val="none"/>
                <w:lang w:eastAsia="zh-CN"/>
              </w:rPr>
              <w:t>价格分</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color w:val="auto"/>
                <w:sz w:val="21"/>
                <w:szCs w:val="21"/>
                <w:highlight w:val="none"/>
              </w:rPr>
            </w:pPr>
            <w:r>
              <w:rPr>
                <w:rFonts w:hint="default" w:ascii="Arial" w:hAnsi="Arial" w:eastAsia="宋体" w:cs="Arial"/>
                <w:b/>
                <w:bCs/>
                <w:color w:val="auto"/>
                <w:sz w:val="21"/>
                <w:szCs w:val="21"/>
                <w:highlight w:val="none"/>
                <w:lang w:val="en-US" w:eastAsia="zh-CN"/>
              </w:rPr>
              <w:t>30分</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（1）以满足招标文件要求且投标价格最低的投标报价为评标基准价，其价格分为满分。</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（2）</w:t>
            </w:r>
            <w:r>
              <w:rPr>
                <w:rFonts w:hint="default" w:ascii="Arial" w:hAnsi="Arial" w:eastAsia="宋体" w:cs="Arial"/>
                <w:bCs/>
                <w:color w:val="auto"/>
                <w:kern w:val="0"/>
                <w:szCs w:val="21"/>
                <w:highlight w:val="none"/>
              </w:rPr>
              <w:t>政府采购政策应用说明</w:t>
            </w:r>
            <w:r>
              <w:rPr>
                <w:rFonts w:hint="eastAsia" w:ascii="Arial" w:hAnsi="Arial" w:eastAsia="宋体" w:cs="Arial"/>
                <w:bCs/>
                <w:color w:val="auto"/>
                <w:kern w:val="0"/>
                <w:szCs w:val="21"/>
                <w:highlight w:val="none"/>
                <w:lang w:val="en-US" w:eastAsia="zh-CN"/>
              </w:rPr>
              <w:t>附后</w:t>
            </w:r>
            <w:r>
              <w:rPr>
                <w:rFonts w:hint="default" w:ascii="Arial" w:hAnsi="Arial" w:eastAsia="宋体" w:cs="Arial"/>
                <w:color w:val="auto"/>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w:t>
            </w:r>
            <w:r>
              <w:rPr>
                <w:rFonts w:hint="eastAsia" w:ascii="Arial" w:hAnsi="Arial" w:cs="Arial"/>
                <w:color w:val="auto"/>
                <w:kern w:val="0"/>
                <w:sz w:val="21"/>
                <w:szCs w:val="21"/>
                <w:highlight w:val="none"/>
                <w:lang w:val="en-US" w:eastAsia="zh-CN"/>
              </w:rPr>
              <w:t>3</w:t>
            </w:r>
            <w:r>
              <w:rPr>
                <w:rFonts w:hint="default" w:ascii="Arial" w:hAnsi="Arial" w:eastAsia="宋体" w:cs="Arial"/>
                <w:color w:val="auto"/>
                <w:kern w:val="0"/>
                <w:sz w:val="21"/>
                <w:szCs w:val="21"/>
                <w:highlight w:val="none"/>
                <w:lang w:val="en-US" w:eastAsia="zh-CN"/>
              </w:rPr>
              <w:t>）价格分计算公式：</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投标报价得分=（评标基准价/投标报价）×30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b/>
                <w:bCs/>
                <w:color w:val="auto"/>
                <w:sz w:val="21"/>
                <w:szCs w:val="21"/>
                <w:highlight w:val="none"/>
                <w:lang w:eastAsia="zh-CN"/>
              </w:rPr>
            </w:pPr>
            <w:r>
              <w:rPr>
                <w:rFonts w:hint="default" w:ascii="Arial" w:hAnsi="Arial" w:eastAsia="宋体" w:cs="Arial"/>
                <w:b/>
                <w:bCs/>
                <w:color w:val="auto"/>
                <w:sz w:val="21"/>
                <w:szCs w:val="21"/>
                <w:highlight w:val="none"/>
                <w:lang w:val="en-US" w:eastAsia="zh-CN"/>
              </w:rPr>
              <w:t>2.</w:t>
            </w:r>
            <w:r>
              <w:rPr>
                <w:rFonts w:hint="default" w:ascii="Arial" w:hAnsi="Arial" w:eastAsia="宋体" w:cs="Arial"/>
                <w:b/>
                <w:bCs/>
                <w:color w:val="auto"/>
                <w:sz w:val="21"/>
                <w:szCs w:val="21"/>
                <w:highlight w:val="none"/>
                <w:lang w:eastAsia="zh-CN"/>
              </w:rPr>
              <w:t>技术分</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b/>
                <w:bCs/>
                <w:color w:val="auto"/>
                <w:sz w:val="21"/>
                <w:szCs w:val="21"/>
                <w:highlight w:val="none"/>
                <w:lang w:val="en-US" w:eastAsia="zh-CN"/>
              </w:rPr>
            </w:pPr>
            <w:r>
              <w:rPr>
                <w:rFonts w:hint="default" w:ascii="Arial" w:hAnsi="Arial" w:eastAsia="宋体" w:cs="Arial"/>
                <w:b/>
                <w:bCs/>
                <w:color w:val="auto"/>
                <w:sz w:val="21"/>
                <w:szCs w:val="21"/>
                <w:highlight w:val="none"/>
                <w:lang w:val="en-US" w:eastAsia="zh-CN"/>
              </w:rPr>
              <w:t>15分</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spacing w:val="-2"/>
                <w:kern w:val="0"/>
                <w:sz w:val="21"/>
                <w:szCs w:val="21"/>
                <w:highlight w:val="none"/>
              </w:rPr>
            </w:pPr>
            <w:r>
              <w:rPr>
                <w:rFonts w:hint="default" w:ascii="Arial" w:hAnsi="Arial" w:eastAsia="宋体" w:cs="Arial"/>
                <w:color w:val="auto"/>
                <w:kern w:val="0"/>
                <w:sz w:val="21"/>
                <w:szCs w:val="21"/>
                <w:highlight w:val="none"/>
                <w:lang w:val="en-US" w:eastAsia="zh-CN"/>
              </w:rPr>
              <w:t>1.</w:t>
            </w:r>
            <w:r>
              <w:rPr>
                <w:rFonts w:hint="default" w:ascii="Arial" w:hAnsi="Arial" w:eastAsia="宋体" w:cs="Arial"/>
                <w:color w:val="auto"/>
                <w:kern w:val="0"/>
                <w:sz w:val="21"/>
                <w:szCs w:val="21"/>
                <w:highlight w:val="none"/>
              </w:rPr>
              <w:t>▲号指标项满足 1 项得</w:t>
            </w:r>
            <w:r>
              <w:rPr>
                <w:rFonts w:hint="default" w:ascii="Arial" w:hAnsi="Arial" w:eastAsia="宋体" w:cs="Arial"/>
                <w:color w:val="auto"/>
                <w:kern w:val="0"/>
                <w:sz w:val="21"/>
                <w:szCs w:val="21"/>
                <w:highlight w:val="none"/>
                <w:lang w:val="en-US" w:eastAsia="zh-CN"/>
              </w:rPr>
              <w:t>0.5</w:t>
            </w:r>
            <w:r>
              <w:rPr>
                <w:rFonts w:hint="default" w:ascii="Arial" w:hAnsi="Arial" w:eastAsia="宋体" w:cs="Arial"/>
                <w:color w:val="auto"/>
                <w:kern w:val="0"/>
                <w:sz w:val="21"/>
                <w:szCs w:val="21"/>
                <w:highlight w:val="none"/>
              </w:rPr>
              <w:t>分(须提证明，未提证明不得分)，</w:t>
            </w:r>
            <w:r>
              <w:rPr>
                <w:rFonts w:hint="default" w:ascii="Arial" w:hAnsi="Arial" w:eastAsia="宋体" w:cs="Arial"/>
                <w:color w:val="auto"/>
                <w:spacing w:val="-2"/>
                <w:kern w:val="0"/>
                <w:sz w:val="21"/>
                <w:szCs w:val="21"/>
                <w:highlight w:val="none"/>
              </w:rPr>
              <w:t>共</w:t>
            </w:r>
            <w:r>
              <w:rPr>
                <w:rFonts w:hint="default" w:ascii="Arial" w:hAnsi="Arial" w:eastAsia="宋体" w:cs="Arial"/>
                <w:color w:val="auto"/>
                <w:spacing w:val="-2"/>
                <w:kern w:val="0"/>
                <w:sz w:val="21"/>
                <w:szCs w:val="21"/>
                <w:highlight w:val="none"/>
                <w:lang w:val="en-US" w:eastAsia="zh-CN"/>
              </w:rPr>
              <w:t>12.5</w:t>
            </w:r>
            <w:r>
              <w:rPr>
                <w:rFonts w:hint="default" w:ascii="Arial" w:hAnsi="Arial" w:eastAsia="宋体" w:cs="Arial"/>
                <w:color w:val="auto"/>
                <w:spacing w:val="-2"/>
                <w:kern w:val="0"/>
                <w:sz w:val="21"/>
                <w:szCs w:val="21"/>
                <w:highlight w:val="none"/>
              </w:rPr>
              <w:t>分。</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spacing w:val="-2"/>
                <w:kern w:val="0"/>
                <w:sz w:val="21"/>
                <w:szCs w:val="21"/>
                <w:highlight w:val="none"/>
                <w:lang w:val="en-US" w:eastAsia="zh-CN"/>
              </w:rPr>
            </w:pPr>
            <w:r>
              <w:rPr>
                <w:rFonts w:hint="default" w:ascii="Arial" w:hAnsi="Arial" w:eastAsia="宋体" w:cs="Arial"/>
                <w:color w:val="auto"/>
                <w:spacing w:val="-2"/>
                <w:kern w:val="0"/>
                <w:sz w:val="21"/>
                <w:szCs w:val="21"/>
                <w:highlight w:val="none"/>
                <w:lang w:val="en-US" w:eastAsia="zh-CN"/>
              </w:rPr>
              <w:t>2.</w:t>
            </w:r>
            <w:r>
              <w:rPr>
                <w:rFonts w:hint="default" w:ascii="Arial" w:hAnsi="Arial" w:eastAsia="宋体" w:cs="Arial"/>
                <w:strike w:val="0"/>
                <w:dstrike w:val="0"/>
                <w:color w:val="auto"/>
                <w:spacing w:val="-2"/>
                <w:kern w:val="0"/>
                <w:sz w:val="21"/>
                <w:szCs w:val="21"/>
                <w:highlight w:val="none"/>
                <w:lang w:val="en-US" w:eastAsia="zh-CN"/>
              </w:rPr>
              <w:t>非</w:t>
            </w:r>
            <w:r>
              <w:rPr>
                <w:rFonts w:hint="default" w:ascii="Arial" w:hAnsi="Arial" w:eastAsia="宋体" w:cs="Arial"/>
                <w:b/>
                <w:bCs/>
                <w:strike w:val="0"/>
                <w:color w:val="auto"/>
                <w:spacing w:val="-2"/>
                <w:kern w:val="0"/>
                <w:sz w:val="21"/>
                <w:szCs w:val="21"/>
                <w:highlight w:val="none"/>
              </w:rPr>
              <w:t>★</w:t>
            </w:r>
            <w:r>
              <w:rPr>
                <w:rFonts w:hint="default" w:ascii="Arial" w:hAnsi="Arial" w:eastAsia="宋体" w:cs="Arial"/>
                <w:strike w:val="0"/>
                <w:dstrike w:val="0"/>
                <w:color w:val="auto"/>
                <w:spacing w:val="-2"/>
                <w:kern w:val="0"/>
                <w:sz w:val="21"/>
                <w:szCs w:val="21"/>
                <w:highlight w:val="none"/>
              </w:rPr>
              <w:t>号</w:t>
            </w:r>
            <w:r>
              <w:rPr>
                <w:rFonts w:hint="default" w:ascii="Arial" w:hAnsi="Arial" w:eastAsia="宋体" w:cs="Arial"/>
                <w:color w:val="auto"/>
                <w:spacing w:val="-2"/>
                <w:kern w:val="0"/>
                <w:sz w:val="21"/>
                <w:szCs w:val="21"/>
                <w:highlight w:val="none"/>
              </w:rPr>
              <w:t>指标项</w:t>
            </w:r>
            <w:r>
              <w:rPr>
                <w:rFonts w:hint="default" w:ascii="Arial" w:hAnsi="Arial" w:eastAsia="宋体" w:cs="Arial"/>
                <w:color w:val="auto"/>
                <w:spacing w:val="-2"/>
                <w:kern w:val="0"/>
                <w:sz w:val="21"/>
                <w:szCs w:val="21"/>
                <w:highlight w:val="none"/>
                <w:lang w:eastAsia="zh-CN"/>
              </w:rPr>
              <w:t>至多负偏离</w:t>
            </w:r>
            <w:r>
              <w:rPr>
                <w:rFonts w:hint="default" w:ascii="Arial" w:hAnsi="Arial" w:eastAsia="宋体" w:cs="Arial"/>
                <w:color w:val="auto"/>
                <w:spacing w:val="-2"/>
                <w:kern w:val="0"/>
                <w:sz w:val="21"/>
                <w:szCs w:val="21"/>
                <w:highlight w:val="none"/>
                <w:lang w:val="en-US" w:eastAsia="zh-CN"/>
              </w:rPr>
              <w:t>5项，负偏离1项扣0.5分，共2.5分，扣完为止。</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b/>
                <w:bCs/>
                <w:color w:val="auto"/>
                <w:spacing w:val="-2"/>
                <w:kern w:val="0"/>
                <w:sz w:val="21"/>
                <w:szCs w:val="21"/>
                <w:highlight w:val="none"/>
                <w:lang w:val="en-US" w:eastAsia="zh-CN"/>
              </w:rPr>
            </w:pPr>
            <w:r>
              <w:rPr>
                <w:rFonts w:hint="eastAsia" w:ascii="Arial" w:hAnsi="Arial" w:eastAsia="宋体" w:cs="Arial"/>
                <w:b/>
                <w:bCs/>
                <w:color w:val="auto"/>
                <w:spacing w:val="-2"/>
                <w:kern w:val="0"/>
                <w:sz w:val="21"/>
                <w:szCs w:val="21"/>
                <w:highlight w:val="none"/>
                <w:lang w:val="en-US" w:eastAsia="zh-CN"/>
              </w:rPr>
              <w:t>3.</w:t>
            </w:r>
            <w:r>
              <w:rPr>
                <w:rFonts w:hint="default" w:ascii="Arial" w:hAnsi="Arial" w:eastAsia="宋体" w:cs="Arial"/>
                <w:b/>
                <w:bCs/>
                <w:color w:val="auto"/>
                <w:spacing w:val="-2"/>
                <w:kern w:val="0"/>
                <w:sz w:val="21"/>
                <w:szCs w:val="21"/>
                <w:highlight w:val="none"/>
              </w:rPr>
              <w:t>★</w:t>
            </w:r>
            <w:r>
              <w:rPr>
                <w:rFonts w:hint="eastAsia" w:ascii="Arial" w:hAnsi="Arial" w:eastAsia="宋体" w:cs="Arial"/>
                <w:b/>
                <w:bCs/>
                <w:color w:val="auto"/>
                <w:spacing w:val="-2"/>
                <w:kern w:val="0"/>
                <w:sz w:val="21"/>
                <w:szCs w:val="21"/>
                <w:highlight w:val="none"/>
                <w:lang w:eastAsia="zh-CN"/>
              </w:rPr>
              <w:t>为实质性条款，负偏离一项，投标无效。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Style w:val="243"/>
                <w:rFonts w:hint="default" w:ascii="Arial" w:hAnsi="Arial" w:eastAsia="宋体" w:cs="Arial"/>
                <w:b w:val="0"/>
                <w:i w:val="0"/>
                <w:caps w:val="0"/>
                <w:color w:val="auto"/>
                <w:spacing w:val="0"/>
                <w:w w:val="100"/>
                <w:kern w:val="2"/>
                <w:sz w:val="21"/>
                <w:szCs w:val="21"/>
                <w:highlight w:val="none"/>
                <w:lang w:val="en-US" w:eastAsia="zh-CN" w:bidi="ar-SA"/>
              </w:rPr>
            </w:pPr>
            <w:r>
              <w:rPr>
                <w:rFonts w:hint="default" w:ascii="Arial" w:hAnsi="Arial" w:eastAsia="宋体" w:cs="Arial"/>
                <w:color w:val="auto"/>
                <w:spacing w:val="-2"/>
                <w:kern w:val="0"/>
                <w:sz w:val="21"/>
                <w:szCs w:val="21"/>
                <w:highlight w:val="none"/>
              </w:rPr>
              <w:t>注：供应商应对照本项目“采购需求”注明所投产品技术参数的响应情况及偏离情况（无偏离、正偏离、 负偏离）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color w:val="auto"/>
                <w:sz w:val="21"/>
                <w:szCs w:val="21"/>
                <w:highlight w:val="none"/>
              </w:rPr>
            </w:pPr>
            <w:r>
              <w:rPr>
                <w:rFonts w:hint="default" w:ascii="Arial" w:hAnsi="Arial" w:eastAsia="宋体" w:cs="Arial"/>
                <w:b/>
                <w:bCs/>
                <w:color w:val="auto"/>
                <w:sz w:val="21"/>
                <w:szCs w:val="21"/>
                <w:highlight w:val="none"/>
                <w:lang w:val="en-US" w:eastAsia="zh-CN"/>
              </w:rPr>
              <w:t>3.实施方案</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rPr>
                <w:rFonts w:hint="default" w:ascii="Arial" w:hAnsi="Arial" w:eastAsia="宋体" w:cs="Arial"/>
                <w:color w:val="auto"/>
                <w:sz w:val="21"/>
                <w:szCs w:val="21"/>
                <w:highlight w:val="none"/>
              </w:rPr>
            </w:pPr>
            <w:r>
              <w:rPr>
                <w:rFonts w:hint="default" w:ascii="Arial" w:hAnsi="Arial" w:eastAsia="宋体" w:cs="Arial"/>
                <w:b/>
                <w:bCs/>
                <w:color w:val="auto"/>
                <w:sz w:val="21"/>
                <w:szCs w:val="21"/>
                <w:highlight w:val="none"/>
                <w:lang w:val="en-US" w:eastAsia="zh-CN"/>
              </w:rPr>
              <w:t>24分</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拟投入实施团队人员为供应商本公司职员。</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 xml:space="preserve">投标文件提供拟投入人员相关资格（职称）证书和投标文件递交截止时间前半年内任意 </w:t>
            </w:r>
            <w:r>
              <w:rPr>
                <w:rFonts w:hint="eastAsia" w:ascii="Arial" w:hAnsi="Arial" w:cs="Arial"/>
                <w:color w:val="auto"/>
                <w:kern w:val="0"/>
                <w:sz w:val="21"/>
                <w:szCs w:val="21"/>
                <w:highlight w:val="none"/>
                <w:lang w:val="en-US" w:eastAsia="zh-CN"/>
              </w:rPr>
              <w:t>1</w:t>
            </w:r>
            <w:r>
              <w:rPr>
                <w:rFonts w:hint="default" w:ascii="Arial" w:hAnsi="Arial" w:eastAsia="宋体" w:cs="Arial"/>
                <w:color w:val="auto"/>
                <w:kern w:val="0"/>
                <w:sz w:val="21"/>
                <w:szCs w:val="21"/>
                <w:highlight w:val="none"/>
                <w:lang w:val="en-US" w:eastAsia="zh-CN"/>
              </w:rPr>
              <w:t>个月供应商为其缴纳个人社保证明复印件（并加供应商公章）方予认 可，否则无效。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 xml:space="preserve">不入档（0分）：无实施方案。 </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一档（8分）：实施方案对项目的理解程度较为肤浅，提供的方案简单，照搬招标文件需求，仅基本满足招标要求，拟投入本项目实施人员少于12人</w:t>
            </w:r>
            <w:r>
              <w:rPr>
                <w:rFonts w:hint="eastAsia" w:ascii="Arial" w:hAnsi="Arial" w:cs="Arial"/>
                <w:color w:val="auto"/>
                <w:kern w:val="0"/>
                <w:sz w:val="21"/>
                <w:szCs w:val="21"/>
                <w:highlight w:val="none"/>
                <w:lang w:val="en-US" w:eastAsia="zh-CN"/>
              </w:rPr>
              <w:t>（不含12人）</w:t>
            </w:r>
            <w:r>
              <w:rPr>
                <w:rFonts w:hint="default" w:ascii="Arial" w:hAnsi="Arial" w:eastAsia="宋体" w:cs="Arial"/>
                <w:color w:val="auto"/>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二档（16 分）：实施方案较详细、可行，实施组织机构基本健全、实施人员配备较合理，实施进度计划较合理，能提供独立装订成册的A3或以上幅面视频监控系统、周界电子围栏系统图、探访会见系统系统图、亲情电话系统、AB门管控系统、可视对讲系统系统图、周界巡更系统系统图、数字广播系统系统图、监控摄像头安装大样、数字广播扬声器安装大样、可视对讲分机安装大样，提供图纸图纸编制较完整，表达较清晰，图面较整洁、具体，拟投入本项目实施人员达12人，其中不少于2名安防专业认证、2名信息安全专业认证的实施人员。</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sz w:val="21"/>
                <w:szCs w:val="21"/>
                <w:highlight w:val="none"/>
              </w:rPr>
            </w:pPr>
            <w:r>
              <w:rPr>
                <w:rFonts w:hint="default" w:ascii="Arial" w:hAnsi="Arial" w:eastAsia="宋体" w:cs="Arial"/>
                <w:color w:val="auto"/>
                <w:kern w:val="0"/>
                <w:sz w:val="21"/>
                <w:szCs w:val="21"/>
                <w:highlight w:val="none"/>
                <w:lang w:val="en-US" w:eastAsia="zh-CN"/>
              </w:rPr>
              <w:t>三档（24 分）实施方案详细、先进，计划周密，实施组织机构健全、人员配备充足，实施进度计划合理，施工进度有保障，质量控制、培训计划、测试及验收描述详细、可行，能提供独立装订成册的A3或以上幅面视频监控系统、周界电子围栏系统图、探访会见系统系统图、亲情电话系统、AB门管控系统、可视对讲系统系统图、周界巡更系统系统图、数字广播系统系统图、监控摄像头安装大样、数字广播扬声器安装大样、可视对讲分机安装大样，提供图纸图纸编制完整，表达清晰，图面美观，完整、详细，充分满足项目建设要求，考虑周全，可操作性强，拟投入本项目实施人员</w:t>
            </w:r>
            <w:r>
              <w:rPr>
                <w:rFonts w:hint="eastAsia" w:ascii="Arial" w:hAnsi="Arial" w:cs="Arial"/>
                <w:color w:val="auto"/>
                <w:kern w:val="0"/>
                <w:sz w:val="21"/>
                <w:szCs w:val="21"/>
                <w:highlight w:val="none"/>
                <w:lang w:val="en-US" w:eastAsia="zh-CN"/>
              </w:rPr>
              <w:t>多于</w:t>
            </w:r>
            <w:r>
              <w:rPr>
                <w:rFonts w:hint="default" w:ascii="Arial" w:hAnsi="Arial" w:eastAsia="宋体" w:cs="Arial"/>
                <w:color w:val="auto"/>
                <w:kern w:val="0"/>
                <w:sz w:val="21"/>
                <w:szCs w:val="21"/>
                <w:highlight w:val="none"/>
                <w:lang w:val="en-US" w:eastAsia="zh-CN"/>
              </w:rPr>
              <w:t>12人</w:t>
            </w:r>
            <w:r>
              <w:rPr>
                <w:rFonts w:hint="eastAsia" w:ascii="Arial" w:hAnsi="Arial" w:cs="Arial"/>
                <w:color w:val="auto"/>
                <w:kern w:val="0"/>
                <w:sz w:val="21"/>
                <w:szCs w:val="21"/>
                <w:highlight w:val="none"/>
                <w:lang w:val="en-US" w:eastAsia="zh-CN"/>
              </w:rPr>
              <w:t>（含12人）</w:t>
            </w:r>
            <w:r>
              <w:rPr>
                <w:rFonts w:hint="default" w:ascii="Arial" w:hAnsi="Arial" w:eastAsia="宋体" w:cs="Arial"/>
                <w:color w:val="auto"/>
                <w:kern w:val="0"/>
                <w:sz w:val="21"/>
                <w:szCs w:val="21"/>
                <w:highlight w:val="none"/>
                <w:lang w:val="en-US" w:eastAsia="zh-CN"/>
              </w:rPr>
              <w:t>，其中不少于1名系统集成项目管理工程师、2名安防专业认证、2名信息安全专业人员认证的实施人员。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4.售后方案</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21分</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拟投入售后服务团队人员必须为供应商本公司职员。</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投标文件提供拟投入人员相关资格（职称）证书和投标文件递交截止时间前半年内任意</w:t>
            </w:r>
            <w:r>
              <w:rPr>
                <w:rFonts w:hint="eastAsia" w:ascii="Arial" w:hAnsi="Arial" w:cs="Arial"/>
                <w:color w:val="auto"/>
                <w:kern w:val="0"/>
                <w:sz w:val="21"/>
                <w:szCs w:val="21"/>
                <w:highlight w:val="none"/>
                <w:lang w:val="en-US" w:eastAsia="zh-CN"/>
              </w:rPr>
              <w:t>1</w:t>
            </w:r>
            <w:r>
              <w:rPr>
                <w:rFonts w:hint="default" w:ascii="Arial" w:hAnsi="Arial" w:eastAsia="宋体" w:cs="Arial"/>
                <w:color w:val="auto"/>
                <w:kern w:val="0"/>
                <w:sz w:val="21"/>
                <w:szCs w:val="21"/>
                <w:highlight w:val="none"/>
                <w:lang w:val="en-US" w:eastAsia="zh-CN"/>
              </w:rPr>
              <w:t xml:space="preserve"> 个月供应商为其缴纳个人社保证明复印件（并加供应商公章）方予认 可，否则无效。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不入档（0 分）：无售后服务方案。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一档（7分）：售后服务方案简单，基本可行，基本满足招标文件要求，提供定期回访计划，提供备机，提供较全面免费的培训方案，提供较快速响应机制，供应商具备少于6名</w:t>
            </w:r>
            <w:r>
              <w:rPr>
                <w:rFonts w:hint="eastAsia" w:ascii="Arial" w:hAnsi="Arial" w:cs="Arial"/>
                <w:color w:val="auto"/>
                <w:kern w:val="0"/>
                <w:sz w:val="21"/>
                <w:szCs w:val="21"/>
                <w:highlight w:val="none"/>
                <w:lang w:val="en-US" w:eastAsia="zh-CN"/>
              </w:rPr>
              <w:t>（不含6名）</w:t>
            </w:r>
            <w:r>
              <w:rPr>
                <w:rFonts w:hint="default" w:ascii="Arial" w:hAnsi="Arial" w:eastAsia="宋体" w:cs="Arial"/>
                <w:color w:val="auto"/>
                <w:kern w:val="0"/>
                <w:sz w:val="21"/>
                <w:szCs w:val="21"/>
                <w:highlight w:val="none"/>
                <w:lang w:val="en-US" w:eastAsia="zh-CN"/>
              </w:rPr>
              <w:t>运维工程师。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highlight w:val="none"/>
              </w:rPr>
            </w:pPr>
            <w:r>
              <w:rPr>
                <w:rFonts w:hint="default" w:ascii="Arial" w:hAnsi="Arial" w:eastAsia="宋体" w:cs="Arial"/>
                <w:color w:val="auto"/>
                <w:kern w:val="0"/>
                <w:sz w:val="21"/>
                <w:szCs w:val="21"/>
                <w:highlight w:val="none"/>
                <w:lang w:val="en-US" w:eastAsia="zh-CN"/>
              </w:rPr>
              <w:t>二档（14分）：售后服务方案较详细，质保期满足招标文件要求，提供定期回访计划，提供备机，提供较全面免费的培训方案，提供较快速响应机制，拟投入本项目售后运维人员不少于</w:t>
            </w:r>
            <w:r>
              <w:rPr>
                <w:rFonts w:hint="eastAsia" w:ascii="Arial" w:hAnsi="Arial" w:cs="Arial"/>
                <w:color w:val="auto"/>
                <w:kern w:val="0"/>
                <w:sz w:val="21"/>
                <w:szCs w:val="21"/>
                <w:highlight w:val="none"/>
                <w:lang w:val="en-US" w:eastAsia="zh-CN"/>
              </w:rPr>
              <w:t>6</w:t>
            </w:r>
            <w:r>
              <w:rPr>
                <w:rFonts w:hint="default" w:ascii="Arial" w:hAnsi="Arial" w:eastAsia="宋体" w:cs="Arial"/>
                <w:color w:val="auto"/>
                <w:kern w:val="0"/>
                <w:sz w:val="21"/>
                <w:szCs w:val="21"/>
                <w:highlight w:val="none"/>
                <w:lang w:val="en-US" w:eastAsia="zh-CN"/>
              </w:rPr>
              <w:t>名</w:t>
            </w:r>
            <w:r>
              <w:rPr>
                <w:rFonts w:hint="eastAsia" w:ascii="Arial" w:hAnsi="Arial" w:cs="Arial"/>
                <w:color w:val="auto"/>
                <w:kern w:val="0"/>
                <w:sz w:val="21"/>
                <w:szCs w:val="21"/>
                <w:highlight w:val="none"/>
                <w:lang w:val="en-US" w:eastAsia="zh-CN"/>
              </w:rPr>
              <w:t>（含6名）</w:t>
            </w:r>
            <w:r>
              <w:rPr>
                <w:rFonts w:hint="default" w:ascii="Arial" w:hAnsi="Arial" w:eastAsia="宋体" w:cs="Arial"/>
                <w:color w:val="auto"/>
                <w:kern w:val="0"/>
                <w:sz w:val="21"/>
                <w:szCs w:val="21"/>
                <w:highlight w:val="none"/>
                <w:lang w:val="en-US" w:eastAsia="zh-CN"/>
              </w:rPr>
              <w:t>运维工程师。</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三档（21分）：售后服务方案详细、全面，操作性强，质保期完全满足招标文件要求，提供的定期回访和备机备件方案优秀，提供全面免费的培训方案，提供快速响应机制，质保期满后提供较优维保方案，本地化服务措施具体、有效、可行，拟投入本项目售后运维人员不少于8名</w:t>
            </w:r>
            <w:r>
              <w:rPr>
                <w:rFonts w:hint="eastAsia" w:ascii="Arial" w:hAnsi="Arial" w:cs="Arial"/>
                <w:color w:val="auto"/>
                <w:kern w:val="0"/>
                <w:sz w:val="21"/>
                <w:szCs w:val="21"/>
                <w:highlight w:val="none"/>
                <w:lang w:val="en-US" w:eastAsia="zh-CN"/>
              </w:rPr>
              <w:t>（含8名）</w:t>
            </w:r>
            <w:r>
              <w:rPr>
                <w:rFonts w:hint="default" w:ascii="Arial" w:hAnsi="Arial" w:eastAsia="宋体" w:cs="Arial"/>
                <w:color w:val="auto"/>
                <w:kern w:val="0"/>
                <w:sz w:val="21"/>
                <w:szCs w:val="21"/>
                <w:highlight w:val="none"/>
                <w:lang w:val="en-US" w:eastAsia="zh-CN"/>
              </w:rPr>
              <w:t>运维工程师。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1103"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5.信誉、业绩分</w:t>
            </w:r>
          </w:p>
        </w:tc>
        <w:tc>
          <w:tcPr>
            <w:tcW w:w="1320"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10分</w:t>
            </w:r>
          </w:p>
        </w:tc>
        <w:tc>
          <w:tcPr>
            <w:tcW w:w="6095" w:type="dxa"/>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（1）供应商通过 ISO9001 系列质量体系认证、 ISO27001 信息安全管理体系认证、ISO14001 环境管理体系认证、ISO45001 职业健康安全管理体系认证，每项 0.5分，共 2 分；（提供复印件）</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both"/>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kern w:val="0"/>
                <w:sz w:val="21"/>
                <w:szCs w:val="21"/>
                <w:highlight w:val="none"/>
                <w:lang w:val="en-US" w:eastAsia="zh-CN"/>
              </w:rPr>
              <w:t>（2）供应商自 2019年以来同类项目成功案例（以有效的合同或中标通知书复印件为准），每有一份得 1分，满分8分。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3" w:hRule="atLeast"/>
          <w:jc w:val="center"/>
        </w:trPr>
        <w:tc>
          <w:tcPr>
            <w:tcW w:w="1103" w:type="dxa"/>
            <w:shd w:val="clear" w:color="auto" w:fill="auto"/>
            <w:vAlign w:val="center"/>
          </w:tcPr>
          <w:p>
            <w:pPr>
              <w:jc w:val="left"/>
              <w:rPr>
                <w:rFonts w:hint="default" w:ascii="Arial" w:hAnsi="Arial" w:eastAsia="宋体" w:cs="Arial"/>
                <w:color w:val="auto"/>
                <w:kern w:val="2"/>
                <w:sz w:val="21"/>
                <w:szCs w:val="21"/>
                <w:highlight w:val="none"/>
                <w:lang w:val="en-US" w:eastAsia="zh-CN" w:bidi="ar-SA"/>
              </w:rPr>
            </w:pPr>
            <w:r>
              <w:rPr>
                <w:rFonts w:hint="default" w:ascii="Arial" w:hAnsi="Arial" w:eastAsia="宋体" w:cs="Arial"/>
                <w:color w:val="auto"/>
                <w:szCs w:val="21"/>
                <w:highlight w:val="none"/>
              </w:rPr>
              <w:t>综合得分</w:t>
            </w:r>
          </w:p>
        </w:tc>
        <w:tc>
          <w:tcPr>
            <w:tcW w:w="7415" w:type="dxa"/>
            <w:gridSpan w:val="2"/>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88" w:lineRule="auto"/>
              <w:jc w:val="left"/>
              <w:textAlignment w:val="baseline"/>
              <w:rPr>
                <w:rFonts w:hint="default" w:ascii="Arial" w:hAnsi="Arial" w:eastAsia="宋体" w:cs="Arial"/>
                <w:color w:val="auto"/>
                <w:kern w:val="0"/>
                <w:sz w:val="21"/>
                <w:szCs w:val="21"/>
                <w:highlight w:val="none"/>
                <w:lang w:val="en-US" w:eastAsia="zh-CN"/>
              </w:rPr>
            </w:pPr>
            <w:r>
              <w:rPr>
                <w:rFonts w:hint="default" w:ascii="Arial" w:hAnsi="Arial" w:eastAsia="宋体" w:cs="Arial"/>
                <w:color w:val="auto"/>
                <w:szCs w:val="21"/>
                <w:highlight w:val="none"/>
              </w:rPr>
              <w:t>=1+2+3+4</w:t>
            </w:r>
            <w:r>
              <w:rPr>
                <w:rFonts w:hint="default" w:ascii="Arial" w:hAnsi="Arial" w:eastAsia="宋体" w:cs="Arial"/>
                <w:color w:val="auto"/>
                <w:szCs w:val="21"/>
                <w:highlight w:val="none"/>
                <w:lang w:val="en-US" w:eastAsia="zh-CN"/>
              </w:rPr>
              <w:t>+5</w:t>
            </w:r>
            <w:r>
              <w:rPr>
                <w:rFonts w:hint="default" w:ascii="Arial" w:hAnsi="Arial" w:eastAsia="宋体" w:cs="Arial"/>
                <w:color w:val="auto"/>
                <w:szCs w:val="21"/>
                <w:highlight w:val="none"/>
              </w:rPr>
              <w:t xml:space="preserve"> （各项评分分值计算保留小数点后两位，小数点后第三位“四舍五入”）</w:t>
            </w:r>
          </w:p>
        </w:tc>
      </w:tr>
    </w:tbl>
    <w:p>
      <w:pPr>
        <w:spacing w:before="120" w:line="320" w:lineRule="atLeast"/>
        <w:outlineLvl w:val="1"/>
        <w:rPr>
          <w:rFonts w:hint="default" w:ascii="Arial" w:hAnsi="Arial" w:eastAsia="宋体" w:cs="Arial"/>
          <w:bCs/>
          <w:color w:val="auto"/>
          <w:kern w:val="0"/>
          <w:szCs w:val="21"/>
          <w:highlight w:val="none"/>
          <w:lang w:eastAsia="zh-CN"/>
        </w:rPr>
      </w:pPr>
    </w:p>
    <w:bookmarkEnd w:id="42"/>
    <w:p>
      <w:pPr>
        <w:rPr>
          <w:rFonts w:hint="default" w:ascii="Arial" w:hAnsi="Arial" w:eastAsia="宋体" w:cs="Arial"/>
          <w:bCs/>
          <w:color w:val="auto"/>
          <w:kern w:val="0"/>
          <w:szCs w:val="21"/>
          <w:highlight w:val="none"/>
        </w:rPr>
      </w:pPr>
    </w:p>
    <w:bookmarkEnd w:id="25"/>
    <w:bookmarkEnd w:id="26"/>
    <w:p>
      <w:pPr>
        <w:spacing w:before="120" w:line="320" w:lineRule="atLeast"/>
        <w:outlineLvl w:val="1"/>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（二）政府采购政策应用说明</w:t>
      </w:r>
    </w:p>
    <w:p>
      <w:pPr>
        <w:spacing w:before="120" w:line="320" w:lineRule="atLeast"/>
        <w:ind w:firstLine="422" w:firstLineChars="200"/>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1、政策性加分说明</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bCs/>
          <w:color w:val="auto"/>
          <w:szCs w:val="21"/>
          <w:highlight w:val="none"/>
        </w:rPr>
        <w:t>（1）</w:t>
      </w:r>
      <w:r>
        <w:rPr>
          <w:rFonts w:hint="default" w:ascii="Arial" w:hAnsi="Arial" w:eastAsia="宋体" w:cs="Arial"/>
          <w:color w:val="auto"/>
          <w:szCs w:val="21"/>
          <w:highlight w:val="none"/>
        </w:rPr>
        <w:t>节能产品、环境标志产品</w:t>
      </w:r>
    </w:p>
    <w:p>
      <w:pPr>
        <w:spacing w:before="120" w:line="320" w:lineRule="atLeast"/>
        <w:ind w:firstLine="420" w:firstLineChars="20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节能、环境标志产品以</w:t>
      </w:r>
      <w:r>
        <w:rPr>
          <w:rFonts w:hint="default" w:ascii="Arial" w:hAnsi="Arial" w:eastAsia="宋体" w:cs="Arial"/>
          <w:color w:val="auto"/>
          <w:highlight w:val="none"/>
        </w:rPr>
        <w:t>国家财政部等部门</w:t>
      </w:r>
      <w:r>
        <w:rPr>
          <w:rFonts w:hint="default" w:ascii="Arial" w:hAnsi="Arial" w:eastAsia="宋体" w:cs="Arial"/>
          <w:bCs/>
          <w:color w:val="auto"/>
          <w:szCs w:val="21"/>
          <w:highlight w:val="none"/>
        </w:rPr>
        <w:t>颁布的</w:t>
      </w:r>
      <w:r>
        <w:rPr>
          <w:rFonts w:hint="default" w:ascii="Arial" w:hAnsi="Arial" w:eastAsia="宋体" w:cs="Arial"/>
          <w:color w:val="auto"/>
          <w:highlight w:val="none"/>
        </w:rPr>
        <w:t>节能产品政府采购品目清单和环境标志产品政府采购品目清单为准</w:t>
      </w:r>
      <w:r>
        <w:rPr>
          <w:rFonts w:hint="default" w:ascii="Arial" w:hAnsi="Arial" w:eastAsia="宋体" w:cs="Arial"/>
          <w:bCs/>
          <w:color w:val="auto"/>
          <w:szCs w:val="21"/>
          <w:highlight w:val="none"/>
        </w:rPr>
        <w:t>，</w:t>
      </w:r>
      <w:r>
        <w:rPr>
          <w:rFonts w:hint="default" w:ascii="Arial" w:hAnsi="Arial" w:eastAsia="宋体" w:cs="Arial"/>
          <w:color w:val="auto"/>
          <w:szCs w:val="21"/>
          <w:highlight w:val="none"/>
        </w:rPr>
        <w:t>采购人或采购代理机构通过中国政府采购网“节能产品查询”及“环境标志产品查询”进行。</w:t>
      </w:r>
    </w:p>
    <w:p>
      <w:pPr>
        <w:spacing w:before="120" w:line="320" w:lineRule="atLeast"/>
        <w:ind w:firstLine="422" w:firstLineChars="200"/>
        <w:rPr>
          <w:rFonts w:hint="default" w:ascii="Arial" w:hAnsi="Arial" w:eastAsia="宋体" w:cs="Arial"/>
          <w:b/>
          <w:bCs/>
          <w:color w:val="auto"/>
          <w:kern w:val="0"/>
          <w:szCs w:val="21"/>
          <w:highlight w:val="none"/>
        </w:rPr>
      </w:pPr>
      <w:r>
        <w:rPr>
          <w:rFonts w:hint="default" w:ascii="Arial" w:hAnsi="Arial" w:eastAsia="宋体" w:cs="Arial"/>
          <w:b/>
          <w:bCs/>
          <w:color w:val="auto"/>
          <w:kern w:val="0"/>
          <w:szCs w:val="21"/>
          <w:highlight w:val="none"/>
        </w:rPr>
        <w:t>2、政策性扣除计算方法</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供应商符合小型、微型企业、监狱企业或残疾人福利性单位条件的，其投标报价将按相应比例进行扣除，用扣除后的价格参与评审（计算价格分）。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（1）小型、微型企业</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供应商为非联合体的情况下投标报价扣除方式：对小型、微型企业投标报价给予10%的扣除，以扣除后的投标报价参与评审（计算价格分）。</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（2）监狱企业</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根据财政部、司法部关于政府采购支持监狱企业发展有关问题的通知（财库[2014]68号），监狱企业视同小型、微型企业，享受小型、微型企业评审时</w:t>
      </w:r>
      <w:r>
        <w:rPr>
          <w:rFonts w:hint="default" w:ascii="Arial" w:hAnsi="Arial" w:eastAsia="宋体" w:cs="Arial"/>
          <w:bCs/>
          <w:color w:val="auto"/>
          <w:szCs w:val="21"/>
          <w:highlight w:val="none"/>
        </w:rPr>
        <w:t>投标</w:t>
      </w:r>
      <w:r>
        <w:rPr>
          <w:rFonts w:hint="default" w:ascii="Arial" w:hAnsi="Arial" w:eastAsia="宋体" w:cs="Arial"/>
          <w:color w:val="auto"/>
          <w:szCs w:val="21"/>
          <w:highlight w:val="none"/>
        </w:rPr>
        <w:t>价格扣除10%的政府采购政策。</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（3）残疾人福利性单位</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根据财政部、民政部、中国残疾人联合会三部门发布的关于促进残疾人就业政府采购政策的通知（财库〔2017〕141号），残疾人福利性单位视同小型、微型企业，享受小型、微型企业评标时投标报价扣除10%的政府采购政策。供应商既属于残疾人福利性单位又属于小型、微型企业的，其只能享受投标报价一次性10%的扣除，不重复享受政策。</w:t>
      </w:r>
    </w:p>
    <w:p>
      <w:pPr>
        <w:spacing w:before="120" w:line="320" w:lineRule="atLeast"/>
        <w:ind w:firstLine="420" w:firstLineChars="200"/>
        <w:rPr>
          <w:rFonts w:hint="default" w:ascii="Arial" w:hAnsi="Arial" w:eastAsia="宋体" w:cs="Arial"/>
          <w:color w:val="auto"/>
          <w:szCs w:val="21"/>
          <w:highlight w:val="none"/>
        </w:rPr>
      </w:pPr>
      <w:bookmarkStart w:id="43" w:name="_Hlk60654227"/>
      <w:bookmarkStart w:id="44" w:name="_Hlk60651046"/>
      <w:r>
        <w:rPr>
          <w:rFonts w:hint="default" w:ascii="Arial" w:hAnsi="Arial" w:eastAsia="宋体" w:cs="Arial"/>
          <w:color w:val="auto"/>
          <w:szCs w:val="21"/>
          <w:highlight w:val="none"/>
        </w:rPr>
        <w:t>（4）联合体投标</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供应商为联合体的情况下投标价格扣除方式：接受大中型企业与小微企业组成联合体的采购项目，对于联合协议约定小微企业的合同份额占到合同总金额 30%以上的，评标时对联合体供应商的报价给予 2%的扣除，用扣除后的价格参加评审。组成联合体的小微企业与联合体内其他企业、分包企业之间不得存在直接控股、管理关系，否则价格不予扣除。</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（5）中标后分包</w:t>
      </w:r>
    </w:p>
    <w:p>
      <w:pPr>
        <w:spacing w:before="120" w:line="320" w:lineRule="atLeast"/>
        <w:ind w:firstLine="420" w:firstLineChars="200"/>
        <w:rPr>
          <w:rFonts w:hint="default" w:ascii="Arial" w:hAnsi="Arial" w:eastAsia="宋体" w:cs="Arial"/>
          <w:color w:val="auto"/>
          <w:highlight w:val="none"/>
        </w:rPr>
      </w:pPr>
      <w:r>
        <w:rPr>
          <w:rFonts w:hint="default" w:ascii="Arial" w:hAnsi="Arial" w:eastAsia="宋体" w:cs="Arial"/>
          <w:color w:val="auto"/>
          <w:szCs w:val="21"/>
          <w:highlight w:val="none"/>
        </w:rPr>
        <w:t>允许大中型企业向一家或者多家小微企业分包的采购项目，对于分包意向协议约定小微企业的合同份额占到合同总金额 30%以上的，评标时对大中型企业供应商的报价给予 2%的扣除，用扣除后的价格参加评审。接受分包的小微企业与分包企业之间不得存在直接控股、管理关系，否则价格不予扣除。</w:t>
      </w:r>
      <w:bookmarkEnd w:id="43"/>
      <w:bookmarkEnd w:id="44"/>
    </w:p>
    <w:p>
      <w:pPr>
        <w:spacing w:before="120" w:line="320" w:lineRule="atLeast"/>
        <w:ind w:firstLine="420" w:firstLineChars="200"/>
        <w:rPr>
          <w:rFonts w:hint="default" w:ascii="Arial" w:hAnsi="Arial" w:eastAsia="宋体" w:cs="Arial"/>
          <w:bCs/>
          <w:color w:val="auto"/>
          <w:szCs w:val="21"/>
          <w:highlight w:val="none"/>
        </w:rPr>
      </w:pPr>
      <w:r>
        <w:rPr>
          <w:rFonts w:hint="default" w:ascii="Arial" w:hAnsi="Arial" w:eastAsia="宋体" w:cs="Arial"/>
          <w:color w:val="auto"/>
          <w:szCs w:val="21"/>
          <w:highlight w:val="none"/>
        </w:rPr>
        <w:t>3、</w:t>
      </w:r>
      <w:r>
        <w:rPr>
          <w:rFonts w:hint="default" w:ascii="Arial" w:hAnsi="Arial" w:eastAsia="宋体" w:cs="Arial"/>
          <w:b/>
          <w:bCs/>
          <w:color w:val="auto"/>
          <w:kern w:val="0"/>
          <w:szCs w:val="21"/>
          <w:highlight w:val="none"/>
        </w:rPr>
        <w:t>符合政府采购政策的相关条件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（1）小型、微型企业</w:t>
      </w:r>
    </w:p>
    <w:p>
      <w:pPr>
        <w:spacing w:before="120" w:line="320" w:lineRule="atLeast"/>
        <w:ind w:firstLine="420" w:firstLineChars="200"/>
        <w:rPr>
          <w:rFonts w:hint="default" w:ascii="Arial" w:hAnsi="Arial" w:eastAsia="宋体" w:cs="Arial"/>
          <w:color w:val="auto"/>
          <w:szCs w:val="21"/>
          <w:highlight w:val="none"/>
        </w:rPr>
      </w:pPr>
      <w:bookmarkStart w:id="45" w:name="_Hlk60651069"/>
      <w:r>
        <w:rPr>
          <w:rFonts w:hint="default" w:ascii="Arial" w:hAnsi="Arial" w:eastAsia="宋体" w:cs="Arial"/>
          <w:color w:val="auto"/>
          <w:szCs w:val="21"/>
          <w:highlight w:val="none"/>
        </w:rPr>
        <w:t>依照关于印发《政府采购促进中小企业发展管理办法》的通知（财库〔2020〕46号）之规定， 供应商提供的货物、工程或者服务符合下列情形的，享受本办法规定的中小企业扶持政策：</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在货物采购项目中，货物由中小企业制造，即货物由中小企业生产且使用该中小企业商号或者注册商标；（供应商提供的货物既有中小企业制造货物，也有大型企业制造货物的，不享受本办法规定的中小企业扶持政策。）</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注：供应商根据中小企业划分标准（《关于印发中小企业划型标准规定的通知》（工信部联企业〔2011〕300号）判断是否为中小企业，符合中小企业划分标准的个体工商户，视同中小企业。以联合体形式参加政府采购活动，联合体各方均为中小企业的，联合体视同中小企业。其中，联合体各方均为小微企业的，联合体视同小微企业。</w:t>
      </w:r>
    </w:p>
    <w:bookmarkEnd w:id="45"/>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bCs/>
          <w:color w:val="auto"/>
          <w:szCs w:val="21"/>
          <w:highlight w:val="none"/>
        </w:rPr>
        <w:t>供应商声明为中小企业的，应按招标文件规定在投标文件中提供声明函。</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（2）监狱企业</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依照《财政部、司法部关于政府采购支持监狱企业发展有关问题的通知》（财库〔2014〕68号）之规定，监狱企业应当符合以下条件：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①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②监狱企业参加政府采购活动时，应当提供由省级以上监狱管理局、戒毒管理局（含新疆生产建设兵团）或财政部门出具的属于监狱企业的证明文件，视同小型、微型企业。</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注：</w:t>
      </w:r>
      <w:r>
        <w:rPr>
          <w:rFonts w:hint="default" w:ascii="Arial" w:hAnsi="Arial" w:eastAsia="宋体" w:cs="Arial"/>
          <w:bCs/>
          <w:color w:val="auto"/>
          <w:szCs w:val="21"/>
          <w:highlight w:val="none"/>
        </w:rPr>
        <w:t>供应商声明为监狱企业的，应按招标文件规定在投标文件中提供相关证明文件。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（3）残疾人福利性单位</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依照财政部、民政部、中国残疾人联合会三部门发布的《关于促进残疾人就业政府采购政策的通知》（财库〔2017〕141号）之规定，享受政府采购支持政策的残疾人福利性单位应当符合同时满足以下条件：</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①安置的残疾人占本单位在职职工人数的比例不低于25%（含25%），并且安置的残疾人人数不少于10人（含10人）；</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②依法与安置的每位残疾人签订了一年以上（含一年）的劳动合同或服务协议；</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③为安置的每位残疾人按月足额缴纳了基本养老保险、基本医疗保险、失业保险、工伤保险和生育保险等社会保险费；</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④通过银行等金融机构向安置的每位残疾人，按月支付了不低于单位所在区县适用的经省级人民政府批准的月最低工资标准的工资；</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⑤提供本单位制造的货物、承担的工程或者服务（以下简称产品），或者提供其他残疾人福利性单位制造的货物（不包括使用非残疾人福利性单位注册商标的货物）。</w:t>
      </w:r>
    </w:p>
    <w:p>
      <w:pPr>
        <w:spacing w:before="120" w:line="320" w:lineRule="atLeas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before="120" w:line="320" w:lineRule="atLeast"/>
        <w:ind w:firstLine="420" w:firstLineChars="200"/>
        <w:rPr>
          <w:rFonts w:hint="default" w:ascii="Arial" w:hAnsi="Arial" w:eastAsia="宋体" w:cs="Arial"/>
          <w:bCs/>
          <w:color w:val="auto"/>
          <w:szCs w:val="21"/>
          <w:highlight w:val="none"/>
        </w:rPr>
      </w:pPr>
      <w:r>
        <w:rPr>
          <w:rFonts w:hint="default" w:ascii="Arial" w:hAnsi="Arial" w:eastAsia="宋体" w:cs="Arial"/>
          <w:color w:val="auto"/>
          <w:szCs w:val="21"/>
          <w:highlight w:val="none"/>
        </w:rPr>
        <w:t>注：符合条件的残疾人福利性单位在参加政府采购活动时，应当提供《残疾人福利性单位声明函》（格式见第六章），并对声明的真实性负责。</w:t>
      </w:r>
    </w:p>
    <w:bookmarkEnd w:id="30"/>
    <w:p>
      <w:pPr>
        <w:spacing w:line="340" w:lineRule="exact"/>
        <w:ind w:left="-13" w:leftChars="-6"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br w:type="page"/>
      </w:r>
      <w:r>
        <w:rPr>
          <w:rFonts w:hint="default" w:ascii="Arial" w:hAnsi="Arial" w:eastAsia="宋体" w:cs="Arial"/>
          <w:color w:val="auto"/>
          <w:szCs w:val="21"/>
          <w:highlight w:val="none"/>
        </w:rPr>
        <w:t>附表</w:t>
      </w:r>
    </w:p>
    <w:p>
      <w:pPr>
        <w:spacing w:line="528" w:lineRule="exact"/>
        <w:ind w:left="1871" w:firstLine="1687" w:firstLineChars="600"/>
        <w:rPr>
          <w:rFonts w:hint="default" w:ascii="Arial" w:hAnsi="Arial" w:eastAsia="宋体" w:cs="Arial"/>
          <w:b/>
          <w:bCs/>
          <w:color w:val="auto"/>
          <w:sz w:val="28"/>
          <w:szCs w:val="28"/>
          <w:highlight w:val="none"/>
        </w:rPr>
      </w:pPr>
      <w:r>
        <w:rPr>
          <w:rFonts w:hint="default" w:ascii="Arial" w:hAnsi="Arial" w:eastAsia="宋体" w:cs="Arial"/>
          <w:b/>
          <w:bCs/>
          <w:color w:val="auto"/>
          <w:sz w:val="28"/>
          <w:szCs w:val="28"/>
          <w:highlight w:val="none"/>
        </w:rPr>
        <w:t>中小微企业划型标准</w:t>
      </w:r>
    </w:p>
    <w:tbl>
      <w:tblPr>
        <w:tblStyle w:val="53"/>
        <w:tblW w:w="9870" w:type="dxa"/>
        <w:jc w:val="center"/>
        <w:tblLayout w:type="fixed"/>
        <w:tblCellMar>
          <w:top w:w="0" w:type="dxa"/>
          <w:left w:w="108" w:type="dxa"/>
          <w:bottom w:w="0" w:type="dxa"/>
          <w:right w:w="108" w:type="dxa"/>
        </w:tblCellMar>
      </w:tblPr>
      <w:tblGrid>
        <w:gridCol w:w="1990"/>
        <w:gridCol w:w="1854"/>
        <w:gridCol w:w="1060"/>
        <w:gridCol w:w="1891"/>
        <w:gridCol w:w="1824"/>
        <w:gridCol w:w="1251"/>
      </w:tblGrid>
      <w:tr>
        <w:tblPrEx>
          <w:tblCellMar>
            <w:top w:w="0" w:type="dxa"/>
            <w:left w:w="108" w:type="dxa"/>
            <w:bottom w:w="0" w:type="dxa"/>
            <w:right w:w="108" w:type="dxa"/>
          </w:tblCellMar>
        </w:tblPrEx>
        <w:trPr>
          <w:trHeight w:val="282" w:hRule="atLeast"/>
          <w:jc w:val="center"/>
        </w:trPr>
        <w:tc>
          <w:tcPr>
            <w:tcW w:w="1990"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行业名称</w:t>
            </w:r>
          </w:p>
        </w:tc>
        <w:tc>
          <w:tcPr>
            <w:tcW w:w="1854" w:type="dxa"/>
            <w:tcBorders>
              <w:top w:val="single" w:color="auto" w:sz="4" w:space="0"/>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指标名称</w:t>
            </w:r>
          </w:p>
        </w:tc>
        <w:tc>
          <w:tcPr>
            <w:tcW w:w="1060" w:type="dxa"/>
            <w:tcBorders>
              <w:top w:val="single" w:color="auto" w:sz="4" w:space="0"/>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计量单位</w:t>
            </w:r>
          </w:p>
        </w:tc>
        <w:tc>
          <w:tcPr>
            <w:tcW w:w="1891" w:type="dxa"/>
            <w:tcBorders>
              <w:top w:val="single" w:color="auto" w:sz="4" w:space="0"/>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中型</w:t>
            </w:r>
          </w:p>
        </w:tc>
        <w:tc>
          <w:tcPr>
            <w:tcW w:w="1824" w:type="dxa"/>
            <w:tcBorders>
              <w:top w:val="single" w:color="auto" w:sz="4" w:space="0"/>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小型</w:t>
            </w:r>
          </w:p>
        </w:tc>
        <w:tc>
          <w:tcPr>
            <w:tcW w:w="1251" w:type="dxa"/>
            <w:tcBorders>
              <w:top w:val="single" w:color="auto" w:sz="4" w:space="0"/>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微型</w:t>
            </w:r>
          </w:p>
        </w:tc>
      </w:tr>
      <w:tr>
        <w:tblPrEx>
          <w:tblCellMar>
            <w:top w:w="0" w:type="dxa"/>
            <w:left w:w="108" w:type="dxa"/>
            <w:bottom w:w="0" w:type="dxa"/>
            <w:right w:w="108" w:type="dxa"/>
          </w:tblCellMar>
        </w:tblPrEx>
        <w:trPr>
          <w:trHeight w:val="382" w:hRule="atLeast"/>
          <w:jc w:val="center"/>
        </w:trPr>
        <w:tc>
          <w:tcPr>
            <w:tcW w:w="1990" w:type="dxa"/>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农、林、牧、渔</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Y＜500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Y＜50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工业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X＜20</w:t>
            </w:r>
          </w:p>
        </w:tc>
      </w:tr>
      <w:tr>
        <w:tblPrEx>
          <w:tblCellMar>
            <w:top w:w="0" w:type="dxa"/>
            <w:left w:w="108" w:type="dxa"/>
            <w:bottom w:w="0" w:type="dxa"/>
            <w:right w:w="108" w:type="dxa"/>
          </w:tblCellMar>
        </w:tblPrEx>
        <w:trPr>
          <w:trHeight w:val="37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Y＜40000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Y＜300</w:t>
            </w:r>
          </w:p>
        </w:tc>
      </w:tr>
      <w:tr>
        <w:tblPrEx>
          <w:tblCellMar>
            <w:top w:w="0" w:type="dxa"/>
            <w:left w:w="108" w:type="dxa"/>
            <w:bottom w:w="0" w:type="dxa"/>
            <w:right w:w="108" w:type="dxa"/>
          </w:tblCellMar>
        </w:tblPrEx>
        <w:trPr>
          <w:trHeight w:val="276"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建筑业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6000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Y＜80000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Y＜6000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Y＜300</w:t>
            </w:r>
          </w:p>
        </w:tc>
      </w:tr>
      <w:tr>
        <w:tblPrEx>
          <w:tblCellMar>
            <w:top w:w="0" w:type="dxa"/>
            <w:left w:w="108" w:type="dxa"/>
            <w:bottom w:w="0" w:type="dxa"/>
            <w:right w:w="108" w:type="dxa"/>
          </w:tblCellMar>
        </w:tblPrEx>
        <w:trPr>
          <w:trHeight w:val="352"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资产总额（Z）</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Z＜80000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Z＜5000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Z＜300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批发业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X＜200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X＜20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X＜5</w:t>
            </w:r>
          </w:p>
        </w:tc>
      </w:tr>
      <w:tr>
        <w:tblPrEx>
          <w:tblCellMar>
            <w:top w:w="0" w:type="dxa"/>
            <w:left w:w="108" w:type="dxa"/>
            <w:bottom w:w="0" w:type="dxa"/>
            <w:right w:w="108" w:type="dxa"/>
          </w:tblCellMar>
        </w:tblPrEx>
        <w:trPr>
          <w:trHeight w:val="345"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Y＜40000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Y＜5000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零售业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X＜50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26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Y＜500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交通运输业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X＜20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Y＜30000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Y＜3000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Y＜200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仓储业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X＜200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X＜20</w:t>
            </w:r>
          </w:p>
        </w:tc>
      </w:tr>
      <w:tr>
        <w:tblPrEx>
          <w:tblCellMar>
            <w:top w:w="0" w:type="dxa"/>
            <w:left w:w="108" w:type="dxa"/>
            <w:bottom w:w="0" w:type="dxa"/>
            <w:right w:w="108" w:type="dxa"/>
          </w:tblCellMar>
        </w:tblPrEx>
        <w:trPr>
          <w:trHeight w:val="397"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Y＜30000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邮政业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X＜20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Y＜30000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住宿业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餐饮业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信息传输业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X＜2000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软件和信息技术服务业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499"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Y＜50</w:t>
            </w:r>
          </w:p>
        </w:tc>
      </w:tr>
      <w:tr>
        <w:tblPrEx>
          <w:tblCellMar>
            <w:top w:w="0" w:type="dxa"/>
            <w:left w:w="108" w:type="dxa"/>
            <w:bottom w:w="0" w:type="dxa"/>
            <w:right w:w="108" w:type="dxa"/>
          </w:tblCellMar>
        </w:tblPrEx>
        <w:trPr>
          <w:trHeight w:val="49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房地产开发经营</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Y＜200000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X＜100</w:t>
            </w:r>
          </w:p>
        </w:tc>
      </w:tr>
      <w:tr>
        <w:tblPrEx>
          <w:tblCellMar>
            <w:top w:w="0" w:type="dxa"/>
            <w:left w:w="108" w:type="dxa"/>
            <w:bottom w:w="0" w:type="dxa"/>
            <w:right w:w="108" w:type="dxa"/>
          </w:tblCellMar>
        </w:tblPrEx>
        <w:trPr>
          <w:trHeight w:val="413"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资产总额（Z）</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Z＜10000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2000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Y＜5000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Y＜2000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物业管理</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300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X＜100</w:t>
            </w:r>
          </w:p>
        </w:tc>
      </w:tr>
      <w:tr>
        <w:tblPrEx>
          <w:tblCellMar>
            <w:top w:w="0" w:type="dxa"/>
            <w:left w:w="108" w:type="dxa"/>
            <w:bottom w:w="0" w:type="dxa"/>
            <w:right w:w="108" w:type="dxa"/>
          </w:tblCellMar>
        </w:tblPrEx>
        <w:trPr>
          <w:trHeight w:val="393"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营业收入（Y）</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Y＜5000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500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Y＜1000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Y＜500</w:t>
            </w:r>
          </w:p>
        </w:tc>
      </w:tr>
      <w:tr>
        <w:tblPrEx>
          <w:tblCellMar>
            <w:top w:w="0" w:type="dxa"/>
            <w:left w:w="108" w:type="dxa"/>
            <w:bottom w:w="0" w:type="dxa"/>
            <w:right w:w="108" w:type="dxa"/>
          </w:tblCellMar>
        </w:tblPrEx>
        <w:trPr>
          <w:trHeight w:val="269" w:hRule="atLeast"/>
          <w:jc w:val="center"/>
        </w:trPr>
        <w:tc>
          <w:tcPr>
            <w:tcW w:w="1990" w:type="dxa"/>
            <w:vMerge w:val="restart"/>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租赁和商务服务业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r>
        <w:tblPrEx>
          <w:tblCellMar>
            <w:top w:w="0" w:type="dxa"/>
            <w:left w:w="108" w:type="dxa"/>
            <w:bottom w:w="0" w:type="dxa"/>
            <w:right w:w="108" w:type="dxa"/>
          </w:tblCellMar>
        </w:tblPrEx>
        <w:trPr>
          <w:trHeight w:val="461" w:hRule="atLeast"/>
          <w:jc w:val="center"/>
        </w:trPr>
        <w:tc>
          <w:tcPr>
            <w:tcW w:w="1990" w:type="dxa"/>
            <w:vMerge w:val="continue"/>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资产总额（Z）</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万元</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8000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Z＜120000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Z＜8000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Y＜100</w:t>
            </w:r>
          </w:p>
        </w:tc>
      </w:tr>
      <w:tr>
        <w:tblPrEx>
          <w:tblCellMar>
            <w:top w:w="0" w:type="dxa"/>
            <w:left w:w="108" w:type="dxa"/>
            <w:bottom w:w="0" w:type="dxa"/>
            <w:right w:w="108" w:type="dxa"/>
          </w:tblCellMar>
        </w:tblPrEx>
        <w:trPr>
          <w:trHeight w:val="342" w:hRule="atLeast"/>
          <w:jc w:val="center"/>
        </w:trPr>
        <w:tc>
          <w:tcPr>
            <w:tcW w:w="1990" w:type="dxa"/>
            <w:tcBorders>
              <w:top w:val="nil"/>
              <w:left w:val="single" w:color="auto" w:sz="4" w:space="0"/>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其他未列明行业</w:t>
            </w:r>
          </w:p>
        </w:tc>
        <w:tc>
          <w:tcPr>
            <w:tcW w:w="185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从业人员（X）</w:t>
            </w:r>
          </w:p>
        </w:tc>
        <w:tc>
          <w:tcPr>
            <w:tcW w:w="1060"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人</w:t>
            </w:r>
          </w:p>
        </w:tc>
        <w:tc>
          <w:tcPr>
            <w:tcW w:w="189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X＜300</w:t>
            </w:r>
          </w:p>
        </w:tc>
        <w:tc>
          <w:tcPr>
            <w:tcW w:w="1824"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10</w:t>
            </w:r>
            <w:r>
              <w:rPr>
                <w:rFonts w:hint="default" w:ascii="Arial" w:hAnsi="Arial" w:eastAsia="宋体" w:cs="Arial"/>
                <w:bCs/>
                <w:color w:val="auto"/>
                <w:kern w:val="0"/>
                <w:szCs w:val="21"/>
                <w:highlight w:val="none"/>
                <w:lang w:eastAsia="zh-CN"/>
              </w:rPr>
              <w:t>≤</w:t>
            </w:r>
            <w:r>
              <w:rPr>
                <w:rFonts w:hint="default" w:ascii="Arial" w:hAnsi="Arial" w:eastAsia="宋体" w:cs="Arial"/>
                <w:bCs/>
                <w:color w:val="auto"/>
                <w:kern w:val="0"/>
                <w:szCs w:val="21"/>
                <w:highlight w:val="none"/>
              </w:rPr>
              <w:t>X＜100</w:t>
            </w:r>
          </w:p>
        </w:tc>
        <w:tc>
          <w:tcPr>
            <w:tcW w:w="1251" w:type="dxa"/>
            <w:tcBorders>
              <w:top w:val="nil"/>
              <w:left w:val="nil"/>
              <w:bottom w:val="single" w:color="auto" w:sz="4" w:space="0"/>
              <w:right w:val="single" w:color="auto" w:sz="4" w:space="0"/>
            </w:tcBorders>
            <w:vAlign w:val="center"/>
          </w:tcPr>
          <w:p>
            <w:pPr>
              <w:widowControl/>
              <w:jc w:val="center"/>
              <w:rPr>
                <w:rFonts w:hint="default" w:ascii="Arial" w:hAnsi="Arial" w:eastAsia="宋体" w:cs="Arial"/>
                <w:bCs/>
                <w:color w:val="auto"/>
                <w:kern w:val="0"/>
                <w:szCs w:val="21"/>
                <w:highlight w:val="none"/>
              </w:rPr>
            </w:pPr>
            <w:r>
              <w:rPr>
                <w:rFonts w:hint="default" w:ascii="Arial" w:hAnsi="Arial" w:eastAsia="宋体" w:cs="Arial"/>
                <w:bCs/>
                <w:color w:val="auto"/>
                <w:kern w:val="0"/>
                <w:szCs w:val="21"/>
                <w:highlight w:val="none"/>
              </w:rPr>
              <w:t>X＜10</w:t>
            </w:r>
          </w:p>
        </w:tc>
      </w:tr>
    </w:tbl>
    <w:p>
      <w:pPr>
        <w:spacing w:line="360" w:lineRule="auto"/>
        <w:ind w:firstLine="525" w:firstLineChars="250"/>
        <w:rPr>
          <w:rFonts w:hint="default" w:ascii="Arial" w:hAnsi="Arial" w:eastAsia="宋体" w:cs="Arial"/>
          <w:color w:val="auto"/>
          <w:szCs w:val="21"/>
          <w:highlight w:val="none"/>
        </w:rPr>
      </w:pPr>
      <w:r>
        <w:rPr>
          <w:rFonts w:hint="default" w:ascii="Arial" w:hAnsi="Arial" w:eastAsia="宋体" w:cs="Arial"/>
          <w:color w:val="auto"/>
          <w:szCs w:val="21"/>
          <w:highlight w:val="none"/>
        </w:rPr>
        <w:t>说明：上述标准参照《关于印发中小企业划型标准规定的通知》（工信部联企业[2011]300号），大型、中型和小型企业须同时满足所列指标的下限，否则下划一档；微型企业只须满足所列指标中的一项即可。</w:t>
      </w:r>
    </w:p>
    <w:p>
      <w:pPr>
        <w:pStyle w:val="29"/>
        <w:snapToGrid w:val="0"/>
        <w:spacing w:before="120" w:after="120"/>
        <w:outlineLvl w:val="0"/>
        <w:rPr>
          <w:rFonts w:hint="default" w:ascii="Arial" w:hAnsi="Arial" w:eastAsia="宋体" w:cs="Arial"/>
          <w:b/>
          <w:color w:val="auto"/>
          <w:sz w:val="32"/>
          <w:szCs w:val="32"/>
          <w:highlight w:val="none"/>
        </w:rPr>
        <w:sectPr>
          <w:headerReference r:id="rId13" w:type="default"/>
          <w:pgSz w:w="11906" w:h="16838"/>
          <w:pgMar w:top="1418" w:right="1133" w:bottom="1246" w:left="1418" w:header="851" w:footer="992" w:gutter="0"/>
          <w:cols w:space="720" w:num="1"/>
          <w:docGrid w:linePitch="312" w:charSpace="0"/>
        </w:sectPr>
      </w:pPr>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46" w:name="_Toc25902"/>
      <w:r>
        <w:rPr>
          <w:rFonts w:hint="default" w:ascii="Arial" w:hAnsi="Arial" w:eastAsia="宋体" w:cs="Arial"/>
          <w:color w:val="auto"/>
          <w:sz w:val="32"/>
          <w:szCs w:val="32"/>
          <w:highlight w:val="none"/>
        </w:rPr>
        <w:t>第五章  合同主要条款格式</w:t>
      </w:r>
      <w:bookmarkEnd w:id="46"/>
    </w:p>
    <w:p>
      <w:pPr>
        <w:spacing w:before="120" w:line="288" w:lineRule="auto"/>
        <w:ind w:firstLine="422" w:firstLineChars="200"/>
        <w:jc w:val="center"/>
        <w:outlineLvl w:val="1"/>
        <w:rPr>
          <w:rFonts w:ascii="Arial" w:hAnsi="Arial" w:cs="Arial"/>
          <w:b/>
          <w:bCs/>
          <w:color w:val="auto"/>
          <w:kern w:val="0"/>
          <w:szCs w:val="21"/>
          <w:highlight w:val="none"/>
        </w:rPr>
      </w:pPr>
      <w:r>
        <w:rPr>
          <w:rFonts w:ascii="Arial" w:hAnsi="Arial" w:cs="Arial"/>
          <w:b/>
          <w:bCs/>
          <w:color w:val="auto"/>
          <w:kern w:val="0"/>
          <w:szCs w:val="21"/>
          <w:highlight w:val="none"/>
        </w:rPr>
        <w:t>广西壮族自治区政府采购合同</w:t>
      </w:r>
    </w:p>
    <w:p>
      <w:pPr>
        <w:snapToGrid w:val="0"/>
        <w:spacing w:line="288" w:lineRule="auto"/>
        <w:ind w:right="480" w:firstLine="5985" w:firstLineChars="2850"/>
        <w:rPr>
          <w:rFonts w:ascii="Arial" w:hAnsi="Arial" w:cs="Arial"/>
          <w:bCs/>
          <w:color w:val="auto"/>
          <w:szCs w:val="21"/>
          <w:highlight w:val="none"/>
        </w:rPr>
      </w:pPr>
    </w:p>
    <w:p>
      <w:pPr>
        <w:snapToGrid w:val="0"/>
        <w:spacing w:line="288" w:lineRule="auto"/>
        <w:ind w:right="480" w:firstLine="5985" w:firstLineChars="2850"/>
        <w:rPr>
          <w:rFonts w:ascii="Arial" w:hAnsi="Arial" w:cs="Arial"/>
          <w:bCs/>
          <w:color w:val="auto"/>
          <w:szCs w:val="21"/>
          <w:highlight w:val="none"/>
          <w:u w:val="single"/>
        </w:rPr>
      </w:pPr>
      <w:r>
        <w:rPr>
          <w:rFonts w:ascii="Arial" w:hAnsi="Arial" w:cs="Arial"/>
          <w:bCs/>
          <w:color w:val="auto"/>
          <w:szCs w:val="21"/>
          <w:highlight w:val="none"/>
        </w:rPr>
        <w:t>合同编号：</w:t>
      </w:r>
    </w:p>
    <w:p>
      <w:pPr>
        <w:snapToGrid w:val="0"/>
        <w:spacing w:line="288" w:lineRule="auto"/>
        <w:rPr>
          <w:rFonts w:ascii="Arial" w:hAnsi="Arial" w:cs="Arial"/>
          <w:color w:val="auto"/>
          <w:szCs w:val="21"/>
          <w:highlight w:val="none"/>
        </w:rPr>
      </w:pPr>
    </w:p>
    <w:p>
      <w:pPr>
        <w:snapToGrid w:val="0"/>
        <w:spacing w:line="288" w:lineRule="auto"/>
        <w:rPr>
          <w:rFonts w:ascii="Arial" w:hAnsi="Arial" w:cs="Arial"/>
          <w:color w:val="auto"/>
          <w:szCs w:val="21"/>
          <w:highlight w:val="none"/>
          <w:u w:val="single"/>
        </w:rPr>
      </w:pPr>
      <w:r>
        <w:rPr>
          <w:rFonts w:ascii="Arial" w:hAnsi="Arial" w:cs="Arial"/>
          <w:color w:val="auto"/>
          <w:szCs w:val="21"/>
          <w:highlight w:val="none"/>
        </w:rPr>
        <w:t>采购单位（甲方）</w:t>
      </w:r>
      <w:r>
        <w:rPr>
          <w:rFonts w:hint="eastAsia" w:ascii="Arial" w:hAnsi="Arial" w:cs="Arial"/>
          <w:color w:val="auto"/>
          <w:kern w:val="0"/>
          <w:szCs w:val="21"/>
          <w:highlight w:val="none"/>
          <w:u w:val="single"/>
          <w:lang w:eastAsia="zh-CN"/>
        </w:rPr>
        <w:t>广西壮族自治区第四强制隔离戒毒所</w:t>
      </w:r>
      <w:r>
        <w:rPr>
          <w:rFonts w:ascii="Arial" w:hAnsi="Arial" w:cs="Arial"/>
          <w:color w:val="auto"/>
          <w:kern w:val="0"/>
          <w:szCs w:val="21"/>
          <w:highlight w:val="none"/>
        </w:rPr>
        <w:t xml:space="preserve">          </w:t>
      </w:r>
      <w:r>
        <w:rPr>
          <w:rFonts w:ascii="Arial" w:hAnsi="Arial" w:cs="Arial"/>
          <w:color w:val="auto"/>
          <w:spacing w:val="-20"/>
          <w:szCs w:val="21"/>
          <w:highlight w:val="none"/>
        </w:rPr>
        <w:t>购 计 划 号：</w:t>
      </w:r>
    </w:p>
    <w:p>
      <w:pPr>
        <w:snapToGrid w:val="0"/>
        <w:spacing w:line="288" w:lineRule="auto"/>
        <w:rPr>
          <w:rFonts w:ascii="Arial" w:hAnsi="Arial" w:cs="Arial"/>
          <w:color w:val="auto"/>
          <w:szCs w:val="21"/>
          <w:highlight w:val="none"/>
          <w:u w:val="single"/>
        </w:rPr>
      </w:pPr>
      <w:r>
        <w:rPr>
          <w:rFonts w:ascii="Arial" w:hAnsi="Arial" w:cs="Arial"/>
          <w:color w:val="auto"/>
          <w:szCs w:val="21"/>
          <w:highlight w:val="none"/>
        </w:rPr>
        <w:t xml:space="preserve">供 应 商（乙方）                                </w:t>
      </w:r>
      <w:r>
        <w:rPr>
          <w:rFonts w:hint="eastAsia" w:ascii="Arial" w:hAnsi="Arial" w:cs="Arial"/>
          <w:color w:val="auto"/>
          <w:szCs w:val="21"/>
          <w:highlight w:val="none"/>
          <w:lang w:val="en-US" w:eastAsia="zh-CN"/>
        </w:rPr>
        <w:t xml:space="preserve">          </w:t>
      </w:r>
      <w:r>
        <w:rPr>
          <w:rFonts w:ascii="Arial" w:hAnsi="Arial" w:cs="Arial"/>
          <w:color w:val="auto"/>
          <w:szCs w:val="21"/>
          <w:highlight w:val="none"/>
        </w:rPr>
        <w:t>项目名称及</w:t>
      </w:r>
      <w:r>
        <w:rPr>
          <w:rFonts w:ascii="Arial" w:hAnsi="Arial" w:cs="Arial"/>
          <w:color w:val="auto"/>
          <w:spacing w:val="-20"/>
          <w:szCs w:val="21"/>
          <w:highlight w:val="none"/>
        </w:rPr>
        <w:t>编号：</w:t>
      </w:r>
    </w:p>
    <w:p>
      <w:pPr>
        <w:snapToGrid w:val="0"/>
        <w:spacing w:line="288" w:lineRule="auto"/>
        <w:rPr>
          <w:rFonts w:ascii="Arial" w:hAnsi="Arial" w:cs="Arial"/>
          <w:color w:val="auto"/>
          <w:szCs w:val="21"/>
          <w:highlight w:val="none"/>
          <w:u w:val="single"/>
        </w:rPr>
      </w:pPr>
      <w:r>
        <w:rPr>
          <w:rFonts w:ascii="Arial" w:hAnsi="Arial" w:cs="Arial"/>
          <w:color w:val="auto"/>
          <w:szCs w:val="21"/>
          <w:highlight w:val="none"/>
        </w:rPr>
        <w:t xml:space="preserve">签  订  地  点  </w:t>
      </w:r>
      <w:r>
        <w:rPr>
          <w:rFonts w:hint="eastAsia" w:ascii="Arial" w:hAnsi="Arial" w:cs="Arial"/>
          <w:color w:val="auto"/>
          <w:szCs w:val="21"/>
          <w:highlight w:val="none"/>
          <w:lang w:val="en-US" w:eastAsia="zh-CN"/>
        </w:rPr>
        <w:t xml:space="preserve">                                </w:t>
      </w:r>
      <w:r>
        <w:rPr>
          <w:rFonts w:ascii="Arial" w:hAnsi="Arial" w:cs="Arial"/>
          <w:color w:val="auto"/>
          <w:szCs w:val="21"/>
          <w:highlight w:val="none"/>
        </w:rPr>
        <w:t xml:space="preserve">          签 订 时 间：</w:t>
      </w:r>
    </w:p>
    <w:p>
      <w:pPr>
        <w:snapToGrid w:val="0"/>
        <w:spacing w:line="288" w:lineRule="auto"/>
        <w:ind w:firstLine="420" w:firstLineChars="200"/>
        <w:rPr>
          <w:rFonts w:ascii="Arial" w:hAnsi="Arial" w:cs="Arial"/>
          <w:color w:val="auto"/>
          <w:szCs w:val="21"/>
          <w:highlight w:val="none"/>
        </w:rPr>
      </w:pP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根据《中华人民共和国政府采购法》</w:t>
      </w:r>
      <w:r>
        <w:rPr>
          <w:rFonts w:ascii="Arial" w:hAnsi="Arial" w:cs="Arial"/>
          <w:color w:val="auto"/>
          <w:kern w:val="0"/>
          <w:highlight w:val="none"/>
        </w:rPr>
        <w:t>、《政府采购货物和服务招标投标管理办法》、</w:t>
      </w:r>
      <w:r>
        <w:rPr>
          <w:rFonts w:ascii="Arial" w:hAnsi="Arial" w:cs="Arial"/>
          <w:color w:val="auto"/>
          <w:highlight w:val="none"/>
        </w:rPr>
        <w:t>《中华人民共和国</w:t>
      </w:r>
      <w:r>
        <w:rPr>
          <w:rFonts w:hint="eastAsia" w:ascii="Arial" w:hAnsi="Arial" w:cs="Arial"/>
          <w:color w:val="auto"/>
          <w:highlight w:val="none"/>
        </w:rPr>
        <w:t>民法典</w:t>
      </w:r>
      <w:r>
        <w:rPr>
          <w:rFonts w:ascii="Arial" w:hAnsi="Arial" w:cs="Arial"/>
          <w:color w:val="auto"/>
          <w:highlight w:val="none"/>
        </w:rPr>
        <w:t>》等法律、法规规定，按照招标文件规定条款和乙方投标文件及其承诺，甲乙双方签订本合同。</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第一条　合同标的</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1.供货一览表</w:t>
      </w:r>
    </w:p>
    <w:tbl>
      <w:tblPr>
        <w:tblStyle w:val="53"/>
        <w:tblW w:w="954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
        <w:gridCol w:w="1304"/>
        <w:gridCol w:w="1081"/>
        <w:gridCol w:w="1194"/>
        <w:gridCol w:w="1193"/>
        <w:gridCol w:w="672"/>
        <w:gridCol w:w="1080"/>
        <w:gridCol w:w="108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496"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序号</w:t>
            </w:r>
          </w:p>
        </w:tc>
        <w:tc>
          <w:tcPr>
            <w:tcW w:w="1304"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标的</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名称</w:t>
            </w:r>
          </w:p>
        </w:tc>
        <w:tc>
          <w:tcPr>
            <w:tcW w:w="1081"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商标</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品牌</w:t>
            </w:r>
          </w:p>
        </w:tc>
        <w:tc>
          <w:tcPr>
            <w:tcW w:w="1194"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型号</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参数</w:t>
            </w:r>
          </w:p>
        </w:tc>
        <w:tc>
          <w:tcPr>
            <w:tcW w:w="1193"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生产</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厂家</w:t>
            </w:r>
          </w:p>
        </w:tc>
        <w:tc>
          <w:tcPr>
            <w:tcW w:w="672"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数  量</w:t>
            </w:r>
          </w:p>
        </w:tc>
        <w:tc>
          <w:tcPr>
            <w:tcW w:w="1080"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单位</w:t>
            </w:r>
          </w:p>
        </w:tc>
        <w:tc>
          <w:tcPr>
            <w:tcW w:w="1080"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单  价</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（元）</w:t>
            </w:r>
          </w:p>
        </w:tc>
        <w:tc>
          <w:tcPr>
            <w:tcW w:w="1440"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金  额</w:t>
            </w:r>
          </w:p>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 w:hRule="atLeast"/>
        </w:trPr>
        <w:tc>
          <w:tcPr>
            <w:tcW w:w="496"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1</w:t>
            </w:r>
          </w:p>
        </w:tc>
        <w:tc>
          <w:tcPr>
            <w:tcW w:w="1304" w:type="dxa"/>
            <w:vAlign w:val="center"/>
          </w:tcPr>
          <w:p>
            <w:pPr>
              <w:snapToGrid w:val="0"/>
              <w:spacing w:line="288" w:lineRule="auto"/>
              <w:jc w:val="center"/>
              <w:rPr>
                <w:rFonts w:ascii="Arial" w:hAnsi="Arial" w:cs="Arial"/>
                <w:color w:val="auto"/>
                <w:szCs w:val="21"/>
                <w:highlight w:val="none"/>
              </w:rPr>
            </w:pPr>
          </w:p>
        </w:tc>
        <w:tc>
          <w:tcPr>
            <w:tcW w:w="1081" w:type="dxa"/>
            <w:vAlign w:val="center"/>
          </w:tcPr>
          <w:p>
            <w:pPr>
              <w:snapToGrid w:val="0"/>
              <w:spacing w:line="288" w:lineRule="auto"/>
              <w:jc w:val="center"/>
              <w:rPr>
                <w:rFonts w:ascii="Arial" w:hAnsi="Arial" w:cs="Arial"/>
                <w:color w:val="auto"/>
                <w:szCs w:val="21"/>
                <w:highlight w:val="none"/>
              </w:rPr>
            </w:pPr>
          </w:p>
        </w:tc>
        <w:tc>
          <w:tcPr>
            <w:tcW w:w="1194" w:type="dxa"/>
            <w:vAlign w:val="center"/>
          </w:tcPr>
          <w:p>
            <w:pPr>
              <w:snapToGrid w:val="0"/>
              <w:spacing w:line="288" w:lineRule="auto"/>
              <w:jc w:val="center"/>
              <w:rPr>
                <w:rFonts w:ascii="Arial" w:hAnsi="Arial" w:cs="Arial"/>
                <w:color w:val="auto"/>
                <w:szCs w:val="21"/>
                <w:highlight w:val="none"/>
              </w:rPr>
            </w:pPr>
          </w:p>
        </w:tc>
        <w:tc>
          <w:tcPr>
            <w:tcW w:w="1193" w:type="dxa"/>
            <w:vAlign w:val="top"/>
          </w:tcPr>
          <w:p>
            <w:pPr>
              <w:snapToGrid w:val="0"/>
              <w:spacing w:line="288" w:lineRule="auto"/>
              <w:jc w:val="center"/>
              <w:rPr>
                <w:rFonts w:ascii="Arial" w:hAnsi="Arial" w:cs="Arial"/>
                <w:color w:val="auto"/>
                <w:szCs w:val="21"/>
                <w:highlight w:val="none"/>
              </w:rPr>
            </w:pPr>
          </w:p>
        </w:tc>
        <w:tc>
          <w:tcPr>
            <w:tcW w:w="672" w:type="dxa"/>
            <w:vAlign w:val="top"/>
          </w:tcPr>
          <w:p>
            <w:pPr>
              <w:snapToGrid w:val="0"/>
              <w:spacing w:line="288" w:lineRule="auto"/>
              <w:jc w:val="center"/>
              <w:rPr>
                <w:rFonts w:ascii="Arial" w:hAnsi="Arial" w:cs="Arial"/>
                <w:color w:val="auto"/>
                <w:szCs w:val="21"/>
                <w:highlight w:val="none"/>
              </w:rPr>
            </w:pPr>
          </w:p>
        </w:tc>
        <w:tc>
          <w:tcPr>
            <w:tcW w:w="1080" w:type="dxa"/>
            <w:vAlign w:val="top"/>
          </w:tcPr>
          <w:p>
            <w:pPr>
              <w:snapToGrid w:val="0"/>
              <w:spacing w:line="288" w:lineRule="auto"/>
              <w:jc w:val="center"/>
              <w:rPr>
                <w:rFonts w:ascii="Arial" w:hAnsi="Arial" w:cs="Arial"/>
                <w:color w:val="auto"/>
                <w:szCs w:val="21"/>
                <w:highlight w:val="none"/>
              </w:rPr>
            </w:pPr>
          </w:p>
        </w:tc>
        <w:tc>
          <w:tcPr>
            <w:tcW w:w="1080" w:type="dxa"/>
            <w:vAlign w:val="center"/>
          </w:tcPr>
          <w:p>
            <w:pPr>
              <w:snapToGrid w:val="0"/>
              <w:spacing w:line="288" w:lineRule="auto"/>
              <w:jc w:val="center"/>
              <w:rPr>
                <w:rFonts w:ascii="Arial" w:hAnsi="Arial" w:cs="Arial"/>
                <w:color w:val="auto"/>
                <w:szCs w:val="21"/>
                <w:highlight w:val="none"/>
              </w:rPr>
            </w:pPr>
          </w:p>
        </w:tc>
        <w:tc>
          <w:tcPr>
            <w:tcW w:w="1440" w:type="dxa"/>
            <w:vAlign w:val="center"/>
          </w:tcPr>
          <w:p>
            <w:pPr>
              <w:snapToGrid w:val="0"/>
              <w:spacing w:line="288" w:lineRule="auto"/>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8" w:hRule="atLeast"/>
        </w:trPr>
        <w:tc>
          <w:tcPr>
            <w:tcW w:w="496"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2</w:t>
            </w:r>
          </w:p>
        </w:tc>
        <w:tc>
          <w:tcPr>
            <w:tcW w:w="1304" w:type="dxa"/>
            <w:vAlign w:val="center"/>
          </w:tcPr>
          <w:p>
            <w:pPr>
              <w:snapToGrid w:val="0"/>
              <w:spacing w:line="288" w:lineRule="auto"/>
              <w:jc w:val="center"/>
              <w:rPr>
                <w:rFonts w:ascii="Arial" w:hAnsi="Arial" w:cs="Arial"/>
                <w:color w:val="auto"/>
                <w:szCs w:val="21"/>
                <w:highlight w:val="none"/>
              </w:rPr>
            </w:pPr>
          </w:p>
        </w:tc>
        <w:tc>
          <w:tcPr>
            <w:tcW w:w="1081" w:type="dxa"/>
            <w:vAlign w:val="center"/>
          </w:tcPr>
          <w:p>
            <w:pPr>
              <w:snapToGrid w:val="0"/>
              <w:spacing w:line="288" w:lineRule="auto"/>
              <w:jc w:val="center"/>
              <w:rPr>
                <w:rFonts w:ascii="Arial" w:hAnsi="Arial" w:cs="Arial"/>
                <w:color w:val="auto"/>
                <w:szCs w:val="21"/>
                <w:highlight w:val="none"/>
              </w:rPr>
            </w:pPr>
          </w:p>
        </w:tc>
        <w:tc>
          <w:tcPr>
            <w:tcW w:w="1194" w:type="dxa"/>
            <w:vAlign w:val="center"/>
          </w:tcPr>
          <w:p>
            <w:pPr>
              <w:snapToGrid w:val="0"/>
              <w:spacing w:line="288" w:lineRule="auto"/>
              <w:jc w:val="center"/>
              <w:rPr>
                <w:rFonts w:ascii="Arial" w:hAnsi="Arial" w:cs="Arial"/>
                <w:color w:val="auto"/>
                <w:szCs w:val="21"/>
                <w:highlight w:val="none"/>
              </w:rPr>
            </w:pPr>
          </w:p>
        </w:tc>
        <w:tc>
          <w:tcPr>
            <w:tcW w:w="1193" w:type="dxa"/>
            <w:vAlign w:val="top"/>
          </w:tcPr>
          <w:p>
            <w:pPr>
              <w:snapToGrid w:val="0"/>
              <w:spacing w:line="288" w:lineRule="auto"/>
              <w:jc w:val="center"/>
              <w:rPr>
                <w:rFonts w:ascii="Arial" w:hAnsi="Arial" w:cs="Arial"/>
                <w:color w:val="auto"/>
                <w:szCs w:val="21"/>
                <w:highlight w:val="none"/>
              </w:rPr>
            </w:pPr>
          </w:p>
        </w:tc>
        <w:tc>
          <w:tcPr>
            <w:tcW w:w="672" w:type="dxa"/>
            <w:vAlign w:val="top"/>
          </w:tcPr>
          <w:p>
            <w:pPr>
              <w:snapToGrid w:val="0"/>
              <w:spacing w:line="288" w:lineRule="auto"/>
              <w:jc w:val="center"/>
              <w:rPr>
                <w:rFonts w:ascii="Arial" w:hAnsi="Arial" w:cs="Arial"/>
                <w:color w:val="auto"/>
                <w:szCs w:val="21"/>
                <w:highlight w:val="none"/>
              </w:rPr>
            </w:pPr>
          </w:p>
        </w:tc>
        <w:tc>
          <w:tcPr>
            <w:tcW w:w="1080" w:type="dxa"/>
            <w:vAlign w:val="top"/>
          </w:tcPr>
          <w:p>
            <w:pPr>
              <w:snapToGrid w:val="0"/>
              <w:spacing w:line="288" w:lineRule="auto"/>
              <w:jc w:val="center"/>
              <w:rPr>
                <w:rFonts w:ascii="Arial" w:hAnsi="Arial" w:cs="Arial"/>
                <w:color w:val="auto"/>
                <w:szCs w:val="21"/>
                <w:highlight w:val="none"/>
              </w:rPr>
            </w:pPr>
          </w:p>
        </w:tc>
        <w:tc>
          <w:tcPr>
            <w:tcW w:w="1080" w:type="dxa"/>
            <w:vAlign w:val="center"/>
          </w:tcPr>
          <w:p>
            <w:pPr>
              <w:snapToGrid w:val="0"/>
              <w:spacing w:line="288" w:lineRule="auto"/>
              <w:jc w:val="center"/>
              <w:rPr>
                <w:rFonts w:ascii="Arial" w:hAnsi="Arial" w:cs="Arial"/>
                <w:color w:val="auto"/>
                <w:szCs w:val="21"/>
                <w:highlight w:val="none"/>
              </w:rPr>
            </w:pPr>
          </w:p>
        </w:tc>
        <w:tc>
          <w:tcPr>
            <w:tcW w:w="1440" w:type="dxa"/>
            <w:vAlign w:val="center"/>
          </w:tcPr>
          <w:p>
            <w:pPr>
              <w:snapToGrid w:val="0"/>
              <w:spacing w:line="288" w:lineRule="auto"/>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496" w:type="dxa"/>
            <w:vAlign w:val="center"/>
          </w:tcPr>
          <w:p>
            <w:pPr>
              <w:snapToGrid w:val="0"/>
              <w:spacing w:line="288" w:lineRule="auto"/>
              <w:jc w:val="center"/>
              <w:rPr>
                <w:rFonts w:ascii="Arial" w:hAnsi="Arial" w:cs="Arial"/>
                <w:color w:val="auto"/>
                <w:szCs w:val="21"/>
                <w:highlight w:val="none"/>
              </w:rPr>
            </w:pPr>
            <w:r>
              <w:rPr>
                <w:rFonts w:ascii="Arial" w:hAnsi="Arial" w:cs="Arial"/>
                <w:color w:val="auto"/>
                <w:szCs w:val="21"/>
                <w:highlight w:val="none"/>
              </w:rPr>
              <w:t>3</w:t>
            </w:r>
          </w:p>
        </w:tc>
        <w:tc>
          <w:tcPr>
            <w:tcW w:w="1304" w:type="dxa"/>
            <w:vAlign w:val="center"/>
          </w:tcPr>
          <w:p>
            <w:pPr>
              <w:snapToGrid w:val="0"/>
              <w:spacing w:line="288" w:lineRule="auto"/>
              <w:jc w:val="center"/>
              <w:rPr>
                <w:rFonts w:ascii="Arial" w:hAnsi="Arial" w:cs="Arial"/>
                <w:color w:val="auto"/>
                <w:szCs w:val="21"/>
                <w:highlight w:val="none"/>
              </w:rPr>
            </w:pPr>
          </w:p>
        </w:tc>
        <w:tc>
          <w:tcPr>
            <w:tcW w:w="1081" w:type="dxa"/>
            <w:vAlign w:val="center"/>
          </w:tcPr>
          <w:p>
            <w:pPr>
              <w:snapToGrid w:val="0"/>
              <w:spacing w:line="288" w:lineRule="auto"/>
              <w:jc w:val="center"/>
              <w:rPr>
                <w:rFonts w:ascii="Arial" w:hAnsi="Arial" w:cs="Arial"/>
                <w:color w:val="auto"/>
                <w:szCs w:val="21"/>
                <w:highlight w:val="none"/>
              </w:rPr>
            </w:pPr>
          </w:p>
        </w:tc>
        <w:tc>
          <w:tcPr>
            <w:tcW w:w="1194" w:type="dxa"/>
            <w:vAlign w:val="center"/>
          </w:tcPr>
          <w:p>
            <w:pPr>
              <w:snapToGrid w:val="0"/>
              <w:spacing w:line="288" w:lineRule="auto"/>
              <w:jc w:val="center"/>
              <w:rPr>
                <w:rFonts w:ascii="Arial" w:hAnsi="Arial" w:cs="Arial"/>
                <w:color w:val="auto"/>
                <w:szCs w:val="21"/>
                <w:highlight w:val="none"/>
              </w:rPr>
            </w:pPr>
          </w:p>
        </w:tc>
        <w:tc>
          <w:tcPr>
            <w:tcW w:w="1193" w:type="dxa"/>
            <w:vAlign w:val="top"/>
          </w:tcPr>
          <w:p>
            <w:pPr>
              <w:snapToGrid w:val="0"/>
              <w:spacing w:line="288" w:lineRule="auto"/>
              <w:jc w:val="center"/>
              <w:rPr>
                <w:rFonts w:ascii="Arial" w:hAnsi="Arial" w:cs="Arial"/>
                <w:color w:val="auto"/>
                <w:szCs w:val="21"/>
                <w:highlight w:val="none"/>
              </w:rPr>
            </w:pPr>
          </w:p>
        </w:tc>
        <w:tc>
          <w:tcPr>
            <w:tcW w:w="672" w:type="dxa"/>
            <w:vAlign w:val="top"/>
          </w:tcPr>
          <w:p>
            <w:pPr>
              <w:snapToGrid w:val="0"/>
              <w:spacing w:line="288" w:lineRule="auto"/>
              <w:jc w:val="center"/>
              <w:rPr>
                <w:rFonts w:ascii="Arial" w:hAnsi="Arial" w:cs="Arial"/>
                <w:color w:val="auto"/>
                <w:szCs w:val="21"/>
                <w:highlight w:val="none"/>
              </w:rPr>
            </w:pPr>
          </w:p>
        </w:tc>
        <w:tc>
          <w:tcPr>
            <w:tcW w:w="1080" w:type="dxa"/>
            <w:vAlign w:val="top"/>
          </w:tcPr>
          <w:p>
            <w:pPr>
              <w:snapToGrid w:val="0"/>
              <w:spacing w:line="288" w:lineRule="auto"/>
              <w:jc w:val="center"/>
              <w:rPr>
                <w:rFonts w:ascii="Arial" w:hAnsi="Arial" w:cs="Arial"/>
                <w:color w:val="auto"/>
                <w:szCs w:val="21"/>
                <w:highlight w:val="none"/>
              </w:rPr>
            </w:pPr>
          </w:p>
        </w:tc>
        <w:tc>
          <w:tcPr>
            <w:tcW w:w="1080" w:type="dxa"/>
            <w:vAlign w:val="center"/>
          </w:tcPr>
          <w:p>
            <w:pPr>
              <w:snapToGrid w:val="0"/>
              <w:spacing w:line="288" w:lineRule="auto"/>
              <w:jc w:val="center"/>
              <w:rPr>
                <w:rFonts w:ascii="Arial" w:hAnsi="Arial" w:cs="Arial"/>
                <w:color w:val="auto"/>
                <w:szCs w:val="21"/>
                <w:highlight w:val="none"/>
              </w:rPr>
            </w:pPr>
          </w:p>
        </w:tc>
        <w:tc>
          <w:tcPr>
            <w:tcW w:w="1440" w:type="dxa"/>
            <w:vAlign w:val="center"/>
          </w:tcPr>
          <w:p>
            <w:pPr>
              <w:snapToGrid w:val="0"/>
              <w:spacing w:line="288" w:lineRule="auto"/>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trPr>
        <w:tc>
          <w:tcPr>
            <w:tcW w:w="9540" w:type="dxa"/>
            <w:gridSpan w:val="9"/>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 xml:space="preserve">人民币合计金额（大写）                          （小写）                 </w:t>
            </w:r>
          </w:p>
        </w:tc>
      </w:tr>
    </w:tbl>
    <w:p>
      <w:pPr>
        <w:pStyle w:val="29"/>
        <w:spacing w:line="288" w:lineRule="auto"/>
        <w:ind w:firstLine="420" w:firstLineChars="200"/>
        <w:rPr>
          <w:rFonts w:ascii="Arial" w:hAnsi="Arial" w:cs="Arial"/>
          <w:color w:val="auto"/>
          <w:highlight w:val="none"/>
        </w:rPr>
      </w:pPr>
      <w:r>
        <w:rPr>
          <w:rFonts w:ascii="Arial" w:hAnsi="Arial" w:cs="Arial"/>
          <w:color w:val="auto"/>
          <w:highlight w:val="none"/>
        </w:rPr>
        <w:t>2.合同合计金额包括产品价、运输费（含装卸费）、保险费、安装调试费、税费、培训费、产品检测费、产品质保期内维护等费用。报价中包括关税等所有进口环节费用并由乙方办理进口相关手续（中标价中包括乙方自行考虑海关关税政策变化带来的风险，中标后不再调整）。如招投标文件对其另有规定的，从其规定。</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3. 政府采购合同履行中，甲方需追加与合同标的相同的货物的，在不改变合同其他条款的前提下，可以与乙方协商签订补充合同，但所有补充合同的采购金额不得超过原合同采购金额的10%。</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第二条　质量保证</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1.乙方所提供的货物型号、技术规格、技术参数等质量必须与招标文件要求、投标文件承诺相一致。乙方提供的节能和环保产品必须是列入政府采购品目清单的产品。</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2.乙方所提供的货物必须是全新、未使用的原装产品，且在正常安装、使用和保养条件下，其使用寿命期内各项指标均达到质量要求。</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第三条  权利保证</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乙方应保证所提供货物在使用时不会侵犯任何第三方的专利权、商标权、工业设计权或其他权利。</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乙方应按招标文件规定的时间向甲方提供使用货物的有关技术资料。</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乙方保证所交付的货物的所有权完全属于乙方且无任何抵押、质押、查封等产权瑕疵。</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第四条  包装和运输</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1.乙方提供的货物均应按招投标文件要求的包装材料、包装标准、包装方式进行包装，每一包装单元内应附详细的装箱单和质量合格证。</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2.货物的运输方式：</w:t>
      </w:r>
      <w:r>
        <w:rPr>
          <w:rFonts w:ascii="Arial" w:hAnsi="Arial" w:cs="Arial"/>
          <w:color w:val="auto"/>
          <w:highlight w:val="none"/>
          <w:u w:val="single"/>
        </w:rPr>
        <w:t>乙方自定</w:t>
      </w:r>
      <w:r>
        <w:rPr>
          <w:rFonts w:ascii="Arial" w:hAnsi="Arial" w:cs="Arial"/>
          <w:color w:val="auto"/>
          <w:highlight w:val="none"/>
        </w:rPr>
        <w:t>。</w:t>
      </w:r>
    </w:p>
    <w:p>
      <w:pPr>
        <w:pStyle w:val="29"/>
        <w:spacing w:line="288" w:lineRule="auto"/>
        <w:ind w:firstLine="420" w:firstLineChars="200"/>
        <w:rPr>
          <w:rFonts w:ascii="Arial" w:hAnsi="Arial" w:cs="Arial"/>
          <w:color w:val="auto"/>
          <w:highlight w:val="none"/>
        </w:rPr>
      </w:pPr>
      <w:r>
        <w:rPr>
          <w:rFonts w:ascii="Arial" w:hAnsi="Arial" w:cs="Arial"/>
          <w:color w:val="auto"/>
          <w:highlight w:val="none"/>
        </w:rPr>
        <w:t>3.乙方负责货物运输，货物运输合理损耗及计算方法：</w:t>
      </w:r>
      <w:r>
        <w:rPr>
          <w:rFonts w:ascii="Arial" w:hAnsi="Arial" w:cs="Arial"/>
          <w:color w:val="auto"/>
          <w:highlight w:val="none"/>
          <w:u w:val="single"/>
        </w:rPr>
        <w:t xml:space="preserve">由乙方负责 </w:t>
      </w:r>
      <w:r>
        <w:rPr>
          <w:rFonts w:ascii="Arial" w:hAnsi="Arial" w:cs="Arial"/>
          <w:color w:val="auto"/>
          <w:highlight w:val="none"/>
        </w:rPr>
        <w:t>。</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第五条  交付和验收</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1.交付使用时间：</w:t>
      </w:r>
      <w:r>
        <w:rPr>
          <w:rFonts w:ascii="Arial" w:hAnsi="Arial" w:cs="Arial"/>
          <w:color w:val="auto"/>
          <w:szCs w:val="21"/>
          <w:highlight w:val="none"/>
          <w:u w:val="single"/>
        </w:rPr>
        <w:t>按乙方投标文件中所承诺的时间</w:t>
      </w:r>
      <w:r>
        <w:rPr>
          <w:rFonts w:ascii="Arial" w:hAnsi="Arial" w:cs="Arial"/>
          <w:color w:val="auto"/>
          <w:szCs w:val="21"/>
          <w:highlight w:val="none"/>
        </w:rPr>
        <w:t>；地点：</w:t>
      </w:r>
      <w:r>
        <w:rPr>
          <w:rFonts w:ascii="Arial" w:hAnsi="Arial" w:cs="Arial"/>
          <w:color w:val="auto"/>
          <w:szCs w:val="21"/>
          <w:highlight w:val="none"/>
          <w:u w:val="single"/>
        </w:rPr>
        <w:t xml:space="preserve"> 甲方指定地点。</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2.乙方提供不符合招投标文件和本合同规定的货物，甲方有权拒绝接受。</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3.乙方应将所提供货物的装箱清单、用户手册、原厂保修卡、随机资料、工具和备品、备件等交付给甲方，如有缺失应及时补齐，否则视为逾期交货。</w:t>
      </w:r>
    </w:p>
    <w:p>
      <w:pPr>
        <w:snapToGrid w:val="0"/>
        <w:spacing w:line="288" w:lineRule="auto"/>
        <w:ind w:firstLine="420" w:firstLineChars="200"/>
        <w:rPr>
          <w:rFonts w:ascii="Arial" w:hAnsi="Arial" w:cs="Arial"/>
          <w:color w:val="auto"/>
          <w:szCs w:val="21"/>
          <w:highlight w:val="none"/>
        </w:rPr>
      </w:pPr>
      <w:r>
        <w:rPr>
          <w:rFonts w:hint="eastAsia" w:ascii="Arial" w:hAnsi="Arial" w:cs="Arial"/>
          <w:color w:val="auto"/>
          <w:szCs w:val="21"/>
          <w:highlight w:val="none"/>
          <w:lang w:val="en-US" w:eastAsia="zh-CN"/>
        </w:rPr>
        <w:t>4</w:t>
      </w:r>
      <w:r>
        <w:rPr>
          <w:rFonts w:ascii="Arial" w:hAnsi="Arial" w:cs="Arial"/>
          <w:color w:val="auto"/>
          <w:szCs w:val="21"/>
          <w:highlight w:val="none"/>
        </w:rPr>
        <w:t>.甲方委托第三方组织的验收项目，其验收时间以该项目验收方案确定的验收时间为准，验收结果以该项目验收报告结论为准。</w:t>
      </w:r>
      <w:r>
        <w:rPr>
          <w:rFonts w:hint="eastAsia" w:ascii="Arial" w:hAnsi="Arial" w:cs="Arial"/>
          <w:color w:val="auto"/>
          <w:szCs w:val="21"/>
          <w:highlight w:val="none"/>
        </w:rPr>
        <w:t>在验收过程中发现乙方提供的货物未符合招标文件参数要求以及安装和调试，甲方暂缓资金支付，待问题解决后，方办理资金支付事宜</w:t>
      </w:r>
      <w:r>
        <w:rPr>
          <w:rFonts w:ascii="Arial" w:hAnsi="Arial" w:cs="Arial"/>
          <w:color w:val="auto"/>
          <w:szCs w:val="21"/>
          <w:highlight w:val="none"/>
        </w:rPr>
        <w:t>。</w:t>
      </w:r>
    </w:p>
    <w:p>
      <w:pPr>
        <w:snapToGrid w:val="0"/>
        <w:spacing w:line="288" w:lineRule="auto"/>
        <w:ind w:firstLine="420" w:firstLineChars="200"/>
        <w:rPr>
          <w:rFonts w:ascii="Arial" w:hAnsi="Arial" w:cs="Arial"/>
          <w:color w:val="auto"/>
          <w:szCs w:val="21"/>
          <w:highlight w:val="none"/>
        </w:rPr>
      </w:pPr>
      <w:r>
        <w:rPr>
          <w:rFonts w:hint="eastAsia" w:ascii="Arial" w:hAnsi="Arial" w:cs="Arial"/>
          <w:color w:val="auto"/>
          <w:szCs w:val="21"/>
          <w:highlight w:val="none"/>
          <w:lang w:val="en-US" w:eastAsia="zh-CN"/>
        </w:rPr>
        <w:t>5</w:t>
      </w:r>
      <w:r>
        <w:rPr>
          <w:rFonts w:ascii="Arial" w:hAnsi="Arial" w:cs="Arial"/>
          <w:color w:val="auto"/>
          <w:szCs w:val="21"/>
          <w:highlight w:val="none"/>
        </w:rPr>
        <w:t>.甲方对验收有异议的，在验收后</w:t>
      </w:r>
      <w:r>
        <w:rPr>
          <w:rFonts w:hint="eastAsia" w:ascii="Arial" w:hAnsi="Arial" w:cs="Arial"/>
          <w:color w:val="auto"/>
          <w:szCs w:val="21"/>
          <w:highlight w:val="none"/>
          <w:lang w:val="en-US" w:eastAsia="zh-CN"/>
        </w:rPr>
        <w:t>十</w:t>
      </w:r>
      <w:r>
        <w:rPr>
          <w:rFonts w:ascii="Arial" w:hAnsi="Arial" w:cs="Arial"/>
          <w:color w:val="auto"/>
          <w:szCs w:val="21"/>
          <w:highlight w:val="none"/>
        </w:rPr>
        <w:t>个工作日内以书面形式向乙方提出，乙方应自收到甲方书面异议后</w:t>
      </w:r>
      <w:r>
        <w:rPr>
          <w:rFonts w:ascii="Arial" w:hAnsi="Arial" w:cs="Arial"/>
          <w:color w:val="auto"/>
          <w:szCs w:val="21"/>
          <w:highlight w:val="none"/>
          <w:u w:val="single"/>
        </w:rPr>
        <w:t xml:space="preserve"> </w:t>
      </w:r>
      <w:r>
        <w:rPr>
          <w:rFonts w:hint="eastAsia" w:ascii="Arial" w:hAnsi="Arial" w:cs="Arial"/>
          <w:color w:val="auto"/>
          <w:szCs w:val="21"/>
          <w:highlight w:val="none"/>
          <w:u w:val="single"/>
          <w:lang w:val="en-US" w:eastAsia="zh-CN"/>
        </w:rPr>
        <w:t>5个工作</w:t>
      </w:r>
      <w:r>
        <w:rPr>
          <w:rFonts w:ascii="Arial" w:hAnsi="Arial" w:cs="Arial"/>
          <w:color w:val="auto"/>
          <w:szCs w:val="21"/>
          <w:highlight w:val="none"/>
        </w:rPr>
        <w:t>日内及时予以解决。</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第六条  安装和培训</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1.甲方应提供必要安装条件（如场地、电源、水源等）。</w:t>
      </w:r>
    </w:p>
    <w:p>
      <w:pPr>
        <w:snapToGrid w:val="0"/>
        <w:spacing w:line="288" w:lineRule="auto"/>
        <w:ind w:firstLine="420" w:firstLineChars="200"/>
        <w:rPr>
          <w:rFonts w:ascii="Arial" w:hAnsi="Arial" w:cs="Arial"/>
          <w:color w:val="auto"/>
          <w:szCs w:val="21"/>
          <w:highlight w:val="none"/>
          <w:u w:val="single"/>
        </w:rPr>
      </w:pPr>
      <w:r>
        <w:rPr>
          <w:rFonts w:ascii="Arial" w:hAnsi="Arial" w:cs="Arial"/>
          <w:color w:val="auto"/>
          <w:szCs w:val="21"/>
          <w:highlight w:val="none"/>
        </w:rPr>
        <w:t>2.乙方负责甲方有关人员的培训。培训时间、地点：</w:t>
      </w:r>
      <w:r>
        <w:rPr>
          <w:rFonts w:ascii="Arial" w:hAnsi="Arial" w:cs="Arial"/>
          <w:color w:val="auto"/>
          <w:szCs w:val="21"/>
          <w:highlight w:val="none"/>
          <w:u w:val="single"/>
        </w:rPr>
        <w:t xml:space="preserve"> 由甲方决定。</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第七条  售后服务、质保期</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1.乙方应按照国家有关法律法规和“三包”规定以及招投标文件和本合同附件，为甲方提供售后服务。</w:t>
      </w:r>
    </w:p>
    <w:p>
      <w:pPr>
        <w:snapToGrid w:val="0"/>
        <w:spacing w:line="288" w:lineRule="auto"/>
        <w:ind w:firstLine="420" w:firstLineChars="200"/>
        <w:rPr>
          <w:rFonts w:ascii="Arial" w:hAnsi="Arial" w:cs="Arial"/>
          <w:color w:val="auto"/>
          <w:szCs w:val="21"/>
          <w:highlight w:val="none"/>
          <w:u w:val="single"/>
        </w:rPr>
      </w:pPr>
      <w:r>
        <w:rPr>
          <w:rFonts w:ascii="Arial" w:hAnsi="Arial" w:cs="Arial"/>
          <w:color w:val="auto"/>
          <w:szCs w:val="21"/>
          <w:highlight w:val="none"/>
        </w:rPr>
        <w:t>2.货物质保期：</w:t>
      </w:r>
      <w:r>
        <w:rPr>
          <w:rFonts w:ascii="Arial" w:hAnsi="Arial" w:cs="Arial"/>
          <w:color w:val="auto"/>
          <w:szCs w:val="21"/>
          <w:highlight w:val="none"/>
          <w:u w:val="single"/>
        </w:rPr>
        <w:t>按乙方承诺，但是不得低于国家相关标准</w:t>
      </w:r>
      <w:r>
        <w:rPr>
          <w:rFonts w:ascii="Arial" w:hAnsi="Arial" w:cs="Arial"/>
          <w:color w:val="auto"/>
          <w:szCs w:val="21"/>
          <w:highlight w:val="none"/>
        </w:rPr>
        <w:t>。</w:t>
      </w:r>
    </w:p>
    <w:p>
      <w:pPr>
        <w:snapToGrid w:val="0"/>
        <w:spacing w:line="288" w:lineRule="auto"/>
        <w:ind w:firstLine="420" w:firstLineChars="200"/>
        <w:rPr>
          <w:rFonts w:ascii="Arial" w:hAnsi="Arial" w:cs="Arial"/>
          <w:color w:val="auto"/>
          <w:szCs w:val="21"/>
          <w:highlight w:val="none"/>
          <w:u w:val="single"/>
        </w:rPr>
      </w:pPr>
      <w:r>
        <w:rPr>
          <w:rFonts w:ascii="Arial" w:hAnsi="Arial" w:cs="Arial"/>
          <w:color w:val="auto"/>
          <w:szCs w:val="21"/>
          <w:highlight w:val="none"/>
        </w:rPr>
        <w:t>3.乙方提供的服务承诺和售后服务及质保期责任等其它具体约定事项。（见合同附件）</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第八条　付款方式</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1.资金性质：</w:t>
      </w:r>
      <w:r>
        <w:rPr>
          <w:rFonts w:ascii="Arial" w:hAnsi="Arial" w:cs="Arial"/>
          <w:color w:val="auto"/>
          <w:szCs w:val="21"/>
          <w:highlight w:val="none"/>
          <w:u w:val="single"/>
        </w:rPr>
        <w:t>财政性资金</w:t>
      </w:r>
      <w:r>
        <w:rPr>
          <w:rFonts w:ascii="Arial" w:hAnsi="Arial" w:cs="Arial"/>
          <w:color w:val="auto"/>
          <w:szCs w:val="21"/>
          <w:highlight w:val="none"/>
        </w:rPr>
        <w:t>。</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2.付款方式：</w:t>
      </w:r>
    </w:p>
    <w:p>
      <w:pPr>
        <w:snapToGrid w:val="0"/>
        <w:spacing w:line="288" w:lineRule="auto"/>
        <w:ind w:firstLine="420" w:firstLineChars="200"/>
        <w:rPr>
          <w:rFonts w:hint="eastAsia" w:ascii="Arial" w:hAnsi="Arial" w:cs="Arial"/>
          <w:color w:val="auto"/>
          <w:szCs w:val="21"/>
          <w:highlight w:val="none"/>
        </w:rPr>
      </w:pPr>
      <w:r>
        <w:rPr>
          <w:rFonts w:hint="eastAsia" w:ascii="Arial" w:hAnsi="Arial" w:cs="Arial"/>
          <w:color w:val="auto"/>
          <w:szCs w:val="21"/>
          <w:highlight w:val="none"/>
          <w:lang w:eastAsia="zh-CN"/>
        </w:rPr>
        <w:t>（</w:t>
      </w:r>
      <w:r>
        <w:rPr>
          <w:rFonts w:hint="eastAsia" w:ascii="Arial" w:hAnsi="Arial" w:cs="Arial"/>
          <w:color w:val="auto"/>
          <w:szCs w:val="21"/>
          <w:highlight w:val="none"/>
        </w:rPr>
        <w:t>1</w:t>
      </w:r>
      <w:r>
        <w:rPr>
          <w:rFonts w:hint="eastAsia" w:ascii="Arial" w:hAnsi="Arial" w:cs="Arial"/>
          <w:color w:val="auto"/>
          <w:szCs w:val="21"/>
          <w:highlight w:val="none"/>
          <w:lang w:eastAsia="zh-CN"/>
        </w:rPr>
        <w:t>）</w:t>
      </w:r>
      <w:r>
        <w:rPr>
          <w:rFonts w:hint="eastAsia" w:ascii="Arial" w:hAnsi="Arial" w:cs="Arial"/>
          <w:color w:val="auto"/>
          <w:szCs w:val="21"/>
          <w:highlight w:val="none"/>
        </w:rPr>
        <w:t>签订合同之日起7内，</w:t>
      </w:r>
      <w:r>
        <w:rPr>
          <w:rFonts w:hint="eastAsia" w:ascii="Arial" w:hAnsi="Arial" w:cs="Arial"/>
          <w:color w:val="auto"/>
          <w:szCs w:val="21"/>
          <w:highlight w:val="none"/>
          <w:lang w:eastAsia="zh-CN"/>
        </w:rPr>
        <w:t>乙方</w:t>
      </w:r>
      <w:r>
        <w:rPr>
          <w:rFonts w:hint="eastAsia" w:ascii="Arial" w:hAnsi="Arial" w:cs="Arial"/>
          <w:color w:val="auto"/>
          <w:szCs w:val="21"/>
          <w:highlight w:val="none"/>
        </w:rPr>
        <w:t>向</w:t>
      </w:r>
      <w:r>
        <w:rPr>
          <w:rFonts w:hint="eastAsia" w:ascii="Arial" w:hAnsi="Arial" w:cs="Arial"/>
          <w:color w:val="auto"/>
          <w:szCs w:val="21"/>
          <w:highlight w:val="none"/>
          <w:lang w:eastAsia="zh-CN"/>
        </w:rPr>
        <w:t>甲方</w:t>
      </w:r>
      <w:r>
        <w:rPr>
          <w:rFonts w:hint="eastAsia" w:ascii="Arial" w:hAnsi="Arial" w:cs="Arial"/>
          <w:color w:val="auto"/>
          <w:szCs w:val="21"/>
          <w:highlight w:val="none"/>
        </w:rPr>
        <w:t>提交中标金额3%的银行保函作为履约保证金</w:t>
      </w:r>
      <w:r>
        <w:rPr>
          <w:rFonts w:hint="eastAsia" w:ascii="Arial" w:hAnsi="Arial" w:cs="Arial"/>
          <w:color w:val="auto"/>
          <w:szCs w:val="21"/>
          <w:highlight w:val="none"/>
          <w:lang w:eastAsia="zh-CN"/>
        </w:rPr>
        <w:t>。甲方</w:t>
      </w:r>
      <w:r>
        <w:rPr>
          <w:rFonts w:hint="eastAsia" w:ascii="Arial" w:hAnsi="Arial" w:cs="Arial"/>
          <w:color w:val="auto"/>
          <w:szCs w:val="21"/>
          <w:highlight w:val="none"/>
        </w:rPr>
        <w:t>向</w:t>
      </w:r>
      <w:r>
        <w:rPr>
          <w:rFonts w:hint="eastAsia" w:ascii="Arial" w:hAnsi="Arial" w:cs="Arial"/>
          <w:color w:val="auto"/>
          <w:szCs w:val="21"/>
          <w:highlight w:val="none"/>
          <w:lang w:eastAsia="zh-CN"/>
        </w:rPr>
        <w:t>乙方</w:t>
      </w:r>
      <w:r>
        <w:rPr>
          <w:rFonts w:hint="eastAsia" w:ascii="Arial" w:hAnsi="Arial" w:cs="Arial"/>
          <w:color w:val="auto"/>
          <w:szCs w:val="21"/>
          <w:highlight w:val="none"/>
        </w:rPr>
        <w:t>支付合同总金额20%的合同款。</w:t>
      </w:r>
    </w:p>
    <w:p>
      <w:pPr>
        <w:snapToGrid w:val="0"/>
        <w:spacing w:line="288" w:lineRule="auto"/>
        <w:ind w:firstLine="420" w:firstLineChars="200"/>
        <w:rPr>
          <w:rFonts w:hint="eastAsia" w:ascii="Arial" w:hAnsi="Arial" w:cs="Arial"/>
          <w:color w:val="auto"/>
          <w:szCs w:val="21"/>
          <w:highlight w:val="none"/>
        </w:rPr>
      </w:pPr>
      <w:r>
        <w:rPr>
          <w:rFonts w:hint="eastAsia" w:ascii="Arial" w:hAnsi="Arial" w:cs="Arial"/>
          <w:color w:val="auto"/>
          <w:szCs w:val="21"/>
          <w:highlight w:val="none"/>
          <w:lang w:eastAsia="zh-CN"/>
        </w:rPr>
        <w:t>（</w:t>
      </w:r>
      <w:r>
        <w:rPr>
          <w:rFonts w:hint="eastAsia" w:ascii="Arial" w:hAnsi="Arial" w:cs="Arial"/>
          <w:color w:val="auto"/>
          <w:szCs w:val="21"/>
          <w:highlight w:val="none"/>
        </w:rPr>
        <w:t>2</w:t>
      </w:r>
      <w:r>
        <w:rPr>
          <w:rFonts w:hint="eastAsia" w:ascii="Arial" w:hAnsi="Arial" w:cs="Arial"/>
          <w:color w:val="auto"/>
          <w:szCs w:val="21"/>
          <w:highlight w:val="none"/>
          <w:lang w:eastAsia="zh-CN"/>
        </w:rPr>
        <w:t>）</w:t>
      </w:r>
      <w:r>
        <w:rPr>
          <w:rFonts w:hint="eastAsia" w:ascii="Arial" w:hAnsi="Arial" w:cs="Arial"/>
          <w:color w:val="auto"/>
          <w:szCs w:val="21"/>
          <w:highlight w:val="none"/>
        </w:rPr>
        <w:t>全部货物到达</w:t>
      </w:r>
      <w:r>
        <w:rPr>
          <w:rFonts w:hint="eastAsia" w:ascii="Arial" w:hAnsi="Arial" w:cs="Arial"/>
          <w:color w:val="auto"/>
          <w:szCs w:val="21"/>
          <w:highlight w:val="none"/>
          <w:lang w:eastAsia="zh-CN"/>
        </w:rPr>
        <w:t>甲方</w:t>
      </w:r>
      <w:r>
        <w:rPr>
          <w:rFonts w:hint="eastAsia" w:ascii="Arial" w:hAnsi="Arial" w:cs="Arial"/>
          <w:color w:val="auto"/>
          <w:szCs w:val="21"/>
          <w:highlight w:val="none"/>
        </w:rPr>
        <w:t>指定地点签收确认后，</w:t>
      </w:r>
      <w:r>
        <w:rPr>
          <w:rFonts w:hint="eastAsia" w:ascii="Arial" w:hAnsi="Arial" w:cs="Arial"/>
          <w:color w:val="auto"/>
          <w:szCs w:val="21"/>
          <w:highlight w:val="none"/>
          <w:lang w:eastAsia="zh-CN"/>
        </w:rPr>
        <w:t>甲方</w:t>
      </w:r>
      <w:r>
        <w:rPr>
          <w:rFonts w:hint="eastAsia" w:ascii="Arial" w:hAnsi="Arial" w:cs="Arial"/>
          <w:color w:val="auto"/>
          <w:szCs w:val="21"/>
          <w:highlight w:val="none"/>
        </w:rPr>
        <w:t>向</w:t>
      </w:r>
      <w:r>
        <w:rPr>
          <w:rFonts w:hint="eastAsia" w:ascii="Arial" w:hAnsi="Arial" w:cs="Arial"/>
          <w:color w:val="auto"/>
          <w:szCs w:val="21"/>
          <w:highlight w:val="none"/>
          <w:lang w:eastAsia="zh-CN"/>
        </w:rPr>
        <w:t>乙方</w:t>
      </w:r>
      <w:r>
        <w:rPr>
          <w:rFonts w:hint="eastAsia" w:ascii="Arial" w:hAnsi="Arial" w:cs="Arial"/>
          <w:color w:val="auto"/>
          <w:szCs w:val="21"/>
          <w:highlight w:val="none"/>
        </w:rPr>
        <w:t>支付合同总金额的60%的合同款。</w:t>
      </w:r>
    </w:p>
    <w:p>
      <w:pPr>
        <w:snapToGrid w:val="0"/>
        <w:spacing w:line="288" w:lineRule="auto"/>
        <w:ind w:firstLine="420" w:firstLineChars="200"/>
        <w:rPr>
          <w:rFonts w:hint="eastAsia" w:ascii="Arial" w:hAnsi="Arial" w:cs="Arial"/>
          <w:color w:val="auto"/>
          <w:szCs w:val="21"/>
          <w:highlight w:val="none"/>
        </w:rPr>
      </w:pPr>
      <w:r>
        <w:rPr>
          <w:rFonts w:hint="eastAsia" w:ascii="Arial" w:hAnsi="Arial" w:cs="Arial"/>
          <w:color w:val="auto"/>
          <w:szCs w:val="21"/>
          <w:highlight w:val="none"/>
          <w:lang w:eastAsia="zh-CN"/>
        </w:rPr>
        <w:t>（</w:t>
      </w:r>
      <w:r>
        <w:rPr>
          <w:rFonts w:hint="eastAsia" w:ascii="Arial" w:hAnsi="Arial" w:cs="Arial"/>
          <w:color w:val="auto"/>
          <w:szCs w:val="21"/>
          <w:highlight w:val="none"/>
        </w:rPr>
        <w:t>3</w:t>
      </w:r>
      <w:r>
        <w:rPr>
          <w:rFonts w:hint="eastAsia" w:ascii="Arial" w:hAnsi="Arial" w:cs="Arial"/>
          <w:color w:val="auto"/>
          <w:szCs w:val="21"/>
          <w:highlight w:val="none"/>
          <w:lang w:eastAsia="zh-CN"/>
        </w:rPr>
        <w:t>）</w:t>
      </w:r>
      <w:r>
        <w:rPr>
          <w:rFonts w:hint="eastAsia" w:ascii="Arial" w:hAnsi="Arial" w:cs="Arial"/>
          <w:color w:val="auto"/>
          <w:szCs w:val="21"/>
          <w:highlight w:val="none"/>
        </w:rPr>
        <w:t>货物安装调试完毕，验收合格并交付正常使用后，</w:t>
      </w:r>
      <w:r>
        <w:rPr>
          <w:rFonts w:hint="eastAsia" w:ascii="Arial" w:hAnsi="Arial" w:cs="Arial"/>
          <w:color w:val="auto"/>
          <w:szCs w:val="21"/>
          <w:highlight w:val="none"/>
          <w:lang w:eastAsia="zh-CN"/>
        </w:rPr>
        <w:t>甲方</w:t>
      </w:r>
      <w:r>
        <w:rPr>
          <w:rFonts w:hint="eastAsia" w:ascii="Arial" w:hAnsi="Arial" w:cs="Arial"/>
          <w:color w:val="auto"/>
          <w:szCs w:val="21"/>
          <w:highlight w:val="none"/>
        </w:rPr>
        <w:t>向</w:t>
      </w:r>
      <w:r>
        <w:rPr>
          <w:rFonts w:hint="eastAsia" w:ascii="Arial" w:hAnsi="Arial" w:cs="Arial"/>
          <w:color w:val="auto"/>
          <w:szCs w:val="21"/>
          <w:highlight w:val="none"/>
          <w:lang w:eastAsia="zh-CN"/>
        </w:rPr>
        <w:t>乙方</w:t>
      </w:r>
      <w:r>
        <w:rPr>
          <w:rFonts w:hint="eastAsia" w:ascii="Arial" w:hAnsi="Arial" w:cs="Arial"/>
          <w:color w:val="auto"/>
          <w:szCs w:val="21"/>
          <w:highlight w:val="none"/>
        </w:rPr>
        <w:t>支付合同金额的20%的合同款。</w:t>
      </w:r>
    </w:p>
    <w:p>
      <w:pPr>
        <w:snapToGrid w:val="0"/>
        <w:spacing w:line="288" w:lineRule="auto"/>
        <w:ind w:firstLine="420" w:firstLineChars="200"/>
        <w:rPr>
          <w:rFonts w:hint="eastAsia" w:ascii="Arial" w:hAnsi="Arial" w:cs="Arial"/>
          <w:color w:val="auto"/>
          <w:szCs w:val="21"/>
          <w:highlight w:val="none"/>
        </w:rPr>
      </w:pPr>
      <w:r>
        <w:rPr>
          <w:rFonts w:hint="eastAsia" w:ascii="Arial" w:hAnsi="Arial" w:cs="Arial"/>
          <w:color w:val="auto"/>
          <w:szCs w:val="21"/>
          <w:highlight w:val="none"/>
          <w:lang w:eastAsia="zh-CN"/>
        </w:rPr>
        <w:t>（</w:t>
      </w:r>
      <w:r>
        <w:rPr>
          <w:rFonts w:hint="eastAsia" w:ascii="Arial" w:hAnsi="Arial" w:cs="Arial"/>
          <w:color w:val="auto"/>
          <w:szCs w:val="21"/>
          <w:highlight w:val="none"/>
        </w:rPr>
        <w:t>4</w:t>
      </w:r>
      <w:r>
        <w:rPr>
          <w:rFonts w:hint="eastAsia" w:ascii="Arial" w:hAnsi="Arial" w:cs="Arial"/>
          <w:color w:val="auto"/>
          <w:szCs w:val="21"/>
          <w:highlight w:val="none"/>
          <w:lang w:eastAsia="zh-CN"/>
        </w:rPr>
        <w:t>）</w:t>
      </w:r>
      <w:r>
        <w:rPr>
          <w:rFonts w:hint="eastAsia" w:ascii="Arial" w:hAnsi="Arial" w:cs="Arial"/>
          <w:color w:val="auto"/>
          <w:szCs w:val="21"/>
          <w:highlight w:val="none"/>
        </w:rPr>
        <w:t>自验收合格之日起，满3年后5个工作日内</w:t>
      </w:r>
      <w:r>
        <w:rPr>
          <w:rFonts w:hint="eastAsia" w:ascii="Arial" w:hAnsi="Arial" w:cs="Arial"/>
          <w:color w:val="auto"/>
          <w:szCs w:val="21"/>
          <w:highlight w:val="none"/>
          <w:lang w:eastAsia="zh-CN"/>
        </w:rPr>
        <w:t>甲方</w:t>
      </w:r>
      <w:r>
        <w:rPr>
          <w:rFonts w:hint="eastAsia" w:ascii="Arial" w:hAnsi="Arial" w:cs="Arial"/>
          <w:color w:val="auto"/>
          <w:szCs w:val="21"/>
          <w:highlight w:val="none"/>
        </w:rPr>
        <w:t>退还</w:t>
      </w:r>
      <w:r>
        <w:rPr>
          <w:rFonts w:hint="eastAsia" w:ascii="Arial" w:hAnsi="Arial" w:cs="Arial"/>
          <w:color w:val="auto"/>
          <w:szCs w:val="21"/>
          <w:highlight w:val="none"/>
          <w:lang w:eastAsia="zh-CN"/>
        </w:rPr>
        <w:t>乙方</w:t>
      </w:r>
      <w:r>
        <w:rPr>
          <w:rStyle w:val="243"/>
          <w:rFonts w:hint="eastAsia" w:ascii="Arial" w:hAnsi="Arial" w:cs="Arial"/>
          <w:color w:val="auto"/>
          <w:szCs w:val="21"/>
          <w:highlight w:val="none"/>
          <w:lang w:val="en-US"/>
        </w:rPr>
        <w:t>履约保证金</w:t>
      </w:r>
      <w:r>
        <w:rPr>
          <w:rFonts w:hint="eastAsia" w:ascii="Arial" w:hAnsi="Arial" w:cs="Arial"/>
          <w:color w:val="auto"/>
          <w:szCs w:val="21"/>
          <w:highlight w:val="none"/>
        </w:rPr>
        <w:t>。</w:t>
      </w:r>
    </w:p>
    <w:p>
      <w:pPr>
        <w:snapToGrid w:val="0"/>
        <w:spacing w:line="288" w:lineRule="auto"/>
        <w:ind w:firstLine="420" w:firstLineChars="200"/>
        <w:rPr>
          <w:rFonts w:hint="eastAsia" w:ascii="Arial" w:hAnsi="Arial" w:cs="Arial"/>
          <w:color w:val="auto"/>
          <w:szCs w:val="21"/>
          <w:highlight w:val="none"/>
        </w:rPr>
      </w:pPr>
      <w:r>
        <w:rPr>
          <w:rFonts w:hint="eastAsia" w:ascii="Arial" w:hAnsi="Arial" w:cs="Arial"/>
          <w:color w:val="auto"/>
          <w:szCs w:val="21"/>
          <w:highlight w:val="none"/>
          <w:lang w:eastAsia="zh-CN"/>
        </w:rPr>
        <w:t>（</w:t>
      </w:r>
      <w:r>
        <w:rPr>
          <w:rFonts w:hint="eastAsia" w:ascii="Arial" w:hAnsi="Arial" w:cs="Arial"/>
          <w:color w:val="auto"/>
          <w:szCs w:val="21"/>
          <w:highlight w:val="none"/>
        </w:rPr>
        <w:t>5</w:t>
      </w:r>
      <w:r>
        <w:rPr>
          <w:rFonts w:hint="eastAsia" w:ascii="Arial" w:hAnsi="Arial" w:cs="Arial"/>
          <w:color w:val="auto"/>
          <w:szCs w:val="21"/>
          <w:highlight w:val="none"/>
          <w:lang w:eastAsia="zh-CN"/>
        </w:rPr>
        <w:t>）乙方</w:t>
      </w:r>
      <w:r>
        <w:rPr>
          <w:rFonts w:hint="eastAsia" w:ascii="Arial" w:hAnsi="Arial" w:cs="Arial"/>
          <w:color w:val="auto"/>
          <w:szCs w:val="21"/>
          <w:highlight w:val="none"/>
        </w:rPr>
        <w:t>自收到合同款之日起5个工作日内开具全额合法发票给</w:t>
      </w:r>
      <w:r>
        <w:rPr>
          <w:rFonts w:hint="eastAsia" w:ascii="Arial" w:hAnsi="Arial" w:cs="Arial"/>
          <w:color w:val="auto"/>
          <w:szCs w:val="21"/>
          <w:highlight w:val="none"/>
          <w:lang w:eastAsia="zh-CN"/>
        </w:rPr>
        <w:t>甲方</w:t>
      </w:r>
      <w:r>
        <w:rPr>
          <w:rFonts w:hint="eastAsia" w:ascii="Arial" w:hAnsi="Arial" w:cs="Arial"/>
          <w:color w:val="auto"/>
          <w:szCs w:val="21"/>
          <w:highlight w:val="none"/>
        </w:rPr>
        <w:t>。</w:t>
      </w:r>
    </w:p>
    <w:p>
      <w:pPr>
        <w:pStyle w:val="2"/>
        <w:ind w:firstLine="420" w:firstLineChars="200"/>
        <w:rPr>
          <w:color w:val="auto"/>
          <w:highlight w:val="none"/>
        </w:rPr>
      </w:pPr>
      <w:r>
        <w:rPr>
          <w:rStyle w:val="243"/>
          <w:rFonts w:hint="eastAsia" w:ascii="Arial" w:hAnsi="Arial" w:cs="Arial"/>
          <w:color w:val="auto"/>
          <w:szCs w:val="21"/>
          <w:highlight w:val="none"/>
          <w:lang w:val="en-US"/>
        </w:rPr>
        <w:t>注：</w:t>
      </w:r>
      <w:r>
        <w:rPr>
          <w:rStyle w:val="243"/>
          <w:rFonts w:hint="default" w:ascii="Arial" w:hAnsi="Arial" w:eastAsia="宋体" w:cs="Arial"/>
          <w:color w:val="auto"/>
          <w:szCs w:val="21"/>
          <w:highlight w:val="none"/>
        </w:rPr>
        <w:t>履约保证金金额（人民币）：按中标金额的3%，履约保证金递交方式：以转账或电汇等非现金形式从</w:t>
      </w:r>
      <w:r>
        <w:rPr>
          <w:rStyle w:val="243"/>
          <w:rFonts w:hint="eastAsia" w:ascii="Arial" w:hAnsi="Arial" w:cs="Arial"/>
          <w:color w:val="auto"/>
          <w:szCs w:val="21"/>
          <w:highlight w:val="none"/>
          <w:lang w:val="en-US"/>
        </w:rPr>
        <w:t>乙方</w:t>
      </w:r>
      <w:r>
        <w:rPr>
          <w:rStyle w:val="243"/>
          <w:rFonts w:hint="default" w:ascii="Arial" w:hAnsi="Arial" w:eastAsia="宋体" w:cs="Arial"/>
          <w:color w:val="auto"/>
          <w:szCs w:val="21"/>
          <w:highlight w:val="none"/>
        </w:rPr>
        <w:t>基本账户交至以下账户：开户名称：广西壮族自治区第四强制隔离戒毒所。开户银行：中国农业银行股份有限公司桂林中北支行。账号：20209301040026503。</w:t>
      </w:r>
    </w:p>
    <w:p>
      <w:pPr>
        <w:pStyle w:val="2"/>
        <w:ind w:firstLine="420" w:firstLineChars="200"/>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履约保证金退还方式及时间、条件、不予退还的情形：履约保证金自合同生效之日起生效至合同材料验收证书28天后失效，</w:t>
      </w:r>
      <w:r>
        <w:rPr>
          <w:rStyle w:val="243"/>
          <w:rFonts w:hint="eastAsia" w:ascii="Arial" w:hAnsi="Arial" w:eastAsia="宋体" w:cs="Arial"/>
          <w:color w:val="auto"/>
          <w:szCs w:val="21"/>
          <w:highlight w:val="none"/>
        </w:rPr>
        <w:t>质保期满后</w:t>
      </w:r>
      <w:r>
        <w:rPr>
          <w:rStyle w:val="243"/>
          <w:rFonts w:hint="default" w:ascii="Arial" w:hAnsi="Arial" w:eastAsia="宋体" w:cs="Arial"/>
          <w:color w:val="auto"/>
          <w:szCs w:val="21"/>
          <w:highlight w:val="none"/>
        </w:rPr>
        <w:t>，</w:t>
      </w:r>
      <w:r>
        <w:rPr>
          <w:rStyle w:val="243"/>
          <w:rFonts w:hint="eastAsia" w:ascii="Arial" w:hAnsi="Arial" w:eastAsia="宋体" w:cs="Arial"/>
          <w:color w:val="auto"/>
          <w:szCs w:val="21"/>
          <w:highlight w:val="none"/>
        </w:rPr>
        <w:t>乙方</w:t>
      </w:r>
      <w:r>
        <w:rPr>
          <w:rStyle w:val="243"/>
          <w:rFonts w:hint="default" w:ascii="Arial" w:hAnsi="Arial" w:eastAsia="宋体" w:cs="Arial"/>
          <w:color w:val="auto"/>
          <w:szCs w:val="21"/>
          <w:highlight w:val="none"/>
        </w:rPr>
        <w:t>可向</w:t>
      </w:r>
      <w:r>
        <w:rPr>
          <w:rStyle w:val="243"/>
          <w:rFonts w:hint="eastAsia" w:ascii="Arial" w:hAnsi="Arial" w:eastAsia="宋体" w:cs="Arial"/>
          <w:color w:val="auto"/>
          <w:szCs w:val="21"/>
          <w:highlight w:val="none"/>
        </w:rPr>
        <w:t>甲方</w:t>
      </w:r>
      <w:r>
        <w:rPr>
          <w:rStyle w:val="243"/>
          <w:rFonts w:hint="default" w:ascii="Arial" w:hAnsi="Arial" w:eastAsia="宋体" w:cs="Arial"/>
          <w:color w:val="auto"/>
          <w:szCs w:val="21"/>
          <w:highlight w:val="none"/>
        </w:rPr>
        <w:t>申请办理履约保证金的退付手续；如果</w:t>
      </w:r>
      <w:r>
        <w:rPr>
          <w:rStyle w:val="243"/>
          <w:rFonts w:hint="eastAsia" w:ascii="Arial" w:hAnsi="Arial" w:eastAsia="宋体" w:cs="Arial"/>
          <w:color w:val="auto"/>
          <w:szCs w:val="21"/>
          <w:highlight w:val="none"/>
        </w:rPr>
        <w:t>乙方</w:t>
      </w:r>
      <w:r>
        <w:rPr>
          <w:rStyle w:val="243"/>
          <w:rFonts w:hint="default" w:ascii="Arial" w:hAnsi="Arial" w:eastAsia="宋体" w:cs="Arial"/>
          <w:color w:val="auto"/>
          <w:szCs w:val="21"/>
          <w:highlight w:val="none"/>
        </w:rPr>
        <w:t>不履行合同约定的义务或其履行不符合合同的约定，</w:t>
      </w:r>
      <w:r>
        <w:rPr>
          <w:rStyle w:val="243"/>
          <w:rFonts w:hint="eastAsia" w:ascii="Arial" w:hAnsi="Arial" w:eastAsia="宋体" w:cs="Arial"/>
          <w:color w:val="auto"/>
          <w:szCs w:val="21"/>
          <w:highlight w:val="none"/>
        </w:rPr>
        <w:t>甲方</w:t>
      </w:r>
      <w:r>
        <w:rPr>
          <w:rStyle w:val="243"/>
          <w:rFonts w:hint="default" w:ascii="Arial" w:hAnsi="Arial" w:eastAsia="宋体" w:cs="Arial"/>
          <w:color w:val="auto"/>
          <w:szCs w:val="21"/>
          <w:highlight w:val="none"/>
        </w:rPr>
        <w:t>有权扣划全部或相应金额的履约保证金。</w:t>
      </w:r>
    </w:p>
    <w:p>
      <w:pPr>
        <w:pStyle w:val="2"/>
        <w:ind w:firstLine="420" w:firstLineChars="200"/>
        <w:rPr>
          <w:rStyle w:val="243"/>
          <w:rFonts w:hint="default" w:ascii="Arial" w:hAnsi="Arial" w:eastAsia="宋体" w:cs="Arial"/>
          <w:color w:val="auto"/>
          <w:szCs w:val="21"/>
          <w:highlight w:val="none"/>
        </w:rPr>
      </w:pPr>
      <w:r>
        <w:rPr>
          <w:rStyle w:val="243"/>
          <w:rFonts w:hint="default" w:ascii="Arial" w:hAnsi="Arial" w:eastAsia="宋体" w:cs="Arial"/>
          <w:color w:val="auto"/>
          <w:szCs w:val="21"/>
          <w:highlight w:val="none"/>
        </w:rPr>
        <w:t>自验收合格之日起，满3年后5个工作日内甲方退还乙方履约保证金，如未在规定时间内退还的，</w:t>
      </w:r>
      <w:r>
        <w:rPr>
          <w:rStyle w:val="243"/>
          <w:rFonts w:hint="eastAsia" w:ascii="Arial" w:hAnsi="Arial" w:eastAsia="宋体" w:cs="Arial"/>
          <w:color w:val="auto"/>
          <w:szCs w:val="21"/>
          <w:highlight w:val="none"/>
        </w:rPr>
        <w:t>乙方</w:t>
      </w:r>
      <w:r>
        <w:rPr>
          <w:rStyle w:val="243"/>
          <w:rFonts w:hint="default" w:ascii="Arial" w:hAnsi="Arial" w:eastAsia="宋体" w:cs="Arial"/>
          <w:color w:val="auto"/>
          <w:szCs w:val="21"/>
          <w:highlight w:val="none"/>
        </w:rPr>
        <w:t>可予以催告，经</w:t>
      </w:r>
      <w:r>
        <w:rPr>
          <w:rStyle w:val="243"/>
          <w:rFonts w:hint="eastAsia" w:ascii="Arial" w:hAnsi="Arial" w:eastAsia="宋体" w:cs="Arial"/>
          <w:color w:val="auto"/>
          <w:szCs w:val="21"/>
          <w:highlight w:val="none"/>
        </w:rPr>
        <w:t>乙方</w:t>
      </w:r>
      <w:r>
        <w:rPr>
          <w:rStyle w:val="243"/>
          <w:rFonts w:hint="default" w:ascii="Arial" w:hAnsi="Arial" w:eastAsia="宋体" w:cs="Arial"/>
          <w:color w:val="auto"/>
          <w:szCs w:val="21"/>
          <w:highlight w:val="none"/>
        </w:rPr>
        <w:t>催告后30天内仍未退还履约保证金的，</w:t>
      </w:r>
      <w:r>
        <w:rPr>
          <w:rStyle w:val="243"/>
          <w:rFonts w:hint="eastAsia" w:ascii="Arial" w:hAnsi="Arial" w:eastAsia="宋体" w:cs="Arial"/>
          <w:color w:val="auto"/>
          <w:szCs w:val="21"/>
          <w:highlight w:val="none"/>
        </w:rPr>
        <w:t>甲方</w:t>
      </w:r>
      <w:r>
        <w:rPr>
          <w:rStyle w:val="243"/>
          <w:rFonts w:hint="default" w:ascii="Arial" w:hAnsi="Arial" w:eastAsia="宋体" w:cs="Arial"/>
          <w:color w:val="auto"/>
          <w:szCs w:val="21"/>
          <w:highlight w:val="none"/>
        </w:rPr>
        <w:t>应按中国人民银行发布的同期同类贷款基准利率向</w:t>
      </w:r>
      <w:r>
        <w:rPr>
          <w:rStyle w:val="243"/>
          <w:rFonts w:hint="eastAsia" w:ascii="Arial" w:hAnsi="Arial" w:eastAsia="宋体" w:cs="Arial"/>
          <w:color w:val="auto"/>
          <w:szCs w:val="21"/>
          <w:highlight w:val="none"/>
        </w:rPr>
        <w:t>乙方</w:t>
      </w:r>
      <w:r>
        <w:rPr>
          <w:rStyle w:val="243"/>
          <w:rFonts w:hint="default" w:ascii="Arial" w:hAnsi="Arial" w:eastAsia="宋体" w:cs="Arial"/>
          <w:color w:val="auto"/>
          <w:szCs w:val="21"/>
          <w:highlight w:val="none"/>
        </w:rPr>
        <w:t>支付自催告日期起的利息。</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w:t>
      </w:r>
      <w:r>
        <w:rPr>
          <w:rFonts w:hint="eastAsia" w:ascii="Arial" w:hAnsi="Arial" w:cs="Arial"/>
          <w:b/>
          <w:color w:val="auto"/>
          <w:szCs w:val="21"/>
          <w:highlight w:val="none"/>
          <w:lang w:val="en-US" w:eastAsia="zh-CN"/>
        </w:rPr>
        <w:t>九</w:t>
      </w:r>
      <w:r>
        <w:rPr>
          <w:rFonts w:ascii="Arial" w:hAnsi="Arial" w:cs="Arial"/>
          <w:b/>
          <w:color w:val="auto"/>
          <w:szCs w:val="21"/>
          <w:highlight w:val="none"/>
        </w:rPr>
        <w:t>条 税费</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本合同执行中相关的一切税费均由乙方负担。</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第十条 质量保证及售后服务</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 乙方应按招标文件规定的货物性能、技术要求、质量标准向甲方提供未经使用的全新产品。乙方提供货物的</w:t>
      </w:r>
      <w:r>
        <w:rPr>
          <w:rFonts w:hint="eastAsia" w:ascii="Arial" w:hAnsi="Arial" w:cs="Arial"/>
          <w:color w:val="auto"/>
          <w:szCs w:val="21"/>
          <w:highlight w:val="none"/>
        </w:rPr>
        <w:t>质保期</w:t>
      </w:r>
      <w:r>
        <w:rPr>
          <w:rFonts w:ascii="Arial" w:hAnsi="Arial" w:cs="Arial"/>
          <w:color w:val="auto"/>
          <w:szCs w:val="21"/>
          <w:highlight w:val="none"/>
        </w:rPr>
        <w:t>按交货验收合格之日起计（期限见《项目采购需求》中的要求）。在保证期内因货物本身的质量问题发生故障，乙方应负责免费修理和更换零部件。对达不到技术要求者，根据实际情况，经双方协商，可按以下办法处理：</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（1）更换：由乙方承担所发生的全部费用。</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（2）贬值处理：由甲乙双方合议定价。</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（3）退货处理：乙方应退还甲方支付的合同款，同时应承担该货物的直接费用（运输、保险、检验、货款利息及银行手续费等）。</w:t>
      </w:r>
    </w:p>
    <w:p>
      <w:pPr>
        <w:pStyle w:val="29"/>
        <w:snapToGrid w:val="0"/>
        <w:spacing w:before="120" w:after="120" w:line="288" w:lineRule="auto"/>
        <w:ind w:firstLine="420" w:firstLineChars="200"/>
        <w:rPr>
          <w:rFonts w:ascii="Arial" w:hAnsi="Arial" w:cs="Arial"/>
          <w:color w:val="auto"/>
          <w:highlight w:val="none"/>
        </w:rPr>
      </w:pPr>
      <w:r>
        <w:rPr>
          <w:rFonts w:ascii="Arial" w:hAnsi="Arial" w:cs="Arial"/>
          <w:color w:val="auto"/>
          <w:highlight w:val="none"/>
        </w:rPr>
        <w:t>2. 如在使用过程中发生质量问题，乙方在接到甲方通知后在小时内到达甲方现场。</w:t>
      </w:r>
    </w:p>
    <w:p>
      <w:pPr>
        <w:pStyle w:val="29"/>
        <w:snapToGrid w:val="0"/>
        <w:spacing w:before="120" w:after="120" w:line="288" w:lineRule="auto"/>
        <w:ind w:firstLine="420" w:firstLineChars="200"/>
        <w:rPr>
          <w:rFonts w:ascii="Arial" w:hAnsi="Arial" w:cs="Arial"/>
          <w:color w:val="auto"/>
          <w:highlight w:val="none"/>
        </w:rPr>
      </w:pPr>
      <w:r>
        <w:rPr>
          <w:rFonts w:ascii="Arial" w:hAnsi="Arial" w:cs="Arial"/>
          <w:color w:val="auto"/>
          <w:highlight w:val="none"/>
        </w:rPr>
        <w:t>3. 在质保期内，乙方应对货物出现的质量及安全问题负责处理解决并承担一切费用。</w:t>
      </w:r>
    </w:p>
    <w:p>
      <w:pPr>
        <w:pStyle w:val="29"/>
        <w:snapToGrid w:val="0"/>
        <w:spacing w:before="120" w:after="120" w:line="288" w:lineRule="auto"/>
        <w:ind w:firstLine="420" w:firstLineChars="200"/>
        <w:rPr>
          <w:rFonts w:hint="eastAsia"/>
          <w:color w:val="auto"/>
          <w:highlight w:val="none"/>
        </w:rPr>
      </w:pPr>
      <w:r>
        <w:rPr>
          <w:rFonts w:ascii="Arial" w:hAnsi="Arial" w:cs="Arial"/>
          <w:color w:val="auto"/>
          <w:highlight w:val="none"/>
        </w:rPr>
        <w:t>4.上述的货物因人为因素出现的故障不在免费保修范围内。超过质保期的机器设备，终生维修，维修时只收部件成本费。</w:t>
      </w:r>
    </w:p>
    <w:p>
      <w:pPr>
        <w:keepNext w:val="0"/>
        <w:keepLines w:val="0"/>
        <w:pageBreakBefore w:val="0"/>
        <w:widowControl w:val="0"/>
        <w:kinsoku/>
        <w:wordWrap/>
        <w:overflowPunct/>
        <w:topLinePunct w:val="0"/>
        <w:autoSpaceDE/>
        <w:autoSpaceDN/>
        <w:bidi w:val="0"/>
        <w:adjustRightInd/>
        <w:snapToGrid w:val="0"/>
        <w:spacing w:line="300" w:lineRule="auto"/>
        <w:ind w:firstLine="422" w:firstLineChars="200"/>
        <w:rPr>
          <w:rFonts w:hint="eastAsia" w:cs="仿宋" w:asciiTheme="minorEastAsia" w:hAnsiTheme="minorEastAsia"/>
          <w:b/>
          <w:color w:val="auto"/>
          <w:sz w:val="21"/>
          <w:szCs w:val="21"/>
          <w:highlight w:val="none"/>
          <w:lang w:eastAsia="zh-CN"/>
        </w:rPr>
      </w:pPr>
      <w:r>
        <w:rPr>
          <w:rFonts w:hint="eastAsia" w:cs="仿宋" w:asciiTheme="minorEastAsia" w:hAnsiTheme="minorEastAsia"/>
          <w:b/>
          <w:color w:val="auto"/>
          <w:sz w:val="21"/>
          <w:szCs w:val="21"/>
          <w:highlight w:val="none"/>
        </w:rPr>
        <w:t>第十一条  验收标准</w:t>
      </w:r>
      <w:r>
        <w:rPr>
          <w:rFonts w:hint="eastAsia" w:cs="仿宋" w:asciiTheme="minorEastAsia" w:hAnsiTheme="minorEastAsia"/>
          <w:b/>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1.货物到达现场后，</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应在</w:t>
      </w:r>
      <w:r>
        <w:rPr>
          <w:rFonts w:hint="eastAsia" w:cs="仿宋" w:asciiTheme="minorEastAsia" w:hAnsiTheme="minorEastAsia"/>
          <w:color w:val="auto"/>
          <w:kern w:val="0"/>
          <w:sz w:val="21"/>
          <w:szCs w:val="21"/>
          <w:highlight w:val="none"/>
          <w:lang w:val="en-US" w:eastAsia="zh-CN"/>
        </w:rPr>
        <w:t>甲方</w:t>
      </w:r>
      <w:r>
        <w:rPr>
          <w:rFonts w:hint="default" w:cs="仿宋" w:asciiTheme="minorEastAsia" w:hAnsiTheme="minorEastAsia"/>
          <w:color w:val="auto"/>
          <w:kern w:val="0"/>
          <w:sz w:val="21"/>
          <w:szCs w:val="21"/>
          <w:highlight w:val="none"/>
          <w:lang w:val="en-US" w:eastAsia="zh-CN"/>
        </w:rPr>
        <w:t>单位人员在场情况下当面开箱，共同清点、检查外观，作出开箱记录，双方签字确认，货物签收单一式2份，双方各执1份留存。</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应保证货物到达</w:t>
      </w:r>
      <w:r>
        <w:rPr>
          <w:rFonts w:hint="eastAsia" w:cs="仿宋" w:asciiTheme="minorEastAsia" w:hAnsiTheme="minorEastAsia"/>
          <w:color w:val="auto"/>
          <w:kern w:val="0"/>
          <w:sz w:val="21"/>
          <w:szCs w:val="21"/>
          <w:highlight w:val="none"/>
          <w:lang w:val="en-US" w:eastAsia="zh-CN"/>
        </w:rPr>
        <w:t>甲方</w:t>
      </w:r>
      <w:r>
        <w:rPr>
          <w:rFonts w:hint="default" w:cs="仿宋" w:asciiTheme="minorEastAsia" w:hAnsiTheme="minorEastAsia"/>
          <w:color w:val="auto"/>
          <w:kern w:val="0"/>
          <w:sz w:val="21"/>
          <w:szCs w:val="21"/>
          <w:highlight w:val="none"/>
          <w:lang w:val="en-US" w:eastAsia="zh-CN"/>
        </w:rPr>
        <w:t>所在地完好无损，如有缺漏、损坏，由</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负责调换、补齐或赔偿。验收过程中所产生的一切费用均由</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承担，报价时应考虑相关费用。</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2.项目验收过程中，甲方可邀请第三方参与验收，验收过程中所产出的费用由乙方全额支付。验收的内容包含但不限于：（1）项目施工方案、设计图纸、设备签收单及其他项目施工过程中形成的相关材料；（2）随机抽选至少20样不同类型的设备核对品牌、型号、参数；（3）系统集成度、完整性现场演示，演示本项目中涉及到的视频监控系统、周界电子围栏系统、探访会见系统、亲情电话系统、AB门管控系统、可视对讲系统、周界巡更系统、数字广播系统建设情况及联动报警输出情况。</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3.</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提供的货物需全新、完好、无破损，应提供完备的技术或服务资料、装箱单和合格证等。验收合格条件如下：</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（1）货物或服务技术参数与采购合同一致，性能或指标达到规定的标准。</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（2）技术或资料、装箱单、合格证等资料齐全。</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（3）在测试或试运行期间所出现的问题得到解决，并运行或工作正常。</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（4）在规定时间内完成交货及验收，并经</w:t>
      </w:r>
      <w:r>
        <w:rPr>
          <w:rFonts w:hint="eastAsia" w:cs="仿宋" w:asciiTheme="minorEastAsia" w:hAnsiTheme="minorEastAsia"/>
          <w:color w:val="auto"/>
          <w:kern w:val="0"/>
          <w:sz w:val="21"/>
          <w:szCs w:val="21"/>
          <w:highlight w:val="none"/>
          <w:lang w:val="en-US" w:eastAsia="zh-CN"/>
        </w:rPr>
        <w:t>甲方</w:t>
      </w:r>
      <w:r>
        <w:rPr>
          <w:rFonts w:hint="default" w:cs="仿宋" w:asciiTheme="minorEastAsia" w:hAnsiTheme="minorEastAsia"/>
          <w:color w:val="auto"/>
          <w:kern w:val="0"/>
          <w:sz w:val="21"/>
          <w:szCs w:val="21"/>
          <w:highlight w:val="none"/>
          <w:lang w:val="en-US" w:eastAsia="zh-CN"/>
        </w:rPr>
        <w:t>确认。</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4.项目验收应遵循国家及行业相关验收标准：</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在安装调试完成后需提交全部图纸、配置资料、交验收报告、测试报告（如有）等。</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5.在安装调试并试运行符合要求后，才作最终验收。</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default"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6.项目验收前，</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要进行系统的操作培训，否则不于验收。</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eastAsia" w:cs="仿宋" w:asciiTheme="minorEastAsia" w:hAnsiTheme="minorEastAsia"/>
          <w:color w:val="auto"/>
          <w:kern w:val="0"/>
          <w:sz w:val="21"/>
          <w:szCs w:val="21"/>
          <w:highlight w:val="none"/>
          <w:lang w:val="en-US" w:eastAsia="zh-CN"/>
        </w:rPr>
      </w:pPr>
      <w:r>
        <w:rPr>
          <w:rFonts w:hint="default" w:cs="仿宋" w:asciiTheme="minorEastAsia" w:hAnsiTheme="minorEastAsia"/>
          <w:color w:val="auto"/>
          <w:kern w:val="0"/>
          <w:sz w:val="21"/>
          <w:szCs w:val="21"/>
          <w:highlight w:val="none"/>
          <w:lang w:val="en-US" w:eastAsia="zh-CN"/>
        </w:rPr>
        <w:t>7.为保证《项目采购需求》中的技术指标和性能达到采购文件要求及与合同、投标文件相符，如</w:t>
      </w:r>
      <w:r>
        <w:rPr>
          <w:rFonts w:hint="eastAsia" w:cs="仿宋" w:asciiTheme="minorEastAsia" w:hAnsiTheme="minorEastAsia"/>
          <w:color w:val="auto"/>
          <w:kern w:val="0"/>
          <w:sz w:val="21"/>
          <w:szCs w:val="21"/>
          <w:highlight w:val="none"/>
          <w:lang w:val="en-US" w:eastAsia="zh-CN"/>
        </w:rPr>
        <w:t>甲方</w:t>
      </w:r>
      <w:r>
        <w:rPr>
          <w:rFonts w:hint="default" w:cs="仿宋" w:asciiTheme="minorEastAsia" w:hAnsiTheme="minorEastAsia"/>
          <w:color w:val="auto"/>
          <w:kern w:val="0"/>
          <w:sz w:val="21"/>
          <w:szCs w:val="21"/>
          <w:highlight w:val="none"/>
          <w:lang w:val="en-US" w:eastAsia="zh-CN"/>
        </w:rPr>
        <w:t>对</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所投标货物的技术指标有质疑，供货时须</w:t>
      </w:r>
      <w:r>
        <w:rPr>
          <w:rFonts w:hint="eastAsia" w:cs="仿宋" w:asciiTheme="minorEastAsia" w:hAnsiTheme="minorEastAsia"/>
          <w:color w:val="auto"/>
          <w:kern w:val="0"/>
          <w:sz w:val="21"/>
          <w:szCs w:val="21"/>
          <w:highlight w:val="none"/>
          <w:lang w:val="en-US" w:eastAsia="zh-CN"/>
        </w:rPr>
        <w:t>提供投标产品的产品彩页或技术白皮书</w:t>
      </w:r>
      <w:r>
        <w:rPr>
          <w:rFonts w:hint="default" w:cs="仿宋" w:asciiTheme="minorEastAsia" w:hAnsiTheme="minorEastAsia"/>
          <w:color w:val="auto"/>
          <w:kern w:val="0"/>
          <w:sz w:val="21"/>
          <w:szCs w:val="21"/>
          <w:highlight w:val="none"/>
          <w:lang w:val="en-US" w:eastAsia="zh-CN"/>
        </w:rPr>
        <w:t>，以确认是否达到合同、采购文件、投标文件中所规定的技术功能要求；</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未提供的或</w:t>
      </w:r>
      <w:r>
        <w:rPr>
          <w:rFonts w:hint="eastAsia" w:cs="仿宋" w:asciiTheme="minorEastAsia" w:hAnsiTheme="minorEastAsia"/>
          <w:color w:val="auto"/>
          <w:kern w:val="0"/>
          <w:sz w:val="21"/>
          <w:szCs w:val="21"/>
          <w:highlight w:val="none"/>
          <w:lang w:val="en-US" w:eastAsia="zh-CN"/>
        </w:rPr>
        <w:t>未</w:t>
      </w:r>
      <w:r>
        <w:rPr>
          <w:rFonts w:hint="default" w:cs="仿宋" w:asciiTheme="minorEastAsia" w:hAnsiTheme="minorEastAsia"/>
          <w:color w:val="auto"/>
          <w:kern w:val="0"/>
          <w:sz w:val="21"/>
          <w:szCs w:val="21"/>
          <w:highlight w:val="none"/>
          <w:lang w:val="en-US" w:eastAsia="zh-CN"/>
        </w:rPr>
        <w:t>达到合同、采购文件、投标文件中所规定的技术功能要求，则视为合同违约，所有损失由</w:t>
      </w:r>
      <w:r>
        <w:rPr>
          <w:rFonts w:hint="eastAsia" w:cs="仿宋" w:asciiTheme="minorEastAsia" w:hAnsiTheme="minorEastAsia"/>
          <w:color w:val="auto"/>
          <w:kern w:val="0"/>
          <w:sz w:val="21"/>
          <w:szCs w:val="21"/>
          <w:highlight w:val="none"/>
          <w:lang w:val="en-US" w:eastAsia="zh-CN"/>
        </w:rPr>
        <w:t>乙方</w:t>
      </w:r>
      <w:r>
        <w:rPr>
          <w:rFonts w:hint="default" w:cs="仿宋" w:asciiTheme="minorEastAsia" w:hAnsiTheme="minorEastAsia"/>
          <w:color w:val="auto"/>
          <w:kern w:val="0"/>
          <w:sz w:val="21"/>
          <w:szCs w:val="21"/>
          <w:highlight w:val="none"/>
          <w:lang w:val="en-US" w:eastAsia="zh-CN"/>
        </w:rPr>
        <w:t>承担</w:t>
      </w:r>
      <w:r>
        <w:rPr>
          <w:rFonts w:hint="eastAsia" w:cs="仿宋" w:asciiTheme="minorEastAsia" w:hAnsiTheme="minorEastAsia"/>
          <w:color w:val="auto"/>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hint="eastAsia"/>
          <w:color w:val="auto"/>
          <w:highlight w:val="none"/>
          <w:lang w:eastAsia="zh-CN"/>
        </w:rPr>
      </w:pPr>
      <w:r>
        <w:rPr>
          <w:rFonts w:hint="eastAsia" w:cs="仿宋" w:asciiTheme="minorEastAsia" w:hAnsiTheme="minorEastAsia"/>
          <w:color w:val="auto"/>
          <w:kern w:val="0"/>
          <w:sz w:val="21"/>
          <w:szCs w:val="21"/>
          <w:highlight w:val="none"/>
          <w:lang w:val="en-US" w:eastAsia="zh-CN"/>
        </w:rPr>
        <w:t>8.</w:t>
      </w:r>
      <w:r>
        <w:rPr>
          <w:rFonts w:hint="default" w:cs="仿宋" w:asciiTheme="minorEastAsia" w:hAnsiTheme="minorEastAsia"/>
          <w:color w:val="auto"/>
          <w:kern w:val="0"/>
          <w:sz w:val="21"/>
          <w:szCs w:val="21"/>
          <w:highlight w:val="none"/>
          <w:lang w:val="en-US" w:eastAsia="zh-CN"/>
        </w:rPr>
        <w:t>如验收不通过的甲方有权要求乙方整改，整改后再次申请甲方验收，工期不予顺延，以最终验收合格之日做为验收合格时间及质保起始时间。</w:t>
      </w:r>
    </w:p>
    <w:p>
      <w:pPr>
        <w:keepNext w:val="0"/>
        <w:keepLines w:val="0"/>
        <w:pageBreakBefore w:val="0"/>
        <w:widowControl w:val="0"/>
        <w:kinsoku/>
        <w:wordWrap/>
        <w:overflowPunct/>
        <w:topLinePunct w:val="0"/>
        <w:autoSpaceDE/>
        <w:autoSpaceDN/>
        <w:bidi w:val="0"/>
        <w:adjustRightInd/>
        <w:snapToGrid w:val="0"/>
        <w:spacing w:line="300" w:lineRule="auto"/>
        <w:ind w:firstLine="413" w:firstLineChars="196"/>
        <w:rPr>
          <w:rFonts w:cs="仿宋" w:asciiTheme="minorEastAsia" w:hAnsiTheme="minorEastAsia"/>
          <w:b/>
          <w:color w:val="auto"/>
          <w:kern w:val="0"/>
          <w:sz w:val="21"/>
          <w:szCs w:val="21"/>
          <w:highlight w:val="none"/>
        </w:rPr>
      </w:pPr>
      <w:r>
        <w:rPr>
          <w:rFonts w:hint="eastAsia" w:cs="仿宋" w:asciiTheme="minorEastAsia" w:hAnsiTheme="minorEastAsia"/>
          <w:b/>
          <w:color w:val="auto"/>
          <w:kern w:val="0"/>
          <w:sz w:val="21"/>
          <w:szCs w:val="21"/>
          <w:highlight w:val="none"/>
        </w:rPr>
        <w:t>第十二条  货物包装、发运及运输</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cs="仿宋" w:asciiTheme="minorEastAsia" w:hAnsiTheme="minorEastAsia"/>
          <w:color w:val="auto"/>
          <w:kern w:val="0"/>
          <w:sz w:val="21"/>
          <w:szCs w:val="21"/>
          <w:highlight w:val="none"/>
        </w:rPr>
      </w:pPr>
      <w:r>
        <w:rPr>
          <w:rFonts w:hint="eastAsia" w:cs="仿宋" w:asciiTheme="minorEastAsia" w:hAnsiTheme="minorEastAsia"/>
          <w:color w:val="auto"/>
          <w:kern w:val="0"/>
          <w:sz w:val="21"/>
          <w:szCs w:val="21"/>
          <w:highlight w:val="none"/>
        </w:rPr>
        <w:t>1. 乙方应在货物发运前对其进行满足运输距离、防潮、防震、防锈和防破损装卸等要求包装，以保证货物安全运达甲方指定地点。</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cs="仿宋" w:asciiTheme="minorEastAsia" w:hAnsiTheme="minorEastAsia"/>
          <w:color w:val="auto"/>
          <w:kern w:val="0"/>
          <w:sz w:val="21"/>
          <w:szCs w:val="21"/>
          <w:highlight w:val="none"/>
        </w:rPr>
      </w:pPr>
      <w:r>
        <w:rPr>
          <w:rFonts w:hint="eastAsia" w:cs="仿宋" w:asciiTheme="minorEastAsia" w:hAnsiTheme="minorEastAsia"/>
          <w:color w:val="auto"/>
          <w:kern w:val="0"/>
          <w:sz w:val="21"/>
          <w:szCs w:val="21"/>
          <w:highlight w:val="none"/>
        </w:rPr>
        <w:t>2. 使用说明书（货物属于进口产品的，供货时应同时附上中文使用说明书）、质量检验证明书、随配附件和工具以及清单一并附于货物内。</w:t>
      </w:r>
    </w:p>
    <w:p>
      <w:pPr>
        <w:keepNext w:val="0"/>
        <w:keepLines w:val="0"/>
        <w:pageBreakBefore w:val="0"/>
        <w:widowControl w:val="0"/>
        <w:kinsoku/>
        <w:wordWrap/>
        <w:overflowPunct/>
        <w:topLinePunct w:val="0"/>
        <w:autoSpaceDE/>
        <w:autoSpaceDN/>
        <w:bidi w:val="0"/>
        <w:adjustRightInd/>
        <w:snapToGrid w:val="0"/>
        <w:spacing w:line="300" w:lineRule="auto"/>
        <w:ind w:firstLine="420" w:firstLineChars="200"/>
        <w:rPr>
          <w:rFonts w:cs="仿宋" w:asciiTheme="minorEastAsia" w:hAnsiTheme="minorEastAsia"/>
          <w:color w:val="auto"/>
          <w:kern w:val="0"/>
          <w:sz w:val="21"/>
          <w:szCs w:val="21"/>
          <w:highlight w:val="none"/>
        </w:rPr>
      </w:pPr>
      <w:r>
        <w:rPr>
          <w:rFonts w:hint="eastAsia" w:cs="仿宋" w:asciiTheme="minorEastAsia" w:hAnsiTheme="minorEastAsia"/>
          <w:color w:val="auto"/>
          <w:kern w:val="0"/>
          <w:sz w:val="21"/>
          <w:szCs w:val="21"/>
          <w:highlight w:val="none"/>
        </w:rPr>
        <w:t>3. 乙方在货物发运手续办理完毕后二十四小时内或货到甲方四十八小时前通知甲方，以准备接货。</w:t>
      </w:r>
    </w:p>
    <w:p>
      <w:pPr>
        <w:keepNext w:val="0"/>
        <w:keepLines w:val="0"/>
        <w:pageBreakBefore w:val="0"/>
        <w:widowControl w:val="0"/>
        <w:kinsoku/>
        <w:wordWrap/>
        <w:overflowPunct/>
        <w:topLinePunct w:val="0"/>
        <w:autoSpaceDE/>
        <w:autoSpaceDN/>
        <w:bidi w:val="0"/>
        <w:adjustRightInd/>
        <w:snapToGrid w:val="0"/>
        <w:spacing w:line="300" w:lineRule="auto"/>
        <w:ind w:left="420" w:leftChars="200"/>
        <w:rPr>
          <w:rFonts w:cs="仿宋" w:asciiTheme="minorEastAsia" w:hAnsiTheme="minorEastAsia"/>
          <w:color w:val="auto"/>
          <w:kern w:val="0"/>
          <w:sz w:val="21"/>
          <w:szCs w:val="21"/>
          <w:highlight w:val="none"/>
        </w:rPr>
      </w:pPr>
      <w:r>
        <w:rPr>
          <w:rFonts w:hint="eastAsia" w:cs="仿宋" w:asciiTheme="minorEastAsia" w:hAnsiTheme="minorEastAsia"/>
          <w:color w:val="auto"/>
          <w:kern w:val="0"/>
          <w:sz w:val="21"/>
          <w:szCs w:val="21"/>
          <w:highlight w:val="none"/>
        </w:rPr>
        <w:t>4. 货物在交付甲方前发生的风险均由乙方负责。</w:t>
      </w:r>
    </w:p>
    <w:p>
      <w:pPr>
        <w:keepNext w:val="0"/>
        <w:keepLines w:val="0"/>
        <w:pageBreakBefore w:val="0"/>
        <w:widowControl w:val="0"/>
        <w:kinsoku/>
        <w:wordWrap/>
        <w:overflowPunct/>
        <w:topLinePunct w:val="0"/>
        <w:autoSpaceDE/>
        <w:autoSpaceDN/>
        <w:bidi w:val="0"/>
        <w:adjustRightInd/>
        <w:snapToGrid w:val="0"/>
        <w:spacing w:line="300" w:lineRule="auto"/>
        <w:ind w:left="-61" w:firstLine="514"/>
        <w:rPr>
          <w:rFonts w:cs="仿宋" w:asciiTheme="minorEastAsia" w:hAnsiTheme="minorEastAsia"/>
          <w:color w:val="auto"/>
          <w:sz w:val="21"/>
          <w:szCs w:val="21"/>
          <w:highlight w:val="none"/>
        </w:rPr>
      </w:pPr>
      <w:r>
        <w:rPr>
          <w:rFonts w:hint="eastAsia" w:cs="仿宋" w:asciiTheme="minorEastAsia" w:hAnsiTheme="minorEastAsia"/>
          <w:color w:val="auto"/>
          <w:sz w:val="21"/>
          <w:szCs w:val="21"/>
          <w:highlight w:val="none"/>
        </w:rPr>
        <w:t>5. 货物在规定的交付期限内由乙方送达甲方指定的地点视为交付，乙方同时需通知甲方货物已送达。</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第十</w:t>
      </w:r>
      <w:r>
        <w:rPr>
          <w:rFonts w:ascii="Arial" w:hAnsi="Arial" w:cs="Arial"/>
          <w:b/>
          <w:color w:val="auto"/>
          <w:highlight w:val="none"/>
        </w:rPr>
        <w:t>三</w:t>
      </w:r>
      <w:r>
        <w:rPr>
          <w:rFonts w:ascii="Arial" w:hAnsi="Arial" w:cs="Arial"/>
          <w:b/>
          <w:color w:val="auto"/>
          <w:szCs w:val="21"/>
          <w:highlight w:val="none"/>
        </w:rPr>
        <w:t>条　违约责任</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 xml:space="preserve">1.乙方所提供的货物规格、技术标准、材料等质量不合格的，应及时更换，更换不及时的按逾期交货处罚；因质量问题甲方不同意接收的或特殊情况甲方同意接收的，乙方应向甲方支付违约货款额 </w:t>
      </w:r>
      <w:r>
        <w:rPr>
          <w:rFonts w:ascii="Arial" w:hAnsi="Arial" w:cs="Arial"/>
          <w:color w:val="auto"/>
          <w:szCs w:val="21"/>
          <w:highlight w:val="none"/>
          <w:u w:val="single"/>
        </w:rPr>
        <w:t>5%</w:t>
      </w:r>
      <w:r>
        <w:rPr>
          <w:rFonts w:ascii="Arial" w:hAnsi="Arial" w:cs="Arial"/>
          <w:color w:val="auto"/>
          <w:szCs w:val="21"/>
          <w:highlight w:val="none"/>
        </w:rPr>
        <w:t xml:space="preserve">违约金并赔偿甲方经济损失。                                       </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2.乙方提供的货物如侵犯了第三方合法权益而引发的任何纠纷或诉讼，均由乙方负责交涉并承担全部责任。</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3.因包装、运输引起的货物损坏，按质量不合格处罚。</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4.乙方无故逾期交货的，每天向甲方偿付违约货款额</w:t>
      </w:r>
      <w:r>
        <w:rPr>
          <w:rFonts w:hint="eastAsia" w:ascii="Arial" w:hAnsi="Arial" w:cs="Arial"/>
          <w:color w:val="auto"/>
          <w:szCs w:val="21"/>
          <w:highlight w:val="none"/>
          <w:lang w:val="en-US" w:eastAsia="zh-CN"/>
        </w:rPr>
        <w:t>4</w:t>
      </w:r>
      <w:r>
        <w:rPr>
          <w:rFonts w:ascii="Arial" w:hAnsi="Arial" w:cs="Arial"/>
          <w:color w:val="auto"/>
          <w:szCs w:val="21"/>
          <w:highlight w:val="none"/>
        </w:rPr>
        <w:t>‰违约金，但违约金累计不得超过违约货款额</w:t>
      </w:r>
      <w:r>
        <w:rPr>
          <w:rFonts w:ascii="Arial" w:hAnsi="Arial" w:cs="Arial"/>
          <w:color w:val="auto"/>
          <w:szCs w:val="21"/>
          <w:highlight w:val="none"/>
          <w:u w:val="single"/>
        </w:rPr>
        <w:t>5%</w:t>
      </w:r>
      <w:r>
        <w:rPr>
          <w:rFonts w:ascii="Arial" w:hAnsi="Arial" w:cs="Arial"/>
          <w:color w:val="auto"/>
          <w:szCs w:val="21"/>
          <w:highlight w:val="none"/>
        </w:rPr>
        <w:t>，超过</w:t>
      </w:r>
      <w:r>
        <w:rPr>
          <w:rFonts w:ascii="Arial" w:hAnsi="Arial" w:cs="Arial"/>
          <w:color w:val="auto"/>
          <w:szCs w:val="21"/>
          <w:highlight w:val="none"/>
          <w:u w:val="single"/>
        </w:rPr>
        <w:t xml:space="preserve"> </w:t>
      </w:r>
      <w:r>
        <w:rPr>
          <w:rFonts w:hint="eastAsia" w:ascii="Arial" w:hAnsi="Arial" w:cs="Arial"/>
          <w:color w:val="auto"/>
          <w:szCs w:val="21"/>
          <w:highlight w:val="none"/>
          <w:u w:val="single"/>
          <w:lang w:val="en-US" w:eastAsia="zh-CN"/>
        </w:rPr>
        <w:t>15</w:t>
      </w:r>
      <w:r>
        <w:rPr>
          <w:rFonts w:ascii="Arial" w:hAnsi="Arial" w:cs="Arial"/>
          <w:color w:val="auto"/>
          <w:szCs w:val="21"/>
          <w:highlight w:val="none"/>
        </w:rPr>
        <w:t>天甲方有权解除合同，</w:t>
      </w:r>
      <w:r>
        <w:rPr>
          <w:rFonts w:hint="eastAsia" w:ascii="Arial" w:hAnsi="Arial" w:cs="Arial"/>
          <w:color w:val="auto"/>
          <w:szCs w:val="21"/>
          <w:highlight w:val="none"/>
          <w:lang w:val="en-US" w:eastAsia="zh-CN"/>
        </w:rPr>
        <w:t>乙方</w:t>
      </w:r>
      <w:r>
        <w:rPr>
          <w:rFonts w:ascii="Arial" w:hAnsi="Arial" w:cs="Arial"/>
          <w:color w:val="auto"/>
          <w:szCs w:val="21"/>
          <w:highlight w:val="none"/>
        </w:rPr>
        <w:t>承担因此给</w:t>
      </w:r>
      <w:r>
        <w:rPr>
          <w:rFonts w:hint="eastAsia" w:ascii="Arial" w:hAnsi="Arial" w:cs="Arial"/>
          <w:color w:val="auto"/>
          <w:szCs w:val="21"/>
          <w:highlight w:val="none"/>
          <w:lang w:val="en-US" w:eastAsia="zh-CN"/>
        </w:rPr>
        <w:t>甲方</w:t>
      </w:r>
      <w:r>
        <w:rPr>
          <w:rFonts w:ascii="Arial" w:hAnsi="Arial" w:cs="Arial"/>
          <w:color w:val="auto"/>
          <w:szCs w:val="21"/>
          <w:highlight w:val="none"/>
        </w:rPr>
        <w:t>造成</w:t>
      </w:r>
      <w:r>
        <w:rPr>
          <w:rFonts w:hint="eastAsia" w:ascii="Arial" w:hAnsi="Arial" w:cs="Arial"/>
          <w:color w:val="auto"/>
          <w:szCs w:val="21"/>
          <w:highlight w:val="none"/>
          <w:lang w:val="en-US" w:eastAsia="zh-CN"/>
        </w:rPr>
        <w:t>的</w:t>
      </w:r>
      <w:r>
        <w:rPr>
          <w:rFonts w:ascii="Arial" w:hAnsi="Arial" w:cs="Arial"/>
          <w:color w:val="auto"/>
          <w:szCs w:val="21"/>
          <w:highlight w:val="none"/>
        </w:rPr>
        <w:t>经济损失。</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5.乙方未按本合同和投标文件中规定的服务承诺提供售后服务的，乙方应按本合同合计金额</w:t>
      </w:r>
      <w:r>
        <w:rPr>
          <w:rFonts w:ascii="Arial" w:hAnsi="Arial" w:cs="Arial"/>
          <w:color w:val="auto"/>
          <w:szCs w:val="21"/>
          <w:highlight w:val="none"/>
          <w:u w:val="single"/>
        </w:rPr>
        <w:t xml:space="preserve"> 5%</w:t>
      </w:r>
      <w:r>
        <w:rPr>
          <w:rFonts w:ascii="Arial" w:hAnsi="Arial" w:cs="Arial"/>
          <w:color w:val="auto"/>
          <w:szCs w:val="21"/>
          <w:highlight w:val="none"/>
        </w:rPr>
        <w:t>向甲方支付违约金。</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6.乙方提供的货物在</w:t>
      </w:r>
      <w:r>
        <w:rPr>
          <w:rFonts w:hint="eastAsia" w:ascii="Arial" w:hAnsi="Arial" w:cs="Arial"/>
          <w:color w:val="auto"/>
          <w:szCs w:val="21"/>
          <w:highlight w:val="none"/>
        </w:rPr>
        <w:t>质保期</w:t>
      </w:r>
      <w:r>
        <w:rPr>
          <w:rFonts w:ascii="Arial" w:hAnsi="Arial" w:cs="Arial"/>
          <w:color w:val="auto"/>
          <w:szCs w:val="21"/>
          <w:highlight w:val="none"/>
        </w:rPr>
        <w:t>内，因设计、工艺或材料的缺陷和其它质量原因造成的问题，由乙方负责，费用从质量保证金中扣除，质量保证金不足以支付的，由乙方另行支付。</w:t>
      </w:r>
    </w:p>
    <w:p>
      <w:pPr>
        <w:snapToGrid w:val="0"/>
        <w:spacing w:line="288" w:lineRule="auto"/>
        <w:ind w:firstLine="420" w:firstLineChars="200"/>
        <w:rPr>
          <w:rFonts w:hint="eastAsia" w:ascii="Arial" w:hAnsi="Arial" w:eastAsia="宋体" w:cs="Arial"/>
          <w:color w:val="auto"/>
          <w:szCs w:val="21"/>
          <w:highlight w:val="none"/>
          <w:lang w:val="en-US" w:eastAsia="zh-CN"/>
        </w:rPr>
      </w:pPr>
      <w:r>
        <w:rPr>
          <w:rFonts w:ascii="Arial" w:hAnsi="Arial" w:cs="Arial"/>
          <w:color w:val="auto"/>
          <w:szCs w:val="21"/>
          <w:highlight w:val="none"/>
        </w:rPr>
        <w:t>7.其它违约行为按违约货款额5%收取违约金并赔偿经济损失。</w:t>
      </w:r>
    </w:p>
    <w:p>
      <w:pPr>
        <w:pStyle w:val="29"/>
        <w:snapToGrid w:val="0"/>
        <w:spacing w:before="120" w:after="120" w:line="288" w:lineRule="auto"/>
        <w:ind w:firstLine="413" w:firstLineChars="196"/>
        <w:rPr>
          <w:rFonts w:ascii="Arial" w:hAnsi="Arial" w:cs="Arial"/>
          <w:b/>
          <w:color w:val="auto"/>
          <w:highlight w:val="none"/>
        </w:rPr>
      </w:pPr>
      <w:r>
        <w:rPr>
          <w:rFonts w:ascii="Arial" w:hAnsi="Arial" w:cs="Arial"/>
          <w:b/>
          <w:color w:val="auto"/>
          <w:highlight w:val="none"/>
        </w:rPr>
        <w:t>第十</w:t>
      </w:r>
      <w:r>
        <w:rPr>
          <w:rFonts w:ascii="Arial" w:hAnsi="Arial" w:cs="Arial"/>
          <w:b/>
          <w:color w:val="auto"/>
          <w:szCs w:val="21"/>
          <w:highlight w:val="none"/>
        </w:rPr>
        <w:t>四</w:t>
      </w:r>
      <w:r>
        <w:rPr>
          <w:rFonts w:ascii="Arial" w:hAnsi="Arial" w:cs="Arial"/>
          <w:b/>
          <w:color w:val="auto"/>
          <w:highlight w:val="none"/>
        </w:rPr>
        <w:t>条 不可抗力事件处理</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 在合同有效期内，任何一方因不可抗力事件导致不能履行合同，则合同履行期可延长，其延长期与不可抗力影响期相同。</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 不可抗力事件发生后，应立即通知对方，并寄送有关权威机构出具的证明。</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 不可抗力事件延续一百二十天以上，双方应通过友好协商，确定是否继续履行合同。</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第十</w:t>
      </w:r>
      <w:r>
        <w:rPr>
          <w:rFonts w:ascii="Arial" w:hAnsi="Arial" w:cs="Arial"/>
          <w:b/>
          <w:color w:val="auto"/>
          <w:highlight w:val="none"/>
        </w:rPr>
        <w:t>五</w:t>
      </w:r>
      <w:r>
        <w:rPr>
          <w:rFonts w:ascii="Arial" w:hAnsi="Arial" w:cs="Arial"/>
          <w:b/>
          <w:color w:val="auto"/>
          <w:szCs w:val="21"/>
          <w:highlight w:val="none"/>
        </w:rPr>
        <w:t>条  合同争议解决</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 因货物质量问题发生争议的，应邀请国家认可的质量检测机构按照国家标准对货物质量进行验收。货物符合国家标准的，鉴定费由甲方承担；货物不符合国家标准的，鉴定费由乙方承担。</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 因履行本合同引起的或与本合同有关的争议，甲乙双方应首先通过友好协商解决，如果协商不能解决，可向甲方所在地人民法院提起诉讼。</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 诉讼期间，本合同继续履行。</w:t>
      </w:r>
    </w:p>
    <w:p>
      <w:pPr>
        <w:pStyle w:val="29"/>
        <w:snapToGrid w:val="0"/>
        <w:spacing w:before="120" w:after="120" w:line="288" w:lineRule="auto"/>
        <w:ind w:firstLine="422" w:firstLineChars="200"/>
        <w:rPr>
          <w:rFonts w:ascii="Arial" w:hAnsi="Arial" w:cs="Arial"/>
          <w:color w:val="auto"/>
          <w:highlight w:val="none"/>
        </w:rPr>
      </w:pPr>
      <w:r>
        <w:rPr>
          <w:rFonts w:ascii="Arial" w:hAnsi="Arial" w:cs="Arial"/>
          <w:b/>
          <w:color w:val="auto"/>
          <w:highlight w:val="none"/>
        </w:rPr>
        <w:t>第十</w:t>
      </w:r>
      <w:r>
        <w:rPr>
          <w:rFonts w:ascii="Arial" w:hAnsi="Arial" w:cs="Arial"/>
          <w:b/>
          <w:color w:val="auto"/>
          <w:szCs w:val="21"/>
          <w:highlight w:val="none"/>
        </w:rPr>
        <w:t>六</w:t>
      </w:r>
      <w:r>
        <w:rPr>
          <w:rFonts w:ascii="Arial" w:hAnsi="Arial" w:cs="Arial"/>
          <w:b/>
          <w:color w:val="auto"/>
          <w:highlight w:val="none"/>
        </w:rPr>
        <w:t>条 合同生效及其它</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1．合同经双方法定代表人或授权代表签字并加盖单位公章后生效。</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2．合同执行中涉及采购资金和采购内容修改或补充的，须经财政部门审批，并签书面补充协议报财政部门备案，方可作为主合同不可分割的一部分。</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3．本合同未尽事宜，遵照《</w:t>
      </w:r>
      <w:r>
        <w:rPr>
          <w:rFonts w:hint="eastAsia" w:ascii="Arial" w:hAnsi="Arial" w:cs="Arial"/>
          <w:color w:val="auto"/>
          <w:szCs w:val="21"/>
          <w:highlight w:val="none"/>
        </w:rPr>
        <w:t>民法典</w:t>
      </w:r>
      <w:r>
        <w:rPr>
          <w:rFonts w:ascii="Arial" w:hAnsi="Arial" w:cs="Arial"/>
          <w:color w:val="auto"/>
          <w:szCs w:val="21"/>
          <w:highlight w:val="none"/>
        </w:rPr>
        <w:t>》有关条文执行。</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第十</w:t>
      </w:r>
      <w:r>
        <w:rPr>
          <w:rFonts w:ascii="Arial" w:hAnsi="Arial" w:cs="Arial"/>
          <w:b/>
          <w:color w:val="auto"/>
          <w:highlight w:val="none"/>
        </w:rPr>
        <w:t>七</w:t>
      </w:r>
      <w:r>
        <w:rPr>
          <w:rFonts w:ascii="Arial" w:hAnsi="Arial" w:cs="Arial"/>
          <w:b/>
          <w:color w:val="auto"/>
          <w:szCs w:val="21"/>
          <w:highlight w:val="none"/>
        </w:rPr>
        <w:t>条　合同的变更、终止与转让</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1.除《中华人民共和国政府采购法》第五十条规定的情形外，本合同一经签订，甲乙双方不得擅自变更、中止或终止。</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2.未经甲方书面同意，乙方不得擅自转让（无进口资格的乙方委托进口货物除外）其应履行的合同义务。</w:t>
      </w:r>
    </w:p>
    <w:p>
      <w:pPr>
        <w:snapToGrid w:val="0"/>
        <w:spacing w:line="288" w:lineRule="auto"/>
        <w:ind w:firstLine="422" w:firstLineChars="200"/>
        <w:rPr>
          <w:rFonts w:ascii="Arial" w:hAnsi="Arial" w:cs="Arial"/>
          <w:b/>
          <w:color w:val="auto"/>
          <w:szCs w:val="21"/>
          <w:highlight w:val="none"/>
        </w:rPr>
      </w:pPr>
      <w:r>
        <w:rPr>
          <w:rFonts w:ascii="Arial" w:hAnsi="Arial" w:cs="Arial"/>
          <w:b/>
          <w:color w:val="auto"/>
          <w:szCs w:val="21"/>
          <w:highlight w:val="none"/>
        </w:rPr>
        <w:t>第十八条　签订本合同依据</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1.政府采购招标文件；</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2.乙方提供的投标文件；</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3.投标承诺书；</w:t>
      </w:r>
    </w:p>
    <w:p>
      <w:pPr>
        <w:snapToGrid w:val="0"/>
        <w:spacing w:line="288" w:lineRule="auto"/>
        <w:ind w:firstLine="420" w:firstLineChars="200"/>
        <w:rPr>
          <w:rFonts w:ascii="Arial" w:hAnsi="Arial" w:cs="Arial"/>
          <w:color w:val="auto"/>
          <w:szCs w:val="21"/>
          <w:highlight w:val="none"/>
          <w:u w:val="single"/>
        </w:rPr>
      </w:pPr>
      <w:r>
        <w:rPr>
          <w:rFonts w:ascii="Arial" w:hAnsi="Arial" w:cs="Arial"/>
          <w:color w:val="auto"/>
          <w:szCs w:val="21"/>
          <w:highlight w:val="none"/>
        </w:rPr>
        <w:t>4.中标通知书。</w:t>
      </w:r>
    </w:p>
    <w:p>
      <w:pPr>
        <w:snapToGrid w:val="0"/>
        <w:spacing w:line="288" w:lineRule="auto"/>
        <w:ind w:firstLine="422" w:firstLineChars="200"/>
        <w:rPr>
          <w:rFonts w:ascii="Arial" w:hAnsi="Arial" w:cs="Arial"/>
          <w:color w:val="auto"/>
          <w:szCs w:val="21"/>
          <w:highlight w:val="none"/>
        </w:rPr>
      </w:pPr>
      <w:r>
        <w:rPr>
          <w:rFonts w:ascii="Arial" w:hAnsi="Arial" w:cs="Arial"/>
          <w:b/>
          <w:color w:val="auto"/>
          <w:szCs w:val="21"/>
          <w:highlight w:val="none"/>
        </w:rPr>
        <w:t>第十九条　</w:t>
      </w:r>
      <w:r>
        <w:rPr>
          <w:rFonts w:ascii="Arial" w:hAnsi="Arial" w:cs="Arial"/>
          <w:color w:val="auto"/>
          <w:szCs w:val="21"/>
          <w:highlight w:val="none"/>
        </w:rPr>
        <w:t>本合同一式</w:t>
      </w:r>
      <w:r>
        <w:rPr>
          <w:rFonts w:ascii="Arial" w:hAnsi="Arial" w:cs="Arial"/>
          <w:color w:val="auto"/>
          <w:szCs w:val="21"/>
          <w:highlight w:val="none"/>
          <w:u w:val="single"/>
        </w:rPr>
        <w:t xml:space="preserve">   </w:t>
      </w:r>
      <w:r>
        <w:rPr>
          <w:rFonts w:ascii="Arial" w:hAnsi="Arial" w:cs="Arial"/>
          <w:color w:val="auto"/>
          <w:szCs w:val="21"/>
          <w:highlight w:val="none"/>
        </w:rPr>
        <w:t>份，具有同等法律效力。</w:t>
      </w:r>
      <w:r>
        <w:rPr>
          <w:rFonts w:ascii="Arial" w:hAnsi="Arial" w:cs="Arial"/>
          <w:color w:val="auto"/>
          <w:spacing w:val="4"/>
          <w:szCs w:val="21"/>
          <w:highlight w:val="none"/>
        </w:rPr>
        <w:t>政府采购监督管理部门、采购代理机构</w:t>
      </w:r>
      <w:r>
        <w:rPr>
          <w:rFonts w:ascii="Arial" w:hAnsi="Arial" w:cs="Arial"/>
          <w:color w:val="auto"/>
          <w:szCs w:val="21"/>
          <w:highlight w:val="none"/>
        </w:rPr>
        <w:t>各一份，甲方</w:t>
      </w:r>
      <w:r>
        <w:rPr>
          <w:rFonts w:ascii="Arial" w:hAnsi="Arial" w:cs="Arial"/>
          <w:color w:val="auto"/>
          <w:szCs w:val="21"/>
          <w:highlight w:val="none"/>
          <w:u w:val="single"/>
        </w:rPr>
        <w:t xml:space="preserve">   </w:t>
      </w:r>
      <w:r>
        <w:rPr>
          <w:rFonts w:ascii="Arial" w:hAnsi="Arial" w:cs="Arial"/>
          <w:color w:val="auto"/>
          <w:szCs w:val="21"/>
          <w:highlight w:val="none"/>
        </w:rPr>
        <w:t>份，乙方</w:t>
      </w:r>
      <w:r>
        <w:rPr>
          <w:rFonts w:ascii="Arial" w:hAnsi="Arial" w:cs="Arial"/>
          <w:color w:val="auto"/>
          <w:szCs w:val="21"/>
          <w:highlight w:val="none"/>
          <w:u w:val="single"/>
        </w:rPr>
        <w:t xml:space="preserve">   </w:t>
      </w:r>
      <w:r>
        <w:rPr>
          <w:rFonts w:ascii="Arial" w:hAnsi="Arial" w:cs="Arial"/>
          <w:color w:val="auto"/>
          <w:szCs w:val="21"/>
          <w:highlight w:val="none"/>
        </w:rPr>
        <w:t>份。</w:t>
      </w:r>
    </w:p>
    <w:p>
      <w:pPr>
        <w:snapToGrid w:val="0"/>
        <w:spacing w:line="288" w:lineRule="auto"/>
        <w:ind w:firstLine="420" w:firstLineChars="200"/>
        <w:rPr>
          <w:rFonts w:ascii="Arial" w:hAnsi="Arial" w:cs="Arial"/>
          <w:color w:val="auto"/>
          <w:szCs w:val="21"/>
          <w:highlight w:val="none"/>
        </w:rPr>
      </w:pPr>
      <w:r>
        <w:rPr>
          <w:rFonts w:ascii="Arial" w:hAnsi="Arial" w:cs="Arial"/>
          <w:color w:val="auto"/>
          <w:szCs w:val="21"/>
          <w:highlight w:val="none"/>
        </w:rPr>
        <w:t>本合同经甲乙双方法定代表人或授权代表签字并加盖单位公章后生效。</w:t>
      </w:r>
    </w:p>
    <w:tbl>
      <w:tblPr>
        <w:tblStyle w:val="53"/>
        <w:tblW w:w="91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37"/>
        <w:gridCol w:w="4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5"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 xml:space="preserve">甲方（章）           </w:t>
            </w:r>
          </w:p>
          <w:p>
            <w:pPr>
              <w:snapToGrid w:val="0"/>
              <w:spacing w:line="288" w:lineRule="auto"/>
              <w:rPr>
                <w:rFonts w:ascii="Arial" w:hAnsi="Arial" w:cs="Arial"/>
                <w:color w:val="auto"/>
                <w:szCs w:val="21"/>
                <w:highlight w:val="none"/>
              </w:rPr>
            </w:pPr>
          </w:p>
          <w:p>
            <w:pPr>
              <w:snapToGrid w:val="0"/>
              <w:spacing w:line="288" w:lineRule="auto"/>
              <w:rPr>
                <w:rFonts w:ascii="Arial" w:hAnsi="Arial" w:cs="Arial"/>
                <w:color w:val="auto"/>
                <w:szCs w:val="21"/>
                <w:highlight w:val="none"/>
              </w:rPr>
            </w:pPr>
          </w:p>
          <w:p>
            <w:pPr>
              <w:snapToGrid w:val="0"/>
              <w:spacing w:line="288" w:lineRule="auto"/>
              <w:ind w:firstLine="945" w:firstLineChars="450"/>
              <w:jc w:val="right"/>
              <w:rPr>
                <w:rFonts w:ascii="Arial" w:hAnsi="Arial" w:cs="Arial"/>
                <w:color w:val="auto"/>
                <w:szCs w:val="21"/>
                <w:highlight w:val="none"/>
              </w:rPr>
            </w:pPr>
            <w:r>
              <w:rPr>
                <w:rFonts w:ascii="Arial" w:hAnsi="Arial" w:cs="Arial"/>
                <w:color w:val="auto"/>
                <w:szCs w:val="21"/>
                <w:highlight w:val="none"/>
              </w:rPr>
              <w:t>年   月   日</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 xml:space="preserve">乙方（章）              </w:t>
            </w:r>
          </w:p>
          <w:p>
            <w:pPr>
              <w:snapToGrid w:val="0"/>
              <w:spacing w:line="288" w:lineRule="auto"/>
              <w:rPr>
                <w:rFonts w:ascii="Arial" w:hAnsi="Arial" w:cs="Arial"/>
                <w:color w:val="auto"/>
                <w:szCs w:val="21"/>
                <w:highlight w:val="none"/>
              </w:rPr>
            </w:pPr>
          </w:p>
          <w:p>
            <w:pPr>
              <w:snapToGrid w:val="0"/>
              <w:spacing w:line="288" w:lineRule="auto"/>
              <w:rPr>
                <w:rFonts w:ascii="Arial" w:hAnsi="Arial" w:cs="Arial"/>
                <w:color w:val="auto"/>
                <w:szCs w:val="21"/>
                <w:highlight w:val="none"/>
              </w:rPr>
            </w:pPr>
          </w:p>
          <w:p>
            <w:pPr>
              <w:snapToGrid w:val="0"/>
              <w:spacing w:line="288" w:lineRule="auto"/>
              <w:jc w:val="right"/>
              <w:rPr>
                <w:rFonts w:ascii="Arial" w:hAnsi="Arial" w:cs="Arial"/>
                <w:color w:val="auto"/>
                <w:szCs w:val="21"/>
                <w:highlight w:val="none"/>
              </w:rPr>
            </w:pPr>
            <w:r>
              <w:rPr>
                <w:rFonts w:ascii="Arial" w:hAnsi="Arial" w:cs="Arial"/>
                <w:color w:val="auto"/>
                <w:szCs w:val="21"/>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单位地址：</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法定代表人：</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委托代理人：</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电话：</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电子邮箱：</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开户银行：</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账号：</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4437"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邮政编码：</w:t>
            </w:r>
          </w:p>
        </w:tc>
        <w:tc>
          <w:tcPr>
            <w:tcW w:w="4688" w:type="dxa"/>
            <w:vAlign w:val="center"/>
          </w:tcPr>
          <w:p>
            <w:pPr>
              <w:snapToGrid w:val="0"/>
              <w:spacing w:line="288" w:lineRule="auto"/>
              <w:rPr>
                <w:rFonts w:ascii="Arial" w:hAnsi="Arial" w:cs="Arial"/>
                <w:color w:val="auto"/>
                <w:szCs w:val="21"/>
                <w:highlight w:val="none"/>
              </w:rPr>
            </w:pPr>
            <w:r>
              <w:rPr>
                <w:rFonts w:ascii="Arial" w:hAnsi="Arial" w:cs="Arial"/>
                <w:color w:val="auto"/>
                <w:szCs w:val="21"/>
                <w:highlight w:val="none"/>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1" w:hRule="atLeast"/>
        </w:trPr>
        <w:tc>
          <w:tcPr>
            <w:tcW w:w="9125" w:type="dxa"/>
            <w:gridSpan w:val="2"/>
            <w:vAlign w:val="top"/>
          </w:tcPr>
          <w:p>
            <w:pPr>
              <w:snapToGrid w:val="0"/>
              <w:spacing w:line="288" w:lineRule="auto"/>
              <w:rPr>
                <w:rFonts w:ascii="Arial" w:hAnsi="Arial" w:cs="Arial"/>
                <w:color w:val="auto"/>
                <w:szCs w:val="21"/>
                <w:highlight w:val="none"/>
              </w:rPr>
            </w:pPr>
            <w:r>
              <w:rPr>
                <w:rFonts w:ascii="Arial" w:hAnsi="Arial" w:cs="Arial"/>
                <w:color w:val="auto"/>
                <w:szCs w:val="21"/>
                <w:highlight w:val="none"/>
              </w:rPr>
              <w:t>经办人：</w:t>
            </w:r>
          </w:p>
          <w:p>
            <w:pPr>
              <w:snapToGrid w:val="0"/>
              <w:spacing w:line="288" w:lineRule="auto"/>
              <w:ind w:firstLine="630" w:firstLineChars="300"/>
              <w:jc w:val="right"/>
              <w:rPr>
                <w:rFonts w:ascii="Arial" w:hAnsi="Arial" w:cs="Arial"/>
                <w:color w:val="auto"/>
                <w:szCs w:val="21"/>
                <w:highlight w:val="none"/>
              </w:rPr>
            </w:pPr>
            <w:r>
              <w:rPr>
                <w:rFonts w:ascii="Arial" w:hAnsi="Arial" w:cs="Arial"/>
                <w:color w:val="auto"/>
                <w:szCs w:val="21"/>
                <w:highlight w:val="none"/>
              </w:rPr>
              <w:t>年    月    日</w:t>
            </w:r>
          </w:p>
        </w:tc>
      </w:tr>
    </w:tbl>
    <w:p>
      <w:pPr>
        <w:widowControl/>
        <w:spacing w:line="288" w:lineRule="auto"/>
        <w:jc w:val="left"/>
        <w:rPr>
          <w:rFonts w:ascii="Arial" w:hAnsi="Arial" w:cs="Arial"/>
          <w:color w:val="auto"/>
          <w:spacing w:val="-10"/>
          <w:kern w:val="0"/>
          <w:szCs w:val="21"/>
          <w:highlight w:val="none"/>
        </w:rPr>
      </w:pPr>
      <w:r>
        <w:rPr>
          <w:rFonts w:ascii="Arial" w:hAnsi="Arial" w:cs="Arial"/>
          <w:color w:val="auto"/>
          <w:szCs w:val="21"/>
          <w:highlight w:val="none"/>
        </w:rPr>
        <w:br w:type="page"/>
      </w:r>
    </w:p>
    <w:p>
      <w:pPr>
        <w:spacing w:before="120" w:line="320" w:lineRule="exact"/>
        <w:rPr>
          <w:rFonts w:hint="default" w:ascii="Arial" w:hAnsi="Arial" w:eastAsia="宋体" w:cs="Arial"/>
          <w:color w:val="auto"/>
          <w:highlight w:val="none"/>
          <w:lang w:val="en-US" w:eastAsia="zh-CN"/>
        </w:rPr>
      </w:pPr>
      <w:r>
        <w:rPr>
          <w:rFonts w:hint="default" w:ascii="Arial" w:hAnsi="Arial" w:eastAsia="宋体" w:cs="Arial"/>
          <w:color w:val="auto"/>
          <w:highlight w:val="none"/>
          <w:lang w:val="en-US" w:eastAsia="zh-CN"/>
        </w:rPr>
        <w:t>附：</w:t>
      </w:r>
    </w:p>
    <w:p>
      <w:pPr>
        <w:spacing w:line="560" w:lineRule="exact"/>
        <w:ind w:firstLine="800" w:firstLineChars="200"/>
        <w:jc w:val="center"/>
        <w:rPr>
          <w:rFonts w:hint="default" w:ascii="Arial" w:hAnsi="Arial" w:eastAsia="宋体" w:cs="Arial"/>
          <w:color w:val="auto"/>
          <w:sz w:val="40"/>
          <w:szCs w:val="40"/>
          <w:highlight w:val="none"/>
        </w:rPr>
      </w:pPr>
      <w:r>
        <w:rPr>
          <w:rFonts w:hint="default" w:ascii="Arial" w:hAnsi="Arial" w:eastAsia="宋体" w:cs="Arial"/>
          <w:color w:val="auto"/>
          <w:sz w:val="40"/>
          <w:szCs w:val="40"/>
          <w:highlight w:val="none"/>
        </w:rPr>
        <w:t>履约验收方案</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val="en-US" w:eastAsia="zh-CN"/>
        </w:rPr>
      </w:pPr>
      <w:r>
        <w:rPr>
          <w:rFonts w:hint="default" w:ascii="Arial" w:hAnsi="Arial" w:eastAsia="宋体" w:cs="Arial"/>
          <w:color w:val="auto"/>
          <w:sz w:val="21"/>
          <w:szCs w:val="21"/>
          <w:highlight w:val="none"/>
          <w:lang w:val="en-US" w:eastAsia="zh-CN"/>
        </w:rPr>
        <w:t>1.验收过程中所产生的一切费用均由中标供应商承担。报价时应考虑相关费用。</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val="en-US" w:eastAsia="zh-CN"/>
        </w:rPr>
      </w:pPr>
      <w:r>
        <w:rPr>
          <w:rFonts w:hint="default" w:ascii="Arial" w:hAnsi="Arial" w:eastAsia="宋体" w:cs="Arial"/>
          <w:color w:val="auto"/>
          <w:sz w:val="21"/>
          <w:szCs w:val="21"/>
          <w:highlight w:val="none"/>
          <w:lang w:val="en-US" w:eastAsia="zh-CN"/>
        </w:rPr>
        <w:t>2.中标供应商在项目验收时由采购单位或采购单位委托的第三方验收小组对照采购文件及响应文件中的“技术参数及性能（配置）要求”全面核对检验产品，如不符合采购文件、响应文件要求的，中标供应商必须在采购人指定的时间内无条件更换，由此造成的损失和责任由中标供应商承担。更换后，采购人对所更换的货物进行检验，验收仍不合格的，采购人有权解除合同并追究该供应商的法律责任。</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1.包1</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（1）履约验收主体</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采购人：</w:t>
      </w:r>
      <w:r>
        <w:rPr>
          <w:rFonts w:hint="default" w:ascii="Arial" w:hAnsi="Arial" w:eastAsia="宋体" w:cs="Arial"/>
          <w:color w:val="auto"/>
          <w:sz w:val="21"/>
          <w:szCs w:val="21"/>
          <w:highlight w:val="none"/>
          <w:u w:val="single"/>
        </w:rPr>
        <w:t xml:space="preserve"> </w:t>
      </w:r>
      <w:r>
        <w:rPr>
          <w:rFonts w:hint="default" w:ascii="Arial" w:hAnsi="Arial" w:eastAsia="宋体" w:cs="Arial"/>
          <w:color w:val="auto"/>
          <w:sz w:val="21"/>
          <w:szCs w:val="21"/>
          <w:highlight w:val="none"/>
          <w:u w:val="single"/>
          <w:lang w:eastAsia="zh-CN"/>
        </w:rPr>
        <w:t>广西壮族自治区第四强制隔离戒毒所</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□采购代理机构：</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□本项目的其他供应商：</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□第三方专业机构：</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□专家：</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□服务对象：</w:t>
      </w:r>
      <w:r>
        <w:rPr>
          <w:rFonts w:hint="default" w:ascii="Arial" w:hAnsi="Arial" w:eastAsia="宋体" w:cs="Arial"/>
          <w:color w:val="auto"/>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□其他：</w:t>
      </w:r>
      <w:r>
        <w:rPr>
          <w:rFonts w:hint="default" w:ascii="Arial" w:hAnsi="Arial" w:eastAsia="宋体" w:cs="Arial"/>
          <w:color w:val="auto"/>
          <w:sz w:val="21"/>
          <w:szCs w:val="21"/>
          <w:highlight w:val="none"/>
          <w:u w:val="single"/>
        </w:rPr>
        <w:t xml:space="preserve">                               </w:t>
      </w:r>
    </w:p>
    <w:p>
      <w:pPr>
        <w:keepNext w:val="0"/>
        <w:keepLines w:val="0"/>
        <w:pageBreakBefore w:val="0"/>
        <w:widowControl w:val="0"/>
        <w:numPr>
          <w:ilvl w:val="0"/>
          <w:numId w:val="9"/>
        </w:numPr>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履约验收时间</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none"/>
          <w:lang w:eastAsia="zh-CN"/>
        </w:rPr>
      </w:pPr>
      <w:r>
        <w:rPr>
          <w:rFonts w:hint="default" w:ascii="Arial" w:hAnsi="Arial" w:eastAsia="宋体" w:cs="Arial"/>
          <w:color w:val="auto"/>
          <w:sz w:val="21"/>
          <w:szCs w:val="21"/>
          <w:highlight w:val="none"/>
          <w:u w:val="none"/>
          <w:lang w:eastAsia="zh-CN"/>
        </w:rPr>
        <w:t>按照采购合同规定时间进行履约验收。</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（3）履约验收方式</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eastAsia="zh-CN"/>
        </w:rPr>
      </w:pPr>
      <w:r>
        <w:rPr>
          <w:rFonts w:hint="default" w:ascii="Arial" w:hAnsi="Arial" w:eastAsia="宋体" w:cs="Arial"/>
          <w:color w:val="auto"/>
          <w:sz w:val="21"/>
          <w:szCs w:val="21"/>
          <w:highlight w:val="none"/>
          <w:lang w:eastAsia="zh-CN"/>
        </w:rPr>
        <w:t>现场交货验收。</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（4）履约验收程序</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eastAsia="zh-CN"/>
        </w:rPr>
        <w:t>由采购人堆货物或服务的质量、规格和数量及其他进行检验。验收不合格时，中标单位必须在采购人指定的时间内无条件更换，由此造成的损失和责任由</w:t>
      </w:r>
      <w:r>
        <w:rPr>
          <w:rFonts w:hint="default" w:ascii="Arial" w:hAnsi="Arial" w:eastAsia="宋体" w:cs="Arial"/>
          <w:color w:val="auto"/>
          <w:sz w:val="21"/>
          <w:szCs w:val="21"/>
          <w:highlight w:val="none"/>
          <w:lang w:val="en-US" w:eastAsia="zh-CN"/>
        </w:rPr>
        <w:t>中标单位承担。更换后，采购人对所更换的货物进行检验，检验仍不合格将取消中标单位中标资格。</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（5）履约验收内容</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eastAsia="zh-CN"/>
        </w:rPr>
      </w:pPr>
      <w:r>
        <w:rPr>
          <w:rFonts w:hint="default" w:ascii="Arial" w:hAnsi="Arial" w:eastAsia="宋体" w:cs="Arial"/>
          <w:color w:val="auto"/>
          <w:sz w:val="21"/>
          <w:szCs w:val="21"/>
          <w:highlight w:val="none"/>
          <w:lang w:eastAsia="zh-CN"/>
        </w:rPr>
        <w:t>由采购人队虎屋或服务的质量、规格和数量及其他进行检验。</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（6）履约验收验收标准</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none"/>
          <w:lang w:eastAsia="zh-CN"/>
        </w:rPr>
      </w:pPr>
      <w:r>
        <w:rPr>
          <w:rFonts w:hint="default" w:ascii="Arial" w:hAnsi="Arial" w:eastAsia="宋体" w:cs="Arial"/>
          <w:color w:val="auto"/>
          <w:sz w:val="21"/>
          <w:szCs w:val="21"/>
          <w:highlight w:val="none"/>
          <w:u w:val="none"/>
          <w:lang w:eastAsia="zh-CN"/>
        </w:rPr>
        <w:t>按照采购标的需执行的国家标准、行业标准、地方标准或其他标准、规范。</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（7）履约验收其他事项</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u w:val="none"/>
          <w:lang w:eastAsia="zh-CN"/>
        </w:rPr>
        <w:t>无。</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（五）风险管控措施</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val="en-US" w:eastAsia="zh-CN"/>
        </w:rPr>
      </w:pPr>
      <w:r>
        <w:rPr>
          <w:rFonts w:hint="default" w:ascii="Arial" w:hAnsi="Arial" w:eastAsia="宋体" w:cs="Arial"/>
          <w:color w:val="auto"/>
          <w:sz w:val="21"/>
          <w:szCs w:val="21"/>
          <w:highlight w:val="none"/>
          <w:lang w:val="en-US" w:eastAsia="zh-CN"/>
        </w:rPr>
        <w:t>1.在合同有效期内，任何一方因不可抗力事件（含政府行为，下同）导致不能履行合同，则合同履行期可延长，其延长与不可抗力影响期相同。</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val="en-US" w:eastAsia="zh-CN"/>
        </w:rPr>
      </w:pPr>
      <w:r>
        <w:rPr>
          <w:rFonts w:hint="default" w:ascii="Arial" w:hAnsi="Arial" w:eastAsia="宋体" w:cs="Arial"/>
          <w:color w:val="auto"/>
          <w:sz w:val="21"/>
          <w:szCs w:val="21"/>
          <w:highlight w:val="none"/>
          <w:lang w:val="en-US" w:eastAsia="zh-CN"/>
        </w:rPr>
        <w:t>2.不可抗力事件发生后，应立即通知对方，并寄送有关权威机构出具的证明。</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val="en-US" w:eastAsia="zh-CN"/>
        </w:rPr>
      </w:pPr>
      <w:r>
        <w:rPr>
          <w:rFonts w:hint="default" w:ascii="Arial" w:hAnsi="Arial" w:eastAsia="宋体" w:cs="Arial"/>
          <w:color w:val="auto"/>
          <w:sz w:val="21"/>
          <w:szCs w:val="21"/>
          <w:highlight w:val="none"/>
          <w:lang w:val="en-US" w:eastAsia="zh-CN"/>
        </w:rPr>
        <w:t>3.不可抗力事件延续一百二十天以上，双方应通过友好协商，确定是否继续履行合同。</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1.包1</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none"/>
          <w:lang w:eastAsia="zh-CN"/>
        </w:rPr>
      </w:pPr>
      <w:r>
        <w:rPr>
          <w:rFonts w:hint="default" w:ascii="Arial" w:hAnsi="Arial" w:eastAsia="宋体" w:cs="Arial"/>
          <w:color w:val="auto"/>
          <w:sz w:val="21"/>
          <w:szCs w:val="21"/>
          <w:highlight w:val="none"/>
        </w:rPr>
        <w:t>（1）国家政策变化应对措施：</w:t>
      </w:r>
      <w:r>
        <w:rPr>
          <w:rFonts w:hint="default" w:ascii="Arial" w:hAnsi="Arial" w:eastAsia="宋体" w:cs="Arial"/>
          <w:color w:val="auto"/>
          <w:sz w:val="21"/>
          <w:szCs w:val="21"/>
          <w:highlight w:val="none"/>
          <w:u w:val="none"/>
        </w:rPr>
        <w:t xml:space="preserve"> </w:t>
      </w:r>
      <w:r>
        <w:rPr>
          <w:rFonts w:hint="default" w:ascii="Arial" w:hAnsi="Arial" w:eastAsia="宋体" w:cs="Arial"/>
          <w:color w:val="auto"/>
          <w:sz w:val="21"/>
          <w:szCs w:val="21"/>
          <w:highlight w:val="none"/>
          <w:u w:val="none"/>
          <w:lang w:eastAsia="zh-CN"/>
        </w:rPr>
        <w:t>与供应商友好协商解决。</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（2）实施环境变化应对措施：</w:t>
      </w:r>
      <w:r>
        <w:rPr>
          <w:rFonts w:hint="default" w:ascii="Arial" w:hAnsi="Arial" w:eastAsia="宋体" w:cs="Arial"/>
          <w:color w:val="auto"/>
          <w:sz w:val="21"/>
          <w:szCs w:val="21"/>
          <w:highlight w:val="none"/>
          <w:u w:val="none"/>
          <w:lang w:eastAsia="zh-CN"/>
        </w:rPr>
        <w:t>与供应商友好协商解决。</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none"/>
          <w:lang w:eastAsia="zh-CN"/>
        </w:rPr>
      </w:pPr>
      <w:r>
        <w:rPr>
          <w:rFonts w:hint="default" w:ascii="Arial" w:hAnsi="Arial" w:eastAsia="宋体" w:cs="Arial"/>
          <w:color w:val="auto"/>
          <w:sz w:val="21"/>
          <w:szCs w:val="21"/>
          <w:highlight w:val="none"/>
        </w:rPr>
        <w:t>（3）重大技术变化应对措施：</w:t>
      </w:r>
      <w:r>
        <w:rPr>
          <w:rFonts w:hint="default" w:ascii="Arial" w:hAnsi="Arial" w:eastAsia="宋体" w:cs="Arial"/>
          <w:color w:val="auto"/>
          <w:sz w:val="21"/>
          <w:szCs w:val="21"/>
          <w:highlight w:val="none"/>
          <w:u w:val="none"/>
          <w:lang w:eastAsia="zh-CN"/>
        </w:rPr>
        <w:t>与供应商友好协商解决。</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single"/>
          <w:lang w:eastAsia="zh-CN"/>
        </w:rPr>
      </w:pPr>
      <w:r>
        <w:rPr>
          <w:rFonts w:hint="default" w:ascii="Arial" w:hAnsi="Arial" w:eastAsia="宋体" w:cs="Arial"/>
          <w:color w:val="auto"/>
          <w:sz w:val="21"/>
          <w:szCs w:val="21"/>
          <w:highlight w:val="none"/>
        </w:rPr>
        <w:t>（4）预算项目调整应对措施：</w:t>
      </w:r>
      <w:r>
        <w:rPr>
          <w:rFonts w:hint="default" w:ascii="Arial" w:hAnsi="Arial" w:eastAsia="宋体" w:cs="Arial"/>
          <w:color w:val="auto"/>
          <w:sz w:val="21"/>
          <w:szCs w:val="21"/>
          <w:highlight w:val="none"/>
          <w:lang w:eastAsia="zh-CN"/>
        </w:rPr>
        <w:t>申请采购计划变更，调整采购预算。</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（5）因质疑投诉影响采购进度应对措施：</w:t>
      </w:r>
      <w:r>
        <w:rPr>
          <w:rFonts w:hint="default" w:ascii="Arial" w:hAnsi="Arial" w:eastAsia="宋体" w:cs="Arial"/>
          <w:color w:val="auto"/>
          <w:sz w:val="21"/>
          <w:szCs w:val="21"/>
          <w:highlight w:val="none"/>
          <w:lang w:eastAsia="zh-CN"/>
        </w:rPr>
        <w:t>按照规定处理质疑投诉，视情况修改采购需求或延期开标。</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（6）采购失败应对措施：</w:t>
      </w:r>
      <w:r>
        <w:rPr>
          <w:rFonts w:hint="default" w:ascii="Arial" w:hAnsi="Arial" w:eastAsia="宋体" w:cs="Arial"/>
          <w:color w:val="auto"/>
          <w:sz w:val="21"/>
          <w:szCs w:val="21"/>
          <w:highlight w:val="none"/>
          <w:lang w:eastAsia="zh-CN"/>
        </w:rPr>
        <w:t>分析采购失败原因，重新组织采购。</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u w:val="none"/>
          <w:lang w:eastAsia="zh-CN"/>
        </w:rPr>
      </w:pPr>
      <w:r>
        <w:rPr>
          <w:rFonts w:hint="default" w:ascii="Arial" w:hAnsi="Arial" w:eastAsia="宋体" w:cs="Arial"/>
          <w:color w:val="auto"/>
          <w:sz w:val="21"/>
          <w:szCs w:val="21"/>
          <w:highlight w:val="none"/>
        </w:rPr>
        <w:t>（7）不按规定签订或者履行合同应对措施：</w:t>
      </w:r>
      <w:r>
        <w:rPr>
          <w:rFonts w:hint="default" w:ascii="Arial" w:hAnsi="Arial" w:eastAsia="宋体" w:cs="Arial"/>
          <w:color w:val="auto"/>
          <w:sz w:val="21"/>
          <w:szCs w:val="21"/>
          <w:highlight w:val="none"/>
          <w:u w:val="none"/>
        </w:rPr>
        <w:t xml:space="preserve"> </w:t>
      </w:r>
      <w:r>
        <w:rPr>
          <w:rFonts w:hint="default" w:ascii="Arial" w:hAnsi="Arial" w:eastAsia="宋体" w:cs="Arial"/>
          <w:color w:val="auto"/>
          <w:sz w:val="21"/>
          <w:szCs w:val="21"/>
          <w:highlight w:val="none"/>
          <w:u w:val="none"/>
          <w:lang w:eastAsia="zh-CN"/>
        </w:rPr>
        <w:t>中标供应商拒绝与采购人签订合同的，采购人可以按照评审报告推荐的中标或者成交候选人名单排序，确认洗衣歌候选人为中标或者成交供应商，也可以重新开展政府采购活动。</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jc w:val="left"/>
        <w:textAlignment w:val="auto"/>
        <w:rPr>
          <w:rFonts w:hint="default"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（8）出现损害国家利益和社会公共利益情形应对措施：</w:t>
      </w:r>
      <w:r>
        <w:rPr>
          <w:rFonts w:hint="default" w:ascii="Arial" w:hAnsi="Arial" w:eastAsia="宋体" w:cs="Arial"/>
          <w:color w:val="auto"/>
          <w:sz w:val="21"/>
          <w:szCs w:val="21"/>
          <w:highlight w:val="none"/>
          <w:lang w:eastAsia="zh-CN"/>
        </w:rPr>
        <w:t>取消采购任务。</w:t>
      </w:r>
    </w:p>
    <w:p>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hint="default" w:ascii="Arial" w:hAnsi="Arial" w:eastAsia="宋体" w:cs="Arial"/>
          <w:color w:val="auto"/>
          <w:sz w:val="21"/>
          <w:szCs w:val="21"/>
          <w:highlight w:val="none"/>
        </w:rPr>
      </w:pPr>
    </w:p>
    <w:p>
      <w:pPr>
        <w:spacing w:before="120" w:line="320" w:lineRule="exact"/>
        <w:rPr>
          <w:rFonts w:hint="default" w:ascii="Arial" w:hAnsi="Arial" w:eastAsia="宋体" w:cs="Arial"/>
          <w:color w:val="auto"/>
          <w:highlight w:val="none"/>
        </w:rPr>
      </w:pPr>
      <w:r>
        <w:rPr>
          <w:rFonts w:hint="default" w:ascii="Arial" w:hAnsi="Arial" w:eastAsia="宋体" w:cs="Arial"/>
          <w:color w:val="auto"/>
          <w:highlight w:val="none"/>
        </w:rPr>
        <w:br w:type="page"/>
      </w:r>
    </w:p>
    <w:p>
      <w:pPr>
        <w:pStyle w:val="29"/>
        <w:snapToGrid w:val="0"/>
        <w:spacing w:before="120" w:after="120" w:line="320" w:lineRule="exact"/>
        <w:jc w:val="center"/>
        <w:outlineLvl w:val="0"/>
        <w:rPr>
          <w:rFonts w:hint="default" w:ascii="Arial" w:hAnsi="Arial" w:eastAsia="宋体" w:cs="Arial"/>
          <w:color w:val="auto"/>
          <w:sz w:val="32"/>
          <w:szCs w:val="32"/>
          <w:highlight w:val="none"/>
        </w:rPr>
      </w:pPr>
      <w:bookmarkStart w:id="47" w:name="_Toc21747"/>
      <w:r>
        <w:rPr>
          <w:rFonts w:hint="default" w:ascii="Arial" w:hAnsi="Arial" w:eastAsia="宋体" w:cs="Arial"/>
          <w:color w:val="auto"/>
          <w:sz w:val="32"/>
          <w:szCs w:val="32"/>
          <w:highlight w:val="none"/>
        </w:rPr>
        <w:t>第六章  投标文件格式</w:t>
      </w:r>
      <w:bookmarkEnd w:id="47"/>
    </w:p>
    <w:p>
      <w:pPr>
        <w:rPr>
          <w:rFonts w:hint="default" w:ascii="Arial" w:hAnsi="Arial" w:eastAsia="宋体" w:cs="Arial"/>
          <w:color w:val="auto"/>
          <w:sz w:val="28"/>
          <w:szCs w:val="28"/>
          <w:highlight w:val="none"/>
        </w:rPr>
      </w:pPr>
    </w:p>
    <w:p>
      <w:pPr>
        <w:rPr>
          <w:rFonts w:hint="default" w:ascii="Arial" w:hAnsi="Arial" w:eastAsia="宋体" w:cs="Arial"/>
          <w:color w:val="auto"/>
          <w:sz w:val="28"/>
          <w:szCs w:val="28"/>
          <w:highlight w:val="none"/>
        </w:rPr>
      </w:pPr>
    </w:p>
    <w:p>
      <w:pPr>
        <w:spacing w:line="500" w:lineRule="exact"/>
        <w:ind w:firstLine="560" w:firstLineChars="200"/>
        <w:rPr>
          <w:rFonts w:hint="default" w:ascii="Arial" w:hAnsi="Arial" w:eastAsia="宋体" w:cs="Arial"/>
          <w:color w:val="auto"/>
          <w:sz w:val="28"/>
          <w:szCs w:val="28"/>
          <w:highlight w:val="none"/>
        </w:rPr>
      </w:pPr>
      <w:bookmarkStart w:id="48" w:name="_Hlk19114175"/>
      <w:r>
        <w:rPr>
          <w:rFonts w:hint="default" w:ascii="Arial" w:hAnsi="Arial" w:eastAsia="宋体" w:cs="Arial"/>
          <w:color w:val="auto"/>
          <w:sz w:val="28"/>
          <w:szCs w:val="28"/>
          <w:highlight w:val="none"/>
        </w:rPr>
        <w:t>注：本章标注“必须提供”的，应按要求必须提供；有签字、盖章要求的应按要求签字、盖章。未标注“必须提供”的，供应商可自行决定是否提供。</w:t>
      </w:r>
    </w:p>
    <w:bookmarkEnd w:id="48"/>
    <w:p>
      <w:pPr>
        <w:spacing w:line="500" w:lineRule="exact"/>
        <w:ind w:firstLine="480" w:firstLineChars="200"/>
        <w:rPr>
          <w:rFonts w:hint="default" w:ascii="Arial" w:hAnsi="Arial" w:eastAsia="宋体" w:cs="Arial"/>
          <w:color w:val="auto"/>
          <w:sz w:val="24"/>
          <w:highlight w:val="none"/>
        </w:rPr>
      </w:pPr>
    </w:p>
    <w:p>
      <w:pPr>
        <w:spacing w:line="500" w:lineRule="exact"/>
        <w:ind w:firstLine="480" w:firstLineChars="200"/>
        <w:rPr>
          <w:rFonts w:hint="default" w:ascii="Arial" w:hAnsi="Arial" w:eastAsia="宋体" w:cs="Arial"/>
          <w:bCs/>
          <w:color w:val="auto"/>
          <w:sz w:val="24"/>
          <w:highlight w:val="none"/>
        </w:rPr>
      </w:pPr>
      <w:r>
        <w:rPr>
          <w:rFonts w:hint="default" w:ascii="Arial" w:hAnsi="Arial" w:eastAsia="宋体" w:cs="Arial"/>
          <w:color w:val="auto"/>
          <w:sz w:val="24"/>
          <w:highlight w:val="none"/>
        </w:rPr>
        <w:br w:type="page"/>
      </w:r>
      <w:bookmarkEnd w:id="0"/>
      <w:bookmarkEnd w:id="1"/>
      <w:r>
        <w:rPr>
          <w:rFonts w:hint="default" w:ascii="Arial" w:hAnsi="Arial" w:eastAsia="宋体" w:cs="Arial"/>
          <w:bCs/>
          <w:color w:val="auto"/>
          <w:sz w:val="24"/>
          <w:highlight w:val="none"/>
        </w:rPr>
        <w:t>一、投标文件第1个密封袋的包装封面参考格式：</w:t>
      </w:r>
    </w:p>
    <w:p>
      <w:pPr>
        <w:rPr>
          <w:rFonts w:hint="default" w:ascii="Arial" w:hAnsi="Arial" w:eastAsia="宋体" w:cs="Arial"/>
          <w:color w:val="auto"/>
          <w:highlight w:val="none"/>
        </w:rPr>
      </w:pPr>
    </w:p>
    <w:p>
      <w:pPr>
        <w:snapToGrid w:val="0"/>
        <w:spacing w:beforeLines="50" w:after="50" w:line="440" w:lineRule="exact"/>
        <w:jc w:val="center"/>
        <w:rPr>
          <w:rFonts w:hint="default" w:ascii="Arial" w:hAnsi="Arial" w:eastAsia="宋体" w:cs="Arial"/>
          <w:bCs/>
          <w:color w:val="auto"/>
          <w:sz w:val="24"/>
          <w:highlight w:val="none"/>
        </w:rPr>
      </w:pPr>
    </w:p>
    <w:p>
      <w:pPr>
        <w:snapToGrid w:val="0"/>
        <w:spacing w:beforeLines="50" w:after="50" w:line="440" w:lineRule="exact"/>
        <w:jc w:val="center"/>
        <w:rPr>
          <w:rFonts w:hint="default" w:ascii="Arial" w:hAnsi="Arial" w:eastAsia="宋体" w:cs="Arial"/>
          <w:b/>
          <w:bCs/>
          <w:color w:val="auto"/>
          <w:sz w:val="44"/>
          <w:szCs w:val="44"/>
          <w:highlight w:val="none"/>
        </w:rPr>
      </w:pPr>
      <w:r>
        <w:rPr>
          <w:rFonts w:hint="default" w:ascii="Arial" w:hAnsi="Arial" w:eastAsia="宋体" w:cs="Arial"/>
          <w:b/>
          <w:bCs/>
          <w:color w:val="auto"/>
          <w:sz w:val="44"/>
          <w:szCs w:val="44"/>
          <w:highlight w:val="none"/>
        </w:rPr>
        <w:t>投 标 文 件</w:t>
      </w:r>
    </w:p>
    <w:p>
      <w:pPr>
        <w:snapToGrid w:val="0"/>
        <w:spacing w:beforeLines="50" w:after="50" w:line="440" w:lineRule="exact"/>
        <w:rPr>
          <w:rFonts w:hint="default" w:ascii="Arial" w:hAnsi="Arial" w:eastAsia="宋体" w:cs="Arial"/>
          <w:bCs/>
          <w:color w:val="auto"/>
          <w:sz w:val="24"/>
          <w:highlight w:val="none"/>
        </w:rPr>
      </w:pPr>
    </w:p>
    <w:p>
      <w:pPr>
        <w:snapToGrid w:val="0"/>
        <w:spacing w:beforeLines="50" w:after="50" w:line="44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 xml:space="preserve">项目名称： </w:t>
      </w:r>
    </w:p>
    <w:p>
      <w:pPr>
        <w:snapToGrid w:val="0"/>
        <w:spacing w:beforeLines="50" w:after="50" w:line="44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 xml:space="preserve">项目编号： </w:t>
      </w:r>
    </w:p>
    <w:p>
      <w:pPr>
        <w:snapToGrid w:val="0"/>
        <w:spacing w:beforeLines="50" w:after="50" w:line="44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分标号：（若无留空或写“/”）</w:t>
      </w:r>
    </w:p>
    <w:p>
      <w:pPr>
        <w:pStyle w:val="9"/>
        <w:snapToGrid w:val="0"/>
        <w:spacing w:before="50" w:after="50" w:line="440" w:lineRule="exact"/>
        <w:ind w:left="718" w:leftChars="342" w:firstLine="0"/>
        <w:rPr>
          <w:rFonts w:hint="default" w:ascii="Arial" w:hAnsi="Arial" w:eastAsia="宋体" w:cs="Arial"/>
          <w:bCs/>
          <w:color w:val="auto"/>
          <w:sz w:val="24"/>
          <w:highlight w:val="none"/>
        </w:rPr>
      </w:pPr>
      <w:r>
        <w:rPr>
          <w:rFonts w:hint="default" w:ascii="Arial" w:hAnsi="Arial" w:eastAsia="宋体" w:cs="Arial"/>
          <w:bCs/>
          <w:color w:val="auto"/>
          <w:sz w:val="24"/>
          <w:szCs w:val="24"/>
          <w:highlight w:val="none"/>
        </w:rPr>
        <w:t>投标文件名称：第一册</w:t>
      </w:r>
      <w:r>
        <w:rPr>
          <w:rFonts w:hint="default" w:ascii="Arial" w:hAnsi="Arial" w:eastAsia="宋体" w:cs="Arial"/>
          <w:bCs/>
          <w:color w:val="auto"/>
          <w:sz w:val="24"/>
          <w:highlight w:val="none"/>
        </w:rPr>
        <w:t>资格审查文件、第二册</w:t>
      </w:r>
      <w:r>
        <w:rPr>
          <w:rFonts w:hint="default" w:ascii="Arial" w:hAnsi="Arial" w:eastAsia="宋体" w:cs="Arial"/>
          <w:bCs/>
          <w:color w:val="auto"/>
          <w:sz w:val="24"/>
          <w:szCs w:val="24"/>
          <w:highlight w:val="none"/>
        </w:rPr>
        <w:t>商务技术报价文件</w:t>
      </w:r>
    </w:p>
    <w:p>
      <w:pPr>
        <w:pStyle w:val="23"/>
        <w:ind w:left="559" w:leftChars="133" w:hanging="280" w:hangingChars="100"/>
        <w:rPr>
          <w:rFonts w:hint="default" w:ascii="Arial" w:hAnsi="Arial" w:eastAsia="宋体" w:cs="Arial"/>
          <w:bCs/>
          <w:color w:val="auto"/>
          <w:sz w:val="28"/>
          <w:szCs w:val="28"/>
          <w:highlight w:val="none"/>
        </w:rPr>
      </w:pPr>
      <w:bookmarkStart w:id="49" w:name="_Toc4932_WPSOffice_Level2"/>
      <w:bookmarkStart w:id="50" w:name="_Toc20319_WPSOffice_Level2"/>
    </w:p>
    <w:p>
      <w:pPr>
        <w:pStyle w:val="23"/>
        <w:ind w:left="559" w:leftChars="133" w:hanging="280" w:hangingChars="100"/>
        <w:rPr>
          <w:rFonts w:hint="default" w:ascii="Arial" w:hAnsi="Arial" w:eastAsia="宋体" w:cs="Arial"/>
          <w:bCs/>
          <w:color w:val="auto"/>
          <w:sz w:val="28"/>
          <w:szCs w:val="28"/>
          <w:highlight w:val="none"/>
        </w:rPr>
      </w:pPr>
    </w:p>
    <w:p>
      <w:pPr>
        <w:pStyle w:val="23"/>
        <w:ind w:left="559" w:leftChars="133" w:hanging="280" w:hangingChars="100"/>
        <w:rPr>
          <w:rFonts w:hint="default" w:ascii="Arial" w:hAnsi="Arial" w:eastAsia="宋体" w:cs="Arial"/>
          <w:bCs/>
          <w:color w:val="auto"/>
          <w:sz w:val="28"/>
          <w:szCs w:val="28"/>
          <w:highlight w:val="none"/>
        </w:rPr>
      </w:pPr>
    </w:p>
    <w:bookmarkEnd w:id="49"/>
    <w:bookmarkEnd w:id="50"/>
    <w:p>
      <w:pPr>
        <w:pStyle w:val="23"/>
        <w:spacing w:line="360" w:lineRule="auto"/>
        <w:ind w:firstLine="480" w:firstLineChars="200"/>
        <w:rPr>
          <w:rFonts w:hint="default" w:ascii="Arial" w:hAnsi="Arial" w:eastAsia="宋体" w:cs="Arial"/>
          <w:bCs/>
          <w:color w:val="auto"/>
          <w:sz w:val="28"/>
          <w:szCs w:val="28"/>
          <w:highlight w:val="none"/>
        </w:rPr>
      </w:pPr>
      <w:r>
        <w:rPr>
          <w:rFonts w:hint="default" w:ascii="Arial" w:hAnsi="Arial" w:eastAsia="宋体" w:cs="Arial"/>
          <w:bCs/>
          <w:color w:val="auto"/>
          <w:sz w:val="24"/>
          <w:szCs w:val="24"/>
          <w:highlight w:val="none"/>
        </w:rPr>
        <w:t>供应商[公章(CA签章)]</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pStyle w:val="23"/>
        <w:spacing w:line="360" w:lineRule="auto"/>
        <w:ind w:left="519" w:leftChars="247" w:firstLine="0" w:firstLineChars="0"/>
        <w:rPr>
          <w:rFonts w:hint="default" w:ascii="Arial" w:hAnsi="Arial" w:eastAsia="宋体" w:cs="Arial"/>
          <w:color w:val="auto"/>
          <w:sz w:val="28"/>
          <w:szCs w:val="28"/>
          <w:highlight w:val="none"/>
          <w:u w:val="single"/>
        </w:rPr>
      </w:pPr>
      <w:r>
        <w:rPr>
          <w:rFonts w:hint="default" w:ascii="Arial" w:hAnsi="Arial" w:eastAsia="宋体" w:cs="Arial"/>
          <w:bCs/>
          <w:color w:val="auto"/>
          <w:sz w:val="24"/>
          <w:szCs w:val="24"/>
          <w:highlight w:val="none"/>
        </w:rPr>
        <w:t>法定代表人或相应的委托代理人签字[或盖章(CA签章)]</w:t>
      </w:r>
      <w:r>
        <w:rPr>
          <w:rFonts w:hint="default" w:ascii="Arial" w:hAnsi="Arial" w:eastAsia="宋体" w:cs="Arial"/>
          <w:color w:val="auto"/>
          <w:sz w:val="28"/>
          <w:szCs w:val="28"/>
          <w:highlight w:val="none"/>
        </w:rPr>
        <w:t>：</w:t>
      </w:r>
      <w:r>
        <w:rPr>
          <w:rFonts w:hint="default" w:ascii="Arial" w:hAnsi="Arial" w:eastAsia="宋体" w:cs="Arial"/>
          <w:color w:val="auto"/>
          <w:sz w:val="28"/>
          <w:szCs w:val="28"/>
          <w:highlight w:val="none"/>
          <w:u w:val="single"/>
        </w:rPr>
        <w:t xml:space="preserve">              </w:t>
      </w:r>
    </w:p>
    <w:p>
      <w:pPr>
        <w:pStyle w:val="23"/>
        <w:spacing w:line="360" w:lineRule="auto"/>
        <w:ind w:left="479" w:leftChars="228" w:firstLine="0" w:firstLineChars="0"/>
        <w:rPr>
          <w:rFonts w:hint="default" w:ascii="Arial" w:hAnsi="Arial" w:eastAsia="宋体" w:cs="Arial"/>
          <w:bCs/>
          <w:color w:val="auto"/>
          <w:sz w:val="28"/>
          <w:szCs w:val="28"/>
          <w:highlight w:val="none"/>
          <w:u w:val="single"/>
        </w:rPr>
      </w:pPr>
      <w:r>
        <w:rPr>
          <w:rFonts w:hint="default" w:ascii="Arial" w:hAnsi="Arial" w:eastAsia="宋体" w:cs="Arial"/>
          <w:bCs/>
          <w:color w:val="auto"/>
          <w:sz w:val="24"/>
          <w:szCs w:val="24"/>
          <w:highlight w:val="none"/>
        </w:rPr>
        <w:t>联系电话</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pStyle w:val="23"/>
        <w:spacing w:line="360" w:lineRule="auto"/>
        <w:ind w:left="479" w:leftChars="228" w:firstLine="0" w:firstLineChars="0"/>
        <w:rPr>
          <w:rFonts w:hint="default" w:ascii="Arial" w:hAnsi="Arial" w:eastAsia="宋体" w:cs="Arial"/>
          <w:bCs/>
          <w:color w:val="auto"/>
          <w:sz w:val="24"/>
          <w:szCs w:val="24"/>
          <w:highlight w:val="none"/>
        </w:rPr>
      </w:pPr>
      <w:bookmarkStart w:id="51" w:name="_Toc26465_WPSOffice_Level2"/>
      <w:bookmarkStart w:id="52" w:name="_Toc15933_WPSOffice_Level2"/>
      <w:r>
        <w:rPr>
          <w:rFonts w:hint="default" w:ascii="Arial" w:hAnsi="Arial" w:eastAsia="宋体" w:cs="Arial"/>
          <w:bCs/>
          <w:color w:val="auto"/>
          <w:sz w:val="24"/>
          <w:szCs w:val="24"/>
          <w:highlight w:val="none"/>
        </w:rPr>
        <w:t>日期：</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szCs w:val="24"/>
          <w:highlight w:val="none"/>
        </w:rPr>
        <w:t>年</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szCs w:val="24"/>
          <w:highlight w:val="none"/>
        </w:rPr>
        <w:t>月</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szCs w:val="24"/>
          <w:highlight w:val="none"/>
        </w:rPr>
        <w:t>日</w:t>
      </w:r>
      <w:bookmarkEnd w:id="51"/>
      <w:bookmarkEnd w:id="52"/>
    </w:p>
    <w:p>
      <w:pPr>
        <w:pStyle w:val="9"/>
        <w:snapToGrid w:val="0"/>
        <w:spacing w:before="50" w:after="50" w:line="360" w:lineRule="auto"/>
        <w:ind w:left="718" w:leftChars="342" w:firstLine="0"/>
        <w:rPr>
          <w:rFonts w:hint="default" w:ascii="Arial" w:hAnsi="Arial" w:eastAsia="宋体" w:cs="Arial"/>
          <w:bCs/>
          <w:color w:val="auto"/>
          <w:sz w:val="24"/>
          <w:highlight w:val="none"/>
        </w:rPr>
      </w:pPr>
    </w:p>
    <w:p>
      <w:pPr>
        <w:snapToGrid w:val="0"/>
        <w:spacing w:beforeLines="50" w:after="50" w:line="440" w:lineRule="exact"/>
        <w:jc w:val="left"/>
        <w:outlineLvl w:val="1"/>
        <w:rPr>
          <w:rFonts w:hint="default" w:ascii="Arial" w:hAnsi="Arial" w:eastAsia="宋体" w:cs="Arial"/>
          <w:bCs/>
          <w:color w:val="auto"/>
          <w:sz w:val="24"/>
          <w:highlight w:val="none"/>
        </w:rPr>
      </w:pPr>
      <w:r>
        <w:rPr>
          <w:rFonts w:hint="default" w:ascii="Arial" w:hAnsi="Arial" w:eastAsia="宋体" w:cs="Arial"/>
          <w:color w:val="auto"/>
          <w:sz w:val="24"/>
          <w:highlight w:val="none"/>
        </w:rPr>
        <w:br w:type="page"/>
      </w:r>
      <w:r>
        <w:rPr>
          <w:rFonts w:hint="default" w:ascii="Arial" w:hAnsi="Arial" w:eastAsia="宋体" w:cs="Arial"/>
          <w:bCs/>
          <w:color w:val="auto"/>
          <w:sz w:val="24"/>
          <w:highlight w:val="none"/>
        </w:rPr>
        <w:t xml:space="preserve">1．投标文件第一册封面参考格式： </w:t>
      </w:r>
    </w:p>
    <w:p>
      <w:pPr>
        <w:snapToGrid w:val="0"/>
        <w:spacing w:beforeLines="50" w:after="50" w:line="360" w:lineRule="exact"/>
        <w:rPr>
          <w:rFonts w:hint="default" w:ascii="Arial" w:hAnsi="Arial" w:eastAsia="宋体" w:cs="Arial"/>
          <w:color w:val="auto"/>
          <w:sz w:val="24"/>
          <w:highlight w:val="none"/>
        </w:rPr>
      </w:pPr>
    </w:p>
    <w:p>
      <w:pPr>
        <w:snapToGrid w:val="0"/>
        <w:spacing w:beforeLines="50" w:after="50" w:line="360" w:lineRule="exact"/>
        <w:jc w:val="right"/>
        <w:rPr>
          <w:rFonts w:hint="default" w:ascii="Arial" w:hAnsi="Arial" w:eastAsia="宋体" w:cs="Arial"/>
          <w:bCs/>
          <w:color w:val="auto"/>
          <w:sz w:val="24"/>
          <w:highlight w:val="none"/>
        </w:rPr>
      </w:pPr>
      <w:r>
        <w:rPr>
          <w:rFonts w:hint="default" w:ascii="Arial" w:hAnsi="Arial" w:eastAsia="宋体" w:cs="Arial"/>
          <w:bCs/>
          <w:color w:val="auto"/>
          <w:sz w:val="24"/>
          <w:highlight w:val="none"/>
        </w:rPr>
        <w:t>正本/副本</w:t>
      </w:r>
    </w:p>
    <w:p>
      <w:pPr>
        <w:snapToGrid w:val="0"/>
        <w:spacing w:beforeLines="50" w:after="50" w:line="360" w:lineRule="exact"/>
        <w:jc w:val="center"/>
        <w:rPr>
          <w:rFonts w:hint="default" w:ascii="Arial" w:hAnsi="Arial" w:eastAsia="宋体" w:cs="Arial"/>
          <w:bCs/>
          <w:color w:val="auto"/>
          <w:sz w:val="2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r>
        <w:rPr>
          <w:rFonts w:hint="default" w:ascii="Arial" w:hAnsi="Arial" w:eastAsia="宋体" w:cs="Arial"/>
          <w:b/>
          <w:bCs/>
          <w:color w:val="auto"/>
          <w:sz w:val="44"/>
          <w:szCs w:val="44"/>
          <w:highlight w:val="none"/>
        </w:rPr>
        <w:t>投标文件</w:t>
      </w:r>
    </w:p>
    <w:p>
      <w:pPr>
        <w:snapToGrid w:val="0"/>
        <w:spacing w:beforeLines="50" w:after="50" w:line="360" w:lineRule="exact"/>
        <w:jc w:val="center"/>
        <w:rPr>
          <w:rFonts w:hint="default" w:ascii="Arial" w:hAnsi="Arial" w:eastAsia="宋体" w:cs="Arial"/>
          <w:b/>
          <w:bCs/>
          <w:color w:val="auto"/>
          <w:sz w:val="44"/>
          <w:szCs w:val="4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r>
        <w:rPr>
          <w:rFonts w:hint="default" w:ascii="Arial" w:hAnsi="Arial" w:eastAsia="宋体" w:cs="Arial"/>
          <w:b/>
          <w:bCs/>
          <w:color w:val="auto"/>
          <w:sz w:val="44"/>
          <w:szCs w:val="44"/>
          <w:highlight w:val="none"/>
        </w:rPr>
        <w:t>第一册  资格审查文件</w:t>
      </w: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 xml:space="preserve">项目名称： </w:t>
      </w: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项目编号：</w:t>
      </w: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分标号：（若无留空或写“/”）</w:t>
      </w:r>
    </w:p>
    <w:p>
      <w:pPr>
        <w:pStyle w:val="23"/>
        <w:spacing w:line="360" w:lineRule="auto"/>
        <w:ind w:firstLine="0" w:firstLineChars="0"/>
        <w:rPr>
          <w:rFonts w:hint="default" w:ascii="Arial" w:hAnsi="Arial" w:eastAsia="宋体" w:cs="Arial"/>
          <w:bCs/>
          <w:color w:val="auto"/>
          <w:sz w:val="24"/>
          <w:szCs w:val="24"/>
          <w:highlight w:val="none"/>
        </w:rPr>
      </w:pPr>
    </w:p>
    <w:p>
      <w:pPr>
        <w:pStyle w:val="23"/>
        <w:spacing w:line="360" w:lineRule="auto"/>
        <w:ind w:firstLine="480" w:firstLineChars="200"/>
        <w:rPr>
          <w:rFonts w:hint="default" w:ascii="Arial" w:hAnsi="Arial" w:eastAsia="宋体" w:cs="Arial"/>
          <w:bCs/>
          <w:color w:val="auto"/>
          <w:sz w:val="28"/>
          <w:szCs w:val="28"/>
          <w:highlight w:val="none"/>
        </w:rPr>
      </w:pPr>
      <w:r>
        <w:rPr>
          <w:rFonts w:hint="default" w:ascii="Arial" w:hAnsi="Arial" w:eastAsia="宋体" w:cs="Arial"/>
          <w:bCs/>
          <w:color w:val="auto"/>
          <w:sz w:val="24"/>
          <w:szCs w:val="24"/>
          <w:highlight w:val="none"/>
        </w:rPr>
        <w:t>供应商[公章(CA签章)]</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pStyle w:val="23"/>
        <w:spacing w:line="360" w:lineRule="auto"/>
        <w:ind w:left="519" w:leftChars="247" w:firstLine="0" w:firstLineChars="0"/>
        <w:rPr>
          <w:rFonts w:hint="default" w:ascii="Arial" w:hAnsi="Arial" w:eastAsia="宋体" w:cs="Arial"/>
          <w:color w:val="auto"/>
          <w:sz w:val="28"/>
          <w:szCs w:val="28"/>
          <w:highlight w:val="none"/>
          <w:u w:val="single"/>
        </w:rPr>
      </w:pPr>
      <w:r>
        <w:rPr>
          <w:rFonts w:hint="default" w:ascii="Arial" w:hAnsi="Arial" w:eastAsia="宋体" w:cs="Arial"/>
          <w:bCs/>
          <w:color w:val="auto"/>
          <w:sz w:val="24"/>
          <w:szCs w:val="24"/>
          <w:highlight w:val="none"/>
        </w:rPr>
        <w:t>法定代表人或相应的委托代理人签字[或盖章(CA签章)]</w:t>
      </w:r>
      <w:r>
        <w:rPr>
          <w:rFonts w:hint="default" w:ascii="Arial" w:hAnsi="Arial" w:eastAsia="宋体" w:cs="Arial"/>
          <w:color w:val="auto"/>
          <w:sz w:val="28"/>
          <w:szCs w:val="28"/>
          <w:highlight w:val="none"/>
        </w:rPr>
        <w:t>：</w:t>
      </w:r>
      <w:r>
        <w:rPr>
          <w:rFonts w:hint="default" w:ascii="Arial" w:hAnsi="Arial" w:eastAsia="宋体" w:cs="Arial"/>
          <w:color w:val="auto"/>
          <w:sz w:val="28"/>
          <w:szCs w:val="28"/>
          <w:highlight w:val="none"/>
          <w:u w:val="single"/>
        </w:rPr>
        <w:t xml:space="preserve">              </w:t>
      </w:r>
    </w:p>
    <w:p>
      <w:pPr>
        <w:pStyle w:val="23"/>
        <w:spacing w:line="360" w:lineRule="auto"/>
        <w:ind w:left="479" w:leftChars="228" w:firstLine="0" w:firstLineChars="0"/>
        <w:rPr>
          <w:rFonts w:hint="default" w:ascii="Arial" w:hAnsi="Arial" w:eastAsia="宋体" w:cs="Arial"/>
          <w:bCs/>
          <w:color w:val="auto"/>
          <w:sz w:val="28"/>
          <w:szCs w:val="28"/>
          <w:highlight w:val="none"/>
          <w:u w:val="single"/>
        </w:rPr>
      </w:pPr>
      <w:r>
        <w:rPr>
          <w:rFonts w:hint="default" w:ascii="Arial" w:hAnsi="Arial" w:eastAsia="宋体" w:cs="Arial"/>
          <w:bCs/>
          <w:color w:val="auto"/>
          <w:sz w:val="24"/>
          <w:szCs w:val="24"/>
          <w:highlight w:val="none"/>
        </w:rPr>
        <w:t>联系电话</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snapToGrid w:val="0"/>
        <w:spacing w:beforeLines="50" w:after="50" w:line="360" w:lineRule="exact"/>
        <w:jc w:val="center"/>
        <w:rPr>
          <w:rFonts w:hint="default" w:ascii="Arial" w:hAnsi="Arial" w:eastAsia="宋体" w:cs="Arial"/>
          <w:color w:val="auto"/>
          <w:sz w:val="24"/>
          <w:highlight w:val="none"/>
        </w:rPr>
      </w:pPr>
      <w:r>
        <w:rPr>
          <w:rFonts w:hint="default" w:ascii="Arial" w:hAnsi="Arial" w:eastAsia="宋体" w:cs="Arial"/>
          <w:bCs/>
          <w:color w:val="auto"/>
          <w:sz w:val="24"/>
          <w:highlight w:val="none"/>
        </w:rPr>
        <w:t>日期：</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年</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月</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日</w:t>
      </w:r>
    </w:p>
    <w:p>
      <w:pPr>
        <w:rPr>
          <w:rFonts w:hint="default" w:ascii="Arial" w:hAnsi="Arial" w:eastAsia="宋体" w:cs="Arial"/>
          <w:color w:val="auto"/>
          <w:highlight w:val="none"/>
        </w:rPr>
      </w:pPr>
      <w:bookmarkStart w:id="53" w:name="_Toc254970557"/>
      <w:bookmarkStart w:id="54" w:name="_Toc254970698"/>
      <w:r>
        <w:rPr>
          <w:rFonts w:hint="default" w:ascii="Arial" w:hAnsi="Arial" w:eastAsia="宋体" w:cs="Arial"/>
          <w:color w:val="auto"/>
          <w:highlight w:val="none"/>
        </w:rPr>
        <w:br w:type="page"/>
      </w:r>
      <w:bookmarkEnd w:id="53"/>
      <w:bookmarkEnd w:id="54"/>
      <w:r>
        <w:rPr>
          <w:rFonts w:hint="default" w:ascii="Arial" w:hAnsi="Arial" w:eastAsia="宋体" w:cs="Arial"/>
          <w:b/>
          <w:bCs/>
          <w:color w:val="auto"/>
          <w:highlight w:val="none"/>
        </w:rPr>
        <w:t xml:space="preserve"> </w:t>
      </w:r>
    </w:p>
    <w:p>
      <w:pPr>
        <w:snapToGrid w:val="0"/>
        <w:spacing w:before="50" w:after="50" w:line="440" w:lineRule="exact"/>
        <w:ind w:firstLine="138" w:firstLineChars="49"/>
        <w:jc w:val="center"/>
        <w:rPr>
          <w:rFonts w:hint="default" w:ascii="Arial" w:hAnsi="Arial" w:eastAsia="宋体" w:cs="Arial"/>
          <w:b/>
          <w:color w:val="auto"/>
          <w:sz w:val="28"/>
          <w:szCs w:val="28"/>
          <w:highlight w:val="none"/>
        </w:rPr>
      </w:pPr>
      <w:r>
        <w:rPr>
          <w:rFonts w:hint="default" w:ascii="Arial" w:hAnsi="Arial" w:eastAsia="宋体" w:cs="Arial"/>
          <w:b/>
          <w:color w:val="auto"/>
          <w:sz w:val="28"/>
          <w:szCs w:val="28"/>
          <w:highlight w:val="none"/>
        </w:rPr>
        <w:t>目录</w:t>
      </w:r>
    </w:p>
    <w:p>
      <w:pPr>
        <w:snapToGrid w:val="0"/>
        <w:spacing w:before="50" w:after="50" w:line="440" w:lineRule="exact"/>
        <w:ind w:firstLine="118" w:firstLineChars="49"/>
        <w:jc w:val="center"/>
        <w:rPr>
          <w:rFonts w:hint="default" w:ascii="Arial" w:hAnsi="Arial" w:eastAsia="宋体" w:cs="Arial"/>
          <w:b/>
          <w:color w:val="auto"/>
          <w:sz w:val="24"/>
          <w:highlight w:val="none"/>
        </w:rPr>
      </w:pPr>
      <w:r>
        <w:rPr>
          <w:rFonts w:hint="default" w:ascii="Arial" w:hAnsi="Arial" w:eastAsia="宋体" w:cs="Arial"/>
          <w:b/>
          <w:color w:val="auto"/>
          <w:sz w:val="24"/>
          <w:highlight w:val="none"/>
        </w:rPr>
        <w:t>（应有页码）</w:t>
      </w:r>
    </w:p>
    <w:p>
      <w:pPr>
        <w:snapToGrid w:val="0"/>
        <w:spacing w:before="50" w:after="50" w:line="440" w:lineRule="exact"/>
        <w:ind w:firstLine="118" w:firstLineChars="49"/>
        <w:jc w:val="center"/>
        <w:rPr>
          <w:rFonts w:hint="default" w:ascii="Arial" w:hAnsi="Arial" w:eastAsia="宋体" w:cs="Arial"/>
          <w:b/>
          <w:color w:val="auto"/>
          <w:sz w:val="24"/>
          <w:highlight w:val="none"/>
        </w:rPr>
      </w:pPr>
      <w:r>
        <w:rPr>
          <w:rFonts w:hint="default" w:ascii="Arial" w:hAnsi="Arial" w:eastAsia="宋体" w:cs="Arial"/>
          <w:b/>
          <w:color w:val="auto"/>
          <w:sz w:val="24"/>
          <w:highlight w:val="none"/>
        </w:rPr>
        <w:br w:type="page"/>
      </w:r>
    </w:p>
    <w:p>
      <w:pPr>
        <w:snapToGrid w:val="0"/>
        <w:spacing w:before="50" w:after="50" w:line="440" w:lineRule="exact"/>
        <w:jc w:val="left"/>
        <w:rPr>
          <w:rFonts w:hint="default" w:ascii="Arial" w:hAnsi="Arial" w:eastAsia="宋体" w:cs="Arial"/>
          <w:b/>
          <w:color w:val="auto"/>
          <w:szCs w:val="21"/>
          <w:highlight w:val="none"/>
        </w:rPr>
      </w:pPr>
      <w:bookmarkStart w:id="55" w:name="_Hlk19114217"/>
      <w:r>
        <w:rPr>
          <w:rFonts w:hint="default" w:ascii="Arial" w:hAnsi="Arial" w:eastAsia="宋体" w:cs="Arial"/>
          <w:b/>
          <w:color w:val="auto"/>
          <w:szCs w:val="21"/>
          <w:highlight w:val="none"/>
        </w:rPr>
        <w:t>1．投标声明书格式（必须提供）：</w:t>
      </w:r>
    </w:p>
    <w:p>
      <w:pPr>
        <w:snapToGrid w:val="0"/>
        <w:spacing w:beforeLines="50" w:after="50" w:line="360" w:lineRule="exact"/>
        <w:jc w:val="center"/>
        <w:rPr>
          <w:rFonts w:hint="default" w:ascii="Arial" w:hAnsi="Arial" w:eastAsia="宋体" w:cs="Arial"/>
          <w:b/>
          <w:color w:val="auto"/>
          <w:szCs w:val="21"/>
          <w:highlight w:val="none"/>
        </w:rPr>
      </w:pPr>
    </w:p>
    <w:p>
      <w:pPr>
        <w:snapToGrid w:val="0"/>
        <w:spacing w:beforeLines="50" w:after="50" w:line="36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投标声明书</w:t>
      </w:r>
    </w:p>
    <w:p>
      <w:pPr>
        <w:snapToGrid w:val="0"/>
        <w:spacing w:beforeLines="50" w:after="50" w:line="360" w:lineRule="exact"/>
        <w:jc w:val="center"/>
        <w:rPr>
          <w:rFonts w:hint="default" w:ascii="Arial" w:hAnsi="Arial" w:eastAsia="宋体" w:cs="Arial"/>
          <w:color w:val="auto"/>
          <w:szCs w:val="21"/>
          <w:highlight w:val="none"/>
        </w:rPr>
      </w:pPr>
    </w:p>
    <w:p>
      <w:pPr>
        <w:snapToGrid w:val="0"/>
        <w:spacing w:beforeLines="50" w:after="50" w:line="36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致：</w:t>
      </w:r>
      <w:r>
        <w:rPr>
          <w:rFonts w:hint="default" w:ascii="Arial" w:hAnsi="Arial" w:eastAsia="宋体" w:cs="Arial"/>
          <w:i/>
          <w:iCs/>
          <w:color w:val="auto"/>
          <w:szCs w:val="21"/>
          <w:highlight w:val="none"/>
          <w:u w:val="single"/>
        </w:rPr>
        <w:t>（采购人名称）</w:t>
      </w:r>
      <w:r>
        <w:rPr>
          <w:rFonts w:hint="default" w:ascii="Arial" w:hAnsi="Arial" w:eastAsia="宋体" w:cs="Arial"/>
          <w:color w:val="auto"/>
          <w:szCs w:val="21"/>
          <w:highlight w:val="none"/>
        </w:rPr>
        <w:t>：</w:t>
      </w:r>
    </w:p>
    <w:p>
      <w:pPr>
        <w:snapToGrid w:val="0"/>
        <w:spacing w:beforeLines="50" w:after="50" w:line="360" w:lineRule="exact"/>
        <w:ind w:firstLine="630" w:firstLineChars="300"/>
        <w:rPr>
          <w:rFonts w:hint="default" w:ascii="Arial" w:hAnsi="Arial" w:eastAsia="宋体" w:cs="Arial"/>
          <w:color w:val="auto"/>
          <w:szCs w:val="21"/>
          <w:highlight w:val="none"/>
        </w:rPr>
      </w:pPr>
      <w:r>
        <w:rPr>
          <w:rFonts w:hint="default" w:ascii="Arial" w:hAnsi="Arial" w:eastAsia="宋体" w:cs="Arial"/>
          <w:i/>
          <w:iCs/>
          <w:color w:val="auto"/>
          <w:szCs w:val="21"/>
          <w:highlight w:val="none"/>
          <w:u w:val="single"/>
        </w:rPr>
        <w:t>（供应商名称）</w:t>
      </w:r>
      <w:r>
        <w:rPr>
          <w:rFonts w:hint="default" w:ascii="Arial" w:hAnsi="Arial" w:eastAsia="宋体" w:cs="Arial"/>
          <w:color w:val="auto"/>
          <w:szCs w:val="21"/>
          <w:highlight w:val="none"/>
        </w:rPr>
        <w:t>系中华人民共和国合法企业，</w:t>
      </w:r>
      <w:r>
        <w:rPr>
          <w:rFonts w:hint="default" w:ascii="Arial" w:hAnsi="Arial" w:eastAsia="宋体" w:cs="Arial"/>
          <w:color w:val="auto"/>
          <w:szCs w:val="21"/>
          <w:highlight w:val="none"/>
          <w:u w:val="single"/>
        </w:rPr>
        <w:t xml:space="preserve"> </w:t>
      </w:r>
      <w:r>
        <w:rPr>
          <w:rFonts w:hint="default" w:ascii="Arial" w:hAnsi="Arial" w:eastAsia="宋体" w:cs="Arial"/>
          <w:i/>
          <w:iCs/>
          <w:color w:val="auto"/>
          <w:szCs w:val="21"/>
          <w:highlight w:val="none"/>
          <w:u w:val="single"/>
        </w:rPr>
        <w:t xml:space="preserve"> （经营地址）</w:t>
      </w:r>
      <w:r>
        <w:rPr>
          <w:rFonts w:hint="default" w:ascii="Arial" w:hAnsi="Arial" w:eastAsia="宋体" w:cs="Arial"/>
          <w:color w:val="auto"/>
          <w:szCs w:val="21"/>
          <w:highlight w:val="none"/>
        </w:rPr>
        <w:t>。</w:t>
      </w:r>
    </w:p>
    <w:p>
      <w:pPr>
        <w:snapToGrid w:val="0"/>
        <w:spacing w:beforeLines="50" w:after="50" w:line="360" w:lineRule="exact"/>
        <w:ind w:firstLine="645"/>
        <w:rPr>
          <w:rFonts w:hint="default" w:ascii="Arial" w:hAnsi="Arial" w:eastAsia="宋体" w:cs="Arial"/>
          <w:color w:val="auto"/>
          <w:szCs w:val="21"/>
          <w:highlight w:val="none"/>
        </w:rPr>
      </w:pPr>
      <w:r>
        <w:rPr>
          <w:rFonts w:hint="default" w:ascii="Arial" w:hAnsi="Arial" w:eastAsia="宋体" w:cs="Arial"/>
          <w:color w:val="auto"/>
          <w:szCs w:val="21"/>
          <w:highlight w:val="none"/>
        </w:rPr>
        <w:t>我</w:t>
      </w:r>
      <w:r>
        <w:rPr>
          <w:rFonts w:hint="default" w:ascii="Arial" w:hAnsi="Arial" w:eastAsia="宋体" w:cs="Arial"/>
          <w:i/>
          <w:iCs/>
          <w:color w:val="auto"/>
          <w:szCs w:val="21"/>
          <w:highlight w:val="none"/>
          <w:u w:val="single"/>
        </w:rPr>
        <w:t xml:space="preserve">（姓名） </w:t>
      </w:r>
      <w:r>
        <w:rPr>
          <w:rFonts w:hint="default" w:ascii="Arial" w:hAnsi="Arial" w:eastAsia="宋体" w:cs="Arial"/>
          <w:color w:val="auto"/>
          <w:szCs w:val="21"/>
          <w:highlight w:val="none"/>
        </w:rPr>
        <w:t>系</w:t>
      </w:r>
      <w:r>
        <w:rPr>
          <w:rFonts w:hint="default" w:ascii="Arial" w:hAnsi="Arial" w:eastAsia="宋体" w:cs="Arial"/>
          <w:i/>
          <w:iCs/>
          <w:color w:val="auto"/>
          <w:szCs w:val="21"/>
          <w:highlight w:val="none"/>
          <w:u w:val="single"/>
        </w:rPr>
        <w:t>（供应商名称）</w:t>
      </w:r>
      <w:r>
        <w:rPr>
          <w:rFonts w:hint="default" w:ascii="Arial" w:hAnsi="Arial" w:eastAsia="宋体" w:cs="Arial"/>
          <w:color w:val="auto"/>
          <w:szCs w:val="21"/>
          <w:highlight w:val="none"/>
        </w:rPr>
        <w:t xml:space="preserve">的法定代表人，我方愿意参加贵方组织的 </w:t>
      </w:r>
      <w:r>
        <w:rPr>
          <w:rFonts w:hint="default" w:ascii="Arial" w:hAnsi="Arial" w:eastAsia="宋体" w:cs="Arial"/>
          <w:i/>
          <w:iCs/>
          <w:color w:val="auto"/>
          <w:szCs w:val="21"/>
          <w:highlight w:val="none"/>
          <w:u w:val="single"/>
        </w:rPr>
        <w:t xml:space="preserve">（项目名称） </w:t>
      </w:r>
      <w:r>
        <w:rPr>
          <w:rFonts w:hint="default" w:ascii="Arial" w:hAnsi="Arial" w:eastAsia="宋体" w:cs="Arial"/>
          <w:color w:val="auto"/>
          <w:szCs w:val="21"/>
          <w:highlight w:val="none"/>
        </w:rPr>
        <w:t>项目的投标，为便于贵方公正、择优地确定中标供应商及其投标产品和服务，我方就本次投标有关事项郑重声明如下：</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（1）我方向贵方提交的所有投标文件、资料都是准确的和真实的。</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（2）我方不是采购人的附属机构；也不是为本项目提供整体设计、规范编制或者项目管理、监理、检测等服务的供应商或其附属机构。</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（3）我方承诺在参加本政府采购项目活动前，没有被纳入政府部门或银行认定的失信名单，我方具有良好的商业信誉。</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4）我方及本人承诺在参加本政府采购项目活动前三年内，在经营活动中没有重大违法记录及不良信用记录。重大违法记录是指供供应商因违法经营受到刑事处罚或者责令停产停业、吊销许可证或者执照、较大数额罚款等行政处罚。如我方提供的声明不实，则自愿承担《政府采购法》有关提供虚假材料的规定给予的处罚。</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（5）我方承诺具有履行本项目合同所必需的设备和专业技术能力。</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6）我方承诺未被列入失信被执行人、重大税收违法案件当事人名单、政府采购严重违法失信行为记录名单，如我方提供的声明不实，则接受本次投标作为否决投标的处理，并根据财库〔2016〕125号《财政部关于在政府采购活动中查询及使用信用记录有关问题的通知》规定接受失信联合惩戒。</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（7）我方承诺中标后按规定缴纳代理服务费。</w:t>
      </w:r>
    </w:p>
    <w:p>
      <w:pPr>
        <w:snapToGrid w:val="0"/>
        <w:spacing w:beforeLines="50" w:line="36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我方对以上声明负全部法律责任。如有虚假或隐瞒，我方愿意承担一切后果，并不再寻求任何旨在减轻或免除法律责任的辩解。</w:t>
      </w:r>
    </w:p>
    <w:bookmarkEnd w:id="55"/>
    <w:p>
      <w:pPr>
        <w:snapToGrid w:val="0"/>
        <w:spacing w:beforeLines="50" w:line="360" w:lineRule="exact"/>
        <w:ind w:firstLine="420" w:firstLineChars="200"/>
        <w:rPr>
          <w:rFonts w:hint="default" w:ascii="Arial" w:hAnsi="Arial" w:eastAsia="宋体" w:cs="Arial"/>
          <w:color w:val="auto"/>
          <w:szCs w:val="21"/>
          <w:highlight w:val="none"/>
        </w:rPr>
      </w:pPr>
    </w:p>
    <w:p>
      <w:pPr>
        <w:snapToGrid w:val="0"/>
        <w:spacing w:beforeLines="50" w:line="360" w:lineRule="exact"/>
        <w:ind w:firstLine="3509" w:firstLineChars="1671"/>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法定代表人签字或个人CA签章：</w:t>
      </w:r>
    </w:p>
    <w:p>
      <w:pPr>
        <w:snapToGrid w:val="0"/>
        <w:spacing w:beforeLines="50" w:after="50" w:line="360" w:lineRule="exact"/>
        <w:ind w:firstLine="3570" w:firstLineChars="1700"/>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供应商公章（CA签章）：</w:t>
      </w:r>
      <w:r>
        <w:rPr>
          <w:rFonts w:hint="default" w:ascii="Arial" w:hAnsi="Arial" w:eastAsia="宋体" w:cs="Arial"/>
          <w:color w:val="auto"/>
          <w:szCs w:val="21"/>
          <w:highlight w:val="none"/>
          <w:u w:val="single"/>
        </w:rPr>
        <w:t xml:space="preserve">       </w:t>
      </w:r>
    </w:p>
    <w:p>
      <w:pPr>
        <w:snapToGrid w:val="0"/>
        <w:spacing w:beforeLines="50" w:after="50" w:line="360" w:lineRule="exact"/>
        <w:ind w:firstLine="3990" w:firstLineChars="1900"/>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  年月日</w:t>
      </w:r>
    </w:p>
    <w:p>
      <w:pPr>
        <w:snapToGrid w:val="0"/>
        <w:spacing w:beforeLines="50" w:after="50" w:line="36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br w:type="page"/>
      </w:r>
      <w:r>
        <w:rPr>
          <w:rFonts w:hint="default" w:ascii="Arial" w:hAnsi="Arial" w:eastAsia="宋体" w:cs="Arial"/>
          <w:color w:val="auto"/>
          <w:szCs w:val="21"/>
          <w:highlight w:val="none"/>
        </w:rPr>
        <w:t>2．法人或者其他组织的营业执照等证明文件、自然人的身份证明。即供应商是企业则提供营业执照（副本）复印件；供应商是事业单位，则提供事业单位法人证书（副本）复印件；供应商是非企业专业服务机构的，则提供执业许可证等证明文件复印件；供应商是个体工商户，则提供个体工商户营业执照复印件；供应商是自然人，则提供有效的自然人身份证明复印件；如供应商不是以上所列的法人、组织、自然人的，则提供国家规定的相关证明材料。（加盖供应商CA签章）。</w:t>
      </w:r>
      <w:r>
        <w:rPr>
          <w:rFonts w:hint="default" w:ascii="Arial" w:hAnsi="Arial" w:eastAsia="宋体" w:cs="Arial"/>
          <w:b/>
          <w:color w:val="auto"/>
          <w:szCs w:val="21"/>
          <w:highlight w:val="none"/>
        </w:rPr>
        <w:t>（必须提供）</w:t>
      </w:r>
    </w:p>
    <w:p>
      <w:pPr>
        <w:snapToGrid w:val="0"/>
        <w:spacing w:beforeLines="50" w:after="50" w:line="440" w:lineRule="exact"/>
        <w:rPr>
          <w:rFonts w:hint="default" w:ascii="Arial" w:hAnsi="Arial" w:eastAsia="宋体" w:cs="Arial"/>
          <w:color w:val="auto"/>
          <w:sz w:val="18"/>
          <w:szCs w:val="18"/>
          <w:highlight w:val="none"/>
        </w:rPr>
      </w:pPr>
    </w:p>
    <w:p>
      <w:pPr>
        <w:snapToGrid w:val="0"/>
        <w:spacing w:beforeLines="50" w:after="50" w:line="440" w:lineRule="exact"/>
        <w:rPr>
          <w:rFonts w:hint="default" w:ascii="Arial" w:hAnsi="Arial" w:eastAsia="宋体" w:cs="Arial"/>
          <w:b/>
          <w:color w:val="auto"/>
          <w:szCs w:val="21"/>
          <w:highlight w:val="none"/>
        </w:rPr>
      </w:pPr>
      <w:bookmarkStart w:id="56" w:name="_Hlk19114230"/>
      <w:r>
        <w:rPr>
          <w:rFonts w:hint="default" w:ascii="Arial" w:hAnsi="Arial" w:eastAsia="宋体" w:cs="Arial"/>
          <w:color w:val="auto"/>
          <w:szCs w:val="21"/>
          <w:highlight w:val="none"/>
        </w:rPr>
        <w:t>3．财务状况报告（表）复印件或银行出具的资信证明复印件。</w:t>
      </w:r>
      <w:r>
        <w:rPr>
          <w:rFonts w:hint="default" w:ascii="Arial" w:hAnsi="Arial" w:eastAsia="宋体" w:cs="Arial"/>
          <w:color w:val="auto"/>
          <w:highlight w:val="none"/>
        </w:rPr>
        <w:t>对于从取得营业执照时间起到截标时间为止不足1年的供应商，只需提交</w:t>
      </w:r>
      <w:r>
        <w:rPr>
          <w:rFonts w:hint="default" w:ascii="Arial" w:hAnsi="Arial" w:eastAsia="宋体" w:cs="Arial"/>
          <w:color w:val="auto"/>
          <w:szCs w:val="21"/>
          <w:highlight w:val="none"/>
        </w:rPr>
        <w:t>截标时间前一个月的财务状况报告（表）复印件。（按“评标方法及评标标准” “资格审查表”规定提供）。（加盖供应商CA签章）。</w:t>
      </w:r>
      <w:r>
        <w:rPr>
          <w:rFonts w:hint="default" w:ascii="Arial" w:hAnsi="Arial" w:eastAsia="宋体" w:cs="Arial"/>
          <w:b/>
          <w:color w:val="auto"/>
          <w:szCs w:val="21"/>
          <w:highlight w:val="none"/>
        </w:rPr>
        <w:t>（必须提供）</w:t>
      </w:r>
    </w:p>
    <w:p>
      <w:pPr>
        <w:snapToGrid w:val="0"/>
        <w:spacing w:beforeLines="50" w:after="50" w:line="440" w:lineRule="exact"/>
        <w:rPr>
          <w:rFonts w:hint="default" w:ascii="Arial" w:hAnsi="Arial" w:eastAsia="宋体" w:cs="Arial"/>
          <w:color w:val="auto"/>
          <w:szCs w:val="21"/>
          <w:highlight w:val="none"/>
        </w:rPr>
      </w:pPr>
    </w:p>
    <w:bookmarkEnd w:id="56"/>
    <w:p>
      <w:pPr>
        <w:snapToGrid w:val="0"/>
        <w:spacing w:beforeLines="50" w:after="50" w:line="440" w:lineRule="exact"/>
        <w:rPr>
          <w:rFonts w:hint="default" w:ascii="Arial" w:hAnsi="Arial" w:eastAsia="宋体" w:cs="Arial"/>
          <w:color w:val="auto"/>
          <w:highlight w:val="none"/>
        </w:rPr>
      </w:pPr>
      <w:r>
        <w:rPr>
          <w:rFonts w:hint="default" w:ascii="Arial" w:hAnsi="Arial" w:eastAsia="宋体" w:cs="Arial"/>
          <w:color w:val="auto"/>
          <w:highlight w:val="none"/>
        </w:rPr>
        <w:t>4．依法缴纳税费证明和社会保险缴纳证明材料。供应商成立不足1个月的，无须提供缴纳税费证明及社保缴费证明。依法免税或不需要缴纳社会保障资金的供应商，须提供相应文件证明其依法免税或不需要缴纳社会保障资金。</w:t>
      </w:r>
      <w:r>
        <w:rPr>
          <w:rFonts w:hint="default" w:ascii="Arial" w:hAnsi="Arial" w:eastAsia="宋体" w:cs="Arial"/>
          <w:color w:val="auto"/>
          <w:szCs w:val="21"/>
          <w:highlight w:val="none"/>
        </w:rPr>
        <w:t>（按“评标方法及评标标准” “资格审查表”规定提供）（加盖供应商CA签章）。</w:t>
      </w:r>
      <w:r>
        <w:rPr>
          <w:rFonts w:hint="default" w:ascii="Arial" w:hAnsi="Arial" w:eastAsia="宋体" w:cs="Arial"/>
          <w:b/>
          <w:color w:val="auto"/>
          <w:szCs w:val="21"/>
          <w:highlight w:val="none"/>
        </w:rPr>
        <w:t>（必须提供）</w:t>
      </w:r>
    </w:p>
    <w:p>
      <w:pPr>
        <w:snapToGrid w:val="0"/>
        <w:spacing w:before="50" w:afterLines="50" w:line="440" w:lineRule="exact"/>
        <w:jc w:val="left"/>
        <w:rPr>
          <w:rFonts w:hint="default" w:ascii="Arial" w:hAnsi="Arial" w:eastAsia="宋体" w:cs="Arial"/>
          <w:color w:val="auto"/>
          <w:highlight w:val="none"/>
        </w:rPr>
      </w:pPr>
    </w:p>
    <w:p>
      <w:pPr>
        <w:snapToGrid w:val="0"/>
        <w:spacing w:before="50" w:afterLines="50" w:line="440" w:lineRule="exact"/>
        <w:jc w:val="left"/>
        <w:rPr>
          <w:rFonts w:hint="default" w:ascii="Arial" w:hAnsi="Arial" w:eastAsia="宋体" w:cs="Arial"/>
          <w:b/>
          <w:color w:val="auto"/>
          <w:szCs w:val="21"/>
          <w:highlight w:val="none"/>
        </w:rPr>
      </w:pPr>
      <w:bookmarkStart w:id="57" w:name="_Hlk19114283"/>
      <w:r>
        <w:rPr>
          <w:rFonts w:hint="default" w:ascii="Arial" w:hAnsi="Arial" w:eastAsia="宋体" w:cs="Arial"/>
          <w:color w:val="auto"/>
          <w:szCs w:val="21"/>
          <w:highlight w:val="none"/>
        </w:rPr>
        <w:t>5．具备法律、行政法规规定的其他要求的证明材料</w:t>
      </w:r>
      <w:r>
        <w:rPr>
          <w:rFonts w:hint="default" w:ascii="Arial" w:hAnsi="Arial" w:eastAsia="宋体" w:cs="Arial"/>
          <w:color w:val="auto"/>
          <w:highlight w:val="none"/>
        </w:rPr>
        <w:t>（</w:t>
      </w:r>
      <w:r>
        <w:rPr>
          <w:rFonts w:hint="default" w:ascii="Arial" w:hAnsi="Arial" w:eastAsia="宋体" w:cs="Arial"/>
          <w:color w:val="auto"/>
          <w:szCs w:val="21"/>
          <w:highlight w:val="none"/>
        </w:rPr>
        <w:t>按“评标方法及评标标准” “资格审查表”规定提供</w:t>
      </w:r>
      <w:r>
        <w:rPr>
          <w:rFonts w:hint="default" w:ascii="Arial" w:hAnsi="Arial" w:eastAsia="宋体" w:cs="Arial"/>
          <w:color w:val="auto"/>
          <w:highlight w:val="none"/>
        </w:rPr>
        <w:t>）。</w:t>
      </w:r>
      <w:r>
        <w:rPr>
          <w:rFonts w:hint="default" w:ascii="Arial" w:hAnsi="Arial" w:eastAsia="宋体" w:cs="Arial"/>
          <w:b/>
          <w:color w:val="auto"/>
          <w:szCs w:val="21"/>
          <w:highlight w:val="none"/>
        </w:rPr>
        <w:t>（如招标文件有要求，则必须提供）</w:t>
      </w:r>
    </w:p>
    <w:p>
      <w:pPr>
        <w:snapToGrid w:val="0"/>
        <w:spacing w:before="50" w:afterLines="50" w:line="440" w:lineRule="exact"/>
        <w:jc w:val="left"/>
        <w:rPr>
          <w:rFonts w:hint="default" w:ascii="Arial" w:hAnsi="Arial" w:eastAsia="宋体" w:cs="Arial"/>
          <w:color w:val="auto"/>
          <w:highlight w:val="none"/>
        </w:rPr>
      </w:pPr>
    </w:p>
    <w:p>
      <w:pPr>
        <w:snapToGrid w:val="0"/>
        <w:spacing w:before="50" w:afterLines="50" w:line="440" w:lineRule="exact"/>
        <w:jc w:val="left"/>
        <w:rPr>
          <w:rFonts w:hint="default" w:ascii="Arial" w:hAnsi="Arial" w:eastAsia="宋体" w:cs="Arial"/>
          <w:color w:val="auto"/>
          <w:highlight w:val="none"/>
        </w:rPr>
      </w:pPr>
      <w:r>
        <w:rPr>
          <w:rFonts w:hint="default" w:ascii="Arial" w:hAnsi="Arial" w:eastAsia="宋体" w:cs="Arial"/>
          <w:color w:val="auto"/>
          <w:szCs w:val="21"/>
          <w:highlight w:val="none"/>
        </w:rPr>
        <w:t>6．</w:t>
      </w:r>
      <w:r>
        <w:rPr>
          <w:rFonts w:hint="default" w:ascii="Arial" w:hAnsi="Arial" w:eastAsia="宋体" w:cs="Arial"/>
          <w:color w:val="auto"/>
          <w:highlight w:val="none"/>
        </w:rPr>
        <w:t>满足供应商特定资格条件的其他证明材料</w:t>
      </w:r>
      <w:r>
        <w:rPr>
          <w:rFonts w:hint="default" w:ascii="Arial" w:hAnsi="Arial" w:eastAsia="宋体" w:cs="Arial"/>
          <w:color w:val="auto"/>
          <w:szCs w:val="21"/>
          <w:highlight w:val="none"/>
        </w:rPr>
        <w:t>加盖供应商公章</w:t>
      </w:r>
      <w:r>
        <w:rPr>
          <w:rFonts w:hint="default" w:ascii="Arial" w:hAnsi="Arial" w:eastAsia="宋体" w:cs="Arial"/>
          <w:color w:val="auto"/>
          <w:highlight w:val="none"/>
        </w:rPr>
        <w:t>（</w:t>
      </w:r>
      <w:r>
        <w:rPr>
          <w:rFonts w:hint="default" w:ascii="Arial" w:hAnsi="Arial" w:eastAsia="宋体" w:cs="Arial"/>
          <w:color w:val="auto"/>
          <w:szCs w:val="21"/>
          <w:highlight w:val="none"/>
        </w:rPr>
        <w:t>按“评标方法及评标标准” “资格审查表”“</w:t>
      </w:r>
      <w:r>
        <w:rPr>
          <w:rFonts w:hint="default" w:ascii="Arial" w:hAnsi="Arial" w:eastAsia="宋体" w:cs="Arial"/>
          <w:color w:val="auto"/>
          <w:szCs w:val="21"/>
          <w:highlight w:val="none"/>
          <w:lang w:val="zh-CN"/>
        </w:rPr>
        <w:t xml:space="preserve"> 供应商应符合的</w:t>
      </w:r>
      <w:r>
        <w:rPr>
          <w:rFonts w:hint="default" w:ascii="Arial" w:hAnsi="Arial" w:eastAsia="宋体" w:cs="Arial"/>
          <w:color w:val="auto"/>
          <w:szCs w:val="21"/>
          <w:highlight w:val="none"/>
        </w:rPr>
        <w:t>特定资格条件”规定提供</w:t>
      </w:r>
      <w:r>
        <w:rPr>
          <w:rFonts w:hint="default" w:ascii="Arial" w:hAnsi="Arial" w:eastAsia="宋体" w:cs="Arial"/>
          <w:color w:val="auto"/>
          <w:highlight w:val="none"/>
        </w:rPr>
        <w:t>）。</w:t>
      </w:r>
      <w:r>
        <w:rPr>
          <w:rFonts w:hint="default" w:ascii="Arial" w:hAnsi="Arial" w:eastAsia="宋体" w:cs="Arial"/>
          <w:b/>
          <w:color w:val="auto"/>
          <w:szCs w:val="21"/>
          <w:highlight w:val="none"/>
        </w:rPr>
        <w:t>（如招标文件有要求，则必须提供）</w:t>
      </w:r>
    </w:p>
    <w:p>
      <w:pPr>
        <w:snapToGrid w:val="0"/>
        <w:spacing w:before="50" w:afterLines="50" w:line="440" w:lineRule="exact"/>
        <w:jc w:val="left"/>
        <w:rPr>
          <w:rFonts w:hint="default" w:ascii="Arial" w:hAnsi="Arial" w:eastAsia="宋体" w:cs="Arial"/>
          <w:color w:val="auto"/>
          <w:szCs w:val="21"/>
          <w:highlight w:val="none"/>
        </w:rPr>
      </w:pPr>
    </w:p>
    <w:p>
      <w:pPr>
        <w:snapToGrid w:val="0"/>
        <w:spacing w:before="50" w:afterLines="50" w:line="440" w:lineRule="exact"/>
        <w:jc w:val="left"/>
        <w:rPr>
          <w:rFonts w:hint="default" w:ascii="Arial" w:hAnsi="Arial" w:eastAsia="宋体" w:cs="Arial"/>
          <w:bCs/>
          <w:color w:val="auto"/>
          <w:sz w:val="24"/>
          <w:highlight w:val="none"/>
        </w:rPr>
      </w:pPr>
      <w:r>
        <w:rPr>
          <w:rFonts w:hint="default" w:ascii="Arial" w:hAnsi="Arial" w:eastAsia="宋体" w:cs="Arial"/>
          <w:color w:val="auto"/>
          <w:szCs w:val="21"/>
          <w:highlight w:val="none"/>
        </w:rPr>
        <w:t>7．供应商认为应当要提交的其他资格证明材料。</w:t>
      </w:r>
      <w:r>
        <w:rPr>
          <w:rFonts w:hint="default" w:ascii="Arial" w:hAnsi="Arial" w:eastAsia="宋体" w:cs="Arial"/>
          <w:bCs/>
          <w:color w:val="auto"/>
          <w:sz w:val="24"/>
          <w:highlight w:val="none"/>
        </w:rPr>
        <w:t xml:space="preserve"> </w:t>
      </w:r>
    </w:p>
    <w:bookmarkEnd w:id="57"/>
    <w:p>
      <w:pPr>
        <w:snapToGrid w:val="0"/>
        <w:spacing w:beforeLines="50" w:after="50" w:line="440" w:lineRule="exact"/>
        <w:jc w:val="left"/>
        <w:outlineLvl w:val="1"/>
        <w:rPr>
          <w:rFonts w:hint="default" w:ascii="Arial" w:hAnsi="Arial" w:eastAsia="宋体" w:cs="Arial"/>
          <w:bCs/>
          <w:color w:val="auto"/>
          <w:sz w:val="24"/>
          <w:highlight w:val="none"/>
        </w:rPr>
      </w:pPr>
      <w:r>
        <w:rPr>
          <w:rFonts w:hint="default" w:ascii="Arial" w:hAnsi="Arial" w:eastAsia="宋体" w:cs="Arial"/>
          <w:bCs/>
          <w:color w:val="auto"/>
          <w:sz w:val="24"/>
          <w:highlight w:val="none"/>
        </w:rPr>
        <w:br w:type="page"/>
      </w:r>
      <w:r>
        <w:rPr>
          <w:rFonts w:hint="default" w:ascii="Arial" w:hAnsi="Arial" w:eastAsia="宋体" w:cs="Arial"/>
          <w:bCs/>
          <w:color w:val="auto"/>
          <w:sz w:val="24"/>
          <w:highlight w:val="none"/>
        </w:rPr>
        <w:t xml:space="preserve">2．投标文件第二册封面参考格式： </w:t>
      </w:r>
    </w:p>
    <w:p>
      <w:pPr>
        <w:snapToGrid w:val="0"/>
        <w:spacing w:before="50" w:afterLines="50" w:line="400" w:lineRule="exact"/>
        <w:jc w:val="left"/>
        <w:rPr>
          <w:rFonts w:hint="default" w:ascii="Arial" w:hAnsi="Arial" w:eastAsia="宋体" w:cs="Arial"/>
          <w:bCs/>
          <w:color w:val="auto"/>
          <w:sz w:val="24"/>
          <w:highlight w:val="none"/>
        </w:rPr>
      </w:pPr>
    </w:p>
    <w:p>
      <w:pPr>
        <w:snapToGrid w:val="0"/>
        <w:spacing w:beforeLines="50" w:after="50" w:line="360" w:lineRule="exact"/>
        <w:rPr>
          <w:rFonts w:hint="default" w:ascii="Arial" w:hAnsi="Arial" w:eastAsia="宋体" w:cs="Arial"/>
          <w:color w:val="auto"/>
          <w:sz w:val="24"/>
          <w:highlight w:val="none"/>
        </w:rPr>
      </w:pPr>
    </w:p>
    <w:p>
      <w:pPr>
        <w:snapToGrid w:val="0"/>
        <w:spacing w:beforeLines="50" w:after="50" w:line="360" w:lineRule="exact"/>
        <w:jc w:val="right"/>
        <w:rPr>
          <w:rFonts w:hint="default" w:ascii="Arial" w:hAnsi="Arial" w:eastAsia="宋体" w:cs="Arial"/>
          <w:bCs/>
          <w:color w:val="auto"/>
          <w:sz w:val="24"/>
          <w:highlight w:val="none"/>
        </w:rPr>
      </w:pPr>
      <w:r>
        <w:rPr>
          <w:rFonts w:hint="default" w:ascii="Arial" w:hAnsi="Arial" w:eastAsia="宋体" w:cs="Arial"/>
          <w:bCs/>
          <w:color w:val="auto"/>
          <w:sz w:val="24"/>
          <w:highlight w:val="none"/>
        </w:rPr>
        <w:t>正本/副本</w:t>
      </w:r>
    </w:p>
    <w:p>
      <w:pPr>
        <w:snapToGrid w:val="0"/>
        <w:spacing w:beforeLines="50" w:after="50" w:line="360" w:lineRule="exact"/>
        <w:jc w:val="center"/>
        <w:rPr>
          <w:rFonts w:hint="default" w:ascii="Arial" w:hAnsi="Arial" w:eastAsia="宋体" w:cs="Arial"/>
          <w:bCs/>
          <w:color w:val="auto"/>
          <w:sz w:val="2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r>
        <w:rPr>
          <w:rFonts w:hint="default" w:ascii="Arial" w:hAnsi="Arial" w:eastAsia="宋体" w:cs="Arial"/>
          <w:b/>
          <w:bCs/>
          <w:color w:val="auto"/>
          <w:sz w:val="44"/>
          <w:szCs w:val="44"/>
          <w:highlight w:val="none"/>
        </w:rPr>
        <w:t>投标文件</w:t>
      </w:r>
    </w:p>
    <w:p>
      <w:pPr>
        <w:snapToGrid w:val="0"/>
        <w:spacing w:beforeLines="50" w:after="50" w:line="360" w:lineRule="exact"/>
        <w:jc w:val="center"/>
        <w:rPr>
          <w:rFonts w:hint="default" w:ascii="Arial" w:hAnsi="Arial" w:eastAsia="宋体" w:cs="Arial"/>
          <w:b/>
          <w:bCs/>
          <w:color w:val="auto"/>
          <w:sz w:val="44"/>
          <w:szCs w:val="4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p>
    <w:p>
      <w:pPr>
        <w:snapToGrid w:val="0"/>
        <w:spacing w:beforeLines="50" w:after="50" w:line="360" w:lineRule="exact"/>
        <w:jc w:val="center"/>
        <w:rPr>
          <w:rFonts w:hint="default" w:ascii="Arial" w:hAnsi="Arial" w:eastAsia="宋体" w:cs="Arial"/>
          <w:b/>
          <w:bCs/>
          <w:color w:val="auto"/>
          <w:sz w:val="44"/>
          <w:szCs w:val="44"/>
          <w:highlight w:val="none"/>
        </w:rPr>
      </w:pPr>
      <w:r>
        <w:rPr>
          <w:rFonts w:hint="default" w:ascii="Arial" w:hAnsi="Arial" w:eastAsia="宋体" w:cs="Arial"/>
          <w:b/>
          <w:bCs/>
          <w:color w:val="auto"/>
          <w:sz w:val="44"/>
          <w:szCs w:val="44"/>
          <w:highlight w:val="none"/>
        </w:rPr>
        <w:t>第二册  商务技术报价文件</w:t>
      </w: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rPr>
          <w:rFonts w:hint="default" w:ascii="Arial" w:hAnsi="Arial" w:eastAsia="宋体" w:cs="Arial"/>
          <w:bCs/>
          <w:color w:val="auto"/>
          <w:sz w:val="24"/>
          <w:highlight w:val="none"/>
        </w:rPr>
      </w:pP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 xml:space="preserve">项目名称： </w:t>
      </w: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项目编号：</w:t>
      </w: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分标号：（若无留空或写“/”）</w:t>
      </w:r>
    </w:p>
    <w:p>
      <w:pPr>
        <w:pStyle w:val="23"/>
        <w:spacing w:line="360" w:lineRule="auto"/>
        <w:ind w:firstLine="480" w:firstLineChars="200"/>
        <w:rPr>
          <w:rFonts w:hint="default" w:ascii="Arial" w:hAnsi="Arial" w:eastAsia="宋体" w:cs="Arial"/>
          <w:bCs/>
          <w:color w:val="auto"/>
          <w:sz w:val="24"/>
          <w:szCs w:val="24"/>
          <w:highlight w:val="none"/>
        </w:rPr>
      </w:pPr>
    </w:p>
    <w:p>
      <w:pPr>
        <w:pStyle w:val="23"/>
        <w:spacing w:line="360" w:lineRule="auto"/>
        <w:ind w:firstLine="480" w:firstLineChars="200"/>
        <w:rPr>
          <w:rFonts w:hint="default" w:ascii="Arial" w:hAnsi="Arial" w:eastAsia="宋体" w:cs="Arial"/>
          <w:bCs/>
          <w:color w:val="auto"/>
          <w:sz w:val="28"/>
          <w:szCs w:val="28"/>
          <w:highlight w:val="none"/>
        </w:rPr>
      </w:pPr>
      <w:r>
        <w:rPr>
          <w:rFonts w:hint="default" w:ascii="Arial" w:hAnsi="Arial" w:eastAsia="宋体" w:cs="Arial"/>
          <w:bCs/>
          <w:color w:val="auto"/>
          <w:sz w:val="24"/>
          <w:szCs w:val="24"/>
          <w:highlight w:val="none"/>
        </w:rPr>
        <w:t>供应商[公章(CA签章)]</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pStyle w:val="23"/>
        <w:spacing w:line="360" w:lineRule="auto"/>
        <w:ind w:left="519" w:leftChars="247" w:firstLine="0" w:firstLineChars="0"/>
        <w:rPr>
          <w:rFonts w:hint="default" w:ascii="Arial" w:hAnsi="Arial" w:eastAsia="宋体" w:cs="Arial"/>
          <w:color w:val="auto"/>
          <w:sz w:val="28"/>
          <w:szCs w:val="28"/>
          <w:highlight w:val="none"/>
          <w:u w:val="single"/>
        </w:rPr>
      </w:pPr>
      <w:r>
        <w:rPr>
          <w:rFonts w:hint="default" w:ascii="Arial" w:hAnsi="Arial" w:eastAsia="宋体" w:cs="Arial"/>
          <w:bCs/>
          <w:color w:val="auto"/>
          <w:sz w:val="24"/>
          <w:szCs w:val="24"/>
          <w:highlight w:val="none"/>
        </w:rPr>
        <w:t>法定代表人或相应的委托代理人签字[或盖章(CA签章)]</w:t>
      </w:r>
      <w:r>
        <w:rPr>
          <w:rFonts w:hint="default" w:ascii="Arial" w:hAnsi="Arial" w:eastAsia="宋体" w:cs="Arial"/>
          <w:color w:val="auto"/>
          <w:sz w:val="28"/>
          <w:szCs w:val="28"/>
          <w:highlight w:val="none"/>
        </w:rPr>
        <w:t>：</w:t>
      </w:r>
      <w:r>
        <w:rPr>
          <w:rFonts w:hint="default" w:ascii="Arial" w:hAnsi="Arial" w:eastAsia="宋体" w:cs="Arial"/>
          <w:color w:val="auto"/>
          <w:sz w:val="28"/>
          <w:szCs w:val="28"/>
          <w:highlight w:val="none"/>
          <w:u w:val="single"/>
        </w:rPr>
        <w:t xml:space="preserve">              </w:t>
      </w:r>
    </w:p>
    <w:p>
      <w:pPr>
        <w:pStyle w:val="23"/>
        <w:spacing w:line="360" w:lineRule="auto"/>
        <w:ind w:left="479" w:leftChars="228" w:firstLine="0" w:firstLineChars="0"/>
        <w:rPr>
          <w:rFonts w:hint="default" w:ascii="Arial" w:hAnsi="Arial" w:eastAsia="宋体" w:cs="Arial"/>
          <w:bCs/>
          <w:color w:val="auto"/>
          <w:sz w:val="28"/>
          <w:szCs w:val="28"/>
          <w:highlight w:val="none"/>
          <w:u w:val="single"/>
        </w:rPr>
      </w:pPr>
      <w:r>
        <w:rPr>
          <w:rFonts w:hint="default" w:ascii="Arial" w:hAnsi="Arial" w:eastAsia="宋体" w:cs="Arial"/>
          <w:bCs/>
          <w:color w:val="auto"/>
          <w:sz w:val="24"/>
          <w:szCs w:val="24"/>
          <w:highlight w:val="none"/>
        </w:rPr>
        <w:t>联系电话</w:t>
      </w:r>
      <w:r>
        <w:rPr>
          <w:rFonts w:hint="default" w:ascii="Arial" w:hAnsi="Arial" w:eastAsia="宋体" w:cs="Arial"/>
          <w:bCs/>
          <w:color w:val="auto"/>
          <w:sz w:val="28"/>
          <w:szCs w:val="28"/>
          <w:highlight w:val="none"/>
        </w:rPr>
        <w:t>：</w:t>
      </w:r>
      <w:r>
        <w:rPr>
          <w:rFonts w:hint="default" w:ascii="Arial" w:hAnsi="Arial" w:eastAsia="宋体" w:cs="Arial"/>
          <w:bCs/>
          <w:color w:val="auto"/>
          <w:sz w:val="28"/>
          <w:szCs w:val="28"/>
          <w:highlight w:val="none"/>
          <w:u w:val="single"/>
        </w:rPr>
        <w:t xml:space="preserve">                                                </w:t>
      </w:r>
    </w:p>
    <w:p>
      <w:pPr>
        <w:snapToGrid w:val="0"/>
        <w:spacing w:beforeLines="50" w:after="50" w:line="360" w:lineRule="exact"/>
        <w:ind w:firstLine="720" w:firstLineChars="300"/>
        <w:rPr>
          <w:rFonts w:hint="default" w:ascii="Arial" w:hAnsi="Arial" w:eastAsia="宋体" w:cs="Arial"/>
          <w:bCs/>
          <w:color w:val="auto"/>
          <w:sz w:val="24"/>
          <w:highlight w:val="none"/>
        </w:rPr>
      </w:pPr>
      <w:r>
        <w:rPr>
          <w:rFonts w:hint="default" w:ascii="Arial" w:hAnsi="Arial" w:eastAsia="宋体" w:cs="Arial"/>
          <w:bCs/>
          <w:color w:val="auto"/>
          <w:sz w:val="24"/>
          <w:highlight w:val="none"/>
        </w:rPr>
        <w:t>日期：</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年</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月</w:t>
      </w:r>
      <w:r>
        <w:rPr>
          <w:rFonts w:hint="default" w:ascii="Arial" w:hAnsi="Arial" w:eastAsia="宋体" w:cs="Arial"/>
          <w:bCs/>
          <w:color w:val="auto"/>
          <w:sz w:val="28"/>
          <w:szCs w:val="28"/>
          <w:highlight w:val="none"/>
          <w:u w:val="single"/>
        </w:rPr>
        <w:t xml:space="preserve">      </w:t>
      </w:r>
      <w:r>
        <w:rPr>
          <w:rFonts w:hint="default" w:ascii="Arial" w:hAnsi="Arial" w:eastAsia="宋体" w:cs="Arial"/>
          <w:bCs/>
          <w:color w:val="auto"/>
          <w:sz w:val="24"/>
          <w:highlight w:val="none"/>
        </w:rPr>
        <w:t>日</w:t>
      </w:r>
    </w:p>
    <w:p>
      <w:pPr>
        <w:pStyle w:val="9"/>
        <w:snapToGrid w:val="0"/>
        <w:spacing w:before="50" w:after="50" w:line="360" w:lineRule="exact"/>
        <w:ind w:firstLine="960" w:firstLineChars="400"/>
        <w:rPr>
          <w:rFonts w:hint="default" w:ascii="Arial" w:hAnsi="Arial" w:eastAsia="宋体" w:cs="Arial"/>
          <w:bCs/>
          <w:color w:val="auto"/>
          <w:sz w:val="24"/>
          <w:szCs w:val="24"/>
          <w:highlight w:val="none"/>
        </w:rPr>
      </w:pPr>
    </w:p>
    <w:p>
      <w:pPr>
        <w:rPr>
          <w:rFonts w:hint="default" w:ascii="Arial" w:hAnsi="Arial" w:eastAsia="宋体" w:cs="Arial"/>
          <w:color w:val="auto"/>
          <w:highlight w:val="none"/>
        </w:rPr>
      </w:pPr>
      <w:r>
        <w:rPr>
          <w:rFonts w:hint="default" w:ascii="Arial" w:hAnsi="Arial" w:eastAsia="宋体" w:cs="Arial"/>
          <w:color w:val="auto"/>
          <w:highlight w:val="none"/>
        </w:rPr>
        <w:br w:type="page"/>
      </w:r>
    </w:p>
    <w:p>
      <w:pPr>
        <w:snapToGrid w:val="0"/>
        <w:spacing w:before="50" w:after="50" w:line="440" w:lineRule="exact"/>
        <w:ind w:firstLine="138" w:firstLineChars="49"/>
        <w:jc w:val="center"/>
        <w:rPr>
          <w:rFonts w:hint="default" w:ascii="Arial" w:hAnsi="Arial" w:eastAsia="宋体" w:cs="Arial"/>
          <w:b/>
          <w:color w:val="auto"/>
          <w:sz w:val="28"/>
          <w:szCs w:val="28"/>
          <w:highlight w:val="none"/>
        </w:rPr>
      </w:pPr>
      <w:r>
        <w:rPr>
          <w:rFonts w:hint="default" w:ascii="Arial" w:hAnsi="Arial" w:eastAsia="宋体" w:cs="Arial"/>
          <w:b/>
          <w:color w:val="auto"/>
          <w:sz w:val="28"/>
          <w:szCs w:val="28"/>
          <w:highlight w:val="none"/>
        </w:rPr>
        <w:t>目录</w:t>
      </w:r>
    </w:p>
    <w:p>
      <w:pPr>
        <w:snapToGrid w:val="0"/>
        <w:spacing w:before="50" w:after="50" w:line="440" w:lineRule="exact"/>
        <w:ind w:firstLine="118" w:firstLineChars="49"/>
        <w:jc w:val="center"/>
        <w:rPr>
          <w:rFonts w:hint="default" w:ascii="Arial" w:hAnsi="Arial" w:eastAsia="宋体" w:cs="Arial"/>
          <w:b/>
          <w:color w:val="auto"/>
          <w:sz w:val="24"/>
          <w:highlight w:val="none"/>
        </w:rPr>
      </w:pPr>
      <w:r>
        <w:rPr>
          <w:rFonts w:hint="default" w:ascii="Arial" w:hAnsi="Arial" w:eastAsia="宋体" w:cs="Arial"/>
          <w:b/>
          <w:color w:val="auto"/>
          <w:sz w:val="24"/>
          <w:highlight w:val="none"/>
        </w:rPr>
        <w:t>（应有页码）</w:t>
      </w:r>
    </w:p>
    <w:p>
      <w:pPr>
        <w:rPr>
          <w:rFonts w:hint="default" w:ascii="Arial" w:hAnsi="Arial" w:eastAsia="宋体" w:cs="Arial"/>
          <w:b/>
          <w:color w:val="auto"/>
          <w:szCs w:val="21"/>
          <w:highlight w:val="none"/>
        </w:rPr>
      </w:pPr>
      <w:r>
        <w:rPr>
          <w:rFonts w:hint="default" w:ascii="Arial" w:hAnsi="Arial" w:eastAsia="宋体" w:cs="Arial"/>
          <w:color w:val="auto"/>
          <w:highlight w:val="none"/>
        </w:rPr>
        <w:br w:type="page"/>
      </w:r>
      <w:bookmarkStart w:id="58" w:name="_Toc455309222"/>
      <w:bookmarkStart w:id="59" w:name="_Toc462320613"/>
      <w:bookmarkStart w:id="60" w:name="_Toc462223472"/>
      <w:bookmarkStart w:id="61" w:name="_Hlk19114325"/>
      <w:r>
        <w:rPr>
          <w:rFonts w:hint="default" w:ascii="Arial" w:hAnsi="Arial" w:eastAsia="宋体" w:cs="Arial"/>
          <w:color w:val="auto"/>
          <w:szCs w:val="21"/>
          <w:highlight w:val="none"/>
        </w:rPr>
        <w:t>1．法定代表人身份证明</w:t>
      </w:r>
      <w:r>
        <w:rPr>
          <w:rFonts w:hint="default" w:ascii="Arial" w:hAnsi="Arial" w:eastAsia="宋体" w:cs="Arial"/>
          <w:b/>
          <w:color w:val="auto"/>
          <w:szCs w:val="21"/>
          <w:highlight w:val="none"/>
        </w:rPr>
        <w:t>（无授权代表时必须提供）：</w:t>
      </w:r>
    </w:p>
    <w:p>
      <w:pPr>
        <w:snapToGrid w:val="0"/>
        <w:spacing w:beforeLines="50" w:after="50" w:line="440" w:lineRule="exact"/>
        <w:jc w:val="center"/>
        <w:rPr>
          <w:rFonts w:hint="default" w:ascii="Arial" w:hAnsi="Arial" w:eastAsia="宋体" w:cs="Arial"/>
          <w:color w:val="auto"/>
          <w:szCs w:val="21"/>
          <w:highlight w:val="none"/>
        </w:rPr>
      </w:pPr>
    </w:p>
    <w:p>
      <w:pPr>
        <w:snapToGrid w:val="0"/>
        <w:spacing w:beforeLines="50" w:after="50" w:line="44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法定代表人身份证明</w:t>
      </w:r>
      <w:bookmarkEnd w:id="58"/>
      <w:bookmarkEnd w:id="59"/>
      <w:bookmarkEnd w:id="60"/>
    </w:p>
    <w:p>
      <w:pPr>
        <w:spacing w:line="360" w:lineRule="auto"/>
        <w:rPr>
          <w:rFonts w:hint="default" w:ascii="Arial" w:hAnsi="Arial" w:eastAsia="宋体" w:cs="Arial"/>
          <w:color w:val="auto"/>
          <w:highlight w:val="none"/>
        </w:rPr>
      </w:pP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供应商名称： </w:t>
      </w:r>
      <w:r>
        <w:rPr>
          <w:rFonts w:hint="default" w:ascii="Arial" w:hAnsi="Arial" w:eastAsia="宋体" w:cs="Arial"/>
          <w:color w:val="auto"/>
          <w:szCs w:val="21"/>
          <w:highlight w:val="none"/>
          <w:u w:val="single"/>
        </w:rPr>
        <w:t xml:space="preserve">               </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单位性质：</w:t>
      </w:r>
      <w:r>
        <w:rPr>
          <w:rFonts w:hint="default" w:ascii="Arial" w:hAnsi="Arial" w:eastAsia="宋体" w:cs="Arial"/>
          <w:color w:val="auto"/>
          <w:szCs w:val="21"/>
          <w:highlight w:val="none"/>
          <w:u w:val="single"/>
        </w:rPr>
        <w:t xml:space="preserve">               </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地址：</w:t>
      </w:r>
      <w:r>
        <w:rPr>
          <w:rFonts w:hint="default" w:ascii="Arial" w:hAnsi="Arial" w:eastAsia="宋体" w:cs="Arial"/>
          <w:color w:val="auto"/>
          <w:szCs w:val="21"/>
          <w:highlight w:val="none"/>
          <w:u w:val="single"/>
        </w:rPr>
        <w:t xml:space="preserve">                     </w:t>
      </w:r>
    </w:p>
    <w:p>
      <w:pPr>
        <w:spacing w:line="540" w:lineRule="exact"/>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成立时间：</w:t>
      </w:r>
      <w:r>
        <w:rPr>
          <w:rFonts w:hint="default" w:ascii="Arial" w:hAnsi="Arial" w:eastAsia="宋体" w:cs="Arial"/>
          <w:color w:val="auto"/>
          <w:szCs w:val="21"/>
          <w:highlight w:val="none"/>
          <w:u w:val="single"/>
        </w:rPr>
        <w:t>年      月     日</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经营期限：</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姓名：；          性别：  </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年龄：；    职务：；    身份证：</w:t>
      </w:r>
    </w:p>
    <w:p>
      <w:pPr>
        <w:spacing w:line="5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系</w:t>
      </w:r>
      <w:r>
        <w:rPr>
          <w:rFonts w:hint="default" w:ascii="Arial" w:hAnsi="Arial" w:eastAsia="宋体" w:cs="Arial"/>
          <w:color w:val="auto"/>
          <w:szCs w:val="21"/>
          <w:highlight w:val="none"/>
          <w:u w:val="single"/>
        </w:rPr>
        <w:t>（ 供应商名称）</w:t>
      </w:r>
      <w:r>
        <w:rPr>
          <w:rFonts w:hint="default" w:ascii="Arial" w:hAnsi="Arial" w:eastAsia="宋体" w:cs="Arial"/>
          <w:color w:val="auto"/>
          <w:szCs w:val="21"/>
          <w:highlight w:val="none"/>
        </w:rPr>
        <w:t>的法定代表人。</w:t>
      </w:r>
    </w:p>
    <w:p>
      <w:pPr>
        <w:spacing w:line="540" w:lineRule="exact"/>
        <w:rPr>
          <w:rFonts w:hint="default" w:ascii="Arial" w:hAnsi="Arial" w:eastAsia="宋体" w:cs="Arial"/>
          <w:color w:val="auto"/>
          <w:szCs w:val="21"/>
          <w:highlight w:val="none"/>
        </w:rPr>
      </w:pPr>
    </w:p>
    <w:p>
      <w:pPr>
        <w:spacing w:line="54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特此证明。</w:t>
      </w:r>
    </w:p>
    <w:p>
      <w:pPr>
        <w:spacing w:line="360" w:lineRule="auto"/>
        <w:ind w:firstLine="4830" w:firstLineChars="2300"/>
        <w:rPr>
          <w:rFonts w:hint="default" w:ascii="Arial" w:hAnsi="Arial" w:eastAsia="宋体" w:cs="Arial"/>
          <w:color w:val="auto"/>
          <w:szCs w:val="21"/>
          <w:highlight w:val="none"/>
        </w:rPr>
      </w:pPr>
      <w:r>
        <w:rPr>
          <w:rFonts w:hint="default" w:ascii="Arial" w:hAnsi="Arial" w:eastAsia="宋体" w:cs="Arial"/>
          <w:color w:val="auto"/>
          <w:szCs w:val="21"/>
          <w:highlight w:val="none"/>
        </w:rPr>
        <w:t>供应商公章（CA签章）：</w:t>
      </w:r>
      <w:r>
        <w:rPr>
          <w:rFonts w:hint="default" w:ascii="Arial" w:hAnsi="Arial" w:eastAsia="宋体" w:cs="Arial"/>
          <w:color w:val="auto"/>
          <w:szCs w:val="21"/>
          <w:highlight w:val="none"/>
          <w:u w:val="single"/>
        </w:rPr>
        <w:t xml:space="preserve"> </w:t>
      </w:r>
    </w:p>
    <w:p>
      <w:pPr>
        <w:spacing w:line="360" w:lineRule="auto"/>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年  月  日 </w:t>
      </w:r>
    </w:p>
    <w:p>
      <w:pPr>
        <w:spacing w:line="360" w:lineRule="auto"/>
        <w:ind w:firstLine="420" w:firstLineChars="200"/>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附件：法定代表人身份证复印件</w:t>
      </w:r>
    </w:p>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highlight w:val="none"/>
        </w:rPr>
      </w:pPr>
      <w:r>
        <w:rPr>
          <w:rFonts w:hint="default" w:ascii="Arial" w:hAnsi="Arial" w:eastAsia="宋体" w:cs="Arial"/>
          <w:color w:val="auto"/>
          <w:highlight w:val="none"/>
        </w:rPr>
        <w:t>注：法定代表人亲自出席开标会议时，须随身携带本“法定代表人身份证明”原件一份以及身份证原件，以备核查。</w:t>
      </w:r>
    </w:p>
    <w:bookmarkEnd w:id="61"/>
    <w:p>
      <w:pPr>
        <w:snapToGrid w:val="0"/>
        <w:spacing w:beforeLines="50" w:after="50" w:line="360" w:lineRule="exact"/>
        <w:rPr>
          <w:rFonts w:hint="default" w:ascii="Arial" w:hAnsi="Arial" w:eastAsia="宋体" w:cs="Arial"/>
          <w:b/>
          <w:color w:val="auto"/>
          <w:szCs w:val="21"/>
          <w:highlight w:val="none"/>
        </w:rPr>
      </w:pPr>
      <w:r>
        <w:rPr>
          <w:rFonts w:hint="default" w:ascii="Arial" w:hAnsi="Arial" w:eastAsia="宋体" w:cs="Arial"/>
          <w:b/>
          <w:color w:val="auto"/>
          <w:szCs w:val="21"/>
          <w:highlight w:val="none"/>
        </w:rPr>
        <w:br w:type="page"/>
      </w:r>
      <w:r>
        <w:rPr>
          <w:rFonts w:hint="default" w:ascii="Arial" w:hAnsi="Arial" w:eastAsia="宋体" w:cs="Arial"/>
          <w:b/>
          <w:color w:val="auto"/>
          <w:szCs w:val="21"/>
          <w:highlight w:val="none"/>
        </w:rPr>
        <w:t>1．授权委托书（有授权代表时必须提供）：</w:t>
      </w:r>
    </w:p>
    <w:p>
      <w:pPr>
        <w:snapToGrid w:val="0"/>
        <w:spacing w:beforeLines="50" w:after="50" w:line="440" w:lineRule="exact"/>
        <w:jc w:val="center"/>
        <w:rPr>
          <w:rFonts w:hint="default" w:ascii="Arial" w:hAnsi="Arial" w:eastAsia="宋体" w:cs="Arial"/>
          <w:b/>
          <w:color w:val="auto"/>
          <w:szCs w:val="21"/>
          <w:highlight w:val="none"/>
        </w:rPr>
      </w:pPr>
    </w:p>
    <w:p>
      <w:pPr>
        <w:snapToGrid w:val="0"/>
        <w:spacing w:beforeLines="50" w:after="50" w:line="44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法定代表人授权委托书</w:t>
      </w:r>
    </w:p>
    <w:p>
      <w:pPr>
        <w:snapToGrid w:val="0"/>
        <w:spacing w:beforeLines="50" w:after="50" w:line="440" w:lineRule="exact"/>
        <w:rPr>
          <w:rFonts w:hint="default" w:ascii="Arial" w:hAnsi="Arial" w:eastAsia="宋体" w:cs="Arial"/>
          <w:b/>
          <w:bCs/>
          <w:color w:val="auto"/>
          <w:szCs w:val="21"/>
          <w:highlight w:val="none"/>
        </w:rPr>
      </w:pPr>
      <w:r>
        <w:rPr>
          <w:rFonts w:hint="default" w:ascii="Arial" w:hAnsi="Arial" w:eastAsia="宋体" w:cs="Arial"/>
          <w:bCs/>
          <w:color w:val="auto"/>
          <w:szCs w:val="21"/>
          <w:highlight w:val="none"/>
        </w:rPr>
        <w:t>致：</w:t>
      </w:r>
      <w:r>
        <w:rPr>
          <w:rFonts w:hint="default" w:ascii="Arial" w:hAnsi="Arial" w:eastAsia="宋体" w:cs="Arial"/>
          <w:i/>
          <w:iCs/>
          <w:color w:val="auto"/>
          <w:szCs w:val="21"/>
          <w:highlight w:val="none"/>
          <w:u w:val="single"/>
        </w:rPr>
        <w:t>（采购人名称）</w:t>
      </w:r>
      <w:r>
        <w:rPr>
          <w:rFonts w:hint="default" w:ascii="Arial" w:hAnsi="Arial" w:eastAsia="宋体" w:cs="Arial"/>
          <w:color w:val="auto"/>
          <w:szCs w:val="21"/>
          <w:highlight w:val="none"/>
        </w:rPr>
        <w:t>：</w:t>
      </w:r>
    </w:p>
    <w:p>
      <w:pPr>
        <w:snapToGrid w:val="0"/>
        <w:spacing w:beforeLines="50" w:after="50" w:line="440" w:lineRule="exact"/>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我__</w:t>
      </w:r>
      <w:r>
        <w:rPr>
          <w:rFonts w:hint="default" w:ascii="Arial" w:hAnsi="Arial" w:eastAsia="宋体" w:cs="Arial"/>
          <w:i/>
          <w:iCs/>
          <w:color w:val="auto"/>
          <w:szCs w:val="21"/>
          <w:highlight w:val="none"/>
          <w:u w:val="single"/>
        </w:rPr>
        <w:t>（法定代表人姓名）</w:t>
      </w:r>
      <w:r>
        <w:rPr>
          <w:rFonts w:hint="default" w:ascii="Arial" w:hAnsi="Arial" w:eastAsia="宋体" w:cs="Arial"/>
          <w:color w:val="auto"/>
          <w:szCs w:val="21"/>
          <w:highlight w:val="none"/>
        </w:rPr>
        <w:t>_系_</w:t>
      </w:r>
      <w:r>
        <w:rPr>
          <w:rFonts w:hint="default" w:ascii="Arial" w:hAnsi="Arial" w:eastAsia="宋体" w:cs="Arial"/>
          <w:i/>
          <w:iCs/>
          <w:color w:val="auto"/>
          <w:szCs w:val="21"/>
          <w:highlight w:val="none"/>
          <w:u w:val="single"/>
        </w:rPr>
        <w:t>（供应商名称）</w:t>
      </w:r>
      <w:r>
        <w:rPr>
          <w:rFonts w:hint="default" w:ascii="Arial" w:hAnsi="Arial" w:eastAsia="宋体" w:cs="Arial"/>
          <w:color w:val="auto"/>
          <w:szCs w:val="21"/>
          <w:highlight w:val="none"/>
        </w:rPr>
        <w:t>_的法定代表人，现授权委托本单位在职职工（姓名）以我方的名义参加</w:t>
      </w:r>
      <w:r>
        <w:rPr>
          <w:rFonts w:hint="default" w:ascii="Arial" w:hAnsi="Arial" w:eastAsia="宋体" w:cs="Arial"/>
          <w:color w:val="auto"/>
          <w:szCs w:val="21"/>
          <w:highlight w:val="none"/>
          <w:u w:val="single"/>
        </w:rPr>
        <w:t xml:space="preserve"> </w:t>
      </w:r>
      <w:r>
        <w:rPr>
          <w:rFonts w:hint="default" w:ascii="Arial" w:hAnsi="Arial" w:eastAsia="宋体" w:cs="Arial"/>
          <w:i/>
          <w:iCs/>
          <w:color w:val="auto"/>
          <w:szCs w:val="21"/>
          <w:highlight w:val="none"/>
          <w:u w:val="single"/>
        </w:rPr>
        <w:t>（项目名称）</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项目的投标活动，并代表我方全权办理针对上述项目的投标、开标、评标、签约等具体事务和签署相关文件。</w:t>
      </w:r>
    </w:p>
    <w:p>
      <w:pPr>
        <w:snapToGrid w:val="0"/>
        <w:spacing w:beforeLines="50" w:after="50" w:line="4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我方对被授权人的签名事项负全部责任。</w:t>
      </w:r>
    </w:p>
    <w:p>
      <w:pPr>
        <w:snapToGrid w:val="0"/>
        <w:spacing w:beforeLines="50" w:after="50" w:line="440" w:lineRule="exact"/>
        <w:ind w:firstLine="480"/>
        <w:rPr>
          <w:rFonts w:hint="default" w:ascii="Arial" w:hAnsi="Arial" w:eastAsia="宋体" w:cs="Arial"/>
          <w:color w:val="auto"/>
          <w:szCs w:val="21"/>
          <w:highlight w:val="none"/>
        </w:rPr>
      </w:pPr>
      <w:r>
        <w:rPr>
          <w:rFonts w:hint="default" w:ascii="Arial" w:hAnsi="Arial" w:eastAsia="宋体" w:cs="Arial"/>
          <w:color w:val="auto"/>
          <w:szCs w:val="21"/>
          <w:highlight w:val="none"/>
        </w:rPr>
        <w:t>在撤销授权的书面通知以前，本授权书一直有效。被授权人在授权书有效期内签署的所有文件不因授权的撤销而失效。</w:t>
      </w:r>
    </w:p>
    <w:p>
      <w:pPr>
        <w:snapToGrid w:val="0"/>
        <w:spacing w:beforeLines="50" w:after="50" w:line="440" w:lineRule="exact"/>
        <w:ind w:firstLine="480"/>
        <w:rPr>
          <w:rFonts w:hint="default" w:ascii="Arial" w:hAnsi="Arial" w:eastAsia="宋体" w:cs="Arial"/>
          <w:color w:val="auto"/>
          <w:szCs w:val="21"/>
          <w:highlight w:val="none"/>
        </w:rPr>
      </w:pPr>
      <w:r>
        <w:rPr>
          <w:rFonts w:hint="default" w:ascii="Arial" w:hAnsi="Arial" w:eastAsia="宋体" w:cs="Arial"/>
          <w:color w:val="auto"/>
          <w:szCs w:val="21"/>
          <w:highlight w:val="none"/>
        </w:rPr>
        <w:t>被授权人无转委托权，特此委托。</w:t>
      </w:r>
    </w:p>
    <w:p>
      <w:pPr>
        <w:snapToGrid w:val="0"/>
        <w:spacing w:beforeLines="50" w:after="50" w:line="440" w:lineRule="exact"/>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被授权人签字或个人CA签章：  法定代表人签字或个人CA签章：</w:t>
      </w:r>
    </w:p>
    <w:p>
      <w:pPr>
        <w:snapToGrid w:val="0"/>
        <w:spacing w:beforeLines="50" w:after="50" w:line="4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职务：职务：</w:t>
      </w:r>
      <w:r>
        <w:rPr>
          <w:rFonts w:hint="default" w:ascii="Arial" w:hAnsi="Arial" w:eastAsia="宋体" w:cs="Arial"/>
          <w:color w:val="auto"/>
          <w:szCs w:val="21"/>
          <w:highlight w:val="none"/>
          <w:u w:val="single"/>
        </w:rPr>
        <w:t xml:space="preserve">               </w:t>
      </w:r>
    </w:p>
    <w:p>
      <w:pPr>
        <w:snapToGrid w:val="0"/>
        <w:spacing w:beforeLines="50" w:after="50" w:line="4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被授权人身份证号码：</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 xml:space="preserve">                   授权人身份证号码：</w:t>
      </w:r>
      <w:r>
        <w:rPr>
          <w:rFonts w:hint="default" w:ascii="Arial" w:hAnsi="Arial" w:eastAsia="宋体" w:cs="Arial"/>
          <w:color w:val="auto"/>
          <w:szCs w:val="21"/>
          <w:highlight w:val="none"/>
          <w:u w:val="single"/>
        </w:rPr>
        <w:t xml:space="preserve">               </w:t>
      </w:r>
    </w:p>
    <w:p>
      <w:pPr>
        <w:snapToGrid w:val="0"/>
        <w:spacing w:beforeLines="50" w:after="50" w:line="440" w:lineRule="exact"/>
        <w:rPr>
          <w:rFonts w:hint="default" w:ascii="Arial" w:hAnsi="Arial" w:eastAsia="宋体" w:cs="Arial"/>
          <w:color w:val="auto"/>
          <w:szCs w:val="21"/>
          <w:highlight w:val="none"/>
        </w:rPr>
      </w:pPr>
      <w:r>
        <w:rPr>
          <w:rFonts w:hint="default" w:ascii="Arial" w:hAnsi="Arial" w:eastAsia="宋体" w:cs="Arial"/>
          <w:color w:val="auto"/>
          <w:szCs w:val="21"/>
          <w:highlight w:val="none"/>
        </w:rPr>
        <w:t>被授权人邮箱：</w:t>
      </w:r>
    </w:p>
    <w:p>
      <w:pPr>
        <w:snapToGrid w:val="0"/>
        <w:spacing w:beforeLines="50" w:after="50" w:line="440" w:lineRule="exact"/>
        <w:ind w:firstLine="5670" w:firstLineChars="2700"/>
        <w:rPr>
          <w:rFonts w:hint="default" w:ascii="Arial" w:hAnsi="Arial" w:eastAsia="宋体" w:cs="Arial"/>
          <w:color w:val="auto"/>
          <w:szCs w:val="21"/>
          <w:highlight w:val="none"/>
        </w:rPr>
      </w:pPr>
    </w:p>
    <w:p>
      <w:pPr>
        <w:snapToGrid w:val="0"/>
        <w:spacing w:beforeLines="50" w:after="50" w:line="440" w:lineRule="exact"/>
        <w:ind w:firstLine="5670" w:firstLineChars="2700"/>
        <w:rPr>
          <w:rFonts w:hint="default" w:ascii="Arial" w:hAnsi="Arial" w:eastAsia="宋体" w:cs="Arial"/>
          <w:color w:val="auto"/>
          <w:szCs w:val="21"/>
          <w:highlight w:val="none"/>
        </w:rPr>
      </w:pPr>
      <w:r>
        <w:rPr>
          <w:rFonts w:hint="default" w:ascii="Arial" w:hAnsi="Arial" w:eastAsia="宋体" w:cs="Arial"/>
          <w:color w:val="auto"/>
          <w:szCs w:val="21"/>
          <w:highlight w:val="none"/>
        </w:rPr>
        <w:t>供应商公章（CA签章）：</w:t>
      </w:r>
      <w:r>
        <w:rPr>
          <w:rFonts w:hint="default" w:ascii="Arial" w:hAnsi="Arial" w:eastAsia="宋体" w:cs="Arial"/>
          <w:color w:val="auto"/>
          <w:szCs w:val="21"/>
          <w:highlight w:val="none"/>
          <w:u w:val="single"/>
        </w:rPr>
        <w:t xml:space="preserve"> </w:t>
      </w:r>
    </w:p>
    <w:p>
      <w:pPr>
        <w:snapToGrid w:val="0"/>
        <w:spacing w:beforeLines="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年月日</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附件：法定代表人身份证复印件及授权代表身份证复印件</w:t>
      </w:r>
    </w:p>
    <w:p>
      <w:pPr>
        <w:spacing w:line="360" w:lineRule="auto"/>
        <w:rPr>
          <w:rFonts w:hint="default" w:ascii="Arial" w:hAnsi="Arial" w:eastAsia="宋体" w:cs="Arial"/>
          <w:color w:val="auto"/>
          <w:highlight w:val="none"/>
        </w:rPr>
      </w:pPr>
    </w:p>
    <w:p>
      <w:pPr>
        <w:spacing w:line="360" w:lineRule="auto"/>
        <w:rPr>
          <w:rFonts w:hint="default" w:ascii="Arial" w:hAnsi="Arial" w:eastAsia="宋体" w:cs="Arial"/>
          <w:color w:val="auto"/>
          <w:highlight w:val="none"/>
        </w:rPr>
      </w:pPr>
      <w:r>
        <w:rPr>
          <w:rFonts w:hint="default" w:ascii="Arial" w:hAnsi="Arial" w:eastAsia="宋体" w:cs="Arial"/>
          <w:color w:val="auto"/>
          <w:highlight w:val="none"/>
        </w:rPr>
        <w:t>注：授权代表出席开标会议时，须随身携带本“法定代表人授权委托书”原件一份以及本人身份证原件，以备核查。</w:t>
      </w:r>
    </w:p>
    <w:p>
      <w:pPr>
        <w:snapToGrid w:val="0"/>
        <w:spacing w:beforeLines="50" w:after="50" w:line="440" w:lineRule="exact"/>
        <w:jc w:val="center"/>
        <w:outlineLvl w:val="1"/>
        <w:rPr>
          <w:rFonts w:hint="default" w:ascii="Arial" w:hAnsi="Arial" w:eastAsia="宋体" w:cs="Arial"/>
          <w:bCs/>
          <w:color w:val="auto"/>
          <w:sz w:val="24"/>
          <w:highlight w:val="none"/>
        </w:rPr>
      </w:pPr>
      <w:r>
        <w:rPr>
          <w:rFonts w:hint="default" w:ascii="Arial" w:hAnsi="Arial" w:eastAsia="宋体" w:cs="Arial"/>
          <w:bCs/>
          <w:color w:val="auto"/>
          <w:sz w:val="24"/>
          <w:highlight w:val="none"/>
        </w:rPr>
        <w:br w:type="page"/>
      </w:r>
      <w:r>
        <w:rPr>
          <w:rFonts w:hint="default" w:ascii="Arial" w:hAnsi="Arial" w:eastAsia="宋体" w:cs="Arial"/>
          <w:bCs/>
          <w:color w:val="auto"/>
          <w:sz w:val="24"/>
          <w:highlight w:val="none"/>
        </w:rPr>
        <w:t>第一部分 商务文件</w:t>
      </w:r>
    </w:p>
    <w:p>
      <w:pPr>
        <w:jc w:val="center"/>
        <w:rPr>
          <w:rFonts w:hint="default" w:ascii="Arial" w:hAnsi="Arial" w:eastAsia="宋体" w:cs="Arial"/>
          <w:bCs/>
          <w:color w:val="auto"/>
          <w:sz w:val="24"/>
          <w:highlight w:val="none"/>
        </w:rPr>
      </w:pPr>
      <w:r>
        <w:rPr>
          <w:rFonts w:hint="default" w:ascii="Arial" w:hAnsi="Arial" w:eastAsia="宋体" w:cs="Arial"/>
          <w:color w:val="auto"/>
          <w:highlight w:val="none"/>
        </w:rPr>
        <w:t>（本商务文件除标注“必须提供”的部分外，其余部分供应商可自行编写，也可参照下述提纲编写）</w:t>
      </w:r>
    </w:p>
    <w:p>
      <w:pPr>
        <w:snapToGrid w:val="0"/>
        <w:spacing w:before="50" w:afterLines="50" w:line="440" w:lineRule="exact"/>
        <w:jc w:val="left"/>
        <w:rPr>
          <w:rFonts w:hint="default" w:ascii="Arial" w:hAnsi="Arial" w:eastAsia="宋体" w:cs="Arial"/>
          <w:color w:val="auto"/>
          <w:szCs w:val="21"/>
          <w:highlight w:val="none"/>
        </w:rPr>
      </w:pPr>
    </w:p>
    <w:p>
      <w:pPr>
        <w:snapToGrid w:val="0"/>
        <w:spacing w:before="50" w:afterLines="50" w:line="4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1．对本项目第二章《项目采购需求》“本项目商务要求”的响应偏离表</w:t>
      </w:r>
      <w:r>
        <w:rPr>
          <w:rFonts w:hint="default" w:ascii="Arial" w:hAnsi="Arial" w:eastAsia="宋体" w:cs="Arial"/>
          <w:b/>
          <w:color w:val="auto"/>
          <w:szCs w:val="21"/>
          <w:highlight w:val="none"/>
        </w:rPr>
        <w:t>（</w:t>
      </w:r>
      <w:r>
        <w:rPr>
          <w:rFonts w:hint="default" w:ascii="Arial" w:hAnsi="Arial" w:eastAsia="宋体" w:cs="Arial"/>
          <w:b/>
          <w:color w:val="auto"/>
          <w:highlight w:val="none"/>
        </w:rPr>
        <w:t>必须提供</w:t>
      </w:r>
      <w:r>
        <w:rPr>
          <w:rFonts w:hint="default" w:ascii="Arial" w:hAnsi="Arial" w:eastAsia="宋体" w:cs="Arial"/>
          <w:b/>
          <w:color w:val="auto"/>
          <w:szCs w:val="21"/>
          <w:highlight w:val="none"/>
        </w:rPr>
        <w:t>）</w:t>
      </w:r>
      <w:r>
        <w:rPr>
          <w:rFonts w:hint="default" w:ascii="Arial" w:hAnsi="Arial" w:eastAsia="宋体" w:cs="Arial"/>
          <w:color w:val="auto"/>
          <w:szCs w:val="21"/>
          <w:highlight w:val="none"/>
        </w:rPr>
        <w:t>：</w:t>
      </w:r>
    </w:p>
    <w:tbl>
      <w:tblPr>
        <w:tblStyle w:val="53"/>
        <w:tblW w:w="88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6"/>
        <w:gridCol w:w="2110"/>
        <w:gridCol w:w="4630"/>
        <w:gridCol w:w="13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9" w:hRule="atLeas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序号</w:t>
            </w:r>
          </w:p>
        </w:tc>
        <w:tc>
          <w:tcPr>
            <w:tcW w:w="211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招标文件的商务要求</w:t>
            </w:r>
          </w:p>
        </w:tc>
        <w:tc>
          <w:tcPr>
            <w:tcW w:w="463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投标文件响应内容（可注明所在页码）</w:t>
            </w:r>
          </w:p>
        </w:tc>
        <w:tc>
          <w:tcPr>
            <w:tcW w:w="134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highlight w:val="none"/>
              </w:rPr>
              <w:t>偏离</w:t>
            </w:r>
            <w:r>
              <w:rPr>
                <w:rFonts w:hint="default" w:ascii="Arial" w:hAnsi="Arial" w:eastAsia="宋体" w:cs="Arial"/>
                <w:color w:val="auto"/>
                <w:szCs w:val="21"/>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211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463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34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211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463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34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211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w:t>
            </w:r>
          </w:p>
        </w:tc>
        <w:tc>
          <w:tcPr>
            <w:tcW w:w="4630"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34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bl>
    <w:p>
      <w:pPr>
        <w:pStyle w:val="29"/>
        <w:tabs>
          <w:tab w:val="left" w:pos="2127"/>
        </w:tabs>
        <w:spacing w:line="340" w:lineRule="exact"/>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注：（1）本表应对招标文件第二章《项目采购需求》中所列商务要求进行响应；</w:t>
      </w:r>
    </w:p>
    <w:p>
      <w:pPr>
        <w:pStyle w:val="29"/>
        <w:tabs>
          <w:tab w:val="left" w:pos="2127"/>
        </w:tabs>
        <w:spacing w:line="340" w:lineRule="exact"/>
        <w:ind w:firstLine="420" w:firstLineChars="200"/>
        <w:jc w:val="left"/>
        <w:rPr>
          <w:rFonts w:hint="default" w:ascii="Arial" w:hAnsi="Arial" w:eastAsia="宋体" w:cs="Arial"/>
          <w:color w:val="auto"/>
          <w:highlight w:val="none"/>
        </w:rPr>
      </w:pPr>
      <w:bookmarkStart w:id="62" w:name="_Hlk19049081"/>
      <w:r>
        <w:rPr>
          <w:rFonts w:hint="default" w:ascii="Arial" w:hAnsi="Arial" w:eastAsia="宋体" w:cs="Arial"/>
          <w:color w:val="auto"/>
          <w:highlight w:val="none"/>
        </w:rPr>
        <w:t>（2）本表内容必须如实填写，并根据响应情况在“偏离说明”栏填写正偏离或负偏离及原因，完全符合的填写“无偏离”。填写“无偏离”时，如相应条款在投标文件其他部分描述明确不满足招标文件要求时，评标委员会将按不满足要求进行评审。</w:t>
      </w:r>
    </w:p>
    <w:bookmarkEnd w:id="62"/>
    <w:p>
      <w:pPr>
        <w:pStyle w:val="29"/>
        <w:tabs>
          <w:tab w:val="left" w:pos="2127"/>
        </w:tabs>
        <w:spacing w:line="340" w:lineRule="exact"/>
        <w:ind w:firstLine="420" w:firstLineChars="200"/>
        <w:jc w:val="left"/>
        <w:rPr>
          <w:rFonts w:hint="default" w:ascii="Arial" w:hAnsi="Arial" w:eastAsia="宋体" w:cs="Arial"/>
          <w:color w:val="auto"/>
          <w:highlight w:val="none"/>
        </w:rPr>
      </w:pPr>
      <w:r>
        <w:rPr>
          <w:rFonts w:hint="default" w:ascii="Arial" w:hAnsi="Arial" w:eastAsia="宋体" w:cs="Arial"/>
          <w:color w:val="auto"/>
          <w:highlight w:val="none"/>
        </w:rPr>
        <w:t>（3）本表可扩展。</w:t>
      </w:r>
    </w:p>
    <w:p>
      <w:pPr>
        <w:snapToGrid w:val="0"/>
        <w:spacing w:before="50" w:after="50" w:line="440" w:lineRule="exact"/>
        <w:rPr>
          <w:rFonts w:hint="default" w:ascii="Arial" w:hAnsi="Arial" w:eastAsia="宋体" w:cs="Arial"/>
          <w:color w:val="auto"/>
          <w:spacing w:val="20"/>
          <w:szCs w:val="21"/>
          <w:highlight w:val="none"/>
          <w:u w:val="single"/>
        </w:rPr>
      </w:pPr>
      <w:r>
        <w:rPr>
          <w:rFonts w:hint="default" w:ascii="Arial" w:hAnsi="Arial" w:eastAsia="宋体" w:cs="Arial"/>
          <w:color w:val="auto"/>
          <w:highlight w:val="none"/>
        </w:rPr>
        <w:t>法定代表人或授权代表签字或</w:t>
      </w:r>
      <w:r>
        <w:rPr>
          <w:rFonts w:hint="default" w:ascii="Arial" w:hAnsi="Arial" w:eastAsia="宋体" w:cs="Arial"/>
          <w:color w:val="auto"/>
          <w:szCs w:val="21"/>
          <w:highlight w:val="none"/>
        </w:rPr>
        <w:t>个人CA签章</w:t>
      </w:r>
      <w:r>
        <w:rPr>
          <w:rFonts w:hint="default" w:ascii="Arial" w:hAnsi="Arial" w:eastAsia="宋体" w:cs="Arial"/>
          <w:color w:val="auto"/>
          <w:spacing w:val="20"/>
          <w:szCs w:val="21"/>
          <w:highlight w:val="none"/>
        </w:rPr>
        <w:t>：</w:t>
      </w:r>
      <w:r>
        <w:rPr>
          <w:rFonts w:hint="default" w:ascii="Arial" w:hAnsi="Arial" w:eastAsia="宋体" w:cs="Arial"/>
          <w:color w:val="auto"/>
          <w:spacing w:val="20"/>
          <w:szCs w:val="21"/>
          <w:highlight w:val="none"/>
          <w:u w:val="single"/>
        </w:rPr>
        <w:t xml:space="preserve">                 </w:t>
      </w:r>
    </w:p>
    <w:p>
      <w:pPr>
        <w:snapToGrid w:val="0"/>
        <w:spacing w:before="50" w:afterLines="50" w:line="440" w:lineRule="exact"/>
        <w:jc w:val="left"/>
        <w:rPr>
          <w:rFonts w:hint="default" w:ascii="Arial" w:hAnsi="Arial" w:eastAsia="宋体" w:cs="Arial"/>
          <w:color w:val="auto"/>
          <w:spacing w:val="20"/>
          <w:szCs w:val="21"/>
          <w:highlight w:val="none"/>
        </w:rPr>
      </w:pPr>
      <w:r>
        <w:rPr>
          <w:rFonts w:hint="default" w:ascii="Arial" w:hAnsi="Arial" w:eastAsia="宋体" w:cs="Arial"/>
          <w:color w:val="auto"/>
          <w:spacing w:val="20"/>
          <w:szCs w:val="21"/>
          <w:highlight w:val="none"/>
        </w:rPr>
        <w:t>供应商公章</w:t>
      </w:r>
      <w:r>
        <w:rPr>
          <w:rFonts w:hint="default" w:ascii="Arial" w:hAnsi="Arial" w:eastAsia="宋体" w:cs="Arial"/>
          <w:color w:val="auto"/>
          <w:szCs w:val="21"/>
          <w:highlight w:val="none"/>
        </w:rPr>
        <w:t>（CA签章）</w:t>
      </w:r>
      <w:r>
        <w:rPr>
          <w:rFonts w:hint="default" w:ascii="Arial" w:hAnsi="Arial" w:eastAsia="宋体" w:cs="Arial"/>
          <w:color w:val="auto"/>
          <w:spacing w:val="20"/>
          <w:szCs w:val="21"/>
          <w:highlight w:val="none"/>
        </w:rPr>
        <w:t>：</w:t>
      </w:r>
    </w:p>
    <w:p>
      <w:pPr>
        <w:snapToGrid w:val="0"/>
        <w:spacing w:before="50" w:afterLines="50" w:line="440" w:lineRule="exact"/>
        <w:jc w:val="left"/>
        <w:rPr>
          <w:rFonts w:hint="default" w:ascii="Arial" w:hAnsi="Arial" w:eastAsia="宋体" w:cs="Arial"/>
          <w:strike/>
          <w:color w:val="auto"/>
          <w:szCs w:val="21"/>
          <w:highlight w:val="none"/>
        </w:rPr>
      </w:pPr>
      <w:r>
        <w:rPr>
          <w:rFonts w:hint="default" w:ascii="Arial" w:hAnsi="Arial" w:eastAsia="宋体" w:cs="Arial"/>
          <w:color w:val="auto"/>
          <w:spacing w:val="20"/>
          <w:szCs w:val="21"/>
          <w:highlight w:val="none"/>
        </w:rPr>
        <w:t>日  期：</w:t>
      </w:r>
    </w:p>
    <w:p>
      <w:pPr>
        <w:snapToGrid w:val="0"/>
        <w:spacing w:before="50" w:afterLines="50" w:line="440" w:lineRule="exact"/>
        <w:jc w:val="left"/>
        <w:rPr>
          <w:rFonts w:hint="default" w:ascii="Arial" w:hAnsi="Arial" w:eastAsia="宋体" w:cs="Arial"/>
          <w:strike/>
          <w:color w:val="auto"/>
          <w:szCs w:val="21"/>
          <w:highlight w:val="none"/>
        </w:rPr>
      </w:pPr>
      <w:r>
        <w:rPr>
          <w:rFonts w:hint="default" w:ascii="Arial" w:hAnsi="Arial" w:eastAsia="宋体" w:cs="Arial"/>
          <w:color w:val="auto"/>
          <w:szCs w:val="21"/>
          <w:highlight w:val="none"/>
        </w:rPr>
        <w:t>2．售后服务机构概况</w:t>
      </w:r>
    </w:p>
    <w:tbl>
      <w:tblPr>
        <w:tblStyle w:val="53"/>
        <w:tblW w:w="730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30"/>
        <w:gridCol w:w="1422"/>
        <w:gridCol w:w="191"/>
        <w:gridCol w:w="1440"/>
        <w:gridCol w:w="889"/>
        <w:gridCol w:w="14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售后服务机构名称</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地址</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注册资本金</w:t>
            </w:r>
          </w:p>
        </w:tc>
        <w:tc>
          <w:tcPr>
            <w:tcW w:w="142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520" w:type="dxa"/>
            <w:gridSpan w:val="3"/>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其中：供应商出资比例</w:t>
            </w:r>
          </w:p>
        </w:tc>
        <w:tc>
          <w:tcPr>
            <w:tcW w:w="1436"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员工总人数</w:t>
            </w:r>
          </w:p>
        </w:tc>
        <w:tc>
          <w:tcPr>
            <w:tcW w:w="142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520" w:type="dxa"/>
            <w:gridSpan w:val="3"/>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left="6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其中：技术人员数</w:t>
            </w:r>
          </w:p>
        </w:tc>
        <w:tc>
          <w:tcPr>
            <w:tcW w:w="1436"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经营期限</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售后服务协议</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售后服务内容</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工作业绩</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服务承诺</w:t>
            </w:r>
          </w:p>
        </w:tc>
        <w:tc>
          <w:tcPr>
            <w:tcW w:w="5378" w:type="dxa"/>
            <w:gridSpan w:val="5"/>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业务咨询电话</w:t>
            </w:r>
          </w:p>
        </w:tc>
        <w:tc>
          <w:tcPr>
            <w:tcW w:w="1613" w:type="dxa"/>
            <w:gridSpan w:val="2"/>
            <w:tcBorders>
              <w:top w:val="single" w:color="auto" w:sz="4" w:space="0"/>
              <w:left w:val="single" w:color="auto" w:sz="4" w:space="0"/>
              <w:bottom w:val="single" w:color="auto" w:sz="4" w:space="0"/>
              <w:right w:val="single" w:color="auto" w:sz="2"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440" w:type="dxa"/>
            <w:tcBorders>
              <w:top w:val="single" w:color="auto" w:sz="4" w:space="0"/>
              <w:left w:val="single" w:color="auto" w:sz="2" w:space="0"/>
              <w:bottom w:val="single" w:color="auto" w:sz="4" w:space="0"/>
              <w:right w:val="single" w:color="auto" w:sz="2" w:space="0"/>
            </w:tcBorders>
          </w:tcPr>
          <w:p>
            <w:pPr>
              <w:snapToGrid w:val="0"/>
              <w:spacing w:before="50" w:afterLines="50" w:line="400" w:lineRule="exact"/>
              <w:ind w:firstLine="210" w:firstLineChars="10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传 真</w:t>
            </w:r>
          </w:p>
        </w:tc>
        <w:tc>
          <w:tcPr>
            <w:tcW w:w="2325" w:type="dxa"/>
            <w:gridSpan w:val="2"/>
            <w:tcBorders>
              <w:top w:val="single" w:color="auto" w:sz="4" w:space="0"/>
              <w:left w:val="single" w:color="auto" w:sz="2" w:space="0"/>
              <w:bottom w:val="single" w:color="auto" w:sz="4" w:space="0"/>
              <w:right w:val="single" w:color="auto" w:sz="2"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1930"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负责人</w:t>
            </w:r>
          </w:p>
        </w:tc>
        <w:tc>
          <w:tcPr>
            <w:tcW w:w="1613" w:type="dxa"/>
            <w:gridSpan w:val="2"/>
            <w:tcBorders>
              <w:top w:val="single" w:color="auto" w:sz="4" w:space="0"/>
              <w:left w:val="single" w:color="auto" w:sz="4" w:space="0"/>
              <w:bottom w:val="single" w:color="auto" w:sz="4" w:space="0"/>
              <w:right w:val="single" w:color="auto" w:sz="2"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440" w:type="dxa"/>
            <w:tcBorders>
              <w:top w:val="single" w:color="auto" w:sz="4" w:space="0"/>
              <w:left w:val="single" w:color="auto" w:sz="2" w:space="0"/>
              <w:bottom w:val="single" w:color="auto" w:sz="4" w:space="0"/>
              <w:right w:val="single" w:color="auto" w:sz="2" w:space="0"/>
            </w:tcBorders>
          </w:tcPr>
          <w:p>
            <w:pPr>
              <w:snapToGrid w:val="0"/>
              <w:spacing w:before="50" w:afterLines="50" w:line="40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联系电话</w:t>
            </w:r>
          </w:p>
        </w:tc>
        <w:tc>
          <w:tcPr>
            <w:tcW w:w="2325" w:type="dxa"/>
            <w:gridSpan w:val="2"/>
            <w:tcBorders>
              <w:top w:val="single" w:color="auto" w:sz="4" w:space="0"/>
              <w:left w:val="single" w:color="auto" w:sz="2"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bl>
    <w:p>
      <w:pPr>
        <w:pStyle w:val="18"/>
        <w:snapToGrid w:val="0"/>
        <w:ind w:firstLine="630" w:firstLineChars="300"/>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法定代表人或授权代表签字或个人CA签章：</w:t>
      </w:r>
      <w:r>
        <w:rPr>
          <w:rFonts w:hint="default" w:ascii="Arial" w:hAnsi="Arial" w:eastAsia="宋体" w:cs="Arial"/>
          <w:color w:val="auto"/>
          <w:sz w:val="21"/>
          <w:szCs w:val="21"/>
          <w:highlight w:val="none"/>
          <w:u w:val="single"/>
        </w:rPr>
        <w:t>　　　　　</w:t>
      </w:r>
    </w:p>
    <w:p>
      <w:pPr>
        <w:pStyle w:val="2"/>
        <w:snapToGrid w:val="0"/>
        <w:ind w:left="1260" w:hanging="420"/>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供应商公章（CA签章）： 　 年  月　 日</w:t>
      </w:r>
    </w:p>
    <w:p>
      <w:pPr>
        <w:snapToGrid w:val="0"/>
        <w:spacing w:before="50" w:afterLines="50" w:line="440" w:lineRule="exact"/>
        <w:jc w:val="left"/>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3．售后方案（如有，供应商自行编写）</w:t>
      </w:r>
    </w:p>
    <w:p>
      <w:pPr>
        <w:snapToGrid w:val="0"/>
        <w:spacing w:before="50" w:afterLines="50" w:line="440" w:lineRule="exact"/>
        <w:jc w:val="left"/>
        <w:rPr>
          <w:rFonts w:hint="default" w:ascii="Arial" w:hAnsi="Arial" w:eastAsia="宋体" w:cs="Arial"/>
          <w:color w:val="auto"/>
          <w:spacing w:val="20"/>
          <w:szCs w:val="21"/>
          <w:highlight w:val="none"/>
          <w:u w:val="single"/>
        </w:rPr>
      </w:pPr>
    </w:p>
    <w:p>
      <w:pPr>
        <w:pStyle w:val="67"/>
        <w:rPr>
          <w:rFonts w:hint="default" w:ascii="Arial" w:hAnsi="Arial" w:eastAsia="宋体" w:cs="Arial"/>
          <w:color w:val="auto"/>
          <w:spacing w:val="20"/>
          <w:szCs w:val="21"/>
          <w:highlight w:val="none"/>
          <w:u w:val="single"/>
        </w:rPr>
      </w:pPr>
    </w:p>
    <w:p>
      <w:pPr>
        <w:pStyle w:val="69"/>
        <w:rPr>
          <w:rFonts w:hint="default" w:ascii="Arial" w:hAnsi="Arial" w:eastAsia="宋体" w:cs="Arial"/>
          <w:color w:val="auto"/>
          <w:spacing w:val="20"/>
          <w:szCs w:val="21"/>
          <w:highlight w:val="none"/>
          <w:u w:val="single"/>
        </w:rPr>
      </w:pPr>
    </w:p>
    <w:p>
      <w:pPr>
        <w:rPr>
          <w:rFonts w:hint="default" w:ascii="Arial" w:hAnsi="Arial" w:eastAsia="宋体" w:cs="Arial"/>
          <w:color w:val="auto"/>
          <w:spacing w:val="20"/>
          <w:szCs w:val="21"/>
          <w:highlight w:val="none"/>
          <w:u w:val="single"/>
        </w:rPr>
      </w:pPr>
    </w:p>
    <w:p>
      <w:pPr>
        <w:pStyle w:val="67"/>
        <w:rPr>
          <w:rFonts w:hint="default" w:ascii="Arial" w:hAnsi="Arial" w:eastAsia="宋体" w:cs="Arial"/>
          <w:color w:val="auto"/>
          <w:spacing w:val="20"/>
          <w:szCs w:val="21"/>
          <w:highlight w:val="none"/>
          <w:u w:val="single"/>
        </w:rPr>
      </w:pPr>
    </w:p>
    <w:p>
      <w:pPr>
        <w:pStyle w:val="69"/>
        <w:rPr>
          <w:rFonts w:hint="default" w:ascii="Arial" w:hAnsi="Arial" w:eastAsia="宋体" w:cs="Arial"/>
          <w:color w:val="auto"/>
          <w:spacing w:val="20"/>
          <w:szCs w:val="21"/>
          <w:highlight w:val="none"/>
          <w:u w:val="single"/>
        </w:rPr>
      </w:pPr>
    </w:p>
    <w:p>
      <w:pPr>
        <w:rPr>
          <w:rFonts w:hint="default" w:ascii="Arial" w:hAnsi="Arial" w:eastAsia="宋体" w:cs="Arial"/>
          <w:color w:val="auto"/>
          <w:highlight w:val="none"/>
        </w:rPr>
        <w:sectPr>
          <w:headerReference r:id="rId15" w:type="first"/>
          <w:headerReference r:id="rId14" w:type="default"/>
          <w:footerReference r:id="rId16" w:type="default"/>
          <w:pgSz w:w="11906" w:h="16838"/>
          <w:pgMar w:top="1418" w:right="1133" w:bottom="1246" w:left="1418" w:header="851" w:footer="992" w:gutter="0"/>
          <w:cols w:space="720" w:num="1"/>
          <w:docGrid w:linePitch="312" w:charSpace="0"/>
        </w:sectPr>
      </w:pPr>
      <w:r>
        <w:rPr>
          <w:rFonts w:hint="default" w:ascii="Arial" w:hAnsi="Arial" w:eastAsia="宋体" w:cs="Arial"/>
          <w:color w:val="auto"/>
          <w:szCs w:val="21"/>
          <w:highlight w:val="none"/>
          <w:lang w:val="en-US" w:eastAsia="zh-CN"/>
        </w:rPr>
        <w:t>4</w:t>
      </w:r>
      <w:r>
        <w:rPr>
          <w:rFonts w:hint="default" w:ascii="Arial" w:hAnsi="Arial" w:eastAsia="宋体" w:cs="Arial"/>
          <w:color w:val="auto"/>
          <w:szCs w:val="21"/>
          <w:highlight w:val="none"/>
        </w:rPr>
        <w:t>．信誉</w:t>
      </w:r>
      <w:r>
        <w:rPr>
          <w:rFonts w:hint="default" w:ascii="Arial" w:hAnsi="Arial" w:eastAsia="宋体" w:cs="Arial"/>
          <w:color w:val="auto"/>
          <w:szCs w:val="21"/>
          <w:highlight w:val="none"/>
          <w:lang w:val="en-US" w:eastAsia="zh-CN"/>
        </w:rPr>
        <w:t>证明材料（ ISO9001 系列质量体系认证、 ISO27001 信息安全管理体系认证、ISO14001 环境管理体系认证、ISO45001 职业健康安全管理体系认证等证书复印件）</w:t>
      </w:r>
      <w:r>
        <w:rPr>
          <w:rFonts w:hint="default" w:ascii="Arial" w:hAnsi="Arial" w:eastAsia="宋体" w:cs="Arial"/>
          <w:color w:val="auto"/>
          <w:szCs w:val="21"/>
          <w:highlight w:val="none"/>
        </w:rPr>
        <w:t>（如有，</w:t>
      </w:r>
      <w:r>
        <w:rPr>
          <w:rFonts w:hint="default" w:ascii="Arial" w:hAnsi="Arial" w:eastAsia="宋体" w:cs="Arial"/>
          <w:color w:val="auto"/>
          <w:szCs w:val="21"/>
          <w:highlight w:val="none"/>
          <w:lang w:val="en-US" w:eastAsia="zh-CN"/>
        </w:rPr>
        <w:t>请提供</w:t>
      </w:r>
      <w:r>
        <w:rPr>
          <w:rFonts w:hint="default" w:ascii="Arial" w:hAnsi="Arial" w:eastAsia="宋体" w:cs="Arial"/>
          <w:color w:val="auto"/>
          <w:szCs w:val="21"/>
          <w:highlight w:val="none"/>
        </w:rPr>
        <w:t>）</w:t>
      </w:r>
    </w:p>
    <w:p>
      <w:pPr>
        <w:snapToGrid w:val="0"/>
        <w:spacing w:before="50" w:afterLines="50"/>
        <w:jc w:val="left"/>
        <w:rPr>
          <w:rFonts w:hint="default" w:ascii="Arial" w:hAnsi="Arial" w:eastAsia="宋体" w:cs="Arial"/>
          <w:b/>
          <w:color w:val="auto"/>
          <w:szCs w:val="21"/>
          <w:highlight w:val="none"/>
        </w:rPr>
      </w:pPr>
      <w:r>
        <w:rPr>
          <w:rFonts w:hint="default" w:ascii="Arial" w:hAnsi="Arial" w:eastAsia="宋体" w:cs="Arial"/>
          <w:color w:val="auto"/>
          <w:szCs w:val="21"/>
          <w:highlight w:val="none"/>
          <w:lang w:val="en-US" w:eastAsia="zh-CN"/>
        </w:rPr>
        <w:t>5</w:t>
      </w:r>
      <w:r>
        <w:rPr>
          <w:rFonts w:hint="default" w:ascii="Arial" w:hAnsi="Arial" w:eastAsia="宋体" w:cs="Arial"/>
          <w:color w:val="auto"/>
          <w:szCs w:val="21"/>
          <w:highlight w:val="none"/>
        </w:rPr>
        <w:t>．近年供应商类似成功案例的业绩证明。（如有，</w:t>
      </w:r>
      <w:r>
        <w:rPr>
          <w:rFonts w:hint="default" w:ascii="Arial" w:hAnsi="Arial" w:eastAsia="宋体" w:cs="Arial"/>
          <w:color w:val="auto"/>
          <w:szCs w:val="21"/>
          <w:highlight w:val="none"/>
          <w:lang w:val="en-US" w:eastAsia="zh-CN"/>
        </w:rPr>
        <w:t>请提供）</w:t>
      </w:r>
    </w:p>
    <w:p>
      <w:pPr>
        <w:snapToGrid w:val="0"/>
        <w:spacing w:before="50" w:afterLines="50"/>
        <w:jc w:val="center"/>
        <w:rPr>
          <w:rFonts w:hint="default" w:ascii="Arial" w:hAnsi="Arial" w:eastAsia="宋体" w:cs="Arial"/>
          <w:color w:val="auto"/>
          <w:szCs w:val="21"/>
          <w:highlight w:val="none"/>
        </w:rPr>
      </w:pPr>
      <w:r>
        <w:rPr>
          <w:rFonts w:hint="default" w:ascii="Arial" w:hAnsi="Arial" w:eastAsia="宋体" w:cs="Arial"/>
          <w:b/>
          <w:color w:val="auto"/>
          <w:szCs w:val="21"/>
          <w:highlight w:val="none"/>
        </w:rPr>
        <w:t>类似成功案例业绩一览表</w:t>
      </w:r>
    </w:p>
    <w:tbl>
      <w:tblPr>
        <w:tblStyle w:val="53"/>
        <w:tblW w:w="923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63"/>
        <w:gridCol w:w="2815"/>
        <w:gridCol w:w="887"/>
        <w:gridCol w:w="887"/>
        <w:gridCol w:w="1184"/>
        <w:gridCol w:w="13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0" w:hRule="atLeast"/>
        </w:trPr>
        <w:tc>
          <w:tcPr>
            <w:tcW w:w="2163" w:type="dxa"/>
            <w:vMerge w:val="restart"/>
            <w:tcBorders>
              <w:top w:val="single" w:color="auto" w:sz="4" w:space="0"/>
              <w:bottom w:val="single" w:color="auto" w:sz="4" w:space="0"/>
              <w:right w:val="single" w:color="auto" w:sz="4" w:space="0"/>
            </w:tcBorders>
            <w:vAlign w:val="center"/>
          </w:tcPr>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采购单位名称</w:t>
            </w:r>
          </w:p>
        </w:tc>
        <w:tc>
          <w:tcPr>
            <w:tcW w:w="2815"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产品或项目名称</w:t>
            </w:r>
          </w:p>
        </w:tc>
        <w:tc>
          <w:tcPr>
            <w:tcW w:w="887"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采购</w:t>
            </w:r>
          </w:p>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数量</w:t>
            </w:r>
          </w:p>
        </w:tc>
        <w:tc>
          <w:tcPr>
            <w:tcW w:w="887"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单价（元）</w:t>
            </w:r>
          </w:p>
        </w:tc>
        <w:tc>
          <w:tcPr>
            <w:tcW w:w="1184"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合同总价（元）</w:t>
            </w:r>
          </w:p>
        </w:tc>
        <w:tc>
          <w:tcPr>
            <w:tcW w:w="1301" w:type="dxa"/>
            <w:vMerge w:val="restart"/>
            <w:tcBorders>
              <w:top w:val="single" w:color="auto" w:sz="4" w:space="0"/>
              <w:left w:val="single" w:color="auto" w:sz="4" w:space="0"/>
            </w:tcBorders>
            <w:vAlign w:val="center"/>
          </w:tcPr>
          <w:p>
            <w:pPr>
              <w:jc w:val="center"/>
              <w:rPr>
                <w:rFonts w:hint="default" w:ascii="Arial" w:hAnsi="Arial" w:eastAsia="宋体" w:cs="Arial"/>
                <w:color w:val="auto"/>
                <w:szCs w:val="21"/>
                <w:highlight w:val="none"/>
                <w:lang w:val="en-US" w:eastAsia="zh-CN"/>
              </w:rPr>
            </w:pPr>
            <w:r>
              <w:rPr>
                <w:rFonts w:hint="default" w:ascii="Arial" w:hAnsi="Arial" w:eastAsia="宋体" w:cs="Arial"/>
                <w:color w:val="auto"/>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2163" w:type="dxa"/>
            <w:vMerge w:val="continue"/>
            <w:tcBorders>
              <w:top w:val="single" w:color="auto" w:sz="4" w:space="0"/>
              <w:bottom w:val="single" w:color="auto" w:sz="4" w:space="0"/>
              <w:right w:val="single" w:color="auto" w:sz="4" w:space="0"/>
            </w:tcBorders>
            <w:vAlign w:val="center"/>
          </w:tcPr>
          <w:p>
            <w:pPr>
              <w:widowControl/>
              <w:jc w:val="left"/>
              <w:rPr>
                <w:rFonts w:hint="default" w:ascii="Arial" w:hAnsi="Arial" w:eastAsia="宋体" w:cs="Arial"/>
                <w:color w:val="auto"/>
                <w:szCs w:val="21"/>
                <w:highlight w:val="none"/>
              </w:rPr>
            </w:pPr>
          </w:p>
        </w:tc>
        <w:tc>
          <w:tcPr>
            <w:tcW w:w="28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Arial" w:hAnsi="Arial" w:eastAsia="宋体" w:cs="Arial"/>
                <w:color w:val="auto"/>
                <w:szCs w:val="21"/>
                <w:highlight w:val="none"/>
              </w:rPr>
            </w:pPr>
          </w:p>
        </w:tc>
        <w:tc>
          <w:tcPr>
            <w:tcW w:w="8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Arial" w:hAnsi="Arial" w:eastAsia="宋体" w:cs="Arial"/>
                <w:color w:val="auto"/>
                <w:szCs w:val="21"/>
                <w:highlight w:val="none"/>
              </w:rPr>
            </w:pPr>
          </w:p>
        </w:tc>
        <w:tc>
          <w:tcPr>
            <w:tcW w:w="8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Arial" w:hAnsi="Arial" w:eastAsia="宋体" w:cs="Arial"/>
                <w:color w:val="auto"/>
                <w:szCs w:val="21"/>
                <w:highlight w:val="none"/>
              </w:rPr>
            </w:pPr>
          </w:p>
        </w:tc>
        <w:tc>
          <w:tcPr>
            <w:tcW w:w="11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Arial" w:hAnsi="Arial" w:eastAsia="宋体" w:cs="Arial"/>
                <w:color w:val="auto"/>
                <w:szCs w:val="21"/>
                <w:highlight w:val="none"/>
              </w:rPr>
            </w:pPr>
          </w:p>
        </w:tc>
        <w:tc>
          <w:tcPr>
            <w:tcW w:w="1301" w:type="dxa"/>
            <w:vMerge w:val="continue"/>
            <w:tcBorders>
              <w:left w:val="single" w:color="auto" w:sz="4" w:space="0"/>
              <w:bottom w:val="single" w:color="auto" w:sz="4" w:space="0"/>
            </w:tcBorders>
          </w:tcPr>
          <w:p>
            <w:pPr>
              <w:snapToGrid w:val="0"/>
              <w:spacing w:line="240" w:lineRule="exact"/>
              <w:jc w:val="center"/>
              <w:rPr>
                <w:rFonts w:hint="default" w:ascii="Arial" w:hAnsi="Arial" w:eastAsia="宋体" w:cs="Arial"/>
                <w:strike/>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5" w:hRule="atLeast"/>
        </w:trPr>
        <w:tc>
          <w:tcPr>
            <w:tcW w:w="2163" w:type="dxa"/>
            <w:tcBorders>
              <w:top w:val="single" w:color="auto" w:sz="4" w:space="0"/>
              <w:bottom w:val="single" w:color="auto" w:sz="4" w:space="0"/>
              <w:right w:val="single" w:color="auto" w:sz="4" w:space="0"/>
            </w:tcBorders>
          </w:tcPr>
          <w:p>
            <w:pPr>
              <w:snapToGrid w:val="0"/>
              <w:spacing w:line="240" w:lineRule="exact"/>
              <w:jc w:val="left"/>
              <w:rPr>
                <w:rFonts w:hint="default" w:ascii="Arial" w:hAnsi="Arial" w:eastAsia="宋体" w:cs="Arial"/>
                <w:color w:val="auto"/>
                <w:szCs w:val="21"/>
                <w:highlight w:val="none"/>
              </w:rPr>
            </w:pPr>
          </w:p>
        </w:tc>
        <w:tc>
          <w:tcPr>
            <w:tcW w:w="2815"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hint="default" w:ascii="Arial" w:hAnsi="Arial" w:eastAsia="宋体" w:cs="Arial"/>
                <w:color w:val="auto"/>
                <w:szCs w:val="21"/>
                <w:highlight w:val="none"/>
              </w:rPr>
            </w:pPr>
          </w:p>
        </w:tc>
        <w:tc>
          <w:tcPr>
            <w:tcW w:w="1184"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hint="default" w:ascii="Arial" w:hAnsi="Arial" w:eastAsia="宋体" w:cs="Arial"/>
                <w:color w:val="auto"/>
                <w:szCs w:val="21"/>
                <w:highlight w:val="none"/>
              </w:rPr>
            </w:pPr>
          </w:p>
        </w:tc>
        <w:tc>
          <w:tcPr>
            <w:tcW w:w="1301" w:type="dxa"/>
            <w:tcBorders>
              <w:top w:val="single" w:color="auto" w:sz="4" w:space="0"/>
              <w:left w:val="single" w:color="auto" w:sz="4" w:space="0"/>
              <w:bottom w:val="single" w:color="auto" w:sz="4" w:space="0"/>
            </w:tcBorders>
          </w:tcPr>
          <w:p>
            <w:pPr>
              <w:snapToGrid w:val="0"/>
              <w:spacing w:line="24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2163"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8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1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301"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2163"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8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1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301"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2163"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8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1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301"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4" w:hRule="atLeast"/>
        </w:trPr>
        <w:tc>
          <w:tcPr>
            <w:tcW w:w="2163" w:type="dxa"/>
            <w:tcBorders>
              <w:top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28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1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c>
          <w:tcPr>
            <w:tcW w:w="1301" w:type="dxa"/>
            <w:tcBorders>
              <w:top w:val="single" w:color="auto" w:sz="4" w:space="0"/>
              <w:left w:val="single" w:color="auto" w:sz="4" w:space="0"/>
              <w:bottom w:val="single" w:color="auto" w:sz="4" w:space="0"/>
            </w:tcBorders>
          </w:tcPr>
          <w:p>
            <w:pPr>
              <w:snapToGrid w:val="0"/>
              <w:spacing w:before="50" w:afterLines="50" w:line="400" w:lineRule="exact"/>
              <w:jc w:val="left"/>
              <w:rPr>
                <w:rFonts w:hint="default" w:ascii="Arial" w:hAnsi="Arial" w:eastAsia="宋体" w:cs="Arial"/>
                <w:color w:val="auto"/>
                <w:szCs w:val="21"/>
                <w:highlight w:val="none"/>
              </w:rPr>
            </w:pPr>
          </w:p>
        </w:tc>
      </w:tr>
    </w:tbl>
    <w:p>
      <w:pPr>
        <w:pStyle w:val="18"/>
        <w:snapToGrid w:val="0"/>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注：</w:t>
      </w:r>
      <w:bookmarkStart w:id="63" w:name="_Hlk19049505"/>
      <w:r>
        <w:rPr>
          <w:rFonts w:hint="default" w:ascii="Arial" w:hAnsi="Arial" w:eastAsia="宋体" w:cs="Arial"/>
          <w:color w:val="auto"/>
          <w:sz w:val="21"/>
          <w:szCs w:val="21"/>
          <w:highlight w:val="none"/>
        </w:rPr>
        <w:t>本表可拓展并逐页签字及盖章。</w:t>
      </w:r>
      <w:bookmarkEnd w:id="63"/>
    </w:p>
    <w:p>
      <w:pPr>
        <w:pStyle w:val="18"/>
        <w:snapToGrid w:val="0"/>
        <w:rPr>
          <w:rFonts w:hint="default" w:ascii="Arial" w:hAnsi="Arial" w:eastAsia="宋体" w:cs="Arial"/>
          <w:color w:val="auto"/>
          <w:sz w:val="21"/>
          <w:szCs w:val="21"/>
          <w:highlight w:val="none"/>
          <w:u w:val="single"/>
        </w:rPr>
      </w:pPr>
      <w:r>
        <w:rPr>
          <w:rFonts w:hint="default" w:ascii="Arial" w:hAnsi="Arial" w:eastAsia="宋体" w:cs="Arial"/>
          <w:color w:val="auto"/>
          <w:sz w:val="21"/>
          <w:szCs w:val="21"/>
          <w:highlight w:val="none"/>
        </w:rPr>
        <w:t>法定代表人或授权代表签字或个人CA签章：</w:t>
      </w:r>
      <w:r>
        <w:rPr>
          <w:rFonts w:hint="default" w:ascii="Arial" w:hAnsi="Arial" w:eastAsia="宋体" w:cs="Arial"/>
          <w:color w:val="auto"/>
          <w:sz w:val="21"/>
          <w:szCs w:val="21"/>
          <w:highlight w:val="none"/>
          <w:u w:val="single"/>
        </w:rPr>
        <w:t>　　　　　</w:t>
      </w:r>
    </w:p>
    <w:p>
      <w:pPr>
        <w:snapToGrid w:val="0"/>
        <w:spacing w:before="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供应商公章（CA签章）：   年   月   日</w:t>
      </w:r>
    </w:p>
    <w:p>
      <w:pPr>
        <w:snapToGrid w:val="0"/>
        <w:spacing w:before="50"/>
        <w:jc w:val="left"/>
        <w:rPr>
          <w:rFonts w:hint="default" w:ascii="Arial" w:hAnsi="Arial" w:eastAsia="宋体" w:cs="Arial"/>
          <w:color w:val="auto"/>
          <w:szCs w:val="21"/>
          <w:highlight w:val="none"/>
        </w:rPr>
      </w:pPr>
    </w:p>
    <w:p>
      <w:pPr>
        <w:snapToGrid w:val="0"/>
        <w:spacing w:before="50"/>
        <w:jc w:val="left"/>
        <w:rPr>
          <w:rFonts w:hint="default" w:ascii="Arial" w:hAnsi="Arial" w:eastAsia="宋体" w:cs="Arial"/>
          <w:color w:val="auto"/>
          <w:szCs w:val="21"/>
          <w:highlight w:val="none"/>
        </w:rPr>
        <w:sectPr>
          <w:pgSz w:w="11906" w:h="16838"/>
          <w:pgMar w:top="1418" w:right="1133" w:bottom="1246" w:left="1418" w:header="851" w:footer="992" w:gutter="0"/>
          <w:cols w:space="720" w:num="1"/>
          <w:docGrid w:linePitch="312" w:charSpace="0"/>
        </w:sectPr>
      </w:pP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6</w:t>
      </w:r>
      <w:r>
        <w:rPr>
          <w:rFonts w:hint="default" w:ascii="Arial" w:hAnsi="Arial" w:eastAsia="宋体" w:cs="Arial"/>
          <w:color w:val="auto"/>
          <w:szCs w:val="21"/>
          <w:highlight w:val="none"/>
        </w:rPr>
        <w:t>．符合政府采购政策加分条件证明材料。</w:t>
      </w: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6</w:t>
      </w:r>
      <w:r>
        <w:rPr>
          <w:rFonts w:hint="default" w:ascii="Arial" w:hAnsi="Arial" w:eastAsia="宋体" w:cs="Arial"/>
          <w:color w:val="auto"/>
          <w:szCs w:val="21"/>
          <w:highlight w:val="none"/>
        </w:rPr>
        <w:t>.1列入节能产品政府采购品目清单及环境标志产品政府采购品目清单的货物清单。</w:t>
      </w:r>
      <w:r>
        <w:rPr>
          <w:rFonts w:hint="default" w:ascii="Arial" w:hAnsi="Arial" w:eastAsia="宋体" w:cs="Arial"/>
          <w:b/>
          <w:color w:val="auto"/>
          <w:szCs w:val="21"/>
          <w:highlight w:val="none"/>
        </w:rPr>
        <w:t>（如有，须提供）</w:t>
      </w: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投标产品中如有列入节能产品政府采购品目清单及环境标志产品政府采购品目清单的货物，应按下表提供清单。</w:t>
      </w:r>
    </w:p>
    <w:p>
      <w:pPr>
        <w:spacing w:line="360" w:lineRule="auto"/>
        <w:jc w:val="center"/>
        <w:rPr>
          <w:rFonts w:hint="default" w:ascii="Arial" w:hAnsi="Arial" w:eastAsia="宋体" w:cs="Arial"/>
          <w:color w:val="auto"/>
          <w:szCs w:val="21"/>
          <w:highlight w:val="none"/>
        </w:rPr>
      </w:pPr>
      <w:r>
        <w:rPr>
          <w:rFonts w:hint="default" w:ascii="Arial" w:hAnsi="Arial" w:eastAsia="宋体" w:cs="Arial"/>
          <w:b/>
          <w:color w:val="auto"/>
          <w:szCs w:val="21"/>
          <w:highlight w:val="none"/>
        </w:rPr>
        <w:t>节能产品及环境标志产品清单</w:t>
      </w:r>
    </w:p>
    <w:tbl>
      <w:tblPr>
        <w:tblStyle w:val="53"/>
        <w:tblW w:w="9328"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767"/>
        <w:gridCol w:w="1134"/>
        <w:gridCol w:w="897"/>
        <w:gridCol w:w="1088"/>
        <w:gridCol w:w="1409"/>
        <w:gridCol w:w="1851"/>
        <w:gridCol w:w="1412"/>
        <w:gridCol w:w="77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767" w:type="dxa"/>
            <w:tcBorders>
              <w:top w:val="single" w:color="auto" w:sz="12" w:space="0"/>
              <w:left w:val="single" w:color="auto" w:sz="12"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序号</w:t>
            </w:r>
          </w:p>
        </w:tc>
        <w:tc>
          <w:tcPr>
            <w:tcW w:w="1134" w:type="dxa"/>
            <w:tcBorders>
              <w:top w:val="single" w:color="auto" w:sz="12" w:space="0"/>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类别</w:t>
            </w:r>
          </w:p>
        </w:tc>
        <w:tc>
          <w:tcPr>
            <w:tcW w:w="897" w:type="dxa"/>
            <w:tcBorders>
              <w:top w:val="single" w:color="auto" w:sz="12" w:space="0"/>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品目</w:t>
            </w:r>
          </w:p>
        </w:tc>
        <w:tc>
          <w:tcPr>
            <w:tcW w:w="1088" w:type="dxa"/>
            <w:tcBorders>
              <w:top w:val="single" w:color="auto" w:sz="12" w:space="0"/>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品牌</w:t>
            </w:r>
          </w:p>
        </w:tc>
        <w:tc>
          <w:tcPr>
            <w:tcW w:w="1409" w:type="dxa"/>
            <w:tcBorders>
              <w:top w:val="single" w:color="auto" w:sz="12" w:space="0"/>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规格型号</w:t>
            </w:r>
          </w:p>
        </w:tc>
        <w:tc>
          <w:tcPr>
            <w:tcW w:w="1851"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szCs w:val="21"/>
                <w:highlight w:val="none"/>
                <w:shd w:val="clear" w:color="auto" w:fill="FFFFFF"/>
              </w:rPr>
              <w:t>生产者（制造商）</w:t>
            </w:r>
          </w:p>
        </w:tc>
        <w:tc>
          <w:tcPr>
            <w:tcW w:w="1412"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证书编号及证书到期日期</w:t>
            </w:r>
          </w:p>
        </w:tc>
        <w:tc>
          <w:tcPr>
            <w:tcW w:w="770" w:type="dxa"/>
            <w:tcBorders>
              <w:top w:val="single" w:color="auto" w:sz="12" w:space="0"/>
              <w:left w:val="nil"/>
              <w:bottom w:val="single" w:color="auto" w:sz="8" w:space="0"/>
              <w:right w:val="single" w:color="auto" w:sz="12"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备注</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33" w:hRule="atLeast"/>
          <w:jc w:val="center"/>
        </w:trPr>
        <w:tc>
          <w:tcPr>
            <w:tcW w:w="767" w:type="dxa"/>
            <w:tcBorders>
              <w:top w:val="nil"/>
              <w:left w:val="single" w:color="auto" w:sz="12"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1</w:t>
            </w:r>
          </w:p>
        </w:tc>
        <w:tc>
          <w:tcPr>
            <w:tcW w:w="1134"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897"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088"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09"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851"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1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770"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81" w:hRule="atLeast"/>
          <w:jc w:val="center"/>
        </w:trPr>
        <w:tc>
          <w:tcPr>
            <w:tcW w:w="767" w:type="dxa"/>
            <w:tcBorders>
              <w:top w:val="nil"/>
              <w:left w:val="single" w:color="auto" w:sz="12"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2</w:t>
            </w:r>
          </w:p>
        </w:tc>
        <w:tc>
          <w:tcPr>
            <w:tcW w:w="1134"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897"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088"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09"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851"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1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770"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767" w:type="dxa"/>
            <w:tcBorders>
              <w:top w:val="nil"/>
              <w:left w:val="single" w:color="auto" w:sz="12"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r>
              <w:rPr>
                <w:rFonts w:hint="default" w:ascii="Arial" w:hAnsi="Arial" w:eastAsia="宋体" w:cs="Arial"/>
                <w:color w:val="auto"/>
                <w:kern w:val="0"/>
                <w:szCs w:val="21"/>
                <w:highlight w:val="none"/>
              </w:rPr>
              <w:t>……</w:t>
            </w:r>
          </w:p>
        </w:tc>
        <w:tc>
          <w:tcPr>
            <w:tcW w:w="1134"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897"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088" w:type="dxa"/>
            <w:tcBorders>
              <w:top w:val="nil"/>
              <w:left w:val="nil"/>
              <w:bottom w:val="single" w:color="auto" w:sz="8" w:space="0"/>
              <w:right w:val="single" w:color="auto" w:sz="4"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09" w:type="dxa"/>
            <w:tcBorders>
              <w:top w:val="nil"/>
              <w:left w:val="single" w:color="auto" w:sz="4" w:space="0"/>
              <w:bottom w:val="single" w:color="auto" w:sz="8" w:space="0"/>
              <w:right w:val="single" w:color="auto" w:sz="8" w:space="0"/>
            </w:tcBorders>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851"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141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c>
          <w:tcPr>
            <w:tcW w:w="770"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before="100" w:beforeAutospacing="1" w:after="100" w:afterAutospacing="1" w:line="376" w:lineRule="atLeast"/>
              <w:jc w:val="center"/>
              <w:rPr>
                <w:rFonts w:hint="default" w:ascii="Arial" w:hAnsi="Arial" w:eastAsia="宋体" w:cs="Arial"/>
                <w:color w:val="auto"/>
                <w:kern w:val="0"/>
                <w:szCs w:val="21"/>
                <w:highlight w:val="none"/>
              </w:rPr>
            </w:pPr>
          </w:p>
        </w:tc>
      </w:tr>
    </w:tbl>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注：类别填写节能或环境标志，品目填写编号及产品名称如A02010104台式计算机。</w:t>
      </w:r>
    </w:p>
    <w:p>
      <w:pPr>
        <w:snapToGrid w:val="0"/>
        <w:spacing w:before="50" w:afterLines="50"/>
        <w:jc w:val="left"/>
        <w:rPr>
          <w:rFonts w:hint="default" w:ascii="Arial" w:hAnsi="Arial" w:eastAsia="宋体" w:cs="Arial"/>
          <w:color w:val="auto"/>
          <w:szCs w:val="21"/>
          <w:highlight w:val="none"/>
        </w:rPr>
      </w:pPr>
      <w:bookmarkStart w:id="64" w:name="_Hlk19050322"/>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7</w:t>
      </w:r>
      <w:r>
        <w:rPr>
          <w:rFonts w:hint="default" w:ascii="Arial" w:hAnsi="Arial" w:eastAsia="宋体" w:cs="Arial"/>
          <w:color w:val="auto"/>
          <w:szCs w:val="21"/>
          <w:highlight w:val="none"/>
        </w:rPr>
        <w:t>．供应商认为需提供的其他材料（根据招标文件编写）</w:t>
      </w:r>
    </w:p>
    <w:bookmarkEnd w:id="64"/>
    <w:p>
      <w:pPr>
        <w:rPr>
          <w:rFonts w:hint="default" w:ascii="Arial" w:hAnsi="Arial" w:eastAsia="宋体" w:cs="Arial"/>
          <w:b/>
          <w:bCs/>
          <w:color w:val="auto"/>
          <w:szCs w:val="21"/>
          <w:highlight w:val="none"/>
        </w:rPr>
      </w:pPr>
      <w:r>
        <w:rPr>
          <w:rFonts w:hint="default" w:ascii="Arial" w:hAnsi="Arial" w:eastAsia="宋体" w:cs="Arial"/>
          <w:color w:val="auto"/>
          <w:szCs w:val="21"/>
          <w:highlight w:val="none"/>
        </w:rPr>
        <w:br w:type="page"/>
      </w:r>
    </w:p>
    <w:p>
      <w:pPr>
        <w:snapToGrid w:val="0"/>
        <w:spacing w:beforeLines="50" w:after="50" w:line="440" w:lineRule="exact"/>
        <w:jc w:val="center"/>
        <w:outlineLvl w:val="1"/>
        <w:rPr>
          <w:rFonts w:hint="default" w:ascii="Arial" w:hAnsi="Arial" w:eastAsia="宋体" w:cs="Arial"/>
          <w:bCs/>
          <w:color w:val="auto"/>
          <w:sz w:val="24"/>
          <w:highlight w:val="none"/>
        </w:rPr>
      </w:pPr>
      <w:r>
        <w:rPr>
          <w:rFonts w:hint="default" w:ascii="Arial" w:hAnsi="Arial" w:eastAsia="宋体" w:cs="Arial"/>
          <w:bCs/>
          <w:color w:val="auto"/>
          <w:sz w:val="24"/>
          <w:highlight w:val="none"/>
        </w:rPr>
        <w:t>第二部分 技术文件</w:t>
      </w:r>
    </w:p>
    <w:p>
      <w:pPr>
        <w:jc w:val="center"/>
        <w:rPr>
          <w:rFonts w:hint="default" w:ascii="Arial" w:hAnsi="Arial" w:eastAsia="宋体" w:cs="Arial"/>
          <w:color w:val="auto"/>
          <w:highlight w:val="none"/>
        </w:rPr>
      </w:pPr>
      <w:r>
        <w:rPr>
          <w:rFonts w:hint="default" w:ascii="Arial" w:hAnsi="Arial" w:eastAsia="宋体" w:cs="Arial"/>
          <w:color w:val="auto"/>
          <w:highlight w:val="none"/>
        </w:rPr>
        <w:t>（本技术文件除标注“必须提供”的部分外，其余部分供应商可自行编写，也可参照下述提纲编写）</w:t>
      </w:r>
    </w:p>
    <w:p>
      <w:pPr>
        <w:snapToGrid w:val="0"/>
        <w:spacing w:before="50" w:afterLines="50"/>
        <w:jc w:val="left"/>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1．对本项目第二章《项目采购需求》技术要求的响应偏离表</w:t>
      </w:r>
      <w:r>
        <w:rPr>
          <w:rFonts w:hint="default" w:ascii="Arial" w:hAnsi="Arial" w:eastAsia="宋体" w:cs="Arial"/>
          <w:b/>
          <w:color w:val="auto"/>
          <w:szCs w:val="21"/>
          <w:highlight w:val="none"/>
        </w:rPr>
        <w:t>（</w:t>
      </w:r>
      <w:r>
        <w:rPr>
          <w:rFonts w:hint="default" w:ascii="Arial" w:hAnsi="Arial" w:eastAsia="宋体" w:cs="Arial"/>
          <w:b/>
          <w:color w:val="auto"/>
          <w:highlight w:val="none"/>
        </w:rPr>
        <w:t>必须提供</w:t>
      </w:r>
      <w:r>
        <w:rPr>
          <w:rFonts w:hint="default" w:ascii="Arial" w:hAnsi="Arial" w:eastAsia="宋体" w:cs="Arial"/>
          <w:b/>
          <w:color w:val="auto"/>
          <w:szCs w:val="21"/>
          <w:highlight w:val="none"/>
        </w:rPr>
        <w:t>）</w:t>
      </w:r>
      <w:r>
        <w:rPr>
          <w:rFonts w:hint="default" w:ascii="Arial" w:hAnsi="Arial" w:eastAsia="宋体" w:cs="Arial"/>
          <w:color w:val="auto"/>
          <w:szCs w:val="21"/>
          <w:highlight w:val="none"/>
        </w:rPr>
        <w:t>：</w:t>
      </w:r>
    </w:p>
    <w:p>
      <w:pPr>
        <w:rPr>
          <w:rFonts w:hint="default" w:ascii="Arial" w:hAnsi="Arial" w:eastAsia="宋体" w:cs="Arial"/>
          <w:color w:val="auto"/>
          <w:szCs w:val="21"/>
          <w:highlight w:val="none"/>
        </w:rPr>
      </w:pPr>
    </w:p>
    <w:p>
      <w:pPr>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对照第二章《项目采购需求》</w:t>
      </w:r>
      <w:r>
        <w:rPr>
          <w:rFonts w:hint="default" w:ascii="Arial" w:hAnsi="Arial" w:eastAsia="宋体" w:cs="Arial"/>
          <w:color w:val="auto"/>
          <w:highlight w:val="none"/>
        </w:rPr>
        <w:t>中的技术要求的响应偏表</w:t>
      </w:r>
    </w:p>
    <w:tbl>
      <w:tblPr>
        <w:tblStyle w:val="53"/>
        <w:tblW w:w="88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6"/>
        <w:gridCol w:w="3595"/>
        <w:gridCol w:w="3405"/>
        <w:gridCol w:w="10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8" w:hRule="atLeas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序号</w:t>
            </w:r>
          </w:p>
        </w:tc>
        <w:tc>
          <w:tcPr>
            <w:tcW w:w="359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招标文件要求</w:t>
            </w:r>
          </w:p>
        </w:tc>
        <w:tc>
          <w:tcPr>
            <w:tcW w:w="34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投标文件响应内容</w:t>
            </w:r>
          </w:p>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（可注明证明材料所在页码）</w:t>
            </w:r>
          </w:p>
        </w:tc>
        <w:tc>
          <w:tcPr>
            <w:tcW w:w="108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highlight w:val="none"/>
              </w:rPr>
              <w:t>偏离</w:t>
            </w:r>
            <w:r>
              <w:rPr>
                <w:rFonts w:hint="default" w:ascii="Arial" w:hAnsi="Arial" w:eastAsia="宋体" w:cs="Arial"/>
                <w:color w:val="auto"/>
                <w:szCs w:val="21"/>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59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4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08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59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4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08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59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34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c>
          <w:tcPr>
            <w:tcW w:w="108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exact"/>
          <w:jc w:val="center"/>
        </w:trPr>
        <w:tc>
          <w:tcPr>
            <w:tcW w:w="746" w:type="dxa"/>
            <w:tcBorders>
              <w:top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w:t>
            </w:r>
          </w:p>
        </w:tc>
        <w:tc>
          <w:tcPr>
            <w:tcW w:w="359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w:t>
            </w:r>
          </w:p>
        </w:tc>
        <w:tc>
          <w:tcPr>
            <w:tcW w:w="340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w:t>
            </w:r>
          </w:p>
        </w:tc>
        <w:tc>
          <w:tcPr>
            <w:tcW w:w="1082" w:type="dxa"/>
            <w:tcBorders>
              <w:top w:val="single" w:color="auto" w:sz="4" w:space="0"/>
              <w:left w:val="single" w:color="auto" w:sz="4" w:space="0"/>
              <w:bottom w:val="single" w:color="auto" w:sz="4" w:space="0"/>
            </w:tcBorders>
            <w:vAlign w:val="center"/>
          </w:tcPr>
          <w:p>
            <w:pPr>
              <w:snapToGrid w:val="0"/>
              <w:spacing w:beforeLines="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w:t>
            </w:r>
          </w:p>
        </w:tc>
      </w:tr>
    </w:tbl>
    <w:p>
      <w:pPr>
        <w:rPr>
          <w:rFonts w:hint="default" w:ascii="Arial" w:hAnsi="Arial" w:eastAsia="宋体" w:cs="Arial"/>
          <w:color w:val="auto"/>
          <w:szCs w:val="21"/>
          <w:highlight w:val="none"/>
        </w:rPr>
      </w:pPr>
    </w:p>
    <w:p>
      <w:pPr>
        <w:rPr>
          <w:rFonts w:hint="default" w:ascii="Arial" w:hAnsi="Arial" w:eastAsia="宋体" w:cs="Arial"/>
          <w:color w:val="auto"/>
          <w:highlight w:val="none"/>
        </w:rPr>
      </w:pPr>
      <w:r>
        <w:rPr>
          <w:rFonts w:hint="default" w:ascii="Arial" w:hAnsi="Arial" w:eastAsia="宋体" w:cs="Arial"/>
          <w:color w:val="auto"/>
          <w:szCs w:val="21"/>
          <w:highlight w:val="none"/>
        </w:rPr>
        <w:t>注：</w:t>
      </w:r>
      <w:r>
        <w:rPr>
          <w:rFonts w:hint="default" w:ascii="Arial" w:hAnsi="Arial" w:eastAsia="宋体" w:cs="Arial"/>
          <w:color w:val="auto"/>
          <w:highlight w:val="none"/>
        </w:rPr>
        <w:t>（1）</w:t>
      </w:r>
      <w:r>
        <w:rPr>
          <w:rFonts w:hint="default" w:ascii="Arial" w:hAnsi="Arial" w:eastAsia="宋体" w:cs="Arial"/>
          <w:color w:val="auto"/>
          <w:szCs w:val="21"/>
          <w:highlight w:val="none"/>
        </w:rPr>
        <w:t>供应商应根据投标设备的性能指标、对照第二章《项目采购需求》</w:t>
      </w:r>
      <w:r>
        <w:rPr>
          <w:rFonts w:hint="default" w:ascii="Arial" w:hAnsi="Arial" w:eastAsia="宋体" w:cs="Arial"/>
          <w:color w:val="auto"/>
          <w:highlight w:val="none"/>
        </w:rPr>
        <w:t>中</w:t>
      </w:r>
      <w:r>
        <w:rPr>
          <w:rFonts w:hint="default" w:ascii="Arial" w:hAnsi="Arial" w:eastAsia="宋体" w:cs="Arial"/>
          <w:color w:val="auto"/>
          <w:highlight w:val="none"/>
          <w:lang w:val="en-US" w:eastAsia="zh-CN"/>
        </w:rPr>
        <w:t>的技术要求</w:t>
      </w:r>
      <w:r>
        <w:rPr>
          <w:rFonts w:hint="default" w:ascii="Arial" w:hAnsi="Arial" w:eastAsia="宋体" w:cs="Arial"/>
          <w:color w:val="auto"/>
          <w:szCs w:val="21"/>
          <w:highlight w:val="none"/>
        </w:rPr>
        <w:t>逐条在“偏离说明”栏注明</w:t>
      </w:r>
      <w:r>
        <w:rPr>
          <w:rFonts w:hint="default" w:ascii="Arial" w:hAnsi="Arial" w:eastAsia="宋体" w:cs="Arial"/>
          <w:color w:val="auto"/>
          <w:highlight w:val="none"/>
        </w:rPr>
        <w:t>“正偏离”</w:t>
      </w:r>
      <w:r>
        <w:rPr>
          <w:rFonts w:hint="default" w:ascii="Arial" w:hAnsi="Arial" w:eastAsia="宋体" w:cs="Arial"/>
          <w:color w:val="auto"/>
          <w:szCs w:val="21"/>
          <w:highlight w:val="none"/>
        </w:rPr>
        <w:t>、</w:t>
      </w:r>
      <w:r>
        <w:rPr>
          <w:rFonts w:hint="default" w:ascii="Arial" w:hAnsi="Arial" w:eastAsia="宋体" w:cs="Arial"/>
          <w:color w:val="auto"/>
          <w:highlight w:val="none"/>
        </w:rPr>
        <w:t xml:space="preserve"> “负偏离”</w:t>
      </w:r>
      <w:r>
        <w:rPr>
          <w:rFonts w:hint="default" w:ascii="Arial" w:hAnsi="Arial" w:eastAsia="宋体" w:cs="Arial"/>
          <w:color w:val="auto"/>
          <w:szCs w:val="21"/>
          <w:highlight w:val="none"/>
        </w:rPr>
        <w:t>或</w:t>
      </w:r>
      <w:r>
        <w:rPr>
          <w:rFonts w:hint="default" w:ascii="Arial" w:hAnsi="Arial" w:eastAsia="宋体" w:cs="Arial"/>
          <w:color w:val="auto"/>
          <w:highlight w:val="none"/>
        </w:rPr>
        <w:t>“无偏离”</w:t>
      </w:r>
      <w:r>
        <w:rPr>
          <w:rFonts w:hint="default" w:ascii="Arial" w:hAnsi="Arial" w:eastAsia="宋体" w:cs="Arial"/>
          <w:color w:val="auto"/>
          <w:szCs w:val="21"/>
          <w:highlight w:val="none"/>
        </w:rPr>
        <w:t>。</w:t>
      </w:r>
      <w:r>
        <w:rPr>
          <w:rFonts w:hint="default" w:ascii="Arial" w:hAnsi="Arial" w:eastAsia="宋体" w:cs="Arial"/>
          <w:color w:val="auto"/>
          <w:highlight w:val="none"/>
        </w:rPr>
        <w:t>填写“正偏离”或“无偏离”时，如相应条款在投标文件其他部分描述明确不满足招标文件要求时，评标委员会将按不满足要求进行评审。（2）</w:t>
      </w:r>
      <w:r>
        <w:rPr>
          <w:rFonts w:hint="default" w:ascii="Arial" w:hAnsi="Arial" w:eastAsia="宋体" w:cs="Arial"/>
          <w:color w:val="auto"/>
          <w:szCs w:val="21"/>
          <w:highlight w:val="none"/>
        </w:rPr>
        <w:t>投标技术规格与招标要求相同的为无偏离，投标技术规格高于招标要求的为正偏离，低于招标要求的为负偏离。</w:t>
      </w:r>
    </w:p>
    <w:p>
      <w:pPr>
        <w:rPr>
          <w:rFonts w:hint="default" w:ascii="Arial" w:hAnsi="Arial" w:eastAsia="宋体" w:cs="Arial"/>
          <w:color w:val="auto"/>
          <w:highlight w:val="none"/>
        </w:rPr>
      </w:pPr>
      <w:r>
        <w:rPr>
          <w:rFonts w:hint="default" w:ascii="Arial" w:hAnsi="Arial" w:eastAsia="宋体" w:cs="Arial"/>
          <w:color w:val="auto"/>
          <w:highlight w:val="none"/>
        </w:rPr>
        <w:t>（3）本表可扩展。</w:t>
      </w:r>
    </w:p>
    <w:p>
      <w:pPr>
        <w:rPr>
          <w:rFonts w:hint="default" w:ascii="Arial" w:hAnsi="Arial" w:eastAsia="宋体" w:cs="Arial"/>
          <w:color w:val="auto"/>
          <w:szCs w:val="21"/>
          <w:highlight w:val="none"/>
        </w:rPr>
      </w:pPr>
    </w:p>
    <w:p>
      <w:pPr>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法定代表人或授权代表签字或个人CA签章</w:t>
      </w:r>
      <w:r>
        <w:rPr>
          <w:rFonts w:hint="default" w:ascii="Arial" w:hAnsi="Arial" w:eastAsia="宋体" w:cs="Arial"/>
          <w:color w:val="auto"/>
          <w:spacing w:val="20"/>
          <w:szCs w:val="21"/>
          <w:highlight w:val="none"/>
        </w:rPr>
        <w:t>：</w:t>
      </w:r>
    </w:p>
    <w:p>
      <w:pPr>
        <w:rPr>
          <w:rFonts w:hint="default" w:ascii="Arial" w:hAnsi="Arial" w:eastAsia="宋体" w:cs="Arial"/>
          <w:color w:val="auto"/>
          <w:spacing w:val="20"/>
          <w:szCs w:val="21"/>
          <w:highlight w:val="none"/>
        </w:rPr>
      </w:pPr>
      <w:r>
        <w:rPr>
          <w:rFonts w:hint="default" w:ascii="Arial" w:hAnsi="Arial" w:eastAsia="宋体" w:cs="Arial"/>
          <w:color w:val="auto"/>
          <w:spacing w:val="20"/>
          <w:szCs w:val="21"/>
          <w:highlight w:val="none"/>
        </w:rPr>
        <w:t>供应商公章</w:t>
      </w:r>
      <w:r>
        <w:rPr>
          <w:rFonts w:hint="default" w:ascii="Arial" w:hAnsi="Arial" w:eastAsia="宋体" w:cs="Arial"/>
          <w:color w:val="auto"/>
          <w:szCs w:val="21"/>
          <w:highlight w:val="none"/>
        </w:rPr>
        <w:t>（CA签章）</w:t>
      </w:r>
      <w:r>
        <w:rPr>
          <w:rFonts w:hint="default" w:ascii="Arial" w:hAnsi="Arial" w:eastAsia="宋体" w:cs="Arial"/>
          <w:color w:val="auto"/>
          <w:spacing w:val="20"/>
          <w:szCs w:val="21"/>
          <w:highlight w:val="none"/>
        </w:rPr>
        <w:t xml:space="preserve">： </w:t>
      </w:r>
    </w:p>
    <w:p>
      <w:pPr>
        <w:rPr>
          <w:rFonts w:hint="default" w:ascii="Arial" w:hAnsi="Arial" w:eastAsia="宋体" w:cs="Arial"/>
          <w:color w:val="auto"/>
          <w:szCs w:val="21"/>
          <w:highlight w:val="none"/>
        </w:rPr>
      </w:pPr>
      <w:r>
        <w:rPr>
          <w:rFonts w:hint="default" w:ascii="Arial" w:hAnsi="Arial" w:eastAsia="宋体" w:cs="Arial"/>
          <w:color w:val="auto"/>
          <w:spacing w:val="20"/>
          <w:szCs w:val="21"/>
          <w:highlight w:val="none"/>
        </w:rPr>
        <w:t>日 期：</w:t>
      </w:r>
    </w:p>
    <w:p>
      <w:pPr>
        <w:snapToGrid w:val="0"/>
        <w:spacing w:before="50" w:afterLines="50"/>
        <w:jc w:val="left"/>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2．货物或产品配置清单格式：</w:t>
      </w:r>
    </w:p>
    <w:tbl>
      <w:tblPr>
        <w:tblStyle w:val="53"/>
        <w:tblW w:w="89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1174"/>
        <w:gridCol w:w="1163"/>
        <w:gridCol w:w="1596"/>
        <w:gridCol w:w="1695"/>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序号</w:t>
            </w: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货物或产品</w:t>
            </w:r>
          </w:p>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名称</w:t>
            </w:r>
          </w:p>
        </w:tc>
        <w:tc>
          <w:tcPr>
            <w:tcW w:w="117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品牌或制造商</w:t>
            </w:r>
          </w:p>
        </w:tc>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规格型号</w:t>
            </w:r>
          </w:p>
        </w:tc>
        <w:tc>
          <w:tcPr>
            <w:tcW w:w="159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单位及数量</w:t>
            </w:r>
          </w:p>
        </w:tc>
        <w:tc>
          <w:tcPr>
            <w:tcW w:w="1695"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性能及指标</w:t>
            </w:r>
          </w:p>
        </w:tc>
        <w:tc>
          <w:tcPr>
            <w:tcW w:w="1080" w:type="dxa"/>
            <w:tcBorders>
              <w:top w:val="single" w:color="auto" w:sz="4" w:space="0"/>
              <w:left w:val="single" w:color="auto" w:sz="4" w:space="0"/>
              <w:bottom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rPr>
                <w:rFonts w:hint="default" w:ascii="Arial" w:hAnsi="Arial" w:eastAsia="宋体" w:cs="Arial"/>
                <w:color w:val="auto"/>
                <w:szCs w:val="21"/>
                <w:highlight w:val="none"/>
              </w:rPr>
            </w:pPr>
          </w:p>
        </w:tc>
        <w:tc>
          <w:tcPr>
            <w:tcW w:w="117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59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95"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080" w:type="dxa"/>
            <w:tcBorders>
              <w:top w:val="single" w:color="auto" w:sz="4" w:space="0"/>
              <w:left w:val="single" w:color="auto" w:sz="4" w:space="0"/>
              <w:bottom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17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59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95"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080" w:type="dxa"/>
            <w:tcBorders>
              <w:top w:val="single" w:color="auto" w:sz="4" w:space="0"/>
              <w:left w:val="single" w:color="auto" w:sz="4" w:space="0"/>
              <w:bottom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17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596"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695"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c>
          <w:tcPr>
            <w:tcW w:w="1080" w:type="dxa"/>
            <w:tcBorders>
              <w:top w:val="single" w:color="auto" w:sz="4" w:space="0"/>
              <w:left w:val="single" w:color="auto" w:sz="4" w:space="0"/>
              <w:bottom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p>
        </w:tc>
      </w:tr>
    </w:tbl>
    <w:p>
      <w:pPr>
        <w:snapToGrid w:val="0"/>
        <w:spacing w:before="50" w:after="50" w:line="440" w:lineRule="exact"/>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法定代表人或授权代表签字或个人CA签章</w:t>
      </w:r>
      <w:r>
        <w:rPr>
          <w:rFonts w:hint="default" w:ascii="Arial" w:hAnsi="Arial" w:eastAsia="宋体" w:cs="Arial"/>
          <w:color w:val="auto"/>
          <w:spacing w:val="20"/>
          <w:szCs w:val="21"/>
          <w:highlight w:val="none"/>
        </w:rPr>
        <w:t>：</w:t>
      </w:r>
    </w:p>
    <w:p>
      <w:pPr>
        <w:snapToGrid w:val="0"/>
        <w:spacing w:before="50" w:after="50" w:line="440" w:lineRule="exact"/>
        <w:rPr>
          <w:rFonts w:hint="default" w:ascii="Arial" w:hAnsi="Arial" w:eastAsia="宋体" w:cs="Arial"/>
          <w:color w:val="auto"/>
          <w:szCs w:val="21"/>
          <w:highlight w:val="none"/>
        </w:rPr>
      </w:pPr>
      <w:r>
        <w:rPr>
          <w:rFonts w:hint="default" w:ascii="Arial" w:hAnsi="Arial" w:eastAsia="宋体" w:cs="Arial"/>
          <w:color w:val="auto"/>
          <w:spacing w:val="20"/>
          <w:szCs w:val="21"/>
          <w:highlight w:val="none"/>
        </w:rPr>
        <w:t>供应商公章</w:t>
      </w:r>
      <w:r>
        <w:rPr>
          <w:rFonts w:hint="default" w:ascii="Arial" w:hAnsi="Arial" w:eastAsia="宋体" w:cs="Arial"/>
          <w:color w:val="auto"/>
          <w:szCs w:val="21"/>
          <w:highlight w:val="none"/>
        </w:rPr>
        <w:t>（CA签章）</w:t>
      </w:r>
      <w:r>
        <w:rPr>
          <w:rFonts w:hint="default" w:ascii="Arial" w:hAnsi="Arial" w:eastAsia="宋体" w:cs="Arial"/>
          <w:color w:val="auto"/>
          <w:spacing w:val="20"/>
          <w:szCs w:val="21"/>
          <w:highlight w:val="none"/>
        </w:rPr>
        <w:t>： 日  期：</w:t>
      </w: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bookmarkStart w:id="65" w:name="_Hlk19115689"/>
      <w:r>
        <w:rPr>
          <w:rFonts w:hint="default" w:ascii="Arial" w:hAnsi="Arial" w:eastAsia="宋体" w:cs="Arial"/>
          <w:color w:val="auto"/>
          <w:szCs w:val="21"/>
          <w:highlight w:val="none"/>
        </w:rPr>
        <w:t>3．投标货物或产品的质量保证说明</w:t>
      </w: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p>
    <w:p>
      <w:pPr>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br w:type="page"/>
      </w:r>
      <w:r>
        <w:rPr>
          <w:rFonts w:hint="default" w:ascii="Arial" w:hAnsi="Arial" w:eastAsia="宋体" w:cs="Arial"/>
          <w:color w:val="auto"/>
          <w:szCs w:val="21"/>
          <w:highlight w:val="none"/>
        </w:rPr>
        <w:t>4．质量保证期过后的优惠条件：供应商承诺给予采购人的各种优惠条件，包括货物或产品的售后服务、备品备件、专用耗材等方面的优惠条件。</w:t>
      </w:r>
    </w:p>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常用的、容易损坏的备品备件及易损件的优惠价格清单</w:t>
      </w:r>
    </w:p>
    <w:tbl>
      <w:tblPr>
        <w:tblStyle w:val="53"/>
        <w:tblW w:w="897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850"/>
        <w:gridCol w:w="3124"/>
        <w:gridCol w:w="2276"/>
        <w:gridCol w:w="1639"/>
        <w:gridCol w:w="10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612" w:hRule="atLeast"/>
        </w:trPr>
        <w:tc>
          <w:tcPr>
            <w:tcW w:w="850"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rPr>
                <w:rFonts w:hint="default" w:ascii="Arial" w:hAnsi="Arial" w:eastAsia="宋体" w:cs="Arial"/>
                <w:color w:val="auto"/>
                <w:szCs w:val="21"/>
                <w:highlight w:val="none"/>
              </w:rPr>
            </w:pPr>
            <w:r>
              <w:rPr>
                <w:rFonts w:hint="default" w:ascii="Arial" w:hAnsi="Arial" w:eastAsia="宋体" w:cs="Arial"/>
                <w:color w:val="auto"/>
                <w:szCs w:val="21"/>
                <w:highlight w:val="none"/>
              </w:rPr>
              <w:t>序号</w:t>
            </w:r>
          </w:p>
        </w:tc>
        <w:tc>
          <w:tcPr>
            <w:tcW w:w="3124" w:type="dxa"/>
            <w:tcBorders>
              <w:top w:val="single" w:color="auto" w:sz="4" w:space="0"/>
              <w:left w:val="single" w:color="auto" w:sz="4" w:space="0"/>
              <w:bottom w:val="single" w:color="auto" w:sz="2" w:space="0"/>
              <w:right w:val="single" w:color="auto" w:sz="4" w:space="0"/>
            </w:tcBorders>
            <w:vAlign w:val="center"/>
          </w:tcPr>
          <w:p>
            <w:pPr>
              <w:snapToGrid w:val="0"/>
              <w:spacing w:before="50" w:after="50" w:line="440" w:lineRule="exact"/>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备品备件、专用耗材名称</w:t>
            </w:r>
          </w:p>
        </w:tc>
        <w:tc>
          <w:tcPr>
            <w:tcW w:w="2276" w:type="dxa"/>
            <w:tcBorders>
              <w:top w:val="single" w:color="auto" w:sz="4" w:space="0"/>
              <w:left w:val="single" w:color="auto" w:sz="4" w:space="0"/>
              <w:bottom w:val="single" w:color="auto" w:sz="2"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适用于何种投标货物（产品）名称及规格型号</w:t>
            </w:r>
          </w:p>
        </w:tc>
        <w:tc>
          <w:tcPr>
            <w:tcW w:w="1639" w:type="dxa"/>
            <w:tcBorders>
              <w:top w:val="single" w:color="auto" w:sz="4" w:space="0"/>
              <w:left w:val="single" w:color="auto" w:sz="4" w:space="0"/>
              <w:bottom w:val="single" w:color="auto" w:sz="2"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优惠内容</w:t>
            </w:r>
          </w:p>
        </w:tc>
        <w:tc>
          <w:tcPr>
            <w:tcW w:w="1083" w:type="dxa"/>
            <w:tcBorders>
              <w:top w:val="single" w:color="auto" w:sz="4" w:space="0"/>
              <w:left w:val="single" w:color="auto" w:sz="4" w:space="0"/>
              <w:bottom w:val="single" w:color="auto" w:sz="2" w:space="0"/>
            </w:tcBorders>
            <w:tcMar>
              <w:top w:w="15" w:type="dxa"/>
              <w:left w:w="15" w:type="dxa"/>
              <w:bottom w:w="0" w:type="dxa"/>
              <w:right w:w="15" w:type="dxa"/>
            </w:tcMar>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优惠单价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90" w:hRule="atLeast"/>
        </w:trPr>
        <w:tc>
          <w:tcPr>
            <w:tcW w:w="850" w:type="dxa"/>
            <w:tcBorders>
              <w:top w:val="single" w:color="auto" w:sz="4" w:space="0"/>
              <w:bottom w:val="single" w:color="auto" w:sz="4" w:space="0"/>
              <w:right w:val="single" w:color="auto" w:sz="2" w:space="0"/>
            </w:tcBorders>
            <w:tcMar>
              <w:top w:w="15" w:type="dxa"/>
              <w:left w:w="15" w:type="dxa"/>
              <w:bottom w:w="0" w:type="dxa"/>
              <w:right w:w="15" w:type="dxa"/>
            </w:tcMar>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1</w:t>
            </w:r>
          </w:p>
        </w:tc>
        <w:tc>
          <w:tcPr>
            <w:tcW w:w="3124" w:type="dxa"/>
            <w:tcBorders>
              <w:top w:val="single" w:color="auto" w:sz="2" w:space="0"/>
              <w:left w:val="single" w:color="auto" w:sz="2" w:space="0"/>
              <w:bottom w:val="single" w:color="auto" w:sz="6" w:space="0"/>
              <w:right w:val="single" w:color="auto" w:sz="4" w:space="0"/>
            </w:tcBorders>
            <w:vAlign w:val="center"/>
          </w:tcPr>
          <w:p>
            <w:pPr>
              <w:rPr>
                <w:rFonts w:hint="default" w:ascii="Arial" w:hAnsi="Arial" w:eastAsia="宋体" w:cs="Arial"/>
                <w:color w:val="auto"/>
                <w:szCs w:val="21"/>
                <w:highlight w:val="none"/>
              </w:rPr>
            </w:pPr>
          </w:p>
        </w:tc>
        <w:tc>
          <w:tcPr>
            <w:tcW w:w="2276" w:type="dxa"/>
            <w:tcBorders>
              <w:top w:val="single" w:color="auto" w:sz="2" w:space="0"/>
              <w:left w:val="single" w:color="auto" w:sz="4" w:space="0"/>
              <w:bottom w:val="single" w:color="auto" w:sz="6" w:space="0"/>
              <w:right w:val="single" w:color="auto" w:sz="6" w:space="0"/>
            </w:tcBorders>
            <w:vAlign w:val="center"/>
          </w:tcPr>
          <w:p>
            <w:pPr>
              <w:rPr>
                <w:rFonts w:hint="default" w:ascii="Arial" w:hAnsi="Arial" w:eastAsia="宋体" w:cs="Arial"/>
                <w:color w:val="auto"/>
                <w:szCs w:val="21"/>
                <w:highlight w:val="none"/>
              </w:rPr>
            </w:pPr>
          </w:p>
        </w:tc>
        <w:tc>
          <w:tcPr>
            <w:tcW w:w="1639" w:type="dxa"/>
            <w:tcBorders>
              <w:top w:val="single" w:color="auto" w:sz="2" w:space="0"/>
              <w:left w:val="single" w:color="auto" w:sz="6" w:space="0"/>
              <w:bottom w:val="single" w:color="auto" w:sz="6" w:space="0"/>
              <w:right w:val="single" w:color="auto" w:sz="6" w:space="0"/>
            </w:tcBorders>
          </w:tcPr>
          <w:p>
            <w:pPr>
              <w:rPr>
                <w:rFonts w:hint="default" w:ascii="Arial" w:hAnsi="Arial" w:eastAsia="宋体" w:cs="Arial"/>
                <w:color w:val="auto"/>
                <w:szCs w:val="21"/>
                <w:highlight w:val="none"/>
              </w:rPr>
            </w:pPr>
          </w:p>
        </w:tc>
        <w:tc>
          <w:tcPr>
            <w:tcW w:w="1083" w:type="dxa"/>
            <w:tcBorders>
              <w:top w:val="single" w:color="auto" w:sz="2" w:space="0"/>
              <w:left w:val="single" w:color="auto" w:sz="6" w:space="0"/>
              <w:bottom w:val="single" w:color="auto" w:sz="6" w:space="0"/>
              <w:right w:val="single" w:color="auto" w:sz="6" w:space="0"/>
            </w:tcBorders>
            <w:tcMar>
              <w:top w:w="15" w:type="dxa"/>
              <w:left w:w="15" w:type="dxa"/>
              <w:bottom w:w="0" w:type="dxa"/>
              <w:right w:w="15" w:type="dxa"/>
            </w:tcMar>
            <w:vAlign w:val="center"/>
          </w:tcPr>
          <w:p>
            <w:pP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90" w:hRule="atLeast"/>
        </w:trPr>
        <w:tc>
          <w:tcPr>
            <w:tcW w:w="850" w:type="dxa"/>
            <w:tcBorders>
              <w:top w:val="single" w:color="auto" w:sz="4" w:space="0"/>
              <w:bottom w:val="single" w:color="auto" w:sz="4" w:space="0"/>
              <w:right w:val="single" w:color="auto" w:sz="2" w:space="0"/>
            </w:tcBorders>
            <w:tcMar>
              <w:top w:w="15" w:type="dxa"/>
              <w:left w:w="15" w:type="dxa"/>
              <w:bottom w:w="0" w:type="dxa"/>
              <w:right w:w="15" w:type="dxa"/>
            </w:tcMar>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2</w:t>
            </w:r>
          </w:p>
        </w:tc>
        <w:tc>
          <w:tcPr>
            <w:tcW w:w="3124" w:type="dxa"/>
            <w:tcBorders>
              <w:top w:val="single" w:color="auto" w:sz="6" w:space="0"/>
              <w:left w:val="single" w:color="auto" w:sz="2" w:space="0"/>
              <w:bottom w:val="single" w:color="auto" w:sz="6" w:space="0"/>
              <w:right w:val="single" w:color="auto" w:sz="4" w:space="0"/>
            </w:tcBorders>
            <w:vAlign w:val="center"/>
          </w:tcPr>
          <w:p>
            <w:pPr>
              <w:rPr>
                <w:rFonts w:hint="default" w:ascii="Arial" w:hAnsi="Arial" w:eastAsia="宋体" w:cs="Arial"/>
                <w:color w:val="auto"/>
                <w:szCs w:val="21"/>
                <w:highlight w:val="none"/>
              </w:rPr>
            </w:pPr>
          </w:p>
        </w:tc>
        <w:tc>
          <w:tcPr>
            <w:tcW w:w="2276" w:type="dxa"/>
            <w:tcBorders>
              <w:top w:val="single" w:color="auto" w:sz="6" w:space="0"/>
              <w:left w:val="single" w:color="auto" w:sz="4" w:space="0"/>
              <w:bottom w:val="single" w:color="auto" w:sz="6" w:space="0"/>
              <w:right w:val="single" w:color="auto" w:sz="6" w:space="0"/>
            </w:tcBorders>
            <w:vAlign w:val="center"/>
          </w:tcPr>
          <w:p>
            <w:pPr>
              <w:rPr>
                <w:rFonts w:hint="default" w:ascii="Arial" w:hAnsi="Arial" w:eastAsia="宋体" w:cs="Arial"/>
                <w:color w:val="auto"/>
                <w:szCs w:val="21"/>
                <w:highlight w:val="none"/>
              </w:rPr>
            </w:pPr>
          </w:p>
        </w:tc>
        <w:tc>
          <w:tcPr>
            <w:tcW w:w="1639" w:type="dxa"/>
            <w:tcBorders>
              <w:top w:val="single" w:color="auto" w:sz="6" w:space="0"/>
              <w:left w:val="single" w:color="auto" w:sz="6" w:space="0"/>
              <w:bottom w:val="single" w:color="auto" w:sz="6" w:space="0"/>
              <w:right w:val="single" w:color="auto" w:sz="6" w:space="0"/>
            </w:tcBorders>
          </w:tcPr>
          <w:p>
            <w:pPr>
              <w:rPr>
                <w:rFonts w:hint="default" w:ascii="Arial" w:hAnsi="Arial" w:eastAsia="宋体" w:cs="Arial"/>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90" w:hRule="atLeast"/>
        </w:trPr>
        <w:tc>
          <w:tcPr>
            <w:tcW w:w="850" w:type="dxa"/>
            <w:tcBorders>
              <w:top w:val="single" w:color="auto" w:sz="4" w:space="0"/>
              <w:bottom w:val="single" w:color="auto" w:sz="4" w:space="0"/>
              <w:right w:val="single" w:color="auto" w:sz="2" w:space="0"/>
            </w:tcBorders>
            <w:tcMar>
              <w:top w:w="15" w:type="dxa"/>
              <w:left w:w="15" w:type="dxa"/>
              <w:bottom w:w="0" w:type="dxa"/>
              <w:right w:w="15" w:type="dxa"/>
            </w:tcMar>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3</w:t>
            </w:r>
          </w:p>
        </w:tc>
        <w:tc>
          <w:tcPr>
            <w:tcW w:w="3124" w:type="dxa"/>
            <w:tcBorders>
              <w:top w:val="single" w:color="auto" w:sz="6" w:space="0"/>
              <w:left w:val="single" w:color="auto" w:sz="2" w:space="0"/>
              <w:bottom w:val="single" w:color="auto" w:sz="6" w:space="0"/>
              <w:right w:val="single" w:color="auto" w:sz="4" w:space="0"/>
            </w:tcBorders>
            <w:vAlign w:val="center"/>
          </w:tcPr>
          <w:p>
            <w:pPr>
              <w:rPr>
                <w:rFonts w:hint="default" w:ascii="Arial" w:hAnsi="Arial" w:eastAsia="宋体" w:cs="Arial"/>
                <w:color w:val="auto"/>
                <w:szCs w:val="21"/>
                <w:highlight w:val="none"/>
              </w:rPr>
            </w:pPr>
          </w:p>
        </w:tc>
        <w:tc>
          <w:tcPr>
            <w:tcW w:w="2276" w:type="dxa"/>
            <w:tcBorders>
              <w:top w:val="single" w:color="auto" w:sz="6" w:space="0"/>
              <w:left w:val="single" w:color="auto" w:sz="4" w:space="0"/>
              <w:bottom w:val="single" w:color="auto" w:sz="6" w:space="0"/>
              <w:right w:val="single" w:color="auto" w:sz="6" w:space="0"/>
            </w:tcBorders>
            <w:vAlign w:val="center"/>
          </w:tcPr>
          <w:p>
            <w:pPr>
              <w:rPr>
                <w:rFonts w:hint="default" w:ascii="Arial" w:hAnsi="Arial" w:eastAsia="宋体" w:cs="Arial"/>
                <w:color w:val="auto"/>
                <w:szCs w:val="21"/>
                <w:highlight w:val="none"/>
              </w:rPr>
            </w:pPr>
          </w:p>
        </w:tc>
        <w:tc>
          <w:tcPr>
            <w:tcW w:w="1639" w:type="dxa"/>
            <w:tcBorders>
              <w:top w:val="single" w:color="auto" w:sz="6" w:space="0"/>
              <w:left w:val="single" w:color="auto" w:sz="6" w:space="0"/>
              <w:bottom w:val="single" w:color="auto" w:sz="6" w:space="0"/>
              <w:right w:val="single" w:color="auto" w:sz="6" w:space="0"/>
            </w:tcBorders>
          </w:tcPr>
          <w:p>
            <w:pPr>
              <w:rPr>
                <w:rFonts w:hint="default" w:ascii="Arial" w:hAnsi="Arial" w:eastAsia="宋体" w:cs="Arial"/>
                <w:color w:val="auto"/>
                <w:szCs w:val="21"/>
                <w:highlight w:val="none"/>
              </w:rPr>
            </w:pPr>
          </w:p>
        </w:tc>
        <w:tc>
          <w:tcPr>
            <w:tcW w:w="1083"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rPr>
                <w:rFonts w:hint="default" w:ascii="Arial" w:hAnsi="Arial" w:eastAsia="宋体" w:cs="Arial"/>
                <w:color w:val="auto"/>
                <w:szCs w:val="21"/>
                <w:highlight w:val="none"/>
              </w:rPr>
            </w:pPr>
          </w:p>
        </w:tc>
      </w:tr>
    </w:tbl>
    <w:p>
      <w:pPr>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法定代表人或授权代表签字或个人CA签章</w:t>
      </w:r>
      <w:r>
        <w:rPr>
          <w:rFonts w:hint="default" w:ascii="Arial" w:hAnsi="Arial" w:eastAsia="宋体" w:cs="Arial"/>
          <w:color w:val="auto"/>
          <w:spacing w:val="20"/>
          <w:szCs w:val="21"/>
          <w:highlight w:val="none"/>
        </w:rPr>
        <w:t>：</w:t>
      </w:r>
    </w:p>
    <w:p>
      <w:pPr>
        <w:rPr>
          <w:rFonts w:hint="default" w:ascii="Arial" w:hAnsi="Arial" w:eastAsia="宋体" w:cs="Arial"/>
          <w:color w:val="auto"/>
          <w:spacing w:val="20"/>
          <w:szCs w:val="21"/>
          <w:highlight w:val="none"/>
        </w:rPr>
      </w:pPr>
      <w:r>
        <w:rPr>
          <w:rFonts w:hint="default" w:ascii="Arial" w:hAnsi="Arial" w:eastAsia="宋体" w:cs="Arial"/>
          <w:color w:val="auto"/>
          <w:spacing w:val="20"/>
          <w:szCs w:val="21"/>
          <w:highlight w:val="none"/>
        </w:rPr>
        <w:t>供应商公章</w:t>
      </w:r>
      <w:r>
        <w:rPr>
          <w:rFonts w:hint="default" w:ascii="Arial" w:hAnsi="Arial" w:eastAsia="宋体" w:cs="Arial"/>
          <w:color w:val="auto"/>
          <w:szCs w:val="21"/>
          <w:highlight w:val="none"/>
        </w:rPr>
        <w:t>（CA签章）</w:t>
      </w:r>
      <w:r>
        <w:rPr>
          <w:rFonts w:hint="default" w:ascii="Arial" w:hAnsi="Arial" w:eastAsia="宋体" w:cs="Arial"/>
          <w:color w:val="auto"/>
          <w:spacing w:val="20"/>
          <w:szCs w:val="21"/>
          <w:highlight w:val="none"/>
        </w:rPr>
        <w:t>：</w:t>
      </w:r>
    </w:p>
    <w:p>
      <w:pPr>
        <w:rPr>
          <w:rFonts w:hint="default" w:ascii="Arial" w:hAnsi="Arial" w:eastAsia="宋体" w:cs="Arial"/>
          <w:color w:val="auto"/>
          <w:szCs w:val="21"/>
          <w:highlight w:val="none"/>
        </w:rPr>
      </w:pPr>
      <w:r>
        <w:rPr>
          <w:rFonts w:hint="default" w:ascii="Arial" w:hAnsi="Arial" w:eastAsia="宋体" w:cs="Arial"/>
          <w:color w:val="auto"/>
          <w:spacing w:val="20"/>
          <w:szCs w:val="21"/>
          <w:highlight w:val="none"/>
        </w:rPr>
        <w:t>日 期：</w:t>
      </w:r>
    </w:p>
    <w:bookmarkEnd w:id="65"/>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5．实施方案</w:t>
      </w:r>
    </w:p>
    <w:p>
      <w:pPr>
        <w:pStyle w:val="67"/>
        <w:ind w:left="0" w:leftChars="0" w:firstLine="0" w:firstLineChars="0"/>
        <w:rPr>
          <w:rFonts w:hint="default" w:ascii="Arial" w:hAnsi="Arial" w:eastAsia="宋体" w:cs="Arial"/>
          <w:color w:val="auto"/>
          <w:highlight w:val="none"/>
        </w:rPr>
      </w:pPr>
    </w:p>
    <w:p>
      <w:pPr>
        <w:numPr>
          <w:ilvl w:val="0"/>
          <w:numId w:val="10"/>
        </w:numPr>
        <w:rPr>
          <w:rFonts w:hint="default" w:ascii="Arial" w:hAnsi="Arial" w:eastAsia="宋体" w:cs="Arial"/>
          <w:color w:val="auto"/>
          <w:szCs w:val="21"/>
          <w:highlight w:val="none"/>
        </w:rPr>
      </w:pPr>
      <w:r>
        <w:rPr>
          <w:rFonts w:hint="default" w:ascii="Arial" w:hAnsi="Arial" w:eastAsia="宋体" w:cs="Arial"/>
          <w:color w:val="auto"/>
          <w:szCs w:val="21"/>
          <w:highlight w:val="none"/>
        </w:rPr>
        <w:t>项目实施人员一览表。</w:t>
      </w:r>
    </w:p>
    <w:p>
      <w:pPr>
        <w:rPr>
          <w:rFonts w:hint="default" w:ascii="Arial" w:hAnsi="Arial" w:eastAsia="宋体" w:cs="Arial"/>
          <w:color w:val="auto"/>
          <w:szCs w:val="21"/>
          <w:highlight w:val="none"/>
        </w:rPr>
      </w:pPr>
    </w:p>
    <w:p>
      <w:pPr>
        <w:snapToGrid w:val="0"/>
        <w:spacing w:beforeLines="50" w:after="50" w:line="400" w:lineRule="exact"/>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项目实施人员（主要从业人员及其技术资格）一览表</w:t>
      </w:r>
    </w:p>
    <w:p>
      <w:pPr>
        <w:snapToGrid w:val="0"/>
        <w:spacing w:beforeLines="50" w:after="50" w:line="400" w:lineRule="exact"/>
        <w:rPr>
          <w:rFonts w:hint="default" w:ascii="Arial" w:hAnsi="Arial" w:eastAsia="宋体" w:cs="Arial"/>
          <w:color w:val="auto"/>
          <w:szCs w:val="21"/>
          <w:highlight w:val="none"/>
        </w:rPr>
      </w:pPr>
    </w:p>
    <w:tbl>
      <w:tblPr>
        <w:tblStyle w:val="53"/>
        <w:tblW w:w="91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1"/>
        <w:gridCol w:w="1260"/>
        <w:gridCol w:w="1440"/>
        <w:gridCol w:w="1516"/>
        <w:gridCol w:w="1620"/>
        <w:gridCol w:w="19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31" w:type="dxa"/>
            <w:tcBorders>
              <w:top w:val="single" w:color="auto" w:sz="4" w:space="0"/>
              <w:bottom w:val="single" w:color="auto" w:sz="4" w:space="0"/>
              <w:right w:val="single" w:color="auto" w:sz="4" w:space="0"/>
            </w:tcBorders>
            <w:vAlign w:val="center"/>
          </w:tcPr>
          <w:p>
            <w:pPr>
              <w:snapToGrid w:val="0"/>
              <w:spacing w:beforeLines="50" w:after="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姓名</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职务</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专业技术资格</w:t>
            </w:r>
          </w:p>
        </w:tc>
        <w:tc>
          <w:tcPr>
            <w:tcW w:w="1516"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证书编号</w:t>
            </w:r>
          </w:p>
        </w:tc>
        <w:tc>
          <w:tcPr>
            <w:tcW w:w="162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hint="default" w:ascii="Arial" w:hAnsi="Arial" w:eastAsia="宋体" w:cs="Arial"/>
                <w:bCs/>
                <w:color w:val="auto"/>
                <w:szCs w:val="21"/>
                <w:highlight w:val="none"/>
              </w:rPr>
            </w:pPr>
            <w:r>
              <w:rPr>
                <w:rFonts w:hint="default" w:ascii="Arial" w:hAnsi="Arial" w:eastAsia="宋体" w:cs="Arial"/>
                <w:bCs/>
                <w:color w:val="auto"/>
                <w:szCs w:val="21"/>
                <w:highlight w:val="none"/>
              </w:rPr>
              <w:t>参加本单位工作时间</w:t>
            </w:r>
          </w:p>
        </w:tc>
        <w:tc>
          <w:tcPr>
            <w:tcW w:w="1980" w:type="dxa"/>
            <w:tcBorders>
              <w:top w:val="single" w:color="auto" w:sz="4" w:space="0"/>
              <w:left w:val="single" w:color="auto" w:sz="4" w:space="0"/>
              <w:bottom w:val="single" w:color="auto" w:sz="4" w:space="0"/>
            </w:tcBorders>
            <w:vAlign w:val="center"/>
          </w:tcPr>
          <w:p>
            <w:pPr>
              <w:snapToGrid w:val="0"/>
              <w:spacing w:beforeLines="50" w:after="50"/>
              <w:jc w:val="center"/>
              <w:rPr>
                <w:rFonts w:hint="default" w:ascii="Arial" w:hAnsi="Arial" w:eastAsia="宋体" w:cs="Arial"/>
                <w:bCs/>
                <w:color w:val="auto"/>
                <w:szCs w:val="21"/>
                <w:highlight w:val="none"/>
              </w:rPr>
            </w:pPr>
            <w:r>
              <w:rPr>
                <w:rFonts w:hint="default" w:ascii="Arial" w:hAnsi="Arial" w:eastAsia="宋体" w:cs="Arial"/>
                <w:bCs/>
                <w:color w:val="auto"/>
                <w:szCs w:val="21"/>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31" w:type="dxa"/>
            <w:tcBorders>
              <w:top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980" w:type="dxa"/>
            <w:tcBorders>
              <w:top w:val="single" w:color="auto" w:sz="4" w:space="0"/>
              <w:left w:val="single" w:color="auto" w:sz="4" w:space="0"/>
              <w:bottom w:val="single" w:color="auto" w:sz="4" w:space="0"/>
            </w:tcBorders>
          </w:tcPr>
          <w:p>
            <w:pPr>
              <w:snapToGrid w:val="0"/>
              <w:spacing w:beforeLines="50" w:after="50"/>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31" w:type="dxa"/>
            <w:tcBorders>
              <w:top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980" w:type="dxa"/>
            <w:tcBorders>
              <w:top w:val="single" w:color="auto" w:sz="4" w:space="0"/>
              <w:left w:val="single" w:color="auto" w:sz="4" w:space="0"/>
              <w:bottom w:val="single" w:color="auto" w:sz="4" w:space="0"/>
            </w:tcBorders>
          </w:tcPr>
          <w:p>
            <w:pPr>
              <w:snapToGrid w:val="0"/>
              <w:spacing w:beforeLines="50" w:after="50"/>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31" w:type="dxa"/>
            <w:tcBorders>
              <w:top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pStyle w:val="31"/>
              <w:snapToGrid w:val="0"/>
              <w:spacing w:beforeLines="50" w:after="50"/>
              <w:ind w:left="31680" w:hanging="420"/>
              <w:rPr>
                <w:rFonts w:hint="default" w:ascii="Arial" w:hAnsi="Arial" w:eastAsia="宋体" w:cs="Arial"/>
                <w:color w:val="auto"/>
                <w:highlight w:val="none"/>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hint="default" w:ascii="Arial" w:hAnsi="Arial" w:eastAsia="宋体" w:cs="Arial"/>
                <w:color w:val="auto"/>
                <w:szCs w:val="21"/>
                <w:highlight w:val="none"/>
              </w:rPr>
            </w:pPr>
          </w:p>
        </w:tc>
        <w:tc>
          <w:tcPr>
            <w:tcW w:w="1980" w:type="dxa"/>
            <w:tcBorders>
              <w:top w:val="single" w:color="auto" w:sz="4" w:space="0"/>
              <w:left w:val="single" w:color="auto" w:sz="4" w:space="0"/>
              <w:bottom w:val="single" w:color="auto" w:sz="4" w:space="0"/>
            </w:tcBorders>
          </w:tcPr>
          <w:p>
            <w:pPr>
              <w:snapToGrid w:val="0"/>
              <w:spacing w:beforeLines="50" w:after="50"/>
              <w:rPr>
                <w:rFonts w:hint="default" w:ascii="Arial" w:hAnsi="Arial" w:eastAsia="宋体" w:cs="Arial"/>
                <w:color w:val="auto"/>
                <w:szCs w:val="21"/>
                <w:highlight w:val="none"/>
              </w:rPr>
            </w:pPr>
          </w:p>
        </w:tc>
      </w:tr>
    </w:tbl>
    <w:p>
      <w:pPr>
        <w:snapToGrid w:val="0"/>
        <w:spacing w:before="50" w:afterLines="50" w:line="440" w:lineRule="exact"/>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注：在填写时，如本表格不适合投标单位的实际情况，可根据本表格式自行划表填写。</w:t>
      </w:r>
    </w:p>
    <w:p>
      <w:pPr>
        <w:snapToGrid w:val="0"/>
        <w:spacing w:before="50" w:after="50" w:line="440" w:lineRule="exact"/>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法定代表人或授权代表签字或个人CA签章</w:t>
      </w:r>
      <w:r>
        <w:rPr>
          <w:rFonts w:hint="default" w:ascii="Arial" w:hAnsi="Arial" w:eastAsia="宋体" w:cs="Arial"/>
          <w:color w:val="auto"/>
          <w:spacing w:val="20"/>
          <w:szCs w:val="21"/>
          <w:highlight w:val="none"/>
        </w:rPr>
        <w:t>：</w:t>
      </w:r>
      <w:r>
        <w:rPr>
          <w:rFonts w:hint="default" w:ascii="Arial" w:hAnsi="Arial" w:eastAsia="宋体" w:cs="Arial"/>
          <w:color w:val="auto"/>
          <w:spacing w:val="20"/>
          <w:szCs w:val="21"/>
          <w:highlight w:val="none"/>
          <w:u w:val="single"/>
        </w:rPr>
        <w:t xml:space="preserve">  </w:t>
      </w:r>
    </w:p>
    <w:p>
      <w:pPr>
        <w:rPr>
          <w:rFonts w:hint="default" w:ascii="Arial" w:hAnsi="Arial" w:eastAsia="宋体" w:cs="Arial"/>
          <w:color w:val="auto"/>
          <w:spacing w:val="20"/>
          <w:szCs w:val="21"/>
          <w:highlight w:val="none"/>
          <w:u w:val="single"/>
        </w:rPr>
      </w:pPr>
      <w:r>
        <w:rPr>
          <w:rFonts w:hint="default" w:ascii="Arial" w:hAnsi="Arial" w:eastAsia="宋体" w:cs="Arial"/>
          <w:color w:val="auto"/>
          <w:spacing w:val="20"/>
          <w:szCs w:val="21"/>
          <w:highlight w:val="none"/>
        </w:rPr>
        <w:t>供应商公章</w:t>
      </w:r>
      <w:r>
        <w:rPr>
          <w:rFonts w:hint="default" w:ascii="Arial" w:hAnsi="Arial" w:eastAsia="宋体" w:cs="Arial"/>
          <w:color w:val="auto"/>
          <w:szCs w:val="21"/>
          <w:highlight w:val="none"/>
        </w:rPr>
        <w:t>（CA签章）</w:t>
      </w:r>
      <w:r>
        <w:rPr>
          <w:rFonts w:hint="default" w:ascii="Arial" w:hAnsi="Arial" w:eastAsia="宋体" w:cs="Arial"/>
          <w:color w:val="auto"/>
          <w:spacing w:val="20"/>
          <w:szCs w:val="21"/>
          <w:highlight w:val="none"/>
        </w:rPr>
        <w:t>：日  期：</w:t>
      </w: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7</w:t>
      </w:r>
      <w:r>
        <w:rPr>
          <w:rFonts w:hint="default" w:ascii="Arial" w:hAnsi="Arial" w:eastAsia="宋体" w:cs="Arial"/>
          <w:color w:val="auto"/>
          <w:szCs w:val="21"/>
          <w:highlight w:val="none"/>
        </w:rPr>
        <w:t>．技术服务、技术培训、售后服务的内容和措施。</w:t>
      </w: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8</w:t>
      </w:r>
      <w:r>
        <w:rPr>
          <w:rFonts w:hint="default" w:ascii="Arial" w:hAnsi="Arial" w:eastAsia="宋体" w:cs="Arial"/>
          <w:color w:val="auto"/>
          <w:szCs w:val="21"/>
          <w:highlight w:val="none"/>
        </w:rPr>
        <w:t>．供应商对本项目的合理化建议和改进措施。</w:t>
      </w: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rPr>
      </w:pPr>
    </w:p>
    <w:p>
      <w:pPr>
        <w:rPr>
          <w:rFonts w:hint="default" w:ascii="Arial" w:hAnsi="Arial" w:eastAsia="宋体" w:cs="Arial"/>
          <w:color w:val="auto"/>
          <w:szCs w:val="21"/>
          <w:highlight w:val="none"/>
          <w:lang w:val="en-US" w:eastAsia="zh-CN"/>
        </w:rPr>
      </w:pPr>
      <w:r>
        <w:rPr>
          <w:rFonts w:hint="default" w:ascii="Arial" w:hAnsi="Arial" w:eastAsia="宋体" w:cs="Arial"/>
          <w:color w:val="auto"/>
          <w:szCs w:val="21"/>
          <w:highlight w:val="none"/>
          <w:lang w:val="en-US" w:eastAsia="zh-CN"/>
        </w:rPr>
        <w:t>9</w:t>
      </w:r>
      <w:r>
        <w:rPr>
          <w:rFonts w:hint="default" w:ascii="Arial" w:hAnsi="Arial" w:eastAsia="宋体" w:cs="Arial"/>
          <w:color w:val="auto"/>
          <w:szCs w:val="21"/>
          <w:highlight w:val="none"/>
        </w:rPr>
        <w:t>．项目采购需求</w:t>
      </w:r>
      <w:r>
        <w:rPr>
          <w:rFonts w:hint="default" w:ascii="Arial" w:hAnsi="Arial" w:eastAsia="宋体" w:cs="Arial"/>
          <w:color w:val="auto"/>
          <w:szCs w:val="21"/>
          <w:highlight w:val="none"/>
          <w:lang w:val="en-US" w:eastAsia="zh-CN"/>
        </w:rPr>
        <w:t>中要求必须提供的证明材料。</w:t>
      </w:r>
    </w:p>
    <w:p>
      <w:pPr>
        <w:rPr>
          <w:rFonts w:hint="default" w:ascii="Arial" w:hAnsi="Arial" w:eastAsia="宋体" w:cs="Arial"/>
          <w:color w:val="auto"/>
          <w:szCs w:val="21"/>
          <w:highlight w:val="none"/>
          <w:lang w:val="en-US" w:eastAsia="zh-CN"/>
        </w:rPr>
      </w:pPr>
    </w:p>
    <w:p>
      <w:pPr>
        <w:rPr>
          <w:rFonts w:hint="default" w:ascii="Arial" w:hAnsi="Arial" w:eastAsia="宋体" w:cs="Arial"/>
          <w:color w:val="auto"/>
          <w:szCs w:val="21"/>
          <w:highlight w:val="none"/>
          <w:lang w:val="en-US" w:eastAsia="zh-CN"/>
        </w:rPr>
      </w:pPr>
    </w:p>
    <w:p>
      <w:pPr>
        <w:rPr>
          <w:rFonts w:hint="default" w:ascii="Arial" w:hAnsi="Arial" w:eastAsia="宋体" w:cs="Arial"/>
          <w:color w:val="auto"/>
          <w:szCs w:val="21"/>
          <w:highlight w:val="none"/>
        </w:rPr>
      </w:pPr>
      <w:r>
        <w:rPr>
          <w:rFonts w:hint="default" w:ascii="Arial" w:hAnsi="Arial" w:eastAsia="宋体" w:cs="Arial"/>
          <w:color w:val="auto"/>
          <w:szCs w:val="21"/>
          <w:highlight w:val="none"/>
          <w:lang w:val="en-US" w:eastAsia="zh-CN"/>
        </w:rPr>
        <w:t>10</w:t>
      </w:r>
      <w:r>
        <w:rPr>
          <w:rFonts w:hint="default" w:ascii="Arial" w:hAnsi="Arial" w:eastAsia="宋体" w:cs="Arial"/>
          <w:color w:val="auto"/>
          <w:szCs w:val="21"/>
          <w:highlight w:val="none"/>
        </w:rPr>
        <w:t>．供应商需要说明的其他文件和说明。</w:t>
      </w:r>
    </w:p>
    <w:p>
      <w:pPr>
        <w:jc w:val="center"/>
        <w:rPr>
          <w:rFonts w:hint="default" w:ascii="Arial" w:hAnsi="Arial" w:eastAsia="宋体" w:cs="Arial"/>
          <w:b/>
          <w:bCs/>
          <w:color w:val="auto"/>
          <w:szCs w:val="21"/>
          <w:highlight w:val="none"/>
        </w:rPr>
      </w:pPr>
      <w:r>
        <w:rPr>
          <w:rFonts w:hint="default" w:ascii="Arial" w:hAnsi="Arial" w:eastAsia="宋体" w:cs="Arial"/>
          <w:b/>
          <w:color w:val="auto"/>
          <w:szCs w:val="21"/>
          <w:highlight w:val="none"/>
        </w:rPr>
        <w:br w:type="page"/>
      </w:r>
      <w:r>
        <w:rPr>
          <w:rFonts w:hint="default" w:ascii="Arial" w:hAnsi="Arial" w:eastAsia="宋体" w:cs="Arial"/>
          <w:b/>
          <w:bCs/>
          <w:color w:val="auto"/>
          <w:szCs w:val="21"/>
          <w:highlight w:val="none"/>
        </w:rPr>
        <w:t xml:space="preserve"> </w:t>
      </w:r>
    </w:p>
    <w:p>
      <w:pPr>
        <w:snapToGrid w:val="0"/>
        <w:spacing w:beforeLines="50" w:after="50" w:line="440" w:lineRule="exact"/>
        <w:jc w:val="center"/>
        <w:outlineLvl w:val="1"/>
        <w:rPr>
          <w:rFonts w:hint="default" w:ascii="Arial" w:hAnsi="Arial" w:eastAsia="宋体" w:cs="Arial"/>
          <w:bCs/>
          <w:color w:val="auto"/>
          <w:sz w:val="24"/>
          <w:highlight w:val="none"/>
        </w:rPr>
      </w:pPr>
      <w:r>
        <w:rPr>
          <w:rFonts w:hint="default" w:ascii="Arial" w:hAnsi="Arial" w:eastAsia="宋体" w:cs="Arial"/>
          <w:bCs/>
          <w:color w:val="auto"/>
          <w:sz w:val="24"/>
          <w:highlight w:val="none"/>
        </w:rPr>
        <w:t>第三部分 报价文件</w:t>
      </w:r>
    </w:p>
    <w:p>
      <w:pPr>
        <w:jc w:val="center"/>
        <w:rPr>
          <w:rFonts w:hint="default" w:ascii="Arial" w:hAnsi="Arial" w:eastAsia="宋体" w:cs="Arial"/>
          <w:b/>
          <w:bCs/>
          <w:color w:val="auto"/>
          <w:szCs w:val="21"/>
          <w:highlight w:val="none"/>
        </w:rPr>
      </w:pPr>
    </w:p>
    <w:p>
      <w:pPr>
        <w:rPr>
          <w:rFonts w:hint="default" w:ascii="Arial" w:hAnsi="Arial" w:eastAsia="宋体" w:cs="Arial"/>
          <w:color w:val="auto"/>
          <w:highlight w:val="none"/>
        </w:rPr>
      </w:pPr>
      <w:bookmarkStart w:id="66" w:name="_Hlk19115777"/>
      <w:r>
        <w:rPr>
          <w:rFonts w:hint="default" w:ascii="Arial" w:hAnsi="Arial" w:eastAsia="宋体" w:cs="Arial"/>
          <w:color w:val="auto"/>
          <w:highlight w:val="none"/>
        </w:rPr>
        <w:t>1．投标函格式</w:t>
      </w:r>
      <w:r>
        <w:rPr>
          <w:rFonts w:hint="default" w:ascii="Arial" w:hAnsi="Arial" w:eastAsia="宋体" w:cs="Arial"/>
          <w:b/>
          <w:color w:val="auto"/>
          <w:highlight w:val="none"/>
        </w:rPr>
        <w:t>（</w:t>
      </w:r>
      <w:r>
        <w:rPr>
          <w:rFonts w:hint="default" w:ascii="Arial" w:hAnsi="Arial" w:eastAsia="宋体" w:cs="Arial"/>
          <w:b/>
          <w:color w:val="auto"/>
          <w:szCs w:val="21"/>
          <w:highlight w:val="none"/>
        </w:rPr>
        <w:t>必须提供</w:t>
      </w:r>
      <w:r>
        <w:rPr>
          <w:rFonts w:hint="default" w:ascii="Arial" w:hAnsi="Arial" w:eastAsia="宋体" w:cs="Arial"/>
          <w:b/>
          <w:color w:val="auto"/>
          <w:highlight w:val="none"/>
        </w:rPr>
        <w:t>）</w:t>
      </w:r>
      <w:r>
        <w:rPr>
          <w:rFonts w:hint="default" w:ascii="Arial" w:hAnsi="Arial" w:eastAsia="宋体" w:cs="Arial"/>
          <w:color w:val="auto"/>
          <w:highlight w:val="none"/>
        </w:rPr>
        <w:t>：</w:t>
      </w:r>
    </w:p>
    <w:p>
      <w:pPr>
        <w:jc w:val="center"/>
        <w:rPr>
          <w:rFonts w:hint="default" w:ascii="Arial" w:hAnsi="Arial" w:eastAsia="宋体" w:cs="Arial"/>
          <w:b/>
          <w:color w:val="auto"/>
          <w:szCs w:val="21"/>
          <w:highlight w:val="none"/>
        </w:rPr>
      </w:pPr>
    </w:p>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投 标 函</w:t>
      </w:r>
    </w:p>
    <w:p>
      <w:pPr>
        <w:rPr>
          <w:rFonts w:hint="default" w:ascii="Arial" w:hAnsi="Arial" w:eastAsia="宋体" w:cs="Arial"/>
          <w:b/>
          <w:color w:val="auto"/>
          <w:szCs w:val="21"/>
          <w:highlight w:val="none"/>
        </w:rPr>
      </w:pP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致：</w:t>
      </w:r>
      <w:bookmarkStart w:id="67" w:name="_Hlk19051378"/>
      <w:r>
        <w:rPr>
          <w:rFonts w:hint="default" w:ascii="Arial" w:hAnsi="Arial" w:eastAsia="宋体" w:cs="Arial"/>
          <w:color w:val="auto"/>
          <w:szCs w:val="21"/>
          <w:highlight w:val="none"/>
        </w:rPr>
        <w:t>_</w:t>
      </w:r>
      <w:r>
        <w:rPr>
          <w:rFonts w:hint="default" w:ascii="Arial" w:hAnsi="Arial" w:eastAsia="宋体" w:cs="Arial"/>
          <w:i/>
          <w:iCs/>
          <w:color w:val="auto"/>
          <w:szCs w:val="21"/>
          <w:highlight w:val="none"/>
          <w:u w:val="single"/>
        </w:rPr>
        <w:t>（采购人名称）</w:t>
      </w:r>
      <w:r>
        <w:rPr>
          <w:rFonts w:hint="default" w:ascii="Arial" w:hAnsi="Arial" w:eastAsia="宋体" w:cs="Arial"/>
          <w:i/>
          <w:iCs/>
          <w:color w:val="auto"/>
          <w:szCs w:val="21"/>
          <w:highlight w:val="none"/>
        </w:rPr>
        <w:t>_</w:t>
      </w:r>
      <w:bookmarkEnd w:id="67"/>
      <w:r>
        <w:rPr>
          <w:rFonts w:hint="default" w:ascii="Arial" w:hAnsi="Arial" w:eastAsia="宋体" w:cs="Arial"/>
          <w:color w:val="auto"/>
          <w:szCs w:val="21"/>
          <w:highlight w:val="none"/>
        </w:rPr>
        <w:t>：</w:t>
      </w:r>
    </w:p>
    <w:p>
      <w:pPr>
        <w:spacing w:line="360"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我方已仔细研究了</w:t>
      </w:r>
      <w:bookmarkStart w:id="68" w:name="_Hlk19051388"/>
      <w:r>
        <w:rPr>
          <w:rFonts w:hint="default" w:ascii="Arial" w:hAnsi="Arial" w:eastAsia="宋体" w:cs="Arial"/>
          <w:i/>
          <w:iCs/>
          <w:color w:val="auto"/>
          <w:szCs w:val="21"/>
          <w:highlight w:val="none"/>
          <w:u w:val="single"/>
        </w:rPr>
        <w:t>（项目名称）</w:t>
      </w:r>
      <w:bookmarkEnd w:id="68"/>
      <w:r>
        <w:rPr>
          <w:rFonts w:hint="default" w:ascii="Arial" w:hAnsi="Arial" w:eastAsia="宋体" w:cs="Arial"/>
          <w:color w:val="auto"/>
          <w:szCs w:val="21"/>
          <w:highlight w:val="none"/>
        </w:rPr>
        <w:t>的招标文件的全部内容。签字代表</w:t>
      </w:r>
      <w:bookmarkStart w:id="69" w:name="_Hlk19051393"/>
      <w:r>
        <w:rPr>
          <w:rFonts w:hint="default" w:ascii="Arial" w:hAnsi="Arial" w:eastAsia="宋体" w:cs="Arial"/>
          <w:i/>
          <w:iCs/>
          <w:color w:val="auto"/>
          <w:szCs w:val="21"/>
          <w:highlight w:val="none"/>
          <w:u w:val="single"/>
        </w:rPr>
        <w:t>（授权代表姓名）</w:t>
      </w:r>
      <w:bookmarkEnd w:id="69"/>
      <w:r>
        <w:rPr>
          <w:rFonts w:hint="default" w:ascii="Arial" w:hAnsi="Arial" w:eastAsia="宋体" w:cs="Arial"/>
          <w:color w:val="auto"/>
          <w:szCs w:val="21"/>
          <w:highlight w:val="none"/>
        </w:rPr>
        <w:t>经正式授权并代表供应商_</w:t>
      </w:r>
      <w:bookmarkStart w:id="70" w:name="_Hlk19051402"/>
      <w:r>
        <w:rPr>
          <w:rFonts w:hint="default" w:ascii="Arial" w:hAnsi="Arial" w:eastAsia="宋体" w:cs="Arial"/>
          <w:i/>
          <w:iCs/>
          <w:color w:val="auto"/>
          <w:szCs w:val="21"/>
          <w:highlight w:val="none"/>
          <w:u w:val="single"/>
        </w:rPr>
        <w:t>（供应商名称）</w:t>
      </w:r>
      <w:bookmarkEnd w:id="70"/>
      <w:r>
        <w:rPr>
          <w:rFonts w:hint="default" w:ascii="Arial" w:hAnsi="Arial" w:eastAsia="宋体" w:cs="Arial"/>
          <w:color w:val="auto"/>
          <w:szCs w:val="21"/>
          <w:highlight w:val="none"/>
        </w:rPr>
        <w:t>提交投标文件正本一份、副本</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份。</w:t>
      </w:r>
    </w:p>
    <w:p>
      <w:pPr>
        <w:spacing w:line="360"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据此函，签字代表宣布同意如下：</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（1）我方已详细审查全部“招标文件”，包括修改文件（如有的话）以及全部参考资料和有关附件，已经了解我方对于招标文件、采购过程、采购结果有依法进行询问、质疑、投诉的权利及相关渠道和要求。</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（2）我方在投标之前已经与贵方进行了充分的沟通，完全理解并接受招标文件的各项规定和要求，对招标文件的合理性、合法性不再有异议。</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（3）本投标有效期自投标截止之日起</w:t>
      </w:r>
      <w:r>
        <w:rPr>
          <w:rFonts w:hint="default" w:ascii="Arial" w:hAnsi="Arial" w:eastAsia="宋体" w:cs="Arial"/>
          <w:color w:val="auto"/>
          <w:szCs w:val="21"/>
          <w:highlight w:val="none"/>
          <w:u w:val="single"/>
        </w:rPr>
        <w:t xml:space="preserve"> 90  </w:t>
      </w:r>
      <w:r>
        <w:rPr>
          <w:rFonts w:hint="default" w:ascii="Arial" w:hAnsi="Arial" w:eastAsia="宋体" w:cs="Arial"/>
          <w:color w:val="auto"/>
          <w:szCs w:val="21"/>
          <w:highlight w:val="none"/>
        </w:rPr>
        <w:t>天。</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（4）如中标，本投标文件至本项目合同履行完毕止均保持有效，我方将按“招标文件”及政府采购法律、法规的规定履行合同责任和义务，并承诺不分包及转包他人。</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（5）我方同意按照贵方要求提供与投标有关的一切数据或资料。</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（6）与本项目有关的一切正式往来信函请寄：</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地址：</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邮编： 电话：</w:t>
      </w:r>
      <w:r>
        <w:rPr>
          <w:rFonts w:hint="default" w:ascii="Arial" w:hAnsi="Arial" w:eastAsia="宋体" w:cs="Arial"/>
          <w:color w:val="auto"/>
          <w:szCs w:val="21"/>
          <w:highlight w:val="none"/>
          <w:u w:val="single"/>
        </w:rPr>
        <w:t xml:space="preserve">  </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传真：</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供应商代表姓名 职务：邮箱：</w:t>
      </w:r>
    </w:p>
    <w:bookmarkEnd w:id="66"/>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供应商名称(公章)（CA签章）：</w:t>
      </w:r>
    </w:p>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法定代表人或授权代表签字或个人CA签章： </w:t>
      </w:r>
    </w:p>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日期：</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年</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月</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日</w:t>
      </w:r>
    </w:p>
    <w:p>
      <w:pPr>
        <w:rPr>
          <w:rFonts w:hint="default" w:ascii="Arial" w:hAnsi="Arial" w:eastAsia="宋体" w:cs="Arial"/>
          <w:color w:val="auto"/>
          <w:highlight w:val="none"/>
        </w:rPr>
      </w:pPr>
      <w:r>
        <w:rPr>
          <w:rFonts w:hint="default" w:ascii="Arial" w:hAnsi="Arial" w:eastAsia="宋体" w:cs="Arial"/>
          <w:b/>
          <w:color w:val="auto"/>
          <w:szCs w:val="21"/>
          <w:highlight w:val="none"/>
        </w:rPr>
        <w:br w:type="page"/>
      </w:r>
      <w:r>
        <w:rPr>
          <w:rFonts w:hint="default" w:ascii="Arial" w:hAnsi="Arial" w:eastAsia="宋体" w:cs="Arial"/>
          <w:color w:val="auto"/>
          <w:highlight w:val="none"/>
        </w:rPr>
        <w:t>2．投标报价明细表格式：</w:t>
      </w:r>
    </w:p>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投标报价明细表</w:t>
      </w:r>
    </w:p>
    <w:p>
      <w:pPr>
        <w:ind w:firstLine="2415" w:firstLineChars="1150"/>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 金额单位：人民币（元）</w:t>
      </w:r>
    </w:p>
    <w:tbl>
      <w:tblPr>
        <w:tblStyle w:val="53"/>
        <w:tblW w:w="104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620"/>
        <w:gridCol w:w="1080"/>
        <w:gridCol w:w="1440"/>
        <w:gridCol w:w="1440"/>
        <w:gridCol w:w="1620"/>
        <w:gridCol w:w="12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exact"/>
          <w:jc w:val="center"/>
        </w:trPr>
        <w:tc>
          <w:tcPr>
            <w:tcW w:w="540"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r>
              <w:rPr>
                <w:rFonts w:hint="default" w:ascii="Arial" w:hAnsi="Arial" w:eastAsia="宋体" w:cs="Arial"/>
                <w:color w:val="auto"/>
                <w:szCs w:val="21"/>
                <w:highlight w:val="none"/>
              </w:rPr>
              <w:t>序号</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产品名称</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制造商</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品牌</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规格型号</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单位及数量</w:t>
            </w: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单价</w:t>
            </w:r>
          </w:p>
        </w:tc>
        <w:tc>
          <w:tcPr>
            <w:tcW w:w="1440"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color w:val="auto"/>
                <w:szCs w:val="21"/>
                <w:highlight w:val="none"/>
              </w:rPr>
            </w:pPr>
            <w:r>
              <w:rPr>
                <w:rFonts w:hint="default" w:ascii="Arial" w:hAnsi="Arial" w:eastAsia="宋体" w:cs="Arial"/>
                <w:color w:val="auto"/>
                <w:szCs w:val="21"/>
                <w:highlight w:val="none"/>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exact"/>
          <w:jc w:val="center"/>
        </w:trPr>
        <w:tc>
          <w:tcPr>
            <w:tcW w:w="540"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exact"/>
          <w:jc w:val="center"/>
        </w:trPr>
        <w:tc>
          <w:tcPr>
            <w:tcW w:w="540"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exact"/>
          <w:jc w:val="center"/>
        </w:trPr>
        <w:tc>
          <w:tcPr>
            <w:tcW w:w="540"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r>
              <w:rPr>
                <w:rFonts w:hint="default" w:ascii="Arial" w:hAnsi="Arial" w:eastAsia="宋体" w:cs="Arial"/>
                <w:color w:val="auto"/>
                <w:spacing w:val="20"/>
                <w:szCs w:val="21"/>
                <w:highlight w:val="none"/>
              </w:rPr>
              <w:t>……</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color w:val="auto"/>
                <w:spacing w:val="20"/>
                <w:szCs w:val="21"/>
                <w:highlight w:val="none"/>
              </w:rPr>
            </w:pPr>
          </w:p>
        </w:tc>
        <w:tc>
          <w:tcPr>
            <w:tcW w:w="1440"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exact"/>
          <w:jc w:val="center"/>
        </w:trPr>
        <w:tc>
          <w:tcPr>
            <w:tcW w:w="10440" w:type="dxa"/>
            <w:gridSpan w:val="8"/>
            <w:tcBorders>
              <w:top w:val="single" w:color="auto" w:sz="4" w:space="0"/>
              <w:bottom w:val="single" w:color="auto" w:sz="4" w:space="0"/>
            </w:tcBorders>
            <w:vAlign w:val="center"/>
          </w:tcPr>
          <w:p>
            <w:pPr>
              <w:jc w:val="left"/>
              <w:rPr>
                <w:rFonts w:hint="default" w:ascii="Arial" w:hAnsi="Arial" w:eastAsia="宋体" w:cs="Arial"/>
                <w:color w:val="auto"/>
                <w:spacing w:val="20"/>
                <w:szCs w:val="21"/>
                <w:highlight w:val="none"/>
              </w:rPr>
            </w:pPr>
            <w:r>
              <w:rPr>
                <w:rFonts w:hint="default" w:ascii="Arial" w:hAnsi="Arial" w:eastAsia="宋体" w:cs="Arial"/>
                <w:color w:val="auto"/>
                <w:spacing w:val="20"/>
                <w:szCs w:val="21"/>
                <w:highlight w:val="none"/>
              </w:rPr>
              <w:t>投标总价：大写小写</w:t>
            </w:r>
          </w:p>
        </w:tc>
      </w:tr>
    </w:tbl>
    <w:p>
      <w:pPr>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注：本表可扩展，并逐页签字及盖章</w:t>
      </w:r>
    </w:p>
    <w:p>
      <w:pPr>
        <w:spacing w:line="360" w:lineRule="auto"/>
        <w:rPr>
          <w:rFonts w:hint="default" w:ascii="Arial" w:hAnsi="Arial" w:eastAsia="宋体" w:cs="Arial"/>
          <w:color w:val="auto"/>
          <w:spacing w:val="20"/>
          <w:szCs w:val="21"/>
          <w:highlight w:val="none"/>
        </w:rPr>
      </w:pPr>
    </w:p>
    <w:p>
      <w:pPr>
        <w:spacing w:line="360" w:lineRule="auto"/>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法定代表人或授权代表（签字或个人CA签章）</w:t>
      </w:r>
      <w:r>
        <w:rPr>
          <w:rFonts w:hint="default" w:ascii="Arial" w:hAnsi="Arial" w:eastAsia="宋体" w:cs="Arial"/>
          <w:color w:val="auto"/>
          <w:spacing w:val="20"/>
          <w:szCs w:val="21"/>
          <w:highlight w:val="none"/>
        </w:rPr>
        <w:t>：</w:t>
      </w:r>
      <w:r>
        <w:rPr>
          <w:rFonts w:hint="default" w:ascii="Arial" w:hAnsi="Arial" w:eastAsia="宋体" w:cs="Arial"/>
          <w:color w:val="auto"/>
          <w:spacing w:val="20"/>
          <w:szCs w:val="21"/>
          <w:highlight w:val="none"/>
          <w:u w:val="single"/>
        </w:rPr>
        <w:t xml:space="preserve">           </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供应商名称（公章）（CA签章）： </w:t>
      </w:r>
      <w:r>
        <w:rPr>
          <w:rFonts w:hint="default" w:ascii="Arial" w:hAnsi="Arial" w:eastAsia="宋体" w:cs="Arial"/>
          <w:color w:val="auto"/>
          <w:szCs w:val="21"/>
          <w:highlight w:val="none"/>
          <w:u w:val="single"/>
        </w:rPr>
        <w:t xml:space="preserve">           </w:t>
      </w:r>
    </w:p>
    <w:p>
      <w:pPr>
        <w:spacing w:line="360" w:lineRule="auto"/>
        <w:rPr>
          <w:rFonts w:hint="default" w:ascii="Arial" w:hAnsi="Arial" w:eastAsia="宋体" w:cs="Arial"/>
          <w:color w:val="auto"/>
          <w:spacing w:val="20"/>
          <w:szCs w:val="21"/>
          <w:highlight w:val="none"/>
          <w:u w:val="single"/>
        </w:rPr>
      </w:pPr>
      <w:r>
        <w:rPr>
          <w:rFonts w:hint="default" w:ascii="Arial" w:hAnsi="Arial" w:eastAsia="宋体" w:cs="Arial"/>
          <w:color w:val="auto"/>
          <w:szCs w:val="21"/>
          <w:highlight w:val="none"/>
        </w:rPr>
        <w:t xml:space="preserve">日  期：：   年  月   日 </w:t>
      </w: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br w:type="page"/>
      </w:r>
      <w:bookmarkStart w:id="71" w:name="_Hlk19115862"/>
      <w:r>
        <w:rPr>
          <w:rFonts w:hint="default" w:ascii="Arial" w:hAnsi="Arial" w:eastAsia="宋体" w:cs="Arial"/>
          <w:color w:val="auto"/>
          <w:szCs w:val="21"/>
          <w:highlight w:val="none"/>
        </w:rPr>
        <w:t>3．过低报价合理性的说明。（如有）</w:t>
      </w:r>
    </w:p>
    <w:p>
      <w:pPr>
        <w:spacing w:line="360" w:lineRule="auto"/>
        <w:ind w:firstLine="420" w:firstLineChars="200"/>
        <w:rPr>
          <w:rFonts w:hint="default" w:ascii="Arial" w:hAnsi="Arial" w:eastAsia="宋体" w:cs="Arial"/>
          <w:color w:val="auto"/>
          <w:szCs w:val="21"/>
          <w:highlight w:val="none"/>
        </w:rPr>
      </w:pPr>
      <w:r>
        <w:rPr>
          <w:rFonts w:hint="default" w:ascii="Arial" w:hAnsi="Arial" w:eastAsia="宋体" w:cs="Arial"/>
          <w:color w:val="auto"/>
          <w:szCs w:val="21"/>
          <w:highlight w:val="none"/>
        </w:rPr>
        <w:t>评标委员会认为供应商的报价明显低于其他通过符合性审查供应商报价的，供应商将被要求以书面方式提供说明。为避免在评标现场因未能及时提供说明而导致被评标委员会作为无效投标，供应商</w:t>
      </w:r>
      <w:r>
        <w:rPr>
          <w:rFonts w:hint="default" w:ascii="Arial" w:hAnsi="Arial" w:eastAsia="宋体" w:cs="Arial"/>
          <w:color w:val="auto"/>
          <w:highlight w:val="none"/>
        </w:rPr>
        <w:t>自行决定是否</w:t>
      </w:r>
      <w:r>
        <w:rPr>
          <w:rFonts w:hint="default" w:ascii="Arial" w:hAnsi="Arial" w:eastAsia="宋体" w:cs="Arial"/>
          <w:color w:val="auto"/>
          <w:kern w:val="1"/>
          <w:szCs w:val="21"/>
          <w:highlight w:val="none"/>
        </w:rPr>
        <w:t>直接在</w:t>
      </w:r>
      <w:r>
        <w:rPr>
          <w:rFonts w:hint="default" w:ascii="Arial" w:hAnsi="Arial" w:eastAsia="宋体" w:cs="Arial"/>
          <w:color w:val="auto"/>
          <w:szCs w:val="21"/>
          <w:highlight w:val="none"/>
        </w:rPr>
        <w:t>此处进行陈述。格式自拟。（</w:t>
      </w:r>
      <w:r>
        <w:rPr>
          <w:rFonts w:hint="default" w:ascii="Arial" w:hAnsi="Arial" w:eastAsia="宋体" w:cs="Arial"/>
          <w:color w:val="auto"/>
          <w:kern w:val="1"/>
          <w:szCs w:val="21"/>
          <w:highlight w:val="none"/>
        </w:rPr>
        <w:t>具体要求详见第四章评标方法及评标标准“过低报价合理性的审查”</w:t>
      </w:r>
      <w:r>
        <w:rPr>
          <w:rFonts w:hint="default" w:ascii="Arial" w:hAnsi="Arial" w:eastAsia="宋体" w:cs="Arial"/>
          <w:color w:val="auto"/>
          <w:szCs w:val="21"/>
          <w:highlight w:val="none"/>
        </w:rPr>
        <w:t>）</w:t>
      </w:r>
    </w:p>
    <w:bookmarkEnd w:id="71"/>
    <w:p>
      <w:pPr>
        <w:snapToGrid w:val="0"/>
        <w:spacing w:before="50" w:afterLines="50"/>
        <w:jc w:val="left"/>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szCs w:val="21"/>
          <w:highlight w:val="none"/>
        </w:rPr>
      </w:pPr>
      <w:bookmarkStart w:id="72" w:name="_Hlk19115874"/>
      <w:r>
        <w:rPr>
          <w:rFonts w:hint="default" w:ascii="Arial" w:hAnsi="Arial" w:eastAsia="宋体" w:cs="Arial"/>
          <w:color w:val="auto"/>
          <w:szCs w:val="21"/>
          <w:highlight w:val="none"/>
        </w:rPr>
        <w:t>4．符合政府采购政策价格扣除证明材料。</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4.1</w:t>
      </w:r>
      <w:r>
        <w:rPr>
          <w:rFonts w:hint="default" w:ascii="Arial" w:hAnsi="Arial" w:eastAsia="宋体" w:cs="Arial"/>
          <w:bCs/>
          <w:color w:val="auto"/>
          <w:szCs w:val="21"/>
          <w:highlight w:val="none"/>
        </w:rPr>
        <w:t>符合小型、微型企业</w:t>
      </w:r>
      <w:r>
        <w:rPr>
          <w:rFonts w:hint="default" w:ascii="Arial" w:hAnsi="Arial" w:eastAsia="宋体" w:cs="Arial"/>
          <w:color w:val="auto"/>
          <w:szCs w:val="21"/>
          <w:highlight w:val="none"/>
        </w:rPr>
        <w:t>政府采购政策证明材料。（非小型、微型企业无需提供）。</w:t>
      </w:r>
    </w:p>
    <w:bookmarkEnd w:id="72"/>
    <w:p>
      <w:pPr>
        <w:spacing w:line="360" w:lineRule="auto"/>
        <w:ind w:firstLine="3584" w:firstLineChars="1700"/>
        <w:rPr>
          <w:rFonts w:hint="default" w:ascii="Arial" w:hAnsi="Arial" w:eastAsia="宋体" w:cs="Arial"/>
          <w:b/>
          <w:color w:val="auto"/>
          <w:szCs w:val="21"/>
          <w:highlight w:val="none"/>
        </w:rPr>
      </w:pPr>
      <w:r>
        <w:rPr>
          <w:rFonts w:hint="default" w:ascii="Arial" w:hAnsi="Arial" w:eastAsia="宋体" w:cs="Arial"/>
          <w:b/>
          <w:color w:val="auto"/>
          <w:szCs w:val="21"/>
          <w:highlight w:val="none"/>
        </w:rPr>
        <w:t>中小企业声明函（货物）</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本公司（联合体）郑重声明，根据《政府采购促进中小企业发展管理办法》（财库﹝2020﹞46 号）的规定，本公司（联合体）参加</w:t>
      </w:r>
      <w:r>
        <w:rPr>
          <w:rFonts w:hint="default" w:ascii="Arial" w:hAnsi="Arial" w:eastAsia="宋体" w:cs="Arial"/>
          <w:bCs/>
          <w:color w:val="auto"/>
          <w:szCs w:val="21"/>
          <w:highlight w:val="none"/>
          <w:u w:val="single"/>
        </w:rPr>
        <w:t>（单位名称）</w:t>
      </w:r>
      <w:r>
        <w:rPr>
          <w:rFonts w:hint="default" w:ascii="Arial" w:hAnsi="Arial" w:eastAsia="宋体" w:cs="Arial"/>
          <w:bCs/>
          <w:color w:val="auto"/>
          <w:szCs w:val="21"/>
          <w:highlight w:val="none"/>
        </w:rPr>
        <w:t>的</w:t>
      </w:r>
      <w:r>
        <w:rPr>
          <w:rFonts w:hint="default" w:ascii="Arial" w:hAnsi="Arial" w:eastAsia="宋体" w:cs="Arial"/>
          <w:bCs/>
          <w:color w:val="auto"/>
          <w:szCs w:val="21"/>
          <w:highlight w:val="none"/>
          <w:u w:val="single"/>
        </w:rPr>
        <w:t>（项目名称）</w:t>
      </w:r>
      <w:r>
        <w:rPr>
          <w:rFonts w:hint="default" w:ascii="Arial" w:hAnsi="Arial" w:eastAsia="宋体" w:cs="Arial"/>
          <w:bCs/>
          <w:color w:val="auto"/>
          <w:szCs w:val="21"/>
          <w:highlight w:val="none"/>
        </w:rPr>
        <w:t>采购活动，提供的货物全部由符合政策要求的中小企业制造。相关企业（含联合体中的中小企业、签订分包意向协议的中小企业）的具体情况如下：</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1.</w:t>
      </w:r>
      <w:r>
        <w:rPr>
          <w:rFonts w:hint="default" w:ascii="Arial" w:hAnsi="Arial" w:eastAsia="宋体" w:cs="Arial"/>
          <w:bCs/>
          <w:color w:val="auto"/>
          <w:szCs w:val="21"/>
          <w:highlight w:val="none"/>
          <w:u w:val="single"/>
        </w:rPr>
        <w:t>（标的名称）</w:t>
      </w:r>
      <w:r>
        <w:rPr>
          <w:rFonts w:hint="default" w:ascii="Arial" w:hAnsi="Arial" w:eastAsia="宋体" w:cs="Arial"/>
          <w:bCs/>
          <w:color w:val="auto"/>
          <w:szCs w:val="21"/>
          <w:highlight w:val="none"/>
        </w:rPr>
        <w:t>，属于</w:t>
      </w:r>
      <w:r>
        <w:rPr>
          <w:rFonts w:hint="default" w:ascii="Arial" w:hAnsi="Arial" w:eastAsia="宋体" w:cs="Arial"/>
          <w:bCs/>
          <w:color w:val="auto"/>
          <w:szCs w:val="21"/>
          <w:highlight w:val="none"/>
          <w:u w:val="single"/>
        </w:rPr>
        <w:t>（采购文件中明确的所属行业）</w:t>
      </w:r>
      <w:r>
        <w:rPr>
          <w:rFonts w:hint="default" w:ascii="Arial" w:hAnsi="Arial" w:eastAsia="宋体" w:cs="Arial"/>
          <w:bCs/>
          <w:color w:val="auto"/>
          <w:szCs w:val="21"/>
          <w:highlight w:val="none"/>
        </w:rPr>
        <w:t>行业；制造商为</w:t>
      </w:r>
      <w:r>
        <w:rPr>
          <w:rFonts w:hint="default" w:ascii="Arial" w:hAnsi="Arial" w:eastAsia="宋体" w:cs="Arial"/>
          <w:bCs/>
          <w:color w:val="auto"/>
          <w:szCs w:val="21"/>
          <w:highlight w:val="none"/>
          <w:u w:val="single"/>
        </w:rPr>
        <w:t>（企业名称）</w:t>
      </w:r>
      <w:r>
        <w:rPr>
          <w:rFonts w:hint="default" w:ascii="Arial" w:hAnsi="Arial" w:eastAsia="宋体" w:cs="Arial"/>
          <w:bCs/>
          <w:color w:val="auto"/>
          <w:szCs w:val="21"/>
          <w:highlight w:val="none"/>
        </w:rPr>
        <w:t>，从业人员</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人，营业收入为</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万元，资产总额为</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万元，属于</w:t>
      </w:r>
      <w:r>
        <w:rPr>
          <w:rFonts w:hint="default" w:ascii="Arial" w:hAnsi="Arial" w:eastAsia="宋体" w:cs="Arial"/>
          <w:bCs/>
          <w:color w:val="auto"/>
          <w:szCs w:val="21"/>
          <w:highlight w:val="none"/>
          <w:u w:val="single"/>
        </w:rPr>
        <w:t>（中型企业、小型企业、微型企业）</w:t>
      </w:r>
      <w:r>
        <w:rPr>
          <w:rFonts w:hint="default" w:ascii="Arial" w:hAnsi="Arial" w:eastAsia="宋体" w:cs="Arial"/>
          <w:bCs/>
          <w:color w:val="auto"/>
          <w:szCs w:val="21"/>
          <w:highlight w:val="none"/>
        </w:rPr>
        <w:t>；</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2.</w:t>
      </w:r>
      <w:r>
        <w:rPr>
          <w:rFonts w:hint="default" w:ascii="Arial" w:hAnsi="Arial" w:eastAsia="宋体" w:cs="Arial"/>
          <w:bCs/>
          <w:color w:val="auto"/>
          <w:szCs w:val="21"/>
          <w:highlight w:val="none"/>
          <w:u w:val="single"/>
        </w:rPr>
        <w:t>（标的名称）</w:t>
      </w:r>
      <w:r>
        <w:rPr>
          <w:rFonts w:hint="default" w:ascii="Arial" w:hAnsi="Arial" w:eastAsia="宋体" w:cs="Arial"/>
          <w:bCs/>
          <w:color w:val="auto"/>
          <w:szCs w:val="21"/>
          <w:highlight w:val="none"/>
        </w:rPr>
        <w:t>，属于</w:t>
      </w:r>
      <w:r>
        <w:rPr>
          <w:rFonts w:hint="default" w:ascii="Arial" w:hAnsi="Arial" w:eastAsia="宋体" w:cs="Arial"/>
          <w:bCs/>
          <w:color w:val="auto"/>
          <w:szCs w:val="21"/>
          <w:highlight w:val="none"/>
          <w:u w:val="single"/>
        </w:rPr>
        <w:t>（采购文件中明确的所属行业）</w:t>
      </w:r>
      <w:r>
        <w:rPr>
          <w:rFonts w:hint="default" w:ascii="Arial" w:hAnsi="Arial" w:eastAsia="宋体" w:cs="Arial"/>
          <w:bCs/>
          <w:color w:val="auto"/>
          <w:szCs w:val="21"/>
          <w:highlight w:val="none"/>
        </w:rPr>
        <w:t>行业；制造商为</w:t>
      </w:r>
      <w:r>
        <w:rPr>
          <w:rFonts w:hint="default" w:ascii="Arial" w:hAnsi="Arial" w:eastAsia="宋体" w:cs="Arial"/>
          <w:bCs/>
          <w:color w:val="auto"/>
          <w:szCs w:val="21"/>
          <w:highlight w:val="none"/>
          <w:u w:val="single"/>
        </w:rPr>
        <w:t>（企业名称）</w:t>
      </w:r>
      <w:r>
        <w:rPr>
          <w:rFonts w:hint="default" w:ascii="Arial" w:hAnsi="Arial" w:eastAsia="宋体" w:cs="Arial"/>
          <w:bCs/>
          <w:color w:val="auto"/>
          <w:szCs w:val="21"/>
          <w:highlight w:val="none"/>
        </w:rPr>
        <w:t>，从业人员</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人，营业收入为</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万元，资产总额为</w:t>
      </w:r>
      <w:r>
        <w:rPr>
          <w:rFonts w:hint="default" w:ascii="Arial" w:hAnsi="Arial" w:eastAsia="宋体" w:cs="Arial"/>
          <w:bCs/>
          <w:color w:val="auto"/>
          <w:szCs w:val="21"/>
          <w:highlight w:val="none"/>
          <w:u w:val="single"/>
        </w:rPr>
        <w:t xml:space="preserve">       </w:t>
      </w:r>
      <w:r>
        <w:rPr>
          <w:rFonts w:hint="default" w:ascii="Arial" w:hAnsi="Arial" w:eastAsia="宋体" w:cs="Arial"/>
          <w:bCs/>
          <w:color w:val="auto"/>
          <w:szCs w:val="21"/>
          <w:highlight w:val="none"/>
        </w:rPr>
        <w:t>万元，属于</w:t>
      </w:r>
      <w:r>
        <w:rPr>
          <w:rFonts w:hint="default" w:ascii="Arial" w:hAnsi="Arial" w:eastAsia="宋体" w:cs="Arial"/>
          <w:bCs/>
          <w:color w:val="auto"/>
          <w:szCs w:val="21"/>
          <w:highlight w:val="none"/>
          <w:u w:val="single"/>
        </w:rPr>
        <w:t>（中型企业、小型企业、微型企业）</w:t>
      </w:r>
      <w:r>
        <w:rPr>
          <w:rFonts w:hint="default" w:ascii="Arial" w:hAnsi="Arial" w:eastAsia="宋体" w:cs="Arial"/>
          <w:bCs/>
          <w:color w:val="auto"/>
          <w:szCs w:val="21"/>
          <w:highlight w:val="none"/>
        </w:rPr>
        <w:t>；</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以上企业，不属于大企业的分支机构，不存在控股股东为大企业的情形，也不存在与大企业的负责人为同一人的情形。</w:t>
      </w:r>
    </w:p>
    <w:p>
      <w:pPr>
        <w:spacing w:line="360" w:lineRule="auto"/>
        <w:ind w:firstLine="420"/>
        <w:rPr>
          <w:rFonts w:hint="default" w:ascii="Arial" w:hAnsi="Arial" w:eastAsia="宋体" w:cs="Arial"/>
          <w:bCs/>
          <w:color w:val="auto"/>
          <w:szCs w:val="21"/>
          <w:highlight w:val="none"/>
        </w:rPr>
      </w:pPr>
      <w:r>
        <w:rPr>
          <w:rFonts w:hint="default" w:ascii="Arial" w:hAnsi="Arial" w:eastAsia="宋体" w:cs="Arial"/>
          <w:bCs/>
          <w:color w:val="auto"/>
          <w:szCs w:val="21"/>
          <w:highlight w:val="none"/>
        </w:rPr>
        <w:t>本企业对上述声明内容的真实性负责。如有虚假，将依法承担相应责任。</w:t>
      </w:r>
    </w:p>
    <w:p>
      <w:pPr>
        <w:spacing w:line="360" w:lineRule="auto"/>
        <w:ind w:firstLine="420"/>
        <w:jc w:val="right"/>
        <w:rPr>
          <w:rFonts w:hint="default" w:ascii="Arial" w:hAnsi="Arial" w:eastAsia="宋体" w:cs="Arial"/>
          <w:color w:val="auto"/>
          <w:szCs w:val="21"/>
          <w:highlight w:val="none"/>
        </w:rPr>
      </w:pPr>
      <w:r>
        <w:rPr>
          <w:rFonts w:hint="default" w:ascii="Arial" w:hAnsi="Arial" w:eastAsia="宋体" w:cs="Arial"/>
          <w:bCs/>
          <w:color w:val="auto"/>
          <w:szCs w:val="21"/>
          <w:highlight w:val="none"/>
        </w:rPr>
        <w:t>企业名称（</w:t>
      </w:r>
      <w:r>
        <w:rPr>
          <w:rFonts w:hint="default" w:ascii="Arial" w:hAnsi="Arial" w:eastAsia="宋体" w:cs="Arial"/>
          <w:color w:val="auto"/>
          <w:szCs w:val="21"/>
          <w:highlight w:val="none"/>
        </w:rPr>
        <w:t>（CA签章）</w:t>
      </w:r>
      <w:r>
        <w:rPr>
          <w:rFonts w:hint="default" w:ascii="Arial" w:hAnsi="Arial" w:eastAsia="宋体" w:cs="Arial"/>
          <w:bCs/>
          <w:color w:val="auto"/>
          <w:szCs w:val="21"/>
          <w:highlight w:val="none"/>
        </w:rPr>
        <w:t>）：日期：</w:t>
      </w:r>
    </w:p>
    <w:p>
      <w:pPr>
        <w:snapToGrid w:val="0"/>
        <w:spacing w:before="50" w:afterLines="5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注：本项目所属行业为：批发业</w:t>
      </w:r>
    </w:p>
    <w:p>
      <w:pPr>
        <w:snapToGrid w:val="0"/>
        <w:spacing w:before="50" w:afterLines="50"/>
        <w:jc w:val="left"/>
        <w:rPr>
          <w:rFonts w:hint="default" w:ascii="Arial" w:hAnsi="Arial" w:eastAsia="宋体" w:cs="Arial"/>
          <w:color w:val="auto"/>
          <w:szCs w:val="21"/>
          <w:highlight w:val="none"/>
        </w:rPr>
      </w:pPr>
      <w:bookmarkStart w:id="73" w:name="_Hlk19115884"/>
      <w:r>
        <w:rPr>
          <w:rFonts w:hint="default" w:ascii="Arial" w:hAnsi="Arial" w:eastAsia="宋体" w:cs="Arial"/>
          <w:color w:val="auto"/>
          <w:szCs w:val="21"/>
          <w:highlight w:val="none"/>
        </w:rPr>
        <w:t>4.2监狱企业须提供最新一期《XX省监狱企业产品目录》或其他监狱企业证明材料。（非监狱企业无需提供）</w:t>
      </w:r>
    </w:p>
    <w:p>
      <w:pPr>
        <w:snapToGrid w:val="0"/>
        <w:spacing w:before="50" w:afterLines="50"/>
        <w:jc w:val="left"/>
        <w:rPr>
          <w:rFonts w:hint="default" w:ascii="Arial" w:hAnsi="Arial" w:eastAsia="宋体" w:cs="Arial"/>
          <w:color w:val="auto"/>
          <w:szCs w:val="21"/>
          <w:highlight w:val="none"/>
        </w:rPr>
      </w:pPr>
    </w:p>
    <w:p>
      <w:pPr>
        <w:snapToGrid w:val="0"/>
        <w:spacing w:before="50" w:afterLines="50"/>
        <w:jc w:val="left"/>
        <w:rPr>
          <w:rFonts w:hint="default" w:ascii="Arial" w:hAnsi="Arial" w:eastAsia="宋体" w:cs="Arial"/>
          <w:color w:val="auto"/>
          <w:highlight w:val="none"/>
        </w:rPr>
      </w:pPr>
      <w:r>
        <w:rPr>
          <w:rFonts w:hint="default" w:ascii="Arial" w:hAnsi="Arial" w:eastAsia="宋体" w:cs="Arial"/>
          <w:color w:val="auto"/>
          <w:szCs w:val="21"/>
          <w:highlight w:val="none"/>
        </w:rPr>
        <w:t>4.3</w:t>
      </w:r>
      <w:bookmarkStart w:id="74" w:name="_Hlk19051624"/>
      <w:r>
        <w:rPr>
          <w:rFonts w:hint="default" w:ascii="Arial" w:hAnsi="Arial" w:eastAsia="宋体" w:cs="Arial"/>
          <w:color w:val="auto"/>
          <w:highlight w:val="none"/>
        </w:rPr>
        <w:t>残疾人福利性单位须提供《残疾人福利性单位声明函》，格式如下。</w:t>
      </w:r>
      <w:r>
        <w:rPr>
          <w:rFonts w:hint="default" w:ascii="Arial" w:hAnsi="Arial" w:eastAsia="宋体" w:cs="Arial"/>
          <w:color w:val="auto"/>
          <w:szCs w:val="21"/>
          <w:highlight w:val="none"/>
        </w:rPr>
        <w:t>（非残疾人福利性单位无需提供）</w:t>
      </w:r>
    </w:p>
    <w:bookmarkEnd w:id="74"/>
    <w:p>
      <w:pPr>
        <w:spacing w:line="360" w:lineRule="auto"/>
        <w:jc w:val="center"/>
        <w:rPr>
          <w:rFonts w:hint="default" w:ascii="Arial" w:hAnsi="Arial" w:eastAsia="宋体" w:cs="Arial"/>
          <w:b/>
          <w:color w:val="auto"/>
          <w:szCs w:val="21"/>
          <w:highlight w:val="none"/>
        </w:rPr>
      </w:pPr>
      <w:bookmarkStart w:id="75" w:name="OLE_LINK13"/>
      <w:bookmarkStart w:id="76" w:name="OLE_LINK14"/>
      <w:r>
        <w:rPr>
          <w:rFonts w:hint="default" w:ascii="Arial" w:hAnsi="Arial" w:eastAsia="宋体" w:cs="Arial"/>
          <w:b/>
          <w:color w:val="auto"/>
          <w:szCs w:val="21"/>
          <w:highlight w:val="none"/>
        </w:rPr>
        <w:t>残疾人福利性单位声明函</w:t>
      </w:r>
      <w:bookmarkEnd w:id="75"/>
      <w:bookmarkEnd w:id="76"/>
    </w:p>
    <w:p>
      <w:pPr>
        <w:spacing w:line="360" w:lineRule="auto"/>
        <w:ind w:firstLine="420"/>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本单位郑重声明，根据《财政部 民政部 中国残疾人联合会关于促进残疾人就业政府采购政策的通知》（财库〔2017〕141号）的规定，本单位为符合条件的残疾人福利性单位，且本单位参加单位的</w:t>
      </w:r>
      <w:r>
        <w:rPr>
          <w:rFonts w:hint="default" w:ascii="Arial" w:hAnsi="Arial" w:eastAsia="宋体" w:cs="Arial"/>
          <w:color w:val="auto"/>
          <w:szCs w:val="21"/>
          <w:highlight w:val="none"/>
          <w:u w:val="single"/>
        </w:rPr>
        <w:t xml:space="preserve"> </w:t>
      </w:r>
      <w:r>
        <w:rPr>
          <w:rFonts w:hint="default" w:ascii="Arial" w:hAnsi="Arial" w:eastAsia="宋体" w:cs="Arial"/>
          <w:color w:val="auto"/>
          <w:szCs w:val="21"/>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20"/>
        <w:rPr>
          <w:rFonts w:hint="default" w:ascii="Arial" w:hAnsi="Arial" w:eastAsia="宋体" w:cs="Arial"/>
          <w:color w:val="auto"/>
          <w:szCs w:val="21"/>
          <w:highlight w:val="none"/>
        </w:rPr>
      </w:pPr>
      <w:r>
        <w:rPr>
          <w:rFonts w:hint="default" w:ascii="Arial" w:hAnsi="Arial" w:eastAsia="宋体" w:cs="Arial"/>
          <w:color w:val="auto"/>
          <w:szCs w:val="21"/>
          <w:highlight w:val="none"/>
        </w:rPr>
        <w:t>本单位对上述声明的真实性负责。如有虚假，将依法承担相应责任。</w:t>
      </w:r>
    </w:p>
    <w:p>
      <w:pPr>
        <w:spacing w:line="360" w:lineRule="auto"/>
        <w:ind w:firstLine="420"/>
        <w:rPr>
          <w:rFonts w:hint="default" w:ascii="Arial" w:hAnsi="Arial" w:eastAsia="宋体" w:cs="Arial"/>
          <w:color w:val="auto"/>
          <w:spacing w:val="6"/>
          <w:szCs w:val="21"/>
          <w:highlight w:val="none"/>
        </w:rPr>
      </w:pPr>
      <w:r>
        <w:rPr>
          <w:rFonts w:hint="default" w:ascii="Arial" w:hAnsi="Arial" w:eastAsia="宋体" w:cs="Arial"/>
          <w:color w:val="auto"/>
          <w:spacing w:val="6"/>
          <w:szCs w:val="21"/>
          <w:highlight w:val="none"/>
        </w:rPr>
        <w:t xml:space="preserve"> 单位名称（</w:t>
      </w:r>
      <w:r>
        <w:rPr>
          <w:rFonts w:hint="default" w:ascii="Arial" w:hAnsi="Arial" w:eastAsia="宋体" w:cs="Arial"/>
          <w:color w:val="auto"/>
          <w:szCs w:val="21"/>
          <w:highlight w:val="none"/>
        </w:rPr>
        <w:t>（CA签章）</w:t>
      </w:r>
      <w:r>
        <w:rPr>
          <w:rFonts w:hint="default" w:ascii="Arial" w:hAnsi="Arial" w:eastAsia="宋体" w:cs="Arial"/>
          <w:color w:val="auto"/>
          <w:spacing w:val="6"/>
          <w:szCs w:val="21"/>
          <w:highlight w:val="none"/>
        </w:rPr>
        <w:t>）：</w:t>
      </w:r>
    </w:p>
    <w:p>
      <w:pPr>
        <w:spacing w:line="360" w:lineRule="auto"/>
        <w:ind w:firstLine="420"/>
        <w:rPr>
          <w:rFonts w:hint="default" w:ascii="Arial" w:hAnsi="Arial" w:eastAsia="宋体" w:cs="Arial"/>
          <w:color w:val="auto"/>
          <w:szCs w:val="21"/>
          <w:highlight w:val="none"/>
        </w:rPr>
      </w:pPr>
      <w:r>
        <w:rPr>
          <w:rFonts w:hint="default" w:ascii="Arial" w:hAnsi="Arial" w:eastAsia="宋体" w:cs="Arial"/>
          <w:color w:val="auto"/>
          <w:spacing w:val="6"/>
          <w:szCs w:val="21"/>
          <w:highlight w:val="none"/>
        </w:rPr>
        <w:t>日  期：</w:t>
      </w:r>
    </w:p>
    <w:bookmarkEnd w:id="73"/>
    <w:p>
      <w:pPr>
        <w:rPr>
          <w:rFonts w:hint="default" w:ascii="Arial" w:hAnsi="Arial" w:eastAsia="宋体" w:cs="Arial"/>
          <w:color w:val="auto"/>
          <w:highlight w:val="none"/>
        </w:rPr>
      </w:pPr>
      <w:r>
        <w:rPr>
          <w:rFonts w:hint="default" w:ascii="Arial" w:hAnsi="Arial" w:eastAsia="宋体" w:cs="Arial"/>
          <w:color w:val="auto"/>
          <w:highlight w:val="none"/>
        </w:rPr>
        <w:t xml:space="preserve"> </w:t>
      </w:r>
    </w:p>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开标一览表</w:t>
      </w:r>
    </w:p>
    <w:p>
      <w:pPr>
        <w:rPr>
          <w:rFonts w:hint="default" w:ascii="Arial" w:hAnsi="Arial" w:eastAsia="宋体" w:cs="Arial"/>
          <w:b/>
          <w:color w:val="auto"/>
          <w:szCs w:val="21"/>
          <w:highlight w:val="none"/>
        </w:rPr>
      </w:pPr>
    </w:p>
    <w:p>
      <w:pPr>
        <w:rPr>
          <w:rFonts w:hint="default" w:ascii="Arial" w:hAnsi="Arial" w:eastAsia="宋体" w:cs="Arial"/>
          <w:color w:val="auto"/>
          <w:szCs w:val="21"/>
          <w:highlight w:val="none"/>
          <w:u w:val="single"/>
        </w:rPr>
      </w:pPr>
      <w:r>
        <w:rPr>
          <w:rFonts w:hint="default" w:ascii="Arial" w:hAnsi="Arial" w:eastAsia="宋体" w:cs="Arial"/>
          <w:color w:val="auto"/>
          <w:szCs w:val="21"/>
          <w:highlight w:val="none"/>
        </w:rPr>
        <w:t>项目编号：</w:t>
      </w:r>
    </w:p>
    <w:p>
      <w:pPr>
        <w:jc w:val="left"/>
        <w:rPr>
          <w:rFonts w:hint="default" w:ascii="Arial" w:hAnsi="Arial" w:eastAsia="宋体" w:cs="Arial"/>
          <w:color w:val="auto"/>
          <w:szCs w:val="21"/>
          <w:highlight w:val="none"/>
        </w:rPr>
      </w:pPr>
      <w:r>
        <w:rPr>
          <w:rFonts w:hint="default" w:ascii="Arial" w:hAnsi="Arial" w:eastAsia="宋体" w:cs="Arial"/>
          <w:color w:val="auto"/>
          <w:szCs w:val="21"/>
          <w:highlight w:val="none"/>
        </w:rPr>
        <w:t>供应商名称：                                                             单位：元</w:t>
      </w:r>
    </w:p>
    <w:tbl>
      <w:tblPr>
        <w:tblStyle w:val="53"/>
        <w:tblW w:w="819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0"/>
        <w:gridCol w:w="2554"/>
        <w:gridCol w:w="1477"/>
        <w:gridCol w:w="1238"/>
        <w:gridCol w:w="201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910" w:type="dxa"/>
            <w:tcBorders>
              <w:top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序号</w:t>
            </w:r>
          </w:p>
        </w:tc>
        <w:tc>
          <w:tcPr>
            <w:tcW w:w="2554"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货物名称</w:t>
            </w:r>
          </w:p>
        </w:tc>
        <w:tc>
          <w:tcPr>
            <w:tcW w:w="1477"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数量</w:t>
            </w:r>
          </w:p>
        </w:tc>
        <w:tc>
          <w:tcPr>
            <w:tcW w:w="1238"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单价</w:t>
            </w:r>
          </w:p>
        </w:tc>
        <w:tc>
          <w:tcPr>
            <w:tcW w:w="2017" w:type="dxa"/>
            <w:tcBorders>
              <w:top w:val="single" w:color="auto" w:sz="4" w:space="0"/>
              <w:left w:val="single" w:color="auto" w:sz="4" w:space="0"/>
              <w:bottom w:val="single" w:color="auto" w:sz="4" w:space="0"/>
            </w:tcBorders>
            <w:vAlign w:val="center"/>
          </w:tcPr>
          <w:p>
            <w:pPr>
              <w:jc w:val="center"/>
              <w:rPr>
                <w:rFonts w:hint="default" w:ascii="Arial" w:hAnsi="Arial" w:eastAsia="宋体" w:cs="Arial"/>
                <w:b/>
                <w:color w:val="auto"/>
                <w:szCs w:val="21"/>
                <w:highlight w:val="none"/>
              </w:rPr>
            </w:pPr>
            <w:r>
              <w:rPr>
                <w:rFonts w:hint="default" w:ascii="Arial" w:hAnsi="Arial" w:eastAsia="宋体" w:cs="Arial"/>
                <w:b/>
                <w:color w:val="auto"/>
                <w:szCs w:val="21"/>
                <w:highlight w:val="none"/>
              </w:rPr>
              <w:t>合价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910" w:type="dxa"/>
            <w:tcBorders>
              <w:top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554"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477"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238"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017" w:type="dxa"/>
            <w:tcBorders>
              <w:top w:val="single" w:color="auto" w:sz="4" w:space="0"/>
              <w:left w:val="single" w:color="auto" w:sz="4" w:space="0"/>
              <w:bottom w:val="single" w:color="auto" w:sz="4" w:space="0"/>
            </w:tcBorders>
            <w:vAlign w:val="center"/>
          </w:tcPr>
          <w:p>
            <w:pP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910" w:type="dxa"/>
            <w:tcBorders>
              <w:top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554"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477"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238"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017" w:type="dxa"/>
            <w:tcBorders>
              <w:top w:val="single" w:color="auto" w:sz="4" w:space="0"/>
              <w:left w:val="single" w:color="auto" w:sz="4" w:space="0"/>
              <w:bottom w:val="single" w:color="auto" w:sz="4" w:space="0"/>
            </w:tcBorders>
            <w:vAlign w:val="center"/>
          </w:tcPr>
          <w:p>
            <w:pP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910" w:type="dxa"/>
            <w:tcBorders>
              <w:top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554"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477"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bCs/>
                <w:color w:val="auto"/>
                <w:szCs w:val="21"/>
                <w:highlight w:val="none"/>
              </w:rPr>
            </w:pPr>
          </w:p>
        </w:tc>
        <w:tc>
          <w:tcPr>
            <w:tcW w:w="1238" w:type="dxa"/>
            <w:tcBorders>
              <w:top w:val="single" w:color="auto" w:sz="4" w:space="0"/>
              <w:left w:val="single" w:color="auto" w:sz="4" w:space="0"/>
              <w:bottom w:val="single" w:color="auto" w:sz="4" w:space="0"/>
              <w:right w:val="single" w:color="auto" w:sz="4" w:space="0"/>
            </w:tcBorders>
            <w:vAlign w:val="center"/>
          </w:tcPr>
          <w:p>
            <w:pPr>
              <w:rPr>
                <w:rFonts w:hint="default" w:ascii="Arial" w:hAnsi="Arial" w:eastAsia="宋体" w:cs="Arial"/>
                <w:color w:val="auto"/>
                <w:szCs w:val="21"/>
                <w:highlight w:val="none"/>
              </w:rPr>
            </w:pPr>
          </w:p>
        </w:tc>
        <w:tc>
          <w:tcPr>
            <w:tcW w:w="2017" w:type="dxa"/>
            <w:tcBorders>
              <w:top w:val="single" w:color="auto" w:sz="4" w:space="0"/>
              <w:left w:val="single" w:color="auto" w:sz="4" w:space="0"/>
              <w:bottom w:val="single" w:color="auto" w:sz="4" w:space="0"/>
            </w:tcBorders>
            <w:vAlign w:val="center"/>
          </w:tcPr>
          <w:p>
            <w:pPr>
              <w:rPr>
                <w:rFonts w:hint="default" w:ascii="Arial" w:hAnsi="Arial" w:eastAsia="宋体"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8196" w:type="dxa"/>
            <w:gridSpan w:val="5"/>
            <w:tcBorders>
              <w:top w:val="single" w:color="auto" w:sz="4" w:space="0"/>
              <w:bottom w:val="single" w:color="auto" w:sz="4" w:space="0"/>
            </w:tcBorders>
            <w:vAlign w:val="center"/>
          </w:tcPr>
          <w:p>
            <w:pPr>
              <w:rPr>
                <w:rFonts w:hint="default" w:ascii="Arial" w:hAnsi="Arial" w:eastAsia="宋体" w:cs="Arial"/>
                <w:color w:val="auto"/>
                <w:szCs w:val="21"/>
                <w:highlight w:val="none"/>
              </w:rPr>
            </w:pPr>
            <w:r>
              <w:rPr>
                <w:rFonts w:hint="default" w:ascii="Arial" w:hAnsi="Arial" w:eastAsia="宋体" w:cs="Arial"/>
                <w:color w:val="auto"/>
                <w:szCs w:val="21"/>
                <w:highlight w:val="none"/>
              </w:rPr>
              <w:t>投标总价金额大写：  小写：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exact"/>
          <w:jc w:val="center"/>
        </w:trPr>
        <w:tc>
          <w:tcPr>
            <w:tcW w:w="8196" w:type="dxa"/>
            <w:gridSpan w:val="5"/>
            <w:tcBorders>
              <w:top w:val="single" w:color="auto" w:sz="4" w:space="0"/>
              <w:bottom w:val="single" w:color="auto" w:sz="4" w:space="0"/>
            </w:tcBorders>
            <w:vAlign w:val="center"/>
          </w:tcPr>
          <w:p>
            <w:pPr>
              <w:rPr>
                <w:rFonts w:hint="default" w:ascii="Arial" w:hAnsi="Arial" w:eastAsia="宋体" w:cs="Arial"/>
                <w:color w:val="auto"/>
                <w:szCs w:val="21"/>
                <w:highlight w:val="none"/>
              </w:rPr>
            </w:pPr>
            <w:r>
              <w:rPr>
                <w:rFonts w:hint="default" w:ascii="Arial" w:hAnsi="Arial" w:eastAsia="宋体" w:cs="Arial"/>
                <w:color w:val="auto"/>
                <w:szCs w:val="21"/>
                <w:highlight w:val="none"/>
              </w:rPr>
              <w:t>交货时间及地点：</w:t>
            </w:r>
          </w:p>
        </w:tc>
      </w:tr>
    </w:tbl>
    <w:p>
      <w:pPr>
        <w:rPr>
          <w:rFonts w:hint="default" w:ascii="Arial" w:hAnsi="Arial" w:eastAsia="宋体" w:cs="Arial"/>
          <w:color w:val="auto"/>
          <w:szCs w:val="21"/>
          <w:highlight w:val="none"/>
        </w:rPr>
      </w:pPr>
      <w:r>
        <w:rPr>
          <w:rFonts w:hint="default" w:ascii="Arial" w:hAnsi="Arial" w:eastAsia="宋体" w:cs="Arial"/>
          <w:color w:val="auto"/>
          <w:szCs w:val="21"/>
          <w:highlight w:val="none"/>
        </w:rPr>
        <w:t xml:space="preserve">注： </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（1）报价一经涂改，应在涂改处加盖单位公章或者由法定代表人或授权委托人签字或个人CA签章，否则其投标作无效标处理。</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（2）以上投标总价应与“投标报价明细表”中的“投标总价”相一致。</w:t>
      </w:r>
    </w:p>
    <w:p>
      <w:pPr>
        <w:rPr>
          <w:rFonts w:hint="default" w:ascii="Arial" w:hAnsi="Arial" w:eastAsia="宋体" w:cs="Arial"/>
          <w:color w:val="auto"/>
          <w:szCs w:val="21"/>
          <w:highlight w:val="none"/>
        </w:rPr>
      </w:pPr>
      <w:r>
        <w:rPr>
          <w:rFonts w:hint="default" w:ascii="Arial" w:hAnsi="Arial" w:eastAsia="宋体" w:cs="Arial"/>
          <w:color w:val="auto"/>
          <w:szCs w:val="21"/>
          <w:highlight w:val="none"/>
        </w:rPr>
        <w:t>（3）此表请单独装信封并单独递交，信封封面请注明项目编号、分标（如有）、供应商名称及“开标一览表”字样。</w:t>
      </w:r>
    </w:p>
    <w:p>
      <w:pPr>
        <w:rPr>
          <w:rFonts w:hint="default" w:ascii="Arial" w:hAnsi="Arial" w:eastAsia="宋体" w:cs="Arial"/>
          <w:b/>
          <w:color w:val="auto"/>
          <w:szCs w:val="21"/>
          <w:highlight w:val="none"/>
        </w:rPr>
      </w:pPr>
      <w:r>
        <w:rPr>
          <w:rFonts w:hint="default" w:ascii="Arial" w:hAnsi="Arial" w:eastAsia="宋体" w:cs="Arial"/>
          <w:color w:val="auto"/>
          <w:szCs w:val="21"/>
          <w:highlight w:val="none"/>
          <w:lang w:eastAsia="zh-CN"/>
        </w:rPr>
        <w:t>（</w:t>
      </w:r>
      <w:r>
        <w:rPr>
          <w:rFonts w:hint="default" w:ascii="Arial" w:hAnsi="Arial" w:eastAsia="宋体" w:cs="Arial"/>
          <w:color w:val="auto"/>
          <w:szCs w:val="21"/>
          <w:highlight w:val="none"/>
          <w:lang w:val="en-US" w:eastAsia="zh-CN"/>
        </w:rPr>
        <w:t>4</w:t>
      </w:r>
      <w:r>
        <w:rPr>
          <w:rFonts w:hint="default" w:ascii="Arial" w:hAnsi="Arial" w:eastAsia="宋体" w:cs="Arial"/>
          <w:color w:val="auto"/>
          <w:szCs w:val="21"/>
          <w:highlight w:val="none"/>
          <w:lang w:eastAsia="zh-CN"/>
        </w:rPr>
        <w:t>）</w:t>
      </w:r>
      <w:r>
        <w:rPr>
          <w:rFonts w:hint="default" w:ascii="Arial" w:hAnsi="Arial" w:eastAsia="宋体" w:cs="Arial"/>
          <w:b/>
          <w:color w:val="auto"/>
          <w:szCs w:val="21"/>
          <w:highlight w:val="none"/>
          <w:lang w:val="en-US" w:eastAsia="zh-CN"/>
        </w:rPr>
        <w:t>如</w:t>
      </w:r>
      <w:r>
        <w:rPr>
          <w:rFonts w:hint="default" w:ascii="Arial" w:hAnsi="Arial" w:eastAsia="宋体" w:cs="Arial"/>
          <w:b/>
          <w:color w:val="auto"/>
          <w:szCs w:val="21"/>
          <w:highlight w:val="none"/>
        </w:rPr>
        <w:t>政采云平台</w:t>
      </w:r>
      <w:r>
        <w:rPr>
          <w:rFonts w:hint="default" w:ascii="Arial" w:hAnsi="Arial" w:eastAsia="宋体" w:cs="Arial"/>
          <w:b/>
          <w:color w:val="auto"/>
          <w:szCs w:val="21"/>
          <w:highlight w:val="none"/>
          <w:lang w:val="en-US" w:eastAsia="zh-CN"/>
        </w:rPr>
        <w:t>提供</w:t>
      </w:r>
      <w:r>
        <w:rPr>
          <w:rFonts w:hint="default" w:ascii="Arial" w:hAnsi="Arial" w:eastAsia="宋体" w:cs="Arial"/>
          <w:b/>
          <w:color w:val="auto"/>
          <w:szCs w:val="21"/>
          <w:highlight w:val="none"/>
        </w:rPr>
        <w:t>格式，</w:t>
      </w:r>
      <w:r>
        <w:rPr>
          <w:rFonts w:hint="default" w:ascii="Arial" w:hAnsi="Arial" w:eastAsia="宋体" w:cs="Arial"/>
          <w:b/>
          <w:color w:val="auto"/>
          <w:szCs w:val="21"/>
          <w:highlight w:val="none"/>
          <w:lang w:val="en-US" w:eastAsia="zh-CN"/>
        </w:rPr>
        <w:t>可以以</w:t>
      </w:r>
      <w:r>
        <w:rPr>
          <w:rFonts w:hint="default" w:ascii="Arial" w:hAnsi="Arial" w:eastAsia="宋体" w:cs="Arial"/>
          <w:b/>
          <w:color w:val="auto"/>
          <w:szCs w:val="21"/>
          <w:highlight w:val="none"/>
        </w:rPr>
        <w:t>政采云平台填写</w:t>
      </w:r>
      <w:r>
        <w:rPr>
          <w:rFonts w:hint="default" w:ascii="Arial" w:hAnsi="Arial" w:eastAsia="宋体" w:cs="Arial"/>
          <w:b/>
          <w:color w:val="auto"/>
          <w:szCs w:val="21"/>
          <w:highlight w:val="none"/>
          <w:lang w:val="en-US" w:eastAsia="zh-CN"/>
        </w:rPr>
        <w:t>信息为准</w:t>
      </w:r>
      <w:r>
        <w:rPr>
          <w:rFonts w:hint="default" w:ascii="Arial" w:hAnsi="Arial" w:eastAsia="宋体" w:cs="Arial"/>
          <w:b/>
          <w:color w:val="auto"/>
          <w:szCs w:val="21"/>
          <w:highlight w:val="none"/>
        </w:rPr>
        <w:t>。</w:t>
      </w:r>
    </w:p>
    <w:p>
      <w:pPr>
        <w:spacing w:line="360" w:lineRule="auto"/>
        <w:rPr>
          <w:rFonts w:hint="default" w:ascii="Arial" w:hAnsi="Arial" w:eastAsia="宋体" w:cs="Arial"/>
          <w:color w:val="auto"/>
          <w:szCs w:val="21"/>
          <w:highlight w:val="none"/>
          <w:lang w:eastAsia="zh-CN"/>
        </w:rPr>
      </w:pPr>
    </w:p>
    <w:p>
      <w:pPr>
        <w:spacing w:line="360" w:lineRule="auto"/>
        <w:rPr>
          <w:rFonts w:hint="default" w:ascii="Arial" w:hAnsi="Arial" w:eastAsia="宋体" w:cs="Arial"/>
          <w:color w:val="auto"/>
          <w:szCs w:val="21"/>
          <w:highlight w:val="none"/>
        </w:rPr>
      </w:pP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法定代表人或授权代表（签字或个人CA签章）：</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供应商名称（公章）（CA签章）：</w:t>
      </w:r>
    </w:p>
    <w:p>
      <w:pPr>
        <w:spacing w:line="360" w:lineRule="auto"/>
        <w:rPr>
          <w:rFonts w:hint="default" w:ascii="Arial" w:hAnsi="Arial" w:eastAsia="宋体" w:cs="Arial"/>
          <w:color w:val="auto"/>
          <w:szCs w:val="21"/>
          <w:highlight w:val="none"/>
        </w:rPr>
      </w:pPr>
      <w:r>
        <w:rPr>
          <w:rFonts w:hint="default" w:ascii="Arial" w:hAnsi="Arial" w:eastAsia="宋体" w:cs="Arial"/>
          <w:color w:val="auto"/>
          <w:szCs w:val="21"/>
          <w:highlight w:val="none"/>
        </w:rPr>
        <w:t>日期：  年  月  日</w:t>
      </w:r>
    </w:p>
    <w:p>
      <w:pPr>
        <w:rPr>
          <w:rFonts w:hint="default" w:ascii="Arial" w:hAnsi="Arial" w:eastAsia="宋体" w:cs="Arial"/>
          <w:b/>
          <w:color w:val="auto"/>
          <w:szCs w:val="21"/>
          <w:highlight w:val="none"/>
        </w:rPr>
      </w:pPr>
    </w:p>
    <w:p>
      <w:pPr>
        <w:spacing w:line="300" w:lineRule="exact"/>
        <w:rPr>
          <w:rFonts w:hint="default" w:ascii="Arial" w:hAnsi="Arial" w:eastAsia="宋体" w:cs="Arial"/>
          <w:color w:val="auto"/>
          <w:szCs w:val="21"/>
          <w:highlight w:val="none"/>
        </w:rPr>
      </w:pPr>
    </w:p>
    <w:p>
      <w:pPr>
        <w:spacing w:line="500" w:lineRule="exact"/>
        <w:ind w:firstLine="420" w:firstLineChars="200"/>
        <w:rPr>
          <w:rFonts w:hint="default" w:ascii="Arial" w:hAnsi="Arial" w:eastAsia="宋体" w:cs="Arial"/>
          <w:color w:val="auto"/>
          <w:szCs w:val="21"/>
          <w:highlight w:val="none"/>
        </w:rPr>
      </w:pPr>
    </w:p>
    <w:sectPr>
      <w:headerReference r:id="rId17" w:type="default"/>
      <w:pgSz w:w="11906" w:h="16838"/>
      <w:pgMar w:top="1418" w:right="1133" w:bottom="1246"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modern"/>
    <w:pitch w:val="default"/>
    <w:sig w:usb0="E00006FF" w:usb1="0000FCFF" w:usb2="00000001" w:usb3="00000000" w:csb0="6000019F" w:csb1="DFD70000"/>
  </w:font>
  <w:font w:name="Microsoft YaHei UI">
    <w:panose1 w:val="020B0503020204020204"/>
    <w:charset w:val="86"/>
    <w:family w:val="swiss"/>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_x000B__x000C_">
    <w:altName w:val="Times New Roman"/>
    <w:panose1 w:val="00000000000000000000"/>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1"/>
      <w:rPr>
        <w:rStyle w:val="57"/>
      </w:rPr>
    </w:pPr>
    <w:r>
      <w:rPr>
        <w:rStyle w:val="57"/>
      </w:rPr>
      <w:fldChar w:fldCharType="begin"/>
    </w:r>
    <w:r>
      <w:rPr>
        <w:rStyle w:val="57"/>
      </w:rPr>
      <w:instrText xml:space="preserve">PAGE  </w:instrText>
    </w:r>
    <w:r>
      <w:rPr>
        <w:rStyle w:val="57"/>
      </w:rPr>
      <w:fldChar w:fldCharType="end"/>
    </w:r>
  </w:p>
  <w:p>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46050"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46050" cy="131445"/>
                      </a:xfrm>
                      <a:prstGeom prst="rect">
                        <a:avLst/>
                      </a:prstGeom>
                      <a:noFill/>
                      <a:ln>
                        <a:noFill/>
                      </a:ln>
                      <a:effectLst/>
                    </wps:spPr>
                    <wps:txbx>
                      <w:txbxContent>
                        <w:p>
                          <w:pPr>
                            <w:pStyle w:val="34"/>
                          </w:pPr>
                          <w:r>
                            <w:fldChar w:fldCharType="begin"/>
                          </w:r>
                          <w:r>
                            <w:instrText xml:space="preserve"> PAGE  \* MERGEFORMAT </w:instrText>
                          </w:r>
                          <w:r>
                            <w:fldChar w:fldCharType="separate"/>
                          </w:r>
                          <w:r>
                            <w:t>29</w:t>
                          </w:r>
                          <w:r>
                            <w:fldChar w:fldCharType="end"/>
                          </w:r>
                        </w:p>
                      </w:txbxContent>
                    </wps:txbx>
                    <wps:bodyPr wrap="square" lIns="0" tIns="0" rIns="0" bIns="0">
                      <a:spAutoFit/>
                    </wps:bodyPr>
                  </wps:wsp>
                </a:graphicData>
              </a:graphic>
            </wp:anchor>
          </w:drawing>
        </mc:Choice>
        <mc:Fallback>
          <w:pict>
            <v:shape id="_x0000_s1026" o:spid="_x0000_s1026" o:spt="202" type="#_x0000_t202" style="position:absolute;left:0pt;margin-top:0pt;height:10.35pt;width:11.5pt;mso-position-horizontal:center;mso-position-horizontal-relative:margin;z-index:251659264;mso-width-relative:page;mso-height-relative:page;" filled="f" stroked="f" coordsize="21600,21600" o:gfxdata="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Kvf3B0AAAAAMBAAAPAAAAAAAAAAEAIAAAACIAAABkcnMvZG93bnJl&#10;di54bWxQSwECFAAUAAAACACHTuJAo6Q1DMwBAACbAwAADgAAAAAAAAABACAAAAAfAQAAZHJzL2Uy&#10;b0RvYy54bWxQSwUGAAAAAAYABgBZAQAAXQUAAAAA&#10;">
              <v:fill on="f" focussize="0,0"/>
              <v:stroke on="f"/>
              <v:imagedata o:title=""/>
              <o:lock v:ext="edit" aspectratio="f"/>
              <v:textbox inset="0mm,0mm,0mm,0mm" style="mso-fit-shape-to-text:t;">
                <w:txbxContent>
                  <w:p>
                    <w:pPr>
                      <w:pStyle w:val="3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center"/>
    </w:pPr>
    <w:r>
      <w:fldChar w:fldCharType="begin"/>
    </w:r>
    <w:r>
      <w:instrText xml:space="preserve">PAGE   \* MERGEFORMAT</w:instrText>
    </w:r>
    <w:r>
      <w:fldChar w:fldCharType="separate"/>
    </w:r>
    <w:r>
      <w:rPr>
        <w:lang w:val="zh-CN"/>
      </w:rPr>
      <w:t>13</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4"/>
                          </w:pPr>
                          <w:r>
                            <w:fldChar w:fldCharType="begin"/>
                          </w:r>
                          <w:r>
                            <w:instrText xml:space="preserve"> PAGE  \* MERGEFORMAT </w:instrText>
                          </w:r>
                          <w:r>
                            <w:fldChar w:fldCharType="separate"/>
                          </w:r>
                          <w:r>
                            <w:t>38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pPr>
                      <w:pStyle w:val="3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w:t>
    </w:r>
  </w:p>
  <w:p>
    <w:pPr>
      <w:pStyle w:val="3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single" w:color="auto" w:sz="6" w:space="0"/>
      </w:pBdr>
      <w:jc w:val="left"/>
    </w:pPr>
    <w:r>
      <w:rPr>
        <w:rFonts w:hint="eastAsia"/>
      </w:rPr>
      <w:t>广西机电设备招标有限公司招标文件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w:t>
    </w:r>
  </w:p>
  <w:p>
    <w:pPr>
      <w:pStyle w:val="35"/>
      <w:pBdr>
        <w:bottom w:val="none" w:color="auto" w:sz="0" w:space="0"/>
      </w:pBdr>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w:t>
    </w: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left"/>
    </w:pPr>
    <w:r>
      <w:rPr>
        <w:rFonts w:hint="eastAsia"/>
      </w:rPr>
      <w:t>广西机电设备招标有限公司招标文件评标方法及评标标准</w:t>
    </w:r>
  </w:p>
  <w:p>
    <w:pPr>
      <w:pStyle w:val="35"/>
      <w:pBdr>
        <w:bottom w:val="none" w:color="auto" w:sz="0" w:space="0"/>
      </w:pBdr>
      <w:jc w:val="lef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sz w:val="18"/>
        <w:szCs w:val="18"/>
        <w:u w:val="single"/>
      </w:rPr>
    </w:pPr>
    <w:r>
      <w:rPr>
        <w:rFonts w:hint="eastAsia"/>
        <w:sz w:val="18"/>
        <w:szCs w:val="18"/>
        <w:u w:val="single"/>
      </w:rPr>
      <w:t>广西机电设备招标有限公司招标文件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B62113"/>
    <w:multiLevelType w:val="singleLevel"/>
    <w:tmpl w:val="BCB62113"/>
    <w:lvl w:ilvl="0" w:tentative="0">
      <w:start w:val="1"/>
      <w:numFmt w:val="decimal"/>
      <w:suff w:val="nothing"/>
      <w:lvlText w:val="%1、"/>
      <w:lvlJc w:val="left"/>
    </w:lvl>
  </w:abstractNum>
  <w:abstractNum w:abstractNumId="1">
    <w:nsid w:val="BD4F0F7F"/>
    <w:multiLevelType w:val="singleLevel"/>
    <w:tmpl w:val="BD4F0F7F"/>
    <w:lvl w:ilvl="0" w:tentative="0">
      <w:start w:val="1"/>
      <w:numFmt w:val="decimal"/>
      <w:suff w:val="nothing"/>
      <w:lvlText w:val="%1、"/>
      <w:lvlJc w:val="left"/>
    </w:lvl>
  </w:abstractNum>
  <w:abstractNum w:abstractNumId="2">
    <w:nsid w:val="C4ABD403"/>
    <w:multiLevelType w:val="singleLevel"/>
    <w:tmpl w:val="C4ABD403"/>
    <w:lvl w:ilvl="0" w:tentative="0">
      <w:start w:val="1"/>
      <w:numFmt w:val="decimal"/>
      <w:suff w:val="nothing"/>
      <w:lvlText w:val="%1、"/>
      <w:lvlJc w:val="left"/>
    </w:lvl>
  </w:abstractNum>
  <w:abstractNum w:abstractNumId="3">
    <w:nsid w:val="E081C381"/>
    <w:multiLevelType w:val="singleLevel"/>
    <w:tmpl w:val="E081C381"/>
    <w:lvl w:ilvl="0" w:tentative="0">
      <w:start w:val="1"/>
      <w:numFmt w:val="decimal"/>
      <w:suff w:val="nothing"/>
      <w:lvlText w:val="%1、"/>
      <w:lvlJc w:val="left"/>
    </w:lvl>
  </w:abstractNum>
  <w:abstractNum w:abstractNumId="4">
    <w:nsid w:val="EB34418D"/>
    <w:multiLevelType w:val="singleLevel"/>
    <w:tmpl w:val="EB34418D"/>
    <w:lvl w:ilvl="0" w:tentative="0">
      <w:start w:val="1"/>
      <w:numFmt w:val="decimal"/>
      <w:suff w:val="nothing"/>
      <w:lvlText w:val="%1、"/>
      <w:lvlJc w:val="left"/>
    </w:lvl>
  </w:abstractNum>
  <w:abstractNum w:abstractNumId="5">
    <w:nsid w:val="0038F849"/>
    <w:multiLevelType w:val="singleLevel"/>
    <w:tmpl w:val="0038F849"/>
    <w:lvl w:ilvl="0" w:tentative="0">
      <w:start w:val="6"/>
      <w:numFmt w:val="decimal"/>
      <w:suff w:val="space"/>
      <w:lvlText w:val="%1."/>
      <w:lvlJc w:val="left"/>
    </w:lvl>
  </w:abstractNum>
  <w:abstractNum w:abstractNumId="6">
    <w:nsid w:val="2FFA1F54"/>
    <w:multiLevelType w:val="singleLevel"/>
    <w:tmpl w:val="2FFA1F54"/>
    <w:lvl w:ilvl="0" w:tentative="0">
      <w:start w:val="2"/>
      <w:numFmt w:val="decimal"/>
      <w:suff w:val="nothing"/>
      <w:lvlText w:val="（%1）"/>
      <w:lvlJc w:val="left"/>
    </w:lvl>
  </w:abstractNum>
  <w:abstractNum w:abstractNumId="7">
    <w:nsid w:val="4EB37E81"/>
    <w:multiLevelType w:val="singleLevel"/>
    <w:tmpl w:val="4EB37E81"/>
    <w:lvl w:ilvl="0" w:tentative="0">
      <w:start w:val="1"/>
      <w:numFmt w:val="decimal"/>
      <w:suff w:val="nothing"/>
      <w:lvlText w:val="%1、"/>
      <w:lvlJc w:val="left"/>
    </w:lvl>
  </w:abstractNum>
  <w:abstractNum w:abstractNumId="8">
    <w:nsid w:val="559D1809"/>
    <w:multiLevelType w:val="singleLevel"/>
    <w:tmpl w:val="559D1809"/>
    <w:lvl w:ilvl="0" w:tentative="0">
      <w:start w:val="1"/>
      <w:numFmt w:val="decimal"/>
      <w:suff w:val="nothing"/>
      <w:lvlText w:val="%1、"/>
      <w:lvlJc w:val="left"/>
    </w:lvl>
  </w:abstractNum>
  <w:abstractNum w:abstractNumId="9">
    <w:nsid w:val="7AEF1877"/>
    <w:multiLevelType w:val="singleLevel"/>
    <w:tmpl w:val="7AEF1877"/>
    <w:lvl w:ilvl="0" w:tentative="0">
      <w:start w:val="1"/>
      <w:numFmt w:val="decimal"/>
      <w:suff w:val="nothing"/>
      <w:lvlText w:val="%1、"/>
      <w:lvlJc w:val="left"/>
    </w:lvl>
  </w:abstractNum>
  <w:num w:numId="1">
    <w:abstractNumId w:val="1"/>
  </w:num>
  <w:num w:numId="2">
    <w:abstractNumId w:val="9"/>
  </w:num>
  <w:num w:numId="3">
    <w:abstractNumId w:val="4"/>
  </w:num>
  <w:num w:numId="4">
    <w:abstractNumId w:val="7"/>
  </w:num>
  <w:num w:numId="5">
    <w:abstractNumId w:val="3"/>
  </w:num>
  <w:num w:numId="6">
    <w:abstractNumId w:val="8"/>
  </w:num>
  <w:num w:numId="7">
    <w:abstractNumId w:val="2"/>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kYmRjZjIyOTBmYTI4NDhiODFkZmNjNmU1MDI1ZWQifQ=="/>
  </w:docVars>
  <w:rsids>
    <w:rsidRoot w:val="00172A27"/>
    <w:rsid w:val="000003B8"/>
    <w:rsid w:val="000003EF"/>
    <w:rsid w:val="00000653"/>
    <w:rsid w:val="000008B9"/>
    <w:rsid w:val="0000091B"/>
    <w:rsid w:val="00000D0A"/>
    <w:rsid w:val="00000D19"/>
    <w:rsid w:val="00000E1A"/>
    <w:rsid w:val="00001B3E"/>
    <w:rsid w:val="00001CD6"/>
    <w:rsid w:val="00001E6F"/>
    <w:rsid w:val="00002AC8"/>
    <w:rsid w:val="00002DDA"/>
    <w:rsid w:val="00002F41"/>
    <w:rsid w:val="00003255"/>
    <w:rsid w:val="00003C81"/>
    <w:rsid w:val="00003D02"/>
    <w:rsid w:val="00003DAE"/>
    <w:rsid w:val="0000436E"/>
    <w:rsid w:val="000058D7"/>
    <w:rsid w:val="00005E55"/>
    <w:rsid w:val="00006E2C"/>
    <w:rsid w:val="000079FF"/>
    <w:rsid w:val="00007B0D"/>
    <w:rsid w:val="00007F38"/>
    <w:rsid w:val="000102A9"/>
    <w:rsid w:val="000105C3"/>
    <w:rsid w:val="00011B70"/>
    <w:rsid w:val="00011D72"/>
    <w:rsid w:val="00012078"/>
    <w:rsid w:val="00012218"/>
    <w:rsid w:val="00012320"/>
    <w:rsid w:val="000128AC"/>
    <w:rsid w:val="000129EA"/>
    <w:rsid w:val="00013391"/>
    <w:rsid w:val="00013748"/>
    <w:rsid w:val="00013D41"/>
    <w:rsid w:val="00013D8B"/>
    <w:rsid w:val="000143A3"/>
    <w:rsid w:val="000144F2"/>
    <w:rsid w:val="000147BC"/>
    <w:rsid w:val="00014DD6"/>
    <w:rsid w:val="0001532B"/>
    <w:rsid w:val="0001598C"/>
    <w:rsid w:val="00016007"/>
    <w:rsid w:val="00016C31"/>
    <w:rsid w:val="00016CE3"/>
    <w:rsid w:val="00017504"/>
    <w:rsid w:val="000178D7"/>
    <w:rsid w:val="00017F40"/>
    <w:rsid w:val="00020861"/>
    <w:rsid w:val="00020BB1"/>
    <w:rsid w:val="00020BF0"/>
    <w:rsid w:val="00020C0B"/>
    <w:rsid w:val="00020F60"/>
    <w:rsid w:val="000215B7"/>
    <w:rsid w:val="000217BF"/>
    <w:rsid w:val="00021C98"/>
    <w:rsid w:val="00021CCD"/>
    <w:rsid w:val="00021EE3"/>
    <w:rsid w:val="000228AB"/>
    <w:rsid w:val="00022C7D"/>
    <w:rsid w:val="00022F2A"/>
    <w:rsid w:val="00022F8B"/>
    <w:rsid w:val="000233CA"/>
    <w:rsid w:val="00023652"/>
    <w:rsid w:val="000236EE"/>
    <w:rsid w:val="00024633"/>
    <w:rsid w:val="0002560A"/>
    <w:rsid w:val="00025DA0"/>
    <w:rsid w:val="000262BC"/>
    <w:rsid w:val="0002696D"/>
    <w:rsid w:val="0002754D"/>
    <w:rsid w:val="00027666"/>
    <w:rsid w:val="000276B2"/>
    <w:rsid w:val="00027A46"/>
    <w:rsid w:val="00027AF3"/>
    <w:rsid w:val="00030024"/>
    <w:rsid w:val="00030124"/>
    <w:rsid w:val="000302F0"/>
    <w:rsid w:val="000305FD"/>
    <w:rsid w:val="0003084F"/>
    <w:rsid w:val="00030C2F"/>
    <w:rsid w:val="00031169"/>
    <w:rsid w:val="00031757"/>
    <w:rsid w:val="00031DDD"/>
    <w:rsid w:val="00032686"/>
    <w:rsid w:val="0003274B"/>
    <w:rsid w:val="00032AD8"/>
    <w:rsid w:val="00032ADF"/>
    <w:rsid w:val="000331CC"/>
    <w:rsid w:val="0003322E"/>
    <w:rsid w:val="00033927"/>
    <w:rsid w:val="000352BA"/>
    <w:rsid w:val="00035840"/>
    <w:rsid w:val="00035844"/>
    <w:rsid w:val="00035A8D"/>
    <w:rsid w:val="00035C94"/>
    <w:rsid w:val="00036BAA"/>
    <w:rsid w:val="00037101"/>
    <w:rsid w:val="00037C2D"/>
    <w:rsid w:val="00037C63"/>
    <w:rsid w:val="00037CE4"/>
    <w:rsid w:val="00037DB6"/>
    <w:rsid w:val="00040187"/>
    <w:rsid w:val="000401FD"/>
    <w:rsid w:val="00040AC1"/>
    <w:rsid w:val="00040ED3"/>
    <w:rsid w:val="0004139C"/>
    <w:rsid w:val="000415E3"/>
    <w:rsid w:val="000418B1"/>
    <w:rsid w:val="00042280"/>
    <w:rsid w:val="0004231D"/>
    <w:rsid w:val="000424AB"/>
    <w:rsid w:val="00042BF9"/>
    <w:rsid w:val="00042ED7"/>
    <w:rsid w:val="000431D3"/>
    <w:rsid w:val="00043295"/>
    <w:rsid w:val="00044236"/>
    <w:rsid w:val="00044578"/>
    <w:rsid w:val="00045069"/>
    <w:rsid w:val="00045070"/>
    <w:rsid w:val="00045947"/>
    <w:rsid w:val="000459FB"/>
    <w:rsid w:val="000462A8"/>
    <w:rsid w:val="00046360"/>
    <w:rsid w:val="0004653D"/>
    <w:rsid w:val="000465AB"/>
    <w:rsid w:val="00046E59"/>
    <w:rsid w:val="000472E6"/>
    <w:rsid w:val="000479CD"/>
    <w:rsid w:val="000479FF"/>
    <w:rsid w:val="000500E6"/>
    <w:rsid w:val="000504FE"/>
    <w:rsid w:val="000513E2"/>
    <w:rsid w:val="00051C80"/>
    <w:rsid w:val="00051E0B"/>
    <w:rsid w:val="00052326"/>
    <w:rsid w:val="00052DBE"/>
    <w:rsid w:val="00053175"/>
    <w:rsid w:val="000534EE"/>
    <w:rsid w:val="0005359C"/>
    <w:rsid w:val="0005387F"/>
    <w:rsid w:val="00053BFC"/>
    <w:rsid w:val="0005428F"/>
    <w:rsid w:val="000544F4"/>
    <w:rsid w:val="000545D3"/>
    <w:rsid w:val="00054870"/>
    <w:rsid w:val="00054AB0"/>
    <w:rsid w:val="00054ABD"/>
    <w:rsid w:val="00054F7D"/>
    <w:rsid w:val="00055230"/>
    <w:rsid w:val="00055557"/>
    <w:rsid w:val="000555EA"/>
    <w:rsid w:val="00055945"/>
    <w:rsid w:val="00055A8A"/>
    <w:rsid w:val="00055E6D"/>
    <w:rsid w:val="00055FB0"/>
    <w:rsid w:val="0005625F"/>
    <w:rsid w:val="0005649E"/>
    <w:rsid w:val="0005682D"/>
    <w:rsid w:val="00056945"/>
    <w:rsid w:val="0005700C"/>
    <w:rsid w:val="00057393"/>
    <w:rsid w:val="00057E45"/>
    <w:rsid w:val="00060523"/>
    <w:rsid w:val="000606B6"/>
    <w:rsid w:val="000609AC"/>
    <w:rsid w:val="0006148A"/>
    <w:rsid w:val="000618AE"/>
    <w:rsid w:val="00062637"/>
    <w:rsid w:val="0006263C"/>
    <w:rsid w:val="00062949"/>
    <w:rsid w:val="000631AC"/>
    <w:rsid w:val="000631B7"/>
    <w:rsid w:val="00063894"/>
    <w:rsid w:val="000639D4"/>
    <w:rsid w:val="00063B29"/>
    <w:rsid w:val="0006408F"/>
    <w:rsid w:val="00064840"/>
    <w:rsid w:val="00064A48"/>
    <w:rsid w:val="00064C80"/>
    <w:rsid w:val="00065429"/>
    <w:rsid w:val="00065AB7"/>
    <w:rsid w:val="00065BFE"/>
    <w:rsid w:val="00065C40"/>
    <w:rsid w:val="00065D71"/>
    <w:rsid w:val="000673D8"/>
    <w:rsid w:val="00067DE7"/>
    <w:rsid w:val="0007014F"/>
    <w:rsid w:val="000706AC"/>
    <w:rsid w:val="00070950"/>
    <w:rsid w:val="000709D3"/>
    <w:rsid w:val="00070A7D"/>
    <w:rsid w:val="00070AAB"/>
    <w:rsid w:val="000712F8"/>
    <w:rsid w:val="00071A68"/>
    <w:rsid w:val="00071A6A"/>
    <w:rsid w:val="00071C95"/>
    <w:rsid w:val="00072A95"/>
    <w:rsid w:val="00072CEC"/>
    <w:rsid w:val="0007340B"/>
    <w:rsid w:val="0007368B"/>
    <w:rsid w:val="00073C3B"/>
    <w:rsid w:val="00074923"/>
    <w:rsid w:val="00074EE8"/>
    <w:rsid w:val="000750EA"/>
    <w:rsid w:val="0007539D"/>
    <w:rsid w:val="000774F1"/>
    <w:rsid w:val="00077698"/>
    <w:rsid w:val="000777B1"/>
    <w:rsid w:val="00077891"/>
    <w:rsid w:val="0007797E"/>
    <w:rsid w:val="00077C1B"/>
    <w:rsid w:val="0008017C"/>
    <w:rsid w:val="00080321"/>
    <w:rsid w:val="00080AA6"/>
    <w:rsid w:val="00080BE2"/>
    <w:rsid w:val="00081C1C"/>
    <w:rsid w:val="0008224F"/>
    <w:rsid w:val="000822F0"/>
    <w:rsid w:val="000824BD"/>
    <w:rsid w:val="00082611"/>
    <w:rsid w:val="0008264F"/>
    <w:rsid w:val="0008304A"/>
    <w:rsid w:val="0008372E"/>
    <w:rsid w:val="00083A64"/>
    <w:rsid w:val="00083B97"/>
    <w:rsid w:val="000842B5"/>
    <w:rsid w:val="00085560"/>
    <w:rsid w:val="00085E63"/>
    <w:rsid w:val="00086067"/>
    <w:rsid w:val="000866A9"/>
    <w:rsid w:val="00086EC2"/>
    <w:rsid w:val="00087358"/>
    <w:rsid w:val="000873F5"/>
    <w:rsid w:val="00087E2E"/>
    <w:rsid w:val="000900DF"/>
    <w:rsid w:val="00090193"/>
    <w:rsid w:val="0009021F"/>
    <w:rsid w:val="00090524"/>
    <w:rsid w:val="0009134B"/>
    <w:rsid w:val="00091D8D"/>
    <w:rsid w:val="00093BC0"/>
    <w:rsid w:val="00093DF8"/>
    <w:rsid w:val="000941F6"/>
    <w:rsid w:val="0009454A"/>
    <w:rsid w:val="000945C5"/>
    <w:rsid w:val="00094ECF"/>
    <w:rsid w:val="0009592E"/>
    <w:rsid w:val="00095AAF"/>
    <w:rsid w:val="00095B76"/>
    <w:rsid w:val="00096946"/>
    <w:rsid w:val="0009715C"/>
    <w:rsid w:val="00097406"/>
    <w:rsid w:val="000A10DB"/>
    <w:rsid w:val="000A111D"/>
    <w:rsid w:val="000A117F"/>
    <w:rsid w:val="000A128A"/>
    <w:rsid w:val="000A165F"/>
    <w:rsid w:val="000A2960"/>
    <w:rsid w:val="000A2968"/>
    <w:rsid w:val="000A299E"/>
    <w:rsid w:val="000A2E97"/>
    <w:rsid w:val="000A3515"/>
    <w:rsid w:val="000A3518"/>
    <w:rsid w:val="000A4852"/>
    <w:rsid w:val="000A509A"/>
    <w:rsid w:val="000A6C4D"/>
    <w:rsid w:val="000A6C54"/>
    <w:rsid w:val="000A6F1D"/>
    <w:rsid w:val="000A70C7"/>
    <w:rsid w:val="000A7238"/>
    <w:rsid w:val="000A745D"/>
    <w:rsid w:val="000A7687"/>
    <w:rsid w:val="000A791D"/>
    <w:rsid w:val="000A7931"/>
    <w:rsid w:val="000B0720"/>
    <w:rsid w:val="000B09FE"/>
    <w:rsid w:val="000B0BB1"/>
    <w:rsid w:val="000B15EF"/>
    <w:rsid w:val="000B26D6"/>
    <w:rsid w:val="000B2D1E"/>
    <w:rsid w:val="000B316D"/>
    <w:rsid w:val="000B3194"/>
    <w:rsid w:val="000B3CFE"/>
    <w:rsid w:val="000B4EF3"/>
    <w:rsid w:val="000B554C"/>
    <w:rsid w:val="000B5D87"/>
    <w:rsid w:val="000B60C6"/>
    <w:rsid w:val="000B68A5"/>
    <w:rsid w:val="000B6F18"/>
    <w:rsid w:val="000B70DB"/>
    <w:rsid w:val="000B76E7"/>
    <w:rsid w:val="000B797D"/>
    <w:rsid w:val="000B7AC2"/>
    <w:rsid w:val="000B7E6D"/>
    <w:rsid w:val="000C1979"/>
    <w:rsid w:val="000C20B5"/>
    <w:rsid w:val="000C270D"/>
    <w:rsid w:val="000C2B1E"/>
    <w:rsid w:val="000C350A"/>
    <w:rsid w:val="000C3518"/>
    <w:rsid w:val="000C3762"/>
    <w:rsid w:val="000C41CD"/>
    <w:rsid w:val="000C4988"/>
    <w:rsid w:val="000C59D1"/>
    <w:rsid w:val="000C5C88"/>
    <w:rsid w:val="000C655F"/>
    <w:rsid w:val="000C66AB"/>
    <w:rsid w:val="000C6872"/>
    <w:rsid w:val="000C7045"/>
    <w:rsid w:val="000C71D4"/>
    <w:rsid w:val="000C7563"/>
    <w:rsid w:val="000C757A"/>
    <w:rsid w:val="000C7D9F"/>
    <w:rsid w:val="000D074C"/>
    <w:rsid w:val="000D0C28"/>
    <w:rsid w:val="000D0F2E"/>
    <w:rsid w:val="000D1788"/>
    <w:rsid w:val="000D31CB"/>
    <w:rsid w:val="000D3E1B"/>
    <w:rsid w:val="000D4061"/>
    <w:rsid w:val="000D4860"/>
    <w:rsid w:val="000D48FB"/>
    <w:rsid w:val="000D4B4F"/>
    <w:rsid w:val="000D4EC1"/>
    <w:rsid w:val="000D55FD"/>
    <w:rsid w:val="000D56C7"/>
    <w:rsid w:val="000D672C"/>
    <w:rsid w:val="000D68F4"/>
    <w:rsid w:val="000D6A04"/>
    <w:rsid w:val="000D6A61"/>
    <w:rsid w:val="000D6C78"/>
    <w:rsid w:val="000D74B9"/>
    <w:rsid w:val="000E01DF"/>
    <w:rsid w:val="000E1094"/>
    <w:rsid w:val="000E18A1"/>
    <w:rsid w:val="000E1AC3"/>
    <w:rsid w:val="000E1C04"/>
    <w:rsid w:val="000E20DA"/>
    <w:rsid w:val="000E2AD1"/>
    <w:rsid w:val="000E2F86"/>
    <w:rsid w:val="000E3D2F"/>
    <w:rsid w:val="000E42EF"/>
    <w:rsid w:val="000E4712"/>
    <w:rsid w:val="000E4723"/>
    <w:rsid w:val="000E612C"/>
    <w:rsid w:val="000E6372"/>
    <w:rsid w:val="000E6D38"/>
    <w:rsid w:val="000E6D94"/>
    <w:rsid w:val="000E72E7"/>
    <w:rsid w:val="000E72F6"/>
    <w:rsid w:val="000E7533"/>
    <w:rsid w:val="000E75B3"/>
    <w:rsid w:val="000E7CC8"/>
    <w:rsid w:val="000F0D10"/>
    <w:rsid w:val="000F0E1D"/>
    <w:rsid w:val="000F1B78"/>
    <w:rsid w:val="000F1F51"/>
    <w:rsid w:val="000F1FB0"/>
    <w:rsid w:val="000F2181"/>
    <w:rsid w:val="000F24AC"/>
    <w:rsid w:val="000F28A5"/>
    <w:rsid w:val="000F2943"/>
    <w:rsid w:val="000F2E97"/>
    <w:rsid w:val="000F2F22"/>
    <w:rsid w:val="000F2F60"/>
    <w:rsid w:val="000F3461"/>
    <w:rsid w:val="000F4B3A"/>
    <w:rsid w:val="000F5331"/>
    <w:rsid w:val="000F55C9"/>
    <w:rsid w:val="000F6242"/>
    <w:rsid w:val="000F666F"/>
    <w:rsid w:val="000F6F32"/>
    <w:rsid w:val="000F75A8"/>
    <w:rsid w:val="000F76E0"/>
    <w:rsid w:val="000F77B5"/>
    <w:rsid w:val="000F79FD"/>
    <w:rsid w:val="00100331"/>
    <w:rsid w:val="00101255"/>
    <w:rsid w:val="001014D2"/>
    <w:rsid w:val="001016BB"/>
    <w:rsid w:val="0010251A"/>
    <w:rsid w:val="00102768"/>
    <w:rsid w:val="00102BC3"/>
    <w:rsid w:val="00102EF2"/>
    <w:rsid w:val="00103458"/>
    <w:rsid w:val="001037BD"/>
    <w:rsid w:val="001047CB"/>
    <w:rsid w:val="00104AFF"/>
    <w:rsid w:val="001053EE"/>
    <w:rsid w:val="00105629"/>
    <w:rsid w:val="0010574F"/>
    <w:rsid w:val="00105996"/>
    <w:rsid w:val="001059FC"/>
    <w:rsid w:val="00105A06"/>
    <w:rsid w:val="00105F3E"/>
    <w:rsid w:val="001066F6"/>
    <w:rsid w:val="00106FBC"/>
    <w:rsid w:val="001078F4"/>
    <w:rsid w:val="001105FF"/>
    <w:rsid w:val="00110744"/>
    <w:rsid w:val="00110797"/>
    <w:rsid w:val="00110E04"/>
    <w:rsid w:val="0011170E"/>
    <w:rsid w:val="00111849"/>
    <w:rsid w:val="00111ECD"/>
    <w:rsid w:val="001121DD"/>
    <w:rsid w:val="00112D31"/>
    <w:rsid w:val="00112DBF"/>
    <w:rsid w:val="00113646"/>
    <w:rsid w:val="00113CD1"/>
    <w:rsid w:val="00114359"/>
    <w:rsid w:val="0011487E"/>
    <w:rsid w:val="00115093"/>
    <w:rsid w:val="001161CA"/>
    <w:rsid w:val="00116258"/>
    <w:rsid w:val="00116494"/>
    <w:rsid w:val="001166D3"/>
    <w:rsid w:val="001167AE"/>
    <w:rsid w:val="001202C5"/>
    <w:rsid w:val="0012077F"/>
    <w:rsid w:val="00120813"/>
    <w:rsid w:val="0012099E"/>
    <w:rsid w:val="00120CE3"/>
    <w:rsid w:val="00120E60"/>
    <w:rsid w:val="0012130E"/>
    <w:rsid w:val="001213B0"/>
    <w:rsid w:val="00121741"/>
    <w:rsid w:val="00121832"/>
    <w:rsid w:val="00122050"/>
    <w:rsid w:val="00122232"/>
    <w:rsid w:val="0012235C"/>
    <w:rsid w:val="00122857"/>
    <w:rsid w:val="00122A75"/>
    <w:rsid w:val="00123529"/>
    <w:rsid w:val="001240C3"/>
    <w:rsid w:val="00124118"/>
    <w:rsid w:val="001241D1"/>
    <w:rsid w:val="00124271"/>
    <w:rsid w:val="00124457"/>
    <w:rsid w:val="00124985"/>
    <w:rsid w:val="00125609"/>
    <w:rsid w:val="001257A9"/>
    <w:rsid w:val="00126655"/>
    <w:rsid w:val="00126707"/>
    <w:rsid w:val="0012679D"/>
    <w:rsid w:val="001269E0"/>
    <w:rsid w:val="001270F4"/>
    <w:rsid w:val="001274D7"/>
    <w:rsid w:val="00127514"/>
    <w:rsid w:val="00130D23"/>
    <w:rsid w:val="001311C9"/>
    <w:rsid w:val="00131627"/>
    <w:rsid w:val="001318CD"/>
    <w:rsid w:val="0013190A"/>
    <w:rsid w:val="00131955"/>
    <w:rsid w:val="00131C94"/>
    <w:rsid w:val="00131DE6"/>
    <w:rsid w:val="001323E6"/>
    <w:rsid w:val="001326D3"/>
    <w:rsid w:val="001326DF"/>
    <w:rsid w:val="00132A53"/>
    <w:rsid w:val="00132AD8"/>
    <w:rsid w:val="00132CCE"/>
    <w:rsid w:val="00132F2C"/>
    <w:rsid w:val="00133BBE"/>
    <w:rsid w:val="00133D01"/>
    <w:rsid w:val="001342A2"/>
    <w:rsid w:val="00134510"/>
    <w:rsid w:val="001358D6"/>
    <w:rsid w:val="00136073"/>
    <w:rsid w:val="001361F7"/>
    <w:rsid w:val="00136606"/>
    <w:rsid w:val="001367BA"/>
    <w:rsid w:val="00136806"/>
    <w:rsid w:val="001369A6"/>
    <w:rsid w:val="00136BD6"/>
    <w:rsid w:val="00136DBC"/>
    <w:rsid w:val="00136E67"/>
    <w:rsid w:val="00136F77"/>
    <w:rsid w:val="001370A8"/>
    <w:rsid w:val="00137856"/>
    <w:rsid w:val="00137B4E"/>
    <w:rsid w:val="00137BD8"/>
    <w:rsid w:val="00140291"/>
    <w:rsid w:val="0014229D"/>
    <w:rsid w:val="001422D4"/>
    <w:rsid w:val="0014235F"/>
    <w:rsid w:val="0014236F"/>
    <w:rsid w:val="001428FA"/>
    <w:rsid w:val="00142A87"/>
    <w:rsid w:val="001442C2"/>
    <w:rsid w:val="001449E1"/>
    <w:rsid w:val="00144D5F"/>
    <w:rsid w:val="00144DD9"/>
    <w:rsid w:val="001455BA"/>
    <w:rsid w:val="00145DDE"/>
    <w:rsid w:val="0014621F"/>
    <w:rsid w:val="0014647C"/>
    <w:rsid w:val="00146907"/>
    <w:rsid w:val="00146E85"/>
    <w:rsid w:val="00147916"/>
    <w:rsid w:val="0014795D"/>
    <w:rsid w:val="001479AA"/>
    <w:rsid w:val="00147F00"/>
    <w:rsid w:val="001502FF"/>
    <w:rsid w:val="00150564"/>
    <w:rsid w:val="001506A7"/>
    <w:rsid w:val="0015087C"/>
    <w:rsid w:val="00150882"/>
    <w:rsid w:val="00150A4A"/>
    <w:rsid w:val="00150FFB"/>
    <w:rsid w:val="001518B5"/>
    <w:rsid w:val="00151BBA"/>
    <w:rsid w:val="0015252D"/>
    <w:rsid w:val="00152656"/>
    <w:rsid w:val="00152C00"/>
    <w:rsid w:val="00152C2B"/>
    <w:rsid w:val="00152E98"/>
    <w:rsid w:val="00153084"/>
    <w:rsid w:val="00153A54"/>
    <w:rsid w:val="00154072"/>
    <w:rsid w:val="00154304"/>
    <w:rsid w:val="001546EA"/>
    <w:rsid w:val="0015477A"/>
    <w:rsid w:val="00154951"/>
    <w:rsid w:val="00154F0A"/>
    <w:rsid w:val="001559DA"/>
    <w:rsid w:val="00156849"/>
    <w:rsid w:val="00156891"/>
    <w:rsid w:val="00156BA3"/>
    <w:rsid w:val="00157320"/>
    <w:rsid w:val="001579B9"/>
    <w:rsid w:val="001602EB"/>
    <w:rsid w:val="0016080B"/>
    <w:rsid w:val="00160853"/>
    <w:rsid w:val="00160F65"/>
    <w:rsid w:val="001610EB"/>
    <w:rsid w:val="00161216"/>
    <w:rsid w:val="001614D4"/>
    <w:rsid w:val="00161BB8"/>
    <w:rsid w:val="00161C1F"/>
    <w:rsid w:val="00161C2F"/>
    <w:rsid w:val="00161F11"/>
    <w:rsid w:val="001620B6"/>
    <w:rsid w:val="001622BA"/>
    <w:rsid w:val="00162664"/>
    <w:rsid w:val="00163194"/>
    <w:rsid w:val="001639B6"/>
    <w:rsid w:val="00163DB9"/>
    <w:rsid w:val="00163DD8"/>
    <w:rsid w:val="00164F8F"/>
    <w:rsid w:val="0016529F"/>
    <w:rsid w:val="001658F5"/>
    <w:rsid w:val="00165F38"/>
    <w:rsid w:val="001661B8"/>
    <w:rsid w:val="00166237"/>
    <w:rsid w:val="00166385"/>
    <w:rsid w:val="0016644D"/>
    <w:rsid w:val="0016655F"/>
    <w:rsid w:val="00166EE6"/>
    <w:rsid w:val="001672AF"/>
    <w:rsid w:val="00167460"/>
    <w:rsid w:val="00170377"/>
    <w:rsid w:val="00170A14"/>
    <w:rsid w:val="0017112B"/>
    <w:rsid w:val="00171185"/>
    <w:rsid w:val="00171C71"/>
    <w:rsid w:val="001726CF"/>
    <w:rsid w:val="00172A27"/>
    <w:rsid w:val="00172A39"/>
    <w:rsid w:val="00172BAF"/>
    <w:rsid w:val="00172D05"/>
    <w:rsid w:val="00172EC0"/>
    <w:rsid w:val="00173191"/>
    <w:rsid w:val="00173686"/>
    <w:rsid w:val="001737FE"/>
    <w:rsid w:val="00173F0C"/>
    <w:rsid w:val="0017426E"/>
    <w:rsid w:val="00175014"/>
    <w:rsid w:val="001751EE"/>
    <w:rsid w:val="001753D1"/>
    <w:rsid w:val="00175B11"/>
    <w:rsid w:val="00175B5B"/>
    <w:rsid w:val="00176AFA"/>
    <w:rsid w:val="00176C25"/>
    <w:rsid w:val="00176E50"/>
    <w:rsid w:val="0017723E"/>
    <w:rsid w:val="001775DA"/>
    <w:rsid w:val="00177935"/>
    <w:rsid w:val="00177AD0"/>
    <w:rsid w:val="00181019"/>
    <w:rsid w:val="00181135"/>
    <w:rsid w:val="001813A3"/>
    <w:rsid w:val="00181C0B"/>
    <w:rsid w:val="00181EF7"/>
    <w:rsid w:val="001820BF"/>
    <w:rsid w:val="00182382"/>
    <w:rsid w:val="00182C79"/>
    <w:rsid w:val="00182DF8"/>
    <w:rsid w:val="0018502B"/>
    <w:rsid w:val="00186403"/>
    <w:rsid w:val="00186455"/>
    <w:rsid w:val="00186DC9"/>
    <w:rsid w:val="0018707E"/>
    <w:rsid w:val="00187892"/>
    <w:rsid w:val="00187DFB"/>
    <w:rsid w:val="00190463"/>
    <w:rsid w:val="00191435"/>
    <w:rsid w:val="00192213"/>
    <w:rsid w:val="001927A2"/>
    <w:rsid w:val="00192FED"/>
    <w:rsid w:val="00192FF5"/>
    <w:rsid w:val="0019335B"/>
    <w:rsid w:val="001938DB"/>
    <w:rsid w:val="001940F4"/>
    <w:rsid w:val="0019423A"/>
    <w:rsid w:val="00194FA4"/>
    <w:rsid w:val="00195203"/>
    <w:rsid w:val="00195234"/>
    <w:rsid w:val="00195648"/>
    <w:rsid w:val="001959DC"/>
    <w:rsid w:val="00195A29"/>
    <w:rsid w:val="00195F44"/>
    <w:rsid w:val="00195FC6"/>
    <w:rsid w:val="00196019"/>
    <w:rsid w:val="001963F9"/>
    <w:rsid w:val="00196B1D"/>
    <w:rsid w:val="00196C83"/>
    <w:rsid w:val="00196E92"/>
    <w:rsid w:val="001A0896"/>
    <w:rsid w:val="001A0FF1"/>
    <w:rsid w:val="001A2185"/>
    <w:rsid w:val="001A2679"/>
    <w:rsid w:val="001A315B"/>
    <w:rsid w:val="001A334F"/>
    <w:rsid w:val="001A3856"/>
    <w:rsid w:val="001A3954"/>
    <w:rsid w:val="001A3F6D"/>
    <w:rsid w:val="001A4C94"/>
    <w:rsid w:val="001A56FD"/>
    <w:rsid w:val="001A5923"/>
    <w:rsid w:val="001A5DA1"/>
    <w:rsid w:val="001A6A4C"/>
    <w:rsid w:val="001A7328"/>
    <w:rsid w:val="001A775C"/>
    <w:rsid w:val="001A7CBA"/>
    <w:rsid w:val="001B0DF5"/>
    <w:rsid w:val="001B1736"/>
    <w:rsid w:val="001B1AE6"/>
    <w:rsid w:val="001B32D3"/>
    <w:rsid w:val="001B32E4"/>
    <w:rsid w:val="001B3778"/>
    <w:rsid w:val="001B3E30"/>
    <w:rsid w:val="001B43A2"/>
    <w:rsid w:val="001B4634"/>
    <w:rsid w:val="001B4ED3"/>
    <w:rsid w:val="001B5091"/>
    <w:rsid w:val="001B50CC"/>
    <w:rsid w:val="001B5355"/>
    <w:rsid w:val="001B5426"/>
    <w:rsid w:val="001B593D"/>
    <w:rsid w:val="001B6049"/>
    <w:rsid w:val="001B60D4"/>
    <w:rsid w:val="001B6482"/>
    <w:rsid w:val="001B7014"/>
    <w:rsid w:val="001B739D"/>
    <w:rsid w:val="001B7432"/>
    <w:rsid w:val="001B7C32"/>
    <w:rsid w:val="001B7CBF"/>
    <w:rsid w:val="001C0476"/>
    <w:rsid w:val="001C0846"/>
    <w:rsid w:val="001C148A"/>
    <w:rsid w:val="001C15DB"/>
    <w:rsid w:val="001C17AC"/>
    <w:rsid w:val="001C1814"/>
    <w:rsid w:val="001C1B36"/>
    <w:rsid w:val="001C2831"/>
    <w:rsid w:val="001C3D5E"/>
    <w:rsid w:val="001C3D80"/>
    <w:rsid w:val="001C4222"/>
    <w:rsid w:val="001C4361"/>
    <w:rsid w:val="001C4AA8"/>
    <w:rsid w:val="001C51A3"/>
    <w:rsid w:val="001C5358"/>
    <w:rsid w:val="001C56D1"/>
    <w:rsid w:val="001C6F0D"/>
    <w:rsid w:val="001C7325"/>
    <w:rsid w:val="001C7A8C"/>
    <w:rsid w:val="001D0D82"/>
    <w:rsid w:val="001D0F05"/>
    <w:rsid w:val="001D151F"/>
    <w:rsid w:val="001D15D9"/>
    <w:rsid w:val="001D1912"/>
    <w:rsid w:val="001D1DD7"/>
    <w:rsid w:val="001D23EF"/>
    <w:rsid w:val="001D2608"/>
    <w:rsid w:val="001D273D"/>
    <w:rsid w:val="001D285A"/>
    <w:rsid w:val="001D3534"/>
    <w:rsid w:val="001D49FD"/>
    <w:rsid w:val="001D4EB1"/>
    <w:rsid w:val="001D537F"/>
    <w:rsid w:val="001D565B"/>
    <w:rsid w:val="001D6B8D"/>
    <w:rsid w:val="001D6D80"/>
    <w:rsid w:val="001D723E"/>
    <w:rsid w:val="001D7681"/>
    <w:rsid w:val="001E0531"/>
    <w:rsid w:val="001E131D"/>
    <w:rsid w:val="001E15B4"/>
    <w:rsid w:val="001E1FA3"/>
    <w:rsid w:val="001E21AC"/>
    <w:rsid w:val="001E24A4"/>
    <w:rsid w:val="001E28CC"/>
    <w:rsid w:val="001E28E4"/>
    <w:rsid w:val="001E290A"/>
    <w:rsid w:val="001E2DA9"/>
    <w:rsid w:val="001E321D"/>
    <w:rsid w:val="001E38B1"/>
    <w:rsid w:val="001E3A2B"/>
    <w:rsid w:val="001E478C"/>
    <w:rsid w:val="001E4C00"/>
    <w:rsid w:val="001E4D12"/>
    <w:rsid w:val="001E4D56"/>
    <w:rsid w:val="001E4DB4"/>
    <w:rsid w:val="001E5559"/>
    <w:rsid w:val="001E5BBC"/>
    <w:rsid w:val="001E6542"/>
    <w:rsid w:val="001E69FA"/>
    <w:rsid w:val="001E72E0"/>
    <w:rsid w:val="001E7739"/>
    <w:rsid w:val="001E7AB5"/>
    <w:rsid w:val="001F0064"/>
    <w:rsid w:val="001F16DF"/>
    <w:rsid w:val="001F193B"/>
    <w:rsid w:val="001F1960"/>
    <w:rsid w:val="001F3066"/>
    <w:rsid w:val="001F327B"/>
    <w:rsid w:val="001F32DA"/>
    <w:rsid w:val="001F3DAE"/>
    <w:rsid w:val="001F4A98"/>
    <w:rsid w:val="001F4F82"/>
    <w:rsid w:val="001F6159"/>
    <w:rsid w:val="001F6680"/>
    <w:rsid w:val="001F6C51"/>
    <w:rsid w:val="001F6DC6"/>
    <w:rsid w:val="001F6FB6"/>
    <w:rsid w:val="001F740D"/>
    <w:rsid w:val="001F792F"/>
    <w:rsid w:val="001F7AC9"/>
    <w:rsid w:val="001F7B9E"/>
    <w:rsid w:val="001F7BE1"/>
    <w:rsid w:val="001F7C97"/>
    <w:rsid w:val="00200A84"/>
    <w:rsid w:val="00200C40"/>
    <w:rsid w:val="00201229"/>
    <w:rsid w:val="002014F7"/>
    <w:rsid w:val="002023BE"/>
    <w:rsid w:val="00202576"/>
    <w:rsid w:val="00202583"/>
    <w:rsid w:val="0020269C"/>
    <w:rsid w:val="00202B50"/>
    <w:rsid w:val="00202EF9"/>
    <w:rsid w:val="00203204"/>
    <w:rsid w:val="00203236"/>
    <w:rsid w:val="00203395"/>
    <w:rsid w:val="002036E8"/>
    <w:rsid w:val="00203939"/>
    <w:rsid w:val="00203B3F"/>
    <w:rsid w:val="002048AD"/>
    <w:rsid w:val="002051F7"/>
    <w:rsid w:val="0020531C"/>
    <w:rsid w:val="00205AD3"/>
    <w:rsid w:val="00205B53"/>
    <w:rsid w:val="002066C1"/>
    <w:rsid w:val="002067D2"/>
    <w:rsid w:val="00206D59"/>
    <w:rsid w:val="0020708A"/>
    <w:rsid w:val="00207435"/>
    <w:rsid w:val="00207642"/>
    <w:rsid w:val="0020789C"/>
    <w:rsid w:val="00207AAC"/>
    <w:rsid w:val="00207F6A"/>
    <w:rsid w:val="00210191"/>
    <w:rsid w:val="00210256"/>
    <w:rsid w:val="00210394"/>
    <w:rsid w:val="0021051F"/>
    <w:rsid w:val="0021076E"/>
    <w:rsid w:val="0021206E"/>
    <w:rsid w:val="002127B9"/>
    <w:rsid w:val="00212B08"/>
    <w:rsid w:val="00213289"/>
    <w:rsid w:val="00213825"/>
    <w:rsid w:val="00213CEF"/>
    <w:rsid w:val="00214189"/>
    <w:rsid w:val="0021432D"/>
    <w:rsid w:val="00214532"/>
    <w:rsid w:val="00214ADD"/>
    <w:rsid w:val="0021525B"/>
    <w:rsid w:val="00216356"/>
    <w:rsid w:val="002164F1"/>
    <w:rsid w:val="00216A00"/>
    <w:rsid w:val="00216B19"/>
    <w:rsid w:val="00216CCC"/>
    <w:rsid w:val="00216E16"/>
    <w:rsid w:val="0021738B"/>
    <w:rsid w:val="00220082"/>
    <w:rsid w:val="002203BD"/>
    <w:rsid w:val="00220517"/>
    <w:rsid w:val="00220776"/>
    <w:rsid w:val="002216CC"/>
    <w:rsid w:val="00221ED0"/>
    <w:rsid w:val="002221C3"/>
    <w:rsid w:val="0022299A"/>
    <w:rsid w:val="00222A0B"/>
    <w:rsid w:val="00222B91"/>
    <w:rsid w:val="002230FD"/>
    <w:rsid w:val="002232B3"/>
    <w:rsid w:val="00223664"/>
    <w:rsid w:val="0022401E"/>
    <w:rsid w:val="002244FF"/>
    <w:rsid w:val="00224756"/>
    <w:rsid w:val="00224878"/>
    <w:rsid w:val="0022514D"/>
    <w:rsid w:val="00225CEE"/>
    <w:rsid w:val="00226447"/>
    <w:rsid w:val="002266DB"/>
    <w:rsid w:val="00226894"/>
    <w:rsid w:val="002268B0"/>
    <w:rsid w:val="002272F5"/>
    <w:rsid w:val="00227577"/>
    <w:rsid w:val="002277E9"/>
    <w:rsid w:val="00230153"/>
    <w:rsid w:val="002303A6"/>
    <w:rsid w:val="00230894"/>
    <w:rsid w:val="002308E9"/>
    <w:rsid w:val="00231B36"/>
    <w:rsid w:val="00231F9E"/>
    <w:rsid w:val="00232498"/>
    <w:rsid w:val="0023254E"/>
    <w:rsid w:val="00232918"/>
    <w:rsid w:val="0023350C"/>
    <w:rsid w:val="00233E70"/>
    <w:rsid w:val="00234281"/>
    <w:rsid w:val="00234FD3"/>
    <w:rsid w:val="00235CC1"/>
    <w:rsid w:val="00236B90"/>
    <w:rsid w:val="00236C21"/>
    <w:rsid w:val="002371BF"/>
    <w:rsid w:val="002371E1"/>
    <w:rsid w:val="00237A87"/>
    <w:rsid w:val="002404C3"/>
    <w:rsid w:val="00241129"/>
    <w:rsid w:val="002411AE"/>
    <w:rsid w:val="00241205"/>
    <w:rsid w:val="00241731"/>
    <w:rsid w:val="00241840"/>
    <w:rsid w:val="00241C36"/>
    <w:rsid w:val="002427EB"/>
    <w:rsid w:val="002427F0"/>
    <w:rsid w:val="002428BD"/>
    <w:rsid w:val="00242D15"/>
    <w:rsid w:val="00242E09"/>
    <w:rsid w:val="002432B7"/>
    <w:rsid w:val="002440B2"/>
    <w:rsid w:val="002445FE"/>
    <w:rsid w:val="002451B3"/>
    <w:rsid w:val="002458CE"/>
    <w:rsid w:val="002459C5"/>
    <w:rsid w:val="00245DE9"/>
    <w:rsid w:val="00245F09"/>
    <w:rsid w:val="00246513"/>
    <w:rsid w:val="00246851"/>
    <w:rsid w:val="00246B1D"/>
    <w:rsid w:val="00246E71"/>
    <w:rsid w:val="00246F16"/>
    <w:rsid w:val="0024705A"/>
    <w:rsid w:val="002477AE"/>
    <w:rsid w:val="00247BDE"/>
    <w:rsid w:val="00247D4D"/>
    <w:rsid w:val="002504FC"/>
    <w:rsid w:val="00250B11"/>
    <w:rsid w:val="00250D82"/>
    <w:rsid w:val="00251CC2"/>
    <w:rsid w:val="00251EB3"/>
    <w:rsid w:val="00252136"/>
    <w:rsid w:val="0025329B"/>
    <w:rsid w:val="00253582"/>
    <w:rsid w:val="002538BA"/>
    <w:rsid w:val="00253EC4"/>
    <w:rsid w:val="0025418A"/>
    <w:rsid w:val="00254240"/>
    <w:rsid w:val="0025425A"/>
    <w:rsid w:val="0025531B"/>
    <w:rsid w:val="00255536"/>
    <w:rsid w:val="002557BB"/>
    <w:rsid w:val="002558AC"/>
    <w:rsid w:val="00255BC2"/>
    <w:rsid w:val="00256539"/>
    <w:rsid w:val="00256DEA"/>
    <w:rsid w:val="00257117"/>
    <w:rsid w:val="00257923"/>
    <w:rsid w:val="00257C49"/>
    <w:rsid w:val="002603B3"/>
    <w:rsid w:val="0026072F"/>
    <w:rsid w:val="00260952"/>
    <w:rsid w:val="00260C11"/>
    <w:rsid w:val="002610D7"/>
    <w:rsid w:val="00261192"/>
    <w:rsid w:val="00261A11"/>
    <w:rsid w:val="00261CB5"/>
    <w:rsid w:val="00261D8A"/>
    <w:rsid w:val="002625F2"/>
    <w:rsid w:val="00262CA3"/>
    <w:rsid w:val="00262D43"/>
    <w:rsid w:val="00263413"/>
    <w:rsid w:val="00263AEC"/>
    <w:rsid w:val="00263E3B"/>
    <w:rsid w:val="0026408F"/>
    <w:rsid w:val="0026431A"/>
    <w:rsid w:val="002644A4"/>
    <w:rsid w:val="00264C8F"/>
    <w:rsid w:val="00265066"/>
    <w:rsid w:val="00265548"/>
    <w:rsid w:val="00265C93"/>
    <w:rsid w:val="00266300"/>
    <w:rsid w:val="0026641E"/>
    <w:rsid w:val="00266678"/>
    <w:rsid w:val="002669B2"/>
    <w:rsid w:val="00266EE2"/>
    <w:rsid w:val="002678CA"/>
    <w:rsid w:val="00267BBD"/>
    <w:rsid w:val="00267F3E"/>
    <w:rsid w:val="0027038F"/>
    <w:rsid w:val="00271150"/>
    <w:rsid w:val="00272EB3"/>
    <w:rsid w:val="0027447A"/>
    <w:rsid w:val="002747CC"/>
    <w:rsid w:val="00274830"/>
    <w:rsid w:val="00274DF9"/>
    <w:rsid w:val="00275170"/>
    <w:rsid w:val="00275D77"/>
    <w:rsid w:val="0027602C"/>
    <w:rsid w:val="00276A43"/>
    <w:rsid w:val="00276D2F"/>
    <w:rsid w:val="00276FBF"/>
    <w:rsid w:val="002775C7"/>
    <w:rsid w:val="002778F2"/>
    <w:rsid w:val="00277F52"/>
    <w:rsid w:val="002809A3"/>
    <w:rsid w:val="00280E91"/>
    <w:rsid w:val="00281979"/>
    <w:rsid w:val="00281E85"/>
    <w:rsid w:val="00282011"/>
    <w:rsid w:val="00282533"/>
    <w:rsid w:val="00282622"/>
    <w:rsid w:val="002837F8"/>
    <w:rsid w:val="00283ACF"/>
    <w:rsid w:val="00283C99"/>
    <w:rsid w:val="00283D11"/>
    <w:rsid w:val="0028473D"/>
    <w:rsid w:val="00284850"/>
    <w:rsid w:val="00284CEE"/>
    <w:rsid w:val="00284D22"/>
    <w:rsid w:val="00284F33"/>
    <w:rsid w:val="002851E8"/>
    <w:rsid w:val="0028529C"/>
    <w:rsid w:val="00285326"/>
    <w:rsid w:val="00285DE8"/>
    <w:rsid w:val="00287067"/>
    <w:rsid w:val="00290337"/>
    <w:rsid w:val="00290891"/>
    <w:rsid w:val="00291DA9"/>
    <w:rsid w:val="00292661"/>
    <w:rsid w:val="00292773"/>
    <w:rsid w:val="002927AC"/>
    <w:rsid w:val="002928D1"/>
    <w:rsid w:val="00292D88"/>
    <w:rsid w:val="00293689"/>
    <w:rsid w:val="00294241"/>
    <w:rsid w:val="002943E7"/>
    <w:rsid w:val="0029469F"/>
    <w:rsid w:val="0029476B"/>
    <w:rsid w:val="00295405"/>
    <w:rsid w:val="002954FB"/>
    <w:rsid w:val="00295E06"/>
    <w:rsid w:val="0029618D"/>
    <w:rsid w:val="002965BA"/>
    <w:rsid w:val="00296814"/>
    <w:rsid w:val="00296D48"/>
    <w:rsid w:val="00296EB8"/>
    <w:rsid w:val="00296F5F"/>
    <w:rsid w:val="0029716C"/>
    <w:rsid w:val="002976F2"/>
    <w:rsid w:val="00297A95"/>
    <w:rsid w:val="002A07C4"/>
    <w:rsid w:val="002A0DD4"/>
    <w:rsid w:val="002A2537"/>
    <w:rsid w:val="002A2AB8"/>
    <w:rsid w:val="002A2B8E"/>
    <w:rsid w:val="002A3789"/>
    <w:rsid w:val="002A5126"/>
    <w:rsid w:val="002A5948"/>
    <w:rsid w:val="002A6115"/>
    <w:rsid w:val="002A639F"/>
    <w:rsid w:val="002A64F2"/>
    <w:rsid w:val="002A6590"/>
    <w:rsid w:val="002A7478"/>
    <w:rsid w:val="002A7678"/>
    <w:rsid w:val="002A7B26"/>
    <w:rsid w:val="002B01AD"/>
    <w:rsid w:val="002B047F"/>
    <w:rsid w:val="002B1824"/>
    <w:rsid w:val="002B1845"/>
    <w:rsid w:val="002B1A9F"/>
    <w:rsid w:val="002B210C"/>
    <w:rsid w:val="002B2402"/>
    <w:rsid w:val="002B2847"/>
    <w:rsid w:val="002B2D78"/>
    <w:rsid w:val="002B32B6"/>
    <w:rsid w:val="002B32C9"/>
    <w:rsid w:val="002B35D8"/>
    <w:rsid w:val="002B3736"/>
    <w:rsid w:val="002B4054"/>
    <w:rsid w:val="002B41A8"/>
    <w:rsid w:val="002B427C"/>
    <w:rsid w:val="002B46A0"/>
    <w:rsid w:val="002B46FF"/>
    <w:rsid w:val="002B497D"/>
    <w:rsid w:val="002B4BBC"/>
    <w:rsid w:val="002B4D0E"/>
    <w:rsid w:val="002B542A"/>
    <w:rsid w:val="002B5495"/>
    <w:rsid w:val="002B54C5"/>
    <w:rsid w:val="002B55E5"/>
    <w:rsid w:val="002B653E"/>
    <w:rsid w:val="002B6703"/>
    <w:rsid w:val="002B6D69"/>
    <w:rsid w:val="002B6E5B"/>
    <w:rsid w:val="002B6F67"/>
    <w:rsid w:val="002B7411"/>
    <w:rsid w:val="002B7F1B"/>
    <w:rsid w:val="002C0083"/>
    <w:rsid w:val="002C0186"/>
    <w:rsid w:val="002C032E"/>
    <w:rsid w:val="002C081A"/>
    <w:rsid w:val="002C087B"/>
    <w:rsid w:val="002C108A"/>
    <w:rsid w:val="002C1553"/>
    <w:rsid w:val="002C2035"/>
    <w:rsid w:val="002C25D4"/>
    <w:rsid w:val="002C2CCD"/>
    <w:rsid w:val="002C2F7F"/>
    <w:rsid w:val="002C2FB4"/>
    <w:rsid w:val="002C2FD3"/>
    <w:rsid w:val="002C3683"/>
    <w:rsid w:val="002C4AFD"/>
    <w:rsid w:val="002C5516"/>
    <w:rsid w:val="002C5A3A"/>
    <w:rsid w:val="002C5D7E"/>
    <w:rsid w:val="002C6DC2"/>
    <w:rsid w:val="002C6DDA"/>
    <w:rsid w:val="002C713E"/>
    <w:rsid w:val="002C77B0"/>
    <w:rsid w:val="002D0068"/>
    <w:rsid w:val="002D0466"/>
    <w:rsid w:val="002D053D"/>
    <w:rsid w:val="002D0829"/>
    <w:rsid w:val="002D0B99"/>
    <w:rsid w:val="002D1936"/>
    <w:rsid w:val="002D1CE8"/>
    <w:rsid w:val="002D1F76"/>
    <w:rsid w:val="002D2403"/>
    <w:rsid w:val="002D2D0D"/>
    <w:rsid w:val="002D2FB2"/>
    <w:rsid w:val="002D3066"/>
    <w:rsid w:val="002D32C1"/>
    <w:rsid w:val="002D34FE"/>
    <w:rsid w:val="002D35EA"/>
    <w:rsid w:val="002D3782"/>
    <w:rsid w:val="002D3B24"/>
    <w:rsid w:val="002D4837"/>
    <w:rsid w:val="002D48E6"/>
    <w:rsid w:val="002D5331"/>
    <w:rsid w:val="002D5B16"/>
    <w:rsid w:val="002D5BC9"/>
    <w:rsid w:val="002D5DDC"/>
    <w:rsid w:val="002D67F7"/>
    <w:rsid w:val="002D6DE0"/>
    <w:rsid w:val="002D7621"/>
    <w:rsid w:val="002D769A"/>
    <w:rsid w:val="002D7789"/>
    <w:rsid w:val="002D77B7"/>
    <w:rsid w:val="002D79D9"/>
    <w:rsid w:val="002D7CC4"/>
    <w:rsid w:val="002D7DBC"/>
    <w:rsid w:val="002E00DB"/>
    <w:rsid w:val="002E0A65"/>
    <w:rsid w:val="002E0C21"/>
    <w:rsid w:val="002E192A"/>
    <w:rsid w:val="002E2048"/>
    <w:rsid w:val="002E2471"/>
    <w:rsid w:val="002E2A52"/>
    <w:rsid w:val="002E2B84"/>
    <w:rsid w:val="002E300A"/>
    <w:rsid w:val="002E3543"/>
    <w:rsid w:val="002E3B82"/>
    <w:rsid w:val="002E3C95"/>
    <w:rsid w:val="002E40D7"/>
    <w:rsid w:val="002E4D81"/>
    <w:rsid w:val="002E4E88"/>
    <w:rsid w:val="002E5BC7"/>
    <w:rsid w:val="002E5F0D"/>
    <w:rsid w:val="002E6EE7"/>
    <w:rsid w:val="002E7655"/>
    <w:rsid w:val="002E7750"/>
    <w:rsid w:val="002E7964"/>
    <w:rsid w:val="002E79AB"/>
    <w:rsid w:val="002E7D40"/>
    <w:rsid w:val="002F0A52"/>
    <w:rsid w:val="002F0C6B"/>
    <w:rsid w:val="002F1686"/>
    <w:rsid w:val="002F1771"/>
    <w:rsid w:val="002F1CD0"/>
    <w:rsid w:val="002F1D5C"/>
    <w:rsid w:val="002F207F"/>
    <w:rsid w:val="002F23FA"/>
    <w:rsid w:val="002F249E"/>
    <w:rsid w:val="002F24AF"/>
    <w:rsid w:val="002F32ED"/>
    <w:rsid w:val="002F3799"/>
    <w:rsid w:val="002F41D5"/>
    <w:rsid w:val="002F43B6"/>
    <w:rsid w:val="002F49F9"/>
    <w:rsid w:val="002F4D5A"/>
    <w:rsid w:val="002F515D"/>
    <w:rsid w:val="002F5F68"/>
    <w:rsid w:val="002F6673"/>
    <w:rsid w:val="002F66DB"/>
    <w:rsid w:val="002F7155"/>
    <w:rsid w:val="002F7700"/>
    <w:rsid w:val="002F778A"/>
    <w:rsid w:val="002F7EB8"/>
    <w:rsid w:val="0030086D"/>
    <w:rsid w:val="00300D86"/>
    <w:rsid w:val="00300E82"/>
    <w:rsid w:val="00301655"/>
    <w:rsid w:val="003017E1"/>
    <w:rsid w:val="003021BB"/>
    <w:rsid w:val="00302F6A"/>
    <w:rsid w:val="00303061"/>
    <w:rsid w:val="00303A66"/>
    <w:rsid w:val="00303D62"/>
    <w:rsid w:val="003040C0"/>
    <w:rsid w:val="003044AD"/>
    <w:rsid w:val="00304917"/>
    <w:rsid w:val="00305040"/>
    <w:rsid w:val="00305BB3"/>
    <w:rsid w:val="00305CC7"/>
    <w:rsid w:val="00305F62"/>
    <w:rsid w:val="0030688B"/>
    <w:rsid w:val="00306AAF"/>
    <w:rsid w:val="003074FD"/>
    <w:rsid w:val="00307A2D"/>
    <w:rsid w:val="00310204"/>
    <w:rsid w:val="00310272"/>
    <w:rsid w:val="00310D86"/>
    <w:rsid w:val="00310EC5"/>
    <w:rsid w:val="00310F34"/>
    <w:rsid w:val="0031233D"/>
    <w:rsid w:val="003126B1"/>
    <w:rsid w:val="00312AF6"/>
    <w:rsid w:val="00312CB7"/>
    <w:rsid w:val="00312E68"/>
    <w:rsid w:val="0031351A"/>
    <w:rsid w:val="0031460F"/>
    <w:rsid w:val="00314C8A"/>
    <w:rsid w:val="00315595"/>
    <w:rsid w:val="00315F66"/>
    <w:rsid w:val="003161E5"/>
    <w:rsid w:val="003165D0"/>
    <w:rsid w:val="00316884"/>
    <w:rsid w:val="00316C18"/>
    <w:rsid w:val="00317071"/>
    <w:rsid w:val="003170F2"/>
    <w:rsid w:val="00317767"/>
    <w:rsid w:val="0032043F"/>
    <w:rsid w:val="003204DA"/>
    <w:rsid w:val="00320582"/>
    <w:rsid w:val="00321282"/>
    <w:rsid w:val="0032130E"/>
    <w:rsid w:val="0032187E"/>
    <w:rsid w:val="003218EA"/>
    <w:rsid w:val="00321F93"/>
    <w:rsid w:val="0032278A"/>
    <w:rsid w:val="0032279E"/>
    <w:rsid w:val="00322A25"/>
    <w:rsid w:val="00322E8B"/>
    <w:rsid w:val="0032318E"/>
    <w:rsid w:val="0032399E"/>
    <w:rsid w:val="00324067"/>
    <w:rsid w:val="003246F7"/>
    <w:rsid w:val="003248E7"/>
    <w:rsid w:val="00324925"/>
    <w:rsid w:val="00324A14"/>
    <w:rsid w:val="00325668"/>
    <w:rsid w:val="00325F1E"/>
    <w:rsid w:val="003262AB"/>
    <w:rsid w:val="0032659C"/>
    <w:rsid w:val="00327292"/>
    <w:rsid w:val="003272FD"/>
    <w:rsid w:val="0032744E"/>
    <w:rsid w:val="00327480"/>
    <w:rsid w:val="003300E1"/>
    <w:rsid w:val="003303B7"/>
    <w:rsid w:val="00330A37"/>
    <w:rsid w:val="00330A59"/>
    <w:rsid w:val="00330B81"/>
    <w:rsid w:val="00330E2F"/>
    <w:rsid w:val="003311FC"/>
    <w:rsid w:val="00331300"/>
    <w:rsid w:val="00331820"/>
    <w:rsid w:val="00333A15"/>
    <w:rsid w:val="00333A6D"/>
    <w:rsid w:val="00333F1D"/>
    <w:rsid w:val="003341BB"/>
    <w:rsid w:val="00335776"/>
    <w:rsid w:val="00336075"/>
    <w:rsid w:val="00336787"/>
    <w:rsid w:val="003371DD"/>
    <w:rsid w:val="003374B9"/>
    <w:rsid w:val="003375AB"/>
    <w:rsid w:val="00337717"/>
    <w:rsid w:val="003378B1"/>
    <w:rsid w:val="003408E2"/>
    <w:rsid w:val="00340A5B"/>
    <w:rsid w:val="00340D35"/>
    <w:rsid w:val="0034123C"/>
    <w:rsid w:val="003412BF"/>
    <w:rsid w:val="003415A2"/>
    <w:rsid w:val="0034168B"/>
    <w:rsid w:val="00341CF7"/>
    <w:rsid w:val="0034295D"/>
    <w:rsid w:val="0034312D"/>
    <w:rsid w:val="0034330F"/>
    <w:rsid w:val="00343669"/>
    <w:rsid w:val="00343C67"/>
    <w:rsid w:val="003440AE"/>
    <w:rsid w:val="0034413A"/>
    <w:rsid w:val="00344BA3"/>
    <w:rsid w:val="00344BDC"/>
    <w:rsid w:val="00344D5E"/>
    <w:rsid w:val="00345475"/>
    <w:rsid w:val="00346AE5"/>
    <w:rsid w:val="00346C56"/>
    <w:rsid w:val="00347782"/>
    <w:rsid w:val="00347D51"/>
    <w:rsid w:val="00347E11"/>
    <w:rsid w:val="00350268"/>
    <w:rsid w:val="00350594"/>
    <w:rsid w:val="00350B46"/>
    <w:rsid w:val="003518DC"/>
    <w:rsid w:val="00352012"/>
    <w:rsid w:val="00352542"/>
    <w:rsid w:val="00352668"/>
    <w:rsid w:val="00352677"/>
    <w:rsid w:val="0035326A"/>
    <w:rsid w:val="0035327A"/>
    <w:rsid w:val="003534CB"/>
    <w:rsid w:val="00353803"/>
    <w:rsid w:val="00353C29"/>
    <w:rsid w:val="00353D69"/>
    <w:rsid w:val="00353FC5"/>
    <w:rsid w:val="003541B5"/>
    <w:rsid w:val="003542FC"/>
    <w:rsid w:val="00354407"/>
    <w:rsid w:val="00354730"/>
    <w:rsid w:val="003555CF"/>
    <w:rsid w:val="00355B59"/>
    <w:rsid w:val="0035620E"/>
    <w:rsid w:val="003562FE"/>
    <w:rsid w:val="003564B6"/>
    <w:rsid w:val="0035669E"/>
    <w:rsid w:val="003574FA"/>
    <w:rsid w:val="00357C05"/>
    <w:rsid w:val="00357DE5"/>
    <w:rsid w:val="00360354"/>
    <w:rsid w:val="0036071E"/>
    <w:rsid w:val="00360FEF"/>
    <w:rsid w:val="00362D66"/>
    <w:rsid w:val="00363B12"/>
    <w:rsid w:val="003640DD"/>
    <w:rsid w:val="0036423C"/>
    <w:rsid w:val="003648BB"/>
    <w:rsid w:val="00364D59"/>
    <w:rsid w:val="003654BE"/>
    <w:rsid w:val="003654DD"/>
    <w:rsid w:val="00365B9B"/>
    <w:rsid w:val="00365D2E"/>
    <w:rsid w:val="00365DBB"/>
    <w:rsid w:val="00365DF5"/>
    <w:rsid w:val="003668A0"/>
    <w:rsid w:val="0036695E"/>
    <w:rsid w:val="00366EE1"/>
    <w:rsid w:val="003673E6"/>
    <w:rsid w:val="003675F0"/>
    <w:rsid w:val="003678EA"/>
    <w:rsid w:val="00367A90"/>
    <w:rsid w:val="003703EC"/>
    <w:rsid w:val="003704FE"/>
    <w:rsid w:val="00370668"/>
    <w:rsid w:val="00370963"/>
    <w:rsid w:val="00371009"/>
    <w:rsid w:val="00371252"/>
    <w:rsid w:val="0037191D"/>
    <w:rsid w:val="00371AED"/>
    <w:rsid w:val="00371BC4"/>
    <w:rsid w:val="00371EEB"/>
    <w:rsid w:val="003722E8"/>
    <w:rsid w:val="00372733"/>
    <w:rsid w:val="0037280D"/>
    <w:rsid w:val="003728E1"/>
    <w:rsid w:val="00372C4C"/>
    <w:rsid w:val="0037300F"/>
    <w:rsid w:val="00373B9D"/>
    <w:rsid w:val="0037445B"/>
    <w:rsid w:val="003745D0"/>
    <w:rsid w:val="0037468A"/>
    <w:rsid w:val="00375613"/>
    <w:rsid w:val="0037570A"/>
    <w:rsid w:val="00375B8A"/>
    <w:rsid w:val="00375E04"/>
    <w:rsid w:val="0037642E"/>
    <w:rsid w:val="00376AF3"/>
    <w:rsid w:val="00377D45"/>
    <w:rsid w:val="003801DC"/>
    <w:rsid w:val="00380E15"/>
    <w:rsid w:val="00380F51"/>
    <w:rsid w:val="00381993"/>
    <w:rsid w:val="00381AC4"/>
    <w:rsid w:val="00381B3A"/>
    <w:rsid w:val="00381F75"/>
    <w:rsid w:val="0038248C"/>
    <w:rsid w:val="00382D1F"/>
    <w:rsid w:val="003832B6"/>
    <w:rsid w:val="00383E24"/>
    <w:rsid w:val="003840B7"/>
    <w:rsid w:val="00384837"/>
    <w:rsid w:val="0038549F"/>
    <w:rsid w:val="003856C6"/>
    <w:rsid w:val="0038576D"/>
    <w:rsid w:val="00385BDE"/>
    <w:rsid w:val="00385E50"/>
    <w:rsid w:val="0038685F"/>
    <w:rsid w:val="00386B43"/>
    <w:rsid w:val="00386CBA"/>
    <w:rsid w:val="00386FC4"/>
    <w:rsid w:val="0038728C"/>
    <w:rsid w:val="00387677"/>
    <w:rsid w:val="00387F7C"/>
    <w:rsid w:val="00391901"/>
    <w:rsid w:val="00391AC1"/>
    <w:rsid w:val="00391B2B"/>
    <w:rsid w:val="00391B84"/>
    <w:rsid w:val="00391E1C"/>
    <w:rsid w:val="003923E6"/>
    <w:rsid w:val="003929A4"/>
    <w:rsid w:val="00393FE9"/>
    <w:rsid w:val="0039476B"/>
    <w:rsid w:val="003949BE"/>
    <w:rsid w:val="00394B29"/>
    <w:rsid w:val="00394E45"/>
    <w:rsid w:val="00395205"/>
    <w:rsid w:val="00396113"/>
    <w:rsid w:val="0039627D"/>
    <w:rsid w:val="00396980"/>
    <w:rsid w:val="003969C2"/>
    <w:rsid w:val="00396F26"/>
    <w:rsid w:val="00396FF4"/>
    <w:rsid w:val="003970B3"/>
    <w:rsid w:val="003973FD"/>
    <w:rsid w:val="00397413"/>
    <w:rsid w:val="003976E4"/>
    <w:rsid w:val="0039772B"/>
    <w:rsid w:val="003977F5"/>
    <w:rsid w:val="00397E21"/>
    <w:rsid w:val="00397FDC"/>
    <w:rsid w:val="003A04AE"/>
    <w:rsid w:val="003A0667"/>
    <w:rsid w:val="003A0EA6"/>
    <w:rsid w:val="003A1719"/>
    <w:rsid w:val="003A19D6"/>
    <w:rsid w:val="003A2CEE"/>
    <w:rsid w:val="003A2D4E"/>
    <w:rsid w:val="003A314E"/>
    <w:rsid w:val="003A3717"/>
    <w:rsid w:val="003A393F"/>
    <w:rsid w:val="003A3999"/>
    <w:rsid w:val="003A4462"/>
    <w:rsid w:val="003A4497"/>
    <w:rsid w:val="003A4663"/>
    <w:rsid w:val="003A4BFF"/>
    <w:rsid w:val="003A4F4E"/>
    <w:rsid w:val="003A5CFA"/>
    <w:rsid w:val="003A5D90"/>
    <w:rsid w:val="003A6084"/>
    <w:rsid w:val="003A62DA"/>
    <w:rsid w:val="003A6366"/>
    <w:rsid w:val="003A7A69"/>
    <w:rsid w:val="003A7B14"/>
    <w:rsid w:val="003A7B7B"/>
    <w:rsid w:val="003A7D2A"/>
    <w:rsid w:val="003A7D38"/>
    <w:rsid w:val="003A7ED5"/>
    <w:rsid w:val="003B08CD"/>
    <w:rsid w:val="003B0C92"/>
    <w:rsid w:val="003B0F13"/>
    <w:rsid w:val="003B0F7B"/>
    <w:rsid w:val="003B13E9"/>
    <w:rsid w:val="003B14FD"/>
    <w:rsid w:val="003B16D4"/>
    <w:rsid w:val="003B1BB7"/>
    <w:rsid w:val="003B2427"/>
    <w:rsid w:val="003B28A8"/>
    <w:rsid w:val="003B2D7D"/>
    <w:rsid w:val="003B3E12"/>
    <w:rsid w:val="003B4696"/>
    <w:rsid w:val="003B4859"/>
    <w:rsid w:val="003B4E65"/>
    <w:rsid w:val="003B4EB6"/>
    <w:rsid w:val="003B5177"/>
    <w:rsid w:val="003B5200"/>
    <w:rsid w:val="003B53E7"/>
    <w:rsid w:val="003B5482"/>
    <w:rsid w:val="003B5663"/>
    <w:rsid w:val="003B59DC"/>
    <w:rsid w:val="003B6031"/>
    <w:rsid w:val="003B6178"/>
    <w:rsid w:val="003B6E81"/>
    <w:rsid w:val="003B7661"/>
    <w:rsid w:val="003B7E05"/>
    <w:rsid w:val="003C0456"/>
    <w:rsid w:val="003C052A"/>
    <w:rsid w:val="003C0AE9"/>
    <w:rsid w:val="003C131E"/>
    <w:rsid w:val="003C166B"/>
    <w:rsid w:val="003C19A5"/>
    <w:rsid w:val="003C1C85"/>
    <w:rsid w:val="003C1F69"/>
    <w:rsid w:val="003C2010"/>
    <w:rsid w:val="003C2323"/>
    <w:rsid w:val="003C2BA9"/>
    <w:rsid w:val="003C2C59"/>
    <w:rsid w:val="003C3A2A"/>
    <w:rsid w:val="003C3CC7"/>
    <w:rsid w:val="003C3E7F"/>
    <w:rsid w:val="003C4482"/>
    <w:rsid w:val="003C504B"/>
    <w:rsid w:val="003C5260"/>
    <w:rsid w:val="003C5936"/>
    <w:rsid w:val="003C612F"/>
    <w:rsid w:val="003C6468"/>
    <w:rsid w:val="003C676E"/>
    <w:rsid w:val="003D0AF6"/>
    <w:rsid w:val="003D0BFD"/>
    <w:rsid w:val="003D115F"/>
    <w:rsid w:val="003D11D9"/>
    <w:rsid w:val="003D1E5A"/>
    <w:rsid w:val="003D1F71"/>
    <w:rsid w:val="003D2939"/>
    <w:rsid w:val="003D3990"/>
    <w:rsid w:val="003D3C6E"/>
    <w:rsid w:val="003D3FA7"/>
    <w:rsid w:val="003D42CB"/>
    <w:rsid w:val="003D43E2"/>
    <w:rsid w:val="003D4B62"/>
    <w:rsid w:val="003D4E9A"/>
    <w:rsid w:val="003D51F4"/>
    <w:rsid w:val="003D5345"/>
    <w:rsid w:val="003D5811"/>
    <w:rsid w:val="003D58C5"/>
    <w:rsid w:val="003D6316"/>
    <w:rsid w:val="003D6638"/>
    <w:rsid w:val="003D7786"/>
    <w:rsid w:val="003D7FC4"/>
    <w:rsid w:val="003E0354"/>
    <w:rsid w:val="003E08DC"/>
    <w:rsid w:val="003E10A8"/>
    <w:rsid w:val="003E127A"/>
    <w:rsid w:val="003E184A"/>
    <w:rsid w:val="003E1887"/>
    <w:rsid w:val="003E18C9"/>
    <w:rsid w:val="003E19E2"/>
    <w:rsid w:val="003E1EF3"/>
    <w:rsid w:val="003E2538"/>
    <w:rsid w:val="003E2784"/>
    <w:rsid w:val="003E278F"/>
    <w:rsid w:val="003E2E55"/>
    <w:rsid w:val="003E2F58"/>
    <w:rsid w:val="003E311C"/>
    <w:rsid w:val="003E3A5D"/>
    <w:rsid w:val="003E4296"/>
    <w:rsid w:val="003E43C8"/>
    <w:rsid w:val="003E4B5F"/>
    <w:rsid w:val="003E530F"/>
    <w:rsid w:val="003E5A33"/>
    <w:rsid w:val="003E65FD"/>
    <w:rsid w:val="003E69CF"/>
    <w:rsid w:val="003E6DA0"/>
    <w:rsid w:val="003E72DA"/>
    <w:rsid w:val="003E7C3C"/>
    <w:rsid w:val="003F031C"/>
    <w:rsid w:val="003F0EED"/>
    <w:rsid w:val="003F0FBA"/>
    <w:rsid w:val="003F1622"/>
    <w:rsid w:val="003F1AA3"/>
    <w:rsid w:val="003F25EF"/>
    <w:rsid w:val="003F2A3E"/>
    <w:rsid w:val="003F3277"/>
    <w:rsid w:val="003F33C5"/>
    <w:rsid w:val="003F3EC5"/>
    <w:rsid w:val="003F49D2"/>
    <w:rsid w:val="003F4C79"/>
    <w:rsid w:val="003F4E06"/>
    <w:rsid w:val="003F4FD7"/>
    <w:rsid w:val="003F58F4"/>
    <w:rsid w:val="003F5990"/>
    <w:rsid w:val="003F5E3F"/>
    <w:rsid w:val="003F6152"/>
    <w:rsid w:val="003F67CB"/>
    <w:rsid w:val="003F759C"/>
    <w:rsid w:val="00400688"/>
    <w:rsid w:val="00401318"/>
    <w:rsid w:val="004018B0"/>
    <w:rsid w:val="00401CD0"/>
    <w:rsid w:val="00402608"/>
    <w:rsid w:val="00403542"/>
    <w:rsid w:val="004036AC"/>
    <w:rsid w:val="00403A15"/>
    <w:rsid w:val="00403AD6"/>
    <w:rsid w:val="004042E5"/>
    <w:rsid w:val="00405461"/>
    <w:rsid w:val="00405477"/>
    <w:rsid w:val="0040566B"/>
    <w:rsid w:val="004058B9"/>
    <w:rsid w:val="004067F1"/>
    <w:rsid w:val="0040689D"/>
    <w:rsid w:val="00406C91"/>
    <w:rsid w:val="00407363"/>
    <w:rsid w:val="00410441"/>
    <w:rsid w:val="0041074C"/>
    <w:rsid w:val="0041078F"/>
    <w:rsid w:val="00410B78"/>
    <w:rsid w:val="0041102C"/>
    <w:rsid w:val="00411154"/>
    <w:rsid w:val="00411D31"/>
    <w:rsid w:val="00412BDE"/>
    <w:rsid w:val="0041398B"/>
    <w:rsid w:val="004146E5"/>
    <w:rsid w:val="00414828"/>
    <w:rsid w:val="00414D14"/>
    <w:rsid w:val="00414DE0"/>
    <w:rsid w:val="004150FE"/>
    <w:rsid w:val="004158A0"/>
    <w:rsid w:val="00415D69"/>
    <w:rsid w:val="00415DEC"/>
    <w:rsid w:val="00415FAD"/>
    <w:rsid w:val="0041600F"/>
    <w:rsid w:val="0041619C"/>
    <w:rsid w:val="0041747C"/>
    <w:rsid w:val="00417701"/>
    <w:rsid w:val="00417A0E"/>
    <w:rsid w:val="00417C68"/>
    <w:rsid w:val="00417D7A"/>
    <w:rsid w:val="004203AA"/>
    <w:rsid w:val="00420948"/>
    <w:rsid w:val="00420BA6"/>
    <w:rsid w:val="00420E13"/>
    <w:rsid w:val="0042121D"/>
    <w:rsid w:val="0042181C"/>
    <w:rsid w:val="004219E8"/>
    <w:rsid w:val="00421FAA"/>
    <w:rsid w:val="00422508"/>
    <w:rsid w:val="0042267A"/>
    <w:rsid w:val="00422BE1"/>
    <w:rsid w:val="00422C59"/>
    <w:rsid w:val="00422CFC"/>
    <w:rsid w:val="00423E35"/>
    <w:rsid w:val="0042412E"/>
    <w:rsid w:val="0042472D"/>
    <w:rsid w:val="0042505E"/>
    <w:rsid w:val="00425115"/>
    <w:rsid w:val="004257A7"/>
    <w:rsid w:val="00425A22"/>
    <w:rsid w:val="00425EF9"/>
    <w:rsid w:val="00426396"/>
    <w:rsid w:val="0042663A"/>
    <w:rsid w:val="0043009A"/>
    <w:rsid w:val="004303BB"/>
    <w:rsid w:val="004305C5"/>
    <w:rsid w:val="00430C05"/>
    <w:rsid w:val="0043115F"/>
    <w:rsid w:val="004318F9"/>
    <w:rsid w:val="00431BB8"/>
    <w:rsid w:val="004327A9"/>
    <w:rsid w:val="004329E5"/>
    <w:rsid w:val="00432B9E"/>
    <w:rsid w:val="00432F84"/>
    <w:rsid w:val="0043362A"/>
    <w:rsid w:val="00434374"/>
    <w:rsid w:val="00434E4F"/>
    <w:rsid w:val="00435197"/>
    <w:rsid w:val="0043557B"/>
    <w:rsid w:val="0043561C"/>
    <w:rsid w:val="0043678E"/>
    <w:rsid w:val="0043699B"/>
    <w:rsid w:val="00436DF9"/>
    <w:rsid w:val="00437005"/>
    <w:rsid w:val="00437B57"/>
    <w:rsid w:val="00440068"/>
    <w:rsid w:val="004410BC"/>
    <w:rsid w:val="00441164"/>
    <w:rsid w:val="004414D3"/>
    <w:rsid w:val="00441A6C"/>
    <w:rsid w:val="004420F9"/>
    <w:rsid w:val="004422EC"/>
    <w:rsid w:val="0044249D"/>
    <w:rsid w:val="004426AD"/>
    <w:rsid w:val="004435D7"/>
    <w:rsid w:val="0044410A"/>
    <w:rsid w:val="00444188"/>
    <w:rsid w:val="00444473"/>
    <w:rsid w:val="0044482D"/>
    <w:rsid w:val="00444927"/>
    <w:rsid w:val="004449A6"/>
    <w:rsid w:val="00444FEA"/>
    <w:rsid w:val="0044536C"/>
    <w:rsid w:val="004458AB"/>
    <w:rsid w:val="00445C9F"/>
    <w:rsid w:val="00445F4E"/>
    <w:rsid w:val="0044672C"/>
    <w:rsid w:val="00446D64"/>
    <w:rsid w:val="004503A1"/>
    <w:rsid w:val="00450674"/>
    <w:rsid w:val="0045197A"/>
    <w:rsid w:val="0045201A"/>
    <w:rsid w:val="00453DB3"/>
    <w:rsid w:val="00453DC1"/>
    <w:rsid w:val="00454B8F"/>
    <w:rsid w:val="00454C05"/>
    <w:rsid w:val="00454C20"/>
    <w:rsid w:val="0045546F"/>
    <w:rsid w:val="004558FA"/>
    <w:rsid w:val="00455CAE"/>
    <w:rsid w:val="00455E9B"/>
    <w:rsid w:val="00456D15"/>
    <w:rsid w:val="004578E3"/>
    <w:rsid w:val="00457CF5"/>
    <w:rsid w:val="004602D4"/>
    <w:rsid w:val="0046031D"/>
    <w:rsid w:val="004608BA"/>
    <w:rsid w:val="00460A4B"/>
    <w:rsid w:val="00460AA8"/>
    <w:rsid w:val="00461252"/>
    <w:rsid w:val="0046159B"/>
    <w:rsid w:val="00461A7C"/>
    <w:rsid w:val="00461A84"/>
    <w:rsid w:val="00461E66"/>
    <w:rsid w:val="00462286"/>
    <w:rsid w:val="00462D87"/>
    <w:rsid w:val="00462D95"/>
    <w:rsid w:val="00462F25"/>
    <w:rsid w:val="004631A1"/>
    <w:rsid w:val="0046330C"/>
    <w:rsid w:val="00463393"/>
    <w:rsid w:val="00463717"/>
    <w:rsid w:val="00463754"/>
    <w:rsid w:val="004637CD"/>
    <w:rsid w:val="00463EC9"/>
    <w:rsid w:val="004653AD"/>
    <w:rsid w:val="00465498"/>
    <w:rsid w:val="00465A3C"/>
    <w:rsid w:val="00465A7C"/>
    <w:rsid w:val="00465F55"/>
    <w:rsid w:val="00466093"/>
    <w:rsid w:val="0046615C"/>
    <w:rsid w:val="0046635D"/>
    <w:rsid w:val="004666B2"/>
    <w:rsid w:val="00466742"/>
    <w:rsid w:val="00466A2E"/>
    <w:rsid w:val="00466AE4"/>
    <w:rsid w:val="00467370"/>
    <w:rsid w:val="0046756D"/>
    <w:rsid w:val="0046757C"/>
    <w:rsid w:val="00467B68"/>
    <w:rsid w:val="00467D8B"/>
    <w:rsid w:val="0047122D"/>
    <w:rsid w:val="00471361"/>
    <w:rsid w:val="00471A12"/>
    <w:rsid w:val="00472834"/>
    <w:rsid w:val="00472ADA"/>
    <w:rsid w:val="00472AF9"/>
    <w:rsid w:val="00472CA4"/>
    <w:rsid w:val="00472E87"/>
    <w:rsid w:val="004738E8"/>
    <w:rsid w:val="00474322"/>
    <w:rsid w:val="0047443D"/>
    <w:rsid w:val="00474620"/>
    <w:rsid w:val="004746A9"/>
    <w:rsid w:val="004746DA"/>
    <w:rsid w:val="00474A03"/>
    <w:rsid w:val="0047548C"/>
    <w:rsid w:val="004754C9"/>
    <w:rsid w:val="00476446"/>
    <w:rsid w:val="00476D81"/>
    <w:rsid w:val="0047762B"/>
    <w:rsid w:val="004779AB"/>
    <w:rsid w:val="00477B96"/>
    <w:rsid w:val="00477C52"/>
    <w:rsid w:val="00477CA1"/>
    <w:rsid w:val="00477FA2"/>
    <w:rsid w:val="004801BA"/>
    <w:rsid w:val="0048028B"/>
    <w:rsid w:val="00480316"/>
    <w:rsid w:val="00480D77"/>
    <w:rsid w:val="00481382"/>
    <w:rsid w:val="00481C87"/>
    <w:rsid w:val="004828B4"/>
    <w:rsid w:val="00482F94"/>
    <w:rsid w:val="00483314"/>
    <w:rsid w:val="004836CB"/>
    <w:rsid w:val="004840B7"/>
    <w:rsid w:val="00485352"/>
    <w:rsid w:val="0048639E"/>
    <w:rsid w:val="00486EA4"/>
    <w:rsid w:val="00486FCB"/>
    <w:rsid w:val="004876C2"/>
    <w:rsid w:val="004878B6"/>
    <w:rsid w:val="00487B62"/>
    <w:rsid w:val="00487C76"/>
    <w:rsid w:val="00487F1E"/>
    <w:rsid w:val="004902C0"/>
    <w:rsid w:val="00490831"/>
    <w:rsid w:val="00491095"/>
    <w:rsid w:val="004918B1"/>
    <w:rsid w:val="00491C5E"/>
    <w:rsid w:val="0049269C"/>
    <w:rsid w:val="00492B8D"/>
    <w:rsid w:val="00492C56"/>
    <w:rsid w:val="00492F1A"/>
    <w:rsid w:val="0049304E"/>
    <w:rsid w:val="00493782"/>
    <w:rsid w:val="004939A6"/>
    <w:rsid w:val="00493CF5"/>
    <w:rsid w:val="00493E2D"/>
    <w:rsid w:val="00494B2E"/>
    <w:rsid w:val="004952A2"/>
    <w:rsid w:val="0049590C"/>
    <w:rsid w:val="00495D9A"/>
    <w:rsid w:val="004966E0"/>
    <w:rsid w:val="00496FD6"/>
    <w:rsid w:val="0049793F"/>
    <w:rsid w:val="004A05C8"/>
    <w:rsid w:val="004A0ECC"/>
    <w:rsid w:val="004A1163"/>
    <w:rsid w:val="004A1246"/>
    <w:rsid w:val="004A17FA"/>
    <w:rsid w:val="004A1932"/>
    <w:rsid w:val="004A1DAD"/>
    <w:rsid w:val="004A25D9"/>
    <w:rsid w:val="004A270B"/>
    <w:rsid w:val="004A29C7"/>
    <w:rsid w:val="004A2CD5"/>
    <w:rsid w:val="004A321F"/>
    <w:rsid w:val="004A3429"/>
    <w:rsid w:val="004A3A41"/>
    <w:rsid w:val="004A3F18"/>
    <w:rsid w:val="004A45FD"/>
    <w:rsid w:val="004A471D"/>
    <w:rsid w:val="004A493E"/>
    <w:rsid w:val="004A4D06"/>
    <w:rsid w:val="004A4FC8"/>
    <w:rsid w:val="004A5232"/>
    <w:rsid w:val="004A55BE"/>
    <w:rsid w:val="004A664D"/>
    <w:rsid w:val="004A6825"/>
    <w:rsid w:val="004A723F"/>
    <w:rsid w:val="004A76F0"/>
    <w:rsid w:val="004A7922"/>
    <w:rsid w:val="004B0A5F"/>
    <w:rsid w:val="004B11AD"/>
    <w:rsid w:val="004B140D"/>
    <w:rsid w:val="004B15CE"/>
    <w:rsid w:val="004B20E2"/>
    <w:rsid w:val="004B2630"/>
    <w:rsid w:val="004B2918"/>
    <w:rsid w:val="004B4A60"/>
    <w:rsid w:val="004B51A3"/>
    <w:rsid w:val="004B534E"/>
    <w:rsid w:val="004B5551"/>
    <w:rsid w:val="004B59CB"/>
    <w:rsid w:val="004B64D4"/>
    <w:rsid w:val="004B6901"/>
    <w:rsid w:val="004B6F05"/>
    <w:rsid w:val="004B702B"/>
    <w:rsid w:val="004B768B"/>
    <w:rsid w:val="004B7AD9"/>
    <w:rsid w:val="004C0244"/>
    <w:rsid w:val="004C0712"/>
    <w:rsid w:val="004C0F0D"/>
    <w:rsid w:val="004C142D"/>
    <w:rsid w:val="004C175A"/>
    <w:rsid w:val="004C1838"/>
    <w:rsid w:val="004C19D2"/>
    <w:rsid w:val="004C1AA7"/>
    <w:rsid w:val="004C1CE3"/>
    <w:rsid w:val="004C2C95"/>
    <w:rsid w:val="004C3FD7"/>
    <w:rsid w:val="004C4648"/>
    <w:rsid w:val="004C48E5"/>
    <w:rsid w:val="004C4971"/>
    <w:rsid w:val="004C5AA1"/>
    <w:rsid w:val="004C5BBD"/>
    <w:rsid w:val="004C5D10"/>
    <w:rsid w:val="004C600D"/>
    <w:rsid w:val="004C6374"/>
    <w:rsid w:val="004C64D0"/>
    <w:rsid w:val="004C6641"/>
    <w:rsid w:val="004C683A"/>
    <w:rsid w:val="004C6B4F"/>
    <w:rsid w:val="004C6D63"/>
    <w:rsid w:val="004C6DF5"/>
    <w:rsid w:val="004C79D9"/>
    <w:rsid w:val="004D0EBA"/>
    <w:rsid w:val="004D14E1"/>
    <w:rsid w:val="004D199D"/>
    <w:rsid w:val="004D1E35"/>
    <w:rsid w:val="004D21E5"/>
    <w:rsid w:val="004D2237"/>
    <w:rsid w:val="004D259F"/>
    <w:rsid w:val="004D25E2"/>
    <w:rsid w:val="004D26A0"/>
    <w:rsid w:val="004D3A17"/>
    <w:rsid w:val="004D3E36"/>
    <w:rsid w:val="004D4588"/>
    <w:rsid w:val="004D4AC2"/>
    <w:rsid w:val="004D5038"/>
    <w:rsid w:val="004D50DC"/>
    <w:rsid w:val="004D51D4"/>
    <w:rsid w:val="004D5D9E"/>
    <w:rsid w:val="004D5EBD"/>
    <w:rsid w:val="004D5FA2"/>
    <w:rsid w:val="004D6314"/>
    <w:rsid w:val="004D68BE"/>
    <w:rsid w:val="004D68ED"/>
    <w:rsid w:val="004D6A67"/>
    <w:rsid w:val="004D7312"/>
    <w:rsid w:val="004D7420"/>
    <w:rsid w:val="004E054D"/>
    <w:rsid w:val="004E06B0"/>
    <w:rsid w:val="004E07DA"/>
    <w:rsid w:val="004E1454"/>
    <w:rsid w:val="004E2459"/>
    <w:rsid w:val="004E26C8"/>
    <w:rsid w:val="004E2921"/>
    <w:rsid w:val="004E2BC5"/>
    <w:rsid w:val="004E305F"/>
    <w:rsid w:val="004E3834"/>
    <w:rsid w:val="004E3C85"/>
    <w:rsid w:val="004E3FB6"/>
    <w:rsid w:val="004E41AF"/>
    <w:rsid w:val="004E4277"/>
    <w:rsid w:val="004E46EE"/>
    <w:rsid w:val="004E4F95"/>
    <w:rsid w:val="004E53FC"/>
    <w:rsid w:val="004E578F"/>
    <w:rsid w:val="004E5CB9"/>
    <w:rsid w:val="004E5CF5"/>
    <w:rsid w:val="004E650B"/>
    <w:rsid w:val="004E6BC9"/>
    <w:rsid w:val="004E6CBA"/>
    <w:rsid w:val="004E73E8"/>
    <w:rsid w:val="004E7540"/>
    <w:rsid w:val="004E7FC0"/>
    <w:rsid w:val="004F0148"/>
    <w:rsid w:val="004F04C9"/>
    <w:rsid w:val="004F0564"/>
    <w:rsid w:val="004F056A"/>
    <w:rsid w:val="004F05B8"/>
    <w:rsid w:val="004F0DF9"/>
    <w:rsid w:val="004F1A7E"/>
    <w:rsid w:val="004F2715"/>
    <w:rsid w:val="004F2F35"/>
    <w:rsid w:val="004F34AC"/>
    <w:rsid w:val="004F3BE6"/>
    <w:rsid w:val="004F3D20"/>
    <w:rsid w:val="004F40AD"/>
    <w:rsid w:val="004F41C8"/>
    <w:rsid w:val="004F4978"/>
    <w:rsid w:val="004F4F47"/>
    <w:rsid w:val="004F56ED"/>
    <w:rsid w:val="004F588D"/>
    <w:rsid w:val="004F5D56"/>
    <w:rsid w:val="004F5FA0"/>
    <w:rsid w:val="004F6045"/>
    <w:rsid w:val="004F6147"/>
    <w:rsid w:val="004F614F"/>
    <w:rsid w:val="004F6782"/>
    <w:rsid w:val="004F69FE"/>
    <w:rsid w:val="004F6ED6"/>
    <w:rsid w:val="004F6EE4"/>
    <w:rsid w:val="004F752A"/>
    <w:rsid w:val="004F781C"/>
    <w:rsid w:val="004F7918"/>
    <w:rsid w:val="004F7F31"/>
    <w:rsid w:val="0050098F"/>
    <w:rsid w:val="00500CC6"/>
    <w:rsid w:val="00502190"/>
    <w:rsid w:val="005034E2"/>
    <w:rsid w:val="00503797"/>
    <w:rsid w:val="005038CB"/>
    <w:rsid w:val="0050398F"/>
    <w:rsid w:val="005039EE"/>
    <w:rsid w:val="00503F6D"/>
    <w:rsid w:val="00504CF2"/>
    <w:rsid w:val="00505B35"/>
    <w:rsid w:val="0050634D"/>
    <w:rsid w:val="00506441"/>
    <w:rsid w:val="005067EB"/>
    <w:rsid w:val="00506B64"/>
    <w:rsid w:val="00510431"/>
    <w:rsid w:val="005106A0"/>
    <w:rsid w:val="00510A77"/>
    <w:rsid w:val="00510B78"/>
    <w:rsid w:val="005111E1"/>
    <w:rsid w:val="00511586"/>
    <w:rsid w:val="0051227C"/>
    <w:rsid w:val="0051254F"/>
    <w:rsid w:val="005129F7"/>
    <w:rsid w:val="005130A1"/>
    <w:rsid w:val="005133C9"/>
    <w:rsid w:val="00513E25"/>
    <w:rsid w:val="0051430B"/>
    <w:rsid w:val="005144B5"/>
    <w:rsid w:val="00514710"/>
    <w:rsid w:val="0051524A"/>
    <w:rsid w:val="0051601C"/>
    <w:rsid w:val="005162F1"/>
    <w:rsid w:val="00516603"/>
    <w:rsid w:val="0051788F"/>
    <w:rsid w:val="0052095A"/>
    <w:rsid w:val="00520E0A"/>
    <w:rsid w:val="0052125B"/>
    <w:rsid w:val="00521565"/>
    <w:rsid w:val="005219BF"/>
    <w:rsid w:val="005221B4"/>
    <w:rsid w:val="005224A4"/>
    <w:rsid w:val="00522B66"/>
    <w:rsid w:val="00523055"/>
    <w:rsid w:val="005234BC"/>
    <w:rsid w:val="00523D53"/>
    <w:rsid w:val="00523D66"/>
    <w:rsid w:val="00523F12"/>
    <w:rsid w:val="00523FCF"/>
    <w:rsid w:val="0052446A"/>
    <w:rsid w:val="00524490"/>
    <w:rsid w:val="00525285"/>
    <w:rsid w:val="0052553B"/>
    <w:rsid w:val="00525A6A"/>
    <w:rsid w:val="00525BBB"/>
    <w:rsid w:val="00526118"/>
    <w:rsid w:val="005263EB"/>
    <w:rsid w:val="0052699C"/>
    <w:rsid w:val="00526CF2"/>
    <w:rsid w:val="0052700A"/>
    <w:rsid w:val="005275E5"/>
    <w:rsid w:val="00527868"/>
    <w:rsid w:val="00527A5E"/>
    <w:rsid w:val="00527BA9"/>
    <w:rsid w:val="00530166"/>
    <w:rsid w:val="00530771"/>
    <w:rsid w:val="00530783"/>
    <w:rsid w:val="00530833"/>
    <w:rsid w:val="00530DE9"/>
    <w:rsid w:val="00530EBF"/>
    <w:rsid w:val="00531469"/>
    <w:rsid w:val="005320EA"/>
    <w:rsid w:val="0053578C"/>
    <w:rsid w:val="00535955"/>
    <w:rsid w:val="0053625D"/>
    <w:rsid w:val="00536F59"/>
    <w:rsid w:val="00537507"/>
    <w:rsid w:val="00537A32"/>
    <w:rsid w:val="0054077E"/>
    <w:rsid w:val="00540889"/>
    <w:rsid w:val="00540997"/>
    <w:rsid w:val="005412F3"/>
    <w:rsid w:val="00541413"/>
    <w:rsid w:val="005414EF"/>
    <w:rsid w:val="00542366"/>
    <w:rsid w:val="005424AA"/>
    <w:rsid w:val="005425AD"/>
    <w:rsid w:val="00542A02"/>
    <w:rsid w:val="005431F0"/>
    <w:rsid w:val="005431FC"/>
    <w:rsid w:val="00544329"/>
    <w:rsid w:val="00544453"/>
    <w:rsid w:val="005446AA"/>
    <w:rsid w:val="005448CD"/>
    <w:rsid w:val="00545440"/>
    <w:rsid w:val="0054766B"/>
    <w:rsid w:val="005501CE"/>
    <w:rsid w:val="00550AA6"/>
    <w:rsid w:val="005516BD"/>
    <w:rsid w:val="0055172A"/>
    <w:rsid w:val="00552833"/>
    <w:rsid w:val="00552F06"/>
    <w:rsid w:val="005530E3"/>
    <w:rsid w:val="00553457"/>
    <w:rsid w:val="005539EC"/>
    <w:rsid w:val="00553A0B"/>
    <w:rsid w:val="00554329"/>
    <w:rsid w:val="00554607"/>
    <w:rsid w:val="00554627"/>
    <w:rsid w:val="005547FF"/>
    <w:rsid w:val="00555E12"/>
    <w:rsid w:val="005563C9"/>
    <w:rsid w:val="005566AA"/>
    <w:rsid w:val="00556B93"/>
    <w:rsid w:val="0055711B"/>
    <w:rsid w:val="0055738E"/>
    <w:rsid w:val="005574F9"/>
    <w:rsid w:val="00560031"/>
    <w:rsid w:val="00560404"/>
    <w:rsid w:val="00560624"/>
    <w:rsid w:val="00560881"/>
    <w:rsid w:val="00560C38"/>
    <w:rsid w:val="00560D2B"/>
    <w:rsid w:val="00560DE2"/>
    <w:rsid w:val="00560FAC"/>
    <w:rsid w:val="005611B9"/>
    <w:rsid w:val="005612D4"/>
    <w:rsid w:val="005613A3"/>
    <w:rsid w:val="005613A7"/>
    <w:rsid w:val="00561975"/>
    <w:rsid w:val="005619B7"/>
    <w:rsid w:val="00561C1C"/>
    <w:rsid w:val="00561CCE"/>
    <w:rsid w:val="00561D3C"/>
    <w:rsid w:val="00562E3D"/>
    <w:rsid w:val="005634BA"/>
    <w:rsid w:val="00563ADB"/>
    <w:rsid w:val="00563F75"/>
    <w:rsid w:val="005640EB"/>
    <w:rsid w:val="00564600"/>
    <w:rsid w:val="0056495D"/>
    <w:rsid w:val="00564EB4"/>
    <w:rsid w:val="005651DE"/>
    <w:rsid w:val="00565514"/>
    <w:rsid w:val="0056557A"/>
    <w:rsid w:val="00565FCB"/>
    <w:rsid w:val="00566845"/>
    <w:rsid w:val="00566A6C"/>
    <w:rsid w:val="00566F82"/>
    <w:rsid w:val="00567B69"/>
    <w:rsid w:val="0057013D"/>
    <w:rsid w:val="00570584"/>
    <w:rsid w:val="0057094E"/>
    <w:rsid w:val="00570A00"/>
    <w:rsid w:val="005712D6"/>
    <w:rsid w:val="00571812"/>
    <w:rsid w:val="00571DCD"/>
    <w:rsid w:val="0057218C"/>
    <w:rsid w:val="005723F9"/>
    <w:rsid w:val="00572C81"/>
    <w:rsid w:val="00572E70"/>
    <w:rsid w:val="00572EB6"/>
    <w:rsid w:val="00573369"/>
    <w:rsid w:val="005737C9"/>
    <w:rsid w:val="00573C20"/>
    <w:rsid w:val="00574098"/>
    <w:rsid w:val="0057418A"/>
    <w:rsid w:val="00574923"/>
    <w:rsid w:val="00574D59"/>
    <w:rsid w:val="0057535A"/>
    <w:rsid w:val="00575AE4"/>
    <w:rsid w:val="00575C24"/>
    <w:rsid w:val="00576226"/>
    <w:rsid w:val="005762EA"/>
    <w:rsid w:val="005767AE"/>
    <w:rsid w:val="00576933"/>
    <w:rsid w:val="005773EC"/>
    <w:rsid w:val="00580390"/>
    <w:rsid w:val="00580F52"/>
    <w:rsid w:val="005816EE"/>
    <w:rsid w:val="005817B2"/>
    <w:rsid w:val="005819F7"/>
    <w:rsid w:val="00581C35"/>
    <w:rsid w:val="0058204A"/>
    <w:rsid w:val="00582265"/>
    <w:rsid w:val="005824C6"/>
    <w:rsid w:val="00582629"/>
    <w:rsid w:val="00582674"/>
    <w:rsid w:val="005826EE"/>
    <w:rsid w:val="0058271E"/>
    <w:rsid w:val="0058283F"/>
    <w:rsid w:val="005834BC"/>
    <w:rsid w:val="00583930"/>
    <w:rsid w:val="00583BFE"/>
    <w:rsid w:val="00583D8A"/>
    <w:rsid w:val="00583DBE"/>
    <w:rsid w:val="005840EF"/>
    <w:rsid w:val="005845A3"/>
    <w:rsid w:val="005848F8"/>
    <w:rsid w:val="00584E2F"/>
    <w:rsid w:val="00585151"/>
    <w:rsid w:val="0058523B"/>
    <w:rsid w:val="0058525B"/>
    <w:rsid w:val="00585C03"/>
    <w:rsid w:val="00585F1C"/>
    <w:rsid w:val="00586637"/>
    <w:rsid w:val="00587C46"/>
    <w:rsid w:val="00587F56"/>
    <w:rsid w:val="00587FD9"/>
    <w:rsid w:val="005902C9"/>
    <w:rsid w:val="005908B9"/>
    <w:rsid w:val="00591265"/>
    <w:rsid w:val="00591283"/>
    <w:rsid w:val="005915A4"/>
    <w:rsid w:val="005924D3"/>
    <w:rsid w:val="005924F1"/>
    <w:rsid w:val="005925E3"/>
    <w:rsid w:val="0059304D"/>
    <w:rsid w:val="005933AE"/>
    <w:rsid w:val="005934A8"/>
    <w:rsid w:val="00593CBE"/>
    <w:rsid w:val="00593F5D"/>
    <w:rsid w:val="0059404E"/>
    <w:rsid w:val="005944F1"/>
    <w:rsid w:val="005948E1"/>
    <w:rsid w:val="00594B14"/>
    <w:rsid w:val="00595156"/>
    <w:rsid w:val="005965C9"/>
    <w:rsid w:val="005966C9"/>
    <w:rsid w:val="005967C0"/>
    <w:rsid w:val="00596832"/>
    <w:rsid w:val="00596CCB"/>
    <w:rsid w:val="00596DB6"/>
    <w:rsid w:val="005970CD"/>
    <w:rsid w:val="00597753"/>
    <w:rsid w:val="005979C3"/>
    <w:rsid w:val="00597E6F"/>
    <w:rsid w:val="005A0203"/>
    <w:rsid w:val="005A052F"/>
    <w:rsid w:val="005A05DF"/>
    <w:rsid w:val="005A0C7F"/>
    <w:rsid w:val="005A0ECA"/>
    <w:rsid w:val="005A0EFC"/>
    <w:rsid w:val="005A1018"/>
    <w:rsid w:val="005A1099"/>
    <w:rsid w:val="005A10AE"/>
    <w:rsid w:val="005A12EF"/>
    <w:rsid w:val="005A13B0"/>
    <w:rsid w:val="005A15D8"/>
    <w:rsid w:val="005A1980"/>
    <w:rsid w:val="005A1A26"/>
    <w:rsid w:val="005A1BC8"/>
    <w:rsid w:val="005A1C64"/>
    <w:rsid w:val="005A1F74"/>
    <w:rsid w:val="005A207E"/>
    <w:rsid w:val="005A256B"/>
    <w:rsid w:val="005A2593"/>
    <w:rsid w:val="005A3196"/>
    <w:rsid w:val="005A339E"/>
    <w:rsid w:val="005A3858"/>
    <w:rsid w:val="005A3CF7"/>
    <w:rsid w:val="005A3E4B"/>
    <w:rsid w:val="005A408B"/>
    <w:rsid w:val="005A48B4"/>
    <w:rsid w:val="005A581C"/>
    <w:rsid w:val="005A6E32"/>
    <w:rsid w:val="005A6F80"/>
    <w:rsid w:val="005A7215"/>
    <w:rsid w:val="005A726F"/>
    <w:rsid w:val="005A7550"/>
    <w:rsid w:val="005A782E"/>
    <w:rsid w:val="005A793B"/>
    <w:rsid w:val="005A79AE"/>
    <w:rsid w:val="005A7EBC"/>
    <w:rsid w:val="005B0168"/>
    <w:rsid w:val="005B01B7"/>
    <w:rsid w:val="005B05E7"/>
    <w:rsid w:val="005B0774"/>
    <w:rsid w:val="005B0E02"/>
    <w:rsid w:val="005B1731"/>
    <w:rsid w:val="005B2054"/>
    <w:rsid w:val="005B247D"/>
    <w:rsid w:val="005B2561"/>
    <w:rsid w:val="005B25AA"/>
    <w:rsid w:val="005B2607"/>
    <w:rsid w:val="005B26FD"/>
    <w:rsid w:val="005B3EF1"/>
    <w:rsid w:val="005B3F34"/>
    <w:rsid w:val="005B429E"/>
    <w:rsid w:val="005B42A7"/>
    <w:rsid w:val="005B44D0"/>
    <w:rsid w:val="005B4CD8"/>
    <w:rsid w:val="005B5B11"/>
    <w:rsid w:val="005B5C27"/>
    <w:rsid w:val="005B5C4A"/>
    <w:rsid w:val="005B5FC3"/>
    <w:rsid w:val="005B60BD"/>
    <w:rsid w:val="005B67FE"/>
    <w:rsid w:val="005B6837"/>
    <w:rsid w:val="005B705F"/>
    <w:rsid w:val="005B7A53"/>
    <w:rsid w:val="005C0607"/>
    <w:rsid w:val="005C0A76"/>
    <w:rsid w:val="005C0F3A"/>
    <w:rsid w:val="005C0F51"/>
    <w:rsid w:val="005C0FA9"/>
    <w:rsid w:val="005C0FE5"/>
    <w:rsid w:val="005C11E6"/>
    <w:rsid w:val="005C147A"/>
    <w:rsid w:val="005C1F3B"/>
    <w:rsid w:val="005C208C"/>
    <w:rsid w:val="005C2A7E"/>
    <w:rsid w:val="005C2E67"/>
    <w:rsid w:val="005C35ED"/>
    <w:rsid w:val="005C35FA"/>
    <w:rsid w:val="005C37F2"/>
    <w:rsid w:val="005C42EA"/>
    <w:rsid w:val="005C4616"/>
    <w:rsid w:val="005C4D24"/>
    <w:rsid w:val="005C4DD7"/>
    <w:rsid w:val="005C539A"/>
    <w:rsid w:val="005C5693"/>
    <w:rsid w:val="005C6F04"/>
    <w:rsid w:val="005C74F8"/>
    <w:rsid w:val="005C75B9"/>
    <w:rsid w:val="005C778A"/>
    <w:rsid w:val="005C794A"/>
    <w:rsid w:val="005C7B1F"/>
    <w:rsid w:val="005D070B"/>
    <w:rsid w:val="005D0C8D"/>
    <w:rsid w:val="005D12BF"/>
    <w:rsid w:val="005D14E9"/>
    <w:rsid w:val="005D1B75"/>
    <w:rsid w:val="005D1C71"/>
    <w:rsid w:val="005D21A6"/>
    <w:rsid w:val="005D29D5"/>
    <w:rsid w:val="005D3947"/>
    <w:rsid w:val="005D3D18"/>
    <w:rsid w:val="005D3E4A"/>
    <w:rsid w:val="005D3E97"/>
    <w:rsid w:val="005D3F76"/>
    <w:rsid w:val="005D4095"/>
    <w:rsid w:val="005D4641"/>
    <w:rsid w:val="005D49FF"/>
    <w:rsid w:val="005D4ACD"/>
    <w:rsid w:val="005D4BBC"/>
    <w:rsid w:val="005D4C36"/>
    <w:rsid w:val="005D4D0A"/>
    <w:rsid w:val="005D526E"/>
    <w:rsid w:val="005D5695"/>
    <w:rsid w:val="005D63D6"/>
    <w:rsid w:val="005D6CA0"/>
    <w:rsid w:val="005D7ED3"/>
    <w:rsid w:val="005E0862"/>
    <w:rsid w:val="005E08CF"/>
    <w:rsid w:val="005E1375"/>
    <w:rsid w:val="005E147F"/>
    <w:rsid w:val="005E178A"/>
    <w:rsid w:val="005E1CEB"/>
    <w:rsid w:val="005E2576"/>
    <w:rsid w:val="005E2A30"/>
    <w:rsid w:val="005E2FF1"/>
    <w:rsid w:val="005E3850"/>
    <w:rsid w:val="005E3B4D"/>
    <w:rsid w:val="005E3B5B"/>
    <w:rsid w:val="005E3DEF"/>
    <w:rsid w:val="005E41A6"/>
    <w:rsid w:val="005E4E97"/>
    <w:rsid w:val="005E54F0"/>
    <w:rsid w:val="005E5790"/>
    <w:rsid w:val="005E57F7"/>
    <w:rsid w:val="005E5C65"/>
    <w:rsid w:val="005E5DFA"/>
    <w:rsid w:val="005E682E"/>
    <w:rsid w:val="005E68F3"/>
    <w:rsid w:val="005E6A57"/>
    <w:rsid w:val="005E6F86"/>
    <w:rsid w:val="005E70D9"/>
    <w:rsid w:val="005E7479"/>
    <w:rsid w:val="005E756A"/>
    <w:rsid w:val="005E7892"/>
    <w:rsid w:val="005F0245"/>
    <w:rsid w:val="005F0652"/>
    <w:rsid w:val="005F07BE"/>
    <w:rsid w:val="005F0DE4"/>
    <w:rsid w:val="005F1146"/>
    <w:rsid w:val="005F191F"/>
    <w:rsid w:val="005F3C0A"/>
    <w:rsid w:val="005F3CEA"/>
    <w:rsid w:val="005F4587"/>
    <w:rsid w:val="005F4A97"/>
    <w:rsid w:val="005F4E85"/>
    <w:rsid w:val="005F546F"/>
    <w:rsid w:val="005F5479"/>
    <w:rsid w:val="005F5B32"/>
    <w:rsid w:val="005F66DC"/>
    <w:rsid w:val="005F731B"/>
    <w:rsid w:val="005F786A"/>
    <w:rsid w:val="005F7EA3"/>
    <w:rsid w:val="00600DA1"/>
    <w:rsid w:val="006013FB"/>
    <w:rsid w:val="00601583"/>
    <w:rsid w:val="00601F1A"/>
    <w:rsid w:val="00601F8B"/>
    <w:rsid w:val="0060259D"/>
    <w:rsid w:val="00602746"/>
    <w:rsid w:val="0060294C"/>
    <w:rsid w:val="00602FB1"/>
    <w:rsid w:val="00603073"/>
    <w:rsid w:val="00603105"/>
    <w:rsid w:val="00603128"/>
    <w:rsid w:val="006036E2"/>
    <w:rsid w:val="006037C5"/>
    <w:rsid w:val="00603A7A"/>
    <w:rsid w:val="00604319"/>
    <w:rsid w:val="00604F87"/>
    <w:rsid w:val="0060508A"/>
    <w:rsid w:val="006052B9"/>
    <w:rsid w:val="00605607"/>
    <w:rsid w:val="00605E4D"/>
    <w:rsid w:val="00606002"/>
    <w:rsid w:val="00606458"/>
    <w:rsid w:val="00606720"/>
    <w:rsid w:val="00606841"/>
    <w:rsid w:val="00606CC5"/>
    <w:rsid w:val="00606E65"/>
    <w:rsid w:val="00607141"/>
    <w:rsid w:val="00607385"/>
    <w:rsid w:val="00607B23"/>
    <w:rsid w:val="00610057"/>
    <w:rsid w:val="00610076"/>
    <w:rsid w:val="00610C20"/>
    <w:rsid w:val="00611189"/>
    <w:rsid w:val="00611765"/>
    <w:rsid w:val="0061233F"/>
    <w:rsid w:val="006125C5"/>
    <w:rsid w:val="00612766"/>
    <w:rsid w:val="0061278B"/>
    <w:rsid w:val="00612B0D"/>
    <w:rsid w:val="0061385B"/>
    <w:rsid w:val="00613AB5"/>
    <w:rsid w:val="006144BB"/>
    <w:rsid w:val="00614667"/>
    <w:rsid w:val="006149AD"/>
    <w:rsid w:val="00614CAC"/>
    <w:rsid w:val="00615189"/>
    <w:rsid w:val="00616089"/>
    <w:rsid w:val="00616900"/>
    <w:rsid w:val="00616A41"/>
    <w:rsid w:val="00616ACC"/>
    <w:rsid w:val="00616B2A"/>
    <w:rsid w:val="0061744E"/>
    <w:rsid w:val="0061799E"/>
    <w:rsid w:val="00617B9D"/>
    <w:rsid w:val="00617CDA"/>
    <w:rsid w:val="00620102"/>
    <w:rsid w:val="0062032D"/>
    <w:rsid w:val="006204D9"/>
    <w:rsid w:val="0062057F"/>
    <w:rsid w:val="006205AD"/>
    <w:rsid w:val="0062165E"/>
    <w:rsid w:val="00621934"/>
    <w:rsid w:val="00621C89"/>
    <w:rsid w:val="00621FA9"/>
    <w:rsid w:val="00622007"/>
    <w:rsid w:val="00622079"/>
    <w:rsid w:val="00622782"/>
    <w:rsid w:val="00622874"/>
    <w:rsid w:val="006239A3"/>
    <w:rsid w:val="00623D94"/>
    <w:rsid w:val="00623F1D"/>
    <w:rsid w:val="00624D93"/>
    <w:rsid w:val="006254B1"/>
    <w:rsid w:val="006261D9"/>
    <w:rsid w:val="006265D8"/>
    <w:rsid w:val="00626AAB"/>
    <w:rsid w:val="00630007"/>
    <w:rsid w:val="006305AE"/>
    <w:rsid w:val="00630940"/>
    <w:rsid w:val="00630B6A"/>
    <w:rsid w:val="006312F7"/>
    <w:rsid w:val="00631B50"/>
    <w:rsid w:val="006320CB"/>
    <w:rsid w:val="00632656"/>
    <w:rsid w:val="00632F67"/>
    <w:rsid w:val="006331E5"/>
    <w:rsid w:val="006335DE"/>
    <w:rsid w:val="006339B8"/>
    <w:rsid w:val="00633FD6"/>
    <w:rsid w:val="006345ED"/>
    <w:rsid w:val="006345EE"/>
    <w:rsid w:val="00634C72"/>
    <w:rsid w:val="0063515E"/>
    <w:rsid w:val="006361DC"/>
    <w:rsid w:val="00636330"/>
    <w:rsid w:val="00640005"/>
    <w:rsid w:val="0064043A"/>
    <w:rsid w:val="0064099A"/>
    <w:rsid w:val="00640EE9"/>
    <w:rsid w:val="00640FBA"/>
    <w:rsid w:val="00641758"/>
    <w:rsid w:val="00641A7A"/>
    <w:rsid w:val="00641B57"/>
    <w:rsid w:val="00641DF1"/>
    <w:rsid w:val="00641E4F"/>
    <w:rsid w:val="006420AB"/>
    <w:rsid w:val="00642978"/>
    <w:rsid w:val="00642B83"/>
    <w:rsid w:val="0064341D"/>
    <w:rsid w:val="00644462"/>
    <w:rsid w:val="00645164"/>
    <w:rsid w:val="00645C8C"/>
    <w:rsid w:val="006469A2"/>
    <w:rsid w:val="00646AB8"/>
    <w:rsid w:val="00646D0D"/>
    <w:rsid w:val="006470E5"/>
    <w:rsid w:val="006471F9"/>
    <w:rsid w:val="0064776F"/>
    <w:rsid w:val="0064782E"/>
    <w:rsid w:val="006479EC"/>
    <w:rsid w:val="00647A3C"/>
    <w:rsid w:val="0065045B"/>
    <w:rsid w:val="006507E9"/>
    <w:rsid w:val="00650822"/>
    <w:rsid w:val="00650A98"/>
    <w:rsid w:val="006521E6"/>
    <w:rsid w:val="006525F9"/>
    <w:rsid w:val="00652863"/>
    <w:rsid w:val="0065290E"/>
    <w:rsid w:val="00652921"/>
    <w:rsid w:val="00652950"/>
    <w:rsid w:val="00652E02"/>
    <w:rsid w:val="006532FB"/>
    <w:rsid w:val="00653C4B"/>
    <w:rsid w:val="00653D6D"/>
    <w:rsid w:val="006548AD"/>
    <w:rsid w:val="00654978"/>
    <w:rsid w:val="006559C6"/>
    <w:rsid w:val="006560A2"/>
    <w:rsid w:val="00656401"/>
    <w:rsid w:val="00656989"/>
    <w:rsid w:val="006572C7"/>
    <w:rsid w:val="00657372"/>
    <w:rsid w:val="006578FA"/>
    <w:rsid w:val="0066025F"/>
    <w:rsid w:val="00660473"/>
    <w:rsid w:val="0066047B"/>
    <w:rsid w:val="00660E13"/>
    <w:rsid w:val="0066141F"/>
    <w:rsid w:val="006615CE"/>
    <w:rsid w:val="00661B9D"/>
    <w:rsid w:val="006624EE"/>
    <w:rsid w:val="006628C1"/>
    <w:rsid w:val="00662E8A"/>
    <w:rsid w:val="00663136"/>
    <w:rsid w:val="00663BB8"/>
    <w:rsid w:val="00663CD7"/>
    <w:rsid w:val="00663EBA"/>
    <w:rsid w:val="00663F2E"/>
    <w:rsid w:val="0066419D"/>
    <w:rsid w:val="0066434A"/>
    <w:rsid w:val="00664404"/>
    <w:rsid w:val="00664879"/>
    <w:rsid w:val="006655C3"/>
    <w:rsid w:val="00665DB3"/>
    <w:rsid w:val="006661AE"/>
    <w:rsid w:val="006661E7"/>
    <w:rsid w:val="0066694C"/>
    <w:rsid w:val="00666EAA"/>
    <w:rsid w:val="0066711D"/>
    <w:rsid w:val="006671D6"/>
    <w:rsid w:val="00667451"/>
    <w:rsid w:val="006674AF"/>
    <w:rsid w:val="00667861"/>
    <w:rsid w:val="00667CE2"/>
    <w:rsid w:val="00667EF3"/>
    <w:rsid w:val="00667FEE"/>
    <w:rsid w:val="00670175"/>
    <w:rsid w:val="006701A1"/>
    <w:rsid w:val="006707CC"/>
    <w:rsid w:val="006708F6"/>
    <w:rsid w:val="00670DF0"/>
    <w:rsid w:val="00670E7B"/>
    <w:rsid w:val="00670ECD"/>
    <w:rsid w:val="0067129F"/>
    <w:rsid w:val="00671629"/>
    <w:rsid w:val="00671A26"/>
    <w:rsid w:val="00671D8A"/>
    <w:rsid w:val="00671E40"/>
    <w:rsid w:val="00673BEE"/>
    <w:rsid w:val="00673D65"/>
    <w:rsid w:val="00673E42"/>
    <w:rsid w:val="006740EF"/>
    <w:rsid w:val="006746D0"/>
    <w:rsid w:val="00675115"/>
    <w:rsid w:val="00675502"/>
    <w:rsid w:val="00675FA0"/>
    <w:rsid w:val="006775D3"/>
    <w:rsid w:val="00677B79"/>
    <w:rsid w:val="00677FAC"/>
    <w:rsid w:val="006805AC"/>
    <w:rsid w:val="00680B1F"/>
    <w:rsid w:val="00680E20"/>
    <w:rsid w:val="00680E4A"/>
    <w:rsid w:val="00681209"/>
    <w:rsid w:val="00681436"/>
    <w:rsid w:val="006815F6"/>
    <w:rsid w:val="00681A6F"/>
    <w:rsid w:val="00681C2D"/>
    <w:rsid w:val="00681D97"/>
    <w:rsid w:val="00681E9C"/>
    <w:rsid w:val="00681F24"/>
    <w:rsid w:val="006826D6"/>
    <w:rsid w:val="00682D13"/>
    <w:rsid w:val="00682DEB"/>
    <w:rsid w:val="00682F49"/>
    <w:rsid w:val="006838FF"/>
    <w:rsid w:val="00683A08"/>
    <w:rsid w:val="006840C7"/>
    <w:rsid w:val="0068441B"/>
    <w:rsid w:val="0068476F"/>
    <w:rsid w:val="00684C89"/>
    <w:rsid w:val="00685196"/>
    <w:rsid w:val="0068553C"/>
    <w:rsid w:val="006856C2"/>
    <w:rsid w:val="00686F72"/>
    <w:rsid w:val="0068744E"/>
    <w:rsid w:val="00687644"/>
    <w:rsid w:val="00687A58"/>
    <w:rsid w:val="00687CF6"/>
    <w:rsid w:val="00687D00"/>
    <w:rsid w:val="0069098B"/>
    <w:rsid w:val="00691115"/>
    <w:rsid w:val="006914F0"/>
    <w:rsid w:val="006915DB"/>
    <w:rsid w:val="006926D4"/>
    <w:rsid w:val="00692D1A"/>
    <w:rsid w:val="006930F8"/>
    <w:rsid w:val="00693912"/>
    <w:rsid w:val="00693BDB"/>
    <w:rsid w:val="006940D3"/>
    <w:rsid w:val="006940F0"/>
    <w:rsid w:val="00694113"/>
    <w:rsid w:val="006947F6"/>
    <w:rsid w:val="006949CD"/>
    <w:rsid w:val="00694D72"/>
    <w:rsid w:val="00695C9D"/>
    <w:rsid w:val="006962AA"/>
    <w:rsid w:val="006966DF"/>
    <w:rsid w:val="00696FF1"/>
    <w:rsid w:val="006972F7"/>
    <w:rsid w:val="00697F3F"/>
    <w:rsid w:val="006A0405"/>
    <w:rsid w:val="006A0747"/>
    <w:rsid w:val="006A14AC"/>
    <w:rsid w:val="006A1640"/>
    <w:rsid w:val="006A16A8"/>
    <w:rsid w:val="006A18E6"/>
    <w:rsid w:val="006A1DBF"/>
    <w:rsid w:val="006A273B"/>
    <w:rsid w:val="006A29F8"/>
    <w:rsid w:val="006A3786"/>
    <w:rsid w:val="006A3E95"/>
    <w:rsid w:val="006A43FD"/>
    <w:rsid w:val="006A4E28"/>
    <w:rsid w:val="006A50E1"/>
    <w:rsid w:val="006A55B0"/>
    <w:rsid w:val="006A5670"/>
    <w:rsid w:val="006A5946"/>
    <w:rsid w:val="006A5BE3"/>
    <w:rsid w:val="006A5C43"/>
    <w:rsid w:val="006A683D"/>
    <w:rsid w:val="006A6C1F"/>
    <w:rsid w:val="006A6CA6"/>
    <w:rsid w:val="006A77AB"/>
    <w:rsid w:val="006A7D09"/>
    <w:rsid w:val="006B0723"/>
    <w:rsid w:val="006B0794"/>
    <w:rsid w:val="006B0EF2"/>
    <w:rsid w:val="006B1213"/>
    <w:rsid w:val="006B14B4"/>
    <w:rsid w:val="006B1692"/>
    <w:rsid w:val="006B1A4C"/>
    <w:rsid w:val="006B25B8"/>
    <w:rsid w:val="006B26C9"/>
    <w:rsid w:val="006B3E1A"/>
    <w:rsid w:val="006B3F37"/>
    <w:rsid w:val="006B49F5"/>
    <w:rsid w:val="006B4DB0"/>
    <w:rsid w:val="006B51B9"/>
    <w:rsid w:val="006B6130"/>
    <w:rsid w:val="006B632A"/>
    <w:rsid w:val="006B657B"/>
    <w:rsid w:val="006B7123"/>
    <w:rsid w:val="006B75B6"/>
    <w:rsid w:val="006B7772"/>
    <w:rsid w:val="006C0484"/>
    <w:rsid w:val="006C05A9"/>
    <w:rsid w:val="006C0F83"/>
    <w:rsid w:val="006C179E"/>
    <w:rsid w:val="006C1850"/>
    <w:rsid w:val="006C1A5F"/>
    <w:rsid w:val="006C1D4C"/>
    <w:rsid w:val="006C2910"/>
    <w:rsid w:val="006C2CB1"/>
    <w:rsid w:val="006C2D53"/>
    <w:rsid w:val="006C3AB5"/>
    <w:rsid w:val="006C562C"/>
    <w:rsid w:val="006C61A8"/>
    <w:rsid w:val="006C65A0"/>
    <w:rsid w:val="006C6E7A"/>
    <w:rsid w:val="006C7394"/>
    <w:rsid w:val="006C76C7"/>
    <w:rsid w:val="006C7EC3"/>
    <w:rsid w:val="006D023C"/>
    <w:rsid w:val="006D0793"/>
    <w:rsid w:val="006D0B8E"/>
    <w:rsid w:val="006D0F97"/>
    <w:rsid w:val="006D130E"/>
    <w:rsid w:val="006D1A28"/>
    <w:rsid w:val="006D1B1C"/>
    <w:rsid w:val="006D21C1"/>
    <w:rsid w:val="006D2BDA"/>
    <w:rsid w:val="006D348B"/>
    <w:rsid w:val="006D3522"/>
    <w:rsid w:val="006D3530"/>
    <w:rsid w:val="006D3751"/>
    <w:rsid w:val="006D4415"/>
    <w:rsid w:val="006D47F4"/>
    <w:rsid w:val="006D48BD"/>
    <w:rsid w:val="006D4DAD"/>
    <w:rsid w:val="006D5683"/>
    <w:rsid w:val="006D60C9"/>
    <w:rsid w:val="006D6F11"/>
    <w:rsid w:val="006D7EAC"/>
    <w:rsid w:val="006E01A0"/>
    <w:rsid w:val="006E02BA"/>
    <w:rsid w:val="006E03A8"/>
    <w:rsid w:val="006E0CFF"/>
    <w:rsid w:val="006E17E8"/>
    <w:rsid w:val="006E1A47"/>
    <w:rsid w:val="006E255D"/>
    <w:rsid w:val="006E3379"/>
    <w:rsid w:val="006E3648"/>
    <w:rsid w:val="006E38CF"/>
    <w:rsid w:val="006E4494"/>
    <w:rsid w:val="006E551D"/>
    <w:rsid w:val="006E566E"/>
    <w:rsid w:val="006E5CD9"/>
    <w:rsid w:val="006E737E"/>
    <w:rsid w:val="006E7CBD"/>
    <w:rsid w:val="006E7FC2"/>
    <w:rsid w:val="006F000F"/>
    <w:rsid w:val="006F003B"/>
    <w:rsid w:val="006F090F"/>
    <w:rsid w:val="006F1238"/>
    <w:rsid w:val="006F1358"/>
    <w:rsid w:val="006F1F39"/>
    <w:rsid w:val="006F27E3"/>
    <w:rsid w:val="006F28FB"/>
    <w:rsid w:val="006F2EE7"/>
    <w:rsid w:val="006F316D"/>
    <w:rsid w:val="006F337A"/>
    <w:rsid w:val="006F3918"/>
    <w:rsid w:val="006F39CD"/>
    <w:rsid w:val="006F3DAA"/>
    <w:rsid w:val="006F4F72"/>
    <w:rsid w:val="006F529F"/>
    <w:rsid w:val="006F5FB6"/>
    <w:rsid w:val="006F7DDF"/>
    <w:rsid w:val="00700123"/>
    <w:rsid w:val="007004A0"/>
    <w:rsid w:val="0070109F"/>
    <w:rsid w:val="00701447"/>
    <w:rsid w:val="007016A8"/>
    <w:rsid w:val="007016D3"/>
    <w:rsid w:val="00701979"/>
    <w:rsid w:val="00701F65"/>
    <w:rsid w:val="007021FC"/>
    <w:rsid w:val="007023A5"/>
    <w:rsid w:val="00702672"/>
    <w:rsid w:val="00702F78"/>
    <w:rsid w:val="00702F7F"/>
    <w:rsid w:val="00703425"/>
    <w:rsid w:val="00703C9A"/>
    <w:rsid w:val="00703CFD"/>
    <w:rsid w:val="00703E2E"/>
    <w:rsid w:val="00703FAC"/>
    <w:rsid w:val="00704A0E"/>
    <w:rsid w:val="00704A76"/>
    <w:rsid w:val="00704B01"/>
    <w:rsid w:val="00704E72"/>
    <w:rsid w:val="0070538E"/>
    <w:rsid w:val="00705495"/>
    <w:rsid w:val="007055DE"/>
    <w:rsid w:val="007056E8"/>
    <w:rsid w:val="0070661B"/>
    <w:rsid w:val="0070698D"/>
    <w:rsid w:val="00706D82"/>
    <w:rsid w:val="00706F45"/>
    <w:rsid w:val="00706FCE"/>
    <w:rsid w:val="00707892"/>
    <w:rsid w:val="00707ACC"/>
    <w:rsid w:val="007104DD"/>
    <w:rsid w:val="007108D9"/>
    <w:rsid w:val="00711196"/>
    <w:rsid w:val="00711564"/>
    <w:rsid w:val="00711B3F"/>
    <w:rsid w:val="00712024"/>
    <w:rsid w:val="007121B4"/>
    <w:rsid w:val="00712886"/>
    <w:rsid w:val="00713D1E"/>
    <w:rsid w:val="00713DE8"/>
    <w:rsid w:val="00714306"/>
    <w:rsid w:val="0071490A"/>
    <w:rsid w:val="007150D4"/>
    <w:rsid w:val="0071544C"/>
    <w:rsid w:val="007155A7"/>
    <w:rsid w:val="00715664"/>
    <w:rsid w:val="00715A72"/>
    <w:rsid w:val="00715EA4"/>
    <w:rsid w:val="00717B75"/>
    <w:rsid w:val="00717ECB"/>
    <w:rsid w:val="00717FE8"/>
    <w:rsid w:val="007203E3"/>
    <w:rsid w:val="0072064C"/>
    <w:rsid w:val="00720710"/>
    <w:rsid w:val="00720C72"/>
    <w:rsid w:val="007213E4"/>
    <w:rsid w:val="0072161F"/>
    <w:rsid w:val="0072163E"/>
    <w:rsid w:val="007219FB"/>
    <w:rsid w:val="00721B66"/>
    <w:rsid w:val="00721D3E"/>
    <w:rsid w:val="00722F64"/>
    <w:rsid w:val="00723F70"/>
    <w:rsid w:val="00723F81"/>
    <w:rsid w:val="007241E9"/>
    <w:rsid w:val="00724A61"/>
    <w:rsid w:val="00724F8A"/>
    <w:rsid w:val="0072578A"/>
    <w:rsid w:val="00725F9F"/>
    <w:rsid w:val="0072662E"/>
    <w:rsid w:val="00726CB3"/>
    <w:rsid w:val="00730355"/>
    <w:rsid w:val="00730825"/>
    <w:rsid w:val="00730CA1"/>
    <w:rsid w:val="00730D1A"/>
    <w:rsid w:val="00730F51"/>
    <w:rsid w:val="007311D1"/>
    <w:rsid w:val="00731544"/>
    <w:rsid w:val="0073158E"/>
    <w:rsid w:val="007315F4"/>
    <w:rsid w:val="0073172A"/>
    <w:rsid w:val="00732773"/>
    <w:rsid w:val="00732EBC"/>
    <w:rsid w:val="00733672"/>
    <w:rsid w:val="0073379C"/>
    <w:rsid w:val="00733B01"/>
    <w:rsid w:val="00733FAF"/>
    <w:rsid w:val="00733FFC"/>
    <w:rsid w:val="0073414D"/>
    <w:rsid w:val="00734191"/>
    <w:rsid w:val="00734289"/>
    <w:rsid w:val="007345C7"/>
    <w:rsid w:val="00734DB4"/>
    <w:rsid w:val="00734EF6"/>
    <w:rsid w:val="00734F10"/>
    <w:rsid w:val="00735263"/>
    <w:rsid w:val="00735626"/>
    <w:rsid w:val="007358CC"/>
    <w:rsid w:val="00735B47"/>
    <w:rsid w:val="00735C2D"/>
    <w:rsid w:val="0073630A"/>
    <w:rsid w:val="00736733"/>
    <w:rsid w:val="00736A2F"/>
    <w:rsid w:val="007371A6"/>
    <w:rsid w:val="00737264"/>
    <w:rsid w:val="00737B6E"/>
    <w:rsid w:val="00737BA6"/>
    <w:rsid w:val="007409B2"/>
    <w:rsid w:val="00740BA0"/>
    <w:rsid w:val="00741015"/>
    <w:rsid w:val="00741510"/>
    <w:rsid w:val="00742DC6"/>
    <w:rsid w:val="007433F0"/>
    <w:rsid w:val="00743ADC"/>
    <w:rsid w:val="00743CE3"/>
    <w:rsid w:val="00744416"/>
    <w:rsid w:val="00744493"/>
    <w:rsid w:val="007446F8"/>
    <w:rsid w:val="00744C97"/>
    <w:rsid w:val="007462EC"/>
    <w:rsid w:val="00746589"/>
    <w:rsid w:val="0074663B"/>
    <w:rsid w:val="00747DCF"/>
    <w:rsid w:val="0075090A"/>
    <w:rsid w:val="00750B94"/>
    <w:rsid w:val="00751195"/>
    <w:rsid w:val="007514A9"/>
    <w:rsid w:val="00751720"/>
    <w:rsid w:val="0075215B"/>
    <w:rsid w:val="007522AF"/>
    <w:rsid w:val="007533C9"/>
    <w:rsid w:val="007539CB"/>
    <w:rsid w:val="00753B99"/>
    <w:rsid w:val="00753F62"/>
    <w:rsid w:val="007544A9"/>
    <w:rsid w:val="007550EE"/>
    <w:rsid w:val="00755901"/>
    <w:rsid w:val="00755D9A"/>
    <w:rsid w:val="007561F1"/>
    <w:rsid w:val="00756B31"/>
    <w:rsid w:val="00757425"/>
    <w:rsid w:val="0075771E"/>
    <w:rsid w:val="00757887"/>
    <w:rsid w:val="0075790F"/>
    <w:rsid w:val="00761795"/>
    <w:rsid w:val="00761AC8"/>
    <w:rsid w:val="00761DB1"/>
    <w:rsid w:val="0076206F"/>
    <w:rsid w:val="00762226"/>
    <w:rsid w:val="00762400"/>
    <w:rsid w:val="00762CF0"/>
    <w:rsid w:val="007632E0"/>
    <w:rsid w:val="007634AC"/>
    <w:rsid w:val="00764453"/>
    <w:rsid w:val="00764801"/>
    <w:rsid w:val="00764C4A"/>
    <w:rsid w:val="0076515D"/>
    <w:rsid w:val="007655FA"/>
    <w:rsid w:val="007658E5"/>
    <w:rsid w:val="00765AA7"/>
    <w:rsid w:val="00765C16"/>
    <w:rsid w:val="00766003"/>
    <w:rsid w:val="007669D7"/>
    <w:rsid w:val="007679EB"/>
    <w:rsid w:val="00770C8A"/>
    <w:rsid w:val="00770D94"/>
    <w:rsid w:val="0077160D"/>
    <w:rsid w:val="00771631"/>
    <w:rsid w:val="007719AA"/>
    <w:rsid w:val="00771F9B"/>
    <w:rsid w:val="00772559"/>
    <w:rsid w:val="0077261D"/>
    <w:rsid w:val="00772656"/>
    <w:rsid w:val="0077271B"/>
    <w:rsid w:val="00772ADE"/>
    <w:rsid w:val="00772D6E"/>
    <w:rsid w:val="00772F01"/>
    <w:rsid w:val="00774114"/>
    <w:rsid w:val="007756C3"/>
    <w:rsid w:val="00776033"/>
    <w:rsid w:val="0077621D"/>
    <w:rsid w:val="007762CD"/>
    <w:rsid w:val="0077684B"/>
    <w:rsid w:val="00776BD3"/>
    <w:rsid w:val="00777290"/>
    <w:rsid w:val="007772E8"/>
    <w:rsid w:val="00780273"/>
    <w:rsid w:val="00780355"/>
    <w:rsid w:val="00780956"/>
    <w:rsid w:val="00781619"/>
    <w:rsid w:val="00781725"/>
    <w:rsid w:val="007818C2"/>
    <w:rsid w:val="00781C82"/>
    <w:rsid w:val="0078233F"/>
    <w:rsid w:val="007828D5"/>
    <w:rsid w:val="00782A08"/>
    <w:rsid w:val="00782D8F"/>
    <w:rsid w:val="00782F00"/>
    <w:rsid w:val="00782FC5"/>
    <w:rsid w:val="00783263"/>
    <w:rsid w:val="0078357E"/>
    <w:rsid w:val="0078385A"/>
    <w:rsid w:val="007839E7"/>
    <w:rsid w:val="007841FF"/>
    <w:rsid w:val="00785009"/>
    <w:rsid w:val="0078599A"/>
    <w:rsid w:val="00785A63"/>
    <w:rsid w:val="00785E26"/>
    <w:rsid w:val="00785EFF"/>
    <w:rsid w:val="00786824"/>
    <w:rsid w:val="0078724C"/>
    <w:rsid w:val="0078751E"/>
    <w:rsid w:val="00787C9D"/>
    <w:rsid w:val="007906CA"/>
    <w:rsid w:val="00791503"/>
    <w:rsid w:val="00791E96"/>
    <w:rsid w:val="007934D4"/>
    <w:rsid w:val="0079394A"/>
    <w:rsid w:val="007939BD"/>
    <w:rsid w:val="00793C16"/>
    <w:rsid w:val="00793FBD"/>
    <w:rsid w:val="00795610"/>
    <w:rsid w:val="0079574C"/>
    <w:rsid w:val="00795792"/>
    <w:rsid w:val="00795B10"/>
    <w:rsid w:val="0079663A"/>
    <w:rsid w:val="00796AC3"/>
    <w:rsid w:val="00796C5E"/>
    <w:rsid w:val="00796F84"/>
    <w:rsid w:val="00796F8B"/>
    <w:rsid w:val="007970F4"/>
    <w:rsid w:val="0079775B"/>
    <w:rsid w:val="00797C38"/>
    <w:rsid w:val="00797E54"/>
    <w:rsid w:val="007A0692"/>
    <w:rsid w:val="007A0B62"/>
    <w:rsid w:val="007A11B0"/>
    <w:rsid w:val="007A1236"/>
    <w:rsid w:val="007A1760"/>
    <w:rsid w:val="007A1D32"/>
    <w:rsid w:val="007A21A0"/>
    <w:rsid w:val="007A28A4"/>
    <w:rsid w:val="007A2A69"/>
    <w:rsid w:val="007A2A6F"/>
    <w:rsid w:val="007A39D3"/>
    <w:rsid w:val="007A3BDD"/>
    <w:rsid w:val="007A3D3F"/>
    <w:rsid w:val="007A3E4D"/>
    <w:rsid w:val="007A4506"/>
    <w:rsid w:val="007A4BE7"/>
    <w:rsid w:val="007A518D"/>
    <w:rsid w:val="007A57AE"/>
    <w:rsid w:val="007A6C29"/>
    <w:rsid w:val="007A6E20"/>
    <w:rsid w:val="007A6FD8"/>
    <w:rsid w:val="007A7136"/>
    <w:rsid w:val="007A73DA"/>
    <w:rsid w:val="007A7498"/>
    <w:rsid w:val="007A74B2"/>
    <w:rsid w:val="007A7C64"/>
    <w:rsid w:val="007B0571"/>
    <w:rsid w:val="007B06B8"/>
    <w:rsid w:val="007B07C4"/>
    <w:rsid w:val="007B0B94"/>
    <w:rsid w:val="007B0C12"/>
    <w:rsid w:val="007B109A"/>
    <w:rsid w:val="007B11EC"/>
    <w:rsid w:val="007B139D"/>
    <w:rsid w:val="007B16E5"/>
    <w:rsid w:val="007B1F57"/>
    <w:rsid w:val="007B2135"/>
    <w:rsid w:val="007B216F"/>
    <w:rsid w:val="007B25D1"/>
    <w:rsid w:val="007B2616"/>
    <w:rsid w:val="007B3057"/>
    <w:rsid w:val="007B4597"/>
    <w:rsid w:val="007B47A0"/>
    <w:rsid w:val="007B5174"/>
    <w:rsid w:val="007B5336"/>
    <w:rsid w:val="007B55C5"/>
    <w:rsid w:val="007B57D2"/>
    <w:rsid w:val="007B5E43"/>
    <w:rsid w:val="007B5F3C"/>
    <w:rsid w:val="007B5F62"/>
    <w:rsid w:val="007B6CC6"/>
    <w:rsid w:val="007B6F4D"/>
    <w:rsid w:val="007B70FB"/>
    <w:rsid w:val="007B72CD"/>
    <w:rsid w:val="007B74DB"/>
    <w:rsid w:val="007B7566"/>
    <w:rsid w:val="007C0482"/>
    <w:rsid w:val="007C123C"/>
    <w:rsid w:val="007C1637"/>
    <w:rsid w:val="007C1DC9"/>
    <w:rsid w:val="007C20FE"/>
    <w:rsid w:val="007C2343"/>
    <w:rsid w:val="007C24BB"/>
    <w:rsid w:val="007C2678"/>
    <w:rsid w:val="007C277D"/>
    <w:rsid w:val="007C3435"/>
    <w:rsid w:val="007C35A9"/>
    <w:rsid w:val="007C360B"/>
    <w:rsid w:val="007C376A"/>
    <w:rsid w:val="007C3888"/>
    <w:rsid w:val="007C4A77"/>
    <w:rsid w:val="007C4AC1"/>
    <w:rsid w:val="007C4ACA"/>
    <w:rsid w:val="007C55A5"/>
    <w:rsid w:val="007C55BE"/>
    <w:rsid w:val="007C5AB5"/>
    <w:rsid w:val="007C62D0"/>
    <w:rsid w:val="007C766F"/>
    <w:rsid w:val="007C7AD6"/>
    <w:rsid w:val="007C7C59"/>
    <w:rsid w:val="007C7DC7"/>
    <w:rsid w:val="007D03B3"/>
    <w:rsid w:val="007D0816"/>
    <w:rsid w:val="007D0F3B"/>
    <w:rsid w:val="007D15F0"/>
    <w:rsid w:val="007D178B"/>
    <w:rsid w:val="007D1B64"/>
    <w:rsid w:val="007D1F73"/>
    <w:rsid w:val="007D22CE"/>
    <w:rsid w:val="007D2367"/>
    <w:rsid w:val="007D2C50"/>
    <w:rsid w:val="007D33FA"/>
    <w:rsid w:val="007D3A86"/>
    <w:rsid w:val="007D3B12"/>
    <w:rsid w:val="007D3BC5"/>
    <w:rsid w:val="007D40F5"/>
    <w:rsid w:val="007D46D8"/>
    <w:rsid w:val="007D4892"/>
    <w:rsid w:val="007D48E9"/>
    <w:rsid w:val="007D4A1A"/>
    <w:rsid w:val="007D4D44"/>
    <w:rsid w:val="007D53CB"/>
    <w:rsid w:val="007D561F"/>
    <w:rsid w:val="007D5857"/>
    <w:rsid w:val="007D5BB4"/>
    <w:rsid w:val="007D6246"/>
    <w:rsid w:val="007D68DB"/>
    <w:rsid w:val="007D6E43"/>
    <w:rsid w:val="007D6F86"/>
    <w:rsid w:val="007D72CB"/>
    <w:rsid w:val="007D72EB"/>
    <w:rsid w:val="007D7CDD"/>
    <w:rsid w:val="007E08C9"/>
    <w:rsid w:val="007E0F8F"/>
    <w:rsid w:val="007E13A8"/>
    <w:rsid w:val="007E2236"/>
    <w:rsid w:val="007E296A"/>
    <w:rsid w:val="007E2A9F"/>
    <w:rsid w:val="007E317C"/>
    <w:rsid w:val="007E3456"/>
    <w:rsid w:val="007E35D0"/>
    <w:rsid w:val="007E3A03"/>
    <w:rsid w:val="007E3E82"/>
    <w:rsid w:val="007E44F9"/>
    <w:rsid w:val="007E47D5"/>
    <w:rsid w:val="007E4C3C"/>
    <w:rsid w:val="007E502A"/>
    <w:rsid w:val="007E5268"/>
    <w:rsid w:val="007E53AF"/>
    <w:rsid w:val="007E5ED9"/>
    <w:rsid w:val="007E5EDC"/>
    <w:rsid w:val="007E6646"/>
    <w:rsid w:val="007E67D9"/>
    <w:rsid w:val="007E6C51"/>
    <w:rsid w:val="007E7232"/>
    <w:rsid w:val="007E72AB"/>
    <w:rsid w:val="007E7E0F"/>
    <w:rsid w:val="007F0378"/>
    <w:rsid w:val="007F0684"/>
    <w:rsid w:val="007F06B6"/>
    <w:rsid w:val="007F06E8"/>
    <w:rsid w:val="007F0AF8"/>
    <w:rsid w:val="007F1933"/>
    <w:rsid w:val="007F1B94"/>
    <w:rsid w:val="007F1F1C"/>
    <w:rsid w:val="007F219A"/>
    <w:rsid w:val="007F35B8"/>
    <w:rsid w:val="007F3A71"/>
    <w:rsid w:val="007F3D80"/>
    <w:rsid w:val="007F3F16"/>
    <w:rsid w:val="007F4906"/>
    <w:rsid w:val="007F4981"/>
    <w:rsid w:val="007F6340"/>
    <w:rsid w:val="007F65DB"/>
    <w:rsid w:val="007F6761"/>
    <w:rsid w:val="007F6BC4"/>
    <w:rsid w:val="007F70D4"/>
    <w:rsid w:val="007F76B6"/>
    <w:rsid w:val="007F7ABF"/>
    <w:rsid w:val="0080073F"/>
    <w:rsid w:val="00801607"/>
    <w:rsid w:val="00801713"/>
    <w:rsid w:val="0080176E"/>
    <w:rsid w:val="00801B94"/>
    <w:rsid w:val="00801CB1"/>
    <w:rsid w:val="00802A50"/>
    <w:rsid w:val="00802AA7"/>
    <w:rsid w:val="00802B6F"/>
    <w:rsid w:val="008038AE"/>
    <w:rsid w:val="00803AAC"/>
    <w:rsid w:val="00803ACE"/>
    <w:rsid w:val="00805834"/>
    <w:rsid w:val="00805B99"/>
    <w:rsid w:val="00805D3E"/>
    <w:rsid w:val="008065B9"/>
    <w:rsid w:val="00806E9B"/>
    <w:rsid w:val="00807090"/>
    <w:rsid w:val="00807926"/>
    <w:rsid w:val="00807A15"/>
    <w:rsid w:val="00807AB5"/>
    <w:rsid w:val="008100A2"/>
    <w:rsid w:val="008107F5"/>
    <w:rsid w:val="00810A75"/>
    <w:rsid w:val="00810D27"/>
    <w:rsid w:val="00810E30"/>
    <w:rsid w:val="00810ED7"/>
    <w:rsid w:val="00811057"/>
    <w:rsid w:val="0081169E"/>
    <w:rsid w:val="008123D4"/>
    <w:rsid w:val="008123DF"/>
    <w:rsid w:val="00812B2D"/>
    <w:rsid w:val="00813AEB"/>
    <w:rsid w:val="00814049"/>
    <w:rsid w:val="00814CAD"/>
    <w:rsid w:val="0081580E"/>
    <w:rsid w:val="00815914"/>
    <w:rsid w:val="00815BB1"/>
    <w:rsid w:val="0081623E"/>
    <w:rsid w:val="00817D96"/>
    <w:rsid w:val="00817E6F"/>
    <w:rsid w:val="00817F9A"/>
    <w:rsid w:val="00820896"/>
    <w:rsid w:val="00821A07"/>
    <w:rsid w:val="008227FA"/>
    <w:rsid w:val="008229A2"/>
    <w:rsid w:val="00823352"/>
    <w:rsid w:val="0082443D"/>
    <w:rsid w:val="00824A9E"/>
    <w:rsid w:val="00824E44"/>
    <w:rsid w:val="00825ED1"/>
    <w:rsid w:val="00825EDB"/>
    <w:rsid w:val="00825F58"/>
    <w:rsid w:val="008264EB"/>
    <w:rsid w:val="008268CF"/>
    <w:rsid w:val="00826DEF"/>
    <w:rsid w:val="008270EE"/>
    <w:rsid w:val="00827497"/>
    <w:rsid w:val="008275A9"/>
    <w:rsid w:val="0083026B"/>
    <w:rsid w:val="008307F9"/>
    <w:rsid w:val="00830845"/>
    <w:rsid w:val="0083098F"/>
    <w:rsid w:val="008309E1"/>
    <w:rsid w:val="00831472"/>
    <w:rsid w:val="008327F0"/>
    <w:rsid w:val="008329FF"/>
    <w:rsid w:val="00832ECB"/>
    <w:rsid w:val="0083302B"/>
    <w:rsid w:val="00833526"/>
    <w:rsid w:val="008340EC"/>
    <w:rsid w:val="00834B47"/>
    <w:rsid w:val="00835459"/>
    <w:rsid w:val="00836259"/>
    <w:rsid w:val="00836E1B"/>
    <w:rsid w:val="0083793C"/>
    <w:rsid w:val="00837C92"/>
    <w:rsid w:val="00837F0F"/>
    <w:rsid w:val="00837FEE"/>
    <w:rsid w:val="008416E5"/>
    <w:rsid w:val="00841A00"/>
    <w:rsid w:val="0084210C"/>
    <w:rsid w:val="00842BBA"/>
    <w:rsid w:val="00842D41"/>
    <w:rsid w:val="00842E56"/>
    <w:rsid w:val="00843029"/>
    <w:rsid w:val="00843420"/>
    <w:rsid w:val="00843B5D"/>
    <w:rsid w:val="00843F87"/>
    <w:rsid w:val="008447D4"/>
    <w:rsid w:val="0084506C"/>
    <w:rsid w:val="008454BD"/>
    <w:rsid w:val="008463F3"/>
    <w:rsid w:val="00846509"/>
    <w:rsid w:val="008467D3"/>
    <w:rsid w:val="00846845"/>
    <w:rsid w:val="00846D76"/>
    <w:rsid w:val="00847650"/>
    <w:rsid w:val="008476DC"/>
    <w:rsid w:val="00847829"/>
    <w:rsid w:val="008479B1"/>
    <w:rsid w:val="0085005F"/>
    <w:rsid w:val="008500F5"/>
    <w:rsid w:val="0085062F"/>
    <w:rsid w:val="00851307"/>
    <w:rsid w:val="008515B1"/>
    <w:rsid w:val="00851C40"/>
    <w:rsid w:val="00852508"/>
    <w:rsid w:val="00852578"/>
    <w:rsid w:val="00852E5B"/>
    <w:rsid w:val="0085323E"/>
    <w:rsid w:val="008535EB"/>
    <w:rsid w:val="00853677"/>
    <w:rsid w:val="00853A88"/>
    <w:rsid w:val="00853ACD"/>
    <w:rsid w:val="00853ACF"/>
    <w:rsid w:val="00853F1F"/>
    <w:rsid w:val="008544D3"/>
    <w:rsid w:val="0085501C"/>
    <w:rsid w:val="00855089"/>
    <w:rsid w:val="008558A1"/>
    <w:rsid w:val="00855A1E"/>
    <w:rsid w:val="00855DEB"/>
    <w:rsid w:val="0085642F"/>
    <w:rsid w:val="008573AF"/>
    <w:rsid w:val="008573F8"/>
    <w:rsid w:val="00857645"/>
    <w:rsid w:val="00857D80"/>
    <w:rsid w:val="008602FC"/>
    <w:rsid w:val="00860989"/>
    <w:rsid w:val="00860CF9"/>
    <w:rsid w:val="008614A8"/>
    <w:rsid w:val="008622D3"/>
    <w:rsid w:val="0086268A"/>
    <w:rsid w:val="00862EE5"/>
    <w:rsid w:val="00863626"/>
    <w:rsid w:val="008639A2"/>
    <w:rsid w:val="00863BBB"/>
    <w:rsid w:val="008640FD"/>
    <w:rsid w:val="0086426C"/>
    <w:rsid w:val="008644D5"/>
    <w:rsid w:val="0086564F"/>
    <w:rsid w:val="00865681"/>
    <w:rsid w:val="00865C9A"/>
    <w:rsid w:val="00866618"/>
    <w:rsid w:val="00867578"/>
    <w:rsid w:val="00867B6B"/>
    <w:rsid w:val="00867FDD"/>
    <w:rsid w:val="0087000F"/>
    <w:rsid w:val="00870788"/>
    <w:rsid w:val="00870923"/>
    <w:rsid w:val="00870A8A"/>
    <w:rsid w:val="00870AFC"/>
    <w:rsid w:val="00870F67"/>
    <w:rsid w:val="00870F6E"/>
    <w:rsid w:val="008715CC"/>
    <w:rsid w:val="00872589"/>
    <w:rsid w:val="00872770"/>
    <w:rsid w:val="00873125"/>
    <w:rsid w:val="008731F2"/>
    <w:rsid w:val="00873754"/>
    <w:rsid w:val="00873CF3"/>
    <w:rsid w:val="008752FC"/>
    <w:rsid w:val="00875FA4"/>
    <w:rsid w:val="008763C8"/>
    <w:rsid w:val="0087656D"/>
    <w:rsid w:val="0087672D"/>
    <w:rsid w:val="008779E9"/>
    <w:rsid w:val="00877D2C"/>
    <w:rsid w:val="00877D6E"/>
    <w:rsid w:val="00877E35"/>
    <w:rsid w:val="0088014E"/>
    <w:rsid w:val="00880AA4"/>
    <w:rsid w:val="00880BAB"/>
    <w:rsid w:val="008817FF"/>
    <w:rsid w:val="0088239C"/>
    <w:rsid w:val="00882745"/>
    <w:rsid w:val="008828F7"/>
    <w:rsid w:val="00882946"/>
    <w:rsid w:val="00882A65"/>
    <w:rsid w:val="00882C4D"/>
    <w:rsid w:val="00882D67"/>
    <w:rsid w:val="00882E58"/>
    <w:rsid w:val="0088318D"/>
    <w:rsid w:val="008835B1"/>
    <w:rsid w:val="00883B3F"/>
    <w:rsid w:val="00884A91"/>
    <w:rsid w:val="008851BE"/>
    <w:rsid w:val="00885538"/>
    <w:rsid w:val="00886188"/>
    <w:rsid w:val="0088651F"/>
    <w:rsid w:val="00886632"/>
    <w:rsid w:val="00886922"/>
    <w:rsid w:val="00887063"/>
    <w:rsid w:val="00887798"/>
    <w:rsid w:val="0088796B"/>
    <w:rsid w:val="00887D83"/>
    <w:rsid w:val="00887F1B"/>
    <w:rsid w:val="00887F25"/>
    <w:rsid w:val="008900CF"/>
    <w:rsid w:val="008903F8"/>
    <w:rsid w:val="00890709"/>
    <w:rsid w:val="00891AE3"/>
    <w:rsid w:val="00891D67"/>
    <w:rsid w:val="00892165"/>
    <w:rsid w:val="008922CF"/>
    <w:rsid w:val="008923D1"/>
    <w:rsid w:val="008925B9"/>
    <w:rsid w:val="00892AEE"/>
    <w:rsid w:val="008937AC"/>
    <w:rsid w:val="008937CB"/>
    <w:rsid w:val="00893FF7"/>
    <w:rsid w:val="0089427B"/>
    <w:rsid w:val="008942A5"/>
    <w:rsid w:val="0089483C"/>
    <w:rsid w:val="00894A6B"/>
    <w:rsid w:val="00894A7F"/>
    <w:rsid w:val="00895DCC"/>
    <w:rsid w:val="00895E5A"/>
    <w:rsid w:val="008962BC"/>
    <w:rsid w:val="008973BA"/>
    <w:rsid w:val="00897502"/>
    <w:rsid w:val="00897602"/>
    <w:rsid w:val="00897855"/>
    <w:rsid w:val="008A03C3"/>
    <w:rsid w:val="008A0B6D"/>
    <w:rsid w:val="008A0E02"/>
    <w:rsid w:val="008A0E63"/>
    <w:rsid w:val="008A0F85"/>
    <w:rsid w:val="008A173F"/>
    <w:rsid w:val="008A1EFD"/>
    <w:rsid w:val="008A1F90"/>
    <w:rsid w:val="008A211F"/>
    <w:rsid w:val="008A2385"/>
    <w:rsid w:val="008A2790"/>
    <w:rsid w:val="008A2830"/>
    <w:rsid w:val="008A2C5D"/>
    <w:rsid w:val="008A30BD"/>
    <w:rsid w:val="008A3C32"/>
    <w:rsid w:val="008A444A"/>
    <w:rsid w:val="008A46CB"/>
    <w:rsid w:val="008A4876"/>
    <w:rsid w:val="008A4F57"/>
    <w:rsid w:val="008A52CE"/>
    <w:rsid w:val="008A544C"/>
    <w:rsid w:val="008A574C"/>
    <w:rsid w:val="008A5BC7"/>
    <w:rsid w:val="008A67A1"/>
    <w:rsid w:val="008A6A25"/>
    <w:rsid w:val="008A720F"/>
    <w:rsid w:val="008A77BD"/>
    <w:rsid w:val="008A7949"/>
    <w:rsid w:val="008A7A03"/>
    <w:rsid w:val="008A7B45"/>
    <w:rsid w:val="008B0BA7"/>
    <w:rsid w:val="008B0E9B"/>
    <w:rsid w:val="008B103F"/>
    <w:rsid w:val="008B12FC"/>
    <w:rsid w:val="008B1C8C"/>
    <w:rsid w:val="008B1E06"/>
    <w:rsid w:val="008B20A4"/>
    <w:rsid w:val="008B2F1A"/>
    <w:rsid w:val="008B31AD"/>
    <w:rsid w:val="008B331F"/>
    <w:rsid w:val="008B3A87"/>
    <w:rsid w:val="008B3C1F"/>
    <w:rsid w:val="008B3D7A"/>
    <w:rsid w:val="008B4243"/>
    <w:rsid w:val="008B47F4"/>
    <w:rsid w:val="008B4953"/>
    <w:rsid w:val="008B4E19"/>
    <w:rsid w:val="008B4F72"/>
    <w:rsid w:val="008B58E4"/>
    <w:rsid w:val="008B5A61"/>
    <w:rsid w:val="008B5F58"/>
    <w:rsid w:val="008B6190"/>
    <w:rsid w:val="008B6367"/>
    <w:rsid w:val="008B63AD"/>
    <w:rsid w:val="008B6939"/>
    <w:rsid w:val="008B6A05"/>
    <w:rsid w:val="008B6ADB"/>
    <w:rsid w:val="008B7546"/>
    <w:rsid w:val="008B75A5"/>
    <w:rsid w:val="008B7ECB"/>
    <w:rsid w:val="008C0557"/>
    <w:rsid w:val="008C0771"/>
    <w:rsid w:val="008C0845"/>
    <w:rsid w:val="008C1779"/>
    <w:rsid w:val="008C1DC1"/>
    <w:rsid w:val="008C287C"/>
    <w:rsid w:val="008C28B3"/>
    <w:rsid w:val="008C3591"/>
    <w:rsid w:val="008C3982"/>
    <w:rsid w:val="008C3A88"/>
    <w:rsid w:val="008C3AC1"/>
    <w:rsid w:val="008C3D73"/>
    <w:rsid w:val="008C41CD"/>
    <w:rsid w:val="008C482E"/>
    <w:rsid w:val="008C4E96"/>
    <w:rsid w:val="008C4EB8"/>
    <w:rsid w:val="008C4FFE"/>
    <w:rsid w:val="008C51AD"/>
    <w:rsid w:val="008C5A8B"/>
    <w:rsid w:val="008C61B0"/>
    <w:rsid w:val="008C6E3D"/>
    <w:rsid w:val="008C6FD3"/>
    <w:rsid w:val="008C70EB"/>
    <w:rsid w:val="008C71DE"/>
    <w:rsid w:val="008C7C23"/>
    <w:rsid w:val="008C7FA7"/>
    <w:rsid w:val="008D0E8E"/>
    <w:rsid w:val="008D155D"/>
    <w:rsid w:val="008D15E6"/>
    <w:rsid w:val="008D229E"/>
    <w:rsid w:val="008D24C5"/>
    <w:rsid w:val="008D24FA"/>
    <w:rsid w:val="008D2F91"/>
    <w:rsid w:val="008D36D2"/>
    <w:rsid w:val="008D3E05"/>
    <w:rsid w:val="008D3FE4"/>
    <w:rsid w:val="008D415F"/>
    <w:rsid w:val="008D463D"/>
    <w:rsid w:val="008D536E"/>
    <w:rsid w:val="008D5506"/>
    <w:rsid w:val="008D56FD"/>
    <w:rsid w:val="008D5C9A"/>
    <w:rsid w:val="008D5D6F"/>
    <w:rsid w:val="008D5DAB"/>
    <w:rsid w:val="008D6641"/>
    <w:rsid w:val="008D6847"/>
    <w:rsid w:val="008D6968"/>
    <w:rsid w:val="008D6C68"/>
    <w:rsid w:val="008D71F3"/>
    <w:rsid w:val="008D746A"/>
    <w:rsid w:val="008D7AFD"/>
    <w:rsid w:val="008D7DEB"/>
    <w:rsid w:val="008D7E3E"/>
    <w:rsid w:val="008D7EA6"/>
    <w:rsid w:val="008E0029"/>
    <w:rsid w:val="008E01BA"/>
    <w:rsid w:val="008E0219"/>
    <w:rsid w:val="008E03B3"/>
    <w:rsid w:val="008E054A"/>
    <w:rsid w:val="008E08F2"/>
    <w:rsid w:val="008E0DE2"/>
    <w:rsid w:val="008E0EF1"/>
    <w:rsid w:val="008E19E9"/>
    <w:rsid w:val="008E1A0B"/>
    <w:rsid w:val="008E1CA4"/>
    <w:rsid w:val="008E22E0"/>
    <w:rsid w:val="008E260B"/>
    <w:rsid w:val="008E2BCC"/>
    <w:rsid w:val="008E3958"/>
    <w:rsid w:val="008E52E7"/>
    <w:rsid w:val="008E53DB"/>
    <w:rsid w:val="008E5A4E"/>
    <w:rsid w:val="008E646A"/>
    <w:rsid w:val="008E6D37"/>
    <w:rsid w:val="008E6F52"/>
    <w:rsid w:val="008E6F6B"/>
    <w:rsid w:val="008E712B"/>
    <w:rsid w:val="008E7155"/>
    <w:rsid w:val="008E71FB"/>
    <w:rsid w:val="008E7365"/>
    <w:rsid w:val="008E78ED"/>
    <w:rsid w:val="008F0248"/>
    <w:rsid w:val="008F07B8"/>
    <w:rsid w:val="008F0932"/>
    <w:rsid w:val="008F0945"/>
    <w:rsid w:val="008F0A86"/>
    <w:rsid w:val="008F0EF5"/>
    <w:rsid w:val="008F1238"/>
    <w:rsid w:val="008F14CA"/>
    <w:rsid w:val="008F257A"/>
    <w:rsid w:val="008F2A47"/>
    <w:rsid w:val="008F35D9"/>
    <w:rsid w:val="008F3793"/>
    <w:rsid w:val="008F3F41"/>
    <w:rsid w:val="008F438C"/>
    <w:rsid w:val="008F43D6"/>
    <w:rsid w:val="008F45BC"/>
    <w:rsid w:val="008F49F3"/>
    <w:rsid w:val="008F525C"/>
    <w:rsid w:val="008F5309"/>
    <w:rsid w:val="008F540C"/>
    <w:rsid w:val="008F6060"/>
    <w:rsid w:val="008F6426"/>
    <w:rsid w:val="008F6B8B"/>
    <w:rsid w:val="0090097F"/>
    <w:rsid w:val="00900D92"/>
    <w:rsid w:val="0090146E"/>
    <w:rsid w:val="009015F4"/>
    <w:rsid w:val="009017C8"/>
    <w:rsid w:val="00901E4D"/>
    <w:rsid w:val="0090296B"/>
    <w:rsid w:val="00903424"/>
    <w:rsid w:val="00904206"/>
    <w:rsid w:val="0090441B"/>
    <w:rsid w:val="00905456"/>
    <w:rsid w:val="0090621C"/>
    <w:rsid w:val="00906618"/>
    <w:rsid w:val="00906BB6"/>
    <w:rsid w:val="00906C4A"/>
    <w:rsid w:val="00907986"/>
    <w:rsid w:val="00907D90"/>
    <w:rsid w:val="00910078"/>
    <w:rsid w:val="009104AB"/>
    <w:rsid w:val="00910866"/>
    <w:rsid w:val="0091095D"/>
    <w:rsid w:val="00910E2C"/>
    <w:rsid w:val="009110AD"/>
    <w:rsid w:val="009111CC"/>
    <w:rsid w:val="009114FF"/>
    <w:rsid w:val="00911A79"/>
    <w:rsid w:val="00911D8B"/>
    <w:rsid w:val="00911DAD"/>
    <w:rsid w:val="00912464"/>
    <w:rsid w:val="009127CC"/>
    <w:rsid w:val="009133DD"/>
    <w:rsid w:val="00914525"/>
    <w:rsid w:val="009151EB"/>
    <w:rsid w:val="00915465"/>
    <w:rsid w:val="009158B9"/>
    <w:rsid w:val="009160F5"/>
    <w:rsid w:val="0091620A"/>
    <w:rsid w:val="00916301"/>
    <w:rsid w:val="00916863"/>
    <w:rsid w:val="0091688E"/>
    <w:rsid w:val="00916F1E"/>
    <w:rsid w:val="00917458"/>
    <w:rsid w:val="00917CA8"/>
    <w:rsid w:val="0092096D"/>
    <w:rsid w:val="00920975"/>
    <w:rsid w:val="009217B9"/>
    <w:rsid w:val="00921D9C"/>
    <w:rsid w:val="00921E56"/>
    <w:rsid w:val="009221ED"/>
    <w:rsid w:val="0092259C"/>
    <w:rsid w:val="009234E2"/>
    <w:rsid w:val="00923EDA"/>
    <w:rsid w:val="00926F12"/>
    <w:rsid w:val="009278EB"/>
    <w:rsid w:val="00927C90"/>
    <w:rsid w:val="00927DE3"/>
    <w:rsid w:val="00930591"/>
    <w:rsid w:val="00930609"/>
    <w:rsid w:val="00930B72"/>
    <w:rsid w:val="0093110E"/>
    <w:rsid w:val="0093122C"/>
    <w:rsid w:val="0093196E"/>
    <w:rsid w:val="00931A58"/>
    <w:rsid w:val="00932113"/>
    <w:rsid w:val="00932670"/>
    <w:rsid w:val="00932AD7"/>
    <w:rsid w:val="00932AFD"/>
    <w:rsid w:val="00932DAC"/>
    <w:rsid w:val="00932E71"/>
    <w:rsid w:val="009332E0"/>
    <w:rsid w:val="00934DE7"/>
    <w:rsid w:val="00935130"/>
    <w:rsid w:val="009352C5"/>
    <w:rsid w:val="00935534"/>
    <w:rsid w:val="0093562F"/>
    <w:rsid w:val="0093573A"/>
    <w:rsid w:val="009359EE"/>
    <w:rsid w:val="00935F61"/>
    <w:rsid w:val="009360BB"/>
    <w:rsid w:val="00936981"/>
    <w:rsid w:val="00936B1F"/>
    <w:rsid w:val="0093775C"/>
    <w:rsid w:val="00937887"/>
    <w:rsid w:val="009379F0"/>
    <w:rsid w:val="00937A67"/>
    <w:rsid w:val="00937BEC"/>
    <w:rsid w:val="0094055F"/>
    <w:rsid w:val="00940757"/>
    <w:rsid w:val="00941A0C"/>
    <w:rsid w:val="00941A8A"/>
    <w:rsid w:val="00941FF5"/>
    <w:rsid w:val="00942B2E"/>
    <w:rsid w:val="00942DF0"/>
    <w:rsid w:val="00943238"/>
    <w:rsid w:val="00943464"/>
    <w:rsid w:val="009434EB"/>
    <w:rsid w:val="00943572"/>
    <w:rsid w:val="00943CFE"/>
    <w:rsid w:val="00943F96"/>
    <w:rsid w:val="00943FA2"/>
    <w:rsid w:val="0094494D"/>
    <w:rsid w:val="00944BA5"/>
    <w:rsid w:val="00944E59"/>
    <w:rsid w:val="00944FD3"/>
    <w:rsid w:val="00945401"/>
    <w:rsid w:val="009456F4"/>
    <w:rsid w:val="009459F4"/>
    <w:rsid w:val="00945ABE"/>
    <w:rsid w:val="00945E58"/>
    <w:rsid w:val="00945F1C"/>
    <w:rsid w:val="00945F58"/>
    <w:rsid w:val="00946127"/>
    <w:rsid w:val="00946907"/>
    <w:rsid w:val="00947607"/>
    <w:rsid w:val="00950CAE"/>
    <w:rsid w:val="00951164"/>
    <w:rsid w:val="009512EC"/>
    <w:rsid w:val="00952E7D"/>
    <w:rsid w:val="0095315A"/>
    <w:rsid w:val="009534DD"/>
    <w:rsid w:val="009535C2"/>
    <w:rsid w:val="00953A73"/>
    <w:rsid w:val="0095432C"/>
    <w:rsid w:val="00954BB2"/>
    <w:rsid w:val="00954D5A"/>
    <w:rsid w:val="009551A8"/>
    <w:rsid w:val="00955665"/>
    <w:rsid w:val="00955C1A"/>
    <w:rsid w:val="00956984"/>
    <w:rsid w:val="009569BE"/>
    <w:rsid w:val="00956B6C"/>
    <w:rsid w:val="00957932"/>
    <w:rsid w:val="00957B5B"/>
    <w:rsid w:val="009601CB"/>
    <w:rsid w:val="0096059A"/>
    <w:rsid w:val="0096081E"/>
    <w:rsid w:val="00960C64"/>
    <w:rsid w:val="00960D39"/>
    <w:rsid w:val="00960F7E"/>
    <w:rsid w:val="009611A5"/>
    <w:rsid w:val="00961279"/>
    <w:rsid w:val="0096193B"/>
    <w:rsid w:val="00961B25"/>
    <w:rsid w:val="009622A5"/>
    <w:rsid w:val="0096267A"/>
    <w:rsid w:val="009629FE"/>
    <w:rsid w:val="00963188"/>
    <w:rsid w:val="00963240"/>
    <w:rsid w:val="00963957"/>
    <w:rsid w:val="00963B82"/>
    <w:rsid w:val="00964475"/>
    <w:rsid w:val="00964A6E"/>
    <w:rsid w:val="00964FB4"/>
    <w:rsid w:val="009656A4"/>
    <w:rsid w:val="0096582E"/>
    <w:rsid w:val="00965DAE"/>
    <w:rsid w:val="009666BD"/>
    <w:rsid w:val="00966B91"/>
    <w:rsid w:val="00966BFB"/>
    <w:rsid w:val="00966FF8"/>
    <w:rsid w:val="0096749A"/>
    <w:rsid w:val="00967CDA"/>
    <w:rsid w:val="00970048"/>
    <w:rsid w:val="00971831"/>
    <w:rsid w:val="0097216D"/>
    <w:rsid w:val="00972D8F"/>
    <w:rsid w:val="00973C2B"/>
    <w:rsid w:val="0097437B"/>
    <w:rsid w:val="0097441E"/>
    <w:rsid w:val="00975990"/>
    <w:rsid w:val="00975FB0"/>
    <w:rsid w:val="009762C7"/>
    <w:rsid w:val="0097670F"/>
    <w:rsid w:val="00976C61"/>
    <w:rsid w:val="0097710C"/>
    <w:rsid w:val="009803EC"/>
    <w:rsid w:val="00980DC7"/>
    <w:rsid w:val="00981215"/>
    <w:rsid w:val="009812AC"/>
    <w:rsid w:val="009812FC"/>
    <w:rsid w:val="009813BF"/>
    <w:rsid w:val="009816E3"/>
    <w:rsid w:val="009819CD"/>
    <w:rsid w:val="00981AC2"/>
    <w:rsid w:val="00982032"/>
    <w:rsid w:val="009824DD"/>
    <w:rsid w:val="00982C0D"/>
    <w:rsid w:val="009834ED"/>
    <w:rsid w:val="00983D98"/>
    <w:rsid w:val="009844B4"/>
    <w:rsid w:val="0098453B"/>
    <w:rsid w:val="0098461D"/>
    <w:rsid w:val="009849BE"/>
    <w:rsid w:val="00984BB9"/>
    <w:rsid w:val="00984D82"/>
    <w:rsid w:val="0098572B"/>
    <w:rsid w:val="00985CDA"/>
    <w:rsid w:val="0098603A"/>
    <w:rsid w:val="00986137"/>
    <w:rsid w:val="00986B96"/>
    <w:rsid w:val="0098740B"/>
    <w:rsid w:val="00987506"/>
    <w:rsid w:val="00987512"/>
    <w:rsid w:val="00987C6F"/>
    <w:rsid w:val="00990117"/>
    <w:rsid w:val="0099018C"/>
    <w:rsid w:val="00990708"/>
    <w:rsid w:val="00990718"/>
    <w:rsid w:val="009908F7"/>
    <w:rsid w:val="00990C3D"/>
    <w:rsid w:val="0099199D"/>
    <w:rsid w:val="00991B9A"/>
    <w:rsid w:val="0099238D"/>
    <w:rsid w:val="0099242C"/>
    <w:rsid w:val="00992837"/>
    <w:rsid w:val="00992A01"/>
    <w:rsid w:val="00993499"/>
    <w:rsid w:val="009934DB"/>
    <w:rsid w:val="009939CB"/>
    <w:rsid w:val="00993D95"/>
    <w:rsid w:val="009945C0"/>
    <w:rsid w:val="009948FE"/>
    <w:rsid w:val="009949AE"/>
    <w:rsid w:val="00994D3D"/>
    <w:rsid w:val="00995267"/>
    <w:rsid w:val="009952F4"/>
    <w:rsid w:val="00995756"/>
    <w:rsid w:val="00995B8C"/>
    <w:rsid w:val="00995E08"/>
    <w:rsid w:val="00996468"/>
    <w:rsid w:val="009966AD"/>
    <w:rsid w:val="009967AF"/>
    <w:rsid w:val="00997125"/>
    <w:rsid w:val="00997F39"/>
    <w:rsid w:val="009A0208"/>
    <w:rsid w:val="009A03AC"/>
    <w:rsid w:val="009A0B05"/>
    <w:rsid w:val="009A0BE4"/>
    <w:rsid w:val="009A1089"/>
    <w:rsid w:val="009A1B80"/>
    <w:rsid w:val="009A1D3F"/>
    <w:rsid w:val="009A1F44"/>
    <w:rsid w:val="009A21EE"/>
    <w:rsid w:val="009A24A0"/>
    <w:rsid w:val="009A253B"/>
    <w:rsid w:val="009A3205"/>
    <w:rsid w:val="009A346F"/>
    <w:rsid w:val="009A3C6E"/>
    <w:rsid w:val="009A3CC7"/>
    <w:rsid w:val="009A3DA2"/>
    <w:rsid w:val="009A49BD"/>
    <w:rsid w:val="009A640C"/>
    <w:rsid w:val="009A671A"/>
    <w:rsid w:val="009A6A04"/>
    <w:rsid w:val="009A6A34"/>
    <w:rsid w:val="009A78A6"/>
    <w:rsid w:val="009A7BB0"/>
    <w:rsid w:val="009B01AE"/>
    <w:rsid w:val="009B04F2"/>
    <w:rsid w:val="009B0A43"/>
    <w:rsid w:val="009B0EAE"/>
    <w:rsid w:val="009B123D"/>
    <w:rsid w:val="009B12D4"/>
    <w:rsid w:val="009B1C1B"/>
    <w:rsid w:val="009B1E55"/>
    <w:rsid w:val="009B1FF8"/>
    <w:rsid w:val="009B22AC"/>
    <w:rsid w:val="009B35BF"/>
    <w:rsid w:val="009B4C28"/>
    <w:rsid w:val="009B4C3E"/>
    <w:rsid w:val="009B4D2F"/>
    <w:rsid w:val="009B5038"/>
    <w:rsid w:val="009B56BE"/>
    <w:rsid w:val="009B573C"/>
    <w:rsid w:val="009B6071"/>
    <w:rsid w:val="009B6E0F"/>
    <w:rsid w:val="009B6EF9"/>
    <w:rsid w:val="009B7356"/>
    <w:rsid w:val="009B78A7"/>
    <w:rsid w:val="009B7A8A"/>
    <w:rsid w:val="009C03A2"/>
    <w:rsid w:val="009C099B"/>
    <w:rsid w:val="009C0B86"/>
    <w:rsid w:val="009C113F"/>
    <w:rsid w:val="009C1832"/>
    <w:rsid w:val="009C1ADB"/>
    <w:rsid w:val="009C37BF"/>
    <w:rsid w:val="009C398A"/>
    <w:rsid w:val="009C39D9"/>
    <w:rsid w:val="009C407C"/>
    <w:rsid w:val="009C4676"/>
    <w:rsid w:val="009C4ADF"/>
    <w:rsid w:val="009C576C"/>
    <w:rsid w:val="009C5BB9"/>
    <w:rsid w:val="009C5FC3"/>
    <w:rsid w:val="009C60E9"/>
    <w:rsid w:val="009C6629"/>
    <w:rsid w:val="009C7231"/>
    <w:rsid w:val="009C7896"/>
    <w:rsid w:val="009C7E85"/>
    <w:rsid w:val="009D014A"/>
    <w:rsid w:val="009D0530"/>
    <w:rsid w:val="009D0C23"/>
    <w:rsid w:val="009D0CF4"/>
    <w:rsid w:val="009D0D52"/>
    <w:rsid w:val="009D140A"/>
    <w:rsid w:val="009D1A74"/>
    <w:rsid w:val="009D1C65"/>
    <w:rsid w:val="009D2B87"/>
    <w:rsid w:val="009D2C76"/>
    <w:rsid w:val="009D2CDC"/>
    <w:rsid w:val="009D3079"/>
    <w:rsid w:val="009D39E1"/>
    <w:rsid w:val="009D3D90"/>
    <w:rsid w:val="009D4060"/>
    <w:rsid w:val="009D43C4"/>
    <w:rsid w:val="009D4AF8"/>
    <w:rsid w:val="009D4C5D"/>
    <w:rsid w:val="009D5B6B"/>
    <w:rsid w:val="009D645F"/>
    <w:rsid w:val="009D6D3F"/>
    <w:rsid w:val="009D7410"/>
    <w:rsid w:val="009D7601"/>
    <w:rsid w:val="009D7622"/>
    <w:rsid w:val="009E055D"/>
    <w:rsid w:val="009E09DF"/>
    <w:rsid w:val="009E0BE2"/>
    <w:rsid w:val="009E137C"/>
    <w:rsid w:val="009E188B"/>
    <w:rsid w:val="009E1908"/>
    <w:rsid w:val="009E2463"/>
    <w:rsid w:val="009E262E"/>
    <w:rsid w:val="009E2B4C"/>
    <w:rsid w:val="009E2C55"/>
    <w:rsid w:val="009E2E3F"/>
    <w:rsid w:val="009E2FAC"/>
    <w:rsid w:val="009E44A4"/>
    <w:rsid w:val="009E4A34"/>
    <w:rsid w:val="009E4E3B"/>
    <w:rsid w:val="009E59F4"/>
    <w:rsid w:val="009E5A96"/>
    <w:rsid w:val="009E5DD3"/>
    <w:rsid w:val="009E5EDA"/>
    <w:rsid w:val="009E61B0"/>
    <w:rsid w:val="009E622E"/>
    <w:rsid w:val="009E6387"/>
    <w:rsid w:val="009E63F0"/>
    <w:rsid w:val="009E7209"/>
    <w:rsid w:val="009E760A"/>
    <w:rsid w:val="009E7BCD"/>
    <w:rsid w:val="009E7BFC"/>
    <w:rsid w:val="009F012F"/>
    <w:rsid w:val="009F0217"/>
    <w:rsid w:val="009F05AC"/>
    <w:rsid w:val="009F0707"/>
    <w:rsid w:val="009F086C"/>
    <w:rsid w:val="009F09BE"/>
    <w:rsid w:val="009F1191"/>
    <w:rsid w:val="009F1443"/>
    <w:rsid w:val="009F1448"/>
    <w:rsid w:val="009F1778"/>
    <w:rsid w:val="009F1949"/>
    <w:rsid w:val="009F1EEE"/>
    <w:rsid w:val="009F1F3F"/>
    <w:rsid w:val="009F2131"/>
    <w:rsid w:val="009F239C"/>
    <w:rsid w:val="009F2E88"/>
    <w:rsid w:val="009F39A1"/>
    <w:rsid w:val="009F3FE4"/>
    <w:rsid w:val="009F43DD"/>
    <w:rsid w:val="009F4825"/>
    <w:rsid w:val="009F49FF"/>
    <w:rsid w:val="009F5CE6"/>
    <w:rsid w:val="009F60E0"/>
    <w:rsid w:val="009F68A3"/>
    <w:rsid w:val="009F6B75"/>
    <w:rsid w:val="009F6F3D"/>
    <w:rsid w:val="009F71FD"/>
    <w:rsid w:val="009F74DB"/>
    <w:rsid w:val="009F77DF"/>
    <w:rsid w:val="009F7813"/>
    <w:rsid w:val="009F7F8E"/>
    <w:rsid w:val="00A00221"/>
    <w:rsid w:val="00A00437"/>
    <w:rsid w:val="00A00792"/>
    <w:rsid w:val="00A00BCB"/>
    <w:rsid w:val="00A00DDA"/>
    <w:rsid w:val="00A01385"/>
    <w:rsid w:val="00A01B9D"/>
    <w:rsid w:val="00A0201C"/>
    <w:rsid w:val="00A02C0A"/>
    <w:rsid w:val="00A03068"/>
    <w:rsid w:val="00A03652"/>
    <w:rsid w:val="00A03A2A"/>
    <w:rsid w:val="00A03E4B"/>
    <w:rsid w:val="00A047DA"/>
    <w:rsid w:val="00A0480E"/>
    <w:rsid w:val="00A04844"/>
    <w:rsid w:val="00A04982"/>
    <w:rsid w:val="00A051EA"/>
    <w:rsid w:val="00A05CA6"/>
    <w:rsid w:val="00A05CF4"/>
    <w:rsid w:val="00A06990"/>
    <w:rsid w:val="00A06ED8"/>
    <w:rsid w:val="00A06F9D"/>
    <w:rsid w:val="00A07570"/>
    <w:rsid w:val="00A10103"/>
    <w:rsid w:val="00A10BC9"/>
    <w:rsid w:val="00A11137"/>
    <w:rsid w:val="00A111EA"/>
    <w:rsid w:val="00A1135E"/>
    <w:rsid w:val="00A11447"/>
    <w:rsid w:val="00A11555"/>
    <w:rsid w:val="00A11B67"/>
    <w:rsid w:val="00A11DEE"/>
    <w:rsid w:val="00A12A38"/>
    <w:rsid w:val="00A12A97"/>
    <w:rsid w:val="00A12B28"/>
    <w:rsid w:val="00A1374B"/>
    <w:rsid w:val="00A13EAB"/>
    <w:rsid w:val="00A15545"/>
    <w:rsid w:val="00A1602B"/>
    <w:rsid w:val="00A162DF"/>
    <w:rsid w:val="00A16324"/>
    <w:rsid w:val="00A17013"/>
    <w:rsid w:val="00A17AF1"/>
    <w:rsid w:val="00A17B4D"/>
    <w:rsid w:val="00A17B91"/>
    <w:rsid w:val="00A20220"/>
    <w:rsid w:val="00A2055E"/>
    <w:rsid w:val="00A20CAE"/>
    <w:rsid w:val="00A21676"/>
    <w:rsid w:val="00A21C7C"/>
    <w:rsid w:val="00A224C7"/>
    <w:rsid w:val="00A225DB"/>
    <w:rsid w:val="00A23269"/>
    <w:rsid w:val="00A23DCC"/>
    <w:rsid w:val="00A23F95"/>
    <w:rsid w:val="00A24090"/>
    <w:rsid w:val="00A24C51"/>
    <w:rsid w:val="00A252DC"/>
    <w:rsid w:val="00A256A9"/>
    <w:rsid w:val="00A25E6E"/>
    <w:rsid w:val="00A26159"/>
    <w:rsid w:val="00A26462"/>
    <w:rsid w:val="00A26700"/>
    <w:rsid w:val="00A26B21"/>
    <w:rsid w:val="00A274E2"/>
    <w:rsid w:val="00A27891"/>
    <w:rsid w:val="00A27A34"/>
    <w:rsid w:val="00A27BE4"/>
    <w:rsid w:val="00A301FD"/>
    <w:rsid w:val="00A30B97"/>
    <w:rsid w:val="00A31193"/>
    <w:rsid w:val="00A312FC"/>
    <w:rsid w:val="00A31F9A"/>
    <w:rsid w:val="00A31FF4"/>
    <w:rsid w:val="00A32429"/>
    <w:rsid w:val="00A3288D"/>
    <w:rsid w:val="00A3307A"/>
    <w:rsid w:val="00A33111"/>
    <w:rsid w:val="00A33A21"/>
    <w:rsid w:val="00A34BDA"/>
    <w:rsid w:val="00A358DC"/>
    <w:rsid w:val="00A362FE"/>
    <w:rsid w:val="00A36EC0"/>
    <w:rsid w:val="00A37357"/>
    <w:rsid w:val="00A374BC"/>
    <w:rsid w:val="00A375B5"/>
    <w:rsid w:val="00A37719"/>
    <w:rsid w:val="00A40089"/>
    <w:rsid w:val="00A4164A"/>
    <w:rsid w:val="00A41C3D"/>
    <w:rsid w:val="00A41F2E"/>
    <w:rsid w:val="00A432A0"/>
    <w:rsid w:val="00A4354B"/>
    <w:rsid w:val="00A43F0A"/>
    <w:rsid w:val="00A43FF9"/>
    <w:rsid w:val="00A44220"/>
    <w:rsid w:val="00A45207"/>
    <w:rsid w:val="00A45944"/>
    <w:rsid w:val="00A46305"/>
    <w:rsid w:val="00A465E9"/>
    <w:rsid w:val="00A468F2"/>
    <w:rsid w:val="00A46A4B"/>
    <w:rsid w:val="00A470C6"/>
    <w:rsid w:val="00A47774"/>
    <w:rsid w:val="00A47BC1"/>
    <w:rsid w:val="00A5077D"/>
    <w:rsid w:val="00A50899"/>
    <w:rsid w:val="00A50D1E"/>
    <w:rsid w:val="00A51049"/>
    <w:rsid w:val="00A51084"/>
    <w:rsid w:val="00A512A2"/>
    <w:rsid w:val="00A5175F"/>
    <w:rsid w:val="00A51875"/>
    <w:rsid w:val="00A518F7"/>
    <w:rsid w:val="00A51A4B"/>
    <w:rsid w:val="00A5216F"/>
    <w:rsid w:val="00A52254"/>
    <w:rsid w:val="00A52401"/>
    <w:rsid w:val="00A5287D"/>
    <w:rsid w:val="00A529D4"/>
    <w:rsid w:val="00A54C42"/>
    <w:rsid w:val="00A550F7"/>
    <w:rsid w:val="00A55BF7"/>
    <w:rsid w:val="00A55F9E"/>
    <w:rsid w:val="00A562BE"/>
    <w:rsid w:val="00A568ED"/>
    <w:rsid w:val="00A56A4F"/>
    <w:rsid w:val="00A56DDE"/>
    <w:rsid w:val="00A5773B"/>
    <w:rsid w:val="00A5787F"/>
    <w:rsid w:val="00A57E73"/>
    <w:rsid w:val="00A600F7"/>
    <w:rsid w:val="00A601FA"/>
    <w:rsid w:val="00A60436"/>
    <w:rsid w:val="00A6052E"/>
    <w:rsid w:val="00A60601"/>
    <w:rsid w:val="00A607D9"/>
    <w:rsid w:val="00A60C3A"/>
    <w:rsid w:val="00A61C35"/>
    <w:rsid w:val="00A621B7"/>
    <w:rsid w:val="00A62DC7"/>
    <w:rsid w:val="00A63037"/>
    <w:rsid w:val="00A6323E"/>
    <w:rsid w:val="00A63277"/>
    <w:rsid w:val="00A638B4"/>
    <w:rsid w:val="00A63AF3"/>
    <w:rsid w:val="00A63C03"/>
    <w:rsid w:val="00A6419E"/>
    <w:rsid w:val="00A64E32"/>
    <w:rsid w:val="00A64E8C"/>
    <w:rsid w:val="00A64EF8"/>
    <w:rsid w:val="00A65CE4"/>
    <w:rsid w:val="00A65E01"/>
    <w:rsid w:val="00A6619D"/>
    <w:rsid w:val="00A664B6"/>
    <w:rsid w:val="00A6677B"/>
    <w:rsid w:val="00A66CE9"/>
    <w:rsid w:val="00A67D1C"/>
    <w:rsid w:val="00A702BB"/>
    <w:rsid w:val="00A70BB5"/>
    <w:rsid w:val="00A70F1D"/>
    <w:rsid w:val="00A70FB9"/>
    <w:rsid w:val="00A70FE6"/>
    <w:rsid w:val="00A710AC"/>
    <w:rsid w:val="00A7177F"/>
    <w:rsid w:val="00A717AD"/>
    <w:rsid w:val="00A7186E"/>
    <w:rsid w:val="00A71CBF"/>
    <w:rsid w:val="00A71FC9"/>
    <w:rsid w:val="00A725DB"/>
    <w:rsid w:val="00A72980"/>
    <w:rsid w:val="00A729FA"/>
    <w:rsid w:val="00A72C03"/>
    <w:rsid w:val="00A733FB"/>
    <w:rsid w:val="00A73738"/>
    <w:rsid w:val="00A73D7C"/>
    <w:rsid w:val="00A73E8F"/>
    <w:rsid w:val="00A747DC"/>
    <w:rsid w:val="00A74D4E"/>
    <w:rsid w:val="00A74DFA"/>
    <w:rsid w:val="00A752A2"/>
    <w:rsid w:val="00A753BD"/>
    <w:rsid w:val="00A761EE"/>
    <w:rsid w:val="00A766DD"/>
    <w:rsid w:val="00A76A99"/>
    <w:rsid w:val="00A76B33"/>
    <w:rsid w:val="00A76FA4"/>
    <w:rsid w:val="00A777C4"/>
    <w:rsid w:val="00A77933"/>
    <w:rsid w:val="00A77F98"/>
    <w:rsid w:val="00A77FCB"/>
    <w:rsid w:val="00A80559"/>
    <w:rsid w:val="00A80813"/>
    <w:rsid w:val="00A80EA4"/>
    <w:rsid w:val="00A8115F"/>
    <w:rsid w:val="00A819DD"/>
    <w:rsid w:val="00A81C95"/>
    <w:rsid w:val="00A81DE0"/>
    <w:rsid w:val="00A81F01"/>
    <w:rsid w:val="00A82D4D"/>
    <w:rsid w:val="00A83A16"/>
    <w:rsid w:val="00A83CA5"/>
    <w:rsid w:val="00A83DCF"/>
    <w:rsid w:val="00A84336"/>
    <w:rsid w:val="00A84863"/>
    <w:rsid w:val="00A84EAD"/>
    <w:rsid w:val="00A84EBD"/>
    <w:rsid w:val="00A84EDD"/>
    <w:rsid w:val="00A84F34"/>
    <w:rsid w:val="00A8620E"/>
    <w:rsid w:val="00A864E9"/>
    <w:rsid w:val="00A86521"/>
    <w:rsid w:val="00A86CC9"/>
    <w:rsid w:val="00A8717F"/>
    <w:rsid w:val="00A87673"/>
    <w:rsid w:val="00A87906"/>
    <w:rsid w:val="00A87958"/>
    <w:rsid w:val="00A87AE7"/>
    <w:rsid w:val="00A87E75"/>
    <w:rsid w:val="00A87E9E"/>
    <w:rsid w:val="00A901BE"/>
    <w:rsid w:val="00A904E2"/>
    <w:rsid w:val="00A90D2E"/>
    <w:rsid w:val="00A912E7"/>
    <w:rsid w:val="00A91B6C"/>
    <w:rsid w:val="00A91E97"/>
    <w:rsid w:val="00A92BCF"/>
    <w:rsid w:val="00A93095"/>
    <w:rsid w:val="00A93309"/>
    <w:rsid w:val="00A939EB"/>
    <w:rsid w:val="00A9448F"/>
    <w:rsid w:val="00A94F32"/>
    <w:rsid w:val="00A95326"/>
    <w:rsid w:val="00A9542D"/>
    <w:rsid w:val="00A954FD"/>
    <w:rsid w:val="00A957DD"/>
    <w:rsid w:val="00A95C73"/>
    <w:rsid w:val="00A95E2B"/>
    <w:rsid w:val="00A96085"/>
    <w:rsid w:val="00A96151"/>
    <w:rsid w:val="00A96424"/>
    <w:rsid w:val="00A96A1C"/>
    <w:rsid w:val="00A97616"/>
    <w:rsid w:val="00A97AC3"/>
    <w:rsid w:val="00AA0125"/>
    <w:rsid w:val="00AA0297"/>
    <w:rsid w:val="00AA170D"/>
    <w:rsid w:val="00AA19A6"/>
    <w:rsid w:val="00AA1AED"/>
    <w:rsid w:val="00AA1EE1"/>
    <w:rsid w:val="00AA20B1"/>
    <w:rsid w:val="00AA262E"/>
    <w:rsid w:val="00AA2BA2"/>
    <w:rsid w:val="00AA2C89"/>
    <w:rsid w:val="00AA3451"/>
    <w:rsid w:val="00AA3C1A"/>
    <w:rsid w:val="00AA43BD"/>
    <w:rsid w:val="00AA46E6"/>
    <w:rsid w:val="00AA48B6"/>
    <w:rsid w:val="00AA48C1"/>
    <w:rsid w:val="00AA5EC1"/>
    <w:rsid w:val="00AA60A4"/>
    <w:rsid w:val="00AA6AB5"/>
    <w:rsid w:val="00AA73A8"/>
    <w:rsid w:val="00AA7ADF"/>
    <w:rsid w:val="00AA7C13"/>
    <w:rsid w:val="00AA7E0A"/>
    <w:rsid w:val="00AB006F"/>
    <w:rsid w:val="00AB0BEA"/>
    <w:rsid w:val="00AB1A9F"/>
    <w:rsid w:val="00AB200F"/>
    <w:rsid w:val="00AB3037"/>
    <w:rsid w:val="00AB3184"/>
    <w:rsid w:val="00AB33CF"/>
    <w:rsid w:val="00AB33F9"/>
    <w:rsid w:val="00AB35B0"/>
    <w:rsid w:val="00AB3CEC"/>
    <w:rsid w:val="00AB3E8B"/>
    <w:rsid w:val="00AB4AFF"/>
    <w:rsid w:val="00AB537C"/>
    <w:rsid w:val="00AB5887"/>
    <w:rsid w:val="00AB5B81"/>
    <w:rsid w:val="00AB5C13"/>
    <w:rsid w:val="00AB5D24"/>
    <w:rsid w:val="00AB617F"/>
    <w:rsid w:val="00AB6276"/>
    <w:rsid w:val="00AB64E5"/>
    <w:rsid w:val="00AB65F3"/>
    <w:rsid w:val="00AB6C31"/>
    <w:rsid w:val="00AB7213"/>
    <w:rsid w:val="00AB7442"/>
    <w:rsid w:val="00AB74CF"/>
    <w:rsid w:val="00AC0717"/>
    <w:rsid w:val="00AC0A0A"/>
    <w:rsid w:val="00AC1226"/>
    <w:rsid w:val="00AC1686"/>
    <w:rsid w:val="00AC179A"/>
    <w:rsid w:val="00AC18EF"/>
    <w:rsid w:val="00AC24F6"/>
    <w:rsid w:val="00AC299E"/>
    <w:rsid w:val="00AC2A54"/>
    <w:rsid w:val="00AC2CAF"/>
    <w:rsid w:val="00AC598F"/>
    <w:rsid w:val="00AC5C6A"/>
    <w:rsid w:val="00AC635D"/>
    <w:rsid w:val="00AC6484"/>
    <w:rsid w:val="00AC65AF"/>
    <w:rsid w:val="00AC679E"/>
    <w:rsid w:val="00AC7052"/>
    <w:rsid w:val="00AC7703"/>
    <w:rsid w:val="00AC7E57"/>
    <w:rsid w:val="00AD0558"/>
    <w:rsid w:val="00AD10E5"/>
    <w:rsid w:val="00AD13A8"/>
    <w:rsid w:val="00AD1A75"/>
    <w:rsid w:val="00AD1FF4"/>
    <w:rsid w:val="00AD23CC"/>
    <w:rsid w:val="00AD2479"/>
    <w:rsid w:val="00AD248F"/>
    <w:rsid w:val="00AD31B5"/>
    <w:rsid w:val="00AD31EC"/>
    <w:rsid w:val="00AD32BE"/>
    <w:rsid w:val="00AD35A4"/>
    <w:rsid w:val="00AD37F0"/>
    <w:rsid w:val="00AD3C2A"/>
    <w:rsid w:val="00AD3E6B"/>
    <w:rsid w:val="00AD4028"/>
    <w:rsid w:val="00AD4379"/>
    <w:rsid w:val="00AD4652"/>
    <w:rsid w:val="00AD4A21"/>
    <w:rsid w:val="00AD4C27"/>
    <w:rsid w:val="00AD4DAE"/>
    <w:rsid w:val="00AD59D8"/>
    <w:rsid w:val="00AD5D1F"/>
    <w:rsid w:val="00AD5D9A"/>
    <w:rsid w:val="00AD5E26"/>
    <w:rsid w:val="00AD6676"/>
    <w:rsid w:val="00AD6833"/>
    <w:rsid w:val="00AD6D41"/>
    <w:rsid w:val="00AD715B"/>
    <w:rsid w:val="00AD7356"/>
    <w:rsid w:val="00AD77FA"/>
    <w:rsid w:val="00AE06F7"/>
    <w:rsid w:val="00AE0E20"/>
    <w:rsid w:val="00AE1220"/>
    <w:rsid w:val="00AE14B9"/>
    <w:rsid w:val="00AE1923"/>
    <w:rsid w:val="00AE1CFC"/>
    <w:rsid w:val="00AE1D4C"/>
    <w:rsid w:val="00AE23AB"/>
    <w:rsid w:val="00AE252A"/>
    <w:rsid w:val="00AE29AA"/>
    <w:rsid w:val="00AE3B14"/>
    <w:rsid w:val="00AE3D0F"/>
    <w:rsid w:val="00AE4513"/>
    <w:rsid w:val="00AE48A4"/>
    <w:rsid w:val="00AE4D24"/>
    <w:rsid w:val="00AE4F38"/>
    <w:rsid w:val="00AE507F"/>
    <w:rsid w:val="00AE521A"/>
    <w:rsid w:val="00AE600B"/>
    <w:rsid w:val="00AE6873"/>
    <w:rsid w:val="00AE6D21"/>
    <w:rsid w:val="00AE6D50"/>
    <w:rsid w:val="00AE7F9B"/>
    <w:rsid w:val="00AF03AA"/>
    <w:rsid w:val="00AF1099"/>
    <w:rsid w:val="00AF1DE2"/>
    <w:rsid w:val="00AF278C"/>
    <w:rsid w:val="00AF2806"/>
    <w:rsid w:val="00AF34EA"/>
    <w:rsid w:val="00AF362D"/>
    <w:rsid w:val="00AF406C"/>
    <w:rsid w:val="00AF428A"/>
    <w:rsid w:val="00AF498E"/>
    <w:rsid w:val="00AF4AF0"/>
    <w:rsid w:val="00AF4E90"/>
    <w:rsid w:val="00AF4FDE"/>
    <w:rsid w:val="00AF5391"/>
    <w:rsid w:val="00AF5912"/>
    <w:rsid w:val="00AF5D8B"/>
    <w:rsid w:val="00AF698E"/>
    <w:rsid w:val="00AF6A75"/>
    <w:rsid w:val="00AF6EE6"/>
    <w:rsid w:val="00AF7341"/>
    <w:rsid w:val="00AF7555"/>
    <w:rsid w:val="00AF7CBE"/>
    <w:rsid w:val="00B0063B"/>
    <w:rsid w:val="00B00A76"/>
    <w:rsid w:val="00B00EA1"/>
    <w:rsid w:val="00B00F17"/>
    <w:rsid w:val="00B01DB9"/>
    <w:rsid w:val="00B01E36"/>
    <w:rsid w:val="00B025A1"/>
    <w:rsid w:val="00B0264A"/>
    <w:rsid w:val="00B03DEE"/>
    <w:rsid w:val="00B04C10"/>
    <w:rsid w:val="00B04D6B"/>
    <w:rsid w:val="00B0575B"/>
    <w:rsid w:val="00B068E4"/>
    <w:rsid w:val="00B068FF"/>
    <w:rsid w:val="00B069DE"/>
    <w:rsid w:val="00B06A46"/>
    <w:rsid w:val="00B078AE"/>
    <w:rsid w:val="00B07ED5"/>
    <w:rsid w:val="00B1063A"/>
    <w:rsid w:val="00B10802"/>
    <w:rsid w:val="00B1147E"/>
    <w:rsid w:val="00B115ED"/>
    <w:rsid w:val="00B117CB"/>
    <w:rsid w:val="00B117D7"/>
    <w:rsid w:val="00B12047"/>
    <w:rsid w:val="00B12732"/>
    <w:rsid w:val="00B12E82"/>
    <w:rsid w:val="00B12FD8"/>
    <w:rsid w:val="00B13785"/>
    <w:rsid w:val="00B13B16"/>
    <w:rsid w:val="00B13B8E"/>
    <w:rsid w:val="00B13BC6"/>
    <w:rsid w:val="00B142E0"/>
    <w:rsid w:val="00B15237"/>
    <w:rsid w:val="00B156A9"/>
    <w:rsid w:val="00B15E04"/>
    <w:rsid w:val="00B16360"/>
    <w:rsid w:val="00B166F6"/>
    <w:rsid w:val="00B2074F"/>
    <w:rsid w:val="00B210CC"/>
    <w:rsid w:val="00B21E4C"/>
    <w:rsid w:val="00B231BC"/>
    <w:rsid w:val="00B23573"/>
    <w:rsid w:val="00B23ABE"/>
    <w:rsid w:val="00B23B67"/>
    <w:rsid w:val="00B23F6D"/>
    <w:rsid w:val="00B24B78"/>
    <w:rsid w:val="00B26797"/>
    <w:rsid w:val="00B26C98"/>
    <w:rsid w:val="00B26E4F"/>
    <w:rsid w:val="00B27027"/>
    <w:rsid w:val="00B271E8"/>
    <w:rsid w:val="00B275D8"/>
    <w:rsid w:val="00B27981"/>
    <w:rsid w:val="00B3135E"/>
    <w:rsid w:val="00B313F6"/>
    <w:rsid w:val="00B31DC7"/>
    <w:rsid w:val="00B31E63"/>
    <w:rsid w:val="00B32506"/>
    <w:rsid w:val="00B32CCD"/>
    <w:rsid w:val="00B32F66"/>
    <w:rsid w:val="00B33678"/>
    <w:rsid w:val="00B33E58"/>
    <w:rsid w:val="00B33FD6"/>
    <w:rsid w:val="00B340B5"/>
    <w:rsid w:val="00B348D2"/>
    <w:rsid w:val="00B34AFD"/>
    <w:rsid w:val="00B3512D"/>
    <w:rsid w:val="00B354E2"/>
    <w:rsid w:val="00B358C1"/>
    <w:rsid w:val="00B35C85"/>
    <w:rsid w:val="00B361AC"/>
    <w:rsid w:val="00B36705"/>
    <w:rsid w:val="00B36B2F"/>
    <w:rsid w:val="00B37073"/>
    <w:rsid w:val="00B37391"/>
    <w:rsid w:val="00B3740B"/>
    <w:rsid w:val="00B37D98"/>
    <w:rsid w:val="00B40037"/>
    <w:rsid w:val="00B4141C"/>
    <w:rsid w:val="00B414E0"/>
    <w:rsid w:val="00B41861"/>
    <w:rsid w:val="00B41A1A"/>
    <w:rsid w:val="00B41D7E"/>
    <w:rsid w:val="00B42107"/>
    <w:rsid w:val="00B4244B"/>
    <w:rsid w:val="00B4274F"/>
    <w:rsid w:val="00B427F8"/>
    <w:rsid w:val="00B439E2"/>
    <w:rsid w:val="00B43A1C"/>
    <w:rsid w:val="00B43F14"/>
    <w:rsid w:val="00B440D1"/>
    <w:rsid w:val="00B443DF"/>
    <w:rsid w:val="00B446E4"/>
    <w:rsid w:val="00B4492B"/>
    <w:rsid w:val="00B44A28"/>
    <w:rsid w:val="00B453BC"/>
    <w:rsid w:val="00B457F9"/>
    <w:rsid w:val="00B45B91"/>
    <w:rsid w:val="00B45BBA"/>
    <w:rsid w:val="00B462D8"/>
    <w:rsid w:val="00B46347"/>
    <w:rsid w:val="00B46444"/>
    <w:rsid w:val="00B47117"/>
    <w:rsid w:val="00B475E1"/>
    <w:rsid w:val="00B4762E"/>
    <w:rsid w:val="00B47D1C"/>
    <w:rsid w:val="00B507E3"/>
    <w:rsid w:val="00B5155A"/>
    <w:rsid w:val="00B51800"/>
    <w:rsid w:val="00B51E22"/>
    <w:rsid w:val="00B51E5E"/>
    <w:rsid w:val="00B51F70"/>
    <w:rsid w:val="00B52425"/>
    <w:rsid w:val="00B52EAD"/>
    <w:rsid w:val="00B52F36"/>
    <w:rsid w:val="00B546AB"/>
    <w:rsid w:val="00B5474A"/>
    <w:rsid w:val="00B547C5"/>
    <w:rsid w:val="00B54851"/>
    <w:rsid w:val="00B54B97"/>
    <w:rsid w:val="00B54C7E"/>
    <w:rsid w:val="00B554EB"/>
    <w:rsid w:val="00B55825"/>
    <w:rsid w:val="00B55C56"/>
    <w:rsid w:val="00B55E9E"/>
    <w:rsid w:val="00B566ED"/>
    <w:rsid w:val="00B57205"/>
    <w:rsid w:val="00B57320"/>
    <w:rsid w:val="00B574FC"/>
    <w:rsid w:val="00B603D4"/>
    <w:rsid w:val="00B604C7"/>
    <w:rsid w:val="00B60CC4"/>
    <w:rsid w:val="00B60E24"/>
    <w:rsid w:val="00B61068"/>
    <w:rsid w:val="00B6118D"/>
    <w:rsid w:val="00B61F6B"/>
    <w:rsid w:val="00B62104"/>
    <w:rsid w:val="00B6233A"/>
    <w:rsid w:val="00B62AFD"/>
    <w:rsid w:val="00B6312A"/>
    <w:rsid w:val="00B63594"/>
    <w:rsid w:val="00B63CE9"/>
    <w:rsid w:val="00B64FF2"/>
    <w:rsid w:val="00B651B7"/>
    <w:rsid w:val="00B65553"/>
    <w:rsid w:val="00B65643"/>
    <w:rsid w:val="00B658B7"/>
    <w:rsid w:val="00B66D63"/>
    <w:rsid w:val="00B66E77"/>
    <w:rsid w:val="00B674BE"/>
    <w:rsid w:val="00B6799D"/>
    <w:rsid w:val="00B67A5D"/>
    <w:rsid w:val="00B67BF5"/>
    <w:rsid w:val="00B70240"/>
    <w:rsid w:val="00B7038A"/>
    <w:rsid w:val="00B706E0"/>
    <w:rsid w:val="00B70E68"/>
    <w:rsid w:val="00B71BEA"/>
    <w:rsid w:val="00B71D0E"/>
    <w:rsid w:val="00B71D57"/>
    <w:rsid w:val="00B7222F"/>
    <w:rsid w:val="00B72616"/>
    <w:rsid w:val="00B72C21"/>
    <w:rsid w:val="00B7351F"/>
    <w:rsid w:val="00B73814"/>
    <w:rsid w:val="00B73D20"/>
    <w:rsid w:val="00B73F56"/>
    <w:rsid w:val="00B743DF"/>
    <w:rsid w:val="00B74B6F"/>
    <w:rsid w:val="00B752A3"/>
    <w:rsid w:val="00B75640"/>
    <w:rsid w:val="00B75690"/>
    <w:rsid w:val="00B759E3"/>
    <w:rsid w:val="00B76B9D"/>
    <w:rsid w:val="00B77355"/>
    <w:rsid w:val="00B776A8"/>
    <w:rsid w:val="00B77A84"/>
    <w:rsid w:val="00B77E94"/>
    <w:rsid w:val="00B80321"/>
    <w:rsid w:val="00B81EC7"/>
    <w:rsid w:val="00B821B7"/>
    <w:rsid w:val="00B8299B"/>
    <w:rsid w:val="00B83503"/>
    <w:rsid w:val="00B84D02"/>
    <w:rsid w:val="00B84ED5"/>
    <w:rsid w:val="00B85018"/>
    <w:rsid w:val="00B858B4"/>
    <w:rsid w:val="00B863E7"/>
    <w:rsid w:val="00B86CD2"/>
    <w:rsid w:val="00B8778B"/>
    <w:rsid w:val="00B9031C"/>
    <w:rsid w:val="00B90653"/>
    <w:rsid w:val="00B925DB"/>
    <w:rsid w:val="00B9333B"/>
    <w:rsid w:val="00B938E4"/>
    <w:rsid w:val="00B93D40"/>
    <w:rsid w:val="00B947BF"/>
    <w:rsid w:val="00B94811"/>
    <w:rsid w:val="00B94BC2"/>
    <w:rsid w:val="00B94E55"/>
    <w:rsid w:val="00B94F87"/>
    <w:rsid w:val="00B951C1"/>
    <w:rsid w:val="00B9556E"/>
    <w:rsid w:val="00B95619"/>
    <w:rsid w:val="00B95DC7"/>
    <w:rsid w:val="00B96335"/>
    <w:rsid w:val="00B96C53"/>
    <w:rsid w:val="00B975CF"/>
    <w:rsid w:val="00B97784"/>
    <w:rsid w:val="00BA0103"/>
    <w:rsid w:val="00BA0DF2"/>
    <w:rsid w:val="00BA0E5B"/>
    <w:rsid w:val="00BA0F89"/>
    <w:rsid w:val="00BA1049"/>
    <w:rsid w:val="00BA108A"/>
    <w:rsid w:val="00BA179D"/>
    <w:rsid w:val="00BA181F"/>
    <w:rsid w:val="00BA1AFD"/>
    <w:rsid w:val="00BA217B"/>
    <w:rsid w:val="00BA2A85"/>
    <w:rsid w:val="00BA3074"/>
    <w:rsid w:val="00BA3094"/>
    <w:rsid w:val="00BA3597"/>
    <w:rsid w:val="00BA37F0"/>
    <w:rsid w:val="00BA3CC9"/>
    <w:rsid w:val="00BA42EA"/>
    <w:rsid w:val="00BA4418"/>
    <w:rsid w:val="00BA4525"/>
    <w:rsid w:val="00BA4AAE"/>
    <w:rsid w:val="00BA4BFB"/>
    <w:rsid w:val="00BA4D60"/>
    <w:rsid w:val="00BA4E2C"/>
    <w:rsid w:val="00BA509D"/>
    <w:rsid w:val="00BA51F6"/>
    <w:rsid w:val="00BA5B47"/>
    <w:rsid w:val="00BA5ED6"/>
    <w:rsid w:val="00BA648B"/>
    <w:rsid w:val="00BA6818"/>
    <w:rsid w:val="00BA6E28"/>
    <w:rsid w:val="00BA74ED"/>
    <w:rsid w:val="00BA771E"/>
    <w:rsid w:val="00BA77DE"/>
    <w:rsid w:val="00BA782E"/>
    <w:rsid w:val="00BA7A25"/>
    <w:rsid w:val="00BA7C2F"/>
    <w:rsid w:val="00BB05F4"/>
    <w:rsid w:val="00BB0630"/>
    <w:rsid w:val="00BB064E"/>
    <w:rsid w:val="00BB12F6"/>
    <w:rsid w:val="00BB13AC"/>
    <w:rsid w:val="00BB1CAB"/>
    <w:rsid w:val="00BB2405"/>
    <w:rsid w:val="00BB2DFE"/>
    <w:rsid w:val="00BB3436"/>
    <w:rsid w:val="00BB3828"/>
    <w:rsid w:val="00BB3A7C"/>
    <w:rsid w:val="00BB3D9E"/>
    <w:rsid w:val="00BB4199"/>
    <w:rsid w:val="00BB48F9"/>
    <w:rsid w:val="00BB4D2D"/>
    <w:rsid w:val="00BB4D97"/>
    <w:rsid w:val="00BB51DC"/>
    <w:rsid w:val="00BB53DF"/>
    <w:rsid w:val="00BB56C4"/>
    <w:rsid w:val="00BB5776"/>
    <w:rsid w:val="00BB5B56"/>
    <w:rsid w:val="00BB6030"/>
    <w:rsid w:val="00BB6067"/>
    <w:rsid w:val="00BB6172"/>
    <w:rsid w:val="00BB6853"/>
    <w:rsid w:val="00BB6B0B"/>
    <w:rsid w:val="00BB6C0B"/>
    <w:rsid w:val="00BB6DEB"/>
    <w:rsid w:val="00BB6F1C"/>
    <w:rsid w:val="00BB772D"/>
    <w:rsid w:val="00BB7E75"/>
    <w:rsid w:val="00BC0725"/>
    <w:rsid w:val="00BC091B"/>
    <w:rsid w:val="00BC13E1"/>
    <w:rsid w:val="00BC1A7C"/>
    <w:rsid w:val="00BC23C0"/>
    <w:rsid w:val="00BC25A3"/>
    <w:rsid w:val="00BC265E"/>
    <w:rsid w:val="00BC2978"/>
    <w:rsid w:val="00BC3563"/>
    <w:rsid w:val="00BC3677"/>
    <w:rsid w:val="00BC4118"/>
    <w:rsid w:val="00BC466E"/>
    <w:rsid w:val="00BC4D34"/>
    <w:rsid w:val="00BC6794"/>
    <w:rsid w:val="00BC6862"/>
    <w:rsid w:val="00BC730B"/>
    <w:rsid w:val="00BC7530"/>
    <w:rsid w:val="00BC77EA"/>
    <w:rsid w:val="00BC7C23"/>
    <w:rsid w:val="00BD0264"/>
    <w:rsid w:val="00BD070A"/>
    <w:rsid w:val="00BD0750"/>
    <w:rsid w:val="00BD08AA"/>
    <w:rsid w:val="00BD0E33"/>
    <w:rsid w:val="00BD14A8"/>
    <w:rsid w:val="00BD1D83"/>
    <w:rsid w:val="00BD35F1"/>
    <w:rsid w:val="00BD369A"/>
    <w:rsid w:val="00BD37BA"/>
    <w:rsid w:val="00BD383C"/>
    <w:rsid w:val="00BD3A57"/>
    <w:rsid w:val="00BD4A2A"/>
    <w:rsid w:val="00BD4CCC"/>
    <w:rsid w:val="00BD51DF"/>
    <w:rsid w:val="00BD577E"/>
    <w:rsid w:val="00BD58C0"/>
    <w:rsid w:val="00BD58CD"/>
    <w:rsid w:val="00BD5FD1"/>
    <w:rsid w:val="00BD601C"/>
    <w:rsid w:val="00BD6B3A"/>
    <w:rsid w:val="00BD6E31"/>
    <w:rsid w:val="00BD70AE"/>
    <w:rsid w:val="00BD7A78"/>
    <w:rsid w:val="00BE024B"/>
    <w:rsid w:val="00BE05AF"/>
    <w:rsid w:val="00BE0CB7"/>
    <w:rsid w:val="00BE0DCB"/>
    <w:rsid w:val="00BE14AB"/>
    <w:rsid w:val="00BE172B"/>
    <w:rsid w:val="00BE1859"/>
    <w:rsid w:val="00BE1C87"/>
    <w:rsid w:val="00BE24E9"/>
    <w:rsid w:val="00BE2D0C"/>
    <w:rsid w:val="00BE2E40"/>
    <w:rsid w:val="00BE2EA5"/>
    <w:rsid w:val="00BE2EBD"/>
    <w:rsid w:val="00BE2F37"/>
    <w:rsid w:val="00BE32A6"/>
    <w:rsid w:val="00BE3535"/>
    <w:rsid w:val="00BE3F30"/>
    <w:rsid w:val="00BE4090"/>
    <w:rsid w:val="00BE40B0"/>
    <w:rsid w:val="00BE428C"/>
    <w:rsid w:val="00BE538C"/>
    <w:rsid w:val="00BE55E1"/>
    <w:rsid w:val="00BE6738"/>
    <w:rsid w:val="00BE72B2"/>
    <w:rsid w:val="00BE756C"/>
    <w:rsid w:val="00BE7822"/>
    <w:rsid w:val="00BE7934"/>
    <w:rsid w:val="00BE79B8"/>
    <w:rsid w:val="00BE7AC2"/>
    <w:rsid w:val="00BF00B4"/>
    <w:rsid w:val="00BF01F1"/>
    <w:rsid w:val="00BF04AD"/>
    <w:rsid w:val="00BF05A0"/>
    <w:rsid w:val="00BF07D6"/>
    <w:rsid w:val="00BF0BDC"/>
    <w:rsid w:val="00BF10ED"/>
    <w:rsid w:val="00BF1740"/>
    <w:rsid w:val="00BF19B3"/>
    <w:rsid w:val="00BF2146"/>
    <w:rsid w:val="00BF2184"/>
    <w:rsid w:val="00BF2BBE"/>
    <w:rsid w:val="00BF36F1"/>
    <w:rsid w:val="00BF381C"/>
    <w:rsid w:val="00BF4606"/>
    <w:rsid w:val="00BF4733"/>
    <w:rsid w:val="00BF498B"/>
    <w:rsid w:val="00BF4E4A"/>
    <w:rsid w:val="00BF4EB8"/>
    <w:rsid w:val="00BF5D42"/>
    <w:rsid w:val="00BF6690"/>
    <w:rsid w:val="00BF6A28"/>
    <w:rsid w:val="00BF7E99"/>
    <w:rsid w:val="00C00469"/>
    <w:rsid w:val="00C0047B"/>
    <w:rsid w:val="00C010FA"/>
    <w:rsid w:val="00C015EB"/>
    <w:rsid w:val="00C01A05"/>
    <w:rsid w:val="00C01AF6"/>
    <w:rsid w:val="00C01BB0"/>
    <w:rsid w:val="00C01C75"/>
    <w:rsid w:val="00C02210"/>
    <w:rsid w:val="00C037FC"/>
    <w:rsid w:val="00C03BCA"/>
    <w:rsid w:val="00C03FC3"/>
    <w:rsid w:val="00C042FB"/>
    <w:rsid w:val="00C0440C"/>
    <w:rsid w:val="00C04568"/>
    <w:rsid w:val="00C04A9A"/>
    <w:rsid w:val="00C04B40"/>
    <w:rsid w:val="00C05057"/>
    <w:rsid w:val="00C05098"/>
    <w:rsid w:val="00C05267"/>
    <w:rsid w:val="00C05422"/>
    <w:rsid w:val="00C0546D"/>
    <w:rsid w:val="00C05541"/>
    <w:rsid w:val="00C0591B"/>
    <w:rsid w:val="00C0643E"/>
    <w:rsid w:val="00C06A28"/>
    <w:rsid w:val="00C06FD8"/>
    <w:rsid w:val="00C07889"/>
    <w:rsid w:val="00C07AE4"/>
    <w:rsid w:val="00C10E4A"/>
    <w:rsid w:val="00C10F84"/>
    <w:rsid w:val="00C111C4"/>
    <w:rsid w:val="00C115D3"/>
    <w:rsid w:val="00C11958"/>
    <w:rsid w:val="00C11E2F"/>
    <w:rsid w:val="00C11E76"/>
    <w:rsid w:val="00C1230A"/>
    <w:rsid w:val="00C125A7"/>
    <w:rsid w:val="00C129C1"/>
    <w:rsid w:val="00C13EC6"/>
    <w:rsid w:val="00C14145"/>
    <w:rsid w:val="00C14D49"/>
    <w:rsid w:val="00C15346"/>
    <w:rsid w:val="00C15E18"/>
    <w:rsid w:val="00C163E9"/>
    <w:rsid w:val="00C16DA8"/>
    <w:rsid w:val="00C17D16"/>
    <w:rsid w:val="00C202DC"/>
    <w:rsid w:val="00C20364"/>
    <w:rsid w:val="00C203F0"/>
    <w:rsid w:val="00C20431"/>
    <w:rsid w:val="00C20959"/>
    <w:rsid w:val="00C20C2D"/>
    <w:rsid w:val="00C20D32"/>
    <w:rsid w:val="00C20DA8"/>
    <w:rsid w:val="00C20DF3"/>
    <w:rsid w:val="00C21563"/>
    <w:rsid w:val="00C21792"/>
    <w:rsid w:val="00C21910"/>
    <w:rsid w:val="00C2200C"/>
    <w:rsid w:val="00C224D0"/>
    <w:rsid w:val="00C22655"/>
    <w:rsid w:val="00C2285B"/>
    <w:rsid w:val="00C22E4B"/>
    <w:rsid w:val="00C22FD7"/>
    <w:rsid w:val="00C23397"/>
    <w:rsid w:val="00C233C0"/>
    <w:rsid w:val="00C23610"/>
    <w:rsid w:val="00C238FD"/>
    <w:rsid w:val="00C23CB8"/>
    <w:rsid w:val="00C23E65"/>
    <w:rsid w:val="00C240D2"/>
    <w:rsid w:val="00C2442D"/>
    <w:rsid w:val="00C24886"/>
    <w:rsid w:val="00C24A19"/>
    <w:rsid w:val="00C24A20"/>
    <w:rsid w:val="00C24D83"/>
    <w:rsid w:val="00C25770"/>
    <w:rsid w:val="00C2636E"/>
    <w:rsid w:val="00C268C6"/>
    <w:rsid w:val="00C270A5"/>
    <w:rsid w:val="00C274F3"/>
    <w:rsid w:val="00C27F83"/>
    <w:rsid w:val="00C3074B"/>
    <w:rsid w:val="00C30904"/>
    <w:rsid w:val="00C30957"/>
    <w:rsid w:val="00C3188D"/>
    <w:rsid w:val="00C318AF"/>
    <w:rsid w:val="00C321FC"/>
    <w:rsid w:val="00C324F0"/>
    <w:rsid w:val="00C3267E"/>
    <w:rsid w:val="00C327BC"/>
    <w:rsid w:val="00C32E23"/>
    <w:rsid w:val="00C3327C"/>
    <w:rsid w:val="00C3385B"/>
    <w:rsid w:val="00C33BE1"/>
    <w:rsid w:val="00C34193"/>
    <w:rsid w:val="00C34B20"/>
    <w:rsid w:val="00C35323"/>
    <w:rsid w:val="00C354FC"/>
    <w:rsid w:val="00C35747"/>
    <w:rsid w:val="00C35780"/>
    <w:rsid w:val="00C35A2D"/>
    <w:rsid w:val="00C3607D"/>
    <w:rsid w:val="00C3671C"/>
    <w:rsid w:val="00C368B2"/>
    <w:rsid w:val="00C369C5"/>
    <w:rsid w:val="00C36E59"/>
    <w:rsid w:val="00C36FB7"/>
    <w:rsid w:val="00C37102"/>
    <w:rsid w:val="00C378BB"/>
    <w:rsid w:val="00C37A49"/>
    <w:rsid w:val="00C4004B"/>
    <w:rsid w:val="00C40C65"/>
    <w:rsid w:val="00C40D7A"/>
    <w:rsid w:val="00C411C6"/>
    <w:rsid w:val="00C411E8"/>
    <w:rsid w:val="00C42009"/>
    <w:rsid w:val="00C42089"/>
    <w:rsid w:val="00C4227F"/>
    <w:rsid w:val="00C425B1"/>
    <w:rsid w:val="00C43733"/>
    <w:rsid w:val="00C43770"/>
    <w:rsid w:val="00C43996"/>
    <w:rsid w:val="00C43D1B"/>
    <w:rsid w:val="00C43DB2"/>
    <w:rsid w:val="00C43F3C"/>
    <w:rsid w:val="00C44997"/>
    <w:rsid w:val="00C44B2F"/>
    <w:rsid w:val="00C44B92"/>
    <w:rsid w:val="00C44D9B"/>
    <w:rsid w:val="00C4508E"/>
    <w:rsid w:val="00C45F1A"/>
    <w:rsid w:val="00C45FCA"/>
    <w:rsid w:val="00C46358"/>
    <w:rsid w:val="00C46905"/>
    <w:rsid w:val="00C46E0F"/>
    <w:rsid w:val="00C46FC4"/>
    <w:rsid w:val="00C4786D"/>
    <w:rsid w:val="00C47A35"/>
    <w:rsid w:val="00C47C19"/>
    <w:rsid w:val="00C47DE2"/>
    <w:rsid w:val="00C50543"/>
    <w:rsid w:val="00C505BA"/>
    <w:rsid w:val="00C508DA"/>
    <w:rsid w:val="00C50B3A"/>
    <w:rsid w:val="00C51470"/>
    <w:rsid w:val="00C5157D"/>
    <w:rsid w:val="00C519DA"/>
    <w:rsid w:val="00C51A3B"/>
    <w:rsid w:val="00C522FC"/>
    <w:rsid w:val="00C52CEE"/>
    <w:rsid w:val="00C530B7"/>
    <w:rsid w:val="00C53C97"/>
    <w:rsid w:val="00C54D41"/>
    <w:rsid w:val="00C5514C"/>
    <w:rsid w:val="00C56DA7"/>
    <w:rsid w:val="00C56EA1"/>
    <w:rsid w:val="00C57721"/>
    <w:rsid w:val="00C57A60"/>
    <w:rsid w:val="00C57BE7"/>
    <w:rsid w:val="00C57C31"/>
    <w:rsid w:val="00C57D85"/>
    <w:rsid w:val="00C603F9"/>
    <w:rsid w:val="00C60AE1"/>
    <w:rsid w:val="00C61102"/>
    <w:rsid w:val="00C620C3"/>
    <w:rsid w:val="00C624A9"/>
    <w:rsid w:val="00C62B22"/>
    <w:rsid w:val="00C63304"/>
    <w:rsid w:val="00C63926"/>
    <w:rsid w:val="00C63BC0"/>
    <w:rsid w:val="00C63D7F"/>
    <w:rsid w:val="00C63FCC"/>
    <w:rsid w:val="00C63FEC"/>
    <w:rsid w:val="00C64D09"/>
    <w:rsid w:val="00C65A73"/>
    <w:rsid w:val="00C65AE0"/>
    <w:rsid w:val="00C65E33"/>
    <w:rsid w:val="00C661CD"/>
    <w:rsid w:val="00C66925"/>
    <w:rsid w:val="00C66FFA"/>
    <w:rsid w:val="00C6779C"/>
    <w:rsid w:val="00C67BA4"/>
    <w:rsid w:val="00C67C07"/>
    <w:rsid w:val="00C700B4"/>
    <w:rsid w:val="00C703AA"/>
    <w:rsid w:val="00C7112E"/>
    <w:rsid w:val="00C71A7E"/>
    <w:rsid w:val="00C71C06"/>
    <w:rsid w:val="00C7254D"/>
    <w:rsid w:val="00C72A44"/>
    <w:rsid w:val="00C72CA9"/>
    <w:rsid w:val="00C72F5F"/>
    <w:rsid w:val="00C73184"/>
    <w:rsid w:val="00C733D9"/>
    <w:rsid w:val="00C73401"/>
    <w:rsid w:val="00C7346A"/>
    <w:rsid w:val="00C736A6"/>
    <w:rsid w:val="00C73BEB"/>
    <w:rsid w:val="00C73F09"/>
    <w:rsid w:val="00C744F3"/>
    <w:rsid w:val="00C74825"/>
    <w:rsid w:val="00C7524C"/>
    <w:rsid w:val="00C76508"/>
    <w:rsid w:val="00C766FC"/>
    <w:rsid w:val="00C76BCA"/>
    <w:rsid w:val="00C76D6D"/>
    <w:rsid w:val="00C775FD"/>
    <w:rsid w:val="00C776FD"/>
    <w:rsid w:val="00C8020F"/>
    <w:rsid w:val="00C804E2"/>
    <w:rsid w:val="00C80B8B"/>
    <w:rsid w:val="00C81705"/>
    <w:rsid w:val="00C81842"/>
    <w:rsid w:val="00C81CF0"/>
    <w:rsid w:val="00C82240"/>
    <w:rsid w:val="00C8225E"/>
    <w:rsid w:val="00C82B49"/>
    <w:rsid w:val="00C82BD2"/>
    <w:rsid w:val="00C82D8D"/>
    <w:rsid w:val="00C836FC"/>
    <w:rsid w:val="00C83948"/>
    <w:rsid w:val="00C83AF5"/>
    <w:rsid w:val="00C83C4A"/>
    <w:rsid w:val="00C83E7A"/>
    <w:rsid w:val="00C83FC0"/>
    <w:rsid w:val="00C84351"/>
    <w:rsid w:val="00C848BA"/>
    <w:rsid w:val="00C84F98"/>
    <w:rsid w:val="00C852CD"/>
    <w:rsid w:val="00C856EC"/>
    <w:rsid w:val="00C85810"/>
    <w:rsid w:val="00C85969"/>
    <w:rsid w:val="00C85CA7"/>
    <w:rsid w:val="00C8627D"/>
    <w:rsid w:val="00C86A07"/>
    <w:rsid w:val="00C87201"/>
    <w:rsid w:val="00C8799A"/>
    <w:rsid w:val="00C9029B"/>
    <w:rsid w:val="00C903B9"/>
    <w:rsid w:val="00C909E3"/>
    <w:rsid w:val="00C90DD2"/>
    <w:rsid w:val="00C91C46"/>
    <w:rsid w:val="00C93087"/>
    <w:rsid w:val="00C93512"/>
    <w:rsid w:val="00C935FF"/>
    <w:rsid w:val="00C93944"/>
    <w:rsid w:val="00C93964"/>
    <w:rsid w:val="00C93BBF"/>
    <w:rsid w:val="00C94149"/>
    <w:rsid w:val="00C9424C"/>
    <w:rsid w:val="00C94660"/>
    <w:rsid w:val="00C94796"/>
    <w:rsid w:val="00C94C8D"/>
    <w:rsid w:val="00C9516A"/>
    <w:rsid w:val="00C955D7"/>
    <w:rsid w:val="00C95F4E"/>
    <w:rsid w:val="00C96502"/>
    <w:rsid w:val="00C9681F"/>
    <w:rsid w:val="00C971AB"/>
    <w:rsid w:val="00C9755E"/>
    <w:rsid w:val="00C97617"/>
    <w:rsid w:val="00C97DCE"/>
    <w:rsid w:val="00CA043B"/>
    <w:rsid w:val="00CA062B"/>
    <w:rsid w:val="00CA0CFC"/>
    <w:rsid w:val="00CA121B"/>
    <w:rsid w:val="00CA1283"/>
    <w:rsid w:val="00CA19A4"/>
    <w:rsid w:val="00CA1D40"/>
    <w:rsid w:val="00CA1EDA"/>
    <w:rsid w:val="00CA2076"/>
    <w:rsid w:val="00CA2E6A"/>
    <w:rsid w:val="00CA301A"/>
    <w:rsid w:val="00CA3771"/>
    <w:rsid w:val="00CA3981"/>
    <w:rsid w:val="00CA461D"/>
    <w:rsid w:val="00CA46A4"/>
    <w:rsid w:val="00CA4B8E"/>
    <w:rsid w:val="00CA4CB1"/>
    <w:rsid w:val="00CA5A78"/>
    <w:rsid w:val="00CA5F9E"/>
    <w:rsid w:val="00CA5FEC"/>
    <w:rsid w:val="00CA68D4"/>
    <w:rsid w:val="00CA776F"/>
    <w:rsid w:val="00CA7CF2"/>
    <w:rsid w:val="00CB0479"/>
    <w:rsid w:val="00CB0A16"/>
    <w:rsid w:val="00CB0F0C"/>
    <w:rsid w:val="00CB10F5"/>
    <w:rsid w:val="00CB1696"/>
    <w:rsid w:val="00CB1DCD"/>
    <w:rsid w:val="00CB2363"/>
    <w:rsid w:val="00CB2434"/>
    <w:rsid w:val="00CB2774"/>
    <w:rsid w:val="00CB2A32"/>
    <w:rsid w:val="00CB2A50"/>
    <w:rsid w:val="00CB4022"/>
    <w:rsid w:val="00CB4562"/>
    <w:rsid w:val="00CB471F"/>
    <w:rsid w:val="00CB47F9"/>
    <w:rsid w:val="00CB4FA0"/>
    <w:rsid w:val="00CB5679"/>
    <w:rsid w:val="00CB5713"/>
    <w:rsid w:val="00CB5AAB"/>
    <w:rsid w:val="00CB6792"/>
    <w:rsid w:val="00CB68A2"/>
    <w:rsid w:val="00CB70E1"/>
    <w:rsid w:val="00CB731B"/>
    <w:rsid w:val="00CB7F3B"/>
    <w:rsid w:val="00CC01EB"/>
    <w:rsid w:val="00CC0A7F"/>
    <w:rsid w:val="00CC150E"/>
    <w:rsid w:val="00CC1768"/>
    <w:rsid w:val="00CC1F89"/>
    <w:rsid w:val="00CC2314"/>
    <w:rsid w:val="00CC2408"/>
    <w:rsid w:val="00CC258C"/>
    <w:rsid w:val="00CC25FD"/>
    <w:rsid w:val="00CC2CA2"/>
    <w:rsid w:val="00CC327F"/>
    <w:rsid w:val="00CC34CB"/>
    <w:rsid w:val="00CC385A"/>
    <w:rsid w:val="00CC474A"/>
    <w:rsid w:val="00CC47D7"/>
    <w:rsid w:val="00CC4C03"/>
    <w:rsid w:val="00CC60F5"/>
    <w:rsid w:val="00CC61AA"/>
    <w:rsid w:val="00CC6E85"/>
    <w:rsid w:val="00CC71A0"/>
    <w:rsid w:val="00CC7238"/>
    <w:rsid w:val="00CC75C2"/>
    <w:rsid w:val="00CC778A"/>
    <w:rsid w:val="00CC7F04"/>
    <w:rsid w:val="00CC7F41"/>
    <w:rsid w:val="00CD000D"/>
    <w:rsid w:val="00CD016C"/>
    <w:rsid w:val="00CD0246"/>
    <w:rsid w:val="00CD0842"/>
    <w:rsid w:val="00CD1074"/>
    <w:rsid w:val="00CD157B"/>
    <w:rsid w:val="00CD173D"/>
    <w:rsid w:val="00CD23D6"/>
    <w:rsid w:val="00CD2656"/>
    <w:rsid w:val="00CD365A"/>
    <w:rsid w:val="00CD3A18"/>
    <w:rsid w:val="00CD3B31"/>
    <w:rsid w:val="00CD3F18"/>
    <w:rsid w:val="00CD3FFB"/>
    <w:rsid w:val="00CD45E3"/>
    <w:rsid w:val="00CD483F"/>
    <w:rsid w:val="00CD48E4"/>
    <w:rsid w:val="00CD4B8D"/>
    <w:rsid w:val="00CD4FBF"/>
    <w:rsid w:val="00CD55AF"/>
    <w:rsid w:val="00CD5857"/>
    <w:rsid w:val="00CD58E5"/>
    <w:rsid w:val="00CD5E1F"/>
    <w:rsid w:val="00CD5FFD"/>
    <w:rsid w:val="00CD6874"/>
    <w:rsid w:val="00CD688F"/>
    <w:rsid w:val="00CD7104"/>
    <w:rsid w:val="00CE0055"/>
    <w:rsid w:val="00CE02E6"/>
    <w:rsid w:val="00CE088E"/>
    <w:rsid w:val="00CE0912"/>
    <w:rsid w:val="00CE0C8D"/>
    <w:rsid w:val="00CE1043"/>
    <w:rsid w:val="00CE1570"/>
    <w:rsid w:val="00CE1DEC"/>
    <w:rsid w:val="00CE1F54"/>
    <w:rsid w:val="00CE2E1B"/>
    <w:rsid w:val="00CE301A"/>
    <w:rsid w:val="00CE31E5"/>
    <w:rsid w:val="00CE3564"/>
    <w:rsid w:val="00CE48FB"/>
    <w:rsid w:val="00CE4E97"/>
    <w:rsid w:val="00CE60F0"/>
    <w:rsid w:val="00CE629E"/>
    <w:rsid w:val="00CE62B8"/>
    <w:rsid w:val="00CE63A8"/>
    <w:rsid w:val="00CE6528"/>
    <w:rsid w:val="00CE6B16"/>
    <w:rsid w:val="00CE6BB0"/>
    <w:rsid w:val="00CE6F27"/>
    <w:rsid w:val="00CE6F96"/>
    <w:rsid w:val="00CE7672"/>
    <w:rsid w:val="00CE79FE"/>
    <w:rsid w:val="00CE7E16"/>
    <w:rsid w:val="00CF010F"/>
    <w:rsid w:val="00CF0423"/>
    <w:rsid w:val="00CF072B"/>
    <w:rsid w:val="00CF0ADD"/>
    <w:rsid w:val="00CF0AFE"/>
    <w:rsid w:val="00CF0D20"/>
    <w:rsid w:val="00CF19EB"/>
    <w:rsid w:val="00CF2753"/>
    <w:rsid w:val="00CF28EE"/>
    <w:rsid w:val="00CF2FA8"/>
    <w:rsid w:val="00CF3159"/>
    <w:rsid w:val="00CF3885"/>
    <w:rsid w:val="00CF402D"/>
    <w:rsid w:val="00CF431B"/>
    <w:rsid w:val="00CF5577"/>
    <w:rsid w:val="00CF5BE3"/>
    <w:rsid w:val="00CF620E"/>
    <w:rsid w:val="00CF62A8"/>
    <w:rsid w:val="00CF6DF4"/>
    <w:rsid w:val="00CF6EA7"/>
    <w:rsid w:val="00CF7684"/>
    <w:rsid w:val="00CF7A07"/>
    <w:rsid w:val="00CF7AF7"/>
    <w:rsid w:val="00D00680"/>
    <w:rsid w:val="00D00A23"/>
    <w:rsid w:val="00D011FE"/>
    <w:rsid w:val="00D0212E"/>
    <w:rsid w:val="00D0214A"/>
    <w:rsid w:val="00D026CD"/>
    <w:rsid w:val="00D02A25"/>
    <w:rsid w:val="00D04C15"/>
    <w:rsid w:val="00D04F7B"/>
    <w:rsid w:val="00D0512C"/>
    <w:rsid w:val="00D053C2"/>
    <w:rsid w:val="00D05FA5"/>
    <w:rsid w:val="00D06211"/>
    <w:rsid w:val="00D06E9F"/>
    <w:rsid w:val="00D06FFF"/>
    <w:rsid w:val="00D07871"/>
    <w:rsid w:val="00D07B7D"/>
    <w:rsid w:val="00D07D21"/>
    <w:rsid w:val="00D113E7"/>
    <w:rsid w:val="00D116F0"/>
    <w:rsid w:val="00D119B8"/>
    <w:rsid w:val="00D11B26"/>
    <w:rsid w:val="00D122BD"/>
    <w:rsid w:val="00D123EA"/>
    <w:rsid w:val="00D124C5"/>
    <w:rsid w:val="00D12A77"/>
    <w:rsid w:val="00D12C8C"/>
    <w:rsid w:val="00D12E24"/>
    <w:rsid w:val="00D134C5"/>
    <w:rsid w:val="00D13CD4"/>
    <w:rsid w:val="00D14332"/>
    <w:rsid w:val="00D14C3A"/>
    <w:rsid w:val="00D15178"/>
    <w:rsid w:val="00D151AE"/>
    <w:rsid w:val="00D15B0C"/>
    <w:rsid w:val="00D15F88"/>
    <w:rsid w:val="00D167E6"/>
    <w:rsid w:val="00D16C97"/>
    <w:rsid w:val="00D16F9B"/>
    <w:rsid w:val="00D17611"/>
    <w:rsid w:val="00D17A0C"/>
    <w:rsid w:val="00D17E0F"/>
    <w:rsid w:val="00D17E1D"/>
    <w:rsid w:val="00D17E36"/>
    <w:rsid w:val="00D211A0"/>
    <w:rsid w:val="00D21A5A"/>
    <w:rsid w:val="00D21E2C"/>
    <w:rsid w:val="00D22039"/>
    <w:rsid w:val="00D22381"/>
    <w:rsid w:val="00D22863"/>
    <w:rsid w:val="00D22A36"/>
    <w:rsid w:val="00D23502"/>
    <w:rsid w:val="00D239B8"/>
    <w:rsid w:val="00D23D51"/>
    <w:rsid w:val="00D24778"/>
    <w:rsid w:val="00D259F3"/>
    <w:rsid w:val="00D25ADF"/>
    <w:rsid w:val="00D25BE6"/>
    <w:rsid w:val="00D25C2E"/>
    <w:rsid w:val="00D25FFA"/>
    <w:rsid w:val="00D264A4"/>
    <w:rsid w:val="00D26E87"/>
    <w:rsid w:val="00D27086"/>
    <w:rsid w:val="00D274E2"/>
    <w:rsid w:val="00D279F9"/>
    <w:rsid w:val="00D27BB8"/>
    <w:rsid w:val="00D27CDB"/>
    <w:rsid w:val="00D27D1C"/>
    <w:rsid w:val="00D30112"/>
    <w:rsid w:val="00D3018C"/>
    <w:rsid w:val="00D30458"/>
    <w:rsid w:val="00D30B67"/>
    <w:rsid w:val="00D30D2F"/>
    <w:rsid w:val="00D30E04"/>
    <w:rsid w:val="00D31529"/>
    <w:rsid w:val="00D3190D"/>
    <w:rsid w:val="00D31C33"/>
    <w:rsid w:val="00D3345B"/>
    <w:rsid w:val="00D33974"/>
    <w:rsid w:val="00D346EB"/>
    <w:rsid w:val="00D34B45"/>
    <w:rsid w:val="00D35344"/>
    <w:rsid w:val="00D35DEF"/>
    <w:rsid w:val="00D362D1"/>
    <w:rsid w:val="00D36D7D"/>
    <w:rsid w:val="00D36FEC"/>
    <w:rsid w:val="00D3723B"/>
    <w:rsid w:val="00D377B1"/>
    <w:rsid w:val="00D37996"/>
    <w:rsid w:val="00D37C81"/>
    <w:rsid w:val="00D37DF7"/>
    <w:rsid w:val="00D405B2"/>
    <w:rsid w:val="00D40BBB"/>
    <w:rsid w:val="00D4101C"/>
    <w:rsid w:val="00D411AB"/>
    <w:rsid w:val="00D41B32"/>
    <w:rsid w:val="00D41BD7"/>
    <w:rsid w:val="00D41E32"/>
    <w:rsid w:val="00D42078"/>
    <w:rsid w:val="00D42CC1"/>
    <w:rsid w:val="00D42D59"/>
    <w:rsid w:val="00D42F6C"/>
    <w:rsid w:val="00D43663"/>
    <w:rsid w:val="00D43A1F"/>
    <w:rsid w:val="00D44755"/>
    <w:rsid w:val="00D4477C"/>
    <w:rsid w:val="00D45EDA"/>
    <w:rsid w:val="00D46126"/>
    <w:rsid w:val="00D46750"/>
    <w:rsid w:val="00D47F43"/>
    <w:rsid w:val="00D50DFF"/>
    <w:rsid w:val="00D50F88"/>
    <w:rsid w:val="00D512A4"/>
    <w:rsid w:val="00D5138A"/>
    <w:rsid w:val="00D51A7A"/>
    <w:rsid w:val="00D51B6D"/>
    <w:rsid w:val="00D521C2"/>
    <w:rsid w:val="00D52785"/>
    <w:rsid w:val="00D53401"/>
    <w:rsid w:val="00D5370C"/>
    <w:rsid w:val="00D539EF"/>
    <w:rsid w:val="00D53A72"/>
    <w:rsid w:val="00D54038"/>
    <w:rsid w:val="00D54213"/>
    <w:rsid w:val="00D54F96"/>
    <w:rsid w:val="00D5509A"/>
    <w:rsid w:val="00D550A4"/>
    <w:rsid w:val="00D5556F"/>
    <w:rsid w:val="00D55A61"/>
    <w:rsid w:val="00D5610F"/>
    <w:rsid w:val="00D5676F"/>
    <w:rsid w:val="00D56AE7"/>
    <w:rsid w:val="00D57027"/>
    <w:rsid w:val="00D573B0"/>
    <w:rsid w:val="00D57521"/>
    <w:rsid w:val="00D576B6"/>
    <w:rsid w:val="00D578DF"/>
    <w:rsid w:val="00D600EC"/>
    <w:rsid w:val="00D60147"/>
    <w:rsid w:val="00D60CB8"/>
    <w:rsid w:val="00D60DEF"/>
    <w:rsid w:val="00D61D9D"/>
    <w:rsid w:val="00D6217D"/>
    <w:rsid w:val="00D6231B"/>
    <w:rsid w:val="00D62C17"/>
    <w:rsid w:val="00D62DFA"/>
    <w:rsid w:val="00D63ACC"/>
    <w:rsid w:val="00D63D29"/>
    <w:rsid w:val="00D63EDB"/>
    <w:rsid w:val="00D65C79"/>
    <w:rsid w:val="00D66949"/>
    <w:rsid w:val="00D67A60"/>
    <w:rsid w:val="00D67A77"/>
    <w:rsid w:val="00D67A9E"/>
    <w:rsid w:val="00D70016"/>
    <w:rsid w:val="00D70178"/>
    <w:rsid w:val="00D701CE"/>
    <w:rsid w:val="00D701D4"/>
    <w:rsid w:val="00D701D7"/>
    <w:rsid w:val="00D7069F"/>
    <w:rsid w:val="00D7100B"/>
    <w:rsid w:val="00D7121B"/>
    <w:rsid w:val="00D71336"/>
    <w:rsid w:val="00D71461"/>
    <w:rsid w:val="00D71471"/>
    <w:rsid w:val="00D71B67"/>
    <w:rsid w:val="00D71C56"/>
    <w:rsid w:val="00D72BE6"/>
    <w:rsid w:val="00D73B2C"/>
    <w:rsid w:val="00D73C72"/>
    <w:rsid w:val="00D73DDB"/>
    <w:rsid w:val="00D745D7"/>
    <w:rsid w:val="00D7519D"/>
    <w:rsid w:val="00D75281"/>
    <w:rsid w:val="00D75A53"/>
    <w:rsid w:val="00D75B25"/>
    <w:rsid w:val="00D760B7"/>
    <w:rsid w:val="00D763AA"/>
    <w:rsid w:val="00D7657C"/>
    <w:rsid w:val="00D765FD"/>
    <w:rsid w:val="00D76BAD"/>
    <w:rsid w:val="00D76C97"/>
    <w:rsid w:val="00D76E8B"/>
    <w:rsid w:val="00D7706C"/>
    <w:rsid w:val="00D77433"/>
    <w:rsid w:val="00D776E3"/>
    <w:rsid w:val="00D779A5"/>
    <w:rsid w:val="00D8044E"/>
    <w:rsid w:val="00D80CCC"/>
    <w:rsid w:val="00D80F0E"/>
    <w:rsid w:val="00D810BB"/>
    <w:rsid w:val="00D81524"/>
    <w:rsid w:val="00D81801"/>
    <w:rsid w:val="00D81FBB"/>
    <w:rsid w:val="00D8205D"/>
    <w:rsid w:val="00D82A69"/>
    <w:rsid w:val="00D8352F"/>
    <w:rsid w:val="00D836E9"/>
    <w:rsid w:val="00D83D93"/>
    <w:rsid w:val="00D844C1"/>
    <w:rsid w:val="00D8462F"/>
    <w:rsid w:val="00D846FB"/>
    <w:rsid w:val="00D849D6"/>
    <w:rsid w:val="00D84E58"/>
    <w:rsid w:val="00D85504"/>
    <w:rsid w:val="00D8567A"/>
    <w:rsid w:val="00D86512"/>
    <w:rsid w:val="00D86695"/>
    <w:rsid w:val="00D867A8"/>
    <w:rsid w:val="00D86A06"/>
    <w:rsid w:val="00D86ABB"/>
    <w:rsid w:val="00D86AD8"/>
    <w:rsid w:val="00D87080"/>
    <w:rsid w:val="00D87115"/>
    <w:rsid w:val="00D879C1"/>
    <w:rsid w:val="00D87B29"/>
    <w:rsid w:val="00D87D72"/>
    <w:rsid w:val="00D9035B"/>
    <w:rsid w:val="00D90444"/>
    <w:rsid w:val="00D90A77"/>
    <w:rsid w:val="00D90BA1"/>
    <w:rsid w:val="00D91492"/>
    <w:rsid w:val="00D91911"/>
    <w:rsid w:val="00D91A0A"/>
    <w:rsid w:val="00D91A82"/>
    <w:rsid w:val="00D91B5D"/>
    <w:rsid w:val="00D91B8A"/>
    <w:rsid w:val="00D92F25"/>
    <w:rsid w:val="00D9376B"/>
    <w:rsid w:val="00D93E53"/>
    <w:rsid w:val="00D9449B"/>
    <w:rsid w:val="00D94A33"/>
    <w:rsid w:val="00D94AD1"/>
    <w:rsid w:val="00D96787"/>
    <w:rsid w:val="00D967A5"/>
    <w:rsid w:val="00D96B99"/>
    <w:rsid w:val="00D96D89"/>
    <w:rsid w:val="00D97CB3"/>
    <w:rsid w:val="00D97F7F"/>
    <w:rsid w:val="00DA00C4"/>
    <w:rsid w:val="00DA00E5"/>
    <w:rsid w:val="00DA037D"/>
    <w:rsid w:val="00DA1306"/>
    <w:rsid w:val="00DA182E"/>
    <w:rsid w:val="00DA1E23"/>
    <w:rsid w:val="00DA31BB"/>
    <w:rsid w:val="00DA32AF"/>
    <w:rsid w:val="00DA33EF"/>
    <w:rsid w:val="00DA35AD"/>
    <w:rsid w:val="00DA3EAD"/>
    <w:rsid w:val="00DA4370"/>
    <w:rsid w:val="00DA4479"/>
    <w:rsid w:val="00DA4694"/>
    <w:rsid w:val="00DA477A"/>
    <w:rsid w:val="00DA4973"/>
    <w:rsid w:val="00DA4F32"/>
    <w:rsid w:val="00DA5172"/>
    <w:rsid w:val="00DA5259"/>
    <w:rsid w:val="00DA545B"/>
    <w:rsid w:val="00DA572E"/>
    <w:rsid w:val="00DA585B"/>
    <w:rsid w:val="00DA5A3E"/>
    <w:rsid w:val="00DA67B4"/>
    <w:rsid w:val="00DA6B61"/>
    <w:rsid w:val="00DA6CF4"/>
    <w:rsid w:val="00DA70E8"/>
    <w:rsid w:val="00DA73AF"/>
    <w:rsid w:val="00DA7CFE"/>
    <w:rsid w:val="00DB0056"/>
    <w:rsid w:val="00DB016D"/>
    <w:rsid w:val="00DB09C0"/>
    <w:rsid w:val="00DB0DD9"/>
    <w:rsid w:val="00DB10A8"/>
    <w:rsid w:val="00DB11DF"/>
    <w:rsid w:val="00DB2C19"/>
    <w:rsid w:val="00DB30F4"/>
    <w:rsid w:val="00DB31E4"/>
    <w:rsid w:val="00DB3A12"/>
    <w:rsid w:val="00DB3D95"/>
    <w:rsid w:val="00DB3D9F"/>
    <w:rsid w:val="00DB49CD"/>
    <w:rsid w:val="00DB4BC6"/>
    <w:rsid w:val="00DB5435"/>
    <w:rsid w:val="00DB5698"/>
    <w:rsid w:val="00DB59FC"/>
    <w:rsid w:val="00DB63F0"/>
    <w:rsid w:val="00DB6947"/>
    <w:rsid w:val="00DB6D8A"/>
    <w:rsid w:val="00DB6E07"/>
    <w:rsid w:val="00DB7131"/>
    <w:rsid w:val="00DB7344"/>
    <w:rsid w:val="00DB73D7"/>
    <w:rsid w:val="00DB768C"/>
    <w:rsid w:val="00DB77CD"/>
    <w:rsid w:val="00DB7E8D"/>
    <w:rsid w:val="00DB7ED2"/>
    <w:rsid w:val="00DC0050"/>
    <w:rsid w:val="00DC0D2B"/>
    <w:rsid w:val="00DC0EA9"/>
    <w:rsid w:val="00DC1061"/>
    <w:rsid w:val="00DC10F2"/>
    <w:rsid w:val="00DC1326"/>
    <w:rsid w:val="00DC143B"/>
    <w:rsid w:val="00DC1926"/>
    <w:rsid w:val="00DC1C01"/>
    <w:rsid w:val="00DC1E36"/>
    <w:rsid w:val="00DC2244"/>
    <w:rsid w:val="00DC22A2"/>
    <w:rsid w:val="00DC2860"/>
    <w:rsid w:val="00DC2886"/>
    <w:rsid w:val="00DC2B13"/>
    <w:rsid w:val="00DC2C91"/>
    <w:rsid w:val="00DC390F"/>
    <w:rsid w:val="00DC3A85"/>
    <w:rsid w:val="00DC56E3"/>
    <w:rsid w:val="00DC5DB6"/>
    <w:rsid w:val="00DC6192"/>
    <w:rsid w:val="00DC6EC3"/>
    <w:rsid w:val="00DC77BD"/>
    <w:rsid w:val="00DC7B88"/>
    <w:rsid w:val="00DC7C54"/>
    <w:rsid w:val="00DC7F49"/>
    <w:rsid w:val="00DD0179"/>
    <w:rsid w:val="00DD09EB"/>
    <w:rsid w:val="00DD0CED"/>
    <w:rsid w:val="00DD1A9E"/>
    <w:rsid w:val="00DD2301"/>
    <w:rsid w:val="00DD2520"/>
    <w:rsid w:val="00DD28FB"/>
    <w:rsid w:val="00DD30CB"/>
    <w:rsid w:val="00DD323E"/>
    <w:rsid w:val="00DD357B"/>
    <w:rsid w:val="00DD3791"/>
    <w:rsid w:val="00DD3A1E"/>
    <w:rsid w:val="00DD3AFE"/>
    <w:rsid w:val="00DD3D22"/>
    <w:rsid w:val="00DD417C"/>
    <w:rsid w:val="00DD426D"/>
    <w:rsid w:val="00DD436B"/>
    <w:rsid w:val="00DD4752"/>
    <w:rsid w:val="00DD47E4"/>
    <w:rsid w:val="00DD488F"/>
    <w:rsid w:val="00DD4D46"/>
    <w:rsid w:val="00DD4DAF"/>
    <w:rsid w:val="00DD50A3"/>
    <w:rsid w:val="00DD5130"/>
    <w:rsid w:val="00DD584B"/>
    <w:rsid w:val="00DD5948"/>
    <w:rsid w:val="00DD6294"/>
    <w:rsid w:val="00DD67E5"/>
    <w:rsid w:val="00DD6A57"/>
    <w:rsid w:val="00DD6DAA"/>
    <w:rsid w:val="00DD6DE4"/>
    <w:rsid w:val="00DD7848"/>
    <w:rsid w:val="00DD7EAF"/>
    <w:rsid w:val="00DE01F6"/>
    <w:rsid w:val="00DE0520"/>
    <w:rsid w:val="00DE0ED3"/>
    <w:rsid w:val="00DE0FBE"/>
    <w:rsid w:val="00DE1031"/>
    <w:rsid w:val="00DE1B18"/>
    <w:rsid w:val="00DE1D5F"/>
    <w:rsid w:val="00DE1FD6"/>
    <w:rsid w:val="00DE20F1"/>
    <w:rsid w:val="00DE21F5"/>
    <w:rsid w:val="00DE2411"/>
    <w:rsid w:val="00DE2445"/>
    <w:rsid w:val="00DE2792"/>
    <w:rsid w:val="00DE2C16"/>
    <w:rsid w:val="00DE2EB4"/>
    <w:rsid w:val="00DE34E7"/>
    <w:rsid w:val="00DE357C"/>
    <w:rsid w:val="00DE38E9"/>
    <w:rsid w:val="00DE390B"/>
    <w:rsid w:val="00DE3A21"/>
    <w:rsid w:val="00DE3CE5"/>
    <w:rsid w:val="00DE4063"/>
    <w:rsid w:val="00DE472C"/>
    <w:rsid w:val="00DE4B1A"/>
    <w:rsid w:val="00DE56AD"/>
    <w:rsid w:val="00DE5A62"/>
    <w:rsid w:val="00DE6EB9"/>
    <w:rsid w:val="00DE76A7"/>
    <w:rsid w:val="00DE7B6E"/>
    <w:rsid w:val="00DF074F"/>
    <w:rsid w:val="00DF12B3"/>
    <w:rsid w:val="00DF17D8"/>
    <w:rsid w:val="00DF1A16"/>
    <w:rsid w:val="00DF1C08"/>
    <w:rsid w:val="00DF21F4"/>
    <w:rsid w:val="00DF2583"/>
    <w:rsid w:val="00DF26B1"/>
    <w:rsid w:val="00DF2CE5"/>
    <w:rsid w:val="00DF2E7F"/>
    <w:rsid w:val="00DF3158"/>
    <w:rsid w:val="00DF3219"/>
    <w:rsid w:val="00DF3814"/>
    <w:rsid w:val="00DF3BF6"/>
    <w:rsid w:val="00DF3DA5"/>
    <w:rsid w:val="00DF480A"/>
    <w:rsid w:val="00DF4FB9"/>
    <w:rsid w:val="00DF52D1"/>
    <w:rsid w:val="00DF5789"/>
    <w:rsid w:val="00DF5984"/>
    <w:rsid w:val="00DF5A45"/>
    <w:rsid w:val="00DF6037"/>
    <w:rsid w:val="00DF630F"/>
    <w:rsid w:val="00DF663B"/>
    <w:rsid w:val="00DF71D8"/>
    <w:rsid w:val="00E00719"/>
    <w:rsid w:val="00E0085F"/>
    <w:rsid w:val="00E0188B"/>
    <w:rsid w:val="00E01CA7"/>
    <w:rsid w:val="00E020CB"/>
    <w:rsid w:val="00E02D07"/>
    <w:rsid w:val="00E02E95"/>
    <w:rsid w:val="00E033BA"/>
    <w:rsid w:val="00E03692"/>
    <w:rsid w:val="00E037C1"/>
    <w:rsid w:val="00E0382F"/>
    <w:rsid w:val="00E03980"/>
    <w:rsid w:val="00E03DA9"/>
    <w:rsid w:val="00E041EC"/>
    <w:rsid w:val="00E047AD"/>
    <w:rsid w:val="00E058EE"/>
    <w:rsid w:val="00E05C35"/>
    <w:rsid w:val="00E06676"/>
    <w:rsid w:val="00E066F5"/>
    <w:rsid w:val="00E06A0D"/>
    <w:rsid w:val="00E0716E"/>
    <w:rsid w:val="00E073BA"/>
    <w:rsid w:val="00E075DE"/>
    <w:rsid w:val="00E07AA3"/>
    <w:rsid w:val="00E07AB5"/>
    <w:rsid w:val="00E10A5A"/>
    <w:rsid w:val="00E10EC8"/>
    <w:rsid w:val="00E11D68"/>
    <w:rsid w:val="00E11DB0"/>
    <w:rsid w:val="00E1213E"/>
    <w:rsid w:val="00E1219F"/>
    <w:rsid w:val="00E1228B"/>
    <w:rsid w:val="00E12742"/>
    <w:rsid w:val="00E12CBB"/>
    <w:rsid w:val="00E12D6C"/>
    <w:rsid w:val="00E12EDF"/>
    <w:rsid w:val="00E13408"/>
    <w:rsid w:val="00E1448C"/>
    <w:rsid w:val="00E14B7B"/>
    <w:rsid w:val="00E14D04"/>
    <w:rsid w:val="00E15B76"/>
    <w:rsid w:val="00E16431"/>
    <w:rsid w:val="00E16805"/>
    <w:rsid w:val="00E1695A"/>
    <w:rsid w:val="00E16B28"/>
    <w:rsid w:val="00E16CA5"/>
    <w:rsid w:val="00E16D2F"/>
    <w:rsid w:val="00E17B40"/>
    <w:rsid w:val="00E17D6E"/>
    <w:rsid w:val="00E17F71"/>
    <w:rsid w:val="00E2102D"/>
    <w:rsid w:val="00E21224"/>
    <w:rsid w:val="00E2148C"/>
    <w:rsid w:val="00E21C86"/>
    <w:rsid w:val="00E21EAD"/>
    <w:rsid w:val="00E21F8A"/>
    <w:rsid w:val="00E223B3"/>
    <w:rsid w:val="00E22541"/>
    <w:rsid w:val="00E22D6F"/>
    <w:rsid w:val="00E22E87"/>
    <w:rsid w:val="00E2360B"/>
    <w:rsid w:val="00E23C52"/>
    <w:rsid w:val="00E23C67"/>
    <w:rsid w:val="00E23CEF"/>
    <w:rsid w:val="00E23D0D"/>
    <w:rsid w:val="00E23FAE"/>
    <w:rsid w:val="00E245C3"/>
    <w:rsid w:val="00E246BA"/>
    <w:rsid w:val="00E247DE"/>
    <w:rsid w:val="00E24BC4"/>
    <w:rsid w:val="00E2631F"/>
    <w:rsid w:val="00E2675C"/>
    <w:rsid w:val="00E26A6B"/>
    <w:rsid w:val="00E26D12"/>
    <w:rsid w:val="00E27665"/>
    <w:rsid w:val="00E278AC"/>
    <w:rsid w:val="00E27BEE"/>
    <w:rsid w:val="00E3052B"/>
    <w:rsid w:val="00E30EEA"/>
    <w:rsid w:val="00E31471"/>
    <w:rsid w:val="00E31710"/>
    <w:rsid w:val="00E32188"/>
    <w:rsid w:val="00E328D8"/>
    <w:rsid w:val="00E32CE2"/>
    <w:rsid w:val="00E32D37"/>
    <w:rsid w:val="00E32F10"/>
    <w:rsid w:val="00E33C12"/>
    <w:rsid w:val="00E33F65"/>
    <w:rsid w:val="00E34142"/>
    <w:rsid w:val="00E3460C"/>
    <w:rsid w:val="00E3489A"/>
    <w:rsid w:val="00E3495E"/>
    <w:rsid w:val="00E35CB7"/>
    <w:rsid w:val="00E35F92"/>
    <w:rsid w:val="00E3617F"/>
    <w:rsid w:val="00E3638F"/>
    <w:rsid w:val="00E37667"/>
    <w:rsid w:val="00E4024F"/>
    <w:rsid w:val="00E406DA"/>
    <w:rsid w:val="00E40ADA"/>
    <w:rsid w:val="00E40B1E"/>
    <w:rsid w:val="00E415FC"/>
    <w:rsid w:val="00E4170E"/>
    <w:rsid w:val="00E4246E"/>
    <w:rsid w:val="00E43398"/>
    <w:rsid w:val="00E43AA3"/>
    <w:rsid w:val="00E43EB0"/>
    <w:rsid w:val="00E43FB8"/>
    <w:rsid w:val="00E44214"/>
    <w:rsid w:val="00E44A83"/>
    <w:rsid w:val="00E44BFF"/>
    <w:rsid w:val="00E44C59"/>
    <w:rsid w:val="00E453AF"/>
    <w:rsid w:val="00E4549D"/>
    <w:rsid w:val="00E45BF2"/>
    <w:rsid w:val="00E45DEA"/>
    <w:rsid w:val="00E4677E"/>
    <w:rsid w:val="00E46935"/>
    <w:rsid w:val="00E47684"/>
    <w:rsid w:val="00E47A76"/>
    <w:rsid w:val="00E500ED"/>
    <w:rsid w:val="00E50C4C"/>
    <w:rsid w:val="00E51829"/>
    <w:rsid w:val="00E52E0B"/>
    <w:rsid w:val="00E53651"/>
    <w:rsid w:val="00E53DCD"/>
    <w:rsid w:val="00E54066"/>
    <w:rsid w:val="00E54291"/>
    <w:rsid w:val="00E54585"/>
    <w:rsid w:val="00E5459C"/>
    <w:rsid w:val="00E5475E"/>
    <w:rsid w:val="00E549C2"/>
    <w:rsid w:val="00E55537"/>
    <w:rsid w:val="00E557B5"/>
    <w:rsid w:val="00E55E1B"/>
    <w:rsid w:val="00E56BD8"/>
    <w:rsid w:val="00E56F3C"/>
    <w:rsid w:val="00E57B6A"/>
    <w:rsid w:val="00E60952"/>
    <w:rsid w:val="00E61819"/>
    <w:rsid w:val="00E61E23"/>
    <w:rsid w:val="00E620A6"/>
    <w:rsid w:val="00E6210D"/>
    <w:rsid w:val="00E62171"/>
    <w:rsid w:val="00E62656"/>
    <w:rsid w:val="00E62768"/>
    <w:rsid w:val="00E62E62"/>
    <w:rsid w:val="00E62F0B"/>
    <w:rsid w:val="00E6462C"/>
    <w:rsid w:val="00E64745"/>
    <w:rsid w:val="00E65BCA"/>
    <w:rsid w:val="00E65F73"/>
    <w:rsid w:val="00E66365"/>
    <w:rsid w:val="00E664B9"/>
    <w:rsid w:val="00E672DE"/>
    <w:rsid w:val="00E70029"/>
    <w:rsid w:val="00E71702"/>
    <w:rsid w:val="00E718FA"/>
    <w:rsid w:val="00E719D3"/>
    <w:rsid w:val="00E720FE"/>
    <w:rsid w:val="00E7210E"/>
    <w:rsid w:val="00E72A86"/>
    <w:rsid w:val="00E72C29"/>
    <w:rsid w:val="00E72D83"/>
    <w:rsid w:val="00E73583"/>
    <w:rsid w:val="00E73A50"/>
    <w:rsid w:val="00E73E05"/>
    <w:rsid w:val="00E7442B"/>
    <w:rsid w:val="00E74DB2"/>
    <w:rsid w:val="00E74EE7"/>
    <w:rsid w:val="00E75236"/>
    <w:rsid w:val="00E75D1A"/>
    <w:rsid w:val="00E75F5F"/>
    <w:rsid w:val="00E76782"/>
    <w:rsid w:val="00E76956"/>
    <w:rsid w:val="00E76B6E"/>
    <w:rsid w:val="00E76DB9"/>
    <w:rsid w:val="00E77030"/>
    <w:rsid w:val="00E773C5"/>
    <w:rsid w:val="00E77744"/>
    <w:rsid w:val="00E777AD"/>
    <w:rsid w:val="00E779CB"/>
    <w:rsid w:val="00E80B80"/>
    <w:rsid w:val="00E814BC"/>
    <w:rsid w:val="00E81603"/>
    <w:rsid w:val="00E81756"/>
    <w:rsid w:val="00E81A4E"/>
    <w:rsid w:val="00E82C70"/>
    <w:rsid w:val="00E82DC8"/>
    <w:rsid w:val="00E83D1B"/>
    <w:rsid w:val="00E84AB4"/>
    <w:rsid w:val="00E84B48"/>
    <w:rsid w:val="00E84CC9"/>
    <w:rsid w:val="00E84EBF"/>
    <w:rsid w:val="00E8590A"/>
    <w:rsid w:val="00E85F38"/>
    <w:rsid w:val="00E861A8"/>
    <w:rsid w:val="00E86ED2"/>
    <w:rsid w:val="00E871DB"/>
    <w:rsid w:val="00E87629"/>
    <w:rsid w:val="00E87846"/>
    <w:rsid w:val="00E87853"/>
    <w:rsid w:val="00E90075"/>
    <w:rsid w:val="00E90423"/>
    <w:rsid w:val="00E9047F"/>
    <w:rsid w:val="00E90630"/>
    <w:rsid w:val="00E90C12"/>
    <w:rsid w:val="00E91621"/>
    <w:rsid w:val="00E917DA"/>
    <w:rsid w:val="00E91C47"/>
    <w:rsid w:val="00E91D47"/>
    <w:rsid w:val="00E91FEE"/>
    <w:rsid w:val="00E92935"/>
    <w:rsid w:val="00E94784"/>
    <w:rsid w:val="00E949D3"/>
    <w:rsid w:val="00E94A10"/>
    <w:rsid w:val="00E95F82"/>
    <w:rsid w:val="00E96141"/>
    <w:rsid w:val="00E96473"/>
    <w:rsid w:val="00E96829"/>
    <w:rsid w:val="00E9686D"/>
    <w:rsid w:val="00E9757C"/>
    <w:rsid w:val="00E97928"/>
    <w:rsid w:val="00E97A5E"/>
    <w:rsid w:val="00EA0D57"/>
    <w:rsid w:val="00EA0E45"/>
    <w:rsid w:val="00EA1EAD"/>
    <w:rsid w:val="00EA205B"/>
    <w:rsid w:val="00EA3628"/>
    <w:rsid w:val="00EA36D3"/>
    <w:rsid w:val="00EA3702"/>
    <w:rsid w:val="00EA446D"/>
    <w:rsid w:val="00EA4907"/>
    <w:rsid w:val="00EA4974"/>
    <w:rsid w:val="00EA4A2E"/>
    <w:rsid w:val="00EA4BCD"/>
    <w:rsid w:val="00EA4CE0"/>
    <w:rsid w:val="00EA4EE3"/>
    <w:rsid w:val="00EA52B7"/>
    <w:rsid w:val="00EA5618"/>
    <w:rsid w:val="00EA5AC7"/>
    <w:rsid w:val="00EA6303"/>
    <w:rsid w:val="00EA63E7"/>
    <w:rsid w:val="00EA67FD"/>
    <w:rsid w:val="00EA6872"/>
    <w:rsid w:val="00EA6B29"/>
    <w:rsid w:val="00EA6B90"/>
    <w:rsid w:val="00EA6EA1"/>
    <w:rsid w:val="00EA740F"/>
    <w:rsid w:val="00EA7587"/>
    <w:rsid w:val="00EA7A0F"/>
    <w:rsid w:val="00EB04B5"/>
    <w:rsid w:val="00EB06AF"/>
    <w:rsid w:val="00EB1023"/>
    <w:rsid w:val="00EB1073"/>
    <w:rsid w:val="00EB199B"/>
    <w:rsid w:val="00EB1BC0"/>
    <w:rsid w:val="00EB210B"/>
    <w:rsid w:val="00EB2248"/>
    <w:rsid w:val="00EB2453"/>
    <w:rsid w:val="00EB269D"/>
    <w:rsid w:val="00EB2979"/>
    <w:rsid w:val="00EB39F9"/>
    <w:rsid w:val="00EB3BCE"/>
    <w:rsid w:val="00EB47E5"/>
    <w:rsid w:val="00EB5877"/>
    <w:rsid w:val="00EB5A86"/>
    <w:rsid w:val="00EB5CAD"/>
    <w:rsid w:val="00EB61ED"/>
    <w:rsid w:val="00EB621E"/>
    <w:rsid w:val="00EB65A1"/>
    <w:rsid w:val="00EB6633"/>
    <w:rsid w:val="00EB684B"/>
    <w:rsid w:val="00EB730C"/>
    <w:rsid w:val="00EB7561"/>
    <w:rsid w:val="00EB7939"/>
    <w:rsid w:val="00EB7B45"/>
    <w:rsid w:val="00EB7C89"/>
    <w:rsid w:val="00EC0324"/>
    <w:rsid w:val="00EC0DD2"/>
    <w:rsid w:val="00EC0E73"/>
    <w:rsid w:val="00EC13B2"/>
    <w:rsid w:val="00EC1543"/>
    <w:rsid w:val="00EC23B5"/>
    <w:rsid w:val="00EC2BC2"/>
    <w:rsid w:val="00EC2C2F"/>
    <w:rsid w:val="00EC2CF2"/>
    <w:rsid w:val="00EC2D72"/>
    <w:rsid w:val="00EC2DE4"/>
    <w:rsid w:val="00EC3159"/>
    <w:rsid w:val="00EC323A"/>
    <w:rsid w:val="00EC34E3"/>
    <w:rsid w:val="00EC3700"/>
    <w:rsid w:val="00EC37CE"/>
    <w:rsid w:val="00EC3C14"/>
    <w:rsid w:val="00EC3D4A"/>
    <w:rsid w:val="00EC3FFF"/>
    <w:rsid w:val="00EC4820"/>
    <w:rsid w:val="00EC5062"/>
    <w:rsid w:val="00EC53F0"/>
    <w:rsid w:val="00EC5DD1"/>
    <w:rsid w:val="00EC70F7"/>
    <w:rsid w:val="00EC7EB7"/>
    <w:rsid w:val="00EC7F4A"/>
    <w:rsid w:val="00ED0291"/>
    <w:rsid w:val="00ED0516"/>
    <w:rsid w:val="00ED053F"/>
    <w:rsid w:val="00ED198F"/>
    <w:rsid w:val="00ED1A2D"/>
    <w:rsid w:val="00ED1BFF"/>
    <w:rsid w:val="00ED241C"/>
    <w:rsid w:val="00ED26AE"/>
    <w:rsid w:val="00ED28D4"/>
    <w:rsid w:val="00ED296D"/>
    <w:rsid w:val="00ED2B38"/>
    <w:rsid w:val="00ED2F2E"/>
    <w:rsid w:val="00ED3A50"/>
    <w:rsid w:val="00ED4090"/>
    <w:rsid w:val="00ED4348"/>
    <w:rsid w:val="00ED43DA"/>
    <w:rsid w:val="00ED46D7"/>
    <w:rsid w:val="00ED4C1B"/>
    <w:rsid w:val="00ED529E"/>
    <w:rsid w:val="00ED542F"/>
    <w:rsid w:val="00ED66C5"/>
    <w:rsid w:val="00ED6A8D"/>
    <w:rsid w:val="00ED6B2E"/>
    <w:rsid w:val="00ED710B"/>
    <w:rsid w:val="00ED7133"/>
    <w:rsid w:val="00EE11F8"/>
    <w:rsid w:val="00EE190E"/>
    <w:rsid w:val="00EE1BEB"/>
    <w:rsid w:val="00EE1E35"/>
    <w:rsid w:val="00EE27E2"/>
    <w:rsid w:val="00EE2819"/>
    <w:rsid w:val="00EE2EC4"/>
    <w:rsid w:val="00EE38B4"/>
    <w:rsid w:val="00EE392A"/>
    <w:rsid w:val="00EE3B06"/>
    <w:rsid w:val="00EE3B46"/>
    <w:rsid w:val="00EE3F23"/>
    <w:rsid w:val="00EE59ED"/>
    <w:rsid w:val="00EE60A1"/>
    <w:rsid w:val="00EE6168"/>
    <w:rsid w:val="00EE6853"/>
    <w:rsid w:val="00EE6C9F"/>
    <w:rsid w:val="00EE6D50"/>
    <w:rsid w:val="00EE7E5F"/>
    <w:rsid w:val="00EF0345"/>
    <w:rsid w:val="00EF04B9"/>
    <w:rsid w:val="00EF067D"/>
    <w:rsid w:val="00EF0CF9"/>
    <w:rsid w:val="00EF105D"/>
    <w:rsid w:val="00EF1A9B"/>
    <w:rsid w:val="00EF2262"/>
    <w:rsid w:val="00EF2380"/>
    <w:rsid w:val="00EF24F5"/>
    <w:rsid w:val="00EF2565"/>
    <w:rsid w:val="00EF2765"/>
    <w:rsid w:val="00EF27D0"/>
    <w:rsid w:val="00EF28B1"/>
    <w:rsid w:val="00EF2DE8"/>
    <w:rsid w:val="00EF32F6"/>
    <w:rsid w:val="00EF4580"/>
    <w:rsid w:val="00EF4EF1"/>
    <w:rsid w:val="00EF539F"/>
    <w:rsid w:val="00EF5925"/>
    <w:rsid w:val="00EF662C"/>
    <w:rsid w:val="00EF6928"/>
    <w:rsid w:val="00EF6DB5"/>
    <w:rsid w:val="00EF6FA9"/>
    <w:rsid w:val="00EF7405"/>
    <w:rsid w:val="00EF78EA"/>
    <w:rsid w:val="00F016E4"/>
    <w:rsid w:val="00F017DC"/>
    <w:rsid w:val="00F01CB5"/>
    <w:rsid w:val="00F01E6C"/>
    <w:rsid w:val="00F02075"/>
    <w:rsid w:val="00F03219"/>
    <w:rsid w:val="00F03702"/>
    <w:rsid w:val="00F03C06"/>
    <w:rsid w:val="00F04097"/>
    <w:rsid w:val="00F045E2"/>
    <w:rsid w:val="00F051B0"/>
    <w:rsid w:val="00F05409"/>
    <w:rsid w:val="00F06448"/>
    <w:rsid w:val="00F0689B"/>
    <w:rsid w:val="00F06E52"/>
    <w:rsid w:val="00F06F62"/>
    <w:rsid w:val="00F078AE"/>
    <w:rsid w:val="00F07BD0"/>
    <w:rsid w:val="00F07EC3"/>
    <w:rsid w:val="00F100E0"/>
    <w:rsid w:val="00F10625"/>
    <w:rsid w:val="00F1079D"/>
    <w:rsid w:val="00F11081"/>
    <w:rsid w:val="00F11209"/>
    <w:rsid w:val="00F11547"/>
    <w:rsid w:val="00F11A95"/>
    <w:rsid w:val="00F11C39"/>
    <w:rsid w:val="00F11CEB"/>
    <w:rsid w:val="00F1248F"/>
    <w:rsid w:val="00F1264C"/>
    <w:rsid w:val="00F126D2"/>
    <w:rsid w:val="00F130A4"/>
    <w:rsid w:val="00F13573"/>
    <w:rsid w:val="00F13EA0"/>
    <w:rsid w:val="00F140E4"/>
    <w:rsid w:val="00F14107"/>
    <w:rsid w:val="00F1457D"/>
    <w:rsid w:val="00F14673"/>
    <w:rsid w:val="00F1469A"/>
    <w:rsid w:val="00F1480E"/>
    <w:rsid w:val="00F149A3"/>
    <w:rsid w:val="00F15443"/>
    <w:rsid w:val="00F15BD1"/>
    <w:rsid w:val="00F1677E"/>
    <w:rsid w:val="00F174DB"/>
    <w:rsid w:val="00F1767B"/>
    <w:rsid w:val="00F17B2F"/>
    <w:rsid w:val="00F20797"/>
    <w:rsid w:val="00F20E6E"/>
    <w:rsid w:val="00F211C1"/>
    <w:rsid w:val="00F217CB"/>
    <w:rsid w:val="00F21874"/>
    <w:rsid w:val="00F2199E"/>
    <w:rsid w:val="00F21E65"/>
    <w:rsid w:val="00F21EEB"/>
    <w:rsid w:val="00F22268"/>
    <w:rsid w:val="00F2231E"/>
    <w:rsid w:val="00F22877"/>
    <w:rsid w:val="00F23077"/>
    <w:rsid w:val="00F234F2"/>
    <w:rsid w:val="00F236E1"/>
    <w:rsid w:val="00F24486"/>
    <w:rsid w:val="00F24755"/>
    <w:rsid w:val="00F25875"/>
    <w:rsid w:val="00F25F15"/>
    <w:rsid w:val="00F26877"/>
    <w:rsid w:val="00F268BA"/>
    <w:rsid w:val="00F26E93"/>
    <w:rsid w:val="00F26F42"/>
    <w:rsid w:val="00F272E0"/>
    <w:rsid w:val="00F30562"/>
    <w:rsid w:val="00F30952"/>
    <w:rsid w:val="00F30CB3"/>
    <w:rsid w:val="00F3163A"/>
    <w:rsid w:val="00F31A97"/>
    <w:rsid w:val="00F31DDB"/>
    <w:rsid w:val="00F3200C"/>
    <w:rsid w:val="00F320EB"/>
    <w:rsid w:val="00F321E3"/>
    <w:rsid w:val="00F323D2"/>
    <w:rsid w:val="00F32665"/>
    <w:rsid w:val="00F32E30"/>
    <w:rsid w:val="00F32EE7"/>
    <w:rsid w:val="00F330A5"/>
    <w:rsid w:val="00F3344A"/>
    <w:rsid w:val="00F3372C"/>
    <w:rsid w:val="00F33FEC"/>
    <w:rsid w:val="00F3411B"/>
    <w:rsid w:val="00F35842"/>
    <w:rsid w:val="00F359EB"/>
    <w:rsid w:val="00F36501"/>
    <w:rsid w:val="00F36694"/>
    <w:rsid w:val="00F36CD4"/>
    <w:rsid w:val="00F3767D"/>
    <w:rsid w:val="00F4012C"/>
    <w:rsid w:val="00F4063A"/>
    <w:rsid w:val="00F4093E"/>
    <w:rsid w:val="00F4170C"/>
    <w:rsid w:val="00F41879"/>
    <w:rsid w:val="00F41CFF"/>
    <w:rsid w:val="00F4243B"/>
    <w:rsid w:val="00F42646"/>
    <w:rsid w:val="00F42AC1"/>
    <w:rsid w:val="00F42EA6"/>
    <w:rsid w:val="00F42FD1"/>
    <w:rsid w:val="00F43598"/>
    <w:rsid w:val="00F436D2"/>
    <w:rsid w:val="00F43A0D"/>
    <w:rsid w:val="00F43BF4"/>
    <w:rsid w:val="00F44001"/>
    <w:rsid w:val="00F45032"/>
    <w:rsid w:val="00F461EB"/>
    <w:rsid w:val="00F4667C"/>
    <w:rsid w:val="00F46963"/>
    <w:rsid w:val="00F47047"/>
    <w:rsid w:val="00F4761B"/>
    <w:rsid w:val="00F4786F"/>
    <w:rsid w:val="00F4792C"/>
    <w:rsid w:val="00F47C30"/>
    <w:rsid w:val="00F50392"/>
    <w:rsid w:val="00F50828"/>
    <w:rsid w:val="00F50906"/>
    <w:rsid w:val="00F50AA7"/>
    <w:rsid w:val="00F517D6"/>
    <w:rsid w:val="00F52208"/>
    <w:rsid w:val="00F52C19"/>
    <w:rsid w:val="00F52CC2"/>
    <w:rsid w:val="00F53002"/>
    <w:rsid w:val="00F5365A"/>
    <w:rsid w:val="00F53743"/>
    <w:rsid w:val="00F53B8B"/>
    <w:rsid w:val="00F53C98"/>
    <w:rsid w:val="00F54714"/>
    <w:rsid w:val="00F54BA2"/>
    <w:rsid w:val="00F554CF"/>
    <w:rsid w:val="00F558D4"/>
    <w:rsid w:val="00F55FFC"/>
    <w:rsid w:val="00F56BF3"/>
    <w:rsid w:val="00F56F60"/>
    <w:rsid w:val="00F576B5"/>
    <w:rsid w:val="00F577C6"/>
    <w:rsid w:val="00F57800"/>
    <w:rsid w:val="00F57F76"/>
    <w:rsid w:val="00F603F5"/>
    <w:rsid w:val="00F6083E"/>
    <w:rsid w:val="00F60B70"/>
    <w:rsid w:val="00F6185D"/>
    <w:rsid w:val="00F61FC9"/>
    <w:rsid w:val="00F62238"/>
    <w:rsid w:val="00F6223E"/>
    <w:rsid w:val="00F62391"/>
    <w:rsid w:val="00F62A2D"/>
    <w:rsid w:val="00F63A0E"/>
    <w:rsid w:val="00F63B07"/>
    <w:rsid w:val="00F63CED"/>
    <w:rsid w:val="00F6416D"/>
    <w:rsid w:val="00F642E8"/>
    <w:rsid w:val="00F64B72"/>
    <w:rsid w:val="00F64FC3"/>
    <w:rsid w:val="00F655DB"/>
    <w:rsid w:val="00F65A96"/>
    <w:rsid w:val="00F65B4B"/>
    <w:rsid w:val="00F65B8A"/>
    <w:rsid w:val="00F65E8C"/>
    <w:rsid w:val="00F663A0"/>
    <w:rsid w:val="00F66F43"/>
    <w:rsid w:val="00F70D4F"/>
    <w:rsid w:val="00F7113A"/>
    <w:rsid w:val="00F71278"/>
    <w:rsid w:val="00F712F4"/>
    <w:rsid w:val="00F7132A"/>
    <w:rsid w:val="00F721EA"/>
    <w:rsid w:val="00F723C0"/>
    <w:rsid w:val="00F7257B"/>
    <w:rsid w:val="00F72B0E"/>
    <w:rsid w:val="00F72BF8"/>
    <w:rsid w:val="00F72D40"/>
    <w:rsid w:val="00F72D4F"/>
    <w:rsid w:val="00F72F42"/>
    <w:rsid w:val="00F731D2"/>
    <w:rsid w:val="00F7360E"/>
    <w:rsid w:val="00F73A5D"/>
    <w:rsid w:val="00F73AC5"/>
    <w:rsid w:val="00F73C9D"/>
    <w:rsid w:val="00F73E94"/>
    <w:rsid w:val="00F74FA0"/>
    <w:rsid w:val="00F75320"/>
    <w:rsid w:val="00F75913"/>
    <w:rsid w:val="00F75E1F"/>
    <w:rsid w:val="00F76222"/>
    <w:rsid w:val="00F767F2"/>
    <w:rsid w:val="00F76D63"/>
    <w:rsid w:val="00F77075"/>
    <w:rsid w:val="00F77748"/>
    <w:rsid w:val="00F77E2A"/>
    <w:rsid w:val="00F804B2"/>
    <w:rsid w:val="00F8050A"/>
    <w:rsid w:val="00F80C8A"/>
    <w:rsid w:val="00F81169"/>
    <w:rsid w:val="00F8119C"/>
    <w:rsid w:val="00F813AF"/>
    <w:rsid w:val="00F82251"/>
    <w:rsid w:val="00F82B0C"/>
    <w:rsid w:val="00F83339"/>
    <w:rsid w:val="00F83651"/>
    <w:rsid w:val="00F83D4F"/>
    <w:rsid w:val="00F8427A"/>
    <w:rsid w:val="00F84CA9"/>
    <w:rsid w:val="00F84E5D"/>
    <w:rsid w:val="00F85338"/>
    <w:rsid w:val="00F855E0"/>
    <w:rsid w:val="00F85A8A"/>
    <w:rsid w:val="00F85E5F"/>
    <w:rsid w:val="00F866D0"/>
    <w:rsid w:val="00F8681C"/>
    <w:rsid w:val="00F86C07"/>
    <w:rsid w:val="00F87A7C"/>
    <w:rsid w:val="00F87D2B"/>
    <w:rsid w:val="00F90ACA"/>
    <w:rsid w:val="00F912FF"/>
    <w:rsid w:val="00F91578"/>
    <w:rsid w:val="00F919A5"/>
    <w:rsid w:val="00F91C99"/>
    <w:rsid w:val="00F92166"/>
    <w:rsid w:val="00F94078"/>
    <w:rsid w:val="00F9431A"/>
    <w:rsid w:val="00F94493"/>
    <w:rsid w:val="00F94CF3"/>
    <w:rsid w:val="00F9509D"/>
    <w:rsid w:val="00F957C9"/>
    <w:rsid w:val="00F95A85"/>
    <w:rsid w:val="00F95F8D"/>
    <w:rsid w:val="00F96182"/>
    <w:rsid w:val="00F963DA"/>
    <w:rsid w:val="00F96403"/>
    <w:rsid w:val="00F9643D"/>
    <w:rsid w:val="00F967F7"/>
    <w:rsid w:val="00F96ACB"/>
    <w:rsid w:val="00F9735E"/>
    <w:rsid w:val="00F97919"/>
    <w:rsid w:val="00F97C27"/>
    <w:rsid w:val="00FA106A"/>
    <w:rsid w:val="00FA2240"/>
    <w:rsid w:val="00FA27B3"/>
    <w:rsid w:val="00FA2FF6"/>
    <w:rsid w:val="00FA43A7"/>
    <w:rsid w:val="00FA44D9"/>
    <w:rsid w:val="00FA46C1"/>
    <w:rsid w:val="00FA49C3"/>
    <w:rsid w:val="00FA5B44"/>
    <w:rsid w:val="00FA68B5"/>
    <w:rsid w:val="00FA6CF1"/>
    <w:rsid w:val="00FA7753"/>
    <w:rsid w:val="00FA77BD"/>
    <w:rsid w:val="00FB01EC"/>
    <w:rsid w:val="00FB0CC7"/>
    <w:rsid w:val="00FB188E"/>
    <w:rsid w:val="00FB192B"/>
    <w:rsid w:val="00FB1935"/>
    <w:rsid w:val="00FB1A6B"/>
    <w:rsid w:val="00FB1D70"/>
    <w:rsid w:val="00FB20FB"/>
    <w:rsid w:val="00FB21C9"/>
    <w:rsid w:val="00FB240E"/>
    <w:rsid w:val="00FB280F"/>
    <w:rsid w:val="00FB2A0D"/>
    <w:rsid w:val="00FB2BE6"/>
    <w:rsid w:val="00FB2CA5"/>
    <w:rsid w:val="00FB3415"/>
    <w:rsid w:val="00FB35FD"/>
    <w:rsid w:val="00FB3A0C"/>
    <w:rsid w:val="00FB44B4"/>
    <w:rsid w:val="00FB463B"/>
    <w:rsid w:val="00FB5A06"/>
    <w:rsid w:val="00FB791F"/>
    <w:rsid w:val="00FB7943"/>
    <w:rsid w:val="00FB7C6D"/>
    <w:rsid w:val="00FB7F47"/>
    <w:rsid w:val="00FC04E5"/>
    <w:rsid w:val="00FC1B2C"/>
    <w:rsid w:val="00FC2034"/>
    <w:rsid w:val="00FC247E"/>
    <w:rsid w:val="00FC26AD"/>
    <w:rsid w:val="00FC2DF9"/>
    <w:rsid w:val="00FC317E"/>
    <w:rsid w:val="00FC3FA0"/>
    <w:rsid w:val="00FC49E2"/>
    <w:rsid w:val="00FC503A"/>
    <w:rsid w:val="00FC5254"/>
    <w:rsid w:val="00FC56FB"/>
    <w:rsid w:val="00FC58F4"/>
    <w:rsid w:val="00FC5A8E"/>
    <w:rsid w:val="00FC6D9B"/>
    <w:rsid w:val="00FC72FD"/>
    <w:rsid w:val="00FC7517"/>
    <w:rsid w:val="00FC799F"/>
    <w:rsid w:val="00FD0020"/>
    <w:rsid w:val="00FD04EE"/>
    <w:rsid w:val="00FD0DC4"/>
    <w:rsid w:val="00FD11D9"/>
    <w:rsid w:val="00FD11F8"/>
    <w:rsid w:val="00FD1613"/>
    <w:rsid w:val="00FD2722"/>
    <w:rsid w:val="00FD272A"/>
    <w:rsid w:val="00FD36F8"/>
    <w:rsid w:val="00FD4326"/>
    <w:rsid w:val="00FD4BC6"/>
    <w:rsid w:val="00FD59E3"/>
    <w:rsid w:val="00FD5C7D"/>
    <w:rsid w:val="00FD61CF"/>
    <w:rsid w:val="00FD6A99"/>
    <w:rsid w:val="00FD6AEA"/>
    <w:rsid w:val="00FD6FB2"/>
    <w:rsid w:val="00FD7C2E"/>
    <w:rsid w:val="00FD7DB4"/>
    <w:rsid w:val="00FD7EB6"/>
    <w:rsid w:val="00FE098C"/>
    <w:rsid w:val="00FE0AF5"/>
    <w:rsid w:val="00FE0D21"/>
    <w:rsid w:val="00FE1199"/>
    <w:rsid w:val="00FE14ED"/>
    <w:rsid w:val="00FE162B"/>
    <w:rsid w:val="00FE21E9"/>
    <w:rsid w:val="00FE2D16"/>
    <w:rsid w:val="00FE31B2"/>
    <w:rsid w:val="00FE3716"/>
    <w:rsid w:val="00FE3D19"/>
    <w:rsid w:val="00FE3DAA"/>
    <w:rsid w:val="00FE3E0F"/>
    <w:rsid w:val="00FE4192"/>
    <w:rsid w:val="00FE4D74"/>
    <w:rsid w:val="00FE4EBE"/>
    <w:rsid w:val="00FE559F"/>
    <w:rsid w:val="00FE5DDE"/>
    <w:rsid w:val="00FE6281"/>
    <w:rsid w:val="00FE6BDE"/>
    <w:rsid w:val="00FE7473"/>
    <w:rsid w:val="00FE74AB"/>
    <w:rsid w:val="00FE7783"/>
    <w:rsid w:val="00FE790B"/>
    <w:rsid w:val="00FF03A2"/>
    <w:rsid w:val="00FF0A01"/>
    <w:rsid w:val="00FF0CD1"/>
    <w:rsid w:val="00FF1653"/>
    <w:rsid w:val="00FF231D"/>
    <w:rsid w:val="00FF28FE"/>
    <w:rsid w:val="00FF2BC0"/>
    <w:rsid w:val="00FF33A9"/>
    <w:rsid w:val="00FF3582"/>
    <w:rsid w:val="00FF3907"/>
    <w:rsid w:val="00FF3BC9"/>
    <w:rsid w:val="00FF3FAC"/>
    <w:rsid w:val="00FF4016"/>
    <w:rsid w:val="00FF421B"/>
    <w:rsid w:val="00FF4F68"/>
    <w:rsid w:val="00FF5044"/>
    <w:rsid w:val="00FF52DE"/>
    <w:rsid w:val="00FF55D8"/>
    <w:rsid w:val="00FF565C"/>
    <w:rsid w:val="00FF5F0C"/>
    <w:rsid w:val="00FF6002"/>
    <w:rsid w:val="00FF601C"/>
    <w:rsid w:val="00FF6341"/>
    <w:rsid w:val="00FF64BE"/>
    <w:rsid w:val="00FF66D1"/>
    <w:rsid w:val="00FF70B5"/>
    <w:rsid w:val="00FF7189"/>
    <w:rsid w:val="00FF7721"/>
    <w:rsid w:val="00FF7E98"/>
    <w:rsid w:val="00FF7F30"/>
    <w:rsid w:val="011A11A4"/>
    <w:rsid w:val="01405559"/>
    <w:rsid w:val="014B5B44"/>
    <w:rsid w:val="016A5229"/>
    <w:rsid w:val="0182219D"/>
    <w:rsid w:val="018C5F7F"/>
    <w:rsid w:val="01AC7D6A"/>
    <w:rsid w:val="01BE4069"/>
    <w:rsid w:val="01BE5800"/>
    <w:rsid w:val="01E46F65"/>
    <w:rsid w:val="01FD1AB4"/>
    <w:rsid w:val="01FF5F05"/>
    <w:rsid w:val="02813B70"/>
    <w:rsid w:val="029447A7"/>
    <w:rsid w:val="02E536DD"/>
    <w:rsid w:val="02FC7879"/>
    <w:rsid w:val="035E737B"/>
    <w:rsid w:val="037D3DF5"/>
    <w:rsid w:val="03F06C42"/>
    <w:rsid w:val="040242FD"/>
    <w:rsid w:val="041509F1"/>
    <w:rsid w:val="041B3357"/>
    <w:rsid w:val="043A3A91"/>
    <w:rsid w:val="04B458A6"/>
    <w:rsid w:val="04C34346"/>
    <w:rsid w:val="04E30437"/>
    <w:rsid w:val="05045C94"/>
    <w:rsid w:val="05465FD3"/>
    <w:rsid w:val="05A3689F"/>
    <w:rsid w:val="05EF5C58"/>
    <w:rsid w:val="05F41FAA"/>
    <w:rsid w:val="05F45E3B"/>
    <w:rsid w:val="06292706"/>
    <w:rsid w:val="063B78DC"/>
    <w:rsid w:val="063D29A3"/>
    <w:rsid w:val="06971FEE"/>
    <w:rsid w:val="06C123D8"/>
    <w:rsid w:val="06CB3DC5"/>
    <w:rsid w:val="071C264C"/>
    <w:rsid w:val="07305104"/>
    <w:rsid w:val="076C143E"/>
    <w:rsid w:val="076E0F6D"/>
    <w:rsid w:val="07717C81"/>
    <w:rsid w:val="07E84F31"/>
    <w:rsid w:val="081650F7"/>
    <w:rsid w:val="0839529D"/>
    <w:rsid w:val="08CA13FE"/>
    <w:rsid w:val="08ED6689"/>
    <w:rsid w:val="08F57ACE"/>
    <w:rsid w:val="090760E5"/>
    <w:rsid w:val="090B23E0"/>
    <w:rsid w:val="09974C33"/>
    <w:rsid w:val="099E7A69"/>
    <w:rsid w:val="09B82947"/>
    <w:rsid w:val="09C94FA3"/>
    <w:rsid w:val="0A8658BC"/>
    <w:rsid w:val="0A8C5FC6"/>
    <w:rsid w:val="0B1E74CA"/>
    <w:rsid w:val="0B4D569A"/>
    <w:rsid w:val="0B9E6437"/>
    <w:rsid w:val="0BF958C7"/>
    <w:rsid w:val="0C064DA2"/>
    <w:rsid w:val="0C13131C"/>
    <w:rsid w:val="0C2561A2"/>
    <w:rsid w:val="0C3F3332"/>
    <w:rsid w:val="0C553053"/>
    <w:rsid w:val="0C5A09A9"/>
    <w:rsid w:val="0C800126"/>
    <w:rsid w:val="0C8C0258"/>
    <w:rsid w:val="0CDB719E"/>
    <w:rsid w:val="0D0B53BC"/>
    <w:rsid w:val="0D11138D"/>
    <w:rsid w:val="0D1F127C"/>
    <w:rsid w:val="0D54013C"/>
    <w:rsid w:val="0D56019D"/>
    <w:rsid w:val="0DA67DD1"/>
    <w:rsid w:val="0DB47D2A"/>
    <w:rsid w:val="0E0812B7"/>
    <w:rsid w:val="0E2D3569"/>
    <w:rsid w:val="0E407559"/>
    <w:rsid w:val="0E7348E7"/>
    <w:rsid w:val="0E775821"/>
    <w:rsid w:val="0E940B6D"/>
    <w:rsid w:val="0E99699A"/>
    <w:rsid w:val="0EAB6A73"/>
    <w:rsid w:val="0F4D0707"/>
    <w:rsid w:val="0F9F41EB"/>
    <w:rsid w:val="0FA61B22"/>
    <w:rsid w:val="0FBA2A45"/>
    <w:rsid w:val="0FC41654"/>
    <w:rsid w:val="0FDE7285"/>
    <w:rsid w:val="10403121"/>
    <w:rsid w:val="1042721E"/>
    <w:rsid w:val="106951F4"/>
    <w:rsid w:val="10AD147E"/>
    <w:rsid w:val="10E26334"/>
    <w:rsid w:val="11124156"/>
    <w:rsid w:val="112C5B7D"/>
    <w:rsid w:val="1147532F"/>
    <w:rsid w:val="118C2ED5"/>
    <w:rsid w:val="11B83D31"/>
    <w:rsid w:val="11B91E2A"/>
    <w:rsid w:val="11EC2719"/>
    <w:rsid w:val="121944E4"/>
    <w:rsid w:val="122263B9"/>
    <w:rsid w:val="12625B2F"/>
    <w:rsid w:val="126F5DEF"/>
    <w:rsid w:val="12795B29"/>
    <w:rsid w:val="129036E0"/>
    <w:rsid w:val="12A5475F"/>
    <w:rsid w:val="12F62B63"/>
    <w:rsid w:val="13696837"/>
    <w:rsid w:val="13703527"/>
    <w:rsid w:val="1383473A"/>
    <w:rsid w:val="13B31AEC"/>
    <w:rsid w:val="13FE3FBA"/>
    <w:rsid w:val="140E1568"/>
    <w:rsid w:val="14404369"/>
    <w:rsid w:val="1471367E"/>
    <w:rsid w:val="14B12588"/>
    <w:rsid w:val="154173E7"/>
    <w:rsid w:val="1552394A"/>
    <w:rsid w:val="15660168"/>
    <w:rsid w:val="15B82D31"/>
    <w:rsid w:val="161471A7"/>
    <w:rsid w:val="161E6F7C"/>
    <w:rsid w:val="162C11CD"/>
    <w:rsid w:val="16464B12"/>
    <w:rsid w:val="171351B3"/>
    <w:rsid w:val="171F3A68"/>
    <w:rsid w:val="175D674F"/>
    <w:rsid w:val="17696FC3"/>
    <w:rsid w:val="1793734F"/>
    <w:rsid w:val="17A25817"/>
    <w:rsid w:val="17B53534"/>
    <w:rsid w:val="17CD2550"/>
    <w:rsid w:val="18114189"/>
    <w:rsid w:val="187431A4"/>
    <w:rsid w:val="189161DF"/>
    <w:rsid w:val="18DE407A"/>
    <w:rsid w:val="18F06F2D"/>
    <w:rsid w:val="18F630EB"/>
    <w:rsid w:val="19117739"/>
    <w:rsid w:val="19403824"/>
    <w:rsid w:val="19AD7F51"/>
    <w:rsid w:val="19B02548"/>
    <w:rsid w:val="19E776E0"/>
    <w:rsid w:val="1A0D05F5"/>
    <w:rsid w:val="1A1C2849"/>
    <w:rsid w:val="1A1D16EC"/>
    <w:rsid w:val="1A9E3747"/>
    <w:rsid w:val="1B7C7571"/>
    <w:rsid w:val="1B82562F"/>
    <w:rsid w:val="1B9F76CB"/>
    <w:rsid w:val="1BA50D14"/>
    <w:rsid w:val="1BA677E7"/>
    <w:rsid w:val="1C157D87"/>
    <w:rsid w:val="1C222B34"/>
    <w:rsid w:val="1C433A21"/>
    <w:rsid w:val="1C625D30"/>
    <w:rsid w:val="1C7671E3"/>
    <w:rsid w:val="1C777601"/>
    <w:rsid w:val="1C7B6556"/>
    <w:rsid w:val="1C8A26BA"/>
    <w:rsid w:val="1C8A493E"/>
    <w:rsid w:val="1CCB6998"/>
    <w:rsid w:val="1CD638BB"/>
    <w:rsid w:val="1CD6623F"/>
    <w:rsid w:val="1CF90898"/>
    <w:rsid w:val="1CFA0FE7"/>
    <w:rsid w:val="1D4824C2"/>
    <w:rsid w:val="1D495458"/>
    <w:rsid w:val="1D8C69C4"/>
    <w:rsid w:val="1DE748E1"/>
    <w:rsid w:val="1DEF6C8E"/>
    <w:rsid w:val="1E1C7C6C"/>
    <w:rsid w:val="1E6178C8"/>
    <w:rsid w:val="1E646F85"/>
    <w:rsid w:val="1E786F00"/>
    <w:rsid w:val="1ECF38FA"/>
    <w:rsid w:val="1EE26B01"/>
    <w:rsid w:val="1F147CCD"/>
    <w:rsid w:val="1F1F65F5"/>
    <w:rsid w:val="1F227F17"/>
    <w:rsid w:val="1F343C02"/>
    <w:rsid w:val="1FAC7E53"/>
    <w:rsid w:val="203568AC"/>
    <w:rsid w:val="20517FE3"/>
    <w:rsid w:val="20597707"/>
    <w:rsid w:val="207F0857"/>
    <w:rsid w:val="20C2792D"/>
    <w:rsid w:val="20CE2C18"/>
    <w:rsid w:val="20E3136E"/>
    <w:rsid w:val="21160D44"/>
    <w:rsid w:val="21577705"/>
    <w:rsid w:val="215D1F6B"/>
    <w:rsid w:val="21790950"/>
    <w:rsid w:val="217C1DAF"/>
    <w:rsid w:val="218220DE"/>
    <w:rsid w:val="21FE096D"/>
    <w:rsid w:val="222C76C6"/>
    <w:rsid w:val="22466CF3"/>
    <w:rsid w:val="2253067F"/>
    <w:rsid w:val="2298179E"/>
    <w:rsid w:val="22A344E7"/>
    <w:rsid w:val="22C001C7"/>
    <w:rsid w:val="22C9107A"/>
    <w:rsid w:val="22DE3197"/>
    <w:rsid w:val="22EF703C"/>
    <w:rsid w:val="22F4082B"/>
    <w:rsid w:val="22F978A4"/>
    <w:rsid w:val="230E0741"/>
    <w:rsid w:val="233935DD"/>
    <w:rsid w:val="235F1FAC"/>
    <w:rsid w:val="23B459CF"/>
    <w:rsid w:val="23BD0A95"/>
    <w:rsid w:val="23C407BC"/>
    <w:rsid w:val="23F63E16"/>
    <w:rsid w:val="24246362"/>
    <w:rsid w:val="243A32C2"/>
    <w:rsid w:val="243E49BC"/>
    <w:rsid w:val="243F71F1"/>
    <w:rsid w:val="24AE5ED7"/>
    <w:rsid w:val="24C9376C"/>
    <w:rsid w:val="24D14033"/>
    <w:rsid w:val="25093A3B"/>
    <w:rsid w:val="25236D0D"/>
    <w:rsid w:val="252F645D"/>
    <w:rsid w:val="254C19FF"/>
    <w:rsid w:val="255E2F6B"/>
    <w:rsid w:val="258858A9"/>
    <w:rsid w:val="25D0192F"/>
    <w:rsid w:val="25E21C3F"/>
    <w:rsid w:val="261F00B2"/>
    <w:rsid w:val="262A6640"/>
    <w:rsid w:val="26757E2C"/>
    <w:rsid w:val="26790701"/>
    <w:rsid w:val="26832765"/>
    <w:rsid w:val="269A4233"/>
    <w:rsid w:val="273508EE"/>
    <w:rsid w:val="27483692"/>
    <w:rsid w:val="276F6E45"/>
    <w:rsid w:val="278066D7"/>
    <w:rsid w:val="27827B0F"/>
    <w:rsid w:val="27886287"/>
    <w:rsid w:val="27A00131"/>
    <w:rsid w:val="27AC6F66"/>
    <w:rsid w:val="27C25F8B"/>
    <w:rsid w:val="27C77518"/>
    <w:rsid w:val="27F53526"/>
    <w:rsid w:val="27FA5E76"/>
    <w:rsid w:val="28510862"/>
    <w:rsid w:val="28690FE5"/>
    <w:rsid w:val="288E2BD2"/>
    <w:rsid w:val="28C11325"/>
    <w:rsid w:val="28DC50AB"/>
    <w:rsid w:val="28E55271"/>
    <w:rsid w:val="28E7739E"/>
    <w:rsid w:val="2923374B"/>
    <w:rsid w:val="299A751F"/>
    <w:rsid w:val="29BD796F"/>
    <w:rsid w:val="29F0232D"/>
    <w:rsid w:val="2A1C62FC"/>
    <w:rsid w:val="2AAC3644"/>
    <w:rsid w:val="2AD74843"/>
    <w:rsid w:val="2AED4DA8"/>
    <w:rsid w:val="2B0F05EA"/>
    <w:rsid w:val="2B3665DB"/>
    <w:rsid w:val="2B816DD2"/>
    <w:rsid w:val="2B8946FF"/>
    <w:rsid w:val="2BAA5ABF"/>
    <w:rsid w:val="2BBE372D"/>
    <w:rsid w:val="2C0A4741"/>
    <w:rsid w:val="2C0F394D"/>
    <w:rsid w:val="2CD36453"/>
    <w:rsid w:val="2CF86E08"/>
    <w:rsid w:val="2D0C1346"/>
    <w:rsid w:val="2D214B2C"/>
    <w:rsid w:val="2D370346"/>
    <w:rsid w:val="2D44249D"/>
    <w:rsid w:val="2D5432BE"/>
    <w:rsid w:val="2D9B15EF"/>
    <w:rsid w:val="2E304308"/>
    <w:rsid w:val="2E485379"/>
    <w:rsid w:val="2EB26D79"/>
    <w:rsid w:val="2EBD43DC"/>
    <w:rsid w:val="2F16026E"/>
    <w:rsid w:val="2F3D7856"/>
    <w:rsid w:val="2F7145F4"/>
    <w:rsid w:val="2FA808D5"/>
    <w:rsid w:val="2FDC253D"/>
    <w:rsid w:val="30066FDE"/>
    <w:rsid w:val="301C1F55"/>
    <w:rsid w:val="30580298"/>
    <w:rsid w:val="30646F90"/>
    <w:rsid w:val="309965F8"/>
    <w:rsid w:val="30A64D10"/>
    <w:rsid w:val="30B87CF1"/>
    <w:rsid w:val="30CB0402"/>
    <w:rsid w:val="30DC4A9B"/>
    <w:rsid w:val="30F27B94"/>
    <w:rsid w:val="31197E88"/>
    <w:rsid w:val="312D17F4"/>
    <w:rsid w:val="31453461"/>
    <w:rsid w:val="31B048A2"/>
    <w:rsid w:val="321E42BD"/>
    <w:rsid w:val="32201910"/>
    <w:rsid w:val="324D2681"/>
    <w:rsid w:val="325B4CD5"/>
    <w:rsid w:val="32BE66EC"/>
    <w:rsid w:val="32CF55D8"/>
    <w:rsid w:val="333F06D3"/>
    <w:rsid w:val="333F1E26"/>
    <w:rsid w:val="33517015"/>
    <w:rsid w:val="336D74D1"/>
    <w:rsid w:val="33B506A9"/>
    <w:rsid w:val="33F435C6"/>
    <w:rsid w:val="34457450"/>
    <w:rsid w:val="34523EDB"/>
    <w:rsid w:val="348B32F2"/>
    <w:rsid w:val="34CE66CA"/>
    <w:rsid w:val="350E185E"/>
    <w:rsid w:val="35373F98"/>
    <w:rsid w:val="35871ED9"/>
    <w:rsid w:val="35956A1A"/>
    <w:rsid w:val="35DB6515"/>
    <w:rsid w:val="36246068"/>
    <w:rsid w:val="363B7932"/>
    <w:rsid w:val="36630DAE"/>
    <w:rsid w:val="36C06D9A"/>
    <w:rsid w:val="36D15C2A"/>
    <w:rsid w:val="36FA4BBC"/>
    <w:rsid w:val="371D61FE"/>
    <w:rsid w:val="372F3FCE"/>
    <w:rsid w:val="374B5AC3"/>
    <w:rsid w:val="37536380"/>
    <w:rsid w:val="37AF154E"/>
    <w:rsid w:val="37EC4029"/>
    <w:rsid w:val="37F71898"/>
    <w:rsid w:val="38187E4F"/>
    <w:rsid w:val="3820445B"/>
    <w:rsid w:val="38210467"/>
    <w:rsid w:val="382D4896"/>
    <w:rsid w:val="38401B73"/>
    <w:rsid w:val="384B1D2A"/>
    <w:rsid w:val="384D1898"/>
    <w:rsid w:val="389C6876"/>
    <w:rsid w:val="38AD6AE5"/>
    <w:rsid w:val="38F24247"/>
    <w:rsid w:val="391129CE"/>
    <w:rsid w:val="395470E7"/>
    <w:rsid w:val="3958515B"/>
    <w:rsid w:val="395C206A"/>
    <w:rsid w:val="39657AA9"/>
    <w:rsid w:val="39780BBB"/>
    <w:rsid w:val="39D617F2"/>
    <w:rsid w:val="39D863A2"/>
    <w:rsid w:val="3A844634"/>
    <w:rsid w:val="3ACF05C8"/>
    <w:rsid w:val="3B4E6F37"/>
    <w:rsid w:val="3B6919A0"/>
    <w:rsid w:val="3B731AB5"/>
    <w:rsid w:val="3B735473"/>
    <w:rsid w:val="3B833738"/>
    <w:rsid w:val="3B874762"/>
    <w:rsid w:val="3B9F5F88"/>
    <w:rsid w:val="3C2527C5"/>
    <w:rsid w:val="3C5B0AB0"/>
    <w:rsid w:val="3C84642E"/>
    <w:rsid w:val="3D4F29C9"/>
    <w:rsid w:val="3D542895"/>
    <w:rsid w:val="3D6F75C9"/>
    <w:rsid w:val="3D73742D"/>
    <w:rsid w:val="3D7F70E7"/>
    <w:rsid w:val="3DE90F01"/>
    <w:rsid w:val="3E266E35"/>
    <w:rsid w:val="3EE838EE"/>
    <w:rsid w:val="3EEC4647"/>
    <w:rsid w:val="3F4829A1"/>
    <w:rsid w:val="3F7F04D5"/>
    <w:rsid w:val="3F8E7C85"/>
    <w:rsid w:val="400975BF"/>
    <w:rsid w:val="40A005F0"/>
    <w:rsid w:val="40CA3B74"/>
    <w:rsid w:val="411059A1"/>
    <w:rsid w:val="417D76A0"/>
    <w:rsid w:val="417E1386"/>
    <w:rsid w:val="41D41EE5"/>
    <w:rsid w:val="41F075CD"/>
    <w:rsid w:val="42114C38"/>
    <w:rsid w:val="422B6BF4"/>
    <w:rsid w:val="4234308B"/>
    <w:rsid w:val="42347713"/>
    <w:rsid w:val="42591FB7"/>
    <w:rsid w:val="425B08E5"/>
    <w:rsid w:val="43825515"/>
    <w:rsid w:val="43B00A8F"/>
    <w:rsid w:val="43DE204E"/>
    <w:rsid w:val="43F964F0"/>
    <w:rsid w:val="449F594C"/>
    <w:rsid w:val="44F7199A"/>
    <w:rsid w:val="44FC25A7"/>
    <w:rsid w:val="452545FE"/>
    <w:rsid w:val="454B391C"/>
    <w:rsid w:val="45511B47"/>
    <w:rsid w:val="45594896"/>
    <w:rsid w:val="455D2D1E"/>
    <w:rsid w:val="4572682B"/>
    <w:rsid w:val="458E5DAC"/>
    <w:rsid w:val="459557D9"/>
    <w:rsid w:val="45A15DDB"/>
    <w:rsid w:val="45A3513D"/>
    <w:rsid w:val="45B22926"/>
    <w:rsid w:val="45C277D4"/>
    <w:rsid w:val="4627407F"/>
    <w:rsid w:val="462C55EB"/>
    <w:rsid w:val="46361E14"/>
    <w:rsid w:val="467277FA"/>
    <w:rsid w:val="4681712C"/>
    <w:rsid w:val="468B6718"/>
    <w:rsid w:val="473B23EB"/>
    <w:rsid w:val="47407545"/>
    <w:rsid w:val="476250CF"/>
    <w:rsid w:val="47727BCE"/>
    <w:rsid w:val="47B32EAB"/>
    <w:rsid w:val="47C40E8C"/>
    <w:rsid w:val="484A6121"/>
    <w:rsid w:val="48B1218F"/>
    <w:rsid w:val="48B14AB0"/>
    <w:rsid w:val="48D6123C"/>
    <w:rsid w:val="48EA585B"/>
    <w:rsid w:val="49150F51"/>
    <w:rsid w:val="493D5B1F"/>
    <w:rsid w:val="49480BD4"/>
    <w:rsid w:val="496E0369"/>
    <w:rsid w:val="496E11C3"/>
    <w:rsid w:val="498F3010"/>
    <w:rsid w:val="499F04DF"/>
    <w:rsid w:val="49CB3BFF"/>
    <w:rsid w:val="49D16596"/>
    <w:rsid w:val="4A513272"/>
    <w:rsid w:val="4AA4619B"/>
    <w:rsid w:val="4AAE7A16"/>
    <w:rsid w:val="4AC5469A"/>
    <w:rsid w:val="4AC62161"/>
    <w:rsid w:val="4ACC67BD"/>
    <w:rsid w:val="4AE372CF"/>
    <w:rsid w:val="4B0B3AEF"/>
    <w:rsid w:val="4B201A81"/>
    <w:rsid w:val="4B284D77"/>
    <w:rsid w:val="4B4978E0"/>
    <w:rsid w:val="4B562F2B"/>
    <w:rsid w:val="4BEB232F"/>
    <w:rsid w:val="4BEC1507"/>
    <w:rsid w:val="4BFA2737"/>
    <w:rsid w:val="4C6C6C38"/>
    <w:rsid w:val="4CD363C9"/>
    <w:rsid w:val="4CF93A06"/>
    <w:rsid w:val="4D3475CF"/>
    <w:rsid w:val="4D7F6702"/>
    <w:rsid w:val="4DD27ACF"/>
    <w:rsid w:val="4DDC19BC"/>
    <w:rsid w:val="4E1C6BFB"/>
    <w:rsid w:val="4E2423CC"/>
    <w:rsid w:val="4E3247D7"/>
    <w:rsid w:val="4EB52D03"/>
    <w:rsid w:val="4EBF0E52"/>
    <w:rsid w:val="4ECD01E4"/>
    <w:rsid w:val="4EE2236D"/>
    <w:rsid w:val="4F123950"/>
    <w:rsid w:val="4F134C73"/>
    <w:rsid w:val="4F26716D"/>
    <w:rsid w:val="4FBD6295"/>
    <w:rsid w:val="4FE016DA"/>
    <w:rsid w:val="503F3946"/>
    <w:rsid w:val="504D7484"/>
    <w:rsid w:val="507519D9"/>
    <w:rsid w:val="50AD1277"/>
    <w:rsid w:val="50CA62F6"/>
    <w:rsid w:val="50EC442B"/>
    <w:rsid w:val="50EE37D2"/>
    <w:rsid w:val="51401FD2"/>
    <w:rsid w:val="51594880"/>
    <w:rsid w:val="51636F40"/>
    <w:rsid w:val="51684C13"/>
    <w:rsid w:val="516D63AF"/>
    <w:rsid w:val="517C422B"/>
    <w:rsid w:val="51824CF6"/>
    <w:rsid w:val="51935897"/>
    <w:rsid w:val="52127D7D"/>
    <w:rsid w:val="52294852"/>
    <w:rsid w:val="52325CDC"/>
    <w:rsid w:val="52412A63"/>
    <w:rsid w:val="525672F6"/>
    <w:rsid w:val="53345B50"/>
    <w:rsid w:val="534179D1"/>
    <w:rsid w:val="534304DE"/>
    <w:rsid w:val="53475464"/>
    <w:rsid w:val="53763D4D"/>
    <w:rsid w:val="53BB42A7"/>
    <w:rsid w:val="53CE1063"/>
    <w:rsid w:val="53E71FDE"/>
    <w:rsid w:val="54135280"/>
    <w:rsid w:val="543F588C"/>
    <w:rsid w:val="548E3439"/>
    <w:rsid w:val="54C22B88"/>
    <w:rsid w:val="54F84CC3"/>
    <w:rsid w:val="5526139C"/>
    <w:rsid w:val="552B2D26"/>
    <w:rsid w:val="553C1365"/>
    <w:rsid w:val="554E1470"/>
    <w:rsid w:val="55676E67"/>
    <w:rsid w:val="557149BD"/>
    <w:rsid w:val="557515F9"/>
    <w:rsid w:val="559847EA"/>
    <w:rsid w:val="55986D51"/>
    <w:rsid w:val="55C90663"/>
    <w:rsid w:val="55D42624"/>
    <w:rsid w:val="56133CA0"/>
    <w:rsid w:val="562B450B"/>
    <w:rsid w:val="56570EA4"/>
    <w:rsid w:val="56DD4ABD"/>
    <w:rsid w:val="5703231E"/>
    <w:rsid w:val="570F1C3B"/>
    <w:rsid w:val="57116442"/>
    <w:rsid w:val="575B6231"/>
    <w:rsid w:val="578D3493"/>
    <w:rsid w:val="57AF50DC"/>
    <w:rsid w:val="57EC37F1"/>
    <w:rsid w:val="584F535E"/>
    <w:rsid w:val="586A7A45"/>
    <w:rsid w:val="58914C8B"/>
    <w:rsid w:val="58B541BB"/>
    <w:rsid w:val="58DB16BE"/>
    <w:rsid w:val="58E3423E"/>
    <w:rsid w:val="58E45768"/>
    <w:rsid w:val="58F23ED5"/>
    <w:rsid w:val="58F63830"/>
    <w:rsid w:val="593F652E"/>
    <w:rsid w:val="59425BB4"/>
    <w:rsid w:val="5956205C"/>
    <w:rsid w:val="596A4681"/>
    <w:rsid w:val="596F34CF"/>
    <w:rsid w:val="599E6CB8"/>
    <w:rsid w:val="59E031E2"/>
    <w:rsid w:val="5A5B5FB9"/>
    <w:rsid w:val="5A9C3392"/>
    <w:rsid w:val="5AA974E8"/>
    <w:rsid w:val="5AD0387F"/>
    <w:rsid w:val="5AD075D7"/>
    <w:rsid w:val="5B1740D8"/>
    <w:rsid w:val="5B2E6996"/>
    <w:rsid w:val="5B7E4ABF"/>
    <w:rsid w:val="5B8340E7"/>
    <w:rsid w:val="5B8D0599"/>
    <w:rsid w:val="5B937814"/>
    <w:rsid w:val="5BA627EA"/>
    <w:rsid w:val="5BAA125C"/>
    <w:rsid w:val="5BE33D7B"/>
    <w:rsid w:val="5BFF63FF"/>
    <w:rsid w:val="5C0805C5"/>
    <w:rsid w:val="5C254E10"/>
    <w:rsid w:val="5C2C164D"/>
    <w:rsid w:val="5C6E79F1"/>
    <w:rsid w:val="5C8657B1"/>
    <w:rsid w:val="5CA73484"/>
    <w:rsid w:val="5CB66DDB"/>
    <w:rsid w:val="5CC31F8D"/>
    <w:rsid w:val="5CE5499C"/>
    <w:rsid w:val="5D77243C"/>
    <w:rsid w:val="5DD60CDA"/>
    <w:rsid w:val="5DDD1906"/>
    <w:rsid w:val="5DF028B9"/>
    <w:rsid w:val="5E2F13E4"/>
    <w:rsid w:val="5EC546B7"/>
    <w:rsid w:val="5ED521DB"/>
    <w:rsid w:val="5EE01513"/>
    <w:rsid w:val="5EEB203B"/>
    <w:rsid w:val="5F515511"/>
    <w:rsid w:val="5F6A656B"/>
    <w:rsid w:val="5FA9036D"/>
    <w:rsid w:val="5FB20CF3"/>
    <w:rsid w:val="5FC10D6A"/>
    <w:rsid w:val="5FC26AE4"/>
    <w:rsid w:val="5FE20A6A"/>
    <w:rsid w:val="5FE80DF1"/>
    <w:rsid w:val="5FED079B"/>
    <w:rsid w:val="5FFD5588"/>
    <w:rsid w:val="603547B2"/>
    <w:rsid w:val="60394F33"/>
    <w:rsid w:val="604E7494"/>
    <w:rsid w:val="607A028C"/>
    <w:rsid w:val="60950DEF"/>
    <w:rsid w:val="60B44F93"/>
    <w:rsid w:val="61225D48"/>
    <w:rsid w:val="616F7C8B"/>
    <w:rsid w:val="61904268"/>
    <w:rsid w:val="61922827"/>
    <w:rsid w:val="61985AAE"/>
    <w:rsid w:val="619B21A0"/>
    <w:rsid w:val="61C95215"/>
    <w:rsid w:val="61CF4043"/>
    <w:rsid w:val="620863D2"/>
    <w:rsid w:val="626058BD"/>
    <w:rsid w:val="62CE031D"/>
    <w:rsid w:val="62D70238"/>
    <w:rsid w:val="630727B4"/>
    <w:rsid w:val="63322AD8"/>
    <w:rsid w:val="63391F7B"/>
    <w:rsid w:val="634E5810"/>
    <w:rsid w:val="636310DD"/>
    <w:rsid w:val="639F006F"/>
    <w:rsid w:val="63A81226"/>
    <w:rsid w:val="63C9193F"/>
    <w:rsid w:val="65077B9F"/>
    <w:rsid w:val="650A079C"/>
    <w:rsid w:val="65540667"/>
    <w:rsid w:val="6592426C"/>
    <w:rsid w:val="65A71C0C"/>
    <w:rsid w:val="65DE1EBB"/>
    <w:rsid w:val="65E5355A"/>
    <w:rsid w:val="65FC6895"/>
    <w:rsid w:val="66375BAC"/>
    <w:rsid w:val="66887143"/>
    <w:rsid w:val="66D00DA7"/>
    <w:rsid w:val="66D530B1"/>
    <w:rsid w:val="66FA7477"/>
    <w:rsid w:val="67141452"/>
    <w:rsid w:val="673C65F0"/>
    <w:rsid w:val="674A3D4F"/>
    <w:rsid w:val="67813F94"/>
    <w:rsid w:val="679006E0"/>
    <w:rsid w:val="679A70CF"/>
    <w:rsid w:val="67B3696E"/>
    <w:rsid w:val="67C42BAB"/>
    <w:rsid w:val="67EA4091"/>
    <w:rsid w:val="68566C0B"/>
    <w:rsid w:val="685A0C91"/>
    <w:rsid w:val="6864772D"/>
    <w:rsid w:val="687C5598"/>
    <w:rsid w:val="689332A9"/>
    <w:rsid w:val="68BA431C"/>
    <w:rsid w:val="68BC6A3B"/>
    <w:rsid w:val="69604E77"/>
    <w:rsid w:val="69784F94"/>
    <w:rsid w:val="69DF31F0"/>
    <w:rsid w:val="6A024AA0"/>
    <w:rsid w:val="6A121AD7"/>
    <w:rsid w:val="6A33101B"/>
    <w:rsid w:val="6A3C248C"/>
    <w:rsid w:val="6A5B56DA"/>
    <w:rsid w:val="6A69692A"/>
    <w:rsid w:val="6A6F5797"/>
    <w:rsid w:val="6A786A31"/>
    <w:rsid w:val="6ABA024E"/>
    <w:rsid w:val="6AC06DC9"/>
    <w:rsid w:val="6AD23B35"/>
    <w:rsid w:val="6B7A1E64"/>
    <w:rsid w:val="6BA41B56"/>
    <w:rsid w:val="6C3226C6"/>
    <w:rsid w:val="6C3C45DB"/>
    <w:rsid w:val="6C545FF5"/>
    <w:rsid w:val="6C591BE2"/>
    <w:rsid w:val="6C5949EB"/>
    <w:rsid w:val="6C810CBD"/>
    <w:rsid w:val="6C97063E"/>
    <w:rsid w:val="6CFB5670"/>
    <w:rsid w:val="6D0D3BD2"/>
    <w:rsid w:val="6D547D7A"/>
    <w:rsid w:val="6D554232"/>
    <w:rsid w:val="6DAA2BCB"/>
    <w:rsid w:val="6DCA139F"/>
    <w:rsid w:val="6E0A3479"/>
    <w:rsid w:val="6E0A4A26"/>
    <w:rsid w:val="6E435FD6"/>
    <w:rsid w:val="6E4913BC"/>
    <w:rsid w:val="6E5A4385"/>
    <w:rsid w:val="6E5E1B6C"/>
    <w:rsid w:val="6EEF71D1"/>
    <w:rsid w:val="6EF04F82"/>
    <w:rsid w:val="6F021A16"/>
    <w:rsid w:val="6F1D40CE"/>
    <w:rsid w:val="6F453463"/>
    <w:rsid w:val="6F5D7B07"/>
    <w:rsid w:val="6F9F6D88"/>
    <w:rsid w:val="6FA15596"/>
    <w:rsid w:val="7024780C"/>
    <w:rsid w:val="70465CB0"/>
    <w:rsid w:val="7051517A"/>
    <w:rsid w:val="709A7CFC"/>
    <w:rsid w:val="70A647A4"/>
    <w:rsid w:val="70D85BD1"/>
    <w:rsid w:val="715B338A"/>
    <w:rsid w:val="71695F18"/>
    <w:rsid w:val="716A7ADC"/>
    <w:rsid w:val="71973934"/>
    <w:rsid w:val="71A53A05"/>
    <w:rsid w:val="71B5724A"/>
    <w:rsid w:val="71DE2E53"/>
    <w:rsid w:val="71EF19DB"/>
    <w:rsid w:val="721F39FF"/>
    <w:rsid w:val="722D616B"/>
    <w:rsid w:val="72692DCE"/>
    <w:rsid w:val="727A7B45"/>
    <w:rsid w:val="728860C9"/>
    <w:rsid w:val="729D4F34"/>
    <w:rsid w:val="729E121E"/>
    <w:rsid w:val="72A719B3"/>
    <w:rsid w:val="72E016E3"/>
    <w:rsid w:val="72E23A7A"/>
    <w:rsid w:val="72F6179B"/>
    <w:rsid w:val="732F263D"/>
    <w:rsid w:val="73597768"/>
    <w:rsid w:val="736B145F"/>
    <w:rsid w:val="738003CA"/>
    <w:rsid w:val="73C56EED"/>
    <w:rsid w:val="74180D50"/>
    <w:rsid w:val="741E3A74"/>
    <w:rsid w:val="743106D8"/>
    <w:rsid w:val="747220CE"/>
    <w:rsid w:val="74AA4DDC"/>
    <w:rsid w:val="74D50216"/>
    <w:rsid w:val="74E251C4"/>
    <w:rsid w:val="751537BA"/>
    <w:rsid w:val="752221AF"/>
    <w:rsid w:val="75312C9B"/>
    <w:rsid w:val="7565064E"/>
    <w:rsid w:val="758D4AB4"/>
    <w:rsid w:val="75D12961"/>
    <w:rsid w:val="76104C9F"/>
    <w:rsid w:val="762C558E"/>
    <w:rsid w:val="765941C5"/>
    <w:rsid w:val="766B1726"/>
    <w:rsid w:val="76D61F3E"/>
    <w:rsid w:val="76DF2050"/>
    <w:rsid w:val="770D045A"/>
    <w:rsid w:val="773B6CD4"/>
    <w:rsid w:val="77565298"/>
    <w:rsid w:val="77C6087E"/>
    <w:rsid w:val="77DE4E5F"/>
    <w:rsid w:val="77DF76C9"/>
    <w:rsid w:val="77E30949"/>
    <w:rsid w:val="77F16A53"/>
    <w:rsid w:val="77F425CF"/>
    <w:rsid w:val="782D0FCD"/>
    <w:rsid w:val="783525A0"/>
    <w:rsid w:val="786F12BD"/>
    <w:rsid w:val="786F1AA9"/>
    <w:rsid w:val="7872551D"/>
    <w:rsid w:val="78A27E07"/>
    <w:rsid w:val="78B86EE8"/>
    <w:rsid w:val="7920071D"/>
    <w:rsid w:val="79B54E80"/>
    <w:rsid w:val="79B56BC5"/>
    <w:rsid w:val="79C52BC7"/>
    <w:rsid w:val="79C747F6"/>
    <w:rsid w:val="79F651C0"/>
    <w:rsid w:val="7A236D97"/>
    <w:rsid w:val="7A36659D"/>
    <w:rsid w:val="7A6027C1"/>
    <w:rsid w:val="7A854A12"/>
    <w:rsid w:val="7A91692E"/>
    <w:rsid w:val="7B1C756C"/>
    <w:rsid w:val="7B237820"/>
    <w:rsid w:val="7B443CE2"/>
    <w:rsid w:val="7B863B58"/>
    <w:rsid w:val="7B974622"/>
    <w:rsid w:val="7BD54D59"/>
    <w:rsid w:val="7BEC6276"/>
    <w:rsid w:val="7BFE5FB0"/>
    <w:rsid w:val="7C3C1587"/>
    <w:rsid w:val="7C516DA3"/>
    <w:rsid w:val="7C6B3F7A"/>
    <w:rsid w:val="7CA52AE4"/>
    <w:rsid w:val="7CB9674B"/>
    <w:rsid w:val="7CCC0395"/>
    <w:rsid w:val="7D4E72F0"/>
    <w:rsid w:val="7D8D5CCD"/>
    <w:rsid w:val="7DD15417"/>
    <w:rsid w:val="7DE67B5C"/>
    <w:rsid w:val="7DED1691"/>
    <w:rsid w:val="7E662EAD"/>
    <w:rsid w:val="7E7C7076"/>
    <w:rsid w:val="7E9219F9"/>
    <w:rsid w:val="7E9D5226"/>
    <w:rsid w:val="7EC14C30"/>
    <w:rsid w:val="7EF87B3E"/>
    <w:rsid w:val="7F043E0F"/>
    <w:rsid w:val="7F52348C"/>
    <w:rsid w:val="7F854F22"/>
    <w:rsid w:val="7F917007"/>
    <w:rsid w:val="7F924D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qFormat="1" w:unhideWhenUsed="0" w:uiPriority="0" w:semiHidden="0"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99" w:semiHidden="0"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qFormat="1" w:unhideWhenUsed="0" w:uiPriority="99" w:semiHidden="0" w:name="List Continue 2"/>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0"/>
    <w:qFormat/>
    <w:uiPriority w:val="99"/>
    <w:pPr>
      <w:keepNext/>
      <w:keepLines/>
      <w:spacing w:before="340" w:after="330" w:line="576" w:lineRule="auto"/>
      <w:outlineLvl w:val="0"/>
    </w:pPr>
    <w:rPr>
      <w:b/>
      <w:bCs/>
      <w:kern w:val="44"/>
      <w:sz w:val="44"/>
      <w:szCs w:val="44"/>
    </w:rPr>
  </w:style>
  <w:style w:type="paragraph" w:styleId="5">
    <w:name w:val="heading 2"/>
    <w:basedOn w:val="1"/>
    <w:next w:val="1"/>
    <w:link w:val="71"/>
    <w:qFormat/>
    <w:uiPriority w:val="99"/>
    <w:pPr>
      <w:keepNext/>
      <w:keepLines/>
      <w:spacing w:before="260" w:after="260" w:line="413" w:lineRule="auto"/>
      <w:outlineLvl w:val="1"/>
    </w:pPr>
    <w:rPr>
      <w:rFonts w:ascii="Arial" w:hAnsi="Arial" w:eastAsia="黑体"/>
      <w:b/>
      <w:bCs/>
      <w:sz w:val="32"/>
      <w:szCs w:val="32"/>
    </w:rPr>
  </w:style>
  <w:style w:type="paragraph" w:styleId="6">
    <w:name w:val="heading 3"/>
    <w:basedOn w:val="1"/>
    <w:next w:val="1"/>
    <w:link w:val="72"/>
    <w:qFormat/>
    <w:uiPriority w:val="99"/>
    <w:pPr>
      <w:keepNext/>
      <w:keepLines/>
      <w:spacing w:before="260" w:after="260" w:line="413" w:lineRule="auto"/>
      <w:outlineLvl w:val="2"/>
    </w:pPr>
    <w:rPr>
      <w:b/>
      <w:bCs/>
      <w:sz w:val="32"/>
      <w:szCs w:val="32"/>
    </w:rPr>
  </w:style>
  <w:style w:type="paragraph" w:styleId="7">
    <w:name w:val="heading 4"/>
    <w:basedOn w:val="1"/>
    <w:next w:val="1"/>
    <w:link w:val="73"/>
    <w:qFormat/>
    <w:uiPriority w:val="99"/>
    <w:pPr>
      <w:keepNext/>
      <w:keepLines/>
      <w:widowControl/>
      <w:spacing w:before="120" w:after="120" w:line="360" w:lineRule="auto"/>
      <w:jc w:val="center"/>
      <w:outlineLvl w:val="3"/>
    </w:pPr>
    <w:rPr>
      <w:rFonts w:ascii="Arial" w:hAnsi="Arial" w:eastAsia="黑体"/>
      <w:kern w:val="0"/>
      <w:sz w:val="28"/>
      <w:szCs w:val="20"/>
    </w:rPr>
  </w:style>
  <w:style w:type="paragraph" w:styleId="8">
    <w:name w:val="heading 5"/>
    <w:basedOn w:val="1"/>
    <w:next w:val="9"/>
    <w:link w:val="74"/>
    <w:qFormat/>
    <w:uiPriority w:val="99"/>
    <w:pPr>
      <w:keepNext/>
      <w:keepLines/>
      <w:spacing w:before="280" w:after="290" w:line="372" w:lineRule="auto"/>
      <w:outlineLvl w:val="4"/>
    </w:pPr>
    <w:rPr>
      <w:b/>
      <w:sz w:val="28"/>
    </w:rPr>
  </w:style>
  <w:style w:type="paragraph" w:styleId="10">
    <w:name w:val="heading 6"/>
    <w:basedOn w:val="1"/>
    <w:next w:val="9"/>
    <w:link w:val="75"/>
    <w:qFormat/>
    <w:uiPriority w:val="99"/>
    <w:pPr>
      <w:keepNext/>
      <w:keepLines/>
      <w:spacing w:before="240" w:after="64" w:line="317" w:lineRule="auto"/>
      <w:outlineLvl w:val="5"/>
    </w:pPr>
    <w:rPr>
      <w:rFonts w:ascii="Arial" w:hAnsi="Arial" w:eastAsia="黑体"/>
      <w:b/>
      <w:sz w:val="24"/>
    </w:rPr>
  </w:style>
  <w:style w:type="paragraph" w:styleId="11">
    <w:name w:val="heading 7"/>
    <w:basedOn w:val="1"/>
    <w:next w:val="9"/>
    <w:link w:val="76"/>
    <w:qFormat/>
    <w:uiPriority w:val="99"/>
    <w:pPr>
      <w:keepNext/>
      <w:keepLines/>
      <w:spacing w:before="240" w:after="64" w:line="317" w:lineRule="auto"/>
      <w:outlineLvl w:val="6"/>
    </w:pPr>
    <w:rPr>
      <w:b/>
      <w:sz w:val="24"/>
    </w:rPr>
  </w:style>
  <w:style w:type="paragraph" w:styleId="12">
    <w:name w:val="heading 8"/>
    <w:basedOn w:val="1"/>
    <w:next w:val="9"/>
    <w:link w:val="77"/>
    <w:qFormat/>
    <w:uiPriority w:val="99"/>
    <w:pPr>
      <w:keepNext/>
      <w:keepLines/>
      <w:spacing w:before="240" w:after="64" w:line="317" w:lineRule="auto"/>
      <w:outlineLvl w:val="7"/>
    </w:pPr>
    <w:rPr>
      <w:rFonts w:ascii="Arial" w:hAnsi="Arial" w:eastAsia="黑体"/>
      <w:sz w:val="24"/>
    </w:rPr>
  </w:style>
  <w:style w:type="paragraph" w:styleId="13">
    <w:name w:val="heading 9"/>
    <w:basedOn w:val="1"/>
    <w:next w:val="9"/>
    <w:link w:val="78"/>
    <w:qFormat/>
    <w:uiPriority w:val="99"/>
    <w:pPr>
      <w:keepNext/>
      <w:keepLines/>
      <w:spacing w:before="240" w:after="64" w:line="317" w:lineRule="auto"/>
      <w:outlineLvl w:val="8"/>
    </w:pPr>
    <w:rPr>
      <w:rFonts w:ascii="Arial" w:hAnsi="Arial" w:eastAsia="黑体"/>
    </w:rPr>
  </w:style>
  <w:style w:type="character" w:default="1" w:styleId="55">
    <w:name w:val="Default Paragraph Font"/>
    <w:semiHidden/>
    <w:qFormat/>
    <w:uiPriority w:val="99"/>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9"/>
    <w:qFormat/>
    <w:uiPriority w:val="99"/>
    <w:pPr>
      <w:spacing w:line="380" w:lineRule="exact"/>
    </w:pPr>
    <w:rPr>
      <w:sz w:val="24"/>
    </w:rPr>
  </w:style>
  <w:style w:type="paragraph" w:styleId="3">
    <w:name w:val="Body Text First Indent 2"/>
    <w:basedOn w:val="1"/>
    <w:link w:val="81"/>
    <w:qFormat/>
    <w:uiPriority w:val="99"/>
    <w:pPr>
      <w:spacing w:after="120"/>
      <w:ind w:left="420" w:leftChars="200" w:firstLine="420" w:firstLineChars="200"/>
    </w:pPr>
  </w:style>
  <w:style w:type="paragraph" w:styleId="9">
    <w:name w:val="Normal Indent"/>
    <w:basedOn w:val="1"/>
    <w:qFormat/>
    <w:uiPriority w:val="99"/>
    <w:pPr>
      <w:ind w:firstLine="420"/>
    </w:pPr>
    <w:rPr>
      <w:szCs w:val="20"/>
    </w:rPr>
  </w:style>
  <w:style w:type="paragraph" w:styleId="14">
    <w:name w:val="List 3"/>
    <w:basedOn w:val="1"/>
    <w:qFormat/>
    <w:uiPriority w:val="99"/>
    <w:pPr>
      <w:ind w:left="100" w:leftChars="400" w:hanging="200" w:hangingChars="200"/>
    </w:pPr>
  </w:style>
  <w:style w:type="paragraph" w:styleId="15">
    <w:name w:val="toc 7"/>
    <w:basedOn w:val="1"/>
    <w:next w:val="1"/>
    <w:qFormat/>
    <w:uiPriority w:val="99"/>
    <w:pPr>
      <w:tabs>
        <w:tab w:val="right" w:leader="dot" w:pos="9185"/>
      </w:tabs>
      <w:adjustRightInd w:val="0"/>
      <w:spacing w:line="312" w:lineRule="atLeast"/>
      <w:ind w:left="2520"/>
      <w:textAlignment w:val="baseline"/>
    </w:pPr>
    <w:rPr>
      <w:kern w:val="0"/>
      <w:szCs w:val="20"/>
    </w:rPr>
  </w:style>
  <w:style w:type="paragraph" w:styleId="16">
    <w:name w:val="index 8"/>
    <w:basedOn w:val="1"/>
    <w:next w:val="1"/>
    <w:qFormat/>
    <w:locked/>
    <w:uiPriority w:val="0"/>
    <w:pPr>
      <w:ind w:left="1400" w:leftChars="1400"/>
    </w:pPr>
    <w:rPr>
      <w:rFonts w:ascii="Times New Roman" w:hAnsi="Times New Roman" w:eastAsia="宋体" w:cs="Times New Roman"/>
    </w:rPr>
  </w:style>
  <w:style w:type="paragraph" w:styleId="17">
    <w:name w:val="List Number"/>
    <w:basedOn w:val="1"/>
    <w:qFormat/>
    <w:uiPriority w:val="99"/>
    <w:pPr>
      <w:widowControl/>
      <w:tabs>
        <w:tab w:val="left" w:pos="454"/>
        <w:tab w:val="left" w:pos="720"/>
        <w:tab w:val="left" w:pos="840"/>
      </w:tabs>
      <w:spacing w:afterLines="50"/>
      <w:ind w:left="454" w:hanging="284"/>
      <w:jc w:val="left"/>
    </w:pPr>
    <w:rPr>
      <w:kern w:val="0"/>
      <w:sz w:val="24"/>
      <w:szCs w:val="20"/>
    </w:rPr>
  </w:style>
  <w:style w:type="paragraph" w:styleId="18">
    <w:name w:val="caption"/>
    <w:basedOn w:val="1"/>
    <w:next w:val="1"/>
    <w:qFormat/>
    <w:uiPriority w:val="99"/>
    <w:pPr>
      <w:spacing w:before="152" w:after="160"/>
    </w:pPr>
    <w:rPr>
      <w:rFonts w:ascii="Arial" w:hAnsi="Arial" w:eastAsia="黑体" w:cs="Arial"/>
      <w:sz w:val="20"/>
      <w:szCs w:val="20"/>
    </w:rPr>
  </w:style>
  <w:style w:type="paragraph" w:styleId="19">
    <w:name w:val="Document Map"/>
    <w:basedOn w:val="1"/>
    <w:link w:val="82"/>
    <w:qFormat/>
    <w:uiPriority w:val="99"/>
    <w:pPr>
      <w:shd w:val="clear" w:color="auto" w:fill="000080"/>
      <w:adjustRightInd w:val="0"/>
      <w:spacing w:line="312" w:lineRule="atLeast"/>
      <w:textAlignment w:val="baseline"/>
    </w:pPr>
    <w:rPr>
      <w:kern w:val="0"/>
      <w:szCs w:val="20"/>
    </w:rPr>
  </w:style>
  <w:style w:type="paragraph" w:styleId="20">
    <w:name w:val="toa heading"/>
    <w:basedOn w:val="1"/>
    <w:next w:val="1"/>
    <w:qFormat/>
    <w:uiPriority w:val="99"/>
    <w:pPr>
      <w:spacing w:before="120"/>
    </w:pPr>
    <w:rPr>
      <w:rFonts w:ascii="Cambria" w:hAnsi="Cambria" w:cs="宋体"/>
      <w:sz w:val="24"/>
    </w:rPr>
  </w:style>
  <w:style w:type="paragraph" w:styleId="21">
    <w:name w:val="annotation text"/>
    <w:basedOn w:val="1"/>
    <w:link w:val="83"/>
    <w:qFormat/>
    <w:uiPriority w:val="99"/>
    <w:pPr>
      <w:jc w:val="left"/>
    </w:pPr>
    <w:rPr>
      <w:rFonts w:ascii="Calibri" w:hAnsi="Calibri"/>
    </w:rPr>
  </w:style>
  <w:style w:type="paragraph" w:styleId="22">
    <w:name w:val="Body Text 3"/>
    <w:basedOn w:val="1"/>
    <w:link w:val="84"/>
    <w:qFormat/>
    <w:uiPriority w:val="99"/>
    <w:pPr>
      <w:spacing w:line="500" w:lineRule="exact"/>
    </w:pPr>
    <w:rPr>
      <w:b/>
      <w:bCs/>
      <w:sz w:val="24"/>
    </w:rPr>
  </w:style>
  <w:style w:type="paragraph" w:styleId="23">
    <w:name w:val="Body Text Indent"/>
    <w:basedOn w:val="1"/>
    <w:link w:val="80"/>
    <w:qFormat/>
    <w:uiPriority w:val="99"/>
    <w:pPr>
      <w:ind w:firstLine="830" w:firstLineChars="352"/>
    </w:pPr>
    <w:rPr>
      <w:rFonts w:ascii="仿宋_GB2312" w:eastAsia="仿宋_GB2312"/>
      <w:sz w:val="32"/>
      <w:szCs w:val="20"/>
    </w:rPr>
  </w:style>
  <w:style w:type="paragraph" w:styleId="24">
    <w:name w:val="List Number 3"/>
    <w:basedOn w:val="1"/>
    <w:qFormat/>
    <w:uiPriority w:val="99"/>
    <w:pPr>
      <w:tabs>
        <w:tab w:val="left" w:pos="1200"/>
      </w:tabs>
      <w:ind w:left="1200" w:leftChars="400" w:hanging="360" w:hangingChars="200"/>
    </w:pPr>
  </w:style>
  <w:style w:type="paragraph" w:styleId="25">
    <w:name w:val="List 2"/>
    <w:basedOn w:val="1"/>
    <w:qFormat/>
    <w:uiPriority w:val="99"/>
    <w:pPr>
      <w:ind w:left="100" w:leftChars="200" w:hanging="200" w:hangingChars="200"/>
    </w:pPr>
    <w:rPr>
      <w:sz w:val="28"/>
    </w:rPr>
  </w:style>
  <w:style w:type="paragraph" w:styleId="26">
    <w:name w:val="Block Text"/>
    <w:basedOn w:val="1"/>
    <w:qFormat/>
    <w:uiPriority w:val="99"/>
    <w:pPr>
      <w:adjustRightInd w:val="0"/>
      <w:ind w:left="420" w:right="33"/>
      <w:jc w:val="left"/>
      <w:textAlignment w:val="baseline"/>
    </w:pPr>
    <w:rPr>
      <w:kern w:val="0"/>
      <w:sz w:val="24"/>
      <w:szCs w:val="20"/>
    </w:rPr>
  </w:style>
  <w:style w:type="paragraph" w:styleId="27">
    <w:name w:val="toc 5"/>
    <w:basedOn w:val="1"/>
    <w:next w:val="1"/>
    <w:qFormat/>
    <w:uiPriority w:val="99"/>
    <w:pPr>
      <w:tabs>
        <w:tab w:val="right" w:leader="dot" w:pos="9185"/>
      </w:tabs>
      <w:adjustRightInd w:val="0"/>
      <w:spacing w:line="312" w:lineRule="atLeast"/>
      <w:ind w:left="1680"/>
      <w:textAlignment w:val="baseline"/>
    </w:pPr>
    <w:rPr>
      <w:kern w:val="0"/>
      <w:szCs w:val="20"/>
    </w:rPr>
  </w:style>
  <w:style w:type="paragraph" w:styleId="28">
    <w:name w:val="toc 3"/>
    <w:basedOn w:val="1"/>
    <w:next w:val="1"/>
    <w:qFormat/>
    <w:uiPriority w:val="99"/>
    <w:pPr>
      <w:ind w:left="840" w:leftChars="400"/>
    </w:pPr>
  </w:style>
  <w:style w:type="paragraph" w:styleId="29">
    <w:name w:val="Plain Text"/>
    <w:basedOn w:val="1"/>
    <w:next w:val="16"/>
    <w:link w:val="85"/>
    <w:qFormat/>
    <w:uiPriority w:val="99"/>
    <w:rPr>
      <w:rFonts w:ascii="宋体" w:hAnsi="Courier New" w:cs="Courier New"/>
      <w:szCs w:val="21"/>
    </w:rPr>
  </w:style>
  <w:style w:type="paragraph" w:styleId="30">
    <w:name w:val="toc 8"/>
    <w:basedOn w:val="1"/>
    <w:next w:val="1"/>
    <w:qFormat/>
    <w:uiPriority w:val="99"/>
    <w:pPr>
      <w:tabs>
        <w:tab w:val="right" w:leader="dot" w:pos="9185"/>
      </w:tabs>
      <w:adjustRightInd w:val="0"/>
      <w:spacing w:line="312" w:lineRule="atLeast"/>
      <w:ind w:left="2940"/>
      <w:textAlignment w:val="baseline"/>
    </w:pPr>
    <w:rPr>
      <w:kern w:val="0"/>
      <w:szCs w:val="20"/>
    </w:rPr>
  </w:style>
  <w:style w:type="paragraph" w:styleId="31">
    <w:name w:val="Date"/>
    <w:basedOn w:val="1"/>
    <w:next w:val="1"/>
    <w:link w:val="86"/>
    <w:qFormat/>
    <w:uiPriority w:val="99"/>
    <w:pPr>
      <w:ind w:left="100" w:leftChars="2500"/>
    </w:pPr>
    <w:rPr>
      <w:rFonts w:ascii="宋体" w:hAnsi="Courier New"/>
      <w:szCs w:val="21"/>
    </w:rPr>
  </w:style>
  <w:style w:type="paragraph" w:styleId="32">
    <w:name w:val="Body Text Indent 2"/>
    <w:basedOn w:val="1"/>
    <w:link w:val="87"/>
    <w:qFormat/>
    <w:uiPriority w:val="99"/>
    <w:pPr>
      <w:ind w:firstLine="630"/>
    </w:pPr>
    <w:rPr>
      <w:sz w:val="32"/>
      <w:szCs w:val="20"/>
    </w:rPr>
  </w:style>
  <w:style w:type="paragraph" w:styleId="33">
    <w:name w:val="Balloon Text"/>
    <w:basedOn w:val="1"/>
    <w:link w:val="88"/>
    <w:qFormat/>
    <w:uiPriority w:val="99"/>
    <w:rPr>
      <w:sz w:val="18"/>
      <w:szCs w:val="18"/>
    </w:rPr>
  </w:style>
  <w:style w:type="paragraph" w:styleId="34">
    <w:name w:val="footer"/>
    <w:basedOn w:val="1"/>
    <w:link w:val="89"/>
    <w:qFormat/>
    <w:uiPriority w:val="99"/>
    <w:pPr>
      <w:tabs>
        <w:tab w:val="center" w:pos="4153"/>
        <w:tab w:val="right" w:pos="8306"/>
      </w:tabs>
      <w:snapToGrid w:val="0"/>
      <w:jc w:val="left"/>
    </w:pPr>
    <w:rPr>
      <w:sz w:val="18"/>
      <w:szCs w:val="18"/>
    </w:rPr>
  </w:style>
  <w:style w:type="paragraph" w:styleId="35">
    <w:name w:val="header"/>
    <w:basedOn w:val="1"/>
    <w:link w:val="90"/>
    <w:qFormat/>
    <w:uiPriority w:val="99"/>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99"/>
    <w:pPr>
      <w:tabs>
        <w:tab w:val="right" w:leader="dot" w:pos="8398"/>
      </w:tabs>
      <w:spacing w:before="120" w:after="120"/>
      <w:ind w:firstLine="240" w:firstLineChars="100"/>
      <w:jc w:val="left"/>
    </w:pPr>
    <w:rPr>
      <w:rFonts w:ascii="宋体" w:hAnsi="宋体"/>
      <w:b/>
      <w:bCs/>
      <w:caps/>
      <w:sz w:val="24"/>
    </w:rPr>
  </w:style>
  <w:style w:type="paragraph" w:styleId="37">
    <w:name w:val="toc 4"/>
    <w:basedOn w:val="1"/>
    <w:next w:val="1"/>
    <w:qFormat/>
    <w:uiPriority w:val="99"/>
    <w:pPr>
      <w:tabs>
        <w:tab w:val="right" w:leader="dot" w:pos="9185"/>
      </w:tabs>
      <w:adjustRightInd w:val="0"/>
      <w:spacing w:line="312" w:lineRule="atLeast"/>
      <w:ind w:left="1260"/>
      <w:textAlignment w:val="baseline"/>
    </w:pPr>
    <w:rPr>
      <w:kern w:val="0"/>
      <w:szCs w:val="20"/>
    </w:rPr>
  </w:style>
  <w:style w:type="paragraph" w:styleId="38">
    <w:name w:val="List"/>
    <w:basedOn w:val="1"/>
    <w:qFormat/>
    <w:uiPriority w:val="99"/>
    <w:pPr>
      <w:ind w:left="200" w:hanging="200" w:hangingChars="200"/>
    </w:pPr>
    <w:rPr>
      <w:sz w:val="28"/>
    </w:rPr>
  </w:style>
  <w:style w:type="paragraph" w:styleId="39">
    <w:name w:val="toc 6"/>
    <w:basedOn w:val="1"/>
    <w:next w:val="1"/>
    <w:qFormat/>
    <w:uiPriority w:val="99"/>
    <w:pPr>
      <w:tabs>
        <w:tab w:val="right" w:leader="dot" w:pos="9185"/>
      </w:tabs>
      <w:adjustRightInd w:val="0"/>
      <w:spacing w:line="312" w:lineRule="atLeast"/>
      <w:ind w:left="2100"/>
      <w:textAlignment w:val="baseline"/>
    </w:pPr>
    <w:rPr>
      <w:kern w:val="0"/>
      <w:szCs w:val="20"/>
    </w:rPr>
  </w:style>
  <w:style w:type="paragraph" w:styleId="40">
    <w:name w:val="List 5"/>
    <w:basedOn w:val="1"/>
    <w:qFormat/>
    <w:uiPriority w:val="99"/>
    <w:pPr>
      <w:ind w:left="2100" w:hanging="420"/>
    </w:pPr>
    <w:rPr>
      <w:szCs w:val="20"/>
    </w:rPr>
  </w:style>
  <w:style w:type="paragraph" w:styleId="41">
    <w:name w:val="Body Text Indent 3"/>
    <w:basedOn w:val="1"/>
    <w:link w:val="91"/>
    <w:qFormat/>
    <w:uiPriority w:val="99"/>
    <w:pPr>
      <w:spacing w:after="120"/>
      <w:ind w:left="420" w:leftChars="200"/>
    </w:pPr>
    <w:rPr>
      <w:sz w:val="16"/>
      <w:szCs w:val="16"/>
    </w:rPr>
  </w:style>
  <w:style w:type="paragraph" w:styleId="42">
    <w:name w:val="toc 2"/>
    <w:basedOn w:val="1"/>
    <w:next w:val="1"/>
    <w:qFormat/>
    <w:uiPriority w:val="99"/>
    <w:pPr>
      <w:ind w:left="420" w:leftChars="200"/>
    </w:pPr>
  </w:style>
  <w:style w:type="paragraph" w:styleId="43">
    <w:name w:val="toc 9"/>
    <w:basedOn w:val="1"/>
    <w:next w:val="1"/>
    <w:qFormat/>
    <w:uiPriority w:val="99"/>
    <w:pPr>
      <w:tabs>
        <w:tab w:val="right" w:leader="dot" w:pos="9185"/>
      </w:tabs>
      <w:adjustRightInd w:val="0"/>
      <w:spacing w:line="312" w:lineRule="atLeast"/>
      <w:ind w:left="3360"/>
      <w:textAlignment w:val="baseline"/>
    </w:pPr>
    <w:rPr>
      <w:kern w:val="0"/>
      <w:szCs w:val="20"/>
    </w:rPr>
  </w:style>
  <w:style w:type="paragraph" w:styleId="44">
    <w:name w:val="Body Text 2"/>
    <w:basedOn w:val="1"/>
    <w:link w:val="92"/>
    <w:qFormat/>
    <w:uiPriority w:val="99"/>
    <w:pPr>
      <w:spacing w:after="120" w:line="480" w:lineRule="auto"/>
    </w:pPr>
  </w:style>
  <w:style w:type="paragraph" w:styleId="45">
    <w:name w:val="List 4"/>
    <w:basedOn w:val="1"/>
    <w:qFormat/>
    <w:uiPriority w:val="99"/>
    <w:pPr>
      <w:ind w:left="100" w:leftChars="600" w:hanging="200" w:hangingChars="200"/>
    </w:pPr>
  </w:style>
  <w:style w:type="paragraph" w:styleId="46">
    <w:name w:val="List Continue 2"/>
    <w:basedOn w:val="1"/>
    <w:qFormat/>
    <w:uiPriority w:val="99"/>
    <w:pPr>
      <w:spacing w:after="120"/>
      <w:ind w:left="840" w:leftChars="400"/>
    </w:pPr>
  </w:style>
  <w:style w:type="paragraph" w:styleId="47">
    <w:name w:val="HTML Preformatted"/>
    <w:basedOn w:val="1"/>
    <w:link w:val="93"/>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styleId="48">
    <w:name w:val="Normal (Web)"/>
    <w:basedOn w:val="1"/>
    <w:qFormat/>
    <w:uiPriority w:val="99"/>
    <w:pPr>
      <w:widowControl/>
      <w:spacing w:before="100" w:beforeAutospacing="1" w:after="100" w:afterAutospacing="1"/>
      <w:jc w:val="left"/>
    </w:pPr>
    <w:rPr>
      <w:rFonts w:ascii="宋体" w:hAnsi="宋体"/>
      <w:kern w:val="0"/>
      <w:sz w:val="24"/>
    </w:rPr>
  </w:style>
  <w:style w:type="paragraph" w:styleId="49">
    <w:name w:val="index 1"/>
    <w:basedOn w:val="1"/>
    <w:next w:val="1"/>
    <w:qFormat/>
    <w:uiPriority w:val="99"/>
    <w:pPr>
      <w:spacing w:line="400" w:lineRule="exact"/>
      <w:ind w:firstLine="420" w:firstLineChars="200"/>
    </w:pPr>
    <w:rPr>
      <w:rFonts w:ascii="宋体" w:hAnsi="Courier New"/>
      <w:b/>
      <w:szCs w:val="20"/>
    </w:rPr>
  </w:style>
  <w:style w:type="paragraph" w:styleId="50">
    <w:name w:val="Title"/>
    <w:basedOn w:val="1"/>
    <w:link w:val="94"/>
    <w:qFormat/>
    <w:uiPriority w:val="99"/>
    <w:pPr>
      <w:jc w:val="center"/>
    </w:pPr>
    <w:rPr>
      <w:sz w:val="30"/>
    </w:rPr>
  </w:style>
  <w:style w:type="paragraph" w:styleId="51">
    <w:name w:val="annotation subject"/>
    <w:basedOn w:val="21"/>
    <w:next w:val="21"/>
    <w:link w:val="95"/>
    <w:qFormat/>
    <w:uiPriority w:val="99"/>
    <w:rPr>
      <w:rFonts w:ascii="Times New Roman" w:hAnsi="Times New Roman"/>
      <w:b/>
      <w:bCs/>
    </w:rPr>
  </w:style>
  <w:style w:type="paragraph" w:styleId="52">
    <w:name w:val="Body Text First Indent"/>
    <w:basedOn w:val="2"/>
    <w:link w:val="96"/>
    <w:qFormat/>
    <w:uiPriority w:val="99"/>
    <w:pPr>
      <w:spacing w:after="120" w:line="240" w:lineRule="auto"/>
      <w:ind w:firstLine="420" w:firstLineChars="100"/>
    </w:pPr>
    <w:rPr>
      <w:sz w:val="21"/>
    </w:rPr>
  </w:style>
  <w:style w:type="table" w:styleId="54">
    <w:name w:val="Table Grid"/>
    <w:basedOn w:val="53"/>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6">
    <w:name w:val="Strong"/>
    <w:basedOn w:val="55"/>
    <w:qFormat/>
    <w:uiPriority w:val="99"/>
    <w:rPr>
      <w:rFonts w:cs="Times New Roman"/>
      <w:b/>
    </w:rPr>
  </w:style>
  <w:style w:type="character" w:styleId="57">
    <w:name w:val="page number"/>
    <w:basedOn w:val="55"/>
    <w:qFormat/>
    <w:uiPriority w:val="99"/>
    <w:rPr>
      <w:rFonts w:cs="Times New Roman"/>
    </w:rPr>
  </w:style>
  <w:style w:type="character" w:styleId="58">
    <w:name w:val="FollowedHyperlink"/>
    <w:basedOn w:val="55"/>
    <w:qFormat/>
    <w:uiPriority w:val="99"/>
    <w:rPr>
      <w:rFonts w:cs="Times New Roman"/>
      <w:color w:val="333333"/>
      <w:u w:val="none"/>
    </w:rPr>
  </w:style>
  <w:style w:type="character" w:styleId="59">
    <w:name w:val="Emphasis"/>
    <w:basedOn w:val="55"/>
    <w:qFormat/>
    <w:uiPriority w:val="99"/>
    <w:rPr>
      <w:rFonts w:cs="Times New Roman"/>
      <w:color w:val="CC0000"/>
    </w:rPr>
  </w:style>
  <w:style w:type="character" w:styleId="60">
    <w:name w:val="HTML Definition"/>
    <w:basedOn w:val="55"/>
    <w:qFormat/>
    <w:uiPriority w:val="99"/>
    <w:rPr>
      <w:rFonts w:cs="Times New Roman"/>
      <w:i/>
    </w:rPr>
  </w:style>
  <w:style w:type="character" w:styleId="61">
    <w:name w:val="Hyperlink"/>
    <w:basedOn w:val="55"/>
    <w:qFormat/>
    <w:uiPriority w:val="99"/>
    <w:rPr>
      <w:rFonts w:cs="Times New Roman"/>
      <w:color w:val="333333"/>
      <w:u w:val="none"/>
    </w:rPr>
  </w:style>
  <w:style w:type="character" w:styleId="62">
    <w:name w:val="HTML Code"/>
    <w:basedOn w:val="55"/>
    <w:qFormat/>
    <w:uiPriority w:val="99"/>
    <w:rPr>
      <w:rFonts w:ascii="Consolas" w:hAnsi="Consolas" w:cs="Times New Roman"/>
      <w:sz w:val="21"/>
    </w:rPr>
  </w:style>
  <w:style w:type="character" w:styleId="63">
    <w:name w:val="annotation reference"/>
    <w:basedOn w:val="55"/>
    <w:qFormat/>
    <w:uiPriority w:val="99"/>
    <w:rPr>
      <w:rFonts w:cs="Times New Roman"/>
      <w:sz w:val="21"/>
    </w:rPr>
  </w:style>
  <w:style w:type="character" w:styleId="64">
    <w:name w:val="HTML Cite"/>
    <w:basedOn w:val="55"/>
    <w:qFormat/>
    <w:uiPriority w:val="99"/>
    <w:rPr>
      <w:rFonts w:cs="Times New Roman"/>
      <w:color w:val="008000"/>
    </w:rPr>
  </w:style>
  <w:style w:type="character" w:styleId="65">
    <w:name w:val="HTML Keyboard"/>
    <w:basedOn w:val="55"/>
    <w:qFormat/>
    <w:uiPriority w:val="99"/>
    <w:rPr>
      <w:rFonts w:ascii="Consolas" w:hAnsi="Consolas" w:cs="Times New Roman"/>
      <w:sz w:val="21"/>
    </w:rPr>
  </w:style>
  <w:style w:type="character" w:styleId="66">
    <w:name w:val="HTML Sample"/>
    <w:basedOn w:val="55"/>
    <w:qFormat/>
    <w:uiPriority w:val="99"/>
    <w:rPr>
      <w:rFonts w:ascii="Consolas" w:hAnsi="Consolas" w:cs="Times New Roman"/>
      <w:sz w:val="21"/>
    </w:rPr>
  </w:style>
  <w:style w:type="paragraph" w:customStyle="1" w:styleId="67">
    <w:name w:val="BodyText1I2"/>
    <w:basedOn w:val="68"/>
    <w:next w:val="69"/>
    <w:qFormat/>
    <w:uiPriority w:val="0"/>
    <w:pPr>
      <w:widowControl/>
      <w:spacing w:line="360" w:lineRule="auto"/>
      <w:ind w:left="-358" w:leftChars="-128" w:firstLine="560" w:firstLineChars="200"/>
      <w:jc w:val="left"/>
    </w:pPr>
    <w:rPr>
      <w:rFonts w:ascii="Times New Roman"/>
      <w:sz w:val="28"/>
    </w:rPr>
  </w:style>
  <w:style w:type="paragraph" w:customStyle="1" w:styleId="68">
    <w:name w:val="BodyTextIndent"/>
    <w:basedOn w:val="1"/>
    <w:qFormat/>
    <w:uiPriority w:val="0"/>
    <w:pPr>
      <w:ind w:firstLine="830" w:firstLineChars="352"/>
      <w:textAlignment w:val="baseline"/>
    </w:pPr>
    <w:rPr>
      <w:rFonts w:ascii="仿宋_GB2312" w:eastAsia="仿宋_GB2312"/>
      <w:kern w:val="0"/>
      <w:sz w:val="32"/>
      <w:szCs w:val="20"/>
    </w:rPr>
  </w:style>
  <w:style w:type="paragraph" w:customStyle="1" w:styleId="69">
    <w:name w:val="BodyText"/>
    <w:basedOn w:val="1"/>
    <w:next w:val="1"/>
    <w:qFormat/>
    <w:uiPriority w:val="0"/>
    <w:pPr>
      <w:spacing w:line="380" w:lineRule="exact"/>
      <w:textAlignment w:val="baseline"/>
    </w:pPr>
    <w:rPr>
      <w:kern w:val="0"/>
      <w:sz w:val="24"/>
    </w:rPr>
  </w:style>
  <w:style w:type="character" w:customStyle="1" w:styleId="70">
    <w:name w:val="Heading 1 Char"/>
    <w:basedOn w:val="55"/>
    <w:link w:val="4"/>
    <w:qFormat/>
    <w:locked/>
    <w:uiPriority w:val="99"/>
    <w:rPr>
      <w:rFonts w:eastAsia="宋体" w:cs="Times New Roman"/>
      <w:b/>
      <w:kern w:val="44"/>
      <w:sz w:val="44"/>
      <w:lang w:val="en-US" w:eastAsia="zh-CN"/>
    </w:rPr>
  </w:style>
  <w:style w:type="character" w:customStyle="1" w:styleId="71">
    <w:name w:val="Heading 2 Char"/>
    <w:basedOn w:val="55"/>
    <w:link w:val="5"/>
    <w:qFormat/>
    <w:locked/>
    <w:uiPriority w:val="99"/>
    <w:rPr>
      <w:rFonts w:ascii="Arial" w:hAnsi="Arial" w:eastAsia="黑体" w:cs="Times New Roman"/>
      <w:b/>
      <w:kern w:val="2"/>
      <w:sz w:val="32"/>
    </w:rPr>
  </w:style>
  <w:style w:type="character" w:customStyle="1" w:styleId="72">
    <w:name w:val="Heading 3 Char"/>
    <w:basedOn w:val="55"/>
    <w:link w:val="6"/>
    <w:qFormat/>
    <w:locked/>
    <w:uiPriority w:val="99"/>
    <w:rPr>
      <w:rFonts w:cs="Times New Roman"/>
      <w:b/>
      <w:kern w:val="2"/>
      <w:sz w:val="32"/>
    </w:rPr>
  </w:style>
  <w:style w:type="character" w:customStyle="1" w:styleId="73">
    <w:name w:val="Heading 4 Char"/>
    <w:basedOn w:val="55"/>
    <w:link w:val="7"/>
    <w:qFormat/>
    <w:locked/>
    <w:uiPriority w:val="99"/>
    <w:rPr>
      <w:rFonts w:ascii="Arial" w:hAnsi="Arial" w:eastAsia="黑体" w:cs="Times New Roman"/>
      <w:sz w:val="28"/>
    </w:rPr>
  </w:style>
  <w:style w:type="character" w:customStyle="1" w:styleId="74">
    <w:name w:val="Heading 5 Char"/>
    <w:basedOn w:val="55"/>
    <w:link w:val="8"/>
    <w:qFormat/>
    <w:locked/>
    <w:uiPriority w:val="99"/>
    <w:rPr>
      <w:rFonts w:cs="Times New Roman"/>
      <w:b/>
      <w:kern w:val="2"/>
      <w:sz w:val="24"/>
    </w:rPr>
  </w:style>
  <w:style w:type="character" w:customStyle="1" w:styleId="75">
    <w:name w:val="Heading 6 Char"/>
    <w:basedOn w:val="55"/>
    <w:link w:val="10"/>
    <w:qFormat/>
    <w:locked/>
    <w:uiPriority w:val="99"/>
    <w:rPr>
      <w:rFonts w:ascii="Arial" w:hAnsi="Arial" w:eastAsia="黑体" w:cs="Times New Roman"/>
      <w:b/>
      <w:kern w:val="2"/>
      <w:sz w:val="24"/>
    </w:rPr>
  </w:style>
  <w:style w:type="character" w:customStyle="1" w:styleId="76">
    <w:name w:val="Heading 7 Char"/>
    <w:basedOn w:val="55"/>
    <w:link w:val="11"/>
    <w:qFormat/>
    <w:locked/>
    <w:uiPriority w:val="99"/>
    <w:rPr>
      <w:rFonts w:cs="Times New Roman"/>
      <w:b/>
      <w:kern w:val="2"/>
      <w:sz w:val="24"/>
    </w:rPr>
  </w:style>
  <w:style w:type="character" w:customStyle="1" w:styleId="77">
    <w:name w:val="Heading 8 Char"/>
    <w:basedOn w:val="55"/>
    <w:link w:val="12"/>
    <w:qFormat/>
    <w:locked/>
    <w:uiPriority w:val="99"/>
    <w:rPr>
      <w:rFonts w:ascii="Arial" w:hAnsi="Arial" w:eastAsia="黑体" w:cs="Times New Roman"/>
      <w:kern w:val="2"/>
      <w:sz w:val="24"/>
    </w:rPr>
  </w:style>
  <w:style w:type="character" w:customStyle="1" w:styleId="78">
    <w:name w:val="Heading 9 Char"/>
    <w:basedOn w:val="55"/>
    <w:link w:val="13"/>
    <w:qFormat/>
    <w:locked/>
    <w:uiPriority w:val="99"/>
    <w:rPr>
      <w:rFonts w:ascii="Arial" w:hAnsi="Arial" w:eastAsia="黑体" w:cs="Times New Roman"/>
      <w:kern w:val="2"/>
      <w:sz w:val="24"/>
    </w:rPr>
  </w:style>
  <w:style w:type="character" w:customStyle="1" w:styleId="79">
    <w:name w:val="Body Text Char"/>
    <w:basedOn w:val="55"/>
    <w:link w:val="2"/>
    <w:qFormat/>
    <w:locked/>
    <w:uiPriority w:val="99"/>
    <w:rPr>
      <w:rFonts w:cs="Times New Roman"/>
      <w:kern w:val="2"/>
      <w:sz w:val="24"/>
    </w:rPr>
  </w:style>
  <w:style w:type="character" w:customStyle="1" w:styleId="80">
    <w:name w:val="Body Text Indent Char"/>
    <w:basedOn w:val="55"/>
    <w:link w:val="23"/>
    <w:qFormat/>
    <w:locked/>
    <w:uiPriority w:val="99"/>
    <w:rPr>
      <w:rFonts w:ascii="仿宋_GB2312" w:eastAsia="仿宋_GB2312" w:cs="Times New Roman"/>
      <w:kern w:val="2"/>
      <w:sz w:val="32"/>
    </w:rPr>
  </w:style>
  <w:style w:type="character" w:customStyle="1" w:styleId="81">
    <w:name w:val="Body Text First Indent 2 Char"/>
    <w:basedOn w:val="80"/>
    <w:link w:val="3"/>
    <w:qFormat/>
    <w:locked/>
    <w:uiPriority w:val="99"/>
    <w:rPr>
      <w:sz w:val="24"/>
    </w:rPr>
  </w:style>
  <w:style w:type="character" w:customStyle="1" w:styleId="82">
    <w:name w:val="Document Map Char"/>
    <w:basedOn w:val="55"/>
    <w:link w:val="19"/>
    <w:qFormat/>
    <w:locked/>
    <w:uiPriority w:val="99"/>
    <w:rPr>
      <w:rFonts w:cs="Times New Roman"/>
      <w:sz w:val="21"/>
      <w:shd w:val="clear" w:color="auto" w:fill="000080"/>
    </w:rPr>
  </w:style>
  <w:style w:type="character" w:customStyle="1" w:styleId="83">
    <w:name w:val="Comment Text Char"/>
    <w:basedOn w:val="55"/>
    <w:link w:val="21"/>
    <w:qFormat/>
    <w:locked/>
    <w:uiPriority w:val="99"/>
    <w:rPr>
      <w:rFonts w:cs="Times New Roman"/>
      <w:kern w:val="2"/>
      <w:sz w:val="24"/>
      <w:szCs w:val="24"/>
    </w:rPr>
  </w:style>
  <w:style w:type="character" w:customStyle="1" w:styleId="84">
    <w:name w:val="Body Text 3 Char"/>
    <w:basedOn w:val="55"/>
    <w:link w:val="22"/>
    <w:qFormat/>
    <w:locked/>
    <w:uiPriority w:val="99"/>
    <w:rPr>
      <w:rFonts w:cs="Times New Roman"/>
      <w:b/>
      <w:kern w:val="2"/>
      <w:sz w:val="24"/>
    </w:rPr>
  </w:style>
  <w:style w:type="character" w:customStyle="1" w:styleId="85">
    <w:name w:val="Plain Text Char"/>
    <w:basedOn w:val="55"/>
    <w:link w:val="29"/>
    <w:qFormat/>
    <w:locked/>
    <w:uiPriority w:val="99"/>
    <w:rPr>
      <w:rFonts w:ascii="宋体" w:hAnsi="Courier New" w:eastAsia="宋体" w:cs="Times New Roman"/>
      <w:kern w:val="2"/>
      <w:sz w:val="21"/>
      <w:lang w:val="en-US" w:eastAsia="zh-CN"/>
    </w:rPr>
  </w:style>
  <w:style w:type="character" w:customStyle="1" w:styleId="86">
    <w:name w:val="Date Char"/>
    <w:basedOn w:val="55"/>
    <w:link w:val="31"/>
    <w:qFormat/>
    <w:locked/>
    <w:uiPriority w:val="99"/>
    <w:rPr>
      <w:rFonts w:ascii="宋体" w:hAnsi="Courier New" w:cs="Times New Roman"/>
      <w:kern w:val="2"/>
      <w:sz w:val="21"/>
    </w:rPr>
  </w:style>
  <w:style w:type="character" w:customStyle="1" w:styleId="87">
    <w:name w:val="Body Text Indent 2 Char"/>
    <w:basedOn w:val="55"/>
    <w:link w:val="32"/>
    <w:qFormat/>
    <w:locked/>
    <w:uiPriority w:val="99"/>
    <w:rPr>
      <w:rFonts w:cs="Times New Roman"/>
      <w:kern w:val="2"/>
      <w:sz w:val="32"/>
    </w:rPr>
  </w:style>
  <w:style w:type="character" w:customStyle="1" w:styleId="88">
    <w:name w:val="Balloon Text Char"/>
    <w:basedOn w:val="55"/>
    <w:link w:val="33"/>
    <w:qFormat/>
    <w:locked/>
    <w:uiPriority w:val="99"/>
    <w:rPr>
      <w:rFonts w:cs="Times New Roman"/>
      <w:kern w:val="2"/>
      <w:sz w:val="18"/>
    </w:rPr>
  </w:style>
  <w:style w:type="character" w:customStyle="1" w:styleId="89">
    <w:name w:val="Footer Char"/>
    <w:basedOn w:val="55"/>
    <w:link w:val="34"/>
    <w:qFormat/>
    <w:locked/>
    <w:uiPriority w:val="99"/>
    <w:rPr>
      <w:rFonts w:cs="Times New Roman"/>
      <w:kern w:val="2"/>
      <w:sz w:val="18"/>
    </w:rPr>
  </w:style>
  <w:style w:type="character" w:customStyle="1" w:styleId="90">
    <w:name w:val="Header Char"/>
    <w:basedOn w:val="55"/>
    <w:link w:val="35"/>
    <w:qFormat/>
    <w:locked/>
    <w:uiPriority w:val="99"/>
    <w:rPr>
      <w:rFonts w:cs="Times New Roman"/>
      <w:kern w:val="2"/>
      <w:sz w:val="18"/>
    </w:rPr>
  </w:style>
  <w:style w:type="character" w:customStyle="1" w:styleId="91">
    <w:name w:val="Body Text Indent 3 Char"/>
    <w:basedOn w:val="55"/>
    <w:link w:val="41"/>
    <w:qFormat/>
    <w:locked/>
    <w:uiPriority w:val="99"/>
    <w:rPr>
      <w:rFonts w:cs="Times New Roman"/>
      <w:kern w:val="2"/>
      <w:sz w:val="16"/>
    </w:rPr>
  </w:style>
  <w:style w:type="character" w:customStyle="1" w:styleId="92">
    <w:name w:val="Body Text 2 Char"/>
    <w:basedOn w:val="55"/>
    <w:link w:val="44"/>
    <w:qFormat/>
    <w:locked/>
    <w:uiPriority w:val="99"/>
    <w:rPr>
      <w:rFonts w:cs="Times New Roman"/>
      <w:kern w:val="2"/>
      <w:sz w:val="24"/>
    </w:rPr>
  </w:style>
  <w:style w:type="character" w:customStyle="1" w:styleId="93">
    <w:name w:val="HTML Preformatted Char"/>
    <w:basedOn w:val="55"/>
    <w:link w:val="47"/>
    <w:qFormat/>
    <w:locked/>
    <w:uiPriority w:val="99"/>
    <w:rPr>
      <w:rFonts w:ascii="黑体" w:hAnsi="Courier New" w:eastAsia="黑体" w:cs="Times New Roman"/>
    </w:rPr>
  </w:style>
  <w:style w:type="character" w:customStyle="1" w:styleId="94">
    <w:name w:val="Title Char"/>
    <w:basedOn w:val="55"/>
    <w:link w:val="50"/>
    <w:qFormat/>
    <w:locked/>
    <w:uiPriority w:val="99"/>
    <w:rPr>
      <w:rFonts w:cs="Times New Roman"/>
      <w:kern w:val="2"/>
      <w:sz w:val="24"/>
    </w:rPr>
  </w:style>
  <w:style w:type="character" w:customStyle="1" w:styleId="95">
    <w:name w:val="Comment Subject Char"/>
    <w:basedOn w:val="83"/>
    <w:link w:val="51"/>
    <w:qFormat/>
    <w:locked/>
    <w:uiPriority w:val="99"/>
    <w:rPr>
      <w:b/>
    </w:rPr>
  </w:style>
  <w:style w:type="character" w:customStyle="1" w:styleId="96">
    <w:name w:val="Body Text First Indent Char"/>
    <w:basedOn w:val="79"/>
    <w:link w:val="52"/>
    <w:qFormat/>
    <w:locked/>
    <w:uiPriority w:val="99"/>
  </w:style>
  <w:style w:type="character" w:customStyle="1" w:styleId="97">
    <w:name w:val="标题 5 字符"/>
    <w:semiHidden/>
    <w:qFormat/>
    <w:uiPriority w:val="99"/>
    <w:rPr>
      <w:b/>
      <w:kern w:val="2"/>
      <w:sz w:val="28"/>
    </w:rPr>
  </w:style>
  <w:style w:type="character" w:customStyle="1" w:styleId="98">
    <w:name w:val="批注文字 字符"/>
    <w:semiHidden/>
    <w:qFormat/>
    <w:uiPriority w:val="99"/>
    <w:rPr>
      <w:kern w:val="2"/>
      <w:sz w:val="24"/>
    </w:rPr>
  </w:style>
  <w:style w:type="character" w:customStyle="1" w:styleId="99">
    <w:name w:val="标题 1 字符"/>
    <w:qFormat/>
    <w:uiPriority w:val="99"/>
    <w:rPr>
      <w:b/>
      <w:kern w:val="44"/>
      <w:sz w:val="44"/>
    </w:rPr>
  </w:style>
  <w:style w:type="character" w:customStyle="1" w:styleId="100">
    <w:name w:val="正文文本缩进 3 字符"/>
    <w:semiHidden/>
    <w:qFormat/>
    <w:uiPriority w:val="99"/>
    <w:rPr>
      <w:kern w:val="2"/>
      <w:sz w:val="16"/>
    </w:rPr>
  </w:style>
  <w:style w:type="character" w:customStyle="1" w:styleId="101">
    <w:name w:val="current1"/>
    <w:qFormat/>
    <w:uiPriority w:val="99"/>
    <w:rPr>
      <w:color w:val="00C1DE"/>
    </w:rPr>
  </w:style>
  <w:style w:type="character" w:customStyle="1" w:styleId="102">
    <w:name w:val="all-fit-info"/>
    <w:qFormat/>
    <w:uiPriority w:val="99"/>
    <w:rPr>
      <w:color w:val="939393"/>
    </w:rPr>
  </w:style>
  <w:style w:type="character" w:customStyle="1" w:styleId="103">
    <w:name w:val="last-child7"/>
    <w:basedOn w:val="55"/>
    <w:qFormat/>
    <w:uiPriority w:val="99"/>
    <w:rPr>
      <w:rFonts w:cs="Times New Roman"/>
    </w:rPr>
  </w:style>
  <w:style w:type="character" w:customStyle="1" w:styleId="104">
    <w:name w:val="正文文本 3 字符"/>
    <w:semiHidden/>
    <w:qFormat/>
    <w:uiPriority w:val="99"/>
    <w:rPr>
      <w:kern w:val="2"/>
      <w:sz w:val="16"/>
    </w:rPr>
  </w:style>
  <w:style w:type="character" w:customStyle="1" w:styleId="105">
    <w:name w:val="c-icon13"/>
    <w:basedOn w:val="55"/>
    <w:qFormat/>
    <w:uiPriority w:val="99"/>
    <w:rPr>
      <w:rFonts w:cs="Times New Roman"/>
    </w:rPr>
  </w:style>
  <w:style w:type="character" w:customStyle="1" w:styleId="106">
    <w:name w:val="white"/>
    <w:basedOn w:val="55"/>
    <w:qFormat/>
    <w:uiPriority w:val="99"/>
    <w:rPr>
      <w:rFonts w:cs="Times New Roman"/>
    </w:rPr>
  </w:style>
  <w:style w:type="character" w:customStyle="1" w:styleId="107">
    <w:name w:val="first-child"/>
    <w:basedOn w:val="55"/>
    <w:qFormat/>
    <w:uiPriority w:val="99"/>
    <w:rPr>
      <w:rFonts w:cs="Times New Roman"/>
    </w:rPr>
  </w:style>
  <w:style w:type="character" w:customStyle="1" w:styleId="108">
    <w:name w:val="ant-tree-switcher"/>
    <w:basedOn w:val="55"/>
    <w:qFormat/>
    <w:uiPriority w:val="99"/>
    <w:rPr>
      <w:rFonts w:cs="Times New Roman"/>
    </w:rPr>
  </w:style>
  <w:style w:type="character" w:customStyle="1" w:styleId="109">
    <w:name w:val="graytext1"/>
    <w:qFormat/>
    <w:uiPriority w:val="99"/>
    <w:rPr>
      <w:color w:val="666666"/>
    </w:rPr>
  </w:style>
  <w:style w:type="character" w:customStyle="1" w:styleId="110">
    <w:name w:val="change-camera-place"/>
    <w:qFormat/>
    <w:uiPriority w:val="99"/>
    <w:rPr>
      <w:color w:val="3177FD"/>
    </w:rPr>
  </w:style>
  <w:style w:type="character" w:customStyle="1" w:styleId="111">
    <w:name w:val="z-窗体顶端 字符"/>
    <w:semiHidden/>
    <w:qFormat/>
    <w:uiPriority w:val="99"/>
    <w:rPr>
      <w:rFonts w:ascii="Arial" w:hAnsi="Arial"/>
      <w:vanish/>
      <w:kern w:val="2"/>
      <w:sz w:val="16"/>
    </w:rPr>
  </w:style>
  <w:style w:type="character" w:customStyle="1" w:styleId="112">
    <w:name w:val="正文文本 字符"/>
    <w:semiHidden/>
    <w:qFormat/>
    <w:uiPriority w:val="99"/>
    <w:rPr>
      <w:kern w:val="2"/>
      <w:sz w:val="24"/>
    </w:rPr>
  </w:style>
  <w:style w:type="character" w:customStyle="1" w:styleId="113">
    <w:name w:val="标题 3 字符"/>
    <w:semiHidden/>
    <w:qFormat/>
    <w:uiPriority w:val="99"/>
    <w:rPr>
      <w:b/>
      <w:kern w:val="2"/>
      <w:sz w:val="32"/>
    </w:rPr>
  </w:style>
  <w:style w:type="character" w:customStyle="1" w:styleId="114">
    <w:name w:val="tag-type"/>
    <w:qFormat/>
    <w:uiPriority w:val="99"/>
    <w:rPr>
      <w:color w:val="FFFFFF"/>
      <w:sz w:val="18"/>
      <w:shd w:val="clear" w:color="auto" w:fill="317FFD"/>
    </w:rPr>
  </w:style>
  <w:style w:type="character" w:customStyle="1" w:styleId="115">
    <w:name w:val="页眉 字符"/>
    <w:semiHidden/>
    <w:qFormat/>
    <w:uiPriority w:val="99"/>
    <w:rPr>
      <w:kern w:val="2"/>
      <w:sz w:val="18"/>
    </w:rPr>
  </w:style>
  <w:style w:type="character" w:customStyle="1" w:styleId="116">
    <w:name w:val="文档结构图 字符"/>
    <w:semiHidden/>
    <w:qFormat/>
    <w:uiPriority w:val="99"/>
    <w:rPr>
      <w:rFonts w:ascii="Microsoft YaHei UI" w:eastAsia="Microsoft YaHei UI"/>
      <w:kern w:val="2"/>
      <w:sz w:val="18"/>
    </w:rPr>
  </w:style>
  <w:style w:type="character" w:customStyle="1" w:styleId="117">
    <w:name w:val="日期 字符"/>
    <w:semiHidden/>
    <w:qFormat/>
    <w:uiPriority w:val="99"/>
    <w:rPr>
      <w:kern w:val="2"/>
      <w:sz w:val="24"/>
    </w:rPr>
  </w:style>
  <w:style w:type="character" w:customStyle="1" w:styleId="118">
    <w:name w:val="正文文本首行缩进 2 字符"/>
    <w:semiHidden/>
    <w:qFormat/>
    <w:uiPriority w:val="99"/>
  </w:style>
  <w:style w:type="character" w:customStyle="1" w:styleId="119">
    <w:name w:val="正文文本首行缩进 字符"/>
    <w:semiHidden/>
    <w:qFormat/>
    <w:uiPriority w:val="99"/>
  </w:style>
  <w:style w:type="character" w:customStyle="1" w:styleId="120">
    <w:name w:val="标题 2 字符"/>
    <w:semiHidden/>
    <w:qFormat/>
    <w:uiPriority w:val="99"/>
    <w:rPr>
      <w:rFonts w:ascii="等线 Light" w:hAnsi="等线 Light" w:eastAsia="等线 Light"/>
      <w:b/>
      <w:kern w:val="2"/>
      <w:sz w:val="32"/>
    </w:rPr>
  </w:style>
  <w:style w:type="character" w:customStyle="1" w:styleId="121">
    <w:name w:val="font01"/>
    <w:qFormat/>
    <w:uiPriority w:val="99"/>
    <w:rPr>
      <w:rFonts w:ascii="宋体" w:hAnsi="宋体" w:eastAsia="宋体"/>
      <w:color w:val="000000"/>
      <w:sz w:val="22"/>
      <w:u w:val="none"/>
    </w:rPr>
  </w:style>
  <w:style w:type="character" w:customStyle="1" w:styleId="122">
    <w:name w:val="temp2"/>
    <w:basedOn w:val="55"/>
    <w:qFormat/>
    <w:uiPriority w:val="99"/>
    <w:rPr>
      <w:rFonts w:cs="Times New Roman"/>
    </w:rPr>
  </w:style>
  <w:style w:type="character" w:customStyle="1" w:styleId="123">
    <w:name w:val="批注主题 字符"/>
    <w:semiHidden/>
    <w:qFormat/>
    <w:uiPriority w:val="99"/>
    <w:rPr>
      <w:b/>
      <w:kern w:val="2"/>
      <w:sz w:val="24"/>
    </w:rPr>
  </w:style>
  <w:style w:type="character" w:customStyle="1" w:styleId="124">
    <w:name w:val="ant-tree-iconele"/>
    <w:basedOn w:val="55"/>
    <w:qFormat/>
    <w:uiPriority w:val="99"/>
    <w:rPr>
      <w:rFonts w:cs="Times New Roman"/>
    </w:rPr>
  </w:style>
  <w:style w:type="character" w:customStyle="1" w:styleId="125">
    <w:name w:val="纯文本 字符"/>
    <w:semiHidden/>
    <w:qFormat/>
    <w:uiPriority w:val="99"/>
    <w:rPr>
      <w:rFonts w:ascii="等线" w:hAnsi="Courier New" w:eastAsia="等线"/>
      <w:kern w:val="2"/>
      <w:sz w:val="24"/>
    </w:rPr>
  </w:style>
  <w:style w:type="character" w:customStyle="1" w:styleId="126">
    <w:name w:val="ant-badge-status-dot"/>
    <w:qFormat/>
    <w:uiPriority w:val="99"/>
    <w:rPr>
      <w:shd w:val="clear" w:color="auto" w:fill="FFFFFF"/>
    </w:rPr>
  </w:style>
  <w:style w:type="character" w:customStyle="1" w:styleId="127">
    <w:name w:val="ant-select-tree-switcher"/>
    <w:basedOn w:val="55"/>
    <w:qFormat/>
    <w:uiPriority w:val="99"/>
    <w:rPr>
      <w:rFonts w:cs="Times New Roman"/>
    </w:rPr>
  </w:style>
  <w:style w:type="character" w:customStyle="1" w:styleId="128">
    <w:name w:val="content"/>
    <w:basedOn w:val="55"/>
    <w:qFormat/>
    <w:uiPriority w:val="99"/>
    <w:rPr>
      <w:rFonts w:cs="Times New Roman"/>
    </w:rPr>
  </w:style>
  <w:style w:type="character" w:customStyle="1" w:styleId="129">
    <w:name w:val="062"/>
    <w:qFormat/>
    <w:uiPriority w:val="99"/>
    <w:rPr>
      <w:rFonts w:ascii="宋体" w:eastAsia="宋体"/>
      <w:b/>
      <w:sz w:val="32"/>
    </w:rPr>
  </w:style>
  <w:style w:type="character" w:customStyle="1" w:styleId="130">
    <w:name w:val="1ji Char"/>
    <w:link w:val="131"/>
    <w:qFormat/>
    <w:locked/>
    <w:uiPriority w:val="99"/>
    <w:rPr>
      <w:rFonts w:ascii="宋体" w:hAnsi="宋体" w:eastAsia="宋体"/>
      <w:b/>
      <w:kern w:val="44"/>
      <w:sz w:val="44"/>
      <w:lang w:val="en-US" w:eastAsia="zh-CN"/>
    </w:rPr>
  </w:style>
  <w:style w:type="paragraph" w:customStyle="1" w:styleId="131">
    <w:name w:val="1ji"/>
    <w:basedOn w:val="4"/>
    <w:link w:val="130"/>
    <w:qFormat/>
    <w:uiPriority w:val="99"/>
    <w:pPr>
      <w:keepLines w:val="0"/>
      <w:widowControl/>
      <w:spacing w:before="0" w:after="0" w:line="240" w:lineRule="auto"/>
      <w:jc w:val="center"/>
    </w:pPr>
    <w:rPr>
      <w:rFonts w:ascii="宋体" w:hAnsi="宋体"/>
      <w:bCs w:val="0"/>
      <w:szCs w:val="20"/>
    </w:rPr>
  </w:style>
  <w:style w:type="character" w:customStyle="1" w:styleId="132">
    <w:name w:val="标题 字符"/>
    <w:qFormat/>
    <w:uiPriority w:val="99"/>
    <w:rPr>
      <w:rFonts w:ascii="等线 Light" w:hAnsi="等线 Light" w:eastAsia="等线 Light"/>
      <w:b/>
      <w:kern w:val="2"/>
      <w:sz w:val="32"/>
    </w:rPr>
  </w:style>
  <w:style w:type="character" w:customStyle="1" w:styleId="133">
    <w:name w:val="fd"/>
    <w:qFormat/>
    <w:uiPriority w:val="99"/>
  </w:style>
  <w:style w:type="character" w:customStyle="1" w:styleId="134">
    <w:name w:val="正文文本缩进 字符"/>
    <w:semiHidden/>
    <w:qFormat/>
    <w:uiPriority w:val="99"/>
    <w:rPr>
      <w:kern w:val="2"/>
      <w:sz w:val="24"/>
    </w:rPr>
  </w:style>
  <w:style w:type="character" w:customStyle="1" w:styleId="135">
    <w:name w:val="标题3 Char"/>
    <w:link w:val="136"/>
    <w:qFormat/>
    <w:locked/>
    <w:uiPriority w:val="99"/>
    <w:rPr>
      <w:rFonts w:ascii="宋体" w:eastAsia="宋体"/>
      <w:b/>
      <w:kern w:val="44"/>
      <w:sz w:val="24"/>
    </w:rPr>
  </w:style>
  <w:style w:type="paragraph" w:customStyle="1" w:styleId="136">
    <w:name w:val="标题3"/>
    <w:basedOn w:val="4"/>
    <w:link w:val="135"/>
    <w:qFormat/>
    <w:uiPriority w:val="99"/>
    <w:pPr>
      <w:spacing w:beforeLines="50" w:afterLines="50" w:line="400" w:lineRule="exact"/>
    </w:pPr>
    <w:rPr>
      <w:rFonts w:ascii="宋体"/>
      <w:bCs w:val="0"/>
      <w:sz w:val="24"/>
      <w:szCs w:val="20"/>
    </w:rPr>
  </w:style>
  <w:style w:type="character" w:customStyle="1" w:styleId="137">
    <w:name w:val="temp1"/>
    <w:basedOn w:val="55"/>
    <w:qFormat/>
    <w:uiPriority w:val="99"/>
    <w:rPr>
      <w:rFonts w:cs="Times New Roman"/>
    </w:rPr>
  </w:style>
  <w:style w:type="character" w:customStyle="1" w:styleId="138">
    <w:name w:val="正文文本缩进 2 字符"/>
    <w:semiHidden/>
    <w:qFormat/>
    <w:uiPriority w:val="99"/>
    <w:rPr>
      <w:kern w:val="2"/>
      <w:sz w:val="24"/>
    </w:rPr>
  </w:style>
  <w:style w:type="character" w:customStyle="1" w:styleId="139">
    <w:name w:val="ant-select-tree-iconele"/>
    <w:basedOn w:val="55"/>
    <w:qFormat/>
    <w:uiPriority w:val="99"/>
    <w:rPr>
      <w:rFonts w:cs="Times New Roman"/>
    </w:rPr>
  </w:style>
  <w:style w:type="character" w:customStyle="1" w:styleId="140">
    <w:name w:val="标题 9 字符"/>
    <w:semiHidden/>
    <w:qFormat/>
    <w:uiPriority w:val="99"/>
    <w:rPr>
      <w:rFonts w:ascii="等线 Light" w:hAnsi="等线 Light" w:eastAsia="等线 Light"/>
      <w:kern w:val="2"/>
      <w:sz w:val="21"/>
    </w:rPr>
  </w:style>
  <w:style w:type="character" w:customStyle="1" w:styleId="141">
    <w:name w:val="last-of-type"/>
    <w:qFormat/>
    <w:uiPriority w:val="99"/>
    <w:rPr>
      <w:color w:val="FF4A44"/>
      <w:sz w:val="27"/>
    </w:rPr>
  </w:style>
  <w:style w:type="character" w:customStyle="1" w:styleId="142">
    <w:name w:val="highlight"/>
    <w:qFormat/>
    <w:uiPriority w:val="99"/>
  </w:style>
  <w:style w:type="character" w:customStyle="1" w:styleId="143">
    <w:name w:val="temp"/>
    <w:basedOn w:val="55"/>
    <w:qFormat/>
    <w:uiPriority w:val="99"/>
    <w:rPr>
      <w:rFonts w:cs="Times New Roman"/>
    </w:rPr>
  </w:style>
  <w:style w:type="character" w:customStyle="1" w:styleId="144">
    <w:name w:val="last-child6"/>
    <w:basedOn w:val="55"/>
    <w:qFormat/>
    <w:uiPriority w:val="99"/>
    <w:rPr>
      <w:rFonts w:cs="Times New Roman"/>
    </w:rPr>
  </w:style>
  <w:style w:type="character" w:customStyle="1" w:styleId="145">
    <w:name w:val="style21"/>
    <w:qFormat/>
    <w:uiPriority w:val="99"/>
    <w:rPr>
      <w:sz w:val="17"/>
    </w:rPr>
  </w:style>
  <w:style w:type="character" w:customStyle="1" w:styleId="146">
    <w:name w:val="all-fit-info1"/>
    <w:qFormat/>
    <w:uiPriority w:val="99"/>
    <w:rPr>
      <w:color w:val="939393"/>
    </w:rPr>
  </w:style>
  <w:style w:type="character" w:customStyle="1" w:styleId="147">
    <w:name w:val="标题 8 字符"/>
    <w:semiHidden/>
    <w:qFormat/>
    <w:uiPriority w:val="99"/>
    <w:rPr>
      <w:rFonts w:ascii="等线 Light" w:hAnsi="等线 Light" w:eastAsia="等线 Light"/>
      <w:kern w:val="2"/>
      <w:sz w:val="24"/>
    </w:rPr>
  </w:style>
  <w:style w:type="character" w:customStyle="1" w:styleId="148">
    <w:name w:val="label2"/>
    <w:basedOn w:val="55"/>
    <w:qFormat/>
    <w:uiPriority w:val="99"/>
    <w:rPr>
      <w:rFonts w:cs="Times New Roman"/>
    </w:rPr>
  </w:style>
  <w:style w:type="character" w:customStyle="1" w:styleId="149">
    <w:name w:val="tag-type1"/>
    <w:qFormat/>
    <w:uiPriority w:val="99"/>
    <w:rPr>
      <w:color w:val="FFFFFF"/>
      <w:sz w:val="18"/>
      <w:shd w:val="clear" w:color="auto" w:fill="317FFD"/>
    </w:rPr>
  </w:style>
  <w:style w:type="character" w:customStyle="1" w:styleId="150">
    <w:name w:val="纯文本 Char1"/>
    <w:qFormat/>
    <w:uiPriority w:val="99"/>
    <w:rPr>
      <w:rFonts w:ascii="宋体" w:hAnsi="Courier New" w:eastAsia="宋体"/>
      <w:kern w:val="2"/>
      <w:sz w:val="21"/>
      <w:lang w:val="en-US" w:eastAsia="zh-CN"/>
    </w:rPr>
  </w:style>
  <w:style w:type="character" w:customStyle="1" w:styleId="151">
    <w:name w:val="f151"/>
    <w:qFormat/>
    <w:uiPriority w:val="99"/>
    <w:rPr>
      <w:sz w:val="23"/>
    </w:rPr>
  </w:style>
  <w:style w:type="character" w:customStyle="1" w:styleId="152">
    <w:name w:val="case31"/>
    <w:qFormat/>
    <w:uiPriority w:val="99"/>
    <w:rPr>
      <w:rFonts w:ascii="_x000B__x000C_" w:hAnsi="_x000B__x000C_"/>
      <w:sz w:val="21"/>
    </w:rPr>
  </w:style>
  <w:style w:type="character" w:customStyle="1" w:styleId="153">
    <w:name w:val="标题 7 字符"/>
    <w:semiHidden/>
    <w:qFormat/>
    <w:uiPriority w:val="99"/>
    <w:rPr>
      <w:b/>
      <w:kern w:val="2"/>
      <w:sz w:val="24"/>
    </w:rPr>
  </w:style>
  <w:style w:type="character" w:customStyle="1" w:styleId="154">
    <w:name w:val="text11"/>
    <w:qFormat/>
    <w:uiPriority w:val="99"/>
    <w:rPr>
      <w:rFonts w:ascii="Verdana" w:hAnsi="Verdana"/>
      <w:color w:val="4E4E4E"/>
      <w:sz w:val="18"/>
    </w:rPr>
  </w:style>
  <w:style w:type="character" w:customStyle="1" w:styleId="155">
    <w:name w:val="ant-tree-checkbox2"/>
    <w:basedOn w:val="55"/>
    <w:qFormat/>
    <w:uiPriority w:val="99"/>
    <w:rPr>
      <w:rFonts w:cs="Times New Roman"/>
    </w:rPr>
  </w:style>
  <w:style w:type="character" w:customStyle="1" w:styleId="156">
    <w:name w:val="gray12"/>
    <w:basedOn w:val="55"/>
    <w:qFormat/>
    <w:uiPriority w:val="99"/>
    <w:rPr>
      <w:rFonts w:cs="Times New Roman"/>
    </w:rPr>
  </w:style>
  <w:style w:type="character" w:customStyle="1" w:styleId="157">
    <w:name w:val="current"/>
    <w:qFormat/>
    <w:uiPriority w:val="99"/>
    <w:rPr>
      <w:color w:val="00C1DE"/>
    </w:rPr>
  </w:style>
  <w:style w:type="character" w:customStyle="1" w:styleId="158">
    <w:name w:val="all-fit-info2"/>
    <w:qFormat/>
    <w:uiPriority w:val="99"/>
    <w:rPr>
      <w:color w:val="939393"/>
    </w:rPr>
  </w:style>
  <w:style w:type="character" w:customStyle="1" w:styleId="159">
    <w:name w:val="unnamed3"/>
    <w:basedOn w:val="55"/>
    <w:qFormat/>
    <w:uiPriority w:val="99"/>
    <w:rPr>
      <w:rFonts w:cs="Times New Roman"/>
    </w:rPr>
  </w:style>
  <w:style w:type="character" w:customStyle="1" w:styleId="160">
    <w:name w:val="ant-select-tree-checkbox2"/>
    <w:basedOn w:val="55"/>
    <w:qFormat/>
    <w:uiPriority w:val="99"/>
    <w:rPr>
      <w:rFonts w:cs="Times New Roman"/>
    </w:rPr>
  </w:style>
  <w:style w:type="character" w:customStyle="1" w:styleId="161">
    <w:name w:val="last-child4"/>
    <w:basedOn w:val="55"/>
    <w:qFormat/>
    <w:uiPriority w:val="99"/>
    <w:rPr>
      <w:rFonts w:cs="Times New Roman"/>
    </w:rPr>
  </w:style>
  <w:style w:type="character" w:customStyle="1" w:styleId="162">
    <w:name w:val="short_text1"/>
    <w:qFormat/>
    <w:uiPriority w:val="99"/>
    <w:rPr>
      <w:sz w:val="26"/>
    </w:rPr>
  </w:style>
  <w:style w:type="character" w:customStyle="1" w:styleId="163">
    <w:name w:val="last-child5"/>
    <w:basedOn w:val="55"/>
    <w:qFormat/>
    <w:uiPriority w:val="99"/>
    <w:rPr>
      <w:rFonts w:cs="Times New Roman"/>
    </w:rPr>
  </w:style>
  <w:style w:type="character" w:customStyle="1" w:styleId="164">
    <w:name w:val="标题 4 字符"/>
    <w:semiHidden/>
    <w:qFormat/>
    <w:uiPriority w:val="99"/>
    <w:rPr>
      <w:rFonts w:ascii="等线 Light" w:hAnsi="等线 Light" w:eastAsia="等线 Light"/>
      <w:b/>
      <w:kern w:val="2"/>
      <w:sz w:val="28"/>
    </w:rPr>
  </w:style>
  <w:style w:type="character" w:customStyle="1" w:styleId="165">
    <w:name w:val="批注框文本 字符"/>
    <w:semiHidden/>
    <w:qFormat/>
    <w:uiPriority w:val="99"/>
    <w:rPr>
      <w:kern w:val="2"/>
      <w:sz w:val="18"/>
    </w:rPr>
  </w:style>
  <w:style w:type="character" w:customStyle="1" w:styleId="166">
    <w:name w:val="mark8"/>
    <w:qFormat/>
    <w:uiPriority w:val="99"/>
    <w:rPr>
      <w:b/>
      <w:sz w:val="21"/>
    </w:rPr>
  </w:style>
  <w:style w:type="character" w:customStyle="1" w:styleId="167">
    <w:name w:val="style11"/>
    <w:qFormat/>
    <w:uiPriority w:val="99"/>
    <w:rPr>
      <w:rFonts w:ascii="Arial" w:hAnsi="Arial"/>
    </w:rPr>
  </w:style>
  <w:style w:type="character" w:customStyle="1" w:styleId="168">
    <w:name w:val="HTML 预设格式 字符"/>
    <w:semiHidden/>
    <w:qFormat/>
    <w:uiPriority w:val="99"/>
    <w:rPr>
      <w:rFonts w:ascii="Courier New" w:hAnsi="Courier New"/>
      <w:kern w:val="2"/>
    </w:rPr>
  </w:style>
  <w:style w:type="character" w:customStyle="1" w:styleId="169">
    <w:name w:val="批注文字 字符1"/>
    <w:qFormat/>
    <w:uiPriority w:val="99"/>
    <w:rPr>
      <w:kern w:val="2"/>
      <w:sz w:val="24"/>
    </w:rPr>
  </w:style>
  <w:style w:type="character" w:customStyle="1" w:styleId="170">
    <w:name w:val="1051"/>
    <w:qFormat/>
    <w:uiPriority w:val="99"/>
    <w:rPr>
      <w:sz w:val="21"/>
    </w:rPr>
  </w:style>
  <w:style w:type="character" w:customStyle="1" w:styleId="171">
    <w:name w:val="ant-tree-icon_loading"/>
    <w:qFormat/>
    <w:uiPriority w:val="99"/>
    <w:rPr>
      <w:shd w:val="clear" w:color="auto" w:fill="FFFFFF"/>
    </w:rPr>
  </w:style>
  <w:style w:type="character" w:customStyle="1" w:styleId="172">
    <w:name w:val="info-label"/>
    <w:qFormat/>
    <w:uiPriority w:val="99"/>
    <w:rPr>
      <w:b/>
    </w:rPr>
  </w:style>
  <w:style w:type="character" w:customStyle="1" w:styleId="173">
    <w:name w:val="info-content"/>
    <w:qFormat/>
    <w:uiPriority w:val="99"/>
    <w:rPr>
      <w:color w:val="808080"/>
    </w:rPr>
  </w:style>
  <w:style w:type="character" w:customStyle="1" w:styleId="174">
    <w:name w:val="content2"/>
    <w:basedOn w:val="55"/>
    <w:qFormat/>
    <w:uiPriority w:val="99"/>
    <w:rPr>
      <w:rFonts w:cs="Times New Roman"/>
    </w:rPr>
  </w:style>
  <w:style w:type="character" w:customStyle="1" w:styleId="175">
    <w:name w:val="页脚 字符"/>
    <w:semiHidden/>
    <w:qFormat/>
    <w:uiPriority w:val="99"/>
    <w:rPr>
      <w:kern w:val="2"/>
      <w:sz w:val="18"/>
    </w:rPr>
  </w:style>
  <w:style w:type="character" w:customStyle="1" w:styleId="176">
    <w:name w:val="标题 6 字符"/>
    <w:semiHidden/>
    <w:qFormat/>
    <w:uiPriority w:val="99"/>
    <w:rPr>
      <w:rFonts w:ascii="等线 Light" w:hAnsi="等线 Light" w:eastAsia="等线 Light"/>
      <w:b/>
      <w:kern w:val="2"/>
      <w:sz w:val="24"/>
    </w:rPr>
  </w:style>
  <w:style w:type="character" w:customStyle="1" w:styleId="177">
    <w:name w:val="small"/>
    <w:basedOn w:val="55"/>
    <w:qFormat/>
    <w:uiPriority w:val="99"/>
    <w:rPr>
      <w:rFonts w:cs="Times New Roman"/>
    </w:rPr>
  </w:style>
  <w:style w:type="character" w:customStyle="1" w:styleId="178">
    <w:name w:val="z-窗体顶端 字符1"/>
    <w:link w:val="179"/>
    <w:qFormat/>
    <w:locked/>
    <w:uiPriority w:val="99"/>
    <w:rPr>
      <w:rFonts w:ascii="Arial"/>
      <w:vanish/>
      <w:kern w:val="2"/>
      <w:sz w:val="24"/>
    </w:rPr>
  </w:style>
  <w:style w:type="paragraph" w:customStyle="1" w:styleId="179">
    <w:name w:val="_Style 174"/>
    <w:basedOn w:val="1"/>
    <w:next w:val="1"/>
    <w:link w:val="178"/>
    <w:qFormat/>
    <w:uiPriority w:val="99"/>
    <w:pPr>
      <w:pBdr>
        <w:bottom w:val="single" w:color="auto" w:sz="6" w:space="1"/>
      </w:pBdr>
      <w:jc w:val="center"/>
    </w:pPr>
    <w:rPr>
      <w:rFonts w:ascii="Arial"/>
      <w:vanish/>
      <w:sz w:val="24"/>
      <w:szCs w:val="20"/>
    </w:rPr>
  </w:style>
  <w:style w:type="character" w:customStyle="1" w:styleId="180">
    <w:name w:val="正文文本 2 字符"/>
    <w:semiHidden/>
    <w:qFormat/>
    <w:uiPriority w:val="99"/>
    <w:rPr>
      <w:kern w:val="2"/>
      <w:sz w:val="24"/>
    </w:rPr>
  </w:style>
  <w:style w:type="character" w:customStyle="1" w:styleId="181">
    <w:name w:val="apple-converted-space"/>
    <w:qFormat/>
    <w:uiPriority w:val="99"/>
  </w:style>
  <w:style w:type="paragraph" w:customStyle="1" w:styleId="182">
    <w:name w:val="Char Char Char Char Char Char Char"/>
    <w:basedOn w:val="1"/>
    <w:qFormat/>
    <w:uiPriority w:val="99"/>
  </w:style>
  <w:style w:type="paragraph" w:customStyle="1" w:styleId="183">
    <w:name w:val="Char"/>
    <w:basedOn w:val="1"/>
    <w:qFormat/>
    <w:uiPriority w:val="99"/>
    <w:pPr>
      <w:widowControl/>
      <w:spacing w:line="500" w:lineRule="exact"/>
      <w:outlineLvl w:val="2"/>
    </w:pPr>
    <w:rPr>
      <w:rFonts w:ascii="黑体" w:hAnsi="Verdana" w:eastAsia="黑体" w:cs="黑体"/>
      <w:kern w:val="0"/>
      <w:sz w:val="28"/>
      <w:szCs w:val="28"/>
      <w:lang w:eastAsia="en-US"/>
    </w:rPr>
  </w:style>
  <w:style w:type="paragraph" w:customStyle="1" w:styleId="184">
    <w:name w:val="样式 首行缩进:  2 字符"/>
    <w:basedOn w:val="1"/>
    <w:qFormat/>
    <w:uiPriority w:val="99"/>
    <w:pPr>
      <w:spacing w:line="400" w:lineRule="exact"/>
      <w:ind w:firstLine="200" w:firstLineChars="200"/>
    </w:pPr>
    <w:rPr>
      <w:rFonts w:cs="宋体"/>
      <w:sz w:val="24"/>
    </w:rPr>
  </w:style>
  <w:style w:type="paragraph" w:customStyle="1" w:styleId="185">
    <w:name w:val="样式1"/>
    <w:basedOn w:val="1"/>
    <w:qFormat/>
    <w:uiPriority w:val="99"/>
    <w:pPr>
      <w:spacing w:before="120" w:after="120" w:line="300" w:lineRule="auto"/>
    </w:pPr>
    <w:rPr>
      <w:rFonts w:ascii="宋体" w:hAnsi="宋体"/>
      <w:b/>
      <w:sz w:val="24"/>
      <w:szCs w:val="20"/>
    </w:rPr>
  </w:style>
  <w:style w:type="paragraph" w:customStyle="1" w:styleId="186">
    <w:name w:val="Default Paragraph Font Para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187">
    <w:name w:val="Char Char Char"/>
    <w:basedOn w:val="1"/>
    <w:qFormat/>
    <w:uiPriority w:val="99"/>
    <w:rPr>
      <w:rFonts w:ascii="Tahoma" w:hAnsi="Tahoma"/>
      <w:sz w:val="24"/>
      <w:szCs w:val="20"/>
    </w:rPr>
  </w:style>
  <w:style w:type="paragraph" w:customStyle="1" w:styleId="188">
    <w:name w:val="Char Char Char11"/>
    <w:basedOn w:val="19"/>
    <w:qFormat/>
    <w:uiPriority w:val="99"/>
    <w:pPr>
      <w:adjustRightInd/>
      <w:spacing w:line="240" w:lineRule="auto"/>
      <w:textAlignment w:val="auto"/>
    </w:pPr>
    <w:rPr>
      <w:rFonts w:ascii="Tahoma" w:hAnsi="Tahoma"/>
      <w:kern w:val="2"/>
      <w:sz w:val="24"/>
      <w:szCs w:val="24"/>
    </w:rPr>
  </w:style>
  <w:style w:type="paragraph" w:customStyle="1" w:styleId="189">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190">
    <w:name w:val="tgt1"/>
    <w:basedOn w:val="1"/>
    <w:qFormat/>
    <w:uiPriority w:val="99"/>
    <w:pPr>
      <w:widowControl/>
      <w:spacing w:after="150"/>
      <w:jc w:val="left"/>
    </w:pPr>
    <w:rPr>
      <w:rFonts w:ascii="宋体" w:hAnsi="宋体" w:cs="宋体"/>
      <w:kern w:val="0"/>
      <w:sz w:val="24"/>
    </w:rPr>
  </w:style>
  <w:style w:type="paragraph" w:customStyle="1" w:styleId="191">
    <w:name w:val="次小点说明 Char"/>
    <w:basedOn w:val="9"/>
    <w:qFormat/>
    <w:uiPriority w:val="99"/>
    <w:pPr>
      <w:ind w:firstLine="0"/>
    </w:pPr>
    <w:rPr>
      <w:sz w:val="24"/>
      <w:szCs w:val="24"/>
    </w:rPr>
  </w:style>
  <w:style w:type="paragraph" w:customStyle="1" w:styleId="192">
    <w:name w:val="正文首行缩进两字符"/>
    <w:basedOn w:val="1"/>
    <w:qFormat/>
    <w:uiPriority w:val="99"/>
    <w:pPr>
      <w:spacing w:line="360" w:lineRule="auto"/>
      <w:ind w:firstLine="200" w:firstLineChars="200"/>
    </w:pPr>
  </w:style>
  <w:style w:type="paragraph" w:customStyle="1" w:styleId="193">
    <w:name w:val="表格文字"/>
    <w:basedOn w:val="1"/>
    <w:qFormat/>
    <w:uiPriority w:val="99"/>
    <w:pPr>
      <w:spacing w:before="25" w:after="25"/>
      <w:jc w:val="left"/>
    </w:pPr>
    <w:rPr>
      <w:bCs/>
      <w:spacing w:val="10"/>
      <w:kern w:val="0"/>
      <w:sz w:val="24"/>
    </w:rPr>
  </w:style>
  <w:style w:type="paragraph" w:customStyle="1" w:styleId="194">
    <w:name w:val="Char Char Char Char Char Char Char Char Char Char Char Char Char"/>
    <w:basedOn w:val="19"/>
    <w:qFormat/>
    <w:uiPriority w:val="99"/>
    <w:pPr>
      <w:adjustRightInd/>
      <w:spacing w:line="240" w:lineRule="auto"/>
      <w:textAlignment w:val="auto"/>
    </w:pPr>
    <w:rPr>
      <w:rFonts w:ascii="Tahoma" w:hAnsi="Tahoma"/>
      <w:kern w:val="2"/>
      <w:sz w:val="24"/>
      <w:szCs w:val="24"/>
    </w:rPr>
  </w:style>
  <w:style w:type="paragraph" w:customStyle="1" w:styleId="195">
    <w:name w:val="xl30"/>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196">
    <w:name w:val="表内文字"/>
    <w:basedOn w:val="1"/>
    <w:qFormat/>
    <w:uiPriority w:val="99"/>
    <w:pPr>
      <w:snapToGrid w:val="0"/>
      <w:spacing w:before="50" w:after="50"/>
      <w:jc w:val="center"/>
    </w:pPr>
    <w:rPr>
      <w:rFonts w:ascii="仿宋_GB2312" w:hAnsi="宋体" w:eastAsia="仿宋_GB2312"/>
      <w:b/>
      <w:color w:val="000000"/>
      <w:sz w:val="32"/>
      <w:szCs w:val="32"/>
    </w:rPr>
  </w:style>
  <w:style w:type="paragraph" w:customStyle="1" w:styleId="197">
    <w:name w:val="p15"/>
    <w:basedOn w:val="1"/>
    <w:qFormat/>
    <w:uiPriority w:val="99"/>
    <w:pPr>
      <w:widowControl/>
      <w:ind w:firstLine="420"/>
    </w:pPr>
    <w:rPr>
      <w:kern w:val="0"/>
      <w:szCs w:val="21"/>
    </w:rPr>
  </w:style>
  <w:style w:type="paragraph" w:customStyle="1" w:styleId="198">
    <w:name w:val="表格"/>
    <w:basedOn w:val="1"/>
    <w:qFormat/>
    <w:uiPriority w:val="99"/>
    <w:pPr>
      <w:spacing w:line="400" w:lineRule="exact"/>
    </w:pPr>
    <w:rPr>
      <w:sz w:val="24"/>
    </w:rPr>
  </w:style>
  <w:style w:type="paragraph" w:customStyle="1" w:styleId="199">
    <w:name w:val="Char2"/>
    <w:basedOn w:val="1"/>
    <w:qFormat/>
    <w:uiPriority w:val="99"/>
    <w:pPr>
      <w:widowControl/>
      <w:spacing w:after="160" w:line="240" w:lineRule="exact"/>
      <w:jc w:val="left"/>
    </w:pPr>
    <w:rPr>
      <w:rFonts w:ascii="Verdana" w:hAnsi="Verdana"/>
      <w:kern w:val="0"/>
      <w:szCs w:val="20"/>
      <w:lang w:eastAsia="en-US"/>
    </w:rPr>
  </w:style>
  <w:style w:type="paragraph" w:customStyle="1" w:styleId="200">
    <w:name w:val="列表段落1"/>
    <w:basedOn w:val="1"/>
    <w:qFormat/>
    <w:uiPriority w:val="99"/>
    <w:pPr>
      <w:ind w:firstLine="420" w:firstLineChars="200"/>
    </w:pPr>
    <w:rPr>
      <w:rFonts w:ascii="Calibri" w:hAnsi="Calibri"/>
      <w:szCs w:val="22"/>
    </w:rPr>
  </w:style>
  <w:style w:type="paragraph" w:customStyle="1" w:styleId="201">
    <w:name w:val="xl26"/>
    <w:basedOn w:val="1"/>
    <w:qFormat/>
    <w:uiPriority w:val="99"/>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 w:type="paragraph" w:customStyle="1" w:styleId="202">
    <w:name w:val="Char Char 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03">
    <w:name w:val="Char Char Char Char Char Char1 Char"/>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204">
    <w:name w:val="_Style 109"/>
    <w:basedOn w:val="1"/>
    <w:next w:val="200"/>
    <w:qFormat/>
    <w:uiPriority w:val="99"/>
    <w:pPr>
      <w:ind w:firstLine="420" w:firstLineChars="200"/>
    </w:pPr>
    <w:rPr>
      <w:rFonts w:ascii="Calibri" w:hAnsi="Calibri"/>
      <w:szCs w:val="22"/>
    </w:rPr>
  </w:style>
  <w:style w:type="paragraph" w:customStyle="1" w:styleId="205">
    <w:name w:val="修订1"/>
    <w:qFormat/>
    <w:uiPriority w:val="99"/>
    <w:rPr>
      <w:rFonts w:ascii="Times New Roman" w:hAnsi="Times New Roman" w:eastAsia="宋体" w:cs="Times New Roman"/>
      <w:kern w:val="2"/>
      <w:sz w:val="21"/>
      <w:szCs w:val="24"/>
      <w:lang w:val="en-US" w:eastAsia="zh-CN" w:bidi="ar-SA"/>
    </w:rPr>
  </w:style>
  <w:style w:type="paragraph" w:customStyle="1" w:styleId="206">
    <w:name w:val="Default"/>
    <w:qFormat/>
    <w:uiPriority w:val="99"/>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paragraph" w:customStyle="1" w:styleId="207">
    <w:name w:val="Char Char Char 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08">
    <w:name w:val="列表段落2"/>
    <w:basedOn w:val="1"/>
    <w:qFormat/>
    <w:uiPriority w:val="99"/>
    <w:pPr>
      <w:ind w:firstLine="420" w:firstLineChars="200"/>
    </w:pPr>
  </w:style>
  <w:style w:type="paragraph" w:customStyle="1" w:styleId="209">
    <w:name w:val="paragraphindent"/>
    <w:basedOn w:val="1"/>
    <w:qFormat/>
    <w:uiPriority w:val="99"/>
    <w:pPr>
      <w:widowControl/>
      <w:spacing w:before="100" w:beforeAutospacing="1" w:after="100" w:afterAutospacing="1"/>
      <w:jc w:val="left"/>
    </w:pPr>
    <w:rPr>
      <w:rFonts w:ascii="宋体" w:hAnsi="宋体" w:cs="宋体"/>
      <w:kern w:val="0"/>
      <w:sz w:val="24"/>
    </w:rPr>
  </w:style>
  <w:style w:type="paragraph" w:customStyle="1" w:styleId="210">
    <w:name w:val="Char Char Char Char Char Char Char Char Char Char Char Char Char Char Char Char"/>
    <w:basedOn w:val="1"/>
    <w:qFormat/>
    <w:uiPriority w:val="99"/>
    <w:pPr>
      <w:tabs>
        <w:tab w:val="left" w:pos="360"/>
      </w:tabs>
      <w:spacing w:line="360" w:lineRule="auto"/>
      <w:ind w:left="482" w:firstLine="200" w:firstLineChars="200"/>
    </w:pPr>
    <w:rPr>
      <w:rFonts w:ascii="宋体"/>
      <w:sz w:val="24"/>
    </w:rPr>
  </w:style>
  <w:style w:type="paragraph" w:customStyle="1" w:styleId="211">
    <w:name w:val="2"/>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12">
    <w:name w:val="默认段落字体 Para Char"/>
    <w:basedOn w:val="1"/>
    <w:qFormat/>
    <w:uiPriority w:val="99"/>
    <w:pPr>
      <w:adjustRightInd w:val="0"/>
      <w:spacing w:line="360" w:lineRule="auto"/>
    </w:pPr>
    <w:rPr>
      <w:kern w:val="0"/>
      <w:sz w:val="24"/>
      <w:szCs w:val="20"/>
    </w:rPr>
  </w:style>
  <w:style w:type="paragraph" w:customStyle="1" w:styleId="213">
    <w:name w:val="Char21"/>
    <w:basedOn w:val="1"/>
    <w:qFormat/>
    <w:uiPriority w:val="99"/>
    <w:pPr>
      <w:widowControl/>
      <w:spacing w:after="160" w:line="240" w:lineRule="exact"/>
      <w:jc w:val="left"/>
    </w:pPr>
    <w:rPr>
      <w:rFonts w:ascii="Verdana" w:hAnsi="Verdana"/>
      <w:kern w:val="0"/>
      <w:szCs w:val="20"/>
      <w:lang w:eastAsia="en-US"/>
    </w:rPr>
  </w:style>
  <w:style w:type="paragraph" w:customStyle="1" w:styleId="214">
    <w:name w:val="五号正文（标准）"/>
    <w:basedOn w:val="1"/>
    <w:qFormat/>
    <w:uiPriority w:val="99"/>
    <w:pPr>
      <w:spacing w:line="360" w:lineRule="auto"/>
      <w:ind w:right="55" w:firstLine="560" w:firstLineChars="200"/>
    </w:pPr>
    <w:rPr>
      <w:rFonts w:eastAsia="仿宋_GB2312"/>
      <w:sz w:val="28"/>
      <w:szCs w:val="20"/>
    </w:rPr>
  </w:style>
  <w:style w:type="paragraph" w:customStyle="1" w:styleId="215">
    <w:name w:val="F2"/>
    <w:basedOn w:val="1"/>
    <w:qFormat/>
    <w:uiPriority w:val="99"/>
    <w:pPr>
      <w:autoSpaceDE w:val="0"/>
      <w:autoSpaceDN w:val="0"/>
      <w:adjustRightInd w:val="0"/>
      <w:ind w:firstLine="601"/>
      <w:textAlignment w:val="baseline"/>
    </w:pPr>
    <w:rPr>
      <w:kern w:val="0"/>
      <w:sz w:val="24"/>
      <w:szCs w:val="20"/>
    </w:rPr>
  </w:style>
  <w:style w:type="paragraph" w:customStyle="1" w:styleId="216">
    <w:name w:val="默认段落字体 Para Char Char Char Char Char Char Char Char Char1 Char Char Char Char"/>
    <w:basedOn w:val="1"/>
    <w:qFormat/>
    <w:uiPriority w:val="99"/>
    <w:rPr>
      <w:rFonts w:ascii="Tahoma" w:hAnsi="Tahoma"/>
      <w:sz w:val="24"/>
      <w:szCs w:val="20"/>
    </w:rPr>
  </w:style>
  <w:style w:type="paragraph" w:customStyle="1" w:styleId="217">
    <w:name w:val="Char Char Char Char Char Char Char Char Char Char Char Char Char1"/>
    <w:basedOn w:val="19"/>
    <w:qFormat/>
    <w:uiPriority w:val="99"/>
    <w:pPr>
      <w:adjustRightInd/>
      <w:spacing w:line="240" w:lineRule="auto"/>
      <w:textAlignment w:val="auto"/>
    </w:pPr>
    <w:rPr>
      <w:rFonts w:ascii="Tahoma" w:hAnsi="Tahoma"/>
      <w:kern w:val="2"/>
      <w:sz w:val="24"/>
      <w:szCs w:val="24"/>
    </w:rPr>
  </w:style>
  <w:style w:type="paragraph" w:customStyle="1" w:styleId="218">
    <w:name w:val="1"/>
    <w:basedOn w:val="1"/>
    <w:next w:val="29"/>
    <w:qFormat/>
    <w:uiPriority w:val="99"/>
    <w:rPr>
      <w:rFonts w:ascii="宋体" w:hAnsi="Courier New"/>
      <w:szCs w:val="20"/>
    </w:rPr>
  </w:style>
  <w:style w:type="paragraph" w:customStyle="1" w:styleId="219">
    <w:name w:val="正文段"/>
    <w:basedOn w:val="1"/>
    <w:qFormat/>
    <w:uiPriority w:val="99"/>
    <w:pPr>
      <w:widowControl/>
      <w:snapToGrid w:val="0"/>
      <w:spacing w:afterLines="50"/>
      <w:ind w:firstLine="200" w:firstLineChars="200"/>
    </w:pPr>
    <w:rPr>
      <w:kern w:val="0"/>
      <w:sz w:val="24"/>
      <w:szCs w:val="20"/>
    </w:rPr>
  </w:style>
  <w:style w:type="paragraph" w:customStyle="1" w:styleId="220">
    <w:name w:val="样式 标题 2 + Times New Roman 四号 非加粗 段前: 5 磅 段后: 0 磅 行距: 固定值 20..."/>
    <w:basedOn w:val="5"/>
    <w:qFormat/>
    <w:uiPriority w:val="99"/>
    <w:pPr>
      <w:spacing w:before="100" w:after="0" w:line="400" w:lineRule="exact"/>
    </w:pPr>
    <w:rPr>
      <w:rFonts w:ascii="Times New Roman" w:hAnsi="Times New Roman" w:cs="宋体"/>
      <w:b w:val="0"/>
      <w:bCs w:val="0"/>
      <w:sz w:val="28"/>
      <w:szCs w:val="20"/>
    </w:rPr>
  </w:style>
  <w:style w:type="paragraph" w:customStyle="1" w:styleId="221">
    <w:name w:val="图"/>
    <w:basedOn w:val="1"/>
    <w:qFormat/>
    <w:uiPriority w:val="99"/>
    <w:pPr>
      <w:keepNext/>
      <w:adjustRightInd w:val="0"/>
      <w:snapToGrid w:val="0"/>
      <w:spacing w:before="60" w:after="60" w:line="300" w:lineRule="auto"/>
      <w:jc w:val="center"/>
    </w:pPr>
    <w:rPr>
      <w:spacing w:val="20"/>
      <w:kern w:val="0"/>
      <w:sz w:val="24"/>
      <w:szCs w:val="20"/>
    </w:rPr>
  </w:style>
  <w:style w:type="paragraph" w:customStyle="1" w:styleId="222">
    <w:name w:val="Char Char Char Char Char Char1 Char1"/>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223">
    <w:name w:val="444"/>
    <w:basedOn w:val="1"/>
    <w:qFormat/>
    <w:uiPriority w:val="99"/>
    <w:pPr>
      <w:adjustRightInd w:val="0"/>
      <w:spacing w:line="312" w:lineRule="atLeast"/>
      <w:jc w:val="center"/>
      <w:textAlignment w:val="baseline"/>
    </w:pPr>
    <w:rPr>
      <w:b/>
      <w:kern w:val="0"/>
      <w:sz w:val="36"/>
      <w:szCs w:val="36"/>
    </w:rPr>
  </w:style>
  <w:style w:type="paragraph" w:customStyle="1" w:styleId="224">
    <w:name w:val="Char Char Char1"/>
    <w:basedOn w:val="19"/>
    <w:qFormat/>
    <w:uiPriority w:val="99"/>
    <w:pPr>
      <w:adjustRightInd/>
      <w:spacing w:line="240" w:lineRule="auto"/>
      <w:textAlignment w:val="auto"/>
    </w:pPr>
    <w:rPr>
      <w:rFonts w:ascii="Tahoma" w:hAnsi="Tahoma"/>
      <w:kern w:val="2"/>
      <w:sz w:val="24"/>
      <w:szCs w:val="24"/>
    </w:rPr>
  </w:style>
  <w:style w:type="paragraph" w:customStyle="1" w:styleId="225">
    <w:name w:val="xl21"/>
    <w:basedOn w:val="1"/>
    <w:qFormat/>
    <w:uiPriority w:val="99"/>
    <w:pPr>
      <w:widowControl/>
      <w:spacing w:before="100" w:beforeAutospacing="1" w:after="100" w:afterAutospacing="1"/>
      <w:jc w:val="center"/>
    </w:pPr>
    <w:rPr>
      <w:rFonts w:ascii="宋体" w:hAnsi="宋体"/>
      <w:b/>
      <w:bCs/>
      <w:kern w:val="0"/>
      <w:sz w:val="28"/>
      <w:szCs w:val="28"/>
    </w:rPr>
  </w:style>
  <w:style w:type="paragraph" w:customStyle="1" w:styleId="226">
    <w:name w:val="Char11"/>
    <w:basedOn w:val="1"/>
    <w:qFormat/>
    <w:uiPriority w:val="99"/>
    <w:pPr>
      <w:tabs>
        <w:tab w:val="left" w:pos="360"/>
      </w:tabs>
      <w:ind w:left="252" w:hanging="252" w:hangingChars="140"/>
    </w:pPr>
    <w:rPr>
      <w:rFonts w:ascii="宋体"/>
      <w:sz w:val="18"/>
      <w:szCs w:val="18"/>
    </w:rPr>
  </w:style>
  <w:style w:type="paragraph" w:customStyle="1" w:styleId="227">
    <w:name w:val="Char Char Char Char Char Char Char1"/>
    <w:basedOn w:val="1"/>
    <w:qFormat/>
    <w:uiPriority w:val="99"/>
  </w:style>
  <w:style w:type="paragraph" w:customStyle="1" w:styleId="228">
    <w:name w:val="普通 (Web)"/>
    <w:basedOn w:val="1"/>
    <w:qFormat/>
    <w:uiPriority w:val="99"/>
    <w:pPr>
      <w:widowControl/>
      <w:spacing w:before="100" w:beforeAutospacing="1" w:after="100" w:afterAutospacing="1"/>
      <w:jc w:val="left"/>
    </w:pPr>
    <w:rPr>
      <w:rFonts w:ascii="宋体" w:hAnsi="宋体"/>
      <w:kern w:val="0"/>
      <w:sz w:val="24"/>
    </w:rPr>
  </w:style>
  <w:style w:type="paragraph" w:customStyle="1" w:styleId="229">
    <w:name w:val="Char Char Char Char Char Char Char Char Char Char Char Char Char Char Char Char1"/>
    <w:basedOn w:val="1"/>
    <w:qFormat/>
    <w:uiPriority w:val="99"/>
    <w:pPr>
      <w:tabs>
        <w:tab w:val="left" w:pos="360"/>
      </w:tabs>
      <w:spacing w:line="360" w:lineRule="auto"/>
      <w:ind w:left="482" w:firstLine="200" w:firstLineChars="200"/>
    </w:pPr>
    <w:rPr>
      <w:rFonts w:ascii="宋体"/>
      <w:sz w:val="24"/>
    </w:rPr>
  </w:style>
  <w:style w:type="paragraph" w:customStyle="1" w:styleId="230">
    <w:name w:val="2-2ji"/>
    <w:basedOn w:val="5"/>
    <w:qFormat/>
    <w:uiPriority w:val="99"/>
    <w:pPr>
      <w:adjustRightInd w:val="0"/>
      <w:spacing w:before="0" w:after="0" w:line="360" w:lineRule="auto"/>
      <w:jc w:val="center"/>
      <w:textAlignment w:val="baseline"/>
    </w:pPr>
    <w:rPr>
      <w:rFonts w:ascii="宋体" w:hAnsi="宋体" w:eastAsia="宋体"/>
      <w:bCs w:val="0"/>
      <w:kern w:val="0"/>
      <w:sz w:val="36"/>
    </w:rPr>
  </w:style>
  <w:style w:type="paragraph" w:customStyle="1" w:styleId="231">
    <w:name w:val="默认段落字体 Para Char1"/>
    <w:next w:val="1"/>
    <w:qFormat/>
    <w:uiPriority w:val="99"/>
    <w:pPr>
      <w:keepNext/>
      <w:keepLines/>
      <w:tabs>
        <w:tab w:val="left" w:pos="360"/>
      </w:tabs>
      <w:snapToGrid w:val="0"/>
      <w:spacing w:before="240" w:after="240"/>
      <w:outlineLvl w:val="7"/>
    </w:pPr>
    <w:rPr>
      <w:rFonts w:ascii="Arial" w:hAnsi="Arial" w:eastAsia="宋体" w:cs="Arial"/>
      <w:kern w:val="2"/>
      <w:sz w:val="20"/>
      <w:szCs w:val="20"/>
      <w:lang w:val="en-US" w:eastAsia="zh-CN" w:bidi="ar-SA"/>
    </w:rPr>
  </w:style>
  <w:style w:type="paragraph" w:customStyle="1" w:styleId="232">
    <w:name w:val="xl31"/>
    <w:basedOn w:val="1"/>
    <w:qFormat/>
    <w:uiPriority w:val="99"/>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233">
    <w:name w:val="样式"/>
    <w:qFormat/>
    <w:uiPriority w:val="99"/>
    <w:pPr>
      <w:widowControl w:val="0"/>
      <w:autoSpaceDE w:val="0"/>
      <w:autoSpaceDN w:val="0"/>
      <w:adjustRightInd w:val="0"/>
    </w:pPr>
    <w:rPr>
      <w:rFonts w:ascii="宋体" w:hAnsi="宋体" w:eastAsia="宋体" w:cs="宋体"/>
      <w:kern w:val="0"/>
      <w:sz w:val="24"/>
      <w:szCs w:val="24"/>
      <w:lang w:val="en-US" w:eastAsia="zh-CN" w:bidi="ar-SA"/>
    </w:rPr>
  </w:style>
  <w:style w:type="paragraph" w:customStyle="1" w:styleId="234">
    <w:name w:val="样式 标题 3 + (中文) 黑体 小四 非加粗 段前: 7.8 磅 段后: 0 磅 行距: 固定值 20 磅"/>
    <w:basedOn w:val="6"/>
    <w:qFormat/>
    <w:uiPriority w:val="99"/>
    <w:pPr>
      <w:spacing w:before="0" w:after="0" w:line="400" w:lineRule="exact"/>
    </w:pPr>
    <w:rPr>
      <w:rFonts w:eastAsia="黑体" w:cs="宋体"/>
      <w:b w:val="0"/>
      <w:bCs w:val="0"/>
      <w:sz w:val="24"/>
      <w:szCs w:val="20"/>
    </w:rPr>
  </w:style>
  <w:style w:type="paragraph" w:customStyle="1" w:styleId="235">
    <w:name w:val="Char1"/>
    <w:basedOn w:val="1"/>
    <w:qFormat/>
    <w:uiPriority w:val="99"/>
    <w:rPr>
      <w:szCs w:val="21"/>
    </w:rPr>
  </w:style>
  <w:style w:type="paragraph" w:customStyle="1" w:styleId="236">
    <w:name w:val="2ji"/>
    <w:basedOn w:val="5"/>
    <w:qFormat/>
    <w:uiPriority w:val="99"/>
    <w:pPr>
      <w:adjustRightInd w:val="0"/>
      <w:spacing w:before="0" w:after="0" w:line="360" w:lineRule="auto"/>
      <w:textAlignment w:val="baseline"/>
    </w:pPr>
    <w:rPr>
      <w:rFonts w:ascii="宋体" w:hAnsi="宋体" w:eastAsia="宋体"/>
      <w:kern w:val="0"/>
      <w:sz w:val="21"/>
      <w:szCs w:val="21"/>
    </w:rPr>
  </w:style>
  <w:style w:type="paragraph" w:customStyle="1" w:styleId="237">
    <w:name w:val="Char3"/>
    <w:basedOn w:val="1"/>
    <w:qFormat/>
    <w:uiPriority w:val="99"/>
    <w:pPr>
      <w:widowControl/>
      <w:spacing w:line="500" w:lineRule="exact"/>
      <w:outlineLvl w:val="2"/>
    </w:pPr>
    <w:rPr>
      <w:rFonts w:ascii="黑体" w:hAnsi="Verdana" w:eastAsia="黑体" w:cs="黑体"/>
      <w:kern w:val="0"/>
      <w:sz w:val="28"/>
      <w:szCs w:val="28"/>
      <w:lang w:eastAsia="en-US"/>
    </w:rPr>
  </w:style>
  <w:style w:type="paragraph" w:customStyle="1" w:styleId="238">
    <w:name w:val="缺省文本"/>
    <w:basedOn w:val="1"/>
    <w:qFormat/>
    <w:uiPriority w:val="99"/>
    <w:pPr>
      <w:autoSpaceDE w:val="0"/>
      <w:autoSpaceDN w:val="0"/>
      <w:adjustRightInd w:val="0"/>
      <w:spacing w:line="360" w:lineRule="auto"/>
      <w:jc w:val="left"/>
    </w:pPr>
    <w:rPr>
      <w:kern w:val="0"/>
      <w:sz w:val="24"/>
      <w:szCs w:val="20"/>
    </w:rPr>
  </w:style>
  <w:style w:type="paragraph" w:customStyle="1" w:styleId="239">
    <w:name w:val="List Paragraph1"/>
    <w:basedOn w:val="1"/>
    <w:qFormat/>
    <w:uiPriority w:val="99"/>
    <w:pPr>
      <w:ind w:firstLine="420" w:firstLineChars="200"/>
    </w:pPr>
    <w:rPr>
      <w:rFonts w:ascii="Calibri" w:hAnsi="Calibri"/>
      <w:szCs w:val="22"/>
    </w:rPr>
  </w:style>
  <w:style w:type="paragraph" w:customStyle="1" w:styleId="240">
    <w:name w:val="a9"/>
    <w:basedOn w:val="1"/>
    <w:qFormat/>
    <w:uiPriority w:val="99"/>
    <w:pPr>
      <w:widowControl/>
      <w:spacing w:before="100" w:beforeAutospacing="1" w:after="100" w:afterAutospacing="1"/>
      <w:jc w:val="left"/>
    </w:pPr>
    <w:rPr>
      <w:rFonts w:ascii="宋体" w:hAnsi="宋体" w:cs="宋体"/>
      <w:kern w:val="0"/>
      <w:sz w:val="24"/>
    </w:rPr>
  </w:style>
  <w:style w:type="paragraph" w:customStyle="1" w:styleId="241">
    <w:name w:val="TOC 标题1"/>
    <w:basedOn w:val="4"/>
    <w:next w:val="1"/>
    <w:qFormat/>
    <w:uiPriority w:val="99"/>
    <w:pPr>
      <w:widowControl/>
      <w:spacing w:before="480" w:after="0" w:line="276" w:lineRule="auto"/>
      <w:jc w:val="left"/>
      <w:outlineLvl w:val="9"/>
    </w:pPr>
    <w:rPr>
      <w:rFonts w:ascii="Cambria" w:hAnsi="Cambria"/>
      <w:color w:val="365F91"/>
      <w:kern w:val="0"/>
      <w:sz w:val="28"/>
      <w:szCs w:val="28"/>
    </w:rPr>
  </w:style>
  <w:style w:type="paragraph" w:customStyle="1" w:styleId="242">
    <w:name w:val="正文-2字符首行缩进"/>
    <w:basedOn w:val="1"/>
    <w:qFormat/>
    <w:uiPriority w:val="0"/>
    <w:pPr>
      <w:widowControl/>
      <w:spacing w:line="360" w:lineRule="auto"/>
      <w:ind w:firstLine="200" w:firstLineChars="200"/>
    </w:pPr>
    <w:rPr>
      <w:rFonts w:ascii="仿宋_GB2312" w:hAnsi="Calibri" w:eastAsia="仿宋_GB2312"/>
      <w:kern w:val="0"/>
      <w:sz w:val="28"/>
      <w:szCs w:val="22"/>
    </w:rPr>
  </w:style>
  <w:style w:type="character" w:customStyle="1" w:styleId="243">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header" Target="header9.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111</Pages>
  <Words>93066</Words>
  <Characters>105940</Characters>
  <Lines>0</Lines>
  <Paragraphs>0</Paragraphs>
  <TotalTime>3</TotalTime>
  <ScaleCrop>false</ScaleCrop>
  <LinksUpToDate>false</LinksUpToDate>
  <CharactersWithSpaces>107878</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2021-05-08T08:01:00Z</dcterms:created>
  <dc:creator>微软用户</dc:creator>
  <cp:lastModifiedBy>NTKO</cp:lastModifiedBy>
  <cp:lastPrinted>2016-03-22T07:52:00Z</cp:lastPrinted>
  <dcterms:modified xsi:type="dcterms:W3CDTF">2022-06-15T04:46:35Z</dcterms:modified>
  <dc:title>桂财采〔2009〕 号</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Subject">
    <vt:lpwstr/>
  </property>
  <property fmtid="{D5CDD505-2E9C-101B-9397-08002B2CF9AE}" pid="4" name="Keywords">
    <vt:lpwstr/>
  </property>
  <property fmtid="{D5CDD505-2E9C-101B-9397-08002B2CF9AE}" pid="5" name="_Author">
    <vt:lpwstr>微软用户</vt:lpwstr>
  </property>
  <property fmtid="{D5CDD505-2E9C-101B-9397-08002B2CF9AE}" pid="6" name="_Category">
    <vt:lpwstr/>
  </property>
  <property fmtid="{D5CDD505-2E9C-101B-9397-08002B2CF9AE}" pid="7" name="Slides">
    <vt:lpwstr>0</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ContentTypeId">
    <vt:lpwstr>0x010100766A5C3ADF4EA94E9357209EBD74570E</vt:lpwstr>
  </property>
  <property fmtid="{D5CDD505-2E9C-101B-9397-08002B2CF9AE}" pid="13" name="ICV">
    <vt:lpwstr>85FD74D1FC31477683DC778D4493CB37</vt:lpwstr>
  </property>
</Properties>
</file>